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0A7A01" w:rsidRDefault="00CE0ECD" w:rsidP="00B77B19">
      <w:pPr>
        <w:pStyle w:val="AODocTxt"/>
        <w:numPr>
          <w:ilvl w:val="0"/>
          <w:numId w:val="14"/>
        </w:numPr>
        <w:spacing w:before="0" w:line="240" w:lineRule="auto"/>
        <w:ind w:left="426"/>
        <w:rPr>
          <w:rFonts w:ascii="Avenir Next" w:hAnsi="Avenir Next"/>
          <w:highlight w:val="yellow"/>
        </w:rPr>
      </w:pPr>
      <w:proofErr w:type="gramStart"/>
      <w:r w:rsidRPr="000A7A01">
        <w:rPr>
          <w:rFonts w:ascii="Avenir Next" w:hAnsi="Avenir Next"/>
          <w:highlight w:val="yellow"/>
        </w:rPr>
        <w:t>All of</w:t>
      </w:r>
      <w:proofErr w:type="gramEnd"/>
      <w:r w:rsidRPr="000A7A01">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0A7A01">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700B08" w:rsidRDefault="00CE0ECD" w:rsidP="00097D56">
      <w:pPr>
        <w:pStyle w:val="AODocTxt"/>
        <w:numPr>
          <w:ilvl w:val="0"/>
          <w:numId w:val="16"/>
        </w:numPr>
        <w:spacing w:before="0" w:line="240" w:lineRule="auto"/>
        <w:ind w:left="426"/>
        <w:rPr>
          <w:rFonts w:ascii="Avenir Next" w:hAnsi="Avenir Next"/>
          <w:highlight w:val="yellow"/>
        </w:rPr>
      </w:pPr>
      <w:r w:rsidRPr="00700B08">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0A7A01" w:rsidRDefault="00CE0ECD" w:rsidP="00A82B32">
      <w:pPr>
        <w:pStyle w:val="AODocTxt"/>
        <w:numPr>
          <w:ilvl w:val="0"/>
          <w:numId w:val="18"/>
        </w:numPr>
        <w:spacing w:before="0" w:line="240" w:lineRule="auto"/>
        <w:ind w:left="426"/>
        <w:rPr>
          <w:rFonts w:ascii="Avenir Next" w:hAnsi="Avenir Next"/>
          <w:highlight w:val="yellow"/>
        </w:rPr>
      </w:pPr>
      <w:r w:rsidRPr="000A7A01">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0A7A01" w:rsidRDefault="00CE0ECD" w:rsidP="00E421C6">
      <w:pPr>
        <w:pStyle w:val="AODocTxt"/>
        <w:numPr>
          <w:ilvl w:val="0"/>
          <w:numId w:val="20"/>
        </w:numPr>
        <w:spacing w:before="0" w:line="240" w:lineRule="auto"/>
        <w:ind w:left="426"/>
        <w:rPr>
          <w:rFonts w:ascii="Avenir Next" w:hAnsi="Avenir Next"/>
          <w:highlight w:val="yellow"/>
        </w:rPr>
      </w:pPr>
      <w:r w:rsidRPr="000A7A01">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782AE4" w:rsidRDefault="00CE0ECD" w:rsidP="00E421C6">
      <w:pPr>
        <w:pStyle w:val="AODocTxt"/>
        <w:numPr>
          <w:ilvl w:val="0"/>
          <w:numId w:val="22"/>
        </w:numPr>
        <w:spacing w:before="0" w:line="240" w:lineRule="auto"/>
        <w:ind w:left="426"/>
        <w:rPr>
          <w:rFonts w:ascii="Avenir Next" w:hAnsi="Avenir Next"/>
          <w:highlight w:val="yellow"/>
        </w:rPr>
      </w:pPr>
      <w:r w:rsidRPr="00782AE4">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E358E4" w:rsidRDefault="00CE0ECD" w:rsidP="000346E7">
      <w:pPr>
        <w:pStyle w:val="AODocTxt"/>
        <w:numPr>
          <w:ilvl w:val="0"/>
          <w:numId w:val="24"/>
        </w:numPr>
        <w:spacing w:before="0" w:line="240" w:lineRule="auto"/>
        <w:ind w:left="426"/>
        <w:rPr>
          <w:rFonts w:ascii="Avenir Next" w:hAnsi="Avenir Next"/>
          <w:highlight w:val="yellow"/>
        </w:rPr>
      </w:pPr>
      <w:r w:rsidRPr="00E358E4">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3214B2" w:rsidRDefault="00CE0ECD" w:rsidP="004830F8">
      <w:pPr>
        <w:pStyle w:val="AODocTxt"/>
        <w:numPr>
          <w:ilvl w:val="0"/>
          <w:numId w:val="26"/>
        </w:numPr>
        <w:spacing w:before="0" w:line="240" w:lineRule="auto"/>
        <w:ind w:left="426"/>
        <w:rPr>
          <w:rFonts w:ascii="Avenir Next" w:hAnsi="Avenir Next"/>
          <w:highlight w:val="yellow"/>
        </w:rPr>
      </w:pPr>
      <w:r w:rsidRPr="003214B2">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28CBFBF7"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348DFAE3" w14:textId="77777777" w:rsidR="003214B2" w:rsidRDefault="003214B2" w:rsidP="003214B2">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7805B3">
        <w:rPr>
          <w:rFonts w:ascii="Avenir Next" w:hAnsi="Avenir Next"/>
          <w:highlight w:val="yellow"/>
        </w:rPr>
        <w:t xml:space="preserve">If a creditor can show it extended credit </w:t>
      </w:r>
      <w:proofErr w:type="gramStart"/>
      <w:r w:rsidRPr="007805B3">
        <w:rPr>
          <w:rFonts w:ascii="Avenir Next" w:hAnsi="Avenir Next"/>
          <w:highlight w:val="yellow"/>
        </w:rPr>
        <w:t>on the basis of</w:t>
      </w:r>
      <w:proofErr w:type="gramEnd"/>
      <w:r w:rsidRPr="007805B3">
        <w:rPr>
          <w:rFonts w:ascii="Avenir Next" w:hAnsi="Avenir Next"/>
          <w:highlight w:val="yellow"/>
        </w:rPr>
        <w:t xml:space="preserve"> corporate separateness, it has a valid objection to substantive consolidation</w:t>
      </w:r>
      <w:r w:rsidRPr="002C4932">
        <w:rPr>
          <w:rFonts w:ascii="Avenir Next" w:hAnsi="Avenir Next"/>
        </w:rPr>
        <w:t>.</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967371" w:rsidRDefault="00CE0ECD" w:rsidP="00AA0280">
      <w:pPr>
        <w:pStyle w:val="AODocTxt"/>
        <w:numPr>
          <w:ilvl w:val="0"/>
          <w:numId w:val="30"/>
        </w:numPr>
        <w:spacing w:before="0" w:line="240" w:lineRule="auto"/>
        <w:ind w:left="426"/>
        <w:rPr>
          <w:rFonts w:ascii="Avenir Next" w:hAnsi="Avenir Next"/>
          <w:highlight w:val="yellow"/>
        </w:rPr>
      </w:pPr>
      <w:proofErr w:type="gramStart"/>
      <w:r w:rsidRPr="00967371">
        <w:rPr>
          <w:rFonts w:ascii="Avenir Next" w:hAnsi="Avenir Next"/>
          <w:highlight w:val="yellow"/>
        </w:rPr>
        <w:t>All of</w:t>
      </w:r>
      <w:proofErr w:type="gramEnd"/>
      <w:r w:rsidRPr="00967371">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220D4F18" w:rsidR="00E41578" w:rsidRPr="002F2D13" w:rsidRDefault="002F2D13" w:rsidP="002F2D13">
      <w:pPr>
        <w:ind w:left="720"/>
        <w:jc w:val="both"/>
        <w:rPr>
          <w:rFonts w:ascii="Avenir Next" w:hAnsi="Avenir Next" w:cs="Arial"/>
          <w:sz w:val="22"/>
          <w:szCs w:val="22"/>
          <w:lang w:val="en-GB"/>
        </w:rPr>
      </w:pPr>
      <w:r>
        <w:rPr>
          <w:rFonts w:ascii="Avenir Next" w:hAnsi="Avenir Next" w:cs="Arial"/>
          <w:sz w:val="22"/>
          <w:szCs w:val="22"/>
          <w:lang w:val="en-GB"/>
        </w:rPr>
        <w:t>Setoff permits a creditor, who simultaneously holds a claim against the debtor and owes money to the debtor, to net out the two (or more) obligations. Setoff is not permitted in many circumstances as it can improve the position of the creditor compared to other unsecured creditors. This is because the creditor</w:t>
      </w:r>
      <w:r w:rsidR="004A462C">
        <w:rPr>
          <w:rFonts w:ascii="Avenir Next" w:hAnsi="Avenir Next" w:cs="Arial"/>
          <w:sz w:val="22"/>
          <w:szCs w:val="22"/>
          <w:lang w:val="en-GB"/>
        </w:rPr>
        <w:t>’s obligation to the estate is reduced by the full amount that the debtor owes, whereas the debtor may have ultimately paid less on the unsecured claim had setoff been prohibited.</w:t>
      </w:r>
      <w:r>
        <w:rPr>
          <w:rFonts w:ascii="Avenir Next" w:hAnsi="Avenir Next" w:cs="Arial"/>
          <w:sz w:val="22"/>
          <w:szCs w:val="22"/>
          <w:lang w:val="en-GB"/>
        </w:rPr>
        <w:t xml:space="preserve">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5E72592" w:rsidR="00E41578" w:rsidRPr="001F6297" w:rsidRDefault="001F6297" w:rsidP="00457C08">
      <w:pPr>
        <w:ind w:left="720"/>
        <w:jc w:val="both"/>
        <w:rPr>
          <w:rFonts w:ascii="Avenir Next" w:hAnsi="Avenir Next" w:cs="Arial"/>
          <w:sz w:val="22"/>
          <w:szCs w:val="22"/>
          <w:lang w:val="en-GB"/>
        </w:rPr>
      </w:pPr>
      <w:r w:rsidRPr="001F6297">
        <w:rPr>
          <w:rFonts w:ascii="Avenir Next" w:hAnsi="Avenir Next" w:cs="Arial"/>
          <w:sz w:val="22"/>
          <w:szCs w:val="22"/>
          <w:lang w:val="en-GB"/>
        </w:rPr>
        <w:t>The Federal Rules of Bankruptcy, the Federal Rules of Civil Procedure, the local rules of the bankruptcy court and the personal practices issued by the judge.</w:t>
      </w:r>
    </w:p>
    <w:p w14:paraId="57B07750" w14:textId="77777777" w:rsidR="001F6297" w:rsidRDefault="001F6297" w:rsidP="00622C36">
      <w:pPr>
        <w:pStyle w:val="AODocTxt"/>
        <w:spacing w:before="0" w:line="240" w:lineRule="auto"/>
        <w:rPr>
          <w:rFonts w:ascii="Avenir Next Demi Bold" w:hAnsi="Avenir Next Demi Bold"/>
          <w:b/>
          <w:bCs/>
        </w:rPr>
      </w:pPr>
    </w:p>
    <w:p w14:paraId="7BF50EEC" w14:textId="78E0808C"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61B17CDE" w:rsidR="00E41578" w:rsidRPr="00457C08" w:rsidRDefault="003F6522" w:rsidP="00457C08">
      <w:pPr>
        <w:ind w:left="720"/>
        <w:jc w:val="both"/>
        <w:rPr>
          <w:rFonts w:ascii="Avenir Next" w:hAnsi="Avenir Next" w:cs="Arial"/>
          <w:sz w:val="22"/>
          <w:szCs w:val="22"/>
          <w:lang w:val="en-GB"/>
        </w:rPr>
      </w:pPr>
      <w:r>
        <w:rPr>
          <w:rFonts w:ascii="Avenir Next" w:hAnsi="Avenir Next" w:cs="Arial"/>
          <w:sz w:val="22"/>
          <w:szCs w:val="22"/>
          <w:lang w:val="en-GB"/>
        </w:rPr>
        <w:t xml:space="preserve">In a Chapter 7 bankruptcy, the absolute priority rule requires that payment in full must be made to a more senior category of claims, before the next category receives anything. In the context of a Chapter 11 bankruptcy, the </w:t>
      </w:r>
      <w:r w:rsidR="00457C08">
        <w:rPr>
          <w:rFonts w:ascii="Avenir Next" w:hAnsi="Avenir Next" w:cs="Arial"/>
          <w:sz w:val="22"/>
          <w:szCs w:val="22"/>
          <w:lang w:val="en-GB"/>
        </w:rPr>
        <w:t xml:space="preserve">absolute priority rule requires that under a plan of </w:t>
      </w:r>
      <w:r w:rsidR="00545B07">
        <w:rPr>
          <w:rFonts w:ascii="Avenir Next" w:hAnsi="Avenir Next" w:cs="Arial"/>
          <w:sz w:val="22"/>
          <w:szCs w:val="22"/>
          <w:lang w:val="en-GB"/>
        </w:rPr>
        <w:t>re</w:t>
      </w:r>
      <w:r w:rsidR="00457C08">
        <w:rPr>
          <w:rFonts w:ascii="Avenir Next" w:hAnsi="Avenir Next" w:cs="Arial"/>
          <w:sz w:val="22"/>
          <w:szCs w:val="22"/>
          <w:lang w:val="en-GB"/>
        </w:rPr>
        <w:t xml:space="preserve">organisation, </w:t>
      </w:r>
      <w:r w:rsidR="00545B07">
        <w:rPr>
          <w:rFonts w:ascii="Avenir Next" w:hAnsi="Avenir Next" w:cs="Arial"/>
          <w:sz w:val="22"/>
          <w:szCs w:val="22"/>
          <w:lang w:val="en-GB"/>
        </w:rPr>
        <w:t xml:space="preserve">no creditor or class of creditors may receive less than </w:t>
      </w:r>
      <w:r w:rsidR="00457C08">
        <w:rPr>
          <w:rFonts w:ascii="Avenir Next" w:hAnsi="Avenir Next" w:cs="Arial"/>
          <w:sz w:val="22"/>
          <w:szCs w:val="22"/>
          <w:lang w:val="en-GB"/>
        </w:rPr>
        <w:t xml:space="preserve">they would have under a Chapter 7 liquidation. </w:t>
      </w:r>
      <w:r>
        <w:rPr>
          <w:rFonts w:ascii="Avenir Next" w:hAnsi="Avenir Next" w:cs="Arial"/>
          <w:sz w:val="22"/>
          <w:szCs w:val="22"/>
          <w:lang w:val="en-GB"/>
        </w:rPr>
        <w:t>In a Chapter 11 bankruptcy, the rule may be deviated from with the consent of affected creditors, but deviation is not permitted in a Chapter 7 bankruptcy and statutory priorities must be strictly followed.</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1F27D7D7" w14:textId="727E44BA" w:rsidR="00D02AFD" w:rsidRDefault="00D02AFD" w:rsidP="00D02AFD">
      <w:pPr>
        <w:ind w:left="720"/>
        <w:jc w:val="both"/>
        <w:rPr>
          <w:rFonts w:ascii="Avenir Next" w:hAnsi="Avenir Next" w:cs="Arial"/>
          <w:sz w:val="22"/>
          <w:szCs w:val="22"/>
          <w:lang w:val="en-GB"/>
        </w:rPr>
      </w:pPr>
      <w:r w:rsidRPr="00D02AFD">
        <w:rPr>
          <w:rFonts w:ascii="Avenir Next" w:hAnsi="Avenir Next" w:cs="Arial"/>
          <w:sz w:val="22"/>
          <w:szCs w:val="22"/>
          <w:lang w:val="en-GB"/>
        </w:rPr>
        <w:t xml:space="preserve">A </w:t>
      </w:r>
      <w:r>
        <w:rPr>
          <w:rFonts w:ascii="Avenir Next" w:hAnsi="Avenir Next" w:cs="Arial"/>
          <w:sz w:val="22"/>
          <w:szCs w:val="22"/>
          <w:lang w:val="en-GB"/>
        </w:rPr>
        <w:t xml:space="preserve">priming lien is a type of lien that may be granted to creditors who extend post-petition financing to a debtor in possession in a Chapter 11 bankruptcy. A priming lien is granted over encumbered estate property and is senior or equal to the pre-petition lien over the property. For a priming lien to be granted, the debtor must be unable to obtain post-petition financing on any other </w:t>
      </w:r>
      <w:proofErr w:type="gramStart"/>
      <w:r>
        <w:rPr>
          <w:rFonts w:ascii="Avenir Next" w:hAnsi="Avenir Next" w:cs="Arial"/>
          <w:sz w:val="22"/>
          <w:szCs w:val="22"/>
          <w:lang w:val="en-GB"/>
        </w:rPr>
        <w:t>terms, and</w:t>
      </w:r>
      <w:proofErr w:type="gramEnd"/>
      <w:r>
        <w:rPr>
          <w:rFonts w:ascii="Avenir Next" w:hAnsi="Avenir Next" w:cs="Arial"/>
          <w:sz w:val="22"/>
          <w:szCs w:val="22"/>
          <w:lang w:val="en-GB"/>
        </w:rPr>
        <w:t xml:space="preserve"> must demonstrate that the interest of the secured creditor being primed is adequately protected.</w:t>
      </w:r>
    </w:p>
    <w:p w14:paraId="3B82BAA0" w14:textId="04584043" w:rsidR="003A5537" w:rsidRDefault="003A5537"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22A97D6" w14:textId="34165322" w:rsidR="00E41578" w:rsidRDefault="003F6522" w:rsidP="003F6522">
      <w:pPr>
        <w:ind w:left="720"/>
        <w:jc w:val="both"/>
        <w:rPr>
          <w:rFonts w:ascii="Avenir Next" w:hAnsi="Avenir Next" w:cs="Arial"/>
          <w:sz w:val="22"/>
          <w:szCs w:val="22"/>
          <w:lang w:val="en-GB"/>
        </w:rPr>
      </w:pPr>
      <w:r>
        <w:rPr>
          <w:rFonts w:ascii="Avenir Next" w:hAnsi="Avenir Next" w:cs="Arial"/>
          <w:sz w:val="22"/>
          <w:szCs w:val="22"/>
          <w:lang w:val="en-GB"/>
        </w:rPr>
        <w:t xml:space="preserve">A preference is </w:t>
      </w:r>
      <w:r w:rsidR="00B95D1E">
        <w:rPr>
          <w:rFonts w:ascii="Avenir Next" w:hAnsi="Avenir Next" w:cs="Arial"/>
          <w:sz w:val="22"/>
          <w:szCs w:val="22"/>
          <w:lang w:val="en-GB"/>
        </w:rPr>
        <w:t>a</w:t>
      </w:r>
      <w:r>
        <w:rPr>
          <w:rFonts w:ascii="Avenir Next" w:hAnsi="Avenir Next" w:cs="Arial"/>
          <w:sz w:val="22"/>
          <w:szCs w:val="22"/>
          <w:lang w:val="en-GB"/>
        </w:rPr>
        <w:t xml:space="preserve"> transfer of the debtor’s property made in a period prior to the filing of the petition that must be returned to the estate if it exceeds the amount that the recipient would otherwise have received in a Chapter 7 liquidation had the transfer not been made</w:t>
      </w:r>
      <w:r w:rsidR="00317DBE">
        <w:rPr>
          <w:rFonts w:ascii="Avenir Next" w:hAnsi="Avenir Next" w:cs="Arial"/>
          <w:sz w:val="22"/>
          <w:szCs w:val="22"/>
          <w:lang w:val="en-GB"/>
        </w:rPr>
        <w:t>: 11 USC §547(b)</w:t>
      </w:r>
      <w:r>
        <w:rPr>
          <w:rFonts w:ascii="Avenir Next" w:hAnsi="Avenir Next" w:cs="Arial"/>
          <w:sz w:val="22"/>
          <w:szCs w:val="22"/>
          <w:lang w:val="en-GB"/>
        </w:rPr>
        <w:t>.</w:t>
      </w:r>
    </w:p>
    <w:p w14:paraId="36387216" w14:textId="2E7D8664" w:rsidR="003F6522" w:rsidRDefault="003F6522" w:rsidP="003F6522">
      <w:pPr>
        <w:ind w:left="720"/>
        <w:jc w:val="both"/>
        <w:rPr>
          <w:rFonts w:ascii="Avenir Next" w:hAnsi="Avenir Next" w:cs="Arial"/>
          <w:sz w:val="22"/>
          <w:szCs w:val="22"/>
          <w:lang w:val="en-GB"/>
        </w:rPr>
      </w:pPr>
    </w:p>
    <w:p w14:paraId="20998059" w14:textId="716148D9" w:rsidR="003F6522" w:rsidRDefault="003F6522" w:rsidP="003F6522">
      <w:pPr>
        <w:ind w:left="720"/>
        <w:jc w:val="both"/>
        <w:rPr>
          <w:rFonts w:ascii="Avenir Next" w:hAnsi="Avenir Next" w:cs="Arial"/>
          <w:sz w:val="22"/>
          <w:szCs w:val="22"/>
          <w:lang w:val="en-GB"/>
        </w:rPr>
      </w:pPr>
      <w:r>
        <w:rPr>
          <w:rFonts w:ascii="Avenir Next" w:hAnsi="Avenir Next" w:cs="Arial"/>
          <w:sz w:val="22"/>
          <w:szCs w:val="22"/>
          <w:lang w:val="en-GB"/>
        </w:rPr>
        <w:t>The elements of a preference claim are as follows:</w:t>
      </w:r>
    </w:p>
    <w:p w14:paraId="3C34A1B9" w14:textId="60698FD7" w:rsidR="003F6522" w:rsidRPr="00317DBE" w:rsidRDefault="003F6522" w:rsidP="003F6522">
      <w:pPr>
        <w:pStyle w:val="ListParagraph"/>
        <w:numPr>
          <w:ilvl w:val="0"/>
          <w:numId w:val="33"/>
        </w:numPr>
        <w:jc w:val="both"/>
        <w:rPr>
          <w:rFonts w:ascii="Avenir Next" w:hAnsi="Avenir Next" w:cs="Arial"/>
          <w:sz w:val="22"/>
          <w:szCs w:val="22"/>
          <w:lang w:val="en-GB"/>
        </w:rPr>
      </w:pPr>
      <w:r w:rsidRPr="00317DBE">
        <w:rPr>
          <w:rFonts w:ascii="Avenir Next" w:hAnsi="Avenir Next" w:cs="Arial"/>
          <w:sz w:val="22"/>
          <w:szCs w:val="22"/>
          <w:u w:val="single"/>
          <w:lang w:val="en-GB"/>
        </w:rPr>
        <w:t>There was a trans</w:t>
      </w:r>
      <w:r w:rsidR="00317DBE" w:rsidRPr="00317DBE">
        <w:rPr>
          <w:rFonts w:ascii="Avenir Next" w:hAnsi="Avenir Next" w:cs="Arial"/>
          <w:sz w:val="22"/>
          <w:szCs w:val="22"/>
          <w:u w:val="single"/>
          <w:lang w:val="en-GB"/>
        </w:rPr>
        <w:t>fer of an interest in the debtor’s property</w:t>
      </w:r>
      <w:r w:rsidR="00317DBE">
        <w:rPr>
          <w:rFonts w:ascii="Avenir Next" w:hAnsi="Avenir Next" w:cs="Arial"/>
          <w:sz w:val="22"/>
          <w:szCs w:val="22"/>
          <w:lang w:val="en-GB"/>
        </w:rPr>
        <w:t xml:space="preserve"> (</w:t>
      </w:r>
      <w:proofErr w:type="spellStart"/>
      <w:r w:rsidR="00317DBE">
        <w:rPr>
          <w:rFonts w:ascii="Avenir Next" w:hAnsi="Avenir Next" w:cs="Arial"/>
          <w:i/>
          <w:iCs/>
          <w:sz w:val="22"/>
          <w:szCs w:val="22"/>
          <w:lang w:val="en-GB"/>
        </w:rPr>
        <w:t>eg</w:t>
      </w:r>
      <w:proofErr w:type="spellEnd"/>
      <w:r w:rsidR="00317DBE">
        <w:rPr>
          <w:rFonts w:ascii="Avenir Next" w:hAnsi="Avenir Next" w:cs="Arial"/>
          <w:sz w:val="22"/>
          <w:szCs w:val="22"/>
          <w:lang w:val="en-GB"/>
        </w:rPr>
        <w:t xml:space="preserve">, funds, real </w:t>
      </w:r>
      <w:proofErr w:type="gramStart"/>
      <w:r w:rsidR="00317DBE">
        <w:rPr>
          <w:rFonts w:ascii="Avenir Next" w:hAnsi="Avenir Next" w:cs="Arial"/>
          <w:sz w:val="22"/>
          <w:szCs w:val="22"/>
          <w:lang w:val="en-GB"/>
        </w:rPr>
        <w:t>property</w:t>
      </w:r>
      <w:proofErr w:type="gramEnd"/>
      <w:r w:rsidR="00317DBE">
        <w:rPr>
          <w:rFonts w:ascii="Avenir Next" w:hAnsi="Avenir Next" w:cs="Arial"/>
          <w:sz w:val="22"/>
          <w:szCs w:val="22"/>
          <w:lang w:val="en-GB"/>
        </w:rPr>
        <w:t xml:space="preserve"> or an interest in property)</w:t>
      </w:r>
      <w:r w:rsidR="00317DBE" w:rsidRPr="00317DBE">
        <w:rPr>
          <w:rFonts w:ascii="Avenir Next" w:hAnsi="Avenir Next" w:cs="Arial"/>
          <w:sz w:val="22"/>
          <w:szCs w:val="22"/>
          <w:lang w:val="en-GB"/>
        </w:rPr>
        <w:t xml:space="preserve">. </w:t>
      </w:r>
    </w:p>
    <w:p w14:paraId="0D518AE1" w14:textId="3B1D75C1" w:rsidR="00317DBE" w:rsidRDefault="00317DBE" w:rsidP="003F6522">
      <w:pPr>
        <w:pStyle w:val="ListParagraph"/>
        <w:numPr>
          <w:ilvl w:val="0"/>
          <w:numId w:val="33"/>
        </w:numPr>
        <w:jc w:val="both"/>
        <w:rPr>
          <w:rFonts w:ascii="Avenir Next" w:hAnsi="Avenir Next" w:cs="Arial"/>
          <w:sz w:val="22"/>
          <w:szCs w:val="22"/>
          <w:lang w:val="en-GB"/>
        </w:rPr>
      </w:pPr>
      <w:r w:rsidRPr="00317DBE">
        <w:rPr>
          <w:rFonts w:ascii="Avenir Next" w:hAnsi="Avenir Next" w:cs="Arial"/>
          <w:sz w:val="22"/>
          <w:szCs w:val="22"/>
          <w:u w:val="single"/>
          <w:lang w:val="en-GB"/>
        </w:rPr>
        <w:t>The transfer was to, or for the benefit of a creditor</w:t>
      </w:r>
      <w:r w:rsidRPr="00317DBE">
        <w:rPr>
          <w:rFonts w:ascii="Avenir Next" w:hAnsi="Avenir Next" w:cs="Arial"/>
          <w:sz w:val="22"/>
          <w:szCs w:val="22"/>
          <w:lang w:val="en-GB"/>
        </w:rPr>
        <w:t>.</w:t>
      </w:r>
      <w:r>
        <w:rPr>
          <w:rFonts w:ascii="Avenir Next" w:hAnsi="Avenir Next" w:cs="Arial"/>
          <w:sz w:val="22"/>
          <w:szCs w:val="22"/>
          <w:lang w:val="en-GB"/>
        </w:rPr>
        <w:t xml:space="preserve"> A recipient who was not a creditor cannot be said to have received a preferential transfer, but the transfer may be recoverable as a fraudulent conveyance.</w:t>
      </w:r>
    </w:p>
    <w:p w14:paraId="743B326B" w14:textId="5B4D206A" w:rsidR="00317DBE" w:rsidRDefault="00317DBE" w:rsidP="003F6522">
      <w:pPr>
        <w:pStyle w:val="ListParagraph"/>
        <w:numPr>
          <w:ilvl w:val="0"/>
          <w:numId w:val="33"/>
        </w:numPr>
        <w:jc w:val="both"/>
        <w:rPr>
          <w:rFonts w:ascii="Avenir Next" w:hAnsi="Avenir Next" w:cs="Arial"/>
          <w:sz w:val="22"/>
          <w:szCs w:val="22"/>
          <w:lang w:val="en-GB"/>
        </w:rPr>
      </w:pPr>
      <w:r w:rsidRPr="00317DBE">
        <w:rPr>
          <w:rFonts w:ascii="Avenir Next" w:hAnsi="Avenir Next" w:cs="Arial"/>
          <w:sz w:val="22"/>
          <w:szCs w:val="22"/>
          <w:u w:val="single"/>
          <w:lang w:val="en-GB"/>
        </w:rPr>
        <w:t>The transfer was for or on account of an antecedent</w:t>
      </w:r>
      <w:r>
        <w:rPr>
          <w:rFonts w:ascii="Avenir Next" w:hAnsi="Avenir Next" w:cs="Arial"/>
          <w:sz w:val="22"/>
          <w:szCs w:val="22"/>
          <w:u w:val="single"/>
          <w:lang w:val="en-GB"/>
        </w:rPr>
        <w:t xml:space="preserve"> debt</w:t>
      </w:r>
      <w:r w:rsidRPr="00317DBE">
        <w:rPr>
          <w:rFonts w:ascii="Avenir Next" w:hAnsi="Avenir Next" w:cs="Arial"/>
          <w:sz w:val="22"/>
          <w:szCs w:val="22"/>
          <w:u w:val="single"/>
          <w:lang w:val="en-GB"/>
        </w:rPr>
        <w:t xml:space="preserve"> owed by the debtor before such transfer was made</w:t>
      </w:r>
      <w:r>
        <w:rPr>
          <w:rFonts w:ascii="Avenir Next" w:hAnsi="Avenir Next" w:cs="Arial"/>
          <w:sz w:val="22"/>
          <w:szCs w:val="22"/>
          <w:lang w:val="en-GB"/>
        </w:rPr>
        <w:t>. A contemporaneous exchange of value does not constitute an antecedent debt; likewise, prepayment of goods and services are not transfers on account of an antecedent debt because the debt is only incurred upon receipt of the goods/services.</w:t>
      </w:r>
      <w:r w:rsidR="00C66070">
        <w:rPr>
          <w:rFonts w:ascii="Avenir Next" w:hAnsi="Avenir Next" w:cs="Arial"/>
          <w:sz w:val="22"/>
          <w:szCs w:val="22"/>
          <w:lang w:val="en-GB"/>
        </w:rPr>
        <w:t xml:space="preserve"> Further, under the net result rule, a transfer cannot be avoided as a preference if </w:t>
      </w:r>
      <w:proofErr w:type="gramStart"/>
      <w:r w:rsidR="00C66070">
        <w:rPr>
          <w:rFonts w:ascii="Avenir Next" w:hAnsi="Avenir Next" w:cs="Arial"/>
          <w:sz w:val="22"/>
          <w:szCs w:val="22"/>
          <w:lang w:val="en-GB"/>
        </w:rPr>
        <w:t>subsequent to</w:t>
      </w:r>
      <w:proofErr w:type="gramEnd"/>
      <w:r w:rsidR="00C66070">
        <w:rPr>
          <w:rFonts w:ascii="Avenir Next" w:hAnsi="Avenir Next" w:cs="Arial"/>
          <w:sz w:val="22"/>
          <w:szCs w:val="22"/>
          <w:lang w:val="en-GB"/>
        </w:rPr>
        <w:t xml:space="preserve"> the transfer, the creditor advances new additional value to the debtor without receiving a perfected security interest or repayment from the debtor.</w:t>
      </w:r>
    </w:p>
    <w:p w14:paraId="4DC3E7CF" w14:textId="44C496D5" w:rsidR="00317DBE" w:rsidRDefault="00317DBE" w:rsidP="003F6522">
      <w:pPr>
        <w:pStyle w:val="ListParagraph"/>
        <w:numPr>
          <w:ilvl w:val="0"/>
          <w:numId w:val="33"/>
        </w:numPr>
        <w:jc w:val="both"/>
        <w:rPr>
          <w:rFonts w:ascii="Avenir Next" w:hAnsi="Avenir Next" w:cs="Arial"/>
          <w:sz w:val="22"/>
          <w:szCs w:val="22"/>
          <w:lang w:val="en-GB"/>
        </w:rPr>
      </w:pPr>
      <w:r>
        <w:rPr>
          <w:rFonts w:ascii="Avenir Next" w:hAnsi="Avenir Next" w:cs="Arial"/>
          <w:sz w:val="22"/>
          <w:szCs w:val="22"/>
          <w:u w:val="single"/>
          <w:lang w:val="en-GB"/>
        </w:rPr>
        <w:t>The transfer was made while the debtor was insolvent</w:t>
      </w:r>
      <w:r>
        <w:rPr>
          <w:rFonts w:ascii="Avenir Next" w:hAnsi="Avenir Next" w:cs="Arial"/>
          <w:sz w:val="22"/>
          <w:szCs w:val="22"/>
          <w:lang w:val="en-GB"/>
        </w:rPr>
        <w:t>. The debtor is presumed to have been insolvent on or within 90 days before the filing of the petition: 11 USC §547(f). The ultimate burden of proving insolvency on a balance sheet basis is on the trustee or debtor.</w:t>
      </w:r>
    </w:p>
    <w:p w14:paraId="5D01925F" w14:textId="44DB3D26" w:rsidR="00317DBE" w:rsidRDefault="00317DBE" w:rsidP="003F6522">
      <w:pPr>
        <w:pStyle w:val="ListParagraph"/>
        <w:numPr>
          <w:ilvl w:val="0"/>
          <w:numId w:val="33"/>
        </w:numPr>
        <w:jc w:val="both"/>
        <w:rPr>
          <w:rFonts w:ascii="Avenir Next" w:hAnsi="Avenir Next" w:cs="Arial"/>
          <w:sz w:val="22"/>
          <w:szCs w:val="22"/>
          <w:lang w:val="en-GB"/>
        </w:rPr>
      </w:pPr>
      <w:r>
        <w:rPr>
          <w:rFonts w:ascii="Avenir Next" w:hAnsi="Avenir Next" w:cs="Arial"/>
          <w:sz w:val="22"/>
          <w:szCs w:val="22"/>
          <w:u w:val="single"/>
          <w:lang w:val="en-GB"/>
        </w:rPr>
        <w:t>The transfer was made during the suspect period</w:t>
      </w:r>
      <w:r w:rsidRPr="00317DBE">
        <w:rPr>
          <w:rFonts w:ascii="Avenir Next" w:hAnsi="Avenir Next" w:cs="Arial"/>
          <w:sz w:val="22"/>
          <w:szCs w:val="22"/>
          <w:lang w:val="en-GB"/>
        </w:rPr>
        <w:t>.</w:t>
      </w:r>
      <w:r>
        <w:rPr>
          <w:rFonts w:ascii="Avenir Next" w:hAnsi="Avenir Next" w:cs="Arial"/>
          <w:sz w:val="22"/>
          <w:szCs w:val="22"/>
          <w:lang w:val="en-GB"/>
        </w:rPr>
        <w:t xml:space="preserve"> The relevant period for transfers to third parties is 90 days prior to the filing of the petition, while the period for insiders is between 90 days and 1 year before the filing of the petition if the creditor was an insider.</w:t>
      </w:r>
    </w:p>
    <w:p w14:paraId="29C5B77E" w14:textId="7179E292" w:rsidR="00317DBE" w:rsidRPr="00C66070" w:rsidRDefault="00317DBE" w:rsidP="003F6522">
      <w:pPr>
        <w:pStyle w:val="ListParagraph"/>
        <w:numPr>
          <w:ilvl w:val="0"/>
          <w:numId w:val="33"/>
        </w:numPr>
        <w:jc w:val="both"/>
        <w:rPr>
          <w:rFonts w:ascii="Avenir Next" w:hAnsi="Avenir Next" w:cs="Arial"/>
          <w:sz w:val="22"/>
          <w:szCs w:val="22"/>
          <w:lang w:val="en-GB"/>
        </w:rPr>
      </w:pPr>
      <w:r>
        <w:rPr>
          <w:rFonts w:ascii="Avenir Next" w:hAnsi="Avenir Next" w:cs="Arial"/>
          <w:sz w:val="22"/>
          <w:szCs w:val="22"/>
          <w:u w:val="single"/>
          <w:lang w:val="en-GB"/>
        </w:rPr>
        <w:t>The transfer enables the creditor to receive more than it would have in a Chapter 7 liquidation</w:t>
      </w:r>
      <w:r w:rsidRPr="00317DBE">
        <w:rPr>
          <w:rFonts w:ascii="Avenir Next" w:hAnsi="Avenir Next" w:cs="Arial"/>
          <w:sz w:val="22"/>
          <w:szCs w:val="22"/>
          <w:lang w:val="en-GB"/>
        </w:rPr>
        <w:t>.</w:t>
      </w:r>
    </w:p>
    <w:p w14:paraId="6BF5E1D7" w14:textId="0C575450" w:rsidR="00C66070" w:rsidRDefault="00C66070" w:rsidP="00C66070">
      <w:pPr>
        <w:jc w:val="both"/>
        <w:rPr>
          <w:rFonts w:ascii="Avenir Next" w:hAnsi="Avenir Next" w:cs="Arial"/>
          <w:sz w:val="22"/>
          <w:szCs w:val="22"/>
          <w:lang w:val="en-GB"/>
        </w:rPr>
      </w:pPr>
    </w:p>
    <w:p w14:paraId="0D4A3178" w14:textId="47100C25" w:rsidR="00C66070" w:rsidRPr="00C66070" w:rsidRDefault="00C66070" w:rsidP="00C66070">
      <w:pPr>
        <w:ind w:left="720"/>
        <w:jc w:val="both"/>
        <w:rPr>
          <w:rFonts w:ascii="Avenir Next" w:hAnsi="Avenir Next" w:cs="Arial"/>
          <w:sz w:val="22"/>
          <w:szCs w:val="22"/>
          <w:lang w:val="en-GB"/>
        </w:rPr>
      </w:pPr>
      <w:r>
        <w:rPr>
          <w:rFonts w:ascii="Avenir Next" w:hAnsi="Avenir Next" w:cs="Arial"/>
          <w:sz w:val="22"/>
          <w:szCs w:val="22"/>
          <w:lang w:val="en-GB"/>
        </w:rPr>
        <w:t xml:space="preserve">The transfer must also not occur as part of the ordinary course of the debtor’s business, as that would constitute a defence to a preference claim. There is no requirement to show fault, either on the part of the debtor or creditor. </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088A0F58" w:rsidR="00E41578" w:rsidRPr="00DC69EB" w:rsidRDefault="00DC69EB" w:rsidP="008D31F4">
      <w:pPr>
        <w:ind w:left="720"/>
        <w:jc w:val="both"/>
        <w:rPr>
          <w:rFonts w:ascii="Avenir Next" w:hAnsi="Avenir Next" w:cs="Arial"/>
          <w:sz w:val="22"/>
          <w:szCs w:val="22"/>
          <w:lang w:val="en-GB"/>
        </w:rPr>
      </w:pPr>
      <w:r w:rsidRPr="00DC69EB">
        <w:rPr>
          <w:rFonts w:ascii="Avenir Next" w:hAnsi="Avenir Next" w:cs="Arial"/>
          <w:b/>
          <w:bCs/>
          <w:sz w:val="22"/>
          <w:szCs w:val="22"/>
          <w:u w:val="single"/>
          <w:lang w:val="en-GB"/>
        </w:rPr>
        <w:t>When a bankruptcy court may enter a final order</w:t>
      </w:r>
    </w:p>
    <w:p w14:paraId="337B4F07" w14:textId="0BA26A3C" w:rsidR="00DC69EB" w:rsidRPr="00B95D1E" w:rsidRDefault="00DC69EB" w:rsidP="008D31F4">
      <w:pPr>
        <w:ind w:left="720"/>
        <w:jc w:val="both"/>
        <w:rPr>
          <w:rFonts w:ascii="Avenir Next" w:hAnsi="Avenir Next" w:cs="Arial"/>
          <w:sz w:val="22"/>
          <w:szCs w:val="22"/>
          <w:lang w:val="en-GB"/>
        </w:rPr>
      </w:pPr>
      <w:r w:rsidRPr="00DC69EB">
        <w:rPr>
          <w:rFonts w:ascii="Avenir Next" w:hAnsi="Avenir Next" w:cs="Arial"/>
          <w:sz w:val="22"/>
          <w:szCs w:val="22"/>
          <w:lang w:val="en-GB"/>
        </w:rPr>
        <w:t xml:space="preserve">As </w:t>
      </w:r>
      <w:r>
        <w:rPr>
          <w:rFonts w:ascii="Avenir Next" w:hAnsi="Avenir Next" w:cs="Arial"/>
          <w:sz w:val="22"/>
          <w:szCs w:val="22"/>
          <w:lang w:val="en-GB"/>
        </w:rPr>
        <w:t>a matter of constitutional authority, a bankruptcy court may enter a final order on core proceedings (within the meaning of 28 USC § 157</w:t>
      </w:r>
      <w:r w:rsidR="00E51814">
        <w:rPr>
          <w:rFonts w:ascii="Avenir Next" w:hAnsi="Avenir Next" w:cs="Arial"/>
          <w:sz w:val="22"/>
          <w:szCs w:val="22"/>
          <w:lang w:val="en-GB"/>
        </w:rPr>
        <w:t>(b)(2)</w:t>
      </w:r>
      <w:r>
        <w:rPr>
          <w:rFonts w:ascii="Avenir Next" w:hAnsi="Avenir Next" w:cs="Arial"/>
          <w:sz w:val="22"/>
          <w:szCs w:val="22"/>
          <w:lang w:val="en-GB"/>
        </w:rPr>
        <w:t>), where the order does not invade the jurisdiction of federal courts under Article III of the Constitution</w:t>
      </w:r>
      <w:r w:rsidR="00E51814" w:rsidRPr="00B95D1E">
        <w:rPr>
          <w:rFonts w:ascii="Avenir Next" w:hAnsi="Avenir Next" w:cs="Arial"/>
          <w:sz w:val="22"/>
          <w:szCs w:val="22"/>
          <w:lang w:val="en-GB"/>
        </w:rPr>
        <w:t xml:space="preserve">: </w:t>
      </w:r>
      <w:r w:rsidRPr="00B95D1E">
        <w:rPr>
          <w:rFonts w:ascii="Avenir Next" w:hAnsi="Avenir Next" w:cs="Arial"/>
          <w:i/>
          <w:iCs/>
          <w:sz w:val="22"/>
          <w:szCs w:val="22"/>
          <w:lang w:val="en-GB"/>
        </w:rPr>
        <w:t xml:space="preserve">Stern v Marshall </w:t>
      </w:r>
      <w:r w:rsidRPr="00B95D1E">
        <w:rPr>
          <w:rFonts w:ascii="Avenir Next" w:hAnsi="Avenir Next" w:cs="Arial"/>
          <w:sz w:val="22"/>
          <w:szCs w:val="22"/>
          <w:lang w:val="en-GB"/>
        </w:rPr>
        <w:t>564 US 462 (2011)</w:t>
      </w:r>
      <w:r w:rsidR="00E51814" w:rsidRPr="00B95D1E">
        <w:rPr>
          <w:rFonts w:ascii="Avenir Next" w:hAnsi="Avenir Next" w:cs="Arial"/>
          <w:sz w:val="22"/>
          <w:szCs w:val="22"/>
          <w:lang w:val="en-GB"/>
        </w:rPr>
        <w:t>.</w:t>
      </w:r>
    </w:p>
    <w:p w14:paraId="157C8C1D" w14:textId="661801EF" w:rsidR="00DC69EB" w:rsidRPr="00B95D1E" w:rsidRDefault="00DC69EB" w:rsidP="008D31F4">
      <w:pPr>
        <w:ind w:left="720"/>
        <w:jc w:val="both"/>
        <w:rPr>
          <w:rFonts w:ascii="Avenir Next" w:hAnsi="Avenir Next" w:cs="Arial"/>
          <w:sz w:val="22"/>
          <w:szCs w:val="22"/>
          <w:lang w:val="en-GB"/>
        </w:rPr>
      </w:pPr>
    </w:p>
    <w:p w14:paraId="22A9AAEE" w14:textId="0705742B" w:rsidR="00DC69EB" w:rsidRDefault="00DC69EB" w:rsidP="008D31F4">
      <w:pPr>
        <w:ind w:left="720"/>
        <w:jc w:val="both"/>
        <w:rPr>
          <w:rFonts w:ascii="Avenir Next" w:hAnsi="Avenir Next" w:cs="Arial"/>
          <w:sz w:val="22"/>
          <w:szCs w:val="22"/>
          <w:lang w:val="en-GB"/>
        </w:rPr>
      </w:pPr>
      <w:r w:rsidRPr="00B95D1E">
        <w:rPr>
          <w:rFonts w:ascii="Avenir Next" w:hAnsi="Avenir Next" w:cs="Arial"/>
          <w:sz w:val="22"/>
          <w:szCs w:val="22"/>
          <w:lang w:val="en-GB"/>
        </w:rPr>
        <w:t>Alternatively, a bankruptcy court may issue final orders in a core proceeding with the consent of the parties</w:t>
      </w:r>
      <w:r w:rsidR="00365FC8" w:rsidRPr="00B95D1E">
        <w:rPr>
          <w:rFonts w:ascii="Avenir Next" w:hAnsi="Avenir Next" w:cs="Arial"/>
          <w:sz w:val="22"/>
          <w:szCs w:val="22"/>
          <w:lang w:val="en-GB"/>
        </w:rPr>
        <w:t xml:space="preserve">: </w:t>
      </w:r>
      <w:r w:rsidR="00365FC8" w:rsidRPr="00B95D1E">
        <w:rPr>
          <w:rFonts w:ascii="Avenir Next" w:hAnsi="Avenir Next" w:cs="Arial"/>
          <w:i/>
          <w:iCs/>
          <w:sz w:val="22"/>
          <w:szCs w:val="22"/>
          <w:lang w:val="en-GB"/>
        </w:rPr>
        <w:t>Wellness Int’l Network, Ltd. v Sharif</w:t>
      </w:r>
      <w:r w:rsidR="00365FC8" w:rsidRPr="00B95D1E">
        <w:rPr>
          <w:rFonts w:ascii="Avenir Next" w:hAnsi="Avenir Next" w:cs="Arial"/>
          <w:sz w:val="22"/>
          <w:szCs w:val="22"/>
          <w:lang w:val="en-GB"/>
        </w:rPr>
        <w:t>, 135</w:t>
      </w:r>
      <w:r w:rsidR="00365FC8" w:rsidRPr="00B95D1E">
        <w:t> S. Ct</w:t>
      </w:r>
      <w:r w:rsidRPr="00B95D1E">
        <w:rPr>
          <w:rFonts w:ascii="Avenir Next" w:hAnsi="Avenir Next" w:cs="Arial"/>
          <w:sz w:val="22"/>
          <w:szCs w:val="22"/>
          <w:lang w:val="en-GB"/>
        </w:rPr>
        <w:t>.</w:t>
      </w:r>
      <w:r w:rsidR="00365FC8" w:rsidRPr="00B95D1E">
        <w:rPr>
          <w:rFonts w:ascii="Avenir Next" w:hAnsi="Avenir Next" w:cs="Arial"/>
          <w:sz w:val="22"/>
          <w:szCs w:val="22"/>
          <w:lang w:val="en-GB"/>
        </w:rPr>
        <w:t> 2165 (2014).</w:t>
      </w:r>
      <w:r w:rsidRPr="00B95D1E">
        <w:rPr>
          <w:rFonts w:ascii="Avenir Next" w:hAnsi="Avenir Next" w:cs="Arial"/>
          <w:sz w:val="22"/>
          <w:szCs w:val="22"/>
          <w:lang w:val="en-GB"/>
        </w:rPr>
        <w:t xml:space="preserve"> S</w:t>
      </w:r>
      <w:r>
        <w:rPr>
          <w:rFonts w:ascii="Avenir Next" w:hAnsi="Avenir Next" w:cs="Arial"/>
          <w:sz w:val="22"/>
          <w:szCs w:val="22"/>
          <w:lang w:val="en-GB"/>
        </w:rPr>
        <w:t xml:space="preserve">ince district courts have exclusive jurisdiction to adjudicate a petition commencing bankruptcy proceedings, a bankruptcy court may also exercise a district court’s delegated authority to enter a final order on a motion challenging the validity of a petition. </w:t>
      </w:r>
    </w:p>
    <w:p w14:paraId="7920CDAB" w14:textId="77777777" w:rsidR="00DC69EB" w:rsidRDefault="00DC69EB" w:rsidP="008D31F4">
      <w:pPr>
        <w:ind w:left="720"/>
        <w:jc w:val="both"/>
        <w:rPr>
          <w:rFonts w:ascii="Avenir Next" w:hAnsi="Avenir Next" w:cs="Arial"/>
          <w:sz w:val="22"/>
          <w:szCs w:val="22"/>
          <w:lang w:val="en-GB"/>
        </w:rPr>
      </w:pPr>
    </w:p>
    <w:p w14:paraId="420F2004" w14:textId="33D3EE24" w:rsidR="00DC69EB" w:rsidRDefault="00DC69EB" w:rsidP="008D31F4">
      <w:pPr>
        <w:ind w:left="720"/>
        <w:jc w:val="both"/>
        <w:rPr>
          <w:rFonts w:ascii="Avenir Next" w:hAnsi="Avenir Next" w:cs="Arial"/>
          <w:sz w:val="22"/>
          <w:szCs w:val="22"/>
          <w:lang w:val="en-GB"/>
        </w:rPr>
      </w:pPr>
      <w:r>
        <w:rPr>
          <w:rFonts w:ascii="Avenir Next" w:hAnsi="Avenir Next" w:cs="Arial"/>
          <w:sz w:val="22"/>
          <w:szCs w:val="22"/>
          <w:lang w:val="en-GB"/>
        </w:rPr>
        <w:t>For the purposes of appeals, final orders are those that dispose of all issues, leaving nothing else to be decided.</w:t>
      </w:r>
    </w:p>
    <w:p w14:paraId="6463A149" w14:textId="5D2F4EED" w:rsidR="00DC69EB" w:rsidRDefault="00DC69EB" w:rsidP="008D31F4">
      <w:pPr>
        <w:ind w:left="720"/>
        <w:jc w:val="both"/>
        <w:rPr>
          <w:rFonts w:ascii="Avenir Next" w:hAnsi="Avenir Next" w:cs="Arial"/>
          <w:sz w:val="22"/>
          <w:szCs w:val="22"/>
          <w:lang w:val="en-GB"/>
        </w:rPr>
      </w:pPr>
    </w:p>
    <w:p w14:paraId="7AF3B907" w14:textId="6A80C031" w:rsidR="00DC69EB" w:rsidRDefault="00DC69EB" w:rsidP="008D31F4">
      <w:pPr>
        <w:ind w:left="720"/>
        <w:jc w:val="both"/>
        <w:rPr>
          <w:rFonts w:ascii="Avenir Next" w:hAnsi="Avenir Next" w:cs="Arial"/>
          <w:sz w:val="22"/>
          <w:szCs w:val="22"/>
          <w:lang w:val="en-GB"/>
        </w:rPr>
      </w:pPr>
      <w:r>
        <w:rPr>
          <w:rFonts w:ascii="Avenir Next" w:hAnsi="Avenir Next" w:cs="Arial"/>
          <w:b/>
          <w:bCs/>
          <w:sz w:val="22"/>
          <w:szCs w:val="22"/>
          <w:u w:val="single"/>
          <w:lang w:val="en-GB"/>
        </w:rPr>
        <w:t>Who reviews appeals from bankruptcy court orders</w:t>
      </w:r>
    </w:p>
    <w:p w14:paraId="685A1561" w14:textId="663F1ACC" w:rsidR="00DC69EB" w:rsidRDefault="003A35AF" w:rsidP="008D31F4">
      <w:pPr>
        <w:ind w:left="720"/>
        <w:jc w:val="both"/>
        <w:rPr>
          <w:rFonts w:ascii="Avenir Next" w:hAnsi="Avenir Next" w:cs="Arial"/>
          <w:sz w:val="22"/>
          <w:szCs w:val="22"/>
          <w:lang w:val="en-GB"/>
        </w:rPr>
      </w:pPr>
      <w:r>
        <w:rPr>
          <w:rFonts w:ascii="Avenir Next" w:hAnsi="Avenir Next" w:cs="Arial"/>
          <w:sz w:val="22"/>
          <w:szCs w:val="22"/>
          <w:lang w:val="en-GB"/>
        </w:rPr>
        <w:t xml:space="preserve">Appeals from bankruptcy court orders are generally heard by the district court for the district in which the bankruptcy court sits. In certain circuits, bankruptcy appeals may instead be heard by a Bankruptcy Appellate Panel (“BAP”), which is constituted from judges of the bankruptcy courts within the circuit. </w:t>
      </w:r>
    </w:p>
    <w:p w14:paraId="1DF3F0E8" w14:textId="326DC43B" w:rsidR="003A35AF" w:rsidRDefault="003A35AF" w:rsidP="008D31F4">
      <w:pPr>
        <w:ind w:left="720"/>
        <w:jc w:val="both"/>
        <w:rPr>
          <w:rFonts w:ascii="Avenir Next" w:hAnsi="Avenir Next" w:cs="Arial"/>
          <w:sz w:val="22"/>
          <w:szCs w:val="22"/>
          <w:lang w:val="en-GB"/>
        </w:rPr>
      </w:pPr>
    </w:p>
    <w:p w14:paraId="380DDE01" w14:textId="2DED6A7D" w:rsidR="003A35AF" w:rsidRDefault="003A35AF" w:rsidP="008D31F4">
      <w:pPr>
        <w:ind w:left="720"/>
        <w:jc w:val="both"/>
        <w:rPr>
          <w:rFonts w:ascii="Avenir Next" w:hAnsi="Avenir Next" w:cs="Arial"/>
          <w:sz w:val="22"/>
          <w:szCs w:val="22"/>
          <w:lang w:val="en-GB"/>
        </w:rPr>
      </w:pPr>
      <w:r>
        <w:rPr>
          <w:rFonts w:ascii="Avenir Next" w:hAnsi="Avenir Next" w:cs="Arial"/>
          <w:sz w:val="22"/>
          <w:szCs w:val="22"/>
          <w:lang w:val="en-GB"/>
        </w:rPr>
        <w:t xml:space="preserve">From the district court or BAP, a party may further appeal to the circuit court of appeals. Occasionally, an appeal may go directly to the circuit court of appeals if the bankruptcy court or district court certifies that (a) the appeal raises a question of law </w:t>
      </w:r>
      <w:r w:rsidR="00AB48C5">
        <w:rPr>
          <w:rFonts w:ascii="Avenir Next" w:hAnsi="Avenir Next" w:cs="Arial"/>
          <w:sz w:val="22"/>
          <w:szCs w:val="22"/>
          <w:lang w:val="en-GB"/>
        </w:rPr>
        <w:t xml:space="preserve">for which there is no controlling decision of the circuit or the US Supreme </w:t>
      </w:r>
      <w:proofErr w:type="gramStart"/>
      <w:r w:rsidR="00AB48C5">
        <w:rPr>
          <w:rFonts w:ascii="Avenir Next" w:hAnsi="Avenir Next" w:cs="Arial"/>
          <w:sz w:val="22"/>
          <w:szCs w:val="22"/>
          <w:lang w:val="en-GB"/>
        </w:rPr>
        <w:t>Court, or</w:t>
      </w:r>
      <w:proofErr w:type="gramEnd"/>
      <w:r w:rsidR="00AB48C5">
        <w:rPr>
          <w:rFonts w:ascii="Avenir Next" w:hAnsi="Avenir Next" w:cs="Arial"/>
          <w:sz w:val="22"/>
          <w:szCs w:val="22"/>
          <w:lang w:val="en-GB"/>
        </w:rPr>
        <w:t xml:space="preserve"> requires resolving two conflicting controlling decisions; or (b) immediate appeal may materially advance the progress of the case.</w:t>
      </w:r>
    </w:p>
    <w:p w14:paraId="081B07E5" w14:textId="100A7E70" w:rsidR="008D31F4" w:rsidRDefault="008D31F4" w:rsidP="008D31F4">
      <w:pPr>
        <w:ind w:left="720"/>
        <w:jc w:val="both"/>
        <w:rPr>
          <w:rFonts w:ascii="Avenir Next" w:hAnsi="Avenir Next" w:cs="Arial"/>
          <w:sz w:val="22"/>
          <w:szCs w:val="22"/>
          <w:lang w:val="en-GB"/>
        </w:rPr>
      </w:pPr>
    </w:p>
    <w:p w14:paraId="7DA14289" w14:textId="5D27A8E0" w:rsidR="008D31F4" w:rsidRDefault="008D31F4" w:rsidP="008D31F4">
      <w:pPr>
        <w:ind w:left="720"/>
        <w:jc w:val="both"/>
        <w:rPr>
          <w:rFonts w:ascii="Avenir Next" w:hAnsi="Avenir Next" w:cs="Arial"/>
          <w:sz w:val="22"/>
          <w:szCs w:val="22"/>
          <w:lang w:val="en-GB"/>
        </w:rPr>
      </w:pPr>
      <w:r>
        <w:rPr>
          <w:rFonts w:ascii="Avenir Next" w:hAnsi="Avenir Next" w:cs="Arial"/>
          <w:b/>
          <w:bCs/>
          <w:sz w:val="22"/>
          <w:szCs w:val="22"/>
          <w:u w:val="single"/>
          <w:lang w:val="en-GB"/>
        </w:rPr>
        <w:t>How are non-final orders reviewed</w:t>
      </w:r>
    </w:p>
    <w:p w14:paraId="55867214" w14:textId="6833112D" w:rsidR="008D31F4" w:rsidRDefault="008D31F4" w:rsidP="008D31F4">
      <w:pPr>
        <w:ind w:left="720"/>
        <w:jc w:val="both"/>
        <w:rPr>
          <w:rFonts w:ascii="Avenir Next" w:hAnsi="Avenir Next" w:cs="Arial"/>
          <w:sz w:val="22"/>
          <w:szCs w:val="22"/>
          <w:lang w:val="en-GB"/>
        </w:rPr>
      </w:pPr>
      <w:r>
        <w:rPr>
          <w:rFonts w:ascii="Avenir Next" w:hAnsi="Avenir Next" w:cs="Arial"/>
          <w:sz w:val="22"/>
          <w:szCs w:val="22"/>
          <w:lang w:val="en-GB"/>
        </w:rPr>
        <w:t>Where a bankruptcy court is unable to enter a final order due to lack of constitutional authority, the bankruptcy court submits proposed findings of fact and conclusions of law to the district court. The parties may object to these proposed findings, and the district court will make the final decision.</w:t>
      </w:r>
    </w:p>
    <w:p w14:paraId="0A26CD36" w14:textId="0D9B3D47" w:rsidR="008D31F4" w:rsidRDefault="008D31F4" w:rsidP="008D31F4">
      <w:pPr>
        <w:ind w:left="720"/>
        <w:jc w:val="both"/>
        <w:rPr>
          <w:rFonts w:ascii="Avenir Next" w:hAnsi="Avenir Next" w:cs="Arial"/>
          <w:sz w:val="22"/>
          <w:szCs w:val="22"/>
          <w:lang w:val="en-GB"/>
        </w:rPr>
      </w:pPr>
    </w:p>
    <w:p w14:paraId="37B4DE3A" w14:textId="049576A7" w:rsidR="00E01803" w:rsidRDefault="008D31F4" w:rsidP="008D31F4">
      <w:pPr>
        <w:ind w:left="720"/>
        <w:jc w:val="both"/>
        <w:rPr>
          <w:rFonts w:ascii="Avenir Next" w:hAnsi="Avenir Next"/>
        </w:rPr>
      </w:pPr>
      <w:r>
        <w:rPr>
          <w:rFonts w:ascii="Avenir Next" w:hAnsi="Avenir Next" w:cs="Arial"/>
          <w:sz w:val="22"/>
          <w:szCs w:val="22"/>
          <w:lang w:val="en-GB"/>
        </w:rPr>
        <w:t>Where the bankruptcy court makes interlocutory orders (</w:t>
      </w:r>
      <w:r>
        <w:rPr>
          <w:rFonts w:ascii="Avenir Next" w:hAnsi="Avenir Next" w:cs="Arial"/>
          <w:i/>
          <w:iCs/>
          <w:sz w:val="22"/>
          <w:szCs w:val="22"/>
          <w:lang w:val="en-GB"/>
        </w:rPr>
        <w:t>ie</w:t>
      </w:r>
      <w:r>
        <w:rPr>
          <w:rFonts w:ascii="Avenir Next" w:hAnsi="Avenir Next" w:cs="Arial"/>
          <w:sz w:val="22"/>
          <w:szCs w:val="22"/>
          <w:lang w:val="en-GB"/>
        </w:rPr>
        <w:t xml:space="preserve">, orders that are not final in the sense that they do not dispose of all issues to be decided), the order may only be appealed with leave of the appellate court. </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5C468505" w:rsidR="00F84270" w:rsidRDefault="00F84270" w:rsidP="000778B1">
      <w:pPr>
        <w:pStyle w:val="AODocTxt"/>
        <w:spacing w:before="0" w:line="240" w:lineRule="auto"/>
        <w:rPr>
          <w:rFonts w:ascii="Avenir Next" w:hAnsi="Avenir Next"/>
        </w:rPr>
      </w:pPr>
    </w:p>
    <w:p w14:paraId="08B094C1" w14:textId="231A4A2F" w:rsidR="00374808" w:rsidRDefault="00374808" w:rsidP="00374808">
      <w:pPr>
        <w:pStyle w:val="AODocTxt"/>
        <w:spacing w:before="0" w:line="240" w:lineRule="auto"/>
        <w:ind w:left="720"/>
        <w:rPr>
          <w:rFonts w:ascii="Avenir Next" w:hAnsi="Avenir Next"/>
        </w:rPr>
      </w:pPr>
      <w:r>
        <w:rPr>
          <w:rFonts w:ascii="Avenir Next" w:hAnsi="Avenir Next"/>
        </w:rPr>
        <w:t>Upon recognition of a foreign main proceeding, t</w:t>
      </w:r>
      <w:r w:rsidR="00CE0203">
        <w:rPr>
          <w:rFonts w:ascii="Avenir Next" w:hAnsi="Avenir Next"/>
        </w:rPr>
        <w:t>he provisions of the Bankruptcy Code that automatically apply are</w:t>
      </w:r>
      <w:r>
        <w:rPr>
          <w:rFonts w:ascii="Avenir Next" w:hAnsi="Avenir Next"/>
        </w:rPr>
        <w:t>:</w:t>
      </w:r>
    </w:p>
    <w:p w14:paraId="10309306" w14:textId="32850D78" w:rsidR="00374808" w:rsidRDefault="00374808" w:rsidP="00374808">
      <w:pPr>
        <w:pStyle w:val="AODocTxt"/>
        <w:numPr>
          <w:ilvl w:val="0"/>
          <w:numId w:val="34"/>
        </w:numPr>
        <w:spacing w:before="0" w:line="240" w:lineRule="auto"/>
        <w:rPr>
          <w:rFonts w:ascii="Avenir Next" w:hAnsi="Avenir Next"/>
        </w:rPr>
      </w:pPr>
      <w:r>
        <w:rPr>
          <w:rFonts w:ascii="Avenir Next" w:hAnsi="Avenir Next"/>
        </w:rPr>
        <w:t>an automatic stay</w:t>
      </w:r>
      <w:r w:rsidR="00CE0203">
        <w:rPr>
          <w:rFonts w:ascii="Avenir Next" w:hAnsi="Avenir Next"/>
        </w:rPr>
        <w:t xml:space="preserve"> </w:t>
      </w:r>
      <w:r>
        <w:rPr>
          <w:rFonts w:ascii="Avenir Next" w:hAnsi="Avenir Next"/>
        </w:rPr>
        <w:t>on actions that interfere with the debtor’s property within the territorial jurisdiction of the US (11 USC §1520(a)(1)</w:t>
      </w:r>
      <w:proofErr w:type="gramStart"/>
      <w:r>
        <w:rPr>
          <w:rFonts w:ascii="Avenir Next" w:hAnsi="Avenir Next"/>
        </w:rPr>
        <w:t>);</w:t>
      </w:r>
      <w:proofErr w:type="gramEnd"/>
      <w:r>
        <w:rPr>
          <w:rFonts w:ascii="Avenir Next" w:hAnsi="Avenir Next"/>
        </w:rPr>
        <w:t xml:space="preserve"> </w:t>
      </w:r>
    </w:p>
    <w:p w14:paraId="186A03D6" w14:textId="62F2C579" w:rsidR="00CE0203" w:rsidRDefault="00374808" w:rsidP="00374808">
      <w:pPr>
        <w:pStyle w:val="AODocTxt"/>
        <w:numPr>
          <w:ilvl w:val="0"/>
          <w:numId w:val="34"/>
        </w:numPr>
        <w:spacing w:before="0" w:line="240" w:lineRule="auto"/>
        <w:rPr>
          <w:rFonts w:ascii="Avenir Next" w:hAnsi="Avenir Next"/>
        </w:rPr>
      </w:pPr>
      <w:r>
        <w:rPr>
          <w:rFonts w:ascii="Avenir Next" w:hAnsi="Avenir Next"/>
        </w:rPr>
        <w:t>that the foreign representative may operate the debtor’s business in the ordinary course unless the court otherwise orders (11 USC §1520(a)(3)</w:t>
      </w:r>
      <w:proofErr w:type="gramStart"/>
      <w:r>
        <w:rPr>
          <w:rFonts w:ascii="Avenir Next" w:hAnsi="Avenir Next"/>
        </w:rPr>
        <w:t>);</w:t>
      </w:r>
      <w:proofErr w:type="gramEnd"/>
    </w:p>
    <w:p w14:paraId="168EAED1" w14:textId="13AF6638" w:rsidR="00374808" w:rsidRDefault="00374808" w:rsidP="00374808">
      <w:pPr>
        <w:pStyle w:val="AODocTxt"/>
        <w:numPr>
          <w:ilvl w:val="0"/>
          <w:numId w:val="34"/>
        </w:numPr>
        <w:spacing w:before="0" w:line="240" w:lineRule="auto"/>
        <w:rPr>
          <w:rFonts w:ascii="Avenir Next" w:hAnsi="Avenir Next"/>
        </w:rPr>
      </w:pPr>
      <w:r>
        <w:rPr>
          <w:rFonts w:ascii="Avenir Next" w:hAnsi="Avenir Next"/>
        </w:rPr>
        <w:lastRenderedPageBreak/>
        <w:t>that the foreign representative may sell, transfer or use the debtor’s property outside the ordinary course (11 USC §1520(a)(2) and §1520(a)(3)</w:t>
      </w:r>
      <w:proofErr w:type="gramStart"/>
      <w:r>
        <w:rPr>
          <w:rFonts w:ascii="Avenir Next" w:hAnsi="Avenir Next"/>
        </w:rPr>
        <w:t>);</w:t>
      </w:r>
      <w:proofErr w:type="gramEnd"/>
    </w:p>
    <w:p w14:paraId="4AF13674" w14:textId="7287F859" w:rsidR="00374808" w:rsidRDefault="00374808" w:rsidP="00374808">
      <w:pPr>
        <w:pStyle w:val="AODocTxt"/>
        <w:numPr>
          <w:ilvl w:val="0"/>
          <w:numId w:val="34"/>
        </w:numPr>
        <w:spacing w:before="0" w:line="240" w:lineRule="auto"/>
        <w:rPr>
          <w:rFonts w:ascii="Avenir Next" w:hAnsi="Avenir Next"/>
        </w:rPr>
      </w:pPr>
      <w:r>
        <w:rPr>
          <w:rFonts w:ascii="Avenir Next" w:hAnsi="Avenir Next"/>
        </w:rPr>
        <w:t>that post-petition transfers and post-petition perfection of security interests may be avoided (11 USC §1520(a)(2), §1520(a)(3) and §1520(a)(4)).</w:t>
      </w:r>
    </w:p>
    <w:p w14:paraId="654F623F" w14:textId="3178E4BA" w:rsidR="00374808" w:rsidRDefault="00374808" w:rsidP="00374808">
      <w:pPr>
        <w:pStyle w:val="AODocTxt"/>
        <w:spacing w:before="0" w:line="240" w:lineRule="auto"/>
        <w:rPr>
          <w:rFonts w:ascii="Avenir Next" w:hAnsi="Avenir Next"/>
        </w:rPr>
      </w:pPr>
    </w:p>
    <w:p w14:paraId="05EB853F" w14:textId="0EF386C2" w:rsidR="00374808" w:rsidRDefault="00374808" w:rsidP="00374808">
      <w:pPr>
        <w:pStyle w:val="AODocTxt"/>
        <w:spacing w:before="0" w:line="240" w:lineRule="auto"/>
        <w:ind w:left="720"/>
        <w:rPr>
          <w:rFonts w:ascii="Avenir Next" w:hAnsi="Avenir Next"/>
        </w:rPr>
      </w:pPr>
      <w:r>
        <w:rPr>
          <w:rFonts w:ascii="Avenir Next" w:hAnsi="Avenir Next"/>
        </w:rPr>
        <w:t>Any of the above reliefs may be granted on a discretionary basis in a foreign non-main proceeding. In both foreign main and non-main proceedings, additional discretionary relief</w:t>
      </w:r>
      <w:r w:rsidR="00E027DE">
        <w:rPr>
          <w:rFonts w:ascii="Avenir Next" w:hAnsi="Avenir Next"/>
        </w:rPr>
        <w:t>s</w:t>
      </w:r>
      <w:r>
        <w:rPr>
          <w:rFonts w:ascii="Avenir Next" w:hAnsi="Avenir Next"/>
        </w:rPr>
        <w:t xml:space="preserve"> that may be granted by the court </w:t>
      </w:r>
      <w:r w:rsidR="00E027DE">
        <w:rPr>
          <w:rFonts w:ascii="Avenir Next" w:hAnsi="Avenir Next"/>
        </w:rPr>
        <w:t>are</w:t>
      </w:r>
      <w:r w:rsidR="00306995">
        <w:rPr>
          <w:rFonts w:ascii="Avenir Next" w:hAnsi="Avenir Next"/>
        </w:rPr>
        <w:t xml:space="preserve"> (11 USC §1521))</w:t>
      </w:r>
      <w:r w:rsidR="00E027DE">
        <w:rPr>
          <w:rFonts w:ascii="Avenir Next" w:hAnsi="Avenir Next"/>
        </w:rPr>
        <w:t>:</w:t>
      </w:r>
    </w:p>
    <w:p w14:paraId="5616733B" w14:textId="398FFA45" w:rsidR="00E027DE" w:rsidRDefault="00E027DE" w:rsidP="00E027DE">
      <w:pPr>
        <w:pStyle w:val="AODocTxt"/>
        <w:numPr>
          <w:ilvl w:val="0"/>
          <w:numId w:val="35"/>
        </w:numPr>
        <w:spacing w:before="0" w:line="240" w:lineRule="auto"/>
        <w:rPr>
          <w:rFonts w:ascii="Avenir Next" w:hAnsi="Avenir Next"/>
        </w:rPr>
      </w:pPr>
      <w:r>
        <w:rPr>
          <w:rFonts w:ascii="Avenir Next" w:hAnsi="Avenir Next"/>
        </w:rPr>
        <w:t xml:space="preserve">authorization of discovery regarding the debtor’s assets and </w:t>
      </w:r>
      <w:proofErr w:type="gramStart"/>
      <w:r>
        <w:rPr>
          <w:rFonts w:ascii="Avenir Next" w:hAnsi="Avenir Next"/>
        </w:rPr>
        <w:t>affairs;</w:t>
      </w:r>
      <w:proofErr w:type="gramEnd"/>
    </w:p>
    <w:p w14:paraId="6380F51E" w14:textId="403138FA" w:rsidR="00E027DE" w:rsidRDefault="00E027DE" w:rsidP="00E027DE">
      <w:pPr>
        <w:pStyle w:val="AODocTxt"/>
        <w:numPr>
          <w:ilvl w:val="0"/>
          <w:numId w:val="35"/>
        </w:numPr>
        <w:spacing w:before="0" w:line="240" w:lineRule="auto"/>
        <w:rPr>
          <w:rFonts w:ascii="Avenir Next" w:hAnsi="Avenir Next"/>
        </w:rPr>
      </w:pPr>
      <w:r>
        <w:rPr>
          <w:rFonts w:ascii="Avenir Next" w:hAnsi="Avenir Next"/>
        </w:rPr>
        <w:t xml:space="preserve">entrusting administration of the debtor’s US assets to the foreign representative or other </w:t>
      </w:r>
      <w:proofErr w:type="gramStart"/>
      <w:r>
        <w:rPr>
          <w:rFonts w:ascii="Avenir Next" w:hAnsi="Avenir Next"/>
        </w:rPr>
        <w:t>person;</w:t>
      </w:r>
      <w:proofErr w:type="gramEnd"/>
    </w:p>
    <w:p w14:paraId="3B639FF8" w14:textId="7842BD0C" w:rsidR="00E027DE" w:rsidRDefault="00E027DE" w:rsidP="00E027DE">
      <w:pPr>
        <w:pStyle w:val="AODocTxt"/>
        <w:numPr>
          <w:ilvl w:val="0"/>
          <w:numId w:val="35"/>
        </w:numPr>
        <w:spacing w:before="0" w:line="240" w:lineRule="auto"/>
        <w:rPr>
          <w:rFonts w:ascii="Avenir Next" w:hAnsi="Avenir Next"/>
        </w:rPr>
      </w:pPr>
      <w:r>
        <w:rPr>
          <w:rFonts w:ascii="Avenir Next" w:hAnsi="Avenir Next"/>
        </w:rPr>
        <w:t>extension of provisional relief; and</w:t>
      </w:r>
    </w:p>
    <w:p w14:paraId="335B6754" w14:textId="77B664AA" w:rsidR="00E027DE" w:rsidRPr="00E01803" w:rsidRDefault="00E027DE" w:rsidP="00E027DE">
      <w:pPr>
        <w:pStyle w:val="AODocTxt"/>
        <w:numPr>
          <w:ilvl w:val="0"/>
          <w:numId w:val="35"/>
        </w:numPr>
        <w:spacing w:before="0" w:line="240" w:lineRule="auto"/>
        <w:rPr>
          <w:rFonts w:ascii="Avenir Next" w:hAnsi="Avenir Next"/>
        </w:rPr>
      </w:pPr>
      <w:r>
        <w:rPr>
          <w:rFonts w:ascii="Avenir Next" w:hAnsi="Avenir Next"/>
        </w:rPr>
        <w:t>any other relief necessary to effectuate the purposes of Chapter 15 and to protect the assets of the debtor or the interests of creditors.</w:t>
      </w:r>
    </w:p>
    <w:p w14:paraId="324D5870" w14:textId="77777777" w:rsidR="00CE0203" w:rsidRDefault="00CE0203" w:rsidP="00E41578">
      <w:pPr>
        <w:jc w:val="both"/>
        <w:rPr>
          <w:rFonts w:ascii="Avenir Next" w:hAnsi="Avenir Next" w:cs="Arial"/>
          <w:color w:val="7B7B7B" w:themeColor="accent3" w:themeShade="BF"/>
          <w:sz w:val="22"/>
          <w:szCs w:val="22"/>
          <w:highlight w:val="yellow"/>
          <w:lang w:val="en-GB"/>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061F02C6" w14:textId="0675075E" w:rsidR="004A462C" w:rsidRDefault="004A462C" w:rsidP="004A462C">
      <w:pPr>
        <w:pStyle w:val="AODocTxt"/>
        <w:spacing w:before="0" w:line="240" w:lineRule="auto"/>
        <w:ind w:left="720"/>
        <w:rPr>
          <w:rFonts w:ascii="Avenir Next" w:hAnsi="Avenir Next"/>
        </w:rPr>
      </w:pPr>
      <w:r>
        <w:rPr>
          <w:rFonts w:ascii="Avenir Next" w:hAnsi="Avenir Next"/>
        </w:rPr>
        <w:t xml:space="preserve">Directors owe a fiduciary duty of loyalty to the corporation’s best interest and a duty of care in educated decision-making. These duties are owed to the corporation and its shareholders (and not to creditors), even if the corporation is potentially or </w:t>
      </w:r>
      <w:proofErr w:type="gramStart"/>
      <w:r>
        <w:rPr>
          <w:rFonts w:ascii="Avenir Next" w:hAnsi="Avenir Next"/>
        </w:rPr>
        <w:t>actually insolvent</w:t>
      </w:r>
      <w:proofErr w:type="gramEnd"/>
      <w:r>
        <w:rPr>
          <w:rFonts w:ascii="Avenir Next" w:hAnsi="Avenir Next"/>
        </w:rPr>
        <w:t>.</w:t>
      </w:r>
    </w:p>
    <w:p w14:paraId="52A859F1" w14:textId="1F8F669E" w:rsidR="004A462C" w:rsidRDefault="004A462C" w:rsidP="004A462C">
      <w:pPr>
        <w:pStyle w:val="AODocTxt"/>
        <w:spacing w:before="0" w:line="240" w:lineRule="auto"/>
        <w:ind w:left="720"/>
        <w:rPr>
          <w:rFonts w:ascii="Avenir Next" w:hAnsi="Avenir Next"/>
        </w:rPr>
      </w:pPr>
    </w:p>
    <w:p w14:paraId="5B607CBC" w14:textId="666832DD" w:rsidR="004A462C" w:rsidRDefault="004A462C" w:rsidP="004A462C">
      <w:pPr>
        <w:pStyle w:val="AODocTxt"/>
        <w:spacing w:before="0" w:line="240" w:lineRule="auto"/>
        <w:ind w:left="720"/>
        <w:rPr>
          <w:rFonts w:ascii="Avenir Next" w:hAnsi="Avenir Next"/>
        </w:rPr>
      </w:pPr>
      <w:r>
        <w:rPr>
          <w:rFonts w:ascii="Avenir Next" w:hAnsi="Avenir Next"/>
        </w:rPr>
        <w:t xml:space="preserve">The business judgment rule protects directors from liability for errors of judgment. This rule provides that the board of directors is presumed to have acted in good faith </w:t>
      </w:r>
      <w:proofErr w:type="gramStart"/>
      <w:r>
        <w:rPr>
          <w:rFonts w:ascii="Avenir Next" w:hAnsi="Avenir Next"/>
        </w:rPr>
        <w:t>on the basis of</w:t>
      </w:r>
      <w:proofErr w:type="gramEnd"/>
      <w:r>
        <w:rPr>
          <w:rFonts w:ascii="Avenir Next" w:hAnsi="Avenir Next"/>
        </w:rPr>
        <w:t xml:space="preserve"> reasonable information. The presumption can be rebutted by showing that </w:t>
      </w:r>
      <w:proofErr w:type="gramStart"/>
      <w:r>
        <w:rPr>
          <w:rFonts w:ascii="Avenir Next" w:hAnsi="Avenir Next"/>
        </w:rPr>
        <w:t>the majority of</w:t>
      </w:r>
      <w:proofErr w:type="gramEnd"/>
      <w:r>
        <w:rPr>
          <w:rFonts w:ascii="Avenir Next" w:hAnsi="Avenir Next"/>
        </w:rPr>
        <w:t xml:space="preserve"> the board were not reasonably informed, did not honestly believe that their decision was in the corporation’s best interest, or were not acting in good faith. Unless the presumption is rebutted, directors will not be liable unless gross negligence is shown. </w:t>
      </w:r>
    </w:p>
    <w:p w14:paraId="46742F9C" w14:textId="72536004" w:rsidR="004A462C" w:rsidRDefault="004A462C" w:rsidP="004A462C">
      <w:pPr>
        <w:pStyle w:val="AODocTxt"/>
        <w:spacing w:before="0" w:line="240" w:lineRule="auto"/>
        <w:ind w:left="720"/>
        <w:rPr>
          <w:rFonts w:ascii="Avenir Next" w:hAnsi="Avenir Next"/>
        </w:rPr>
      </w:pPr>
    </w:p>
    <w:p w14:paraId="03976C52" w14:textId="6A529C5B" w:rsidR="004A462C" w:rsidRDefault="004A462C" w:rsidP="004A462C">
      <w:pPr>
        <w:pStyle w:val="AODocTxt"/>
        <w:spacing w:before="0" w:line="240" w:lineRule="auto"/>
        <w:ind w:left="720"/>
        <w:rPr>
          <w:rFonts w:ascii="Avenir Next" w:hAnsi="Avenir Next"/>
        </w:rPr>
      </w:pPr>
      <w:r>
        <w:rPr>
          <w:rFonts w:ascii="Avenir Next" w:hAnsi="Avenir Next"/>
        </w:rPr>
        <w:t>In relation to the duty of care to make educated decisions, directors may also be exculpated by a corporation’s certificate of incorporation. The business judgment rule does not apply where a transaction is approved by a board majority that is not disinterested and independent, or a controlling shareholder is on both sides of the transaction. In such a scenario, the transaction is void unless the entire fairness standard is met.</w:t>
      </w:r>
    </w:p>
    <w:p w14:paraId="3F639179" w14:textId="2844F5A5"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5797B60E" w14:textId="7B850ED3" w:rsidR="00CC05AD" w:rsidRDefault="00CC05AD" w:rsidP="00CC05AD">
      <w:pPr>
        <w:ind w:left="720"/>
        <w:jc w:val="both"/>
        <w:rPr>
          <w:rFonts w:ascii="Avenir Next" w:hAnsi="Avenir Next" w:cs="Arial"/>
          <w:sz w:val="22"/>
          <w:szCs w:val="22"/>
          <w:lang w:val="en-GB"/>
        </w:rPr>
      </w:pPr>
      <w:r w:rsidRPr="00CC05AD">
        <w:rPr>
          <w:rFonts w:ascii="Avenir Next" w:hAnsi="Avenir Next" w:cs="Arial"/>
          <w:sz w:val="22"/>
          <w:szCs w:val="22"/>
          <w:lang w:val="en-GB"/>
        </w:rPr>
        <w:t>First, the claim must be against a debtor who is not a farmer, family farmer or not-for-profit corporation</w:t>
      </w:r>
      <w:r w:rsidR="004D61A9">
        <w:rPr>
          <w:rFonts w:ascii="Avenir Next" w:hAnsi="Avenir Next" w:cs="Arial"/>
          <w:sz w:val="22"/>
          <w:szCs w:val="22"/>
          <w:lang w:val="en-GB"/>
        </w:rPr>
        <w:t xml:space="preserve">: 11 USC § 303(a). </w:t>
      </w:r>
    </w:p>
    <w:p w14:paraId="39E09BF1" w14:textId="77777777" w:rsidR="00CC05AD" w:rsidRDefault="00CC05AD" w:rsidP="00CC05AD">
      <w:pPr>
        <w:ind w:left="720"/>
        <w:jc w:val="both"/>
        <w:rPr>
          <w:rFonts w:ascii="Avenir Next" w:hAnsi="Avenir Next" w:cs="Arial"/>
          <w:sz w:val="22"/>
          <w:szCs w:val="22"/>
          <w:lang w:val="en-GB"/>
        </w:rPr>
      </w:pPr>
    </w:p>
    <w:p w14:paraId="30894E24" w14:textId="7964DF5D" w:rsidR="00F03051" w:rsidRDefault="00CC05AD" w:rsidP="00CC05AD">
      <w:pPr>
        <w:ind w:left="720"/>
        <w:jc w:val="both"/>
        <w:rPr>
          <w:rFonts w:ascii="Avenir Next" w:hAnsi="Avenir Next" w:cs="Arial"/>
          <w:sz w:val="22"/>
          <w:szCs w:val="22"/>
          <w:lang w:val="en-GB"/>
        </w:rPr>
      </w:pPr>
      <w:r w:rsidRPr="00CC05AD">
        <w:rPr>
          <w:rFonts w:ascii="Avenir Next" w:hAnsi="Avenir Next" w:cs="Arial"/>
          <w:sz w:val="22"/>
          <w:szCs w:val="22"/>
          <w:lang w:val="en-GB"/>
        </w:rPr>
        <w:t xml:space="preserve">Second, there must be </w:t>
      </w:r>
      <w:proofErr w:type="gramStart"/>
      <w:r w:rsidRPr="00CC05AD">
        <w:rPr>
          <w:rFonts w:ascii="Avenir Next" w:hAnsi="Avenir Next" w:cs="Arial"/>
          <w:sz w:val="22"/>
          <w:szCs w:val="22"/>
          <w:lang w:val="en-GB"/>
        </w:rPr>
        <w:t>a sufficient number of</w:t>
      </w:r>
      <w:proofErr w:type="gramEnd"/>
      <w:r w:rsidRPr="00CC05AD">
        <w:rPr>
          <w:rFonts w:ascii="Avenir Next" w:hAnsi="Avenir Next" w:cs="Arial"/>
          <w:sz w:val="22"/>
          <w:szCs w:val="22"/>
          <w:lang w:val="en-GB"/>
        </w:rPr>
        <w:t xml:space="preserve"> petitioning creditors – if the debtor has fewer than 12 non-insider creditors, only one petitioning creditor is required. If the debtor has 12 or more non-insider creditors, at least three qualifying creditors must join in the petition</w:t>
      </w:r>
      <w:r w:rsidR="004D61A9">
        <w:rPr>
          <w:rFonts w:ascii="Avenir Next" w:hAnsi="Avenir Next" w:cs="Arial"/>
          <w:sz w:val="22"/>
          <w:szCs w:val="22"/>
          <w:lang w:val="en-GB"/>
        </w:rPr>
        <w:t>: see 11 USC § 303(b)(1)–303(b)(2).</w:t>
      </w:r>
      <w:r w:rsidRPr="00CC05AD">
        <w:rPr>
          <w:rFonts w:ascii="Avenir Next" w:hAnsi="Avenir Next" w:cs="Arial"/>
          <w:sz w:val="22"/>
          <w:szCs w:val="22"/>
          <w:lang w:val="en-GB"/>
        </w:rPr>
        <w:t xml:space="preserve"> </w:t>
      </w:r>
    </w:p>
    <w:p w14:paraId="70CE9BE4" w14:textId="413F5FF5" w:rsidR="00CC05AD" w:rsidRDefault="00CC05AD" w:rsidP="00CC05AD">
      <w:pPr>
        <w:ind w:left="720"/>
        <w:jc w:val="both"/>
        <w:rPr>
          <w:rFonts w:ascii="Avenir Next" w:hAnsi="Avenir Next" w:cs="Arial"/>
          <w:sz w:val="22"/>
          <w:szCs w:val="22"/>
          <w:lang w:val="en-GB"/>
        </w:rPr>
      </w:pPr>
    </w:p>
    <w:p w14:paraId="375103A9" w14:textId="03C8B03A" w:rsidR="00CC05AD" w:rsidRDefault="00CC05AD" w:rsidP="00CC05AD">
      <w:pPr>
        <w:ind w:left="720"/>
        <w:jc w:val="both"/>
        <w:rPr>
          <w:rFonts w:ascii="Avenir Next" w:hAnsi="Avenir Next" w:cs="Arial"/>
          <w:sz w:val="22"/>
          <w:szCs w:val="22"/>
          <w:lang w:val="en-GB"/>
        </w:rPr>
      </w:pPr>
      <w:r>
        <w:rPr>
          <w:rFonts w:ascii="Avenir Next" w:hAnsi="Avenir Next" w:cs="Arial"/>
          <w:sz w:val="22"/>
          <w:szCs w:val="22"/>
          <w:lang w:val="en-GB"/>
        </w:rPr>
        <w:lastRenderedPageBreak/>
        <w:t xml:space="preserve">Third, the creditor must have a non-contingent claim against the debtor, </w:t>
      </w:r>
      <w:r>
        <w:rPr>
          <w:rFonts w:ascii="Avenir Next" w:hAnsi="Avenir Next" w:cs="Arial"/>
          <w:i/>
          <w:iCs/>
          <w:sz w:val="22"/>
          <w:szCs w:val="22"/>
          <w:lang w:val="en-GB"/>
        </w:rPr>
        <w:t>ie</w:t>
      </w:r>
      <w:r>
        <w:rPr>
          <w:rFonts w:ascii="Avenir Next" w:hAnsi="Avenir Next" w:cs="Arial"/>
          <w:sz w:val="22"/>
          <w:szCs w:val="22"/>
          <w:lang w:val="en-GB"/>
        </w:rPr>
        <w:t>, a claim that does not depend on the occurrence of a future event</w:t>
      </w:r>
      <w:r w:rsidR="004D61A9">
        <w:rPr>
          <w:rFonts w:ascii="Avenir Next" w:hAnsi="Avenir Next" w:cs="Arial"/>
          <w:sz w:val="22"/>
          <w:szCs w:val="22"/>
          <w:lang w:val="en-GB"/>
        </w:rPr>
        <w:t>: 11 USC § 303(b)(1).</w:t>
      </w:r>
      <w:r>
        <w:rPr>
          <w:rFonts w:ascii="Avenir Next" w:hAnsi="Avenir Next" w:cs="Arial"/>
          <w:sz w:val="22"/>
          <w:szCs w:val="22"/>
          <w:lang w:val="en-GB"/>
        </w:rPr>
        <w:t xml:space="preserve"> That said, a debt that is unmatured is not a contingent claim if all the requirements for liability have occurred. </w:t>
      </w:r>
    </w:p>
    <w:p w14:paraId="6E71A7C8" w14:textId="193E8F55" w:rsidR="00CC05AD" w:rsidRDefault="00CC05AD" w:rsidP="00CC05AD">
      <w:pPr>
        <w:ind w:left="720"/>
        <w:jc w:val="both"/>
        <w:rPr>
          <w:rFonts w:ascii="Avenir Next" w:hAnsi="Avenir Next" w:cs="Arial"/>
          <w:sz w:val="22"/>
          <w:szCs w:val="22"/>
          <w:lang w:val="en-GB"/>
        </w:rPr>
      </w:pPr>
    </w:p>
    <w:p w14:paraId="100D641B" w14:textId="3D467BB3" w:rsidR="00CC05AD" w:rsidRDefault="00CC05AD" w:rsidP="00CC05AD">
      <w:pPr>
        <w:ind w:left="720"/>
        <w:jc w:val="both"/>
        <w:rPr>
          <w:rFonts w:ascii="Avenir Next" w:hAnsi="Avenir Next" w:cs="Arial"/>
          <w:sz w:val="22"/>
          <w:szCs w:val="22"/>
          <w:lang w:val="en-GB"/>
        </w:rPr>
      </w:pPr>
      <w:r>
        <w:rPr>
          <w:rFonts w:ascii="Avenir Next" w:hAnsi="Avenir Next" w:cs="Arial"/>
          <w:sz w:val="22"/>
          <w:szCs w:val="22"/>
          <w:lang w:val="en-GB"/>
        </w:rPr>
        <w:t xml:space="preserve">Fourth, the claim must not be the subject of a </w:t>
      </w:r>
      <w:r>
        <w:rPr>
          <w:rFonts w:ascii="Avenir Next" w:hAnsi="Avenir Next" w:cs="Arial"/>
          <w:i/>
          <w:iCs/>
          <w:sz w:val="22"/>
          <w:szCs w:val="22"/>
          <w:lang w:val="en-GB"/>
        </w:rPr>
        <w:t xml:space="preserve">bona fide </w:t>
      </w:r>
      <w:r>
        <w:rPr>
          <w:rFonts w:ascii="Avenir Next" w:hAnsi="Avenir Next" w:cs="Arial"/>
          <w:sz w:val="22"/>
          <w:szCs w:val="22"/>
          <w:lang w:val="en-GB"/>
        </w:rPr>
        <w:t>dispute as to liability or amount</w:t>
      </w:r>
      <w:r w:rsidR="004D61A9">
        <w:rPr>
          <w:rFonts w:ascii="Avenir Next" w:hAnsi="Avenir Next" w:cs="Arial"/>
          <w:sz w:val="22"/>
          <w:szCs w:val="22"/>
          <w:lang w:val="en-GB"/>
        </w:rPr>
        <w:t>: 11 USC § 303(b)(1)</w:t>
      </w:r>
      <w:r>
        <w:rPr>
          <w:rFonts w:ascii="Avenir Next" w:hAnsi="Avenir Next" w:cs="Arial"/>
          <w:sz w:val="22"/>
          <w:szCs w:val="22"/>
          <w:lang w:val="en-GB"/>
        </w:rPr>
        <w:t xml:space="preserve">. A </w:t>
      </w:r>
      <w:r>
        <w:rPr>
          <w:rFonts w:ascii="Avenir Next" w:hAnsi="Avenir Next" w:cs="Arial"/>
          <w:i/>
          <w:iCs/>
          <w:sz w:val="22"/>
          <w:szCs w:val="22"/>
          <w:lang w:val="en-GB"/>
        </w:rPr>
        <w:t xml:space="preserve">bona fide </w:t>
      </w:r>
      <w:r>
        <w:rPr>
          <w:rFonts w:ascii="Avenir Next" w:hAnsi="Avenir Next" w:cs="Arial"/>
          <w:sz w:val="22"/>
          <w:szCs w:val="22"/>
          <w:lang w:val="en-GB"/>
        </w:rPr>
        <w:t>dispute exists if there is an objectively reasonable basis for a dispute as a matter of fact or law.</w:t>
      </w:r>
    </w:p>
    <w:p w14:paraId="6896BE78" w14:textId="7A15F19C" w:rsidR="00CC05AD" w:rsidRDefault="00CC05AD" w:rsidP="00CC05AD">
      <w:pPr>
        <w:ind w:left="720"/>
        <w:jc w:val="both"/>
        <w:rPr>
          <w:rFonts w:ascii="Avenir Next" w:hAnsi="Avenir Next" w:cs="Arial"/>
          <w:sz w:val="22"/>
          <w:szCs w:val="22"/>
          <w:lang w:val="en-GB"/>
        </w:rPr>
      </w:pPr>
    </w:p>
    <w:p w14:paraId="36E2DCB7" w14:textId="31A9ECD6" w:rsidR="00CC05AD" w:rsidRDefault="00CC05AD" w:rsidP="00CC05AD">
      <w:pPr>
        <w:ind w:left="720"/>
        <w:jc w:val="both"/>
        <w:rPr>
          <w:rFonts w:ascii="Avenir Next" w:hAnsi="Avenir Next" w:cs="Arial"/>
          <w:sz w:val="22"/>
          <w:szCs w:val="22"/>
          <w:lang w:val="en-GB"/>
        </w:rPr>
      </w:pPr>
      <w:r>
        <w:rPr>
          <w:rFonts w:ascii="Avenir Next" w:hAnsi="Avenir Next" w:cs="Arial"/>
          <w:sz w:val="22"/>
          <w:szCs w:val="22"/>
          <w:lang w:val="en-GB"/>
        </w:rPr>
        <w:t xml:space="preserve">Fifth, the claim must be unsecured or </w:t>
      </w:r>
      <w:proofErr w:type="spellStart"/>
      <w:r>
        <w:rPr>
          <w:rFonts w:ascii="Avenir Next" w:hAnsi="Avenir Next" w:cs="Arial"/>
          <w:sz w:val="22"/>
          <w:szCs w:val="22"/>
          <w:lang w:val="en-GB"/>
        </w:rPr>
        <w:t>undersecured</w:t>
      </w:r>
      <w:proofErr w:type="spellEnd"/>
      <w:r>
        <w:rPr>
          <w:rFonts w:ascii="Avenir Next" w:hAnsi="Avenir Next" w:cs="Arial"/>
          <w:sz w:val="22"/>
          <w:szCs w:val="22"/>
          <w:lang w:val="en-GB"/>
        </w:rPr>
        <w:t xml:space="preserve">, or in the aggregate with all other petitioning creditors’ claims, in the amount of at least USD </w:t>
      </w:r>
      <w:r w:rsidR="004D61A9">
        <w:rPr>
          <w:rFonts w:ascii="Avenir Next" w:hAnsi="Avenir Next" w:cs="Arial"/>
          <w:sz w:val="22"/>
          <w:szCs w:val="22"/>
          <w:lang w:val="en-GB"/>
        </w:rPr>
        <w:t>18,600 (with effect from 1 April 2022): 11 USC § 303(b)(1)–303(b)(2)</w:t>
      </w:r>
      <w:r w:rsidR="00D47BFA">
        <w:rPr>
          <w:rFonts w:ascii="Avenir Next" w:hAnsi="Avenir Next" w:cs="Arial"/>
          <w:sz w:val="22"/>
          <w:szCs w:val="22"/>
          <w:lang w:val="en-GB"/>
        </w:rPr>
        <w:t xml:space="preserve"> read with “Notice of Adjustment of Certain Dollar Amounts in the Bankruptcy Code” dated 4 February 2022.</w:t>
      </w:r>
      <w:r w:rsidR="00D47BFA">
        <w:rPr>
          <w:rStyle w:val="FootnoteReference"/>
          <w:rFonts w:ascii="Avenir Next" w:hAnsi="Avenir Next" w:cs="Arial"/>
          <w:sz w:val="22"/>
          <w:szCs w:val="22"/>
          <w:lang w:val="en-GB"/>
        </w:rPr>
        <w:footnoteReference w:id="1"/>
      </w:r>
    </w:p>
    <w:p w14:paraId="5666E120" w14:textId="43D772B9" w:rsidR="00CC05AD" w:rsidRDefault="00CC05AD" w:rsidP="00CC05AD">
      <w:pPr>
        <w:ind w:left="720"/>
        <w:jc w:val="both"/>
        <w:rPr>
          <w:rFonts w:ascii="Avenir Next" w:hAnsi="Avenir Next" w:cs="Arial"/>
          <w:sz w:val="22"/>
          <w:szCs w:val="22"/>
          <w:lang w:val="en-GB"/>
        </w:rPr>
      </w:pPr>
    </w:p>
    <w:p w14:paraId="3B5904D7" w14:textId="03AF2785" w:rsidR="00CC05AD" w:rsidRPr="00CC05AD" w:rsidRDefault="00CC05AD" w:rsidP="00CC05AD">
      <w:pPr>
        <w:ind w:left="720"/>
        <w:jc w:val="both"/>
        <w:rPr>
          <w:rFonts w:ascii="Avenir Next" w:hAnsi="Avenir Next" w:cs="Arial"/>
          <w:sz w:val="22"/>
          <w:szCs w:val="22"/>
          <w:lang w:val="en-GB"/>
        </w:rPr>
      </w:pPr>
      <w:r>
        <w:rPr>
          <w:rFonts w:ascii="Avenir Next" w:hAnsi="Avenir Next" w:cs="Arial"/>
          <w:sz w:val="22"/>
          <w:szCs w:val="22"/>
          <w:lang w:val="en-GB"/>
        </w:rPr>
        <w:t xml:space="preserve">The petitioning creditor(s) must allege that the debtor is either (a) generally not paying its debts as they become due, unless they are the subject of a </w:t>
      </w:r>
      <w:r>
        <w:rPr>
          <w:rFonts w:ascii="Avenir Next" w:hAnsi="Avenir Next" w:cs="Arial"/>
          <w:i/>
          <w:iCs/>
          <w:sz w:val="22"/>
          <w:szCs w:val="22"/>
          <w:lang w:val="en-GB"/>
        </w:rPr>
        <w:t xml:space="preserve">bona fide </w:t>
      </w:r>
      <w:r>
        <w:rPr>
          <w:rFonts w:ascii="Avenir Next" w:hAnsi="Avenir Next" w:cs="Arial"/>
          <w:sz w:val="22"/>
          <w:szCs w:val="22"/>
          <w:lang w:val="en-GB"/>
        </w:rPr>
        <w:t>dispute as to liability or quantum; or (b) that within 120 days before the filing of the petition, a custodian, other than a trustee, receiver, or an agent appointed or authorised to take charge of less than substantially all of the property of the debtor for the purpose of enforcing a lien against such property, was appointed or took possession.</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2F766EF3" w14:textId="73C0EC9A" w:rsidR="003B2644" w:rsidRPr="003B2644" w:rsidRDefault="003B2644" w:rsidP="003B2644">
      <w:pPr>
        <w:ind w:left="720"/>
        <w:jc w:val="both"/>
        <w:rPr>
          <w:sz w:val="22"/>
          <w:szCs w:val="22"/>
        </w:rPr>
      </w:pPr>
      <w:r w:rsidRPr="003B2644">
        <w:rPr>
          <w:rFonts w:ascii="Avenir Next" w:hAnsi="Avenir Next" w:cs="Arial"/>
          <w:sz w:val="22"/>
          <w:szCs w:val="22"/>
          <w:lang w:val="en-GB"/>
        </w:rPr>
        <w:t>Generally, the filing of a Chapter 11 petition triggers an automatic worldwide stay on any action that interferes with the debtor’s estate: 11</w:t>
      </w:r>
      <w:r w:rsidRPr="003B2644">
        <w:rPr>
          <w:sz w:val="22"/>
          <w:szCs w:val="22"/>
        </w:rPr>
        <w:t xml:space="preserve"> USC §362(a). </w:t>
      </w:r>
    </w:p>
    <w:p w14:paraId="4B41CECC" w14:textId="36A755E1" w:rsidR="003B2644" w:rsidRPr="003B2644" w:rsidRDefault="003B2644" w:rsidP="003B2644">
      <w:pPr>
        <w:ind w:left="720"/>
        <w:jc w:val="both"/>
        <w:rPr>
          <w:sz w:val="22"/>
          <w:szCs w:val="22"/>
        </w:rPr>
      </w:pPr>
    </w:p>
    <w:p w14:paraId="4C96768C" w14:textId="688934EF" w:rsidR="003B2644" w:rsidRPr="00471088" w:rsidRDefault="003B2644" w:rsidP="003B2644">
      <w:pPr>
        <w:ind w:left="720"/>
        <w:jc w:val="both"/>
        <w:rPr>
          <w:sz w:val="22"/>
          <w:szCs w:val="22"/>
        </w:rPr>
      </w:pPr>
      <w:r w:rsidRPr="003B2644">
        <w:rPr>
          <w:sz w:val="22"/>
          <w:szCs w:val="22"/>
        </w:rPr>
        <w:t xml:space="preserve">However, pursuant to </w:t>
      </w:r>
      <w:r w:rsidRPr="003B2644">
        <w:rPr>
          <w:rFonts w:ascii="Avenir Next" w:hAnsi="Avenir Next" w:cs="Arial"/>
          <w:sz w:val="22"/>
          <w:szCs w:val="22"/>
          <w:lang w:val="en-GB"/>
        </w:rPr>
        <w:t>11</w:t>
      </w:r>
      <w:r w:rsidRPr="003B2644">
        <w:rPr>
          <w:sz w:val="22"/>
          <w:szCs w:val="22"/>
        </w:rPr>
        <w:t xml:space="preserve"> USC §362(b)(1), the commencement or continuation of a criminal action or proceeding against the debtor is exempt from this stay. The filing of a Chapter 11 petition against Speculation Inc </w:t>
      </w:r>
      <w:r>
        <w:rPr>
          <w:sz w:val="22"/>
          <w:szCs w:val="22"/>
        </w:rPr>
        <w:t>therefore would not prevent the DOJ from bringing criminal charges against Speculation Inc</w:t>
      </w:r>
      <w:r w:rsidRPr="00B95D1E">
        <w:rPr>
          <w:sz w:val="22"/>
          <w:szCs w:val="22"/>
        </w:rPr>
        <w:t>.</w:t>
      </w:r>
      <w:r w:rsidR="00471088" w:rsidRPr="00B95D1E">
        <w:rPr>
          <w:sz w:val="22"/>
          <w:szCs w:val="22"/>
        </w:rPr>
        <w:t xml:space="preserve"> The stay also only prohibits affirmative acts that change the status quo of the estate’s property: </w:t>
      </w:r>
      <w:r w:rsidR="00471088" w:rsidRPr="00B95D1E">
        <w:rPr>
          <w:i/>
          <w:iCs/>
          <w:sz w:val="22"/>
          <w:szCs w:val="22"/>
        </w:rPr>
        <w:t>City of Chicago v Fulton</w:t>
      </w:r>
      <w:r w:rsidR="00471088" w:rsidRPr="00B95D1E">
        <w:rPr>
          <w:sz w:val="22"/>
          <w:szCs w:val="22"/>
        </w:rPr>
        <w:t>, 529 US 140 (2021), thus the stay does not affect any property that may have been seized by the DOJ prior to the filing of the Chapter 11 petition.</w:t>
      </w:r>
      <w:r w:rsidR="00471088">
        <w:rPr>
          <w:sz w:val="22"/>
          <w:szCs w:val="22"/>
        </w:rPr>
        <w:t xml:space="preserve"> </w:t>
      </w:r>
    </w:p>
    <w:p w14:paraId="65D3F7D8" w14:textId="0FD81242" w:rsidR="0091686C" w:rsidRDefault="0091686C" w:rsidP="003B2644">
      <w:pPr>
        <w:ind w:left="720"/>
        <w:jc w:val="both"/>
        <w:rPr>
          <w:sz w:val="22"/>
          <w:szCs w:val="22"/>
        </w:rPr>
      </w:pPr>
    </w:p>
    <w:p w14:paraId="6F4119F5" w14:textId="0473C7B8" w:rsidR="0091686C" w:rsidRDefault="0091686C" w:rsidP="003B2644">
      <w:pPr>
        <w:ind w:left="720"/>
        <w:jc w:val="both"/>
        <w:rPr>
          <w:sz w:val="22"/>
          <w:szCs w:val="22"/>
        </w:rPr>
      </w:pPr>
      <w:proofErr w:type="gramStart"/>
      <w:r>
        <w:rPr>
          <w:sz w:val="22"/>
          <w:szCs w:val="22"/>
        </w:rPr>
        <w:lastRenderedPageBreak/>
        <w:t>With regard to</w:t>
      </w:r>
      <w:proofErr w:type="gramEnd"/>
      <w:r>
        <w:rPr>
          <w:sz w:val="22"/>
          <w:szCs w:val="22"/>
        </w:rPr>
        <w:t xml:space="preserve"> the margin loan default, the worldwide automatic stay also does not apply to an exercise by a stockbroker or financial institution of a contractual right under any security agreement or other credit enhancement </w:t>
      </w:r>
      <w:r w:rsidRPr="0091686C">
        <w:rPr>
          <w:sz w:val="22"/>
          <w:szCs w:val="22"/>
        </w:rPr>
        <w:t>forming a part of or related to any commodity contract, forward contract or securities contrac</w:t>
      </w:r>
      <w:r>
        <w:rPr>
          <w:sz w:val="22"/>
          <w:szCs w:val="22"/>
        </w:rPr>
        <w:t xml:space="preserve">t: </w:t>
      </w:r>
      <w:r w:rsidRPr="003B2644">
        <w:rPr>
          <w:rFonts w:ascii="Avenir Next" w:hAnsi="Avenir Next" w:cs="Arial"/>
          <w:sz w:val="22"/>
          <w:szCs w:val="22"/>
          <w:lang w:val="en-GB"/>
        </w:rPr>
        <w:t>11</w:t>
      </w:r>
      <w:r w:rsidRPr="003B2644">
        <w:rPr>
          <w:sz w:val="22"/>
          <w:szCs w:val="22"/>
        </w:rPr>
        <w:t> USC §362(b)(</w:t>
      </w:r>
      <w:r>
        <w:rPr>
          <w:sz w:val="22"/>
          <w:szCs w:val="22"/>
        </w:rPr>
        <w:t>6</w:t>
      </w:r>
      <w:r w:rsidRPr="003B2644">
        <w:rPr>
          <w:sz w:val="22"/>
          <w:szCs w:val="22"/>
        </w:rPr>
        <w:t>)</w:t>
      </w:r>
      <w:r>
        <w:rPr>
          <w:sz w:val="22"/>
          <w:szCs w:val="22"/>
        </w:rPr>
        <w:t xml:space="preserve">. The filing of a Chapter 11 petition therefore would not prevent Speculation Inc’s broker from seizing the shares that were pledged as collateral, </w:t>
      </w:r>
      <w:proofErr w:type="gramStart"/>
      <w:r>
        <w:rPr>
          <w:sz w:val="22"/>
          <w:szCs w:val="22"/>
        </w:rPr>
        <w:t>in order to</w:t>
      </w:r>
      <w:proofErr w:type="gramEnd"/>
      <w:r>
        <w:rPr>
          <w:sz w:val="22"/>
          <w:szCs w:val="22"/>
        </w:rPr>
        <w:t xml:space="preserve"> recoup the amount owed to it. Speculation Inc’s broker would also be entitled to exercise any other right(s) it has under the margin loan agreement.</w:t>
      </w:r>
    </w:p>
    <w:p w14:paraId="68C18C39" w14:textId="642D5141" w:rsidR="0091686C" w:rsidRDefault="0091686C" w:rsidP="003B2644">
      <w:pPr>
        <w:ind w:left="720"/>
        <w:jc w:val="both"/>
        <w:rPr>
          <w:sz w:val="22"/>
          <w:szCs w:val="22"/>
        </w:rPr>
      </w:pPr>
    </w:p>
    <w:p w14:paraId="39930FB1" w14:textId="2E6807B3" w:rsidR="0091686C" w:rsidRDefault="0091686C" w:rsidP="003B2644">
      <w:pPr>
        <w:ind w:left="720"/>
        <w:jc w:val="both"/>
        <w:rPr>
          <w:sz w:val="22"/>
          <w:szCs w:val="22"/>
        </w:rPr>
      </w:pPr>
      <w:r>
        <w:rPr>
          <w:sz w:val="22"/>
          <w:szCs w:val="22"/>
        </w:rPr>
        <w:t xml:space="preserve">As for the delinquent lease, </w:t>
      </w:r>
      <w:r w:rsidRPr="003B2644">
        <w:rPr>
          <w:rFonts w:ascii="Avenir Next" w:hAnsi="Avenir Next" w:cs="Arial"/>
          <w:sz w:val="22"/>
          <w:szCs w:val="22"/>
          <w:lang w:val="en-GB"/>
        </w:rPr>
        <w:t>11</w:t>
      </w:r>
      <w:r w:rsidRPr="003B2644">
        <w:rPr>
          <w:sz w:val="22"/>
          <w:szCs w:val="22"/>
        </w:rPr>
        <w:t> USC §362(b)(</w:t>
      </w:r>
      <w:r w:rsidR="004A148B">
        <w:rPr>
          <w:sz w:val="22"/>
          <w:szCs w:val="22"/>
        </w:rPr>
        <w:t>10</w:t>
      </w:r>
      <w:r w:rsidRPr="003B2644">
        <w:rPr>
          <w:sz w:val="22"/>
          <w:szCs w:val="22"/>
        </w:rPr>
        <w:t>)</w:t>
      </w:r>
      <w:r w:rsidR="004A148B">
        <w:rPr>
          <w:sz w:val="22"/>
          <w:szCs w:val="22"/>
        </w:rPr>
        <w:t xml:space="preserve"> provides that the stay does not extend to any act by a lessor to the debtor under a lease of nonresidential property that has terminated by the expiration of the stated term of the lease. While Speculation Inc has fallen behind on its rent, it appears that the lease of its office space has not yet expired. Thus, the filing of a Chapter 11 petition would prevent the landlord from taking any action to evict Speculation Inc from its office space.</w:t>
      </w:r>
    </w:p>
    <w:p w14:paraId="67FC19F8" w14:textId="4D7D24EC" w:rsidR="00753FC3" w:rsidRDefault="00753FC3" w:rsidP="003B2644">
      <w:pPr>
        <w:ind w:left="720"/>
        <w:jc w:val="both"/>
        <w:rPr>
          <w:sz w:val="22"/>
          <w:szCs w:val="22"/>
        </w:rPr>
      </w:pPr>
    </w:p>
    <w:p w14:paraId="54FE45CE" w14:textId="21852941" w:rsidR="00753FC3" w:rsidRDefault="00753FC3" w:rsidP="003B2644">
      <w:pPr>
        <w:ind w:left="720"/>
        <w:jc w:val="both"/>
        <w:rPr>
          <w:sz w:val="22"/>
          <w:szCs w:val="22"/>
        </w:rPr>
      </w:pPr>
      <w:r>
        <w:rPr>
          <w:sz w:val="22"/>
          <w:szCs w:val="22"/>
        </w:rPr>
        <w:t xml:space="preserve">That said, </w:t>
      </w:r>
      <w:r w:rsidR="00130048">
        <w:rPr>
          <w:sz w:val="22"/>
          <w:szCs w:val="22"/>
        </w:rPr>
        <w:t>p</w:t>
      </w:r>
      <w:r>
        <w:rPr>
          <w:sz w:val="22"/>
          <w:szCs w:val="22"/>
        </w:rPr>
        <w:t xml:space="preserve">ursuant to </w:t>
      </w:r>
      <w:r w:rsidRPr="003B2644">
        <w:rPr>
          <w:rFonts w:ascii="Avenir Next" w:hAnsi="Avenir Next" w:cs="Arial"/>
          <w:sz w:val="22"/>
          <w:szCs w:val="22"/>
          <w:lang w:val="en-GB"/>
        </w:rPr>
        <w:t>11</w:t>
      </w:r>
      <w:r w:rsidRPr="003B2644">
        <w:rPr>
          <w:sz w:val="22"/>
          <w:szCs w:val="22"/>
        </w:rPr>
        <w:t> USC §36</w:t>
      </w:r>
      <w:r>
        <w:rPr>
          <w:sz w:val="22"/>
          <w:szCs w:val="22"/>
        </w:rPr>
        <w:t xml:space="preserve">5(a) </w:t>
      </w:r>
      <w:r w:rsidR="00130048">
        <w:rPr>
          <w:sz w:val="22"/>
          <w:szCs w:val="22"/>
        </w:rPr>
        <w:t xml:space="preserve">and §365(d)(4)(A), the </w:t>
      </w:r>
      <w:r w:rsidR="002F0695">
        <w:rPr>
          <w:sz w:val="22"/>
          <w:szCs w:val="22"/>
        </w:rPr>
        <w:t>debtor in possession</w:t>
      </w:r>
      <w:r w:rsidR="00130048">
        <w:rPr>
          <w:sz w:val="22"/>
          <w:szCs w:val="22"/>
        </w:rPr>
        <w:t xml:space="preserve"> in a Chapter</w:t>
      </w:r>
      <w:r w:rsidR="002F0695">
        <w:rPr>
          <w:sz w:val="22"/>
          <w:szCs w:val="22"/>
        </w:rPr>
        <w:t> </w:t>
      </w:r>
      <w:r w:rsidR="00130048">
        <w:rPr>
          <w:sz w:val="22"/>
          <w:szCs w:val="22"/>
        </w:rPr>
        <w:t xml:space="preserve">11 bankruptcy must assume or reject the unexpired lease by the date that is 210 days after the date of the order for relief, or the date of entry of an order confirming a plan, whichever is earlier. Given that Speculation Inc has defaulted </w:t>
      </w:r>
      <w:r w:rsidR="002F0695">
        <w:rPr>
          <w:sz w:val="22"/>
          <w:szCs w:val="22"/>
        </w:rPr>
        <w:t>o</w:t>
      </w:r>
      <w:r w:rsidR="00130048">
        <w:rPr>
          <w:sz w:val="22"/>
          <w:szCs w:val="22"/>
        </w:rPr>
        <w:t xml:space="preserve">n paying its rent, </w:t>
      </w:r>
      <w:r w:rsidR="002F0695">
        <w:rPr>
          <w:sz w:val="22"/>
          <w:szCs w:val="22"/>
        </w:rPr>
        <w:t>it</w:t>
      </w:r>
      <w:r w:rsidR="00130048">
        <w:rPr>
          <w:sz w:val="22"/>
          <w:szCs w:val="22"/>
        </w:rPr>
        <w:t xml:space="preserve"> can only assume the unexpired lease if </w:t>
      </w:r>
      <w:r w:rsidR="002F0695">
        <w:rPr>
          <w:sz w:val="22"/>
          <w:szCs w:val="22"/>
        </w:rPr>
        <w:t>it</w:t>
      </w:r>
      <w:r w:rsidR="00130048">
        <w:rPr>
          <w:sz w:val="22"/>
          <w:szCs w:val="22"/>
        </w:rPr>
        <w:t xml:space="preserve"> (a) cures the default by performance </w:t>
      </w:r>
      <w:r w:rsidR="00130048" w:rsidRPr="00130048">
        <w:rPr>
          <w:sz w:val="22"/>
          <w:szCs w:val="22"/>
        </w:rPr>
        <w:t xml:space="preserve">at and after the time of assumption in accordance with </w:t>
      </w:r>
      <w:r w:rsidR="00130048">
        <w:rPr>
          <w:sz w:val="22"/>
          <w:szCs w:val="22"/>
        </w:rPr>
        <w:t>the unexpired</w:t>
      </w:r>
      <w:r w:rsidR="00130048" w:rsidRPr="00130048">
        <w:rPr>
          <w:sz w:val="22"/>
          <w:szCs w:val="22"/>
        </w:rPr>
        <w:t xml:space="preserve"> lease</w:t>
      </w:r>
      <w:r w:rsidR="00130048">
        <w:rPr>
          <w:sz w:val="22"/>
          <w:szCs w:val="22"/>
        </w:rPr>
        <w:t xml:space="preserve">; (b) compensates for pecuniary losses resulting from the default; and (c) </w:t>
      </w:r>
      <w:r w:rsidR="00130048" w:rsidRPr="00130048">
        <w:rPr>
          <w:sz w:val="22"/>
          <w:szCs w:val="22"/>
        </w:rPr>
        <w:t>provides adequate assurance of future performance</w:t>
      </w:r>
      <w:r w:rsidR="00130048">
        <w:rPr>
          <w:sz w:val="22"/>
          <w:szCs w:val="22"/>
        </w:rPr>
        <w:t xml:space="preserve"> under the lease: </w:t>
      </w:r>
      <w:r w:rsidR="00130048" w:rsidRPr="003B2644">
        <w:rPr>
          <w:rFonts w:ascii="Avenir Next" w:hAnsi="Avenir Next" w:cs="Arial"/>
          <w:sz w:val="22"/>
          <w:szCs w:val="22"/>
          <w:lang w:val="en-GB"/>
        </w:rPr>
        <w:t>11</w:t>
      </w:r>
      <w:r w:rsidR="00130048" w:rsidRPr="003B2644">
        <w:rPr>
          <w:sz w:val="22"/>
          <w:szCs w:val="22"/>
        </w:rPr>
        <w:t> USC §36</w:t>
      </w:r>
      <w:r w:rsidR="00130048">
        <w:rPr>
          <w:sz w:val="22"/>
          <w:szCs w:val="22"/>
        </w:rPr>
        <w:t>5(b)(1).</w:t>
      </w:r>
      <w:r w:rsidR="002F0695">
        <w:rPr>
          <w:sz w:val="22"/>
          <w:szCs w:val="22"/>
        </w:rPr>
        <w:t xml:space="preserve"> The election to assume or reject the lease must be based on the business judgment of the debtor in possession, that the reorganization of the debtor will be facilitated thereby.</w:t>
      </w:r>
    </w:p>
    <w:p w14:paraId="7C1C8455" w14:textId="6D0D9D13" w:rsidR="002F0695" w:rsidRDefault="002F0695" w:rsidP="003B2644">
      <w:pPr>
        <w:ind w:left="720"/>
        <w:jc w:val="both"/>
        <w:rPr>
          <w:sz w:val="22"/>
          <w:szCs w:val="22"/>
        </w:rPr>
      </w:pPr>
    </w:p>
    <w:p w14:paraId="3E4FC6D5" w14:textId="27A85E0A" w:rsidR="002F0695" w:rsidRDefault="002F0695" w:rsidP="003B2644">
      <w:pPr>
        <w:ind w:left="720"/>
        <w:jc w:val="both"/>
        <w:rPr>
          <w:sz w:val="22"/>
          <w:szCs w:val="22"/>
        </w:rPr>
      </w:pPr>
      <w:r>
        <w:rPr>
          <w:sz w:val="22"/>
          <w:szCs w:val="22"/>
        </w:rPr>
        <w:t xml:space="preserve">If Speculation Inc chooses to reject the lease, it will be deemed to have breached the lease immediately before the petition date and its landlord will have an unsecured claim in damages: </w:t>
      </w:r>
      <w:r w:rsidRPr="003B2644">
        <w:rPr>
          <w:rFonts w:ascii="Avenir Next" w:hAnsi="Avenir Next" w:cs="Arial"/>
          <w:sz w:val="22"/>
          <w:szCs w:val="22"/>
          <w:lang w:val="en-GB"/>
        </w:rPr>
        <w:t>11</w:t>
      </w:r>
      <w:r w:rsidRPr="003B2644">
        <w:rPr>
          <w:sz w:val="22"/>
          <w:szCs w:val="22"/>
        </w:rPr>
        <w:t> USC §36</w:t>
      </w:r>
      <w:r>
        <w:rPr>
          <w:sz w:val="22"/>
          <w:szCs w:val="22"/>
        </w:rPr>
        <w:t xml:space="preserve">5(g)(1). If Speculation Inc assumes the lease and then rejects it, its landlord’s claim for damages will be a post-petition administrative expense of the estate. Speculation Inc can also choose to assume the lease and assign it to a third party, but the landlord must be given adequate assurance of future performance: </w:t>
      </w:r>
      <w:r w:rsidRPr="003B2644">
        <w:rPr>
          <w:rFonts w:ascii="Avenir Next" w:hAnsi="Avenir Next" w:cs="Arial"/>
          <w:sz w:val="22"/>
          <w:szCs w:val="22"/>
          <w:lang w:val="en-GB"/>
        </w:rPr>
        <w:t>11</w:t>
      </w:r>
      <w:r w:rsidRPr="003B2644">
        <w:rPr>
          <w:sz w:val="22"/>
          <w:szCs w:val="22"/>
        </w:rPr>
        <w:t> USC §362(</w:t>
      </w:r>
      <w:r>
        <w:rPr>
          <w:sz w:val="22"/>
          <w:szCs w:val="22"/>
        </w:rPr>
        <w:t>f)(2).</w:t>
      </w:r>
    </w:p>
    <w:p w14:paraId="27463DB4" w14:textId="669024EB" w:rsidR="004A148B" w:rsidRDefault="004A148B" w:rsidP="003B2644">
      <w:pPr>
        <w:ind w:left="720"/>
        <w:jc w:val="both"/>
        <w:rPr>
          <w:sz w:val="22"/>
          <w:szCs w:val="22"/>
        </w:rPr>
      </w:pPr>
    </w:p>
    <w:p w14:paraId="62727648" w14:textId="127ABD0A" w:rsidR="004A148B" w:rsidRDefault="004A148B" w:rsidP="003B2644">
      <w:pPr>
        <w:ind w:left="720"/>
        <w:jc w:val="both"/>
        <w:rPr>
          <w:sz w:val="22"/>
          <w:szCs w:val="22"/>
        </w:rPr>
      </w:pPr>
      <w:r>
        <w:rPr>
          <w:sz w:val="22"/>
          <w:szCs w:val="22"/>
        </w:rPr>
        <w:t xml:space="preserve">As for the employment discrimination lawsuit, the stay would prevent the former employee from continuing the lawsuit against Speculation Inc, and from taking any act to collect, assess or recover her claim against Speculation Inc: </w:t>
      </w:r>
      <w:r w:rsidRPr="003B2644">
        <w:rPr>
          <w:rFonts w:ascii="Avenir Next" w:hAnsi="Avenir Next" w:cs="Arial"/>
          <w:sz w:val="22"/>
          <w:szCs w:val="22"/>
          <w:lang w:val="en-GB"/>
        </w:rPr>
        <w:t>11</w:t>
      </w:r>
      <w:r w:rsidRPr="003B2644">
        <w:rPr>
          <w:sz w:val="22"/>
          <w:szCs w:val="22"/>
        </w:rPr>
        <w:t> USC §362(</w:t>
      </w:r>
      <w:r>
        <w:rPr>
          <w:sz w:val="22"/>
          <w:szCs w:val="22"/>
        </w:rPr>
        <w:t>a</w:t>
      </w:r>
      <w:r w:rsidRPr="003B2644">
        <w:rPr>
          <w:sz w:val="22"/>
          <w:szCs w:val="22"/>
        </w:rPr>
        <w:t>)(</w:t>
      </w:r>
      <w:r>
        <w:rPr>
          <w:sz w:val="22"/>
          <w:szCs w:val="22"/>
        </w:rPr>
        <w:t>1</w:t>
      </w:r>
      <w:r w:rsidRPr="003B2644">
        <w:rPr>
          <w:sz w:val="22"/>
          <w:szCs w:val="22"/>
        </w:rPr>
        <w:t>)</w:t>
      </w:r>
      <w:r>
        <w:rPr>
          <w:sz w:val="22"/>
          <w:szCs w:val="22"/>
        </w:rPr>
        <w:t xml:space="preserve"> and </w:t>
      </w:r>
      <w:r w:rsidRPr="003B2644">
        <w:rPr>
          <w:sz w:val="22"/>
          <w:szCs w:val="22"/>
        </w:rPr>
        <w:t>§362(</w:t>
      </w:r>
      <w:r>
        <w:rPr>
          <w:sz w:val="22"/>
          <w:szCs w:val="22"/>
        </w:rPr>
        <w:t>a</w:t>
      </w:r>
      <w:r w:rsidRPr="003B2644">
        <w:rPr>
          <w:sz w:val="22"/>
          <w:szCs w:val="22"/>
        </w:rPr>
        <w:t>)(</w:t>
      </w:r>
      <w:r>
        <w:rPr>
          <w:sz w:val="22"/>
          <w:szCs w:val="22"/>
        </w:rPr>
        <w:t>6</w:t>
      </w:r>
      <w:r w:rsidRPr="003B2644">
        <w:rPr>
          <w:sz w:val="22"/>
          <w:szCs w:val="22"/>
        </w:rPr>
        <w:t>)</w:t>
      </w:r>
      <w:r>
        <w:rPr>
          <w:sz w:val="22"/>
          <w:szCs w:val="22"/>
        </w:rPr>
        <w:t>.</w:t>
      </w:r>
      <w:r w:rsidR="00753FC3">
        <w:rPr>
          <w:sz w:val="22"/>
          <w:szCs w:val="22"/>
        </w:rPr>
        <w:t xml:space="preserve"> </w:t>
      </w:r>
      <w:r>
        <w:rPr>
          <w:sz w:val="22"/>
          <w:szCs w:val="22"/>
        </w:rPr>
        <w:t>An</w:t>
      </w:r>
      <w:r w:rsidR="00753FC3">
        <w:rPr>
          <w:sz w:val="22"/>
          <w:szCs w:val="22"/>
        </w:rPr>
        <w:t>y</w:t>
      </w:r>
      <w:r>
        <w:rPr>
          <w:sz w:val="22"/>
          <w:szCs w:val="22"/>
        </w:rPr>
        <w:t xml:space="preserve"> act taken in violation of the stay constitutes contempt of court and is void or voidable (depending on the circuit in which the bankruptcy is pending).</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0B45859A"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hapter 15, and would such recognition be as a foreign main or non-main proceeding?</w:t>
      </w:r>
    </w:p>
    <w:p w14:paraId="47DF95A6" w14:textId="3D3A7D3E" w:rsidR="00967371" w:rsidRDefault="00967371" w:rsidP="000778B1">
      <w:pPr>
        <w:pStyle w:val="AODocTxt"/>
        <w:spacing w:before="0" w:line="240" w:lineRule="auto"/>
        <w:rPr>
          <w:rFonts w:ascii="Avenir Next" w:hAnsi="Avenir Next"/>
        </w:rPr>
      </w:pPr>
    </w:p>
    <w:p w14:paraId="2FE751E1" w14:textId="37690015" w:rsidR="008E01EA" w:rsidRPr="008E01EA" w:rsidRDefault="008E01EA" w:rsidP="00967371">
      <w:pPr>
        <w:ind w:left="720"/>
        <w:jc w:val="both"/>
        <w:rPr>
          <w:rFonts w:ascii="Avenir Next" w:hAnsi="Avenir Next" w:cs="Arial"/>
          <w:b/>
          <w:bCs/>
          <w:sz w:val="22"/>
          <w:szCs w:val="22"/>
          <w:u w:val="single"/>
          <w:lang w:val="en-GB"/>
        </w:rPr>
      </w:pPr>
      <w:r>
        <w:rPr>
          <w:rFonts w:ascii="Avenir Next" w:hAnsi="Avenir Next" w:cs="Arial"/>
          <w:b/>
          <w:bCs/>
          <w:sz w:val="22"/>
          <w:szCs w:val="22"/>
          <w:u w:val="single"/>
          <w:lang w:val="en-GB"/>
        </w:rPr>
        <w:t>Whether the scheme of arrangement can be recognised</w:t>
      </w:r>
    </w:p>
    <w:p w14:paraId="4700780A" w14:textId="5644FE94" w:rsidR="00E01803" w:rsidRPr="008E01EA" w:rsidRDefault="00967371" w:rsidP="00967371">
      <w:pPr>
        <w:ind w:left="720"/>
        <w:jc w:val="both"/>
        <w:rPr>
          <w:rFonts w:ascii="Avenir Next" w:hAnsi="Avenir Next" w:cs="Arial"/>
          <w:sz w:val="22"/>
          <w:szCs w:val="22"/>
          <w:lang w:val="en-GB"/>
        </w:rPr>
      </w:pPr>
      <w:r w:rsidRPr="00967371">
        <w:rPr>
          <w:rFonts w:ascii="Avenir Next" w:hAnsi="Avenir Next" w:cs="Arial"/>
          <w:sz w:val="22"/>
          <w:szCs w:val="22"/>
          <w:lang w:val="en-GB"/>
        </w:rPr>
        <w:lastRenderedPageBreak/>
        <w:t>Y</w:t>
      </w:r>
      <w:r>
        <w:rPr>
          <w:rFonts w:ascii="Avenir Next" w:hAnsi="Avenir Next" w:cs="Arial"/>
          <w:sz w:val="22"/>
          <w:szCs w:val="22"/>
          <w:lang w:val="en-GB"/>
        </w:rPr>
        <w:t>es, the English scheme of arrangement c</w:t>
      </w:r>
      <w:r w:rsidR="00F74C8F">
        <w:rPr>
          <w:rFonts w:ascii="Avenir Next" w:hAnsi="Avenir Next" w:cs="Arial"/>
          <w:sz w:val="22"/>
          <w:szCs w:val="22"/>
          <w:lang w:val="en-GB"/>
        </w:rPr>
        <w:t>ould</w:t>
      </w:r>
      <w:r>
        <w:rPr>
          <w:rFonts w:ascii="Avenir Next" w:hAnsi="Avenir Next" w:cs="Arial"/>
          <w:sz w:val="22"/>
          <w:szCs w:val="22"/>
          <w:lang w:val="en-GB"/>
        </w:rPr>
        <w:t xml:space="preserve"> be recognised by a US bankruptcy court under Chapter 15. The threshold for recognition under US bankruptcy law is not high; the foreign representative only needs to establish that</w:t>
      </w:r>
      <w:r w:rsidR="000B6623">
        <w:rPr>
          <w:rFonts w:ascii="Avenir Next" w:hAnsi="Avenir Next" w:cs="Arial"/>
          <w:sz w:val="22"/>
          <w:szCs w:val="22"/>
          <w:lang w:val="en-GB"/>
        </w:rPr>
        <w:t xml:space="preserve"> there is a pending</w:t>
      </w:r>
      <w:r>
        <w:rPr>
          <w:rFonts w:ascii="Avenir Next" w:hAnsi="Avenir Next" w:cs="Arial"/>
          <w:sz w:val="22"/>
          <w:szCs w:val="22"/>
          <w:lang w:val="en-GB"/>
        </w:rPr>
        <w:t xml:space="preserve"> foreign court or administrative proceeding with respect to the debtor</w:t>
      </w:r>
      <w:r w:rsidR="000B6623">
        <w:rPr>
          <w:rFonts w:ascii="Avenir Next" w:hAnsi="Avenir Next" w:cs="Arial"/>
          <w:sz w:val="22"/>
          <w:szCs w:val="22"/>
          <w:lang w:val="en-GB"/>
        </w:rPr>
        <w:t>,</w:t>
      </w:r>
      <w:r>
        <w:rPr>
          <w:rFonts w:ascii="Avenir Next" w:hAnsi="Avenir Next" w:cs="Arial"/>
          <w:sz w:val="22"/>
          <w:szCs w:val="22"/>
          <w:lang w:val="en-GB"/>
        </w:rPr>
        <w:t xml:space="preserve"> and that the foreign representative is empowered to act by the proceeding</w:t>
      </w:r>
      <w:r w:rsidR="000B6623">
        <w:rPr>
          <w:rFonts w:ascii="Avenir Next" w:hAnsi="Avenir Next" w:cs="Arial"/>
          <w:sz w:val="22"/>
          <w:szCs w:val="22"/>
          <w:lang w:val="en-GB"/>
        </w:rPr>
        <w:t xml:space="preserve">: 11 USC </w:t>
      </w:r>
      <w:r w:rsidR="00F74C8F">
        <w:rPr>
          <w:rFonts w:ascii="Avenir Next" w:hAnsi="Avenir Next" w:cs="Arial"/>
          <w:sz w:val="22"/>
          <w:szCs w:val="22"/>
          <w:lang w:val="en-GB"/>
        </w:rPr>
        <w:t>§1515(b) read with 11 USC §1517(a)</w:t>
      </w:r>
      <w:r>
        <w:rPr>
          <w:rFonts w:ascii="Avenir Next" w:hAnsi="Avenir Next" w:cs="Arial"/>
          <w:sz w:val="22"/>
          <w:szCs w:val="22"/>
          <w:lang w:val="en-GB"/>
        </w:rPr>
        <w:t xml:space="preserve">. </w:t>
      </w:r>
      <w:r w:rsidR="00F74C8F">
        <w:rPr>
          <w:rFonts w:ascii="Avenir Next" w:hAnsi="Avenir Next" w:cs="Arial"/>
          <w:sz w:val="22"/>
          <w:szCs w:val="22"/>
          <w:lang w:val="en-GB"/>
        </w:rPr>
        <w:t>Per</w:t>
      </w:r>
      <w:r w:rsidR="000B6623">
        <w:rPr>
          <w:rFonts w:ascii="Avenir Next" w:hAnsi="Avenir Next" w:cs="Arial"/>
          <w:sz w:val="22"/>
          <w:szCs w:val="22"/>
          <w:lang w:val="en-GB"/>
        </w:rPr>
        <w:t xml:space="preserve"> 11 USC</w:t>
      </w:r>
      <w:r w:rsidR="00F74C8F">
        <w:rPr>
          <w:rFonts w:ascii="Avenir Next" w:hAnsi="Avenir Next" w:cs="Arial"/>
          <w:sz w:val="22"/>
          <w:szCs w:val="22"/>
          <w:lang w:val="en-GB"/>
        </w:rPr>
        <w:t> </w:t>
      </w:r>
      <w:r w:rsidR="000B6623">
        <w:rPr>
          <w:rFonts w:ascii="Avenir Next" w:hAnsi="Avenir Next" w:cs="Arial"/>
          <w:sz w:val="22"/>
          <w:szCs w:val="22"/>
          <w:lang w:val="en-GB"/>
        </w:rPr>
        <w:t xml:space="preserve">§101(23), a </w:t>
      </w:r>
      <w:r w:rsidR="000B6623" w:rsidRPr="008E01EA">
        <w:rPr>
          <w:rFonts w:ascii="Avenir Next" w:hAnsi="Avenir Next" w:cs="Arial"/>
          <w:sz w:val="22"/>
          <w:szCs w:val="22"/>
          <w:lang w:val="en-GB"/>
        </w:rPr>
        <w:t>foreign proceeding is defined as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p>
    <w:p w14:paraId="14C7EE2C" w14:textId="5508D431" w:rsidR="00F74C8F" w:rsidRPr="008E01EA" w:rsidRDefault="00F74C8F" w:rsidP="00967371">
      <w:pPr>
        <w:ind w:left="720"/>
        <w:jc w:val="both"/>
        <w:rPr>
          <w:rFonts w:ascii="Avenir Next" w:hAnsi="Avenir Next" w:cs="Arial"/>
          <w:sz w:val="22"/>
          <w:szCs w:val="22"/>
          <w:lang w:val="en-GB"/>
        </w:rPr>
      </w:pPr>
    </w:p>
    <w:p w14:paraId="24E203B5" w14:textId="77777777" w:rsidR="00275287" w:rsidRDefault="00F74C8F" w:rsidP="00967371">
      <w:pPr>
        <w:ind w:left="720"/>
        <w:jc w:val="both"/>
        <w:rPr>
          <w:rFonts w:ascii="Avenir Next" w:hAnsi="Avenir Next" w:cs="Arial"/>
          <w:sz w:val="22"/>
          <w:szCs w:val="22"/>
          <w:lang w:val="en-GB"/>
        </w:rPr>
      </w:pPr>
      <w:r w:rsidRPr="008E01EA">
        <w:rPr>
          <w:rFonts w:ascii="Avenir Next" w:hAnsi="Avenir Next"/>
          <w:sz w:val="22"/>
          <w:szCs w:val="22"/>
        </w:rPr>
        <w:t xml:space="preserve">In the present case, </w:t>
      </w:r>
      <w:r w:rsidR="008E01EA" w:rsidRPr="008E01EA">
        <w:rPr>
          <w:rFonts w:ascii="Avenir Next" w:hAnsi="Avenir Next"/>
          <w:sz w:val="22"/>
          <w:szCs w:val="22"/>
        </w:rPr>
        <w:t>the applicable UK legislation governing a scheme of arrangement would likely be Part 26 of the UK Companies Act 2006 (“Companies Act”), or Part 26A of the Companies Act (which applies where the company has encountered or is likely to encounter financial difficulties that may affect its ability to carry on as a going concern, and the purpose of the scheme of arrangement is to reduce or prevent the said financial difficulties).</w:t>
      </w:r>
      <w:r w:rsidR="008E01EA">
        <w:rPr>
          <w:rFonts w:ascii="Avenir Next" w:hAnsi="Avenir Next"/>
          <w:sz w:val="22"/>
          <w:szCs w:val="22"/>
        </w:rPr>
        <w:t xml:space="preserve"> Parts 26 and 26A are arguably laws relating to an adjustment of </w:t>
      </w:r>
      <w:proofErr w:type="gramStart"/>
      <w:r w:rsidR="008E01EA">
        <w:rPr>
          <w:rFonts w:ascii="Avenir Next" w:hAnsi="Avenir Next"/>
          <w:sz w:val="22"/>
          <w:szCs w:val="22"/>
        </w:rPr>
        <w:t>debt, since</w:t>
      </w:r>
      <w:proofErr w:type="gramEnd"/>
      <w:r w:rsidR="008E01EA">
        <w:rPr>
          <w:rFonts w:ascii="Avenir Next" w:hAnsi="Avenir Next"/>
          <w:sz w:val="22"/>
          <w:szCs w:val="22"/>
        </w:rPr>
        <w:t xml:space="preserve"> they permit the company to enter a compromise with its creditors or any class of them (ss 895(1)(a) and 901A(3)(a)(</w:t>
      </w:r>
      <w:proofErr w:type="spellStart"/>
      <w:r w:rsidR="008E01EA">
        <w:rPr>
          <w:rFonts w:ascii="Avenir Next" w:hAnsi="Avenir Next"/>
          <w:sz w:val="22"/>
          <w:szCs w:val="22"/>
        </w:rPr>
        <w:t>i</w:t>
      </w:r>
      <w:proofErr w:type="spellEnd"/>
      <w:r w:rsidR="008E01EA">
        <w:rPr>
          <w:rFonts w:ascii="Avenir Next" w:hAnsi="Avenir Next"/>
          <w:sz w:val="22"/>
          <w:szCs w:val="22"/>
        </w:rPr>
        <w:t xml:space="preserve">) Companies Act). Further, Parts 26 and 26A both provide that court sanction must be obtained for the scheme of arrangement, and so the debtor’s assets and affairs are arguably subject to control of the foreign court. An English scheme of arrangement is therefore likely to satisfy the definition of a foreign proceeding under </w:t>
      </w:r>
      <w:r w:rsidR="008E01EA">
        <w:rPr>
          <w:rFonts w:ascii="Avenir Next" w:hAnsi="Avenir Next" w:cs="Arial"/>
          <w:sz w:val="22"/>
          <w:szCs w:val="22"/>
          <w:lang w:val="en-GB"/>
        </w:rPr>
        <w:t>11 USC §101(23)</w:t>
      </w:r>
      <w:r w:rsidR="00275287">
        <w:rPr>
          <w:rFonts w:ascii="Avenir Next" w:hAnsi="Avenir Next" w:cs="Arial"/>
          <w:sz w:val="22"/>
          <w:szCs w:val="22"/>
          <w:lang w:val="en-GB"/>
        </w:rPr>
        <w:t>.</w:t>
      </w:r>
    </w:p>
    <w:p w14:paraId="7186E7C6" w14:textId="77777777" w:rsidR="00275287" w:rsidRDefault="00275287" w:rsidP="00967371">
      <w:pPr>
        <w:ind w:left="720"/>
        <w:jc w:val="both"/>
        <w:rPr>
          <w:rFonts w:ascii="Avenir Next" w:hAnsi="Avenir Next" w:cs="Arial"/>
          <w:sz w:val="22"/>
          <w:szCs w:val="22"/>
          <w:lang w:val="en-GB"/>
        </w:rPr>
      </w:pPr>
    </w:p>
    <w:p w14:paraId="4EC13D35" w14:textId="04CAA741" w:rsidR="00F74C8F" w:rsidRDefault="00275287" w:rsidP="00967371">
      <w:pPr>
        <w:ind w:left="720"/>
        <w:jc w:val="both"/>
        <w:rPr>
          <w:rFonts w:ascii="Avenir Next" w:hAnsi="Avenir Next" w:cs="Arial"/>
          <w:sz w:val="22"/>
          <w:szCs w:val="22"/>
          <w:lang w:val="en-GB"/>
        </w:rPr>
      </w:pPr>
      <w:r>
        <w:rPr>
          <w:rFonts w:ascii="Avenir Next" w:hAnsi="Avenir Next" w:cs="Arial"/>
          <w:sz w:val="22"/>
          <w:szCs w:val="22"/>
          <w:lang w:val="en-GB"/>
        </w:rPr>
        <w:t>While a foreign proceeding may nonetheless be refused recognition if it is manifestly contrary to US public policy, this is rarely the case where mere recognition is sought: 11 USC §1506. There is also nothing on the facts to suggest that the English scheme of arrangement would be contrary to US public policy. The scheme of arrange</w:t>
      </w:r>
      <w:r w:rsidR="000422FE">
        <w:rPr>
          <w:rFonts w:ascii="Avenir Next" w:hAnsi="Avenir Next" w:cs="Arial"/>
          <w:sz w:val="22"/>
          <w:szCs w:val="22"/>
          <w:lang w:val="en-GB"/>
        </w:rPr>
        <w:t>ment</w:t>
      </w:r>
      <w:r>
        <w:rPr>
          <w:rFonts w:ascii="Avenir Next" w:hAnsi="Avenir Next" w:cs="Arial"/>
          <w:sz w:val="22"/>
          <w:szCs w:val="22"/>
          <w:lang w:val="en-GB"/>
        </w:rPr>
        <w:t xml:space="preserve"> is therefore likely to be granted recognition</w:t>
      </w:r>
      <w:r w:rsidR="008E01EA">
        <w:rPr>
          <w:rFonts w:ascii="Avenir Next" w:hAnsi="Avenir Next" w:cs="Arial"/>
          <w:sz w:val="22"/>
          <w:szCs w:val="22"/>
          <w:lang w:val="en-GB"/>
        </w:rPr>
        <w:t xml:space="preserve"> in a Chapter 15 proceeding. </w:t>
      </w:r>
    </w:p>
    <w:p w14:paraId="3A742DA8" w14:textId="16086292" w:rsidR="008E01EA" w:rsidRDefault="008E01EA" w:rsidP="00967371">
      <w:pPr>
        <w:ind w:left="720"/>
        <w:jc w:val="both"/>
        <w:rPr>
          <w:rFonts w:ascii="Avenir Next" w:hAnsi="Avenir Next" w:cs="Arial"/>
          <w:sz w:val="22"/>
          <w:szCs w:val="22"/>
          <w:lang w:val="en-GB"/>
        </w:rPr>
      </w:pPr>
    </w:p>
    <w:p w14:paraId="5ABA3B07" w14:textId="39DEAFBE" w:rsidR="008E01EA" w:rsidRDefault="008E01EA" w:rsidP="00967371">
      <w:pPr>
        <w:ind w:left="720"/>
        <w:jc w:val="both"/>
        <w:rPr>
          <w:rFonts w:ascii="Avenir Next" w:hAnsi="Avenir Next" w:cs="Arial"/>
          <w:sz w:val="22"/>
          <w:szCs w:val="22"/>
          <w:lang w:val="en-GB"/>
        </w:rPr>
      </w:pPr>
      <w:r>
        <w:rPr>
          <w:rFonts w:ascii="Avenir Next" w:hAnsi="Avenir Next" w:cs="Arial"/>
          <w:sz w:val="22"/>
          <w:szCs w:val="22"/>
          <w:lang w:val="en-GB"/>
        </w:rPr>
        <w:t xml:space="preserve">Recognition can be obtained by the foreign representative filing a petition for recognition in a US court (11 USC §1515(a)), accompanied by the documents stated in 11 USC §1515(b). </w:t>
      </w:r>
    </w:p>
    <w:p w14:paraId="53D52BD0" w14:textId="33FE9F62" w:rsidR="008E01EA" w:rsidRDefault="008E01EA" w:rsidP="00967371">
      <w:pPr>
        <w:ind w:left="720"/>
        <w:jc w:val="both"/>
        <w:rPr>
          <w:rFonts w:ascii="Avenir Next" w:hAnsi="Avenir Next" w:cs="Arial"/>
          <w:sz w:val="22"/>
          <w:szCs w:val="22"/>
          <w:lang w:val="en-GB"/>
        </w:rPr>
      </w:pPr>
    </w:p>
    <w:p w14:paraId="4A353DC1" w14:textId="7AB46B59" w:rsidR="008E01EA" w:rsidRPr="008E01EA" w:rsidRDefault="008E01EA" w:rsidP="00967371">
      <w:pPr>
        <w:ind w:left="720"/>
        <w:jc w:val="both"/>
        <w:rPr>
          <w:rFonts w:ascii="Avenir Next" w:hAnsi="Avenir Next" w:cs="Arial"/>
          <w:b/>
          <w:bCs/>
          <w:sz w:val="22"/>
          <w:szCs w:val="22"/>
          <w:u w:val="single"/>
          <w:lang w:val="en-GB"/>
        </w:rPr>
      </w:pPr>
      <w:r>
        <w:rPr>
          <w:rFonts w:ascii="Avenir Next" w:hAnsi="Avenir Next" w:cs="Arial"/>
          <w:b/>
          <w:bCs/>
          <w:sz w:val="22"/>
          <w:szCs w:val="22"/>
          <w:u w:val="single"/>
          <w:lang w:val="en-GB"/>
        </w:rPr>
        <w:t>Whether the scheme of arrangement would be recognised as a foreign main or non-main proceeding</w:t>
      </w:r>
    </w:p>
    <w:p w14:paraId="02C18CD8" w14:textId="2D36B937" w:rsidR="008E01EA" w:rsidRDefault="00006992" w:rsidP="00967371">
      <w:pPr>
        <w:ind w:left="720"/>
        <w:jc w:val="both"/>
        <w:rPr>
          <w:rFonts w:ascii="Avenir Next" w:hAnsi="Avenir Next"/>
          <w:sz w:val="22"/>
          <w:szCs w:val="22"/>
        </w:rPr>
      </w:pPr>
      <w:r>
        <w:rPr>
          <w:rFonts w:ascii="Avenir Next" w:hAnsi="Avenir Next"/>
          <w:sz w:val="22"/>
          <w:szCs w:val="22"/>
        </w:rPr>
        <w:t>Whether a proceeding is recognized as a foreign main or non-main proceeding depends on whether the foreign proceeding is commenced at the debtor’s center of main interests (“COMI”). A debtor’s COMI is rebuttably presumed to be its place of incorporation: 11 USC §1516(c). In the present case, since Stella is incorporated in France, its COMI is presumed to be France.</w:t>
      </w:r>
    </w:p>
    <w:p w14:paraId="276C3A64" w14:textId="7E08C5C6" w:rsidR="00006992" w:rsidRDefault="00006992" w:rsidP="00967371">
      <w:pPr>
        <w:ind w:left="720"/>
        <w:jc w:val="both"/>
        <w:rPr>
          <w:rFonts w:ascii="Avenir Next" w:hAnsi="Avenir Next"/>
          <w:sz w:val="22"/>
          <w:szCs w:val="22"/>
        </w:rPr>
      </w:pPr>
    </w:p>
    <w:p w14:paraId="4F9A1288" w14:textId="77777777" w:rsidR="00C8098D" w:rsidRDefault="00006992" w:rsidP="00967371">
      <w:pPr>
        <w:ind w:left="720"/>
        <w:jc w:val="both"/>
        <w:rPr>
          <w:rFonts w:ascii="Avenir Next" w:hAnsi="Avenir Next"/>
          <w:sz w:val="22"/>
          <w:szCs w:val="22"/>
        </w:rPr>
      </w:pPr>
      <w:r>
        <w:rPr>
          <w:rFonts w:ascii="Avenir Next" w:hAnsi="Avenir Next"/>
          <w:sz w:val="22"/>
          <w:szCs w:val="22"/>
        </w:rPr>
        <w:t xml:space="preserve">That said, other factors relevant to determining the debtor’s COMI include the location of headquarters, the location of management, the location of primary assets, the location of the majority of the debtor’s creditors or creditors who will be affected by the relief requested, and the jurisdiction </w:t>
      </w:r>
      <w:r w:rsidR="00C8098D">
        <w:rPr>
          <w:rFonts w:ascii="Avenir Next" w:hAnsi="Avenir Next"/>
          <w:sz w:val="22"/>
          <w:szCs w:val="22"/>
        </w:rPr>
        <w:t xml:space="preserve">whose law would apply to most disputes. On one hand, the Eurobonds are governed by English law, which points in favor of the UK being the COMI. Stella also has some assets in the form of retail stores in the UK. That said, it is not clear that </w:t>
      </w:r>
      <w:proofErr w:type="gramStart"/>
      <w:r w:rsidR="00C8098D">
        <w:rPr>
          <w:rFonts w:ascii="Avenir Next" w:hAnsi="Avenir Next"/>
          <w:sz w:val="22"/>
          <w:szCs w:val="22"/>
        </w:rPr>
        <w:t xml:space="preserve">the </w:t>
      </w:r>
      <w:r w:rsidR="00C8098D">
        <w:rPr>
          <w:rFonts w:ascii="Avenir Next" w:hAnsi="Avenir Next"/>
          <w:i/>
          <w:iCs/>
          <w:sz w:val="22"/>
          <w:szCs w:val="22"/>
        </w:rPr>
        <w:t xml:space="preserve">majority </w:t>
      </w:r>
      <w:r w:rsidR="00C8098D">
        <w:rPr>
          <w:rFonts w:ascii="Avenir Next" w:hAnsi="Avenir Next"/>
          <w:sz w:val="22"/>
          <w:szCs w:val="22"/>
        </w:rPr>
        <w:t>of</w:t>
      </w:r>
      <w:proofErr w:type="gramEnd"/>
      <w:r w:rsidR="00C8098D">
        <w:rPr>
          <w:rFonts w:ascii="Avenir Next" w:hAnsi="Avenir Next"/>
          <w:sz w:val="22"/>
          <w:szCs w:val="22"/>
        </w:rPr>
        <w:t xml:space="preserve"> Stella’s assets are located in the UK – Stella has retail stores in other parts of the world, and the majority of its assets may in fact be located in France (since its headquarters are there) or Italy (since its production occurs there). The location of management is also likely to be in </w:t>
      </w:r>
      <w:proofErr w:type="gramStart"/>
      <w:r w:rsidR="00C8098D">
        <w:rPr>
          <w:rFonts w:ascii="Avenir Next" w:hAnsi="Avenir Next"/>
          <w:sz w:val="22"/>
          <w:szCs w:val="22"/>
        </w:rPr>
        <w:t>France, since</w:t>
      </w:r>
      <w:proofErr w:type="gramEnd"/>
      <w:r w:rsidR="00C8098D">
        <w:rPr>
          <w:rFonts w:ascii="Avenir Next" w:hAnsi="Avenir Next"/>
          <w:sz w:val="22"/>
          <w:szCs w:val="22"/>
        </w:rPr>
        <w:t xml:space="preserve"> Stella’s headquarters are there. Moreover, since the debt instrument in question is Eurobonds, Stella’s creditors are not necessarily primarily located in the UK.</w:t>
      </w:r>
    </w:p>
    <w:p w14:paraId="120A551D" w14:textId="77777777" w:rsidR="00C8098D" w:rsidRDefault="00C8098D" w:rsidP="00967371">
      <w:pPr>
        <w:ind w:left="720"/>
        <w:jc w:val="both"/>
        <w:rPr>
          <w:rFonts w:ascii="Avenir Next" w:hAnsi="Avenir Next"/>
          <w:sz w:val="22"/>
          <w:szCs w:val="22"/>
        </w:rPr>
      </w:pPr>
    </w:p>
    <w:p w14:paraId="319826A8" w14:textId="65DE80FE" w:rsidR="00006992" w:rsidRPr="008E01EA" w:rsidRDefault="00C8098D" w:rsidP="00967371">
      <w:pPr>
        <w:ind w:left="720"/>
        <w:jc w:val="both"/>
        <w:rPr>
          <w:rFonts w:ascii="Avenir Next" w:hAnsi="Avenir Next"/>
          <w:sz w:val="22"/>
          <w:szCs w:val="22"/>
        </w:rPr>
      </w:pPr>
      <w:r>
        <w:rPr>
          <w:rFonts w:ascii="Avenir Next" w:hAnsi="Avenir Next"/>
          <w:sz w:val="22"/>
          <w:szCs w:val="22"/>
        </w:rPr>
        <w:lastRenderedPageBreak/>
        <w:t>In my view, there are insufficient factors pointing to the UK as the COMI,</w:t>
      </w:r>
      <w:r w:rsidR="000422FE">
        <w:rPr>
          <w:rFonts w:ascii="Avenir Next" w:hAnsi="Avenir Next"/>
          <w:sz w:val="22"/>
          <w:szCs w:val="22"/>
        </w:rPr>
        <w:t xml:space="preserve"> and to</w:t>
      </w:r>
      <w:r>
        <w:rPr>
          <w:rFonts w:ascii="Avenir Next" w:hAnsi="Avenir Next"/>
          <w:sz w:val="22"/>
          <w:szCs w:val="22"/>
        </w:rPr>
        <w:t xml:space="preserve"> rebut the presumption that France is Stella’s COMI. </w:t>
      </w:r>
      <w:r w:rsidR="00CE0203">
        <w:rPr>
          <w:rFonts w:ascii="Avenir Next" w:hAnsi="Avenir Next"/>
          <w:sz w:val="22"/>
          <w:szCs w:val="22"/>
        </w:rPr>
        <w:t xml:space="preserve">A further requirement for a proceeding to be recognized as a foreign non-main proceeding is that the debtor has an </w:t>
      </w:r>
      <w:r w:rsidR="00CE0203">
        <w:rPr>
          <w:rFonts w:ascii="Avenir Next" w:hAnsi="Avenir Next"/>
          <w:b/>
          <w:bCs/>
          <w:sz w:val="22"/>
          <w:szCs w:val="22"/>
        </w:rPr>
        <w:t xml:space="preserve">establishment </w:t>
      </w:r>
      <w:r w:rsidR="00CE0203">
        <w:rPr>
          <w:rFonts w:ascii="Avenir Next" w:hAnsi="Avenir Next"/>
          <w:sz w:val="22"/>
          <w:szCs w:val="22"/>
        </w:rPr>
        <w:t xml:space="preserve">in the jurisdiction (11 USC §1502(2))– this is satisfied by the fact that Stella has retail stores in the UK. </w:t>
      </w:r>
      <w:r>
        <w:rPr>
          <w:rFonts w:ascii="Avenir Next" w:hAnsi="Avenir Next"/>
          <w:sz w:val="22"/>
          <w:szCs w:val="22"/>
        </w:rPr>
        <w:t xml:space="preserve">The English scheme of arrangement will therefore be likely recognized as a foreign non-main proceeding. </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5296F900"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092CCA5C" w14:textId="47B20E3B" w:rsidR="00E01803" w:rsidRDefault="007805B3" w:rsidP="007805B3">
      <w:pPr>
        <w:pStyle w:val="AODocTxt"/>
        <w:spacing w:before="0" w:line="240" w:lineRule="auto"/>
        <w:ind w:left="720"/>
        <w:rPr>
          <w:rFonts w:ascii="Avenir Next" w:hAnsi="Avenir Next"/>
        </w:rPr>
      </w:pPr>
      <w:r>
        <w:rPr>
          <w:rFonts w:ascii="Avenir Next" w:hAnsi="Avenir Next"/>
        </w:rPr>
        <w:t xml:space="preserve">Yes, the license agreement to manufacture </w:t>
      </w:r>
      <w:proofErr w:type="spellStart"/>
      <w:r>
        <w:rPr>
          <w:rFonts w:ascii="Avenir Next" w:hAnsi="Avenir Next"/>
        </w:rPr>
        <w:t>Xblox</w:t>
      </w:r>
      <w:proofErr w:type="spellEnd"/>
      <w:r>
        <w:rPr>
          <w:rFonts w:ascii="Avenir Next" w:hAnsi="Avenir Next"/>
        </w:rPr>
        <w:t xml:space="preserve"> is an executory contract, as there remain material unperformed obligations on both sides. </w:t>
      </w:r>
      <w:proofErr w:type="spellStart"/>
      <w:r>
        <w:rPr>
          <w:rFonts w:ascii="Avenir Next" w:hAnsi="Avenir Next"/>
        </w:rPr>
        <w:t>GameMart</w:t>
      </w:r>
      <w:proofErr w:type="spellEnd"/>
      <w:r>
        <w:rPr>
          <w:rFonts w:ascii="Avenir Next" w:hAnsi="Avenir Next"/>
        </w:rPr>
        <w:t xml:space="preserve"> has the obligation to continue to pay </w:t>
      </w:r>
      <w:proofErr w:type="spellStart"/>
      <w:r>
        <w:rPr>
          <w:rFonts w:ascii="Avenir Next" w:hAnsi="Avenir Next"/>
        </w:rPr>
        <w:t>ToyCo</w:t>
      </w:r>
      <w:proofErr w:type="spellEnd"/>
      <w:r>
        <w:rPr>
          <w:rFonts w:ascii="Avenir Next" w:hAnsi="Avenir Next"/>
        </w:rPr>
        <w:t xml:space="preserve"> monthly royalties for the remainder of the licensing period, while </w:t>
      </w:r>
      <w:proofErr w:type="spellStart"/>
      <w:r>
        <w:rPr>
          <w:rFonts w:ascii="Avenir Next" w:hAnsi="Avenir Next"/>
        </w:rPr>
        <w:t>Toyco</w:t>
      </w:r>
      <w:proofErr w:type="spellEnd"/>
      <w:r>
        <w:rPr>
          <w:rFonts w:ascii="Avenir Next" w:hAnsi="Avenir Next"/>
        </w:rPr>
        <w:t xml:space="preserve"> has the obligation to refrain from giving any other company the license to manufacture </w:t>
      </w:r>
      <w:proofErr w:type="spellStart"/>
      <w:r>
        <w:rPr>
          <w:rFonts w:ascii="Avenir Next" w:hAnsi="Avenir Next"/>
        </w:rPr>
        <w:t>Xblox</w:t>
      </w:r>
      <w:proofErr w:type="spellEnd"/>
      <w:r>
        <w:rPr>
          <w:rFonts w:ascii="Avenir Next" w:hAnsi="Avenir Next"/>
        </w:rPr>
        <w:t xml:space="preserve"> for the remainder of the 10-year exclusivity period.</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68A6DDC0" w14:textId="60DA83BE" w:rsidR="000017C8" w:rsidRDefault="00A11C27" w:rsidP="00997DB0">
      <w:pPr>
        <w:ind w:left="720"/>
        <w:jc w:val="both"/>
        <w:rPr>
          <w:rFonts w:ascii="Avenir Next" w:hAnsi="Avenir Next" w:cs="Arial"/>
          <w:sz w:val="22"/>
          <w:szCs w:val="22"/>
          <w:lang w:val="en-GB"/>
        </w:rPr>
      </w:pPr>
      <w:r>
        <w:rPr>
          <w:rFonts w:ascii="Avenir Next" w:hAnsi="Avenir Next" w:cs="Arial"/>
          <w:sz w:val="22"/>
          <w:szCs w:val="22"/>
          <w:lang w:val="en-GB"/>
        </w:rPr>
        <w:t xml:space="preserve">No, it cannot. </w:t>
      </w:r>
      <w:r w:rsidR="000017C8">
        <w:rPr>
          <w:rFonts w:ascii="Avenir Next" w:hAnsi="Avenir Next" w:cs="Arial"/>
          <w:sz w:val="22"/>
          <w:szCs w:val="22"/>
          <w:lang w:val="en-GB"/>
        </w:rPr>
        <w:t xml:space="preserve">Under 11 USC §365(c), a trustee may not assume or assign an executory contract if applicable law excuses a party to such contract (other than the debtor) </w:t>
      </w:r>
      <w:r w:rsidR="000017C8" w:rsidRPr="000017C8">
        <w:rPr>
          <w:rFonts w:ascii="Avenir Next" w:hAnsi="Avenir Next" w:cs="Arial"/>
          <w:sz w:val="22"/>
          <w:szCs w:val="22"/>
          <w:lang w:val="en-GB"/>
        </w:rPr>
        <w:t>from accepting performance from or rendering performance to an entity other than the debtor or the debtor in possession</w:t>
      </w:r>
      <w:r w:rsidR="000017C8">
        <w:rPr>
          <w:rFonts w:ascii="Avenir Next" w:hAnsi="Avenir Next" w:cs="Arial"/>
          <w:sz w:val="22"/>
          <w:szCs w:val="22"/>
          <w:lang w:val="en-GB"/>
        </w:rPr>
        <w:t>.</w:t>
      </w:r>
      <w:r w:rsidR="00997DB0">
        <w:rPr>
          <w:rFonts w:ascii="Avenir Next" w:hAnsi="Avenir Next" w:cs="Arial"/>
          <w:sz w:val="22"/>
          <w:szCs w:val="22"/>
          <w:lang w:val="en-GB"/>
        </w:rPr>
        <w:t xml:space="preserve"> In </w:t>
      </w:r>
      <w:r w:rsidR="00997DB0">
        <w:rPr>
          <w:rFonts w:ascii="Avenir Next" w:hAnsi="Avenir Next" w:cs="Arial"/>
          <w:i/>
          <w:iCs/>
          <w:sz w:val="22"/>
          <w:szCs w:val="22"/>
          <w:lang w:val="en-GB"/>
        </w:rPr>
        <w:t xml:space="preserve">In re Trump Entertainment Resorts, Inc, </w:t>
      </w:r>
      <w:r w:rsidR="00997DB0">
        <w:rPr>
          <w:rFonts w:ascii="Avenir Next" w:hAnsi="Avenir Next" w:cs="Arial"/>
          <w:sz w:val="22"/>
          <w:szCs w:val="22"/>
          <w:lang w:val="en-GB"/>
        </w:rPr>
        <w:t>526 BR 116 (</w:t>
      </w:r>
      <w:proofErr w:type="spellStart"/>
      <w:r w:rsidR="00997DB0">
        <w:rPr>
          <w:rFonts w:ascii="Avenir Next" w:hAnsi="Avenir Next" w:cs="Arial"/>
          <w:sz w:val="22"/>
          <w:szCs w:val="22"/>
          <w:lang w:val="en-GB"/>
        </w:rPr>
        <w:t>Bankr</w:t>
      </w:r>
      <w:proofErr w:type="spellEnd"/>
      <w:r w:rsidR="00997DB0">
        <w:rPr>
          <w:rFonts w:ascii="Avenir Next" w:hAnsi="Avenir Next" w:cs="Arial"/>
          <w:sz w:val="22"/>
          <w:szCs w:val="22"/>
          <w:lang w:val="en-GB"/>
        </w:rPr>
        <w:t xml:space="preserve"> D Del 2015), the court explained that trademark licenses generally cannot be assigned without the licensor’s consent, as the trademark owner would have “</w:t>
      </w:r>
      <w:r w:rsidR="00997DB0" w:rsidRPr="00997DB0">
        <w:rPr>
          <w:rFonts w:ascii="Avenir Next" w:hAnsi="Avenir Next" w:cs="Arial"/>
          <w:sz w:val="22"/>
          <w:szCs w:val="22"/>
          <w:lang w:val="en-GB"/>
        </w:rPr>
        <w:t>picked his licensee because of confidence that he will not degrade the quality of the trademarked product</w:t>
      </w:r>
      <w:r w:rsidR="00997DB0">
        <w:rPr>
          <w:rFonts w:ascii="Avenir Next" w:hAnsi="Avenir Next" w:cs="Arial"/>
          <w:sz w:val="22"/>
          <w:szCs w:val="22"/>
          <w:lang w:val="en-GB"/>
        </w:rPr>
        <w:t>” and</w:t>
      </w:r>
      <w:r w:rsidR="000A1AF5">
        <w:rPr>
          <w:rFonts w:ascii="Avenir Next" w:hAnsi="Avenir Next" w:cs="Arial"/>
          <w:sz w:val="22"/>
          <w:szCs w:val="22"/>
          <w:lang w:val="en-GB"/>
        </w:rPr>
        <w:t xml:space="preserve"> the trademark owner</w:t>
      </w:r>
      <w:r w:rsidR="00997DB0">
        <w:rPr>
          <w:rFonts w:ascii="Avenir Next" w:hAnsi="Avenir Next" w:cs="Arial"/>
          <w:sz w:val="22"/>
          <w:szCs w:val="22"/>
          <w:lang w:val="en-GB"/>
        </w:rPr>
        <w:t xml:space="preserve"> has a duty to control the quality of goods sold under its mark (at paras 8–9). This reasoning arguably applies in the context of patents as well. </w:t>
      </w:r>
      <w:proofErr w:type="spellStart"/>
      <w:r w:rsidR="000017C8">
        <w:rPr>
          <w:rFonts w:ascii="Avenir Next" w:hAnsi="Avenir Next" w:cs="Arial"/>
          <w:sz w:val="22"/>
          <w:szCs w:val="22"/>
          <w:lang w:val="en-GB"/>
        </w:rPr>
        <w:t>ToyCo’s</w:t>
      </w:r>
      <w:proofErr w:type="spellEnd"/>
      <w:r w:rsidR="000017C8">
        <w:rPr>
          <w:rFonts w:ascii="Avenir Next" w:hAnsi="Avenir Next" w:cs="Arial"/>
          <w:sz w:val="22"/>
          <w:szCs w:val="22"/>
          <w:lang w:val="en-GB"/>
        </w:rPr>
        <w:t xml:space="preserve"> consent is therefore required to assign the </w:t>
      </w:r>
      <w:proofErr w:type="spellStart"/>
      <w:r w:rsidR="000017C8">
        <w:rPr>
          <w:rFonts w:ascii="Avenir Next" w:hAnsi="Avenir Next" w:cs="Arial"/>
          <w:sz w:val="22"/>
          <w:szCs w:val="22"/>
          <w:lang w:val="en-GB"/>
        </w:rPr>
        <w:t>Xblox</w:t>
      </w:r>
      <w:proofErr w:type="spellEnd"/>
      <w:r w:rsidR="000017C8">
        <w:rPr>
          <w:rFonts w:ascii="Avenir Next" w:hAnsi="Avenir Next" w:cs="Arial"/>
          <w:sz w:val="22"/>
          <w:szCs w:val="22"/>
          <w:lang w:val="en-GB"/>
        </w:rPr>
        <w:t xml:space="preserve"> license to a third party.</w:t>
      </w:r>
    </w:p>
    <w:p w14:paraId="7AF79EF8" w14:textId="2E0E117D" w:rsidR="00F03051" w:rsidRPr="000017C8" w:rsidRDefault="000017C8" w:rsidP="000017C8">
      <w:pPr>
        <w:ind w:left="720"/>
        <w:jc w:val="both"/>
        <w:rPr>
          <w:rFonts w:ascii="Avenir Next" w:hAnsi="Avenir Next" w:cs="Arial"/>
          <w:sz w:val="22"/>
          <w:szCs w:val="22"/>
          <w:lang w:val="en-GB"/>
        </w:rPr>
      </w:pPr>
      <w:r>
        <w:rPr>
          <w:rFonts w:ascii="Avenir Next" w:hAnsi="Avenir Next" w:cs="Arial"/>
          <w:sz w:val="22"/>
          <w:szCs w:val="22"/>
          <w:lang w:val="en-GB"/>
        </w:rPr>
        <w:t xml:space="preserve"> </w:t>
      </w: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18CA55" w14:textId="0756FFFA" w:rsidR="00997DB0" w:rsidRPr="007B2025" w:rsidRDefault="00997DB0" w:rsidP="00997DB0">
      <w:pPr>
        <w:ind w:left="720"/>
        <w:jc w:val="both"/>
        <w:rPr>
          <w:rFonts w:ascii="Avenir Next" w:hAnsi="Avenir Next" w:cs="Arial"/>
          <w:sz w:val="22"/>
          <w:szCs w:val="22"/>
          <w:lang w:val="en-GB"/>
        </w:rPr>
      </w:pPr>
      <w:r w:rsidRPr="007B2025">
        <w:rPr>
          <w:rFonts w:ascii="Avenir Next" w:hAnsi="Avenir Next" w:cs="Arial"/>
          <w:sz w:val="22"/>
          <w:szCs w:val="22"/>
          <w:lang w:val="en-GB"/>
        </w:rPr>
        <w:t xml:space="preserve">Yes, it can. </w:t>
      </w:r>
      <w:r w:rsidR="000A1AF5" w:rsidRPr="007B2025">
        <w:rPr>
          <w:rFonts w:ascii="Avenir Next" w:hAnsi="Avenir Next" w:cs="Arial"/>
          <w:sz w:val="22"/>
          <w:szCs w:val="22"/>
          <w:lang w:val="en-GB"/>
        </w:rPr>
        <w:t xml:space="preserve">The factory lease is an executory contract, since there remain </w:t>
      </w:r>
      <w:r w:rsidR="000A1AF5" w:rsidRPr="007B2025">
        <w:rPr>
          <w:rFonts w:ascii="Avenir Next" w:hAnsi="Avenir Next"/>
          <w:sz w:val="22"/>
          <w:szCs w:val="22"/>
        </w:rPr>
        <w:t xml:space="preserve">material unperformed obligations on both sides (namely Land Corp’s obligation to provide use of the factory space for the remainder of the lease, and </w:t>
      </w:r>
      <w:proofErr w:type="spellStart"/>
      <w:r w:rsidR="000A1AF5" w:rsidRPr="007B2025">
        <w:rPr>
          <w:rFonts w:ascii="Avenir Next" w:hAnsi="Avenir Next"/>
          <w:sz w:val="22"/>
          <w:szCs w:val="22"/>
        </w:rPr>
        <w:t>GameMart’s</w:t>
      </w:r>
      <w:proofErr w:type="spellEnd"/>
      <w:r w:rsidR="000A1AF5" w:rsidRPr="007B2025">
        <w:rPr>
          <w:rFonts w:ascii="Avenir Next" w:hAnsi="Avenir Next"/>
          <w:sz w:val="22"/>
          <w:szCs w:val="22"/>
        </w:rPr>
        <w:t xml:space="preserve"> obligation to pay rental for the remainder of the lease). </w:t>
      </w:r>
      <w:r w:rsidR="007B2025">
        <w:rPr>
          <w:rFonts w:ascii="Avenir Next" w:hAnsi="Avenir Next"/>
          <w:sz w:val="22"/>
          <w:szCs w:val="22"/>
        </w:rPr>
        <w:t xml:space="preserve">Under </w:t>
      </w:r>
      <w:r w:rsidR="007B2025">
        <w:rPr>
          <w:rFonts w:ascii="Avenir Next" w:hAnsi="Avenir Next" w:cs="Arial"/>
          <w:sz w:val="22"/>
          <w:szCs w:val="22"/>
          <w:lang w:val="en-GB"/>
        </w:rPr>
        <w:t>11 USC §365(f), a trustee/debtor in possession may assume and assign an unexpired lease of the debtor, notwithstanding a provision in the expired lease that prohibits such an assignment. The factory lease can thus be assigned to a third party without Land Corp’s consent, notwithstanding the provision in the lease agreement.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B911" w14:textId="77777777" w:rsidR="0073513A" w:rsidRDefault="0073513A" w:rsidP="00241B44">
      <w:r>
        <w:separator/>
      </w:r>
    </w:p>
  </w:endnote>
  <w:endnote w:type="continuationSeparator" w:id="0">
    <w:p w14:paraId="4F4F5FE3" w14:textId="77777777" w:rsidR="0073513A" w:rsidRDefault="007351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C89B6A8" w:rsidR="00241FA3" w:rsidRPr="00494B81" w:rsidRDefault="00C7434B" w:rsidP="009B4976">
    <w:pPr>
      <w:pStyle w:val="Footer"/>
      <w:ind w:right="360"/>
      <w:rPr>
        <w:rFonts w:ascii="Avenir Next" w:hAnsi="Avenir Next" w:cs="Arial"/>
        <w:sz w:val="22"/>
        <w:szCs w:val="22"/>
        <w:lang w:val="en-GB"/>
      </w:rPr>
    </w:pPr>
    <w:r w:rsidRPr="00C7434B">
      <w:rPr>
        <w:rFonts w:ascii="Avenir Next" w:hAnsi="Avenir Next" w:cs="Arial"/>
        <w:sz w:val="22"/>
        <w:szCs w:val="22"/>
        <w:lang w:val="en-GB"/>
      </w:rPr>
      <w:t>202223-992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3429" w14:textId="77777777" w:rsidR="0073513A" w:rsidRDefault="0073513A" w:rsidP="00241B44">
      <w:r>
        <w:separator/>
      </w:r>
    </w:p>
  </w:footnote>
  <w:footnote w:type="continuationSeparator" w:id="0">
    <w:p w14:paraId="7F90EB8D" w14:textId="77777777" w:rsidR="0073513A" w:rsidRDefault="0073513A" w:rsidP="00241B44">
      <w:r>
        <w:continuationSeparator/>
      </w:r>
    </w:p>
  </w:footnote>
  <w:footnote w:id="1">
    <w:p w14:paraId="5EEF99CB" w14:textId="1228F5CF" w:rsidR="00D47BFA" w:rsidRDefault="00D47BFA" w:rsidP="00D47BFA">
      <w:pPr>
        <w:pStyle w:val="FootnoteText"/>
        <w:ind w:left="720" w:hanging="720"/>
      </w:pPr>
      <w:r>
        <w:rPr>
          <w:rStyle w:val="FootnoteReference"/>
        </w:rPr>
        <w:footnoteRef/>
      </w:r>
      <w:r>
        <w:t xml:space="preserve"> </w:t>
      </w:r>
      <w:r>
        <w:tab/>
        <w:t xml:space="preserve">Available at </w:t>
      </w:r>
      <w:hyperlink r:id="rId1" w:history="1">
        <w:r w:rsidRPr="000C3E4F">
          <w:rPr>
            <w:rStyle w:val="Hyperlink"/>
          </w:rPr>
          <w:t>https://www.federalregister.gov/documents/2022/02/04/2022-02299/adjustment-of-certain-dollar-amounts-in-the-bankruptcy-code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12B40"/>
    <w:multiLevelType w:val="hybridMultilevel"/>
    <w:tmpl w:val="4A728694"/>
    <w:lvl w:ilvl="0" w:tplc="DCC069C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C1A6A"/>
    <w:multiLevelType w:val="hybridMultilevel"/>
    <w:tmpl w:val="0024D6E4"/>
    <w:lvl w:ilvl="0" w:tplc="6F94076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7269D2"/>
    <w:multiLevelType w:val="hybridMultilevel"/>
    <w:tmpl w:val="81B21E0E"/>
    <w:lvl w:ilvl="0" w:tplc="EBD046A4">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95CCB"/>
    <w:multiLevelType w:val="hybridMultilevel"/>
    <w:tmpl w:val="D91485A4"/>
    <w:lvl w:ilvl="0" w:tplc="3418C5F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1073233118">
    <w:abstractNumId w:val="22"/>
  </w:num>
  <w:num w:numId="2" w16cid:durableId="1931430326">
    <w:abstractNumId w:val="25"/>
  </w:num>
  <w:num w:numId="3" w16cid:durableId="1223102920">
    <w:abstractNumId w:val="5"/>
  </w:num>
  <w:num w:numId="4" w16cid:durableId="155414985">
    <w:abstractNumId w:val="9"/>
  </w:num>
  <w:num w:numId="5" w16cid:durableId="1797605096">
    <w:abstractNumId w:val="11"/>
  </w:num>
  <w:num w:numId="6" w16cid:durableId="1339501410">
    <w:abstractNumId w:val="29"/>
  </w:num>
  <w:num w:numId="7" w16cid:durableId="1045636807">
    <w:abstractNumId w:val="6"/>
  </w:num>
  <w:num w:numId="8" w16cid:durableId="1674069826">
    <w:abstractNumId w:val="31"/>
  </w:num>
  <w:num w:numId="9" w16cid:durableId="866409852">
    <w:abstractNumId w:val="12"/>
  </w:num>
  <w:num w:numId="10" w16cid:durableId="989014340">
    <w:abstractNumId w:val="24"/>
  </w:num>
  <w:num w:numId="11" w16cid:durableId="2122139181">
    <w:abstractNumId w:val="14"/>
  </w:num>
  <w:num w:numId="12" w16cid:durableId="1168712362">
    <w:abstractNumId w:val="21"/>
  </w:num>
  <w:num w:numId="13" w16cid:durableId="1737313849">
    <w:abstractNumId w:val="0"/>
  </w:num>
  <w:num w:numId="14" w16cid:durableId="2030326699">
    <w:abstractNumId w:val="10"/>
  </w:num>
  <w:num w:numId="15" w16cid:durableId="1897279284">
    <w:abstractNumId w:val="17"/>
  </w:num>
  <w:num w:numId="16" w16cid:durableId="1050032552">
    <w:abstractNumId w:val="8"/>
  </w:num>
  <w:num w:numId="17" w16cid:durableId="1823891769">
    <w:abstractNumId w:val="4"/>
  </w:num>
  <w:num w:numId="18" w16cid:durableId="18505549">
    <w:abstractNumId w:val="3"/>
  </w:num>
  <w:num w:numId="19" w16cid:durableId="894507618">
    <w:abstractNumId w:val="26"/>
  </w:num>
  <w:num w:numId="20" w16cid:durableId="1910920856">
    <w:abstractNumId w:val="7"/>
  </w:num>
  <w:num w:numId="21" w16cid:durableId="9727372">
    <w:abstractNumId w:val="23"/>
  </w:num>
  <w:num w:numId="22" w16cid:durableId="959605692">
    <w:abstractNumId w:val="33"/>
  </w:num>
  <w:num w:numId="23" w16cid:durableId="1130513278">
    <w:abstractNumId w:val="13"/>
  </w:num>
  <w:num w:numId="24" w16cid:durableId="1136921001">
    <w:abstractNumId w:val="27"/>
  </w:num>
  <w:num w:numId="25" w16cid:durableId="896621455">
    <w:abstractNumId w:val="18"/>
  </w:num>
  <w:num w:numId="26" w16cid:durableId="1238326583">
    <w:abstractNumId w:val="19"/>
  </w:num>
  <w:num w:numId="27" w16cid:durableId="2056076247">
    <w:abstractNumId w:val="15"/>
  </w:num>
  <w:num w:numId="28" w16cid:durableId="1793328818">
    <w:abstractNumId w:val="30"/>
  </w:num>
  <w:num w:numId="29" w16cid:durableId="1890528443">
    <w:abstractNumId w:val="1"/>
  </w:num>
  <w:num w:numId="30" w16cid:durableId="1825268621">
    <w:abstractNumId w:val="16"/>
  </w:num>
  <w:num w:numId="31" w16cid:durableId="1936472793">
    <w:abstractNumId w:val="20"/>
  </w:num>
  <w:num w:numId="32" w16cid:durableId="511992294">
    <w:abstractNumId w:val="32"/>
  </w:num>
  <w:num w:numId="33" w16cid:durableId="2139297709">
    <w:abstractNumId w:val="2"/>
  </w:num>
  <w:num w:numId="34" w16cid:durableId="1542940872">
    <w:abstractNumId w:val="34"/>
  </w:num>
  <w:num w:numId="35" w16cid:durableId="34768377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7C8"/>
    <w:rsid w:val="00006992"/>
    <w:rsid w:val="00010BA0"/>
    <w:rsid w:val="00020557"/>
    <w:rsid w:val="00021FC2"/>
    <w:rsid w:val="00022E00"/>
    <w:rsid w:val="000250C7"/>
    <w:rsid w:val="00026F16"/>
    <w:rsid w:val="000346E7"/>
    <w:rsid w:val="00037621"/>
    <w:rsid w:val="00037671"/>
    <w:rsid w:val="000422FE"/>
    <w:rsid w:val="00042C87"/>
    <w:rsid w:val="00044D46"/>
    <w:rsid w:val="00045088"/>
    <w:rsid w:val="00045904"/>
    <w:rsid w:val="000502FD"/>
    <w:rsid w:val="00065166"/>
    <w:rsid w:val="000778B1"/>
    <w:rsid w:val="00082609"/>
    <w:rsid w:val="000851CC"/>
    <w:rsid w:val="00093BE8"/>
    <w:rsid w:val="00097B45"/>
    <w:rsid w:val="00097D56"/>
    <w:rsid w:val="000A1AF5"/>
    <w:rsid w:val="000A407B"/>
    <w:rsid w:val="000A636A"/>
    <w:rsid w:val="000A68ED"/>
    <w:rsid w:val="000A7A01"/>
    <w:rsid w:val="000A7A3D"/>
    <w:rsid w:val="000B5FF1"/>
    <w:rsid w:val="000B609F"/>
    <w:rsid w:val="000B6623"/>
    <w:rsid w:val="000C4C5B"/>
    <w:rsid w:val="000D55A8"/>
    <w:rsid w:val="000E4841"/>
    <w:rsid w:val="000F1677"/>
    <w:rsid w:val="000F3D6C"/>
    <w:rsid w:val="000F7FC2"/>
    <w:rsid w:val="00101707"/>
    <w:rsid w:val="00102CC9"/>
    <w:rsid w:val="0011473D"/>
    <w:rsid w:val="00115C85"/>
    <w:rsid w:val="0012224B"/>
    <w:rsid w:val="00123855"/>
    <w:rsid w:val="00126A4D"/>
    <w:rsid w:val="00130048"/>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6297"/>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75287"/>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0695"/>
    <w:rsid w:val="002F1956"/>
    <w:rsid w:val="002F2D13"/>
    <w:rsid w:val="002F3440"/>
    <w:rsid w:val="002F75A3"/>
    <w:rsid w:val="00301D2B"/>
    <w:rsid w:val="00303C2F"/>
    <w:rsid w:val="00306995"/>
    <w:rsid w:val="003144EF"/>
    <w:rsid w:val="00317DBE"/>
    <w:rsid w:val="003214B2"/>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5FC8"/>
    <w:rsid w:val="0036625E"/>
    <w:rsid w:val="0037465A"/>
    <w:rsid w:val="00374808"/>
    <w:rsid w:val="00382C98"/>
    <w:rsid w:val="0038411A"/>
    <w:rsid w:val="0038533C"/>
    <w:rsid w:val="00386568"/>
    <w:rsid w:val="00390B57"/>
    <w:rsid w:val="003948D5"/>
    <w:rsid w:val="00396821"/>
    <w:rsid w:val="00397D3A"/>
    <w:rsid w:val="003A051E"/>
    <w:rsid w:val="003A35AF"/>
    <w:rsid w:val="003A5537"/>
    <w:rsid w:val="003A75F4"/>
    <w:rsid w:val="003B170F"/>
    <w:rsid w:val="003B2644"/>
    <w:rsid w:val="003B3C5F"/>
    <w:rsid w:val="003B7184"/>
    <w:rsid w:val="003C3388"/>
    <w:rsid w:val="003C4471"/>
    <w:rsid w:val="003C53FE"/>
    <w:rsid w:val="003D0A6D"/>
    <w:rsid w:val="003E0B16"/>
    <w:rsid w:val="003E67D1"/>
    <w:rsid w:val="003F6522"/>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57C08"/>
    <w:rsid w:val="00471088"/>
    <w:rsid w:val="00477C72"/>
    <w:rsid w:val="004830F8"/>
    <w:rsid w:val="00484B73"/>
    <w:rsid w:val="00491675"/>
    <w:rsid w:val="00493855"/>
    <w:rsid w:val="00494B81"/>
    <w:rsid w:val="00495E79"/>
    <w:rsid w:val="004A148B"/>
    <w:rsid w:val="004A462C"/>
    <w:rsid w:val="004A57DD"/>
    <w:rsid w:val="004A7B51"/>
    <w:rsid w:val="004A7D71"/>
    <w:rsid w:val="004A7EF3"/>
    <w:rsid w:val="004B11FD"/>
    <w:rsid w:val="004B23A2"/>
    <w:rsid w:val="004C2A50"/>
    <w:rsid w:val="004D1A5A"/>
    <w:rsid w:val="004D2FFF"/>
    <w:rsid w:val="004D3721"/>
    <w:rsid w:val="004D4255"/>
    <w:rsid w:val="004D61A9"/>
    <w:rsid w:val="004D64F9"/>
    <w:rsid w:val="004E3A6B"/>
    <w:rsid w:val="004E5AF5"/>
    <w:rsid w:val="004E622C"/>
    <w:rsid w:val="004F49B5"/>
    <w:rsid w:val="004F5FDF"/>
    <w:rsid w:val="004F7B99"/>
    <w:rsid w:val="00515810"/>
    <w:rsid w:val="005177FE"/>
    <w:rsid w:val="0052263B"/>
    <w:rsid w:val="00523A9E"/>
    <w:rsid w:val="00524728"/>
    <w:rsid w:val="005331CA"/>
    <w:rsid w:val="00537424"/>
    <w:rsid w:val="00537970"/>
    <w:rsid w:val="00540E3A"/>
    <w:rsid w:val="00544127"/>
    <w:rsid w:val="00545B0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B08"/>
    <w:rsid w:val="00700D83"/>
    <w:rsid w:val="00704852"/>
    <w:rsid w:val="007074E9"/>
    <w:rsid w:val="00713DA4"/>
    <w:rsid w:val="00714BF1"/>
    <w:rsid w:val="00717C2C"/>
    <w:rsid w:val="00721383"/>
    <w:rsid w:val="0073158B"/>
    <w:rsid w:val="007333CC"/>
    <w:rsid w:val="0073399A"/>
    <w:rsid w:val="0073513A"/>
    <w:rsid w:val="00753FC3"/>
    <w:rsid w:val="007603F5"/>
    <w:rsid w:val="00764DB0"/>
    <w:rsid w:val="0076764D"/>
    <w:rsid w:val="0077498C"/>
    <w:rsid w:val="00777C53"/>
    <w:rsid w:val="007805B3"/>
    <w:rsid w:val="007809BC"/>
    <w:rsid w:val="00782AE4"/>
    <w:rsid w:val="00784128"/>
    <w:rsid w:val="00787BCC"/>
    <w:rsid w:val="00793173"/>
    <w:rsid w:val="007A2A33"/>
    <w:rsid w:val="007B0809"/>
    <w:rsid w:val="007B2025"/>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D31F4"/>
    <w:rsid w:val="008E01EA"/>
    <w:rsid w:val="008E3339"/>
    <w:rsid w:val="008F20FC"/>
    <w:rsid w:val="008F5FFE"/>
    <w:rsid w:val="00902FA7"/>
    <w:rsid w:val="00905A43"/>
    <w:rsid w:val="00912C79"/>
    <w:rsid w:val="0091686C"/>
    <w:rsid w:val="00921B8C"/>
    <w:rsid w:val="0092565E"/>
    <w:rsid w:val="0093467C"/>
    <w:rsid w:val="00942123"/>
    <w:rsid w:val="0095207B"/>
    <w:rsid w:val="00962045"/>
    <w:rsid w:val="00967371"/>
    <w:rsid w:val="00980E61"/>
    <w:rsid w:val="00991428"/>
    <w:rsid w:val="00992676"/>
    <w:rsid w:val="009954B2"/>
    <w:rsid w:val="00996691"/>
    <w:rsid w:val="00997DB0"/>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1C27"/>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48C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4EBC"/>
    <w:rsid w:val="00B95D1E"/>
    <w:rsid w:val="00B9639B"/>
    <w:rsid w:val="00BA331C"/>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66070"/>
    <w:rsid w:val="00C72848"/>
    <w:rsid w:val="00C7434B"/>
    <w:rsid w:val="00C7736C"/>
    <w:rsid w:val="00C8098D"/>
    <w:rsid w:val="00C82D87"/>
    <w:rsid w:val="00C8712A"/>
    <w:rsid w:val="00C87E0A"/>
    <w:rsid w:val="00C902C8"/>
    <w:rsid w:val="00C919D1"/>
    <w:rsid w:val="00C963D3"/>
    <w:rsid w:val="00CB1983"/>
    <w:rsid w:val="00CB2CBB"/>
    <w:rsid w:val="00CB6578"/>
    <w:rsid w:val="00CB7CAC"/>
    <w:rsid w:val="00CC05AD"/>
    <w:rsid w:val="00CC4818"/>
    <w:rsid w:val="00CC5335"/>
    <w:rsid w:val="00CC5BA4"/>
    <w:rsid w:val="00CD4998"/>
    <w:rsid w:val="00CE0203"/>
    <w:rsid w:val="00CE0ECD"/>
    <w:rsid w:val="00CE1035"/>
    <w:rsid w:val="00CE6E50"/>
    <w:rsid w:val="00CF2819"/>
    <w:rsid w:val="00CF4F9D"/>
    <w:rsid w:val="00CF70DC"/>
    <w:rsid w:val="00D02AFD"/>
    <w:rsid w:val="00D041E0"/>
    <w:rsid w:val="00D04AFE"/>
    <w:rsid w:val="00D06A30"/>
    <w:rsid w:val="00D14336"/>
    <w:rsid w:val="00D148DC"/>
    <w:rsid w:val="00D17FDC"/>
    <w:rsid w:val="00D21021"/>
    <w:rsid w:val="00D21D8C"/>
    <w:rsid w:val="00D316F2"/>
    <w:rsid w:val="00D34584"/>
    <w:rsid w:val="00D47BFA"/>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69EB"/>
    <w:rsid w:val="00DD0802"/>
    <w:rsid w:val="00DD2E11"/>
    <w:rsid w:val="00DE03AF"/>
    <w:rsid w:val="00DE121C"/>
    <w:rsid w:val="00DE5357"/>
    <w:rsid w:val="00DE6633"/>
    <w:rsid w:val="00DE7E9B"/>
    <w:rsid w:val="00DF158F"/>
    <w:rsid w:val="00DF75F8"/>
    <w:rsid w:val="00DF7A3A"/>
    <w:rsid w:val="00E00C00"/>
    <w:rsid w:val="00E01803"/>
    <w:rsid w:val="00E027DE"/>
    <w:rsid w:val="00E07C5A"/>
    <w:rsid w:val="00E15BA9"/>
    <w:rsid w:val="00E26E10"/>
    <w:rsid w:val="00E26E19"/>
    <w:rsid w:val="00E30E60"/>
    <w:rsid w:val="00E31DF3"/>
    <w:rsid w:val="00E358E4"/>
    <w:rsid w:val="00E41578"/>
    <w:rsid w:val="00E421C6"/>
    <w:rsid w:val="00E450A4"/>
    <w:rsid w:val="00E506BE"/>
    <w:rsid w:val="00E51814"/>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4C8F"/>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D4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22/02/04/2022-02299/adjustment-of-certain-dollar-amounts-in-the-bankruptc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14</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 Yan (SUPCOURT)</cp:lastModifiedBy>
  <cp:revision>28</cp:revision>
  <cp:lastPrinted>2019-08-27T05:42:00Z</cp:lastPrinted>
  <dcterms:created xsi:type="dcterms:W3CDTF">2022-07-01T09:50:00Z</dcterms:created>
  <dcterms:modified xsi:type="dcterms:W3CDTF">2023-02-28T14:44:00Z</dcterms:modified>
</cp:coreProperties>
</file>