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pPr>
        <w:pStyle w:val="ListParagraph"/>
        <w:numPr>
          <w:ilvl w:val="0"/>
          <w:numId w:val="1"/>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801463" w:rsidRDefault="00436884">
      <w:pPr>
        <w:pStyle w:val="ListParagraph"/>
        <w:numPr>
          <w:ilvl w:val="0"/>
          <w:numId w:val="1"/>
        </w:numPr>
        <w:ind w:left="426"/>
        <w:jc w:val="both"/>
        <w:rPr>
          <w:rFonts w:ascii="Avenir Next" w:hAnsi="Avenir Next" w:cs="Arial"/>
          <w:sz w:val="22"/>
          <w:szCs w:val="22"/>
          <w:highlight w:val="yellow"/>
          <w:lang w:val="en-GB"/>
        </w:rPr>
      </w:pPr>
      <w:r w:rsidRPr="00801463">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6D6FF6" w:rsidRDefault="00436884">
      <w:pPr>
        <w:pStyle w:val="ListParagraph"/>
        <w:numPr>
          <w:ilvl w:val="0"/>
          <w:numId w:val="2"/>
        </w:numPr>
        <w:ind w:left="426"/>
        <w:jc w:val="both"/>
        <w:rPr>
          <w:rFonts w:ascii="Avenir Next" w:hAnsi="Avenir Next" w:cs="Arial"/>
          <w:sz w:val="22"/>
          <w:szCs w:val="22"/>
          <w:highlight w:val="yellow"/>
          <w:lang w:val="en-GB"/>
        </w:rPr>
      </w:pPr>
      <w:r w:rsidRPr="006D6FF6">
        <w:rPr>
          <w:rFonts w:ascii="Avenir Next" w:hAnsi="Avenir Next" w:cs="Arial"/>
          <w:sz w:val="22"/>
          <w:szCs w:val="22"/>
          <w:highlight w:val="yellow"/>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6D6FF6" w:rsidRDefault="00853A74">
      <w:pPr>
        <w:pStyle w:val="ListParagraph"/>
        <w:numPr>
          <w:ilvl w:val="0"/>
          <w:numId w:val="3"/>
        </w:numPr>
        <w:ind w:left="426"/>
        <w:jc w:val="both"/>
        <w:rPr>
          <w:rFonts w:ascii="Avenir Next" w:hAnsi="Avenir Next" w:cs="Arial"/>
          <w:sz w:val="22"/>
          <w:szCs w:val="22"/>
          <w:highlight w:val="yellow"/>
          <w:lang w:val="en-GB"/>
        </w:rPr>
      </w:pPr>
      <w:r w:rsidRPr="006D6FF6">
        <w:rPr>
          <w:rFonts w:ascii="Avenir Next" w:hAnsi="Avenir Next"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386FD0" w:rsidRDefault="00436884">
      <w:pPr>
        <w:pStyle w:val="ListParagraph"/>
        <w:numPr>
          <w:ilvl w:val="0"/>
          <w:numId w:val="4"/>
        </w:numPr>
        <w:ind w:left="426"/>
        <w:jc w:val="both"/>
        <w:rPr>
          <w:rFonts w:ascii="Avenir Next" w:hAnsi="Avenir Next" w:cs="Arial"/>
          <w:sz w:val="22"/>
          <w:szCs w:val="22"/>
          <w:highlight w:val="yellow"/>
          <w:lang w:val="en-GB"/>
        </w:rPr>
      </w:pPr>
      <w:r w:rsidRPr="00386FD0">
        <w:rPr>
          <w:rFonts w:ascii="Avenir Next" w:hAnsi="Avenir Next" w:cs="Arial"/>
          <w:sz w:val="22"/>
          <w:szCs w:val="22"/>
          <w:highlight w:val="yellow"/>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safe conduct rule.</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386FD0" w:rsidRDefault="00C504E5">
      <w:pPr>
        <w:pStyle w:val="ListParagraph"/>
        <w:numPr>
          <w:ilvl w:val="0"/>
          <w:numId w:val="5"/>
        </w:numPr>
        <w:ind w:left="426"/>
        <w:jc w:val="both"/>
        <w:rPr>
          <w:rFonts w:ascii="Avenir Next" w:hAnsi="Avenir Next" w:cs="Arial"/>
          <w:sz w:val="22"/>
          <w:szCs w:val="22"/>
          <w:highlight w:val="yellow"/>
          <w:lang w:val="en-GB"/>
        </w:rPr>
      </w:pPr>
      <w:r w:rsidRPr="00386FD0">
        <w:rPr>
          <w:rFonts w:ascii="Avenir Next" w:hAnsi="Avenir Next" w:cs="Arial"/>
          <w:sz w:val="22"/>
          <w:szCs w:val="22"/>
          <w:highlight w:val="yellow"/>
          <w:lang w:val="en-GB"/>
        </w:rPr>
        <w:t xml:space="preserve">Both the foreign main proceedings in South Africa and the foreign non-main proceedings in </w:t>
      </w:r>
      <w:r w:rsidR="004137C3" w:rsidRPr="00386FD0">
        <w:rPr>
          <w:rFonts w:ascii="Avenir Next" w:hAnsi="Avenir Next" w:cs="Arial"/>
          <w:sz w:val="22"/>
          <w:szCs w:val="22"/>
          <w:highlight w:val="yellow"/>
          <w:lang w:val="en-GB"/>
        </w:rPr>
        <w:t xml:space="preserve">Argentina </w:t>
      </w:r>
      <w:r w:rsidRPr="00386FD0">
        <w:rPr>
          <w:rFonts w:ascii="Avenir Next" w:hAnsi="Avenir Next" w:cs="Arial"/>
          <w:sz w:val="22"/>
          <w:szCs w:val="22"/>
          <w:highlight w:val="yellow"/>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3B4632" w:rsidRDefault="00B72F5F">
      <w:pPr>
        <w:pStyle w:val="ListParagraph"/>
        <w:numPr>
          <w:ilvl w:val="0"/>
          <w:numId w:val="6"/>
        </w:numPr>
        <w:ind w:left="426"/>
        <w:jc w:val="both"/>
        <w:rPr>
          <w:rFonts w:ascii="Avenir Next" w:hAnsi="Avenir Next" w:cs="Arial"/>
          <w:sz w:val="22"/>
          <w:szCs w:val="22"/>
          <w:highlight w:val="yellow"/>
          <w:lang w:val="en-GB"/>
        </w:rPr>
      </w:pPr>
      <w:r w:rsidRPr="003B4632">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3B4632">
        <w:rPr>
          <w:rFonts w:ascii="Avenir Next" w:hAnsi="Avenir Next" w:cs="Arial"/>
          <w:sz w:val="22"/>
          <w:szCs w:val="22"/>
          <w:highlight w:val="yellow"/>
          <w:lang w:val="en-GB"/>
        </w:rPr>
        <w:t>will</w:t>
      </w:r>
      <w:r w:rsidRPr="003B4632">
        <w:rPr>
          <w:rFonts w:ascii="Avenir Next" w:hAnsi="Avenir Next" w:cs="Arial"/>
          <w:sz w:val="22"/>
          <w:szCs w:val="22"/>
          <w:highlight w:val="yellow"/>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C07E61" w:rsidRDefault="00436884">
      <w:pPr>
        <w:pStyle w:val="ListParagraph"/>
        <w:numPr>
          <w:ilvl w:val="0"/>
          <w:numId w:val="7"/>
        </w:numPr>
        <w:ind w:left="426"/>
        <w:jc w:val="both"/>
        <w:rPr>
          <w:rFonts w:ascii="Avenir Next" w:hAnsi="Avenir Next" w:cs="Arial"/>
          <w:sz w:val="22"/>
          <w:szCs w:val="22"/>
          <w:highlight w:val="yellow"/>
          <w:lang w:val="en-GB"/>
        </w:rPr>
      </w:pPr>
      <w:r w:rsidRPr="00C07E61">
        <w:rPr>
          <w:rFonts w:ascii="Avenir Next" w:hAnsi="Avenir Next" w:cs="Arial"/>
          <w:sz w:val="22"/>
          <w:szCs w:val="22"/>
          <w:highlight w:val="yellow"/>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B77352" w:rsidRDefault="00436884">
      <w:pPr>
        <w:pStyle w:val="ListParagraph"/>
        <w:numPr>
          <w:ilvl w:val="0"/>
          <w:numId w:val="7"/>
        </w:numPr>
        <w:ind w:left="426"/>
        <w:jc w:val="both"/>
        <w:rPr>
          <w:rFonts w:ascii="Avenir Next" w:hAnsi="Avenir Next" w:cs="Arial"/>
          <w:sz w:val="22"/>
          <w:szCs w:val="22"/>
          <w:lang w:val="en-GB"/>
        </w:rPr>
      </w:pPr>
      <w:r w:rsidRPr="00B77352">
        <w:rPr>
          <w:rFonts w:ascii="Avenir Next" w:hAnsi="Avenir Next" w:cs="Arial"/>
          <w:sz w:val="22"/>
          <w:szCs w:val="22"/>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All of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E2622D" w:rsidRDefault="00436884">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C07E61" w:rsidRDefault="00436884">
      <w:pPr>
        <w:pStyle w:val="ListParagraph"/>
        <w:numPr>
          <w:ilvl w:val="0"/>
          <w:numId w:val="8"/>
        </w:numPr>
        <w:ind w:left="426"/>
        <w:jc w:val="both"/>
        <w:rPr>
          <w:rFonts w:ascii="Avenir Next" w:hAnsi="Avenir Next" w:cs="Arial"/>
          <w:sz w:val="22"/>
          <w:szCs w:val="22"/>
          <w:highlight w:val="yellow"/>
          <w:lang w:val="en-GB"/>
        </w:rPr>
      </w:pPr>
      <w:r w:rsidRPr="00C07E61">
        <w:rPr>
          <w:rFonts w:ascii="Avenir Next" w:hAnsi="Avenir Next" w:cs="Arial"/>
          <w:sz w:val="22"/>
          <w:szCs w:val="22"/>
          <w:highlight w:val="yellow"/>
          <w:lang w:val="en-GB"/>
        </w:rPr>
        <w:t>All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84722A" w:rsidRDefault="00436884">
      <w:pPr>
        <w:pStyle w:val="ListParagraph"/>
        <w:numPr>
          <w:ilvl w:val="0"/>
          <w:numId w:val="9"/>
        </w:numPr>
        <w:ind w:left="426"/>
        <w:jc w:val="both"/>
        <w:rPr>
          <w:rFonts w:ascii="Avenir Next" w:hAnsi="Avenir Next" w:cs="Arial"/>
          <w:sz w:val="22"/>
          <w:szCs w:val="22"/>
          <w:highlight w:val="yellow"/>
          <w:lang w:val="en-GB"/>
        </w:rPr>
      </w:pPr>
      <w:r w:rsidRPr="0084722A">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9B5FD7" w:rsidRDefault="00436884">
      <w:pPr>
        <w:pStyle w:val="ListParagraph"/>
        <w:numPr>
          <w:ilvl w:val="0"/>
          <w:numId w:val="10"/>
        </w:numPr>
        <w:ind w:left="426"/>
        <w:jc w:val="both"/>
        <w:rPr>
          <w:rFonts w:ascii="Avenir Next" w:hAnsi="Avenir Next" w:cs="Arial"/>
          <w:sz w:val="22"/>
          <w:szCs w:val="22"/>
          <w:highlight w:val="yellow"/>
          <w:lang w:val="en-GB"/>
        </w:rPr>
      </w:pPr>
      <w:r w:rsidRPr="009B5FD7">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9B5FD7">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pPr>
        <w:pStyle w:val="ListParagraph"/>
        <w:numPr>
          <w:ilvl w:val="0"/>
          <w:numId w:val="1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EB256B3" w:rsidR="00436884" w:rsidRPr="00E2622D" w:rsidRDefault="00436884">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1687C322" w14:textId="77777777" w:rsidR="008A4FC2" w:rsidRPr="00EA24F3" w:rsidRDefault="0075270A" w:rsidP="0075270A">
      <w:pPr>
        <w:ind w:left="720"/>
        <w:jc w:val="both"/>
        <w:rPr>
          <w:rFonts w:ascii="Arial" w:hAnsi="Arial" w:cs="Arial"/>
          <w:sz w:val="22"/>
          <w:szCs w:val="22"/>
          <w:lang w:val="en-GB"/>
        </w:rPr>
      </w:pPr>
      <w:r w:rsidRPr="00EA24F3">
        <w:rPr>
          <w:rFonts w:ascii="Arial" w:hAnsi="Arial" w:cs="Arial"/>
          <w:sz w:val="22"/>
          <w:szCs w:val="22"/>
          <w:lang w:val="en-GB"/>
        </w:rPr>
        <w:t xml:space="preserve">The appropriate date for determining the COMI of a debtor is the date of commencement of the foreign proceeding. </w:t>
      </w:r>
    </w:p>
    <w:p w14:paraId="29412D03" w14:textId="50E70383" w:rsidR="008A4FC2" w:rsidRPr="00EA24F3" w:rsidRDefault="008A4FC2" w:rsidP="0075270A">
      <w:pPr>
        <w:ind w:left="720"/>
        <w:jc w:val="both"/>
        <w:rPr>
          <w:rFonts w:ascii="Arial" w:hAnsi="Arial" w:cs="Arial"/>
          <w:sz w:val="22"/>
          <w:szCs w:val="22"/>
          <w:lang w:val="en-GB"/>
        </w:rPr>
      </w:pPr>
      <w:r w:rsidRPr="00EA24F3">
        <w:rPr>
          <w:rFonts w:ascii="Arial" w:hAnsi="Arial" w:cs="Arial"/>
          <w:sz w:val="22"/>
          <w:szCs w:val="22"/>
          <w:lang w:val="en-GB"/>
        </w:rPr>
        <w:t xml:space="preserve">In ascertaining the COMI, there are two key factors taken into account under the MLCBI: a) the location where the central administration of the debtor takes place which is b) readily ascertainable by creditors of the debtor. This is a holistic analysis to determine that the foreign main proceeding corresponds to the actual location of the debtor’s COMI, as ascertainable by its creditors. Other factors which can be considered in determining COMI include, </w:t>
      </w:r>
      <w:r w:rsidRPr="00EA24F3">
        <w:rPr>
          <w:rFonts w:ascii="Arial" w:hAnsi="Arial" w:cs="Arial"/>
          <w:i/>
          <w:iCs/>
          <w:sz w:val="22"/>
          <w:szCs w:val="22"/>
          <w:lang w:val="en-GB"/>
        </w:rPr>
        <w:t>inter alia</w:t>
      </w:r>
      <w:r w:rsidRPr="00EA24F3">
        <w:rPr>
          <w:rFonts w:ascii="Arial" w:hAnsi="Arial" w:cs="Arial"/>
          <w:sz w:val="22"/>
          <w:szCs w:val="22"/>
          <w:lang w:val="en-GB"/>
        </w:rPr>
        <w:t xml:space="preserve">, the location in which the debtor’s principal assets or operations are found. </w:t>
      </w:r>
    </w:p>
    <w:p w14:paraId="654B0E66" w14:textId="0166696C" w:rsidR="00CB56CE" w:rsidRPr="00EA24F3" w:rsidRDefault="008A4FC2" w:rsidP="0075270A">
      <w:pPr>
        <w:ind w:left="720"/>
        <w:jc w:val="both"/>
        <w:rPr>
          <w:rFonts w:ascii="Arial" w:hAnsi="Arial" w:cs="Arial"/>
          <w:sz w:val="22"/>
          <w:szCs w:val="22"/>
          <w:lang w:val="en-GB"/>
        </w:rPr>
      </w:pPr>
      <w:r w:rsidRPr="00EA24F3">
        <w:rPr>
          <w:rFonts w:ascii="Arial" w:hAnsi="Arial" w:cs="Arial"/>
          <w:sz w:val="22"/>
          <w:szCs w:val="22"/>
          <w:lang w:val="en-GB"/>
        </w:rPr>
        <w:t xml:space="preserve">The appropriate date for determining the COMI of a debtor is important because the COMI of a debtor can shift. A shift in the COMI close to the date of the commencement of foreign proceedings makes it harder to determine the COMI of a debtor. </w:t>
      </w:r>
    </w:p>
    <w:p w14:paraId="0E8C2C3F" w14:textId="328A1A12" w:rsidR="00B77352" w:rsidRDefault="00B77352" w:rsidP="00707FC8">
      <w:pPr>
        <w:ind w:left="720" w:hanging="720"/>
        <w:jc w:val="both"/>
        <w:rPr>
          <w:rFonts w:ascii="Avenir Next" w:hAnsi="Avenir Next" w:cs="Arial"/>
          <w:sz w:val="22"/>
          <w:szCs w:val="22"/>
          <w:lang w:val="en-GB"/>
        </w:rPr>
      </w:pP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72F9909D" w:rsidR="00436884"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B2DBB49" w14:textId="7C01D55F" w:rsidR="007765FA" w:rsidRPr="00EA24F3" w:rsidRDefault="007765FA" w:rsidP="00436884">
      <w:pPr>
        <w:ind w:left="1440" w:hanging="1440"/>
        <w:jc w:val="both"/>
        <w:rPr>
          <w:rFonts w:ascii="Arial" w:hAnsi="Arial" w:cs="Arial"/>
          <w:sz w:val="22"/>
          <w:szCs w:val="22"/>
          <w:lang w:val="en-GB"/>
        </w:rPr>
      </w:pPr>
      <w:r>
        <w:rPr>
          <w:rFonts w:ascii="Avenir Next" w:hAnsi="Avenir Next" w:cs="Arial"/>
          <w:sz w:val="22"/>
          <w:szCs w:val="22"/>
          <w:lang w:val="en-GB"/>
        </w:rPr>
        <w:tab/>
      </w:r>
      <w:r w:rsidRPr="00EA24F3">
        <w:rPr>
          <w:rFonts w:ascii="Arial" w:hAnsi="Arial" w:cs="Arial"/>
          <w:sz w:val="22"/>
          <w:szCs w:val="22"/>
          <w:lang w:val="en-GB"/>
        </w:rPr>
        <w:t xml:space="preserve">This is Art 14 of the MLCBI. </w:t>
      </w:r>
      <w:r w:rsidR="00943743" w:rsidRPr="00EA24F3">
        <w:rPr>
          <w:rFonts w:ascii="Arial" w:hAnsi="Arial" w:cs="Arial"/>
          <w:sz w:val="22"/>
          <w:szCs w:val="22"/>
          <w:lang w:val="en-GB"/>
        </w:rPr>
        <w:t>This ensures that foreign creditors are not discriminated against</w:t>
      </w:r>
      <w:r w:rsidR="00093653" w:rsidRPr="00EA24F3">
        <w:rPr>
          <w:rFonts w:ascii="Arial" w:hAnsi="Arial" w:cs="Arial"/>
          <w:sz w:val="22"/>
          <w:szCs w:val="22"/>
          <w:lang w:val="en-GB"/>
        </w:rPr>
        <w:t xml:space="preserve"> by requiring that foreign creditors be notified whenever </w:t>
      </w:r>
      <w:r w:rsidR="00093653" w:rsidRPr="00EA24F3">
        <w:rPr>
          <w:rFonts w:ascii="Arial" w:hAnsi="Arial" w:cs="Arial"/>
          <w:sz w:val="22"/>
          <w:szCs w:val="22"/>
          <w:lang w:val="en-GB"/>
        </w:rPr>
        <w:lastRenderedPageBreak/>
        <w:t xml:space="preserve">notification is required for local creditors in the enacting State – it embodies the equal treatment principle. </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35F7B9CB" w:rsidR="00436884" w:rsidRDefault="00436884" w:rsidP="00436884">
      <w:pPr>
        <w:ind w:left="1440" w:hanging="1440"/>
        <w:jc w:val="both"/>
        <w:rPr>
          <w:rFonts w:ascii="Avenir Next" w:hAnsi="Avenir Next" w:cs="Arial"/>
          <w:i/>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9F7D47" w14:textId="224E5DD9" w:rsidR="002C6252" w:rsidRPr="00EA24F3" w:rsidRDefault="002C6252" w:rsidP="00436884">
      <w:pPr>
        <w:ind w:left="1440" w:hanging="1440"/>
        <w:jc w:val="both"/>
        <w:rPr>
          <w:rFonts w:ascii="Arial" w:hAnsi="Arial" w:cs="Arial"/>
          <w:sz w:val="22"/>
          <w:szCs w:val="22"/>
          <w:lang w:val="en-GB"/>
        </w:rPr>
      </w:pPr>
      <w:r>
        <w:rPr>
          <w:rFonts w:ascii="Avenir Next" w:hAnsi="Avenir Next" w:cs="Arial"/>
          <w:sz w:val="22"/>
          <w:szCs w:val="22"/>
          <w:lang w:val="en-GB"/>
        </w:rPr>
        <w:tab/>
      </w:r>
      <w:r w:rsidRPr="00EA24F3">
        <w:rPr>
          <w:rFonts w:ascii="Arial" w:hAnsi="Arial" w:cs="Arial"/>
          <w:sz w:val="22"/>
          <w:szCs w:val="22"/>
          <w:lang w:val="en-GB"/>
        </w:rPr>
        <w:t>This is Art 10</w:t>
      </w:r>
      <w:r w:rsidR="007765FA" w:rsidRPr="00EA24F3">
        <w:rPr>
          <w:rFonts w:ascii="Arial" w:hAnsi="Arial" w:cs="Arial"/>
          <w:sz w:val="22"/>
          <w:szCs w:val="22"/>
          <w:lang w:val="en-GB"/>
        </w:rPr>
        <w:t xml:space="preserve"> of the MLCBI</w:t>
      </w:r>
      <w:r w:rsidRPr="00EA24F3">
        <w:rPr>
          <w:rFonts w:ascii="Arial" w:hAnsi="Arial" w:cs="Arial"/>
          <w:sz w:val="22"/>
          <w:szCs w:val="22"/>
          <w:lang w:val="en-GB"/>
        </w:rPr>
        <w:t xml:space="preserve">. This article provides that the enacting State does not assume jurisdiction over all assets of the debtor on the sole basis that the foreign representative has applied for the foreign proceeding to be recognised. This article was developed to address concerns of foreign representatives and creditors about an all-embracing jurisdiction which may be triggered by an application under the Model Law. </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F11B053" w:rsidR="00436884"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64A65F61" w14:textId="70F3A14E" w:rsidR="00942062" w:rsidRPr="00EA24F3" w:rsidRDefault="00942062" w:rsidP="00436884">
      <w:pPr>
        <w:ind w:left="1440" w:hanging="1440"/>
        <w:jc w:val="both"/>
        <w:rPr>
          <w:rFonts w:ascii="Arial" w:hAnsi="Arial" w:cs="Arial"/>
          <w:iCs/>
          <w:sz w:val="22"/>
          <w:szCs w:val="22"/>
          <w:lang w:val="en-GB"/>
        </w:rPr>
      </w:pPr>
      <w:r>
        <w:rPr>
          <w:rFonts w:ascii="Avenir Next" w:hAnsi="Avenir Next" w:cs="Arial"/>
          <w:iCs/>
          <w:sz w:val="22"/>
          <w:szCs w:val="22"/>
          <w:lang w:val="en-GB"/>
        </w:rPr>
        <w:tab/>
      </w:r>
      <w:r w:rsidRPr="00EA24F3">
        <w:rPr>
          <w:rFonts w:ascii="Arial" w:hAnsi="Arial" w:cs="Arial"/>
          <w:iCs/>
          <w:sz w:val="22"/>
          <w:szCs w:val="22"/>
          <w:lang w:val="en-GB"/>
        </w:rPr>
        <w:t>This is Art 16(3)</w:t>
      </w:r>
      <w:r w:rsidR="007765FA" w:rsidRPr="00EA24F3">
        <w:rPr>
          <w:rFonts w:ascii="Arial" w:hAnsi="Arial" w:cs="Arial"/>
          <w:iCs/>
          <w:sz w:val="22"/>
          <w:szCs w:val="22"/>
          <w:lang w:val="en-GB"/>
        </w:rPr>
        <w:t xml:space="preserve"> </w:t>
      </w:r>
      <w:r w:rsidR="007765FA" w:rsidRPr="00EA24F3">
        <w:rPr>
          <w:rFonts w:ascii="Arial" w:hAnsi="Arial" w:cs="Arial"/>
          <w:sz w:val="22"/>
          <w:szCs w:val="22"/>
          <w:lang w:val="en-GB"/>
        </w:rPr>
        <w:t>of the MLCBI</w:t>
      </w:r>
      <w:r w:rsidRPr="00EA24F3">
        <w:rPr>
          <w:rFonts w:ascii="Arial" w:hAnsi="Arial" w:cs="Arial"/>
          <w:iCs/>
          <w:sz w:val="22"/>
          <w:szCs w:val="22"/>
          <w:lang w:val="en-GB"/>
        </w:rPr>
        <w:t>. It sets out the rebuttable presumption that the debtor’s registered office, or habitual residence in the case of an individual, is presumed to be the centre of the debtor’s main interests. The concept of the “center of main interests” or COMI is undefined in the MLCBI. COMI is a key concept because it guides the determination of whether a foreign proceeding is a foreign main proceeding, or a foreign non-main proceeding. This affects the nature of the reliefs which may be granted under the MLCBI</w:t>
      </w:r>
      <w:r w:rsidR="008A4FC2" w:rsidRPr="00EA24F3">
        <w:rPr>
          <w:rFonts w:ascii="Arial" w:hAnsi="Arial" w:cs="Arial"/>
          <w:iCs/>
          <w:sz w:val="22"/>
          <w:szCs w:val="22"/>
          <w:lang w:val="en-GB"/>
        </w:rPr>
        <w:t xml:space="preserve"> – specifically the reliefs which may be granted to assist the foreign proceeding. </w:t>
      </w:r>
      <w:r w:rsidR="002D7D0E">
        <w:rPr>
          <w:rFonts w:ascii="Arial" w:hAnsi="Arial" w:cs="Arial"/>
          <w:iCs/>
          <w:sz w:val="22"/>
          <w:szCs w:val="22"/>
          <w:lang w:val="en-GB"/>
        </w:rPr>
        <w:t xml:space="preserve">For example, automatic reliefs are </w:t>
      </w:r>
      <w:r w:rsidR="001D3935">
        <w:rPr>
          <w:rFonts w:ascii="Arial" w:hAnsi="Arial" w:cs="Arial"/>
          <w:iCs/>
          <w:sz w:val="22"/>
          <w:szCs w:val="22"/>
          <w:lang w:val="en-GB"/>
        </w:rPr>
        <w:t xml:space="preserve">only </w:t>
      </w:r>
      <w:r w:rsidR="002D7D0E">
        <w:rPr>
          <w:rFonts w:ascii="Arial" w:hAnsi="Arial" w:cs="Arial"/>
          <w:iCs/>
          <w:sz w:val="22"/>
          <w:szCs w:val="22"/>
          <w:lang w:val="en-GB"/>
        </w:rPr>
        <w:t>granted upon recognition of a foreign main proceeding</w:t>
      </w:r>
      <w:r w:rsidR="001D3935">
        <w:rPr>
          <w:rFonts w:ascii="Arial" w:hAnsi="Arial" w:cs="Arial"/>
          <w:iCs/>
          <w:sz w:val="22"/>
          <w:szCs w:val="22"/>
          <w:lang w:val="en-GB"/>
        </w:rPr>
        <w:t xml:space="preserve"> (Art 21). </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3A528B41" w14:textId="532C3167" w:rsidR="00CB56CE" w:rsidRDefault="00CB56CE" w:rsidP="00707FC8">
      <w:pPr>
        <w:ind w:left="720" w:hanging="720"/>
        <w:jc w:val="both"/>
        <w:rPr>
          <w:rFonts w:ascii="Avenir Next" w:hAnsi="Avenir Next" w:cs="Arial"/>
          <w:sz w:val="22"/>
          <w:szCs w:val="22"/>
          <w:lang w:val="en-GB"/>
        </w:rPr>
      </w:pP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3417DB7A" w14:textId="423065EA" w:rsidR="00CB56CE" w:rsidRDefault="00863E20" w:rsidP="00707FC8">
      <w:pPr>
        <w:jc w:val="both"/>
        <w:rPr>
          <w:rFonts w:ascii="Arial" w:hAnsi="Arial" w:cs="Arial"/>
          <w:sz w:val="22"/>
          <w:szCs w:val="22"/>
          <w:lang w:val="en-GB"/>
        </w:rPr>
      </w:pPr>
      <w:r w:rsidRPr="00EA24F3">
        <w:rPr>
          <w:rFonts w:ascii="Arial" w:hAnsi="Arial" w:cs="Arial"/>
          <w:sz w:val="22"/>
          <w:szCs w:val="22"/>
          <w:lang w:val="en-GB"/>
        </w:rPr>
        <w:t>The English Court of Appeal</w:t>
      </w:r>
      <w:r w:rsidR="00EA24F3">
        <w:rPr>
          <w:rFonts w:ascii="Arial" w:hAnsi="Arial" w:cs="Arial"/>
          <w:sz w:val="22"/>
          <w:szCs w:val="22"/>
          <w:lang w:val="en-GB"/>
        </w:rPr>
        <w:t xml:space="preserve"> (“CA”)</w:t>
      </w:r>
      <w:r w:rsidRPr="00EA24F3">
        <w:rPr>
          <w:rFonts w:ascii="Arial" w:hAnsi="Arial" w:cs="Arial"/>
          <w:sz w:val="22"/>
          <w:szCs w:val="22"/>
          <w:lang w:val="en-GB"/>
        </w:rPr>
        <w:t xml:space="preserve"> was of the view that the main question was whether the court should exercise its power to grant the indefinite Moratorium Continuation if doing so would </w:t>
      </w:r>
      <w:r w:rsidR="00F82EE9" w:rsidRPr="00EA24F3">
        <w:rPr>
          <w:rFonts w:ascii="Arial" w:hAnsi="Arial" w:cs="Arial"/>
          <w:sz w:val="22"/>
          <w:szCs w:val="22"/>
          <w:lang w:val="en-GB"/>
        </w:rPr>
        <w:t xml:space="preserve">a) </w:t>
      </w:r>
      <w:r w:rsidRPr="00EA24F3">
        <w:rPr>
          <w:rFonts w:ascii="Arial" w:hAnsi="Arial" w:cs="Arial"/>
          <w:sz w:val="22"/>
          <w:szCs w:val="22"/>
          <w:lang w:val="en-GB"/>
        </w:rPr>
        <w:t xml:space="preserve">effectively prevent English creditors from enforcing their rights under English law in accordance with the Gibbs Rule and b) whether the stay should be prolonged after the Azeri reconstruction had come to an end. </w:t>
      </w:r>
    </w:p>
    <w:p w14:paraId="0A51CBDF" w14:textId="7F06E2CE" w:rsidR="00EA24F3" w:rsidRDefault="00EA24F3" w:rsidP="00707FC8">
      <w:pPr>
        <w:jc w:val="both"/>
        <w:rPr>
          <w:rFonts w:ascii="Arial" w:hAnsi="Arial" w:cs="Arial"/>
          <w:sz w:val="22"/>
          <w:szCs w:val="22"/>
          <w:lang w:val="en-GB"/>
        </w:rPr>
      </w:pPr>
    </w:p>
    <w:p w14:paraId="4637ECE6" w14:textId="4C97578B" w:rsidR="00EA24F3" w:rsidRDefault="00EA24F3" w:rsidP="00707FC8">
      <w:pPr>
        <w:jc w:val="both"/>
        <w:rPr>
          <w:rFonts w:ascii="Arial" w:hAnsi="Arial" w:cs="Arial"/>
          <w:sz w:val="22"/>
          <w:szCs w:val="22"/>
          <w:lang w:val="en-GB"/>
        </w:rPr>
      </w:pPr>
      <w:r>
        <w:rPr>
          <w:rFonts w:ascii="Arial" w:hAnsi="Arial" w:cs="Arial"/>
          <w:sz w:val="22"/>
          <w:szCs w:val="22"/>
          <w:lang w:val="en-GB"/>
        </w:rPr>
        <w:t>In relation to (a), the English C</w:t>
      </w:r>
      <w:r w:rsidR="003E7E86">
        <w:rPr>
          <w:rFonts w:ascii="Arial" w:hAnsi="Arial" w:cs="Arial"/>
          <w:sz w:val="22"/>
          <w:szCs w:val="22"/>
          <w:lang w:val="en-GB"/>
        </w:rPr>
        <w:t xml:space="preserve">A was of the view that the indefinite Moratorium Continuation could only be properly granted if it was necessary to protect the interests of the creditors, and if such a stay was an appropriate way of achieving such protection. The English CA found that, on the evidence, the creditors needed no further protection. </w:t>
      </w:r>
    </w:p>
    <w:p w14:paraId="650658EB" w14:textId="3F8E1F04" w:rsidR="003E7E86" w:rsidRDefault="003E7E86" w:rsidP="00707FC8">
      <w:pPr>
        <w:jc w:val="both"/>
        <w:rPr>
          <w:rFonts w:ascii="Arial" w:hAnsi="Arial" w:cs="Arial"/>
          <w:sz w:val="22"/>
          <w:szCs w:val="22"/>
          <w:lang w:val="en-GB"/>
        </w:rPr>
      </w:pPr>
    </w:p>
    <w:p w14:paraId="4A48A8A8" w14:textId="50DF3570" w:rsidR="003E7E86" w:rsidRPr="00EA24F3" w:rsidRDefault="003E7E86" w:rsidP="00707FC8">
      <w:pPr>
        <w:jc w:val="both"/>
        <w:rPr>
          <w:rFonts w:ascii="Arial" w:hAnsi="Arial" w:cs="Arial"/>
          <w:b/>
          <w:sz w:val="22"/>
          <w:szCs w:val="22"/>
          <w:lang w:val="en-GB"/>
        </w:rPr>
      </w:pPr>
      <w:r>
        <w:rPr>
          <w:rFonts w:ascii="Arial" w:hAnsi="Arial" w:cs="Arial"/>
          <w:sz w:val="22"/>
          <w:szCs w:val="22"/>
          <w:lang w:val="en-GB"/>
        </w:rPr>
        <w:t xml:space="preserve">As for (b), the English CA found that the Model Law did not contemplate continuing relief after the end of the relevant foreign proceeding – if so, provisions would have been provided for this. But there were none. For example, referring to Art 18, which stipulates that the foreign representative shall inform the court of subsequent changes to the status of the recognised foreign proceeding, or the status of the foreign representative’s appointment – this suggested that the foreign proceeding still had to be in existence, and the foreign representative still had to be in office. </w:t>
      </w: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w:t>
      </w:r>
      <w:r w:rsidRPr="00E2622D">
        <w:rPr>
          <w:rFonts w:ascii="Avenir Next" w:hAnsi="Avenir Next" w:cs="Arial"/>
          <w:sz w:val="22"/>
          <w:szCs w:val="22"/>
          <w:lang w:val="en-GB"/>
        </w:rPr>
        <w:lastRenderedPageBreak/>
        <w:t xml:space="preserve">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396F3E81" w14:textId="0ADA158D" w:rsidR="00257437" w:rsidRPr="00F9741A" w:rsidRDefault="00C02644" w:rsidP="00707FC8">
      <w:pPr>
        <w:jc w:val="both"/>
        <w:rPr>
          <w:rFonts w:ascii="Arial" w:hAnsi="Arial" w:cs="Arial"/>
          <w:sz w:val="22"/>
          <w:szCs w:val="22"/>
          <w:lang w:val="en-GB"/>
        </w:rPr>
      </w:pPr>
      <w:r w:rsidRPr="00F9741A">
        <w:rPr>
          <w:rFonts w:ascii="Arial" w:hAnsi="Arial" w:cs="Arial"/>
          <w:sz w:val="22"/>
          <w:szCs w:val="22"/>
          <w:lang w:val="en-GB"/>
        </w:rPr>
        <w:t xml:space="preserve">This is a situation where there is already a domestic proceeding involving the debtor. The court then subsequently recognises a foreign main proceeding involving the same debtor. Art 29(a) sets out what must be done – specifically, any relief granted post-recognition (Art 21) must be consistent with the domestic insolvency proceedings). In this case, the automatic relief under Art 20 does not apply. </w:t>
      </w:r>
    </w:p>
    <w:p w14:paraId="068F5FDA" w14:textId="3E4F2B72" w:rsidR="00C02644" w:rsidRPr="00F9741A" w:rsidRDefault="00C02644" w:rsidP="00707FC8">
      <w:pPr>
        <w:jc w:val="both"/>
        <w:rPr>
          <w:rFonts w:ascii="Arial" w:hAnsi="Arial" w:cs="Arial"/>
          <w:sz w:val="22"/>
          <w:szCs w:val="22"/>
          <w:lang w:val="en-GB"/>
        </w:rPr>
      </w:pPr>
      <w:r w:rsidRPr="00F9741A">
        <w:rPr>
          <w:rFonts w:ascii="Arial" w:hAnsi="Arial" w:cs="Arial"/>
          <w:sz w:val="22"/>
          <w:szCs w:val="22"/>
          <w:lang w:val="en-GB"/>
        </w:rPr>
        <w:t xml:space="preserve">The duties of the foreign representative can be found in Art 18. They must promptly inform the court in the enacting State of: a) any </w:t>
      </w:r>
      <w:r w:rsidR="00F9741A" w:rsidRPr="00F9741A">
        <w:rPr>
          <w:rFonts w:ascii="Arial" w:hAnsi="Arial" w:cs="Arial"/>
          <w:sz w:val="22"/>
          <w:szCs w:val="22"/>
          <w:lang w:val="en-GB"/>
        </w:rPr>
        <w:t xml:space="preserve">substantial </w:t>
      </w:r>
      <w:r w:rsidRPr="00F9741A">
        <w:rPr>
          <w:rFonts w:ascii="Arial" w:hAnsi="Arial" w:cs="Arial"/>
          <w:sz w:val="22"/>
          <w:szCs w:val="22"/>
          <w:lang w:val="en-GB"/>
        </w:rPr>
        <w:t xml:space="preserve">change </w:t>
      </w:r>
      <w:r w:rsidR="00F9741A" w:rsidRPr="00F9741A">
        <w:rPr>
          <w:rFonts w:ascii="Arial" w:hAnsi="Arial" w:cs="Arial"/>
          <w:sz w:val="22"/>
          <w:szCs w:val="22"/>
          <w:lang w:val="en-GB"/>
        </w:rPr>
        <w:t xml:space="preserve">in the status of the recognised foreign proceeding or the status of their appointment as the foreign representative and b) any other foreign proceeding regarding the same debtor that becomes known to the foreign representative. </w:t>
      </w:r>
    </w:p>
    <w:p w14:paraId="7E42840F" w14:textId="77777777" w:rsidR="00F9741A" w:rsidRPr="00C02644" w:rsidRDefault="00F9741A" w:rsidP="00707FC8">
      <w:pPr>
        <w:jc w:val="both"/>
        <w:rPr>
          <w:rFonts w:ascii="Arial" w:hAnsi="Arial"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08475351" w14:textId="76E1338B" w:rsidR="00867A8F" w:rsidRPr="00F361D4" w:rsidRDefault="00D81146" w:rsidP="00F361D4">
      <w:pPr>
        <w:ind w:left="720"/>
        <w:jc w:val="both"/>
        <w:rPr>
          <w:rFonts w:ascii="Arial" w:hAnsi="Arial" w:cs="Arial"/>
          <w:b/>
          <w:bCs/>
          <w:sz w:val="22"/>
          <w:szCs w:val="22"/>
          <w:u w:val="single"/>
          <w:lang w:val="en-GB"/>
        </w:rPr>
      </w:pPr>
      <w:r w:rsidRPr="00F361D4">
        <w:rPr>
          <w:rFonts w:ascii="Arial" w:hAnsi="Arial" w:cs="Arial"/>
          <w:b/>
          <w:bCs/>
          <w:sz w:val="22"/>
          <w:szCs w:val="22"/>
          <w:u w:val="single"/>
          <w:lang w:val="en-GB"/>
        </w:rPr>
        <w:t>Access</w:t>
      </w:r>
    </w:p>
    <w:p w14:paraId="51824301" w14:textId="4D0C8B21" w:rsidR="00257437" w:rsidRPr="00F361D4" w:rsidRDefault="00D81146" w:rsidP="006919E4">
      <w:pPr>
        <w:ind w:left="720"/>
        <w:jc w:val="both"/>
        <w:rPr>
          <w:rFonts w:ascii="Arial" w:hAnsi="Arial" w:cs="Arial"/>
          <w:sz w:val="22"/>
          <w:szCs w:val="22"/>
          <w:lang w:val="en-GB"/>
        </w:rPr>
      </w:pPr>
      <w:r w:rsidRPr="00F361D4">
        <w:rPr>
          <w:rFonts w:ascii="Arial" w:hAnsi="Arial" w:cs="Arial"/>
          <w:sz w:val="22"/>
          <w:szCs w:val="22"/>
          <w:lang w:val="en-GB"/>
        </w:rPr>
        <w:t xml:space="preserve">These provisions under the MLCBI provide that the foreign representative has standing before courts in </w:t>
      </w:r>
      <w:r w:rsidR="006919E4" w:rsidRPr="00F361D4">
        <w:rPr>
          <w:rFonts w:ascii="Arial" w:hAnsi="Arial" w:cs="Arial"/>
          <w:sz w:val="22"/>
          <w:szCs w:val="22"/>
          <w:lang w:val="en-GB"/>
        </w:rPr>
        <w:t xml:space="preserve">State A </w:t>
      </w:r>
      <w:r w:rsidRPr="00F361D4">
        <w:rPr>
          <w:rFonts w:ascii="Arial" w:hAnsi="Arial" w:cs="Arial"/>
          <w:sz w:val="22"/>
          <w:szCs w:val="22"/>
          <w:lang w:val="en-GB"/>
        </w:rPr>
        <w:t xml:space="preserve">and that they will have the same rights as local creditors and will have timely notice of events taking place in </w:t>
      </w:r>
      <w:r w:rsidR="006919E4" w:rsidRPr="00F361D4">
        <w:rPr>
          <w:rFonts w:ascii="Arial" w:hAnsi="Arial" w:cs="Arial"/>
          <w:sz w:val="22"/>
          <w:szCs w:val="22"/>
          <w:lang w:val="en-GB"/>
        </w:rPr>
        <w:t>State A</w:t>
      </w:r>
      <w:r w:rsidRPr="00F361D4">
        <w:rPr>
          <w:rFonts w:ascii="Arial" w:hAnsi="Arial" w:cs="Arial"/>
          <w:sz w:val="22"/>
          <w:szCs w:val="22"/>
          <w:lang w:val="en-GB"/>
        </w:rPr>
        <w:t xml:space="preserve">. </w:t>
      </w:r>
    </w:p>
    <w:p w14:paraId="75424A60" w14:textId="52A825DD" w:rsidR="00660BAB" w:rsidRPr="00F361D4" w:rsidRDefault="00660BAB" w:rsidP="006919E4">
      <w:pPr>
        <w:ind w:left="720"/>
        <w:jc w:val="both"/>
        <w:rPr>
          <w:rFonts w:ascii="Arial" w:hAnsi="Arial" w:cs="Arial"/>
          <w:sz w:val="22"/>
          <w:szCs w:val="22"/>
          <w:lang w:val="en-GB"/>
        </w:rPr>
      </w:pPr>
      <w:r w:rsidRPr="00F361D4">
        <w:rPr>
          <w:rFonts w:ascii="Arial" w:hAnsi="Arial" w:cs="Arial"/>
          <w:sz w:val="22"/>
          <w:szCs w:val="22"/>
          <w:lang w:val="en-GB"/>
        </w:rPr>
        <w:t xml:space="preserve">Art 9 contains the principle of direct access by a foreign representative to the courts of the enacting State (ie, State A). The foreign proceeding in the foreign State (ie, State B), does not have to be recognised before the foreign </w:t>
      </w:r>
      <w:r w:rsidR="00FC363D" w:rsidRPr="00F361D4">
        <w:rPr>
          <w:rFonts w:ascii="Arial" w:hAnsi="Arial" w:cs="Arial"/>
          <w:sz w:val="22"/>
          <w:szCs w:val="22"/>
          <w:lang w:val="en-GB"/>
        </w:rPr>
        <w:t>representative</w:t>
      </w:r>
      <w:r w:rsidRPr="00F361D4">
        <w:rPr>
          <w:rFonts w:ascii="Arial" w:hAnsi="Arial" w:cs="Arial"/>
          <w:sz w:val="22"/>
          <w:szCs w:val="22"/>
          <w:lang w:val="en-GB"/>
        </w:rPr>
        <w:t xml:space="preserve"> has standing in the courts of State A. Such access, however, does not automatically give the foreign representative any other rights or powers. </w:t>
      </w:r>
    </w:p>
    <w:p w14:paraId="7236DA91" w14:textId="49A38712" w:rsidR="006919E4" w:rsidRPr="00F361D4" w:rsidRDefault="00FC363D" w:rsidP="006919E4">
      <w:pPr>
        <w:ind w:left="720"/>
        <w:jc w:val="both"/>
        <w:rPr>
          <w:rFonts w:ascii="Arial" w:hAnsi="Arial" w:cs="Arial"/>
          <w:sz w:val="22"/>
          <w:szCs w:val="22"/>
          <w:lang w:val="en-GB"/>
        </w:rPr>
      </w:pPr>
      <w:r w:rsidRPr="00F361D4">
        <w:rPr>
          <w:rFonts w:ascii="Arial" w:hAnsi="Arial" w:cs="Arial"/>
          <w:sz w:val="22"/>
          <w:szCs w:val="22"/>
          <w:lang w:val="en-GB"/>
        </w:rPr>
        <w:t xml:space="preserve">Art 11 provides the foreign representative standing in State A to request the commencement of a domestic insolvency proceeding in State A without modifying the conditions for opening such a proceeding. </w:t>
      </w:r>
    </w:p>
    <w:p w14:paraId="727EBA25" w14:textId="2493D6C3" w:rsidR="00FC363D" w:rsidRPr="00F361D4" w:rsidRDefault="00FC363D" w:rsidP="006919E4">
      <w:pPr>
        <w:ind w:left="720"/>
        <w:jc w:val="both"/>
        <w:rPr>
          <w:rFonts w:ascii="Arial" w:hAnsi="Arial" w:cs="Arial"/>
          <w:sz w:val="22"/>
          <w:szCs w:val="22"/>
          <w:lang w:val="en-GB"/>
        </w:rPr>
      </w:pPr>
      <w:r w:rsidRPr="00F361D4">
        <w:rPr>
          <w:rFonts w:ascii="Arial" w:hAnsi="Arial" w:cs="Arial"/>
          <w:sz w:val="22"/>
          <w:szCs w:val="22"/>
          <w:lang w:val="en-GB"/>
        </w:rPr>
        <w:t xml:space="preserve">Once the foreign proceeding has been recognised by the courts of State A, under Art 12, the foreign representative will have the standing to make applications, requests or submissions concerning the protection, realisation or distribution of assets, or co-operation with the foreign proceeding. Art 12 does not vest the foreign representative with any powers or rights. </w:t>
      </w:r>
    </w:p>
    <w:p w14:paraId="56A2B1F5" w14:textId="05173F3B" w:rsidR="00FC363D" w:rsidRPr="00F361D4" w:rsidRDefault="00FC363D" w:rsidP="006919E4">
      <w:pPr>
        <w:ind w:left="720"/>
        <w:jc w:val="both"/>
        <w:rPr>
          <w:rFonts w:ascii="Arial" w:hAnsi="Arial" w:cs="Arial"/>
          <w:sz w:val="22"/>
          <w:szCs w:val="22"/>
          <w:lang w:val="en-GB"/>
        </w:rPr>
      </w:pPr>
      <w:r w:rsidRPr="00F361D4">
        <w:rPr>
          <w:rFonts w:ascii="Arial" w:hAnsi="Arial" w:cs="Arial"/>
          <w:sz w:val="22"/>
          <w:szCs w:val="22"/>
          <w:lang w:val="en-GB"/>
        </w:rPr>
        <w:t xml:space="preserve">The effect of these provisions is that the foreign representative will have standing before the courts of State A to, for example, apply for recognition of the proceedings in State B and once recognition is granted, make the requisite applications for co-operation with the foreign proceeding in State B. </w:t>
      </w:r>
    </w:p>
    <w:p w14:paraId="67E165AA" w14:textId="4D06238B" w:rsidR="00940752" w:rsidRPr="00F361D4" w:rsidRDefault="00940752" w:rsidP="006919E4">
      <w:pPr>
        <w:ind w:left="720"/>
        <w:jc w:val="both"/>
        <w:rPr>
          <w:rFonts w:ascii="Arial" w:hAnsi="Arial" w:cs="Arial"/>
          <w:sz w:val="22"/>
          <w:szCs w:val="22"/>
          <w:lang w:val="en-GB"/>
        </w:rPr>
      </w:pPr>
    </w:p>
    <w:p w14:paraId="7F8E5DD7" w14:textId="2C816A3E" w:rsidR="00940752" w:rsidRPr="00F361D4" w:rsidRDefault="00940752" w:rsidP="006919E4">
      <w:pPr>
        <w:ind w:left="720"/>
        <w:jc w:val="both"/>
        <w:rPr>
          <w:rFonts w:ascii="Arial" w:hAnsi="Arial" w:cs="Arial"/>
          <w:sz w:val="22"/>
          <w:szCs w:val="22"/>
          <w:lang w:val="en-GB"/>
        </w:rPr>
      </w:pPr>
      <w:r w:rsidRPr="00F361D4">
        <w:rPr>
          <w:rFonts w:ascii="Arial" w:hAnsi="Arial" w:cs="Arial"/>
          <w:sz w:val="22"/>
          <w:szCs w:val="22"/>
          <w:lang w:val="en-GB"/>
        </w:rPr>
        <w:lastRenderedPageBreak/>
        <w:t>Apart from these provisions, there is also the “safe-conduct” rule in Art 10</w:t>
      </w:r>
      <w:r w:rsidR="00E31DBC" w:rsidRPr="00F361D4">
        <w:rPr>
          <w:rFonts w:ascii="Arial" w:hAnsi="Arial" w:cs="Arial"/>
          <w:sz w:val="22"/>
          <w:szCs w:val="22"/>
          <w:lang w:val="en-GB"/>
        </w:rPr>
        <w:t>. Its effect:</w:t>
      </w:r>
      <w:r w:rsidR="00140A00" w:rsidRPr="00F361D4">
        <w:rPr>
          <w:rFonts w:ascii="Arial" w:hAnsi="Arial" w:cs="Arial"/>
          <w:sz w:val="22"/>
          <w:szCs w:val="22"/>
          <w:lang w:val="en-GB"/>
        </w:rPr>
        <w:t xml:space="preserve"> State A does not assume jurisdiction over all the debtor’s assets on the sole ground of the fact that the foreign representative has applied for recognition of a foreign proceeding. This addresses fears about exposure to an all-embracing jurisdiction</w:t>
      </w:r>
      <w:r w:rsidR="000C6FBF" w:rsidRPr="00F361D4">
        <w:rPr>
          <w:rFonts w:ascii="Arial" w:hAnsi="Arial" w:cs="Arial"/>
          <w:sz w:val="22"/>
          <w:szCs w:val="22"/>
          <w:lang w:val="en-GB"/>
        </w:rPr>
        <w:t xml:space="preserve"> trigged by an application under the Model Law. </w:t>
      </w:r>
    </w:p>
    <w:p w14:paraId="2D0C4712" w14:textId="6A5D15E5" w:rsidR="00920192" w:rsidRPr="00F361D4" w:rsidRDefault="00130898" w:rsidP="006919E4">
      <w:pPr>
        <w:ind w:left="720"/>
        <w:jc w:val="both"/>
        <w:rPr>
          <w:rFonts w:ascii="Arial" w:hAnsi="Arial" w:cs="Arial"/>
          <w:sz w:val="22"/>
          <w:szCs w:val="22"/>
          <w:lang w:val="en-GB"/>
        </w:rPr>
      </w:pPr>
      <w:r w:rsidRPr="00F361D4">
        <w:rPr>
          <w:rFonts w:ascii="Arial" w:hAnsi="Arial" w:cs="Arial"/>
          <w:sz w:val="22"/>
          <w:szCs w:val="22"/>
          <w:lang w:val="en-GB"/>
        </w:rPr>
        <w:t xml:space="preserve">The foreign representative will have the same rights as creditors domiciled in State A in relation to the commencement of, and participation in, local proceedings regarding the debtor under State A’s insolvency laws. This is provided for in Art 13 MLCBI which also clarifies that this access does not affect the ranking of claims – a foreign creditor’s claim should not be ranked lower than a local creditor on the sole basis that the holder of such a claim is a foreign creditor. </w:t>
      </w:r>
      <w:r w:rsidR="00920192" w:rsidRPr="00F361D4">
        <w:rPr>
          <w:rFonts w:ascii="Arial" w:hAnsi="Arial" w:cs="Arial"/>
          <w:sz w:val="22"/>
          <w:szCs w:val="22"/>
          <w:lang w:val="en-GB"/>
        </w:rPr>
        <w:t xml:space="preserve">The foreign representative will also have access to the same information available to local creditors in State A. That is provided for in Art 14 MLCBI. </w:t>
      </w:r>
    </w:p>
    <w:p w14:paraId="5E38159E" w14:textId="28A249A8" w:rsidR="00041B09" w:rsidRPr="00F361D4" w:rsidRDefault="00041B09" w:rsidP="00041B09">
      <w:pPr>
        <w:jc w:val="both"/>
        <w:rPr>
          <w:rFonts w:ascii="Arial" w:hAnsi="Arial" w:cs="Arial"/>
          <w:sz w:val="22"/>
          <w:szCs w:val="22"/>
          <w:lang w:val="en-GB"/>
        </w:rPr>
      </w:pPr>
    </w:p>
    <w:p w14:paraId="74F08426" w14:textId="256F7FE8" w:rsidR="00041B09" w:rsidRPr="00F361D4" w:rsidRDefault="00C752BB" w:rsidP="00F361D4">
      <w:pPr>
        <w:ind w:firstLine="720"/>
        <w:jc w:val="both"/>
        <w:rPr>
          <w:rFonts w:ascii="Arial" w:hAnsi="Arial" w:cs="Arial"/>
          <w:b/>
          <w:bCs/>
          <w:sz w:val="22"/>
          <w:szCs w:val="22"/>
          <w:u w:val="single"/>
          <w:lang w:val="en-GB"/>
        </w:rPr>
      </w:pPr>
      <w:r w:rsidRPr="00F361D4">
        <w:rPr>
          <w:rFonts w:ascii="Arial" w:hAnsi="Arial" w:cs="Arial"/>
          <w:b/>
          <w:bCs/>
          <w:sz w:val="22"/>
          <w:szCs w:val="22"/>
          <w:u w:val="single"/>
          <w:lang w:val="en-GB"/>
        </w:rPr>
        <w:t>Co-Operation</w:t>
      </w:r>
    </w:p>
    <w:p w14:paraId="418AB2BC" w14:textId="00F7ACC5" w:rsidR="00B42B1D" w:rsidRPr="00F361D4" w:rsidRDefault="00B42B1D" w:rsidP="00041B09">
      <w:pPr>
        <w:jc w:val="both"/>
        <w:rPr>
          <w:rFonts w:ascii="Arial" w:hAnsi="Arial" w:cs="Arial"/>
          <w:sz w:val="22"/>
          <w:szCs w:val="22"/>
          <w:lang w:val="en-GB"/>
        </w:rPr>
      </w:pPr>
      <w:r w:rsidRPr="00F361D4">
        <w:rPr>
          <w:rFonts w:ascii="Arial" w:hAnsi="Arial" w:cs="Arial"/>
          <w:sz w:val="22"/>
          <w:szCs w:val="22"/>
          <w:lang w:val="en-GB"/>
        </w:rPr>
        <w:tab/>
      </w:r>
    </w:p>
    <w:p w14:paraId="1BA5B1DB" w14:textId="5595F739" w:rsidR="00041B09" w:rsidRPr="00F361D4" w:rsidRDefault="00E31DBC" w:rsidP="00166F24">
      <w:pPr>
        <w:ind w:left="720"/>
        <w:jc w:val="both"/>
        <w:rPr>
          <w:rFonts w:ascii="Arial" w:hAnsi="Arial" w:cs="Arial"/>
          <w:sz w:val="22"/>
          <w:szCs w:val="22"/>
          <w:lang w:val="en-GB"/>
        </w:rPr>
      </w:pPr>
      <w:r w:rsidRPr="00F361D4">
        <w:rPr>
          <w:rFonts w:ascii="Arial" w:hAnsi="Arial" w:cs="Arial"/>
          <w:sz w:val="22"/>
          <w:szCs w:val="22"/>
          <w:lang w:val="en-GB"/>
        </w:rPr>
        <w:t xml:space="preserve">Under Art 25 MLCBI, the courts in State A must co-operate to the maximum extent possible with the foreign representative. Because co-operation is not limited to foreign proceedings which qualify for recognition under Art 17, this is useful in the event that the court in State A finds that the foreign proceedings in State B are neither foreign main nor non-main proceedings. </w:t>
      </w:r>
    </w:p>
    <w:p w14:paraId="50756C67" w14:textId="0B0D58DB" w:rsidR="00C611C8" w:rsidRPr="00F361D4" w:rsidRDefault="00C611C8" w:rsidP="00166F24">
      <w:pPr>
        <w:ind w:left="720"/>
        <w:jc w:val="both"/>
        <w:rPr>
          <w:rFonts w:ascii="Arial" w:hAnsi="Arial" w:cs="Arial"/>
          <w:sz w:val="22"/>
          <w:szCs w:val="22"/>
          <w:lang w:val="en-GB"/>
        </w:rPr>
      </w:pPr>
      <w:r w:rsidRPr="00F361D4">
        <w:rPr>
          <w:rFonts w:ascii="Arial" w:hAnsi="Arial" w:cs="Arial"/>
          <w:sz w:val="22"/>
          <w:szCs w:val="22"/>
          <w:lang w:val="en-GB"/>
        </w:rPr>
        <w:t xml:space="preserve">Then there is Art 26 which stipulates that the insolvency office-holder (in exercising its functions and subject to the supervision of the courts in State A), must co-operate to the maximum extent possible with the foreign courts (ie, courts in State B) or the foreign representative and is entitled to directly communicate with them. </w:t>
      </w:r>
    </w:p>
    <w:p w14:paraId="1A16826F" w14:textId="3D824124" w:rsidR="00006CC0" w:rsidRPr="00F361D4" w:rsidRDefault="00006CC0" w:rsidP="00166F24">
      <w:pPr>
        <w:ind w:left="720"/>
        <w:jc w:val="both"/>
        <w:rPr>
          <w:rFonts w:ascii="Arial" w:hAnsi="Arial" w:cs="Arial"/>
          <w:sz w:val="22"/>
          <w:szCs w:val="22"/>
          <w:lang w:val="en-GB"/>
        </w:rPr>
      </w:pPr>
      <w:r w:rsidRPr="00F361D4">
        <w:rPr>
          <w:rFonts w:ascii="Arial" w:hAnsi="Arial" w:cs="Arial"/>
          <w:sz w:val="22"/>
          <w:szCs w:val="22"/>
          <w:lang w:val="en-GB"/>
        </w:rPr>
        <w:t xml:space="preserve">The means of co-operation are set out in Art 27 – it is an illustrative, and not an exhaustive list. </w:t>
      </w:r>
    </w:p>
    <w:p w14:paraId="753A1A26" w14:textId="2EF7F257" w:rsidR="00C611C8" w:rsidRPr="00F361D4" w:rsidRDefault="00C611C8" w:rsidP="00166F24">
      <w:pPr>
        <w:ind w:left="720"/>
        <w:jc w:val="both"/>
        <w:rPr>
          <w:rFonts w:ascii="Arial" w:hAnsi="Arial" w:cs="Arial"/>
          <w:sz w:val="22"/>
          <w:szCs w:val="22"/>
          <w:lang w:val="en-GB"/>
        </w:rPr>
      </w:pPr>
      <w:r w:rsidRPr="00F361D4">
        <w:rPr>
          <w:rFonts w:ascii="Arial" w:hAnsi="Arial" w:cs="Arial"/>
          <w:sz w:val="22"/>
          <w:szCs w:val="22"/>
          <w:lang w:val="en-GB"/>
        </w:rPr>
        <w:t xml:space="preserve">The effect of </w:t>
      </w:r>
      <w:r w:rsidR="000C1B56" w:rsidRPr="00F361D4">
        <w:rPr>
          <w:rFonts w:ascii="Arial" w:hAnsi="Arial" w:cs="Arial"/>
          <w:sz w:val="22"/>
          <w:szCs w:val="22"/>
          <w:lang w:val="en-GB"/>
        </w:rPr>
        <w:t>these provisions</w:t>
      </w:r>
      <w:r w:rsidRPr="00F361D4">
        <w:rPr>
          <w:rFonts w:ascii="Arial" w:hAnsi="Arial" w:cs="Arial"/>
          <w:sz w:val="22"/>
          <w:szCs w:val="22"/>
          <w:lang w:val="en-GB"/>
        </w:rPr>
        <w:t xml:space="preserve"> is that the foreign representative </w:t>
      </w:r>
      <w:r w:rsidR="00006CC0" w:rsidRPr="00F361D4">
        <w:rPr>
          <w:rFonts w:ascii="Arial" w:hAnsi="Arial" w:cs="Arial"/>
          <w:sz w:val="22"/>
          <w:szCs w:val="22"/>
          <w:lang w:val="en-GB"/>
        </w:rPr>
        <w:t xml:space="preserve">does not have to resort to time-consuming measures to seek such assistance. </w:t>
      </w:r>
      <w:r w:rsidR="000C1B56" w:rsidRPr="00F361D4">
        <w:rPr>
          <w:rFonts w:ascii="Arial" w:hAnsi="Arial" w:cs="Arial"/>
          <w:sz w:val="22"/>
          <w:szCs w:val="22"/>
          <w:lang w:val="en-GB"/>
        </w:rPr>
        <w:t xml:space="preserve">If there are concurrent insolvency proceedings involving the same debtor in both States A and B, the courts in both States can directly communicate and co-ordinate. </w:t>
      </w:r>
      <w:r w:rsidRPr="00F361D4">
        <w:rPr>
          <w:rFonts w:ascii="Arial" w:hAnsi="Arial" w:cs="Arial"/>
          <w:sz w:val="22"/>
          <w:szCs w:val="22"/>
          <w:lang w:val="en-GB"/>
        </w:rPr>
        <w:t xml:space="preserve"> </w:t>
      </w:r>
    </w:p>
    <w:p w14:paraId="6C88B23B" w14:textId="77777777" w:rsidR="006919E4" w:rsidRDefault="006919E4" w:rsidP="006919E4">
      <w:pPr>
        <w:ind w:left="720"/>
        <w:jc w:val="both"/>
        <w:rPr>
          <w:rFonts w:ascii="Avenir Next" w:hAnsi="Avenir Next" w:cs="Arial"/>
          <w:sz w:val="22"/>
          <w:szCs w:val="22"/>
          <w:lang w:val="en-GB"/>
        </w:rPr>
      </w:pP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Assuming </w:t>
      </w:r>
      <w:r w:rsidR="00A54000">
        <w:rPr>
          <w:rFonts w:ascii="Avenir Next" w:hAnsi="Avenir Next" w:cs="Arial"/>
          <w:sz w:val="22"/>
          <w:szCs w:val="22"/>
          <w:lang w:val="en-GB"/>
        </w:rPr>
        <w:t xml:space="preserve">that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3937CDFF" w14:textId="07B28EEC" w:rsidR="00867A8F" w:rsidRDefault="00F21FB0" w:rsidP="008F6ACB">
      <w:pPr>
        <w:ind w:left="720"/>
        <w:jc w:val="both"/>
        <w:rPr>
          <w:rFonts w:ascii="Arial" w:hAnsi="Arial" w:cs="Arial"/>
          <w:sz w:val="22"/>
          <w:szCs w:val="22"/>
          <w:lang w:val="en-GB"/>
        </w:rPr>
      </w:pPr>
      <w:r w:rsidRPr="008F6ACB">
        <w:rPr>
          <w:rFonts w:ascii="Arial" w:hAnsi="Arial" w:cs="Arial"/>
          <w:sz w:val="22"/>
          <w:szCs w:val="22"/>
          <w:lang w:val="en-GB"/>
        </w:rPr>
        <w:t xml:space="preserve">Art 15(2) sets out the necessary documentation which has to accompany the application for recognition – this includes, for example, a certified copy of the decision commencing the foreign proceeding and appointing the foreign representative. If the decision or certificate indicates that the foreign proceeding is one within the meaning of Art 2(a) and the foreign representative is one within the meaning of Art 2(d), the court is entitled to presume this: Art 16(1). </w:t>
      </w:r>
    </w:p>
    <w:p w14:paraId="6821B944" w14:textId="77777777" w:rsidR="00B413DF" w:rsidRPr="008F6ACB" w:rsidRDefault="00B413DF" w:rsidP="008F6ACB">
      <w:pPr>
        <w:ind w:left="720"/>
        <w:jc w:val="both"/>
        <w:rPr>
          <w:rFonts w:ascii="Arial" w:hAnsi="Arial" w:cs="Arial"/>
          <w:sz w:val="22"/>
          <w:szCs w:val="22"/>
          <w:lang w:val="en-GB"/>
        </w:rPr>
      </w:pPr>
    </w:p>
    <w:p w14:paraId="1905C75F" w14:textId="2B5E1A20" w:rsidR="00F21FB0" w:rsidRDefault="00F21FB0" w:rsidP="008F6ACB">
      <w:pPr>
        <w:ind w:left="720"/>
        <w:jc w:val="both"/>
        <w:rPr>
          <w:rFonts w:ascii="Arial" w:hAnsi="Arial" w:cs="Arial"/>
          <w:sz w:val="22"/>
          <w:szCs w:val="22"/>
          <w:lang w:val="en-GB"/>
        </w:rPr>
      </w:pPr>
      <w:r w:rsidRPr="008F6ACB">
        <w:rPr>
          <w:rFonts w:ascii="Arial" w:hAnsi="Arial" w:cs="Arial"/>
          <w:sz w:val="22"/>
          <w:szCs w:val="22"/>
          <w:lang w:val="en-GB"/>
        </w:rPr>
        <w:t xml:space="preserve">Art 15(3) provides that that an application for recognition must be accompanied by a statement identifying all foreign proceedings in respect of the debtor that are known to the foreign representative. </w:t>
      </w:r>
    </w:p>
    <w:p w14:paraId="4360A4B4" w14:textId="37EDEE19" w:rsidR="00022457" w:rsidRDefault="0075656A" w:rsidP="00022457">
      <w:pPr>
        <w:ind w:left="720"/>
        <w:jc w:val="both"/>
        <w:rPr>
          <w:rFonts w:ascii="Arial" w:hAnsi="Arial" w:cs="Arial"/>
          <w:sz w:val="22"/>
          <w:szCs w:val="22"/>
          <w:lang w:val="en-GB"/>
        </w:rPr>
      </w:pPr>
      <w:r w:rsidRPr="00022457">
        <w:rPr>
          <w:rFonts w:ascii="Arial" w:hAnsi="Arial" w:cs="Arial"/>
          <w:sz w:val="22"/>
          <w:szCs w:val="22"/>
          <w:lang w:val="en-GB"/>
        </w:rPr>
        <w:lastRenderedPageBreak/>
        <w:t>The court in the enacting State is entitled to presume that the documents submitted in support of the application for recognition are authentic regardless of whether they have been legalised</w:t>
      </w:r>
      <w:r w:rsidR="00CD67BC" w:rsidRPr="00022457">
        <w:rPr>
          <w:rFonts w:ascii="Arial" w:hAnsi="Arial" w:cs="Arial"/>
          <w:sz w:val="22"/>
          <w:szCs w:val="22"/>
          <w:lang w:val="en-GB"/>
        </w:rPr>
        <w:t xml:space="preserve">: Art 16(2). </w:t>
      </w:r>
    </w:p>
    <w:p w14:paraId="3DD3F6DF" w14:textId="77777777" w:rsidR="00B413DF" w:rsidRPr="00022457" w:rsidRDefault="00B413DF" w:rsidP="00022457">
      <w:pPr>
        <w:ind w:left="720"/>
        <w:jc w:val="both"/>
        <w:rPr>
          <w:rFonts w:ascii="Arial" w:hAnsi="Arial" w:cs="Arial"/>
          <w:sz w:val="22"/>
          <w:szCs w:val="22"/>
          <w:lang w:val="en-GB"/>
        </w:rPr>
      </w:pPr>
    </w:p>
    <w:p w14:paraId="1CB65BDB" w14:textId="1586EB3A" w:rsidR="00022457" w:rsidRDefault="00022457" w:rsidP="00022457">
      <w:pPr>
        <w:ind w:left="720"/>
        <w:jc w:val="both"/>
        <w:rPr>
          <w:rFonts w:ascii="Arial" w:hAnsi="Arial" w:cs="Arial"/>
          <w:sz w:val="22"/>
          <w:szCs w:val="22"/>
          <w:lang w:val="en-GB"/>
        </w:rPr>
      </w:pPr>
      <w:r>
        <w:rPr>
          <w:rFonts w:ascii="Arial" w:hAnsi="Arial" w:cs="Arial"/>
          <w:sz w:val="22"/>
          <w:szCs w:val="22"/>
          <w:lang w:val="en-GB"/>
        </w:rPr>
        <w:t xml:space="preserve">One restriction on recognition of foreign proceedings is the public policy exception in Art 6: Art 17(1). That said, generally, the public policy exception should rarely be the basis for refusing an application for recognition. </w:t>
      </w:r>
      <w:r w:rsidR="00E05FF3">
        <w:rPr>
          <w:rFonts w:ascii="Arial" w:hAnsi="Arial" w:cs="Arial"/>
          <w:sz w:val="22"/>
          <w:szCs w:val="22"/>
          <w:lang w:val="en-GB"/>
        </w:rPr>
        <w:t xml:space="preserve">One situation where this exception may be invoked is where the foreign representative has breached the obligation of full and frank disclosure towards the court in applying for recognition – this may amount to an abuse of process justifying the denial of recognition based on the public policy exception: </w:t>
      </w:r>
      <w:r w:rsidR="008F3C3B">
        <w:rPr>
          <w:rFonts w:ascii="Arial" w:hAnsi="Arial" w:cs="Arial"/>
          <w:i/>
          <w:iCs/>
          <w:sz w:val="22"/>
          <w:szCs w:val="22"/>
          <w:lang w:val="en-GB"/>
        </w:rPr>
        <w:t xml:space="preserve">Nordic Trustee A.S.A &amp; anr v OGX Petroleo e Gas SA </w:t>
      </w:r>
      <w:r w:rsidR="008F3C3B">
        <w:rPr>
          <w:rFonts w:ascii="Arial" w:hAnsi="Arial" w:cs="Arial"/>
          <w:sz w:val="22"/>
          <w:szCs w:val="22"/>
          <w:lang w:val="en-GB"/>
        </w:rPr>
        <w:t xml:space="preserve">[2016] EWHC 25 (Ch). </w:t>
      </w:r>
    </w:p>
    <w:p w14:paraId="73FACAE3" w14:textId="70CD551E" w:rsidR="00B413DF" w:rsidRDefault="00B413DF" w:rsidP="00022457">
      <w:pPr>
        <w:ind w:left="720"/>
        <w:jc w:val="both"/>
        <w:rPr>
          <w:rFonts w:ascii="Arial" w:hAnsi="Arial" w:cs="Arial"/>
          <w:sz w:val="22"/>
          <w:szCs w:val="22"/>
          <w:lang w:val="en-GB"/>
        </w:rPr>
      </w:pPr>
    </w:p>
    <w:p w14:paraId="104763ED" w14:textId="293BDD56" w:rsidR="00B413DF" w:rsidRDefault="00B413DF" w:rsidP="00022457">
      <w:pPr>
        <w:ind w:left="720"/>
        <w:jc w:val="both"/>
        <w:rPr>
          <w:rFonts w:ascii="Arial" w:hAnsi="Arial" w:cs="Arial"/>
          <w:sz w:val="22"/>
          <w:szCs w:val="22"/>
          <w:lang w:val="en-GB"/>
        </w:rPr>
      </w:pPr>
      <w:r>
        <w:rPr>
          <w:rFonts w:ascii="Arial" w:hAnsi="Arial" w:cs="Arial"/>
          <w:sz w:val="22"/>
          <w:szCs w:val="22"/>
          <w:lang w:val="en-GB"/>
        </w:rPr>
        <w:t>In this case, assuming that the foreign proceeding is one within Art 2(a) and the foreign representative is one within Art 2(d), that the application meets the requirements of Art 15(2), that the application has been submitted to the court referred to in Art 4, and the public policy exception is not invoked, the foreign proceeding will be recognised</w:t>
      </w:r>
      <w:r w:rsidR="00B327CD">
        <w:rPr>
          <w:rFonts w:ascii="Arial" w:hAnsi="Arial" w:cs="Arial"/>
          <w:sz w:val="22"/>
          <w:szCs w:val="22"/>
          <w:lang w:val="en-GB"/>
        </w:rPr>
        <w:t xml:space="preserve">: Art 17(1). </w:t>
      </w:r>
    </w:p>
    <w:p w14:paraId="78A70541" w14:textId="3A8186B9" w:rsidR="007B16D8" w:rsidRDefault="007B16D8" w:rsidP="00022457">
      <w:pPr>
        <w:ind w:left="720"/>
        <w:jc w:val="both"/>
        <w:rPr>
          <w:rFonts w:ascii="Arial" w:hAnsi="Arial" w:cs="Arial"/>
          <w:sz w:val="22"/>
          <w:szCs w:val="22"/>
          <w:lang w:val="en-GB"/>
        </w:rPr>
      </w:pPr>
    </w:p>
    <w:p w14:paraId="161A47A5" w14:textId="0FD4217E" w:rsidR="007B16D8" w:rsidRDefault="007B16D8" w:rsidP="00022457">
      <w:pPr>
        <w:ind w:left="720"/>
        <w:jc w:val="both"/>
        <w:rPr>
          <w:rFonts w:ascii="Arial" w:hAnsi="Arial" w:cs="Arial"/>
          <w:sz w:val="22"/>
          <w:szCs w:val="22"/>
          <w:lang w:val="en-GB"/>
        </w:rPr>
      </w:pPr>
      <w:r>
        <w:rPr>
          <w:rFonts w:ascii="Arial" w:hAnsi="Arial" w:cs="Arial"/>
          <w:sz w:val="22"/>
          <w:szCs w:val="22"/>
          <w:lang w:val="en-GB"/>
        </w:rPr>
        <w:t xml:space="preserve">Then there is a question of whether the foreign proceeding is a foreign main or non-main proceeding. </w:t>
      </w:r>
      <w:r w:rsidR="006F30C5">
        <w:rPr>
          <w:rFonts w:ascii="Arial" w:hAnsi="Arial" w:cs="Arial"/>
          <w:sz w:val="22"/>
          <w:szCs w:val="22"/>
          <w:lang w:val="en-GB"/>
        </w:rPr>
        <w:t xml:space="preserve">Here, there is a presumption in Art 16(3) that the debtor’s registered office, or the habitual residence (in the case of an individual), is the center of the debtor’s main interests. </w:t>
      </w:r>
    </w:p>
    <w:p w14:paraId="68EC3014" w14:textId="47FD6248" w:rsidR="007B16D8" w:rsidRDefault="007B16D8" w:rsidP="00022457">
      <w:pPr>
        <w:ind w:left="720"/>
        <w:jc w:val="both"/>
        <w:rPr>
          <w:rFonts w:ascii="Arial" w:hAnsi="Arial" w:cs="Arial"/>
          <w:sz w:val="22"/>
          <w:szCs w:val="22"/>
          <w:lang w:val="en-GB"/>
        </w:rPr>
      </w:pPr>
    </w:p>
    <w:p w14:paraId="5EB03707" w14:textId="77777777" w:rsidR="007B16D8" w:rsidRPr="008F3C3B" w:rsidRDefault="007B16D8" w:rsidP="00022457">
      <w:pPr>
        <w:ind w:left="720"/>
        <w:jc w:val="both"/>
        <w:rPr>
          <w:rFonts w:ascii="Arial" w:hAnsi="Arial" w:cs="Arial"/>
          <w:sz w:val="22"/>
          <w:szCs w:val="22"/>
          <w:lang w:val="en-GB"/>
        </w:rPr>
      </w:pPr>
    </w:p>
    <w:p w14:paraId="6A052EBE" w14:textId="1AEEAF9C" w:rsidR="0075656A" w:rsidRPr="00B77352" w:rsidRDefault="0075656A" w:rsidP="00867A8F">
      <w:pPr>
        <w:ind w:left="720" w:hanging="720"/>
        <w:jc w:val="both"/>
        <w:rPr>
          <w:rFonts w:ascii="Avenir Next" w:hAnsi="Avenir Next" w:cs="Arial"/>
          <w:color w:val="808080" w:themeColor="background1" w:themeShade="80"/>
          <w:sz w:val="22"/>
          <w:szCs w:val="22"/>
          <w:lang w:val="en-GB"/>
        </w:rPr>
      </w:pPr>
    </w:p>
    <w:p w14:paraId="713C0C0F" w14:textId="2CE67087" w:rsidR="0017257C" w:rsidRDefault="0017257C" w:rsidP="00707FC8">
      <w:pPr>
        <w:jc w:val="both"/>
        <w:rPr>
          <w:rFonts w:ascii="Avenir Next" w:hAnsi="Avenir Next" w:cs="Arial"/>
          <w:sz w:val="22"/>
          <w:szCs w:val="22"/>
          <w:shd w:val="clear" w:color="auto" w:fill="FFFFFF"/>
          <w:lang w:val="en-GB"/>
        </w:rPr>
      </w:pP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59586374" w14:textId="2277C929" w:rsidR="00867A8F" w:rsidRDefault="006443E2" w:rsidP="00223FB2">
      <w:pPr>
        <w:ind w:left="720"/>
        <w:jc w:val="both"/>
        <w:rPr>
          <w:rFonts w:ascii="Arial" w:hAnsi="Arial" w:cs="Arial"/>
          <w:sz w:val="22"/>
          <w:szCs w:val="22"/>
          <w:lang w:val="en-GB"/>
        </w:rPr>
      </w:pPr>
      <w:r w:rsidRPr="00B77006">
        <w:rPr>
          <w:rFonts w:ascii="Arial" w:hAnsi="Arial" w:cs="Arial"/>
          <w:sz w:val="22"/>
          <w:szCs w:val="22"/>
          <w:lang w:val="en-GB"/>
        </w:rPr>
        <w:t xml:space="preserve">Pre-recognition relief is provided for by Art 19 MLCBI. </w:t>
      </w:r>
      <w:r w:rsidR="00FB4920" w:rsidRPr="00B77006">
        <w:rPr>
          <w:rFonts w:ascii="Arial" w:hAnsi="Arial" w:cs="Arial"/>
          <w:sz w:val="22"/>
          <w:szCs w:val="22"/>
          <w:lang w:val="en-GB"/>
        </w:rPr>
        <w:t>The court of the enacting State may refuse to grant such interim relief if doing so would interfere with the administration of a foreign main proceeding</w:t>
      </w:r>
      <w:r w:rsidR="0012759B">
        <w:rPr>
          <w:rFonts w:ascii="Arial" w:hAnsi="Arial" w:cs="Arial"/>
          <w:sz w:val="22"/>
          <w:szCs w:val="22"/>
          <w:lang w:val="en-GB"/>
        </w:rPr>
        <w:t xml:space="preserve">: Art 19(4). Relief granted under Art 19 terminates unless extended under Art 21(1)(f) when the application for recognition is decided upon: Art 19(3). </w:t>
      </w:r>
    </w:p>
    <w:p w14:paraId="686CDE58" w14:textId="339AB581" w:rsidR="005E451D" w:rsidRDefault="005E451D" w:rsidP="00223FB2">
      <w:pPr>
        <w:ind w:left="720"/>
        <w:jc w:val="both"/>
        <w:rPr>
          <w:rFonts w:ascii="Arial" w:hAnsi="Arial" w:cs="Arial"/>
          <w:sz w:val="22"/>
          <w:szCs w:val="22"/>
          <w:lang w:val="en-GB"/>
        </w:rPr>
      </w:pPr>
    </w:p>
    <w:p w14:paraId="5131E00B" w14:textId="09F5C987" w:rsidR="005E451D" w:rsidRDefault="005E451D" w:rsidP="00223FB2">
      <w:pPr>
        <w:ind w:left="720"/>
        <w:jc w:val="both"/>
        <w:rPr>
          <w:rFonts w:ascii="Arial" w:hAnsi="Arial" w:cs="Arial"/>
          <w:sz w:val="22"/>
          <w:szCs w:val="22"/>
          <w:lang w:val="en-GB"/>
        </w:rPr>
      </w:pPr>
      <w:r>
        <w:rPr>
          <w:rFonts w:ascii="Arial" w:hAnsi="Arial" w:cs="Arial"/>
          <w:sz w:val="22"/>
          <w:szCs w:val="22"/>
          <w:lang w:val="en-GB"/>
        </w:rPr>
        <w:t xml:space="preserve">If the foreign proceeding is a foreign main proceeding, there is automatic relief: Art 20. This includes: a) a stay against commencement or continuation of individual actions or proceedings concerning the debtor’s assets, rights, obligations and liabilities, b) stay of execution against the debtor’s assets and c) suspension of the right to transfer, encumber or otherwise dispose of any assets of the debtor. </w:t>
      </w:r>
    </w:p>
    <w:p w14:paraId="3540F94A" w14:textId="18A85D08" w:rsidR="00B22E1F" w:rsidRDefault="00B22E1F" w:rsidP="00223FB2">
      <w:pPr>
        <w:ind w:left="720"/>
        <w:jc w:val="both"/>
        <w:rPr>
          <w:rFonts w:ascii="Arial" w:hAnsi="Arial" w:cs="Arial"/>
          <w:sz w:val="22"/>
          <w:szCs w:val="22"/>
          <w:lang w:val="en-GB"/>
        </w:rPr>
      </w:pPr>
    </w:p>
    <w:p w14:paraId="0E05CAE2" w14:textId="6C8FC55B" w:rsidR="00B22E1F" w:rsidRDefault="00B22E1F" w:rsidP="00223FB2">
      <w:pPr>
        <w:ind w:left="720"/>
        <w:jc w:val="both"/>
        <w:rPr>
          <w:rFonts w:ascii="Arial" w:hAnsi="Arial" w:cs="Arial"/>
          <w:sz w:val="22"/>
          <w:szCs w:val="22"/>
          <w:lang w:val="en-GB"/>
        </w:rPr>
      </w:pPr>
      <w:r>
        <w:rPr>
          <w:rFonts w:ascii="Arial" w:hAnsi="Arial" w:cs="Arial"/>
          <w:sz w:val="22"/>
          <w:szCs w:val="22"/>
          <w:lang w:val="en-GB"/>
        </w:rPr>
        <w:t xml:space="preserve">Art 21 provides for the reliefs </w:t>
      </w:r>
      <w:r w:rsidR="009A6055">
        <w:rPr>
          <w:rFonts w:ascii="Arial" w:hAnsi="Arial" w:cs="Arial"/>
          <w:sz w:val="22"/>
          <w:szCs w:val="22"/>
          <w:lang w:val="en-GB"/>
        </w:rPr>
        <w:t xml:space="preserve">necessary to protect the debtor’s assets or creditor’s interests </w:t>
      </w:r>
      <w:r>
        <w:rPr>
          <w:rFonts w:ascii="Arial" w:hAnsi="Arial" w:cs="Arial"/>
          <w:sz w:val="22"/>
          <w:szCs w:val="22"/>
          <w:lang w:val="en-GB"/>
        </w:rPr>
        <w:t xml:space="preserve">which may be granted upon recognition of a foreign proceeding (whether main or non-main). </w:t>
      </w:r>
      <w:r w:rsidR="00135412">
        <w:rPr>
          <w:rFonts w:ascii="Arial" w:hAnsi="Arial" w:cs="Arial"/>
          <w:sz w:val="22"/>
          <w:szCs w:val="22"/>
          <w:lang w:val="en-GB"/>
        </w:rPr>
        <w:t xml:space="preserve">While Art 21 is worded broadly, there are limits to the reliefs which the court can grant. </w:t>
      </w:r>
    </w:p>
    <w:p w14:paraId="2D15A06C" w14:textId="31B8087B" w:rsidR="00D95F1B" w:rsidRDefault="00D95F1B" w:rsidP="00223FB2">
      <w:pPr>
        <w:ind w:left="720"/>
        <w:jc w:val="both"/>
        <w:rPr>
          <w:rFonts w:ascii="Arial" w:hAnsi="Arial" w:cs="Arial"/>
          <w:sz w:val="22"/>
          <w:szCs w:val="22"/>
          <w:lang w:val="en-GB"/>
        </w:rPr>
      </w:pPr>
    </w:p>
    <w:p w14:paraId="7C2A27D4" w14:textId="2ED48EAC" w:rsidR="00D95F1B" w:rsidRPr="00B77006" w:rsidRDefault="00D95F1B" w:rsidP="00223FB2">
      <w:pPr>
        <w:ind w:left="720"/>
        <w:jc w:val="both"/>
        <w:rPr>
          <w:rFonts w:ascii="Arial" w:hAnsi="Arial" w:cs="Arial"/>
          <w:sz w:val="22"/>
          <w:szCs w:val="22"/>
          <w:lang w:val="en-GB"/>
        </w:rPr>
      </w:pPr>
      <w:r>
        <w:rPr>
          <w:rFonts w:ascii="Arial" w:hAnsi="Arial" w:cs="Arial"/>
          <w:sz w:val="22"/>
          <w:szCs w:val="22"/>
          <w:lang w:val="en-GB"/>
        </w:rPr>
        <w:t xml:space="preserve">In granting relief under Arts 19 – 21, the court must be satisfied that the interests of the creditors and other interested persons including the debtor are adequately </w:t>
      </w:r>
      <w:r>
        <w:rPr>
          <w:rFonts w:ascii="Arial" w:hAnsi="Arial" w:cs="Arial"/>
          <w:sz w:val="22"/>
          <w:szCs w:val="22"/>
          <w:lang w:val="en-GB"/>
        </w:rPr>
        <w:lastRenderedPageBreak/>
        <w:t xml:space="preserve">protected: Art 22(1). The court can subject relief granted to conditions: Art 22(2). The court can also modify or terminate such relief: Art 22(3). </w:t>
      </w:r>
    </w:p>
    <w:p w14:paraId="655CD70B" w14:textId="04C44681" w:rsidR="00D5244F" w:rsidRDefault="00D5244F" w:rsidP="00707FC8">
      <w:pPr>
        <w:ind w:left="720" w:hanging="720"/>
        <w:jc w:val="both"/>
        <w:rPr>
          <w:rFonts w:ascii="Avenir Next" w:hAnsi="Avenir Next" w:cs="Arial"/>
          <w:sz w:val="22"/>
          <w:szCs w:val="22"/>
          <w:lang w:val="en-GB"/>
        </w:rPr>
      </w:pPr>
    </w:p>
    <w:p w14:paraId="78D16973" w14:textId="314A134F" w:rsidR="0011298F" w:rsidRDefault="00040983" w:rsidP="00C53F23">
      <w:pPr>
        <w:ind w:left="720"/>
        <w:jc w:val="both"/>
        <w:rPr>
          <w:rFonts w:ascii="Arial" w:hAnsi="Arial" w:cs="Arial"/>
          <w:sz w:val="22"/>
          <w:szCs w:val="22"/>
          <w:lang w:val="en-GB"/>
        </w:rPr>
      </w:pPr>
      <w:r w:rsidRPr="00C53F23">
        <w:rPr>
          <w:rFonts w:ascii="Arial" w:hAnsi="Arial" w:cs="Arial"/>
          <w:sz w:val="22"/>
          <w:szCs w:val="22"/>
          <w:lang w:val="en-GB"/>
        </w:rPr>
        <w:t>Further, Art 23</w:t>
      </w:r>
      <w:r w:rsidR="00C53F23">
        <w:rPr>
          <w:rFonts w:ascii="Arial" w:hAnsi="Arial" w:cs="Arial"/>
          <w:sz w:val="22"/>
          <w:szCs w:val="22"/>
          <w:lang w:val="en-GB"/>
        </w:rPr>
        <w:t xml:space="preserve">, a form of post recognition relief, provides that the foreign representative has the standing to initiate actions to avoid acts detrimental to creditors (ie, </w:t>
      </w:r>
      <w:r w:rsidR="00FA3B00">
        <w:rPr>
          <w:rFonts w:ascii="Arial" w:hAnsi="Arial" w:cs="Arial"/>
          <w:sz w:val="22"/>
          <w:szCs w:val="22"/>
          <w:lang w:val="en-GB"/>
        </w:rPr>
        <w:t xml:space="preserve">avoiding </w:t>
      </w:r>
      <w:r w:rsidR="00C53F23">
        <w:rPr>
          <w:rFonts w:ascii="Arial" w:hAnsi="Arial" w:cs="Arial"/>
          <w:sz w:val="22"/>
          <w:szCs w:val="22"/>
          <w:lang w:val="en-GB"/>
        </w:rPr>
        <w:t xml:space="preserve">antecedent transactions). </w:t>
      </w:r>
      <w:r w:rsidR="00FA3B00">
        <w:rPr>
          <w:rFonts w:ascii="Arial" w:hAnsi="Arial" w:cs="Arial"/>
          <w:sz w:val="22"/>
          <w:szCs w:val="22"/>
          <w:lang w:val="en-GB"/>
        </w:rPr>
        <w:t xml:space="preserve">Art 23 is narrowly drafted, and only gives the foreign representative standing to initiate action to avoid antecedent transactions. </w:t>
      </w:r>
      <w:r w:rsidR="00E77400">
        <w:rPr>
          <w:rFonts w:ascii="Arial" w:hAnsi="Arial" w:cs="Arial"/>
          <w:sz w:val="22"/>
          <w:szCs w:val="22"/>
          <w:lang w:val="en-GB"/>
        </w:rPr>
        <w:t xml:space="preserve">Also Art 23(2) draws a distinction between foreign main, and foreign non-main proceedings. In the case of the latter, the court must also be satisfied that the action to avoid antecedent transactions relates to assets that, under the law of the enacting State, should be administered in the foreign non-main proceeding. </w:t>
      </w:r>
    </w:p>
    <w:p w14:paraId="01D388EE" w14:textId="2B38D406" w:rsidR="00323D95" w:rsidRDefault="00323D95" w:rsidP="00C53F23">
      <w:pPr>
        <w:ind w:left="720"/>
        <w:jc w:val="both"/>
        <w:rPr>
          <w:rFonts w:ascii="Arial" w:hAnsi="Arial" w:cs="Arial"/>
          <w:sz w:val="22"/>
          <w:szCs w:val="22"/>
          <w:lang w:val="en-GB"/>
        </w:rPr>
      </w:pPr>
    </w:p>
    <w:p w14:paraId="3E2AC18D" w14:textId="6F13B6CF" w:rsidR="00323D95" w:rsidRPr="00C53F23" w:rsidRDefault="00BD128A" w:rsidP="00C53F23">
      <w:pPr>
        <w:ind w:left="720"/>
        <w:jc w:val="both"/>
        <w:rPr>
          <w:rFonts w:ascii="Arial" w:hAnsi="Arial" w:cs="Arial"/>
          <w:sz w:val="22"/>
          <w:szCs w:val="22"/>
          <w:lang w:val="en-GB"/>
        </w:rPr>
      </w:pPr>
      <w:r>
        <w:rPr>
          <w:rFonts w:ascii="Arial" w:hAnsi="Arial" w:cs="Arial"/>
          <w:sz w:val="22"/>
          <w:szCs w:val="22"/>
          <w:lang w:val="en-GB"/>
        </w:rPr>
        <w:t>Art 24 is another example of post recognition relief</w:t>
      </w:r>
      <w:r w:rsidR="008E0ADD">
        <w:rPr>
          <w:rFonts w:ascii="Arial" w:hAnsi="Arial" w:cs="Arial"/>
          <w:sz w:val="22"/>
          <w:szCs w:val="22"/>
          <w:lang w:val="en-GB"/>
        </w:rPr>
        <w:t xml:space="preserve"> – a foreign </w:t>
      </w:r>
      <w:r w:rsidR="00C562FF">
        <w:rPr>
          <w:rFonts w:ascii="Arial" w:hAnsi="Arial" w:cs="Arial"/>
          <w:sz w:val="22"/>
          <w:szCs w:val="22"/>
          <w:lang w:val="en-GB"/>
        </w:rPr>
        <w:t>representative</w:t>
      </w:r>
      <w:r w:rsidR="008E0ADD">
        <w:rPr>
          <w:rFonts w:ascii="Arial" w:hAnsi="Arial" w:cs="Arial"/>
          <w:sz w:val="22"/>
          <w:szCs w:val="22"/>
          <w:lang w:val="en-GB"/>
        </w:rPr>
        <w:t xml:space="preserve"> may, provided the enacting State’s laws are met, intervene in any proceedings in which the debtor is a party. </w:t>
      </w:r>
    </w:p>
    <w:p w14:paraId="3AD64608" w14:textId="494971FA" w:rsidR="00867A8F" w:rsidRDefault="00867A8F" w:rsidP="00707FC8">
      <w:pPr>
        <w:ind w:left="720" w:hanging="720"/>
        <w:jc w:val="both"/>
        <w:rPr>
          <w:rFonts w:ascii="Avenir Next" w:hAnsi="Avenir Next" w:cs="Arial"/>
          <w:sz w:val="22"/>
          <w:szCs w:val="22"/>
          <w:lang w:val="en-GB"/>
        </w:rPr>
      </w:pPr>
    </w:p>
    <w:p w14:paraId="21A67231" w14:textId="09778AA2" w:rsidR="00867A8F" w:rsidRDefault="00867A8F" w:rsidP="00707FC8">
      <w:pPr>
        <w:ind w:left="720" w:hanging="720"/>
        <w:jc w:val="both"/>
        <w:rPr>
          <w:rFonts w:ascii="Avenir Next" w:hAnsi="Avenir Next" w:cs="Arial"/>
          <w:sz w:val="22"/>
          <w:szCs w:val="22"/>
          <w:lang w:val="en-GB"/>
        </w:rPr>
      </w:pPr>
    </w:p>
    <w:p w14:paraId="4A0E319B" w14:textId="1D91EF76" w:rsidR="00867A8F" w:rsidRDefault="00867A8F" w:rsidP="00707FC8">
      <w:pPr>
        <w:ind w:left="720" w:hanging="720"/>
        <w:jc w:val="both"/>
        <w:rPr>
          <w:rFonts w:ascii="Avenir Next" w:hAnsi="Avenir Next" w:cs="Arial"/>
          <w:sz w:val="22"/>
          <w:szCs w:val="22"/>
          <w:lang w:val="en-GB"/>
        </w:rPr>
      </w:pP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55D111B1" w14:textId="3B826F09" w:rsidR="00867A8F" w:rsidRPr="00C4023B" w:rsidRDefault="0096498B" w:rsidP="00C4023B">
      <w:pPr>
        <w:ind w:left="720"/>
        <w:jc w:val="both"/>
        <w:rPr>
          <w:rFonts w:ascii="Arial" w:hAnsi="Arial" w:cs="Arial"/>
          <w:sz w:val="22"/>
          <w:szCs w:val="22"/>
          <w:lang w:val="en-GB"/>
        </w:rPr>
      </w:pPr>
      <w:r w:rsidRPr="00C4023B">
        <w:rPr>
          <w:rFonts w:ascii="Arial" w:hAnsi="Arial" w:cs="Arial"/>
          <w:sz w:val="22"/>
          <w:szCs w:val="22"/>
          <w:lang w:val="en-GB"/>
        </w:rPr>
        <w:t xml:space="preserve">This was dealt with in the English case of </w:t>
      </w:r>
      <w:r w:rsidRPr="00C4023B">
        <w:rPr>
          <w:rFonts w:ascii="Arial" w:hAnsi="Arial" w:cs="Arial"/>
          <w:i/>
          <w:iCs/>
          <w:sz w:val="22"/>
          <w:szCs w:val="22"/>
          <w:lang w:val="en-GB"/>
        </w:rPr>
        <w:t xml:space="preserve">Igor Vitalievich Protasov </w:t>
      </w:r>
      <w:r w:rsidR="00C4023B" w:rsidRPr="00C4023B">
        <w:rPr>
          <w:rFonts w:ascii="Arial" w:hAnsi="Arial" w:cs="Arial"/>
          <w:i/>
          <w:iCs/>
          <w:sz w:val="22"/>
          <w:szCs w:val="22"/>
          <w:lang w:val="en-GB"/>
        </w:rPr>
        <w:t>v</w:t>
      </w:r>
      <w:r w:rsidRPr="00C4023B">
        <w:rPr>
          <w:rFonts w:ascii="Arial" w:hAnsi="Arial" w:cs="Arial"/>
          <w:i/>
          <w:iCs/>
          <w:sz w:val="22"/>
          <w:szCs w:val="22"/>
          <w:lang w:val="en-GB"/>
        </w:rPr>
        <w:t xml:space="preserve"> Khadzhi-Murat Derev</w:t>
      </w:r>
      <w:r w:rsidRPr="00C4023B">
        <w:rPr>
          <w:rFonts w:ascii="Arial" w:hAnsi="Arial" w:cs="Arial"/>
          <w:sz w:val="22"/>
          <w:szCs w:val="22"/>
          <w:lang w:val="en-GB"/>
        </w:rPr>
        <w:t xml:space="preserve"> [2021] EWHC 392 (Ch). </w:t>
      </w:r>
      <w:r w:rsidR="00C4023B">
        <w:rPr>
          <w:rFonts w:ascii="Arial" w:hAnsi="Arial" w:cs="Arial"/>
          <w:sz w:val="22"/>
          <w:szCs w:val="22"/>
          <w:lang w:val="en-GB"/>
        </w:rPr>
        <w:t xml:space="preserve">The court reasoned that the MLCBI was intended to put the foreign trustee or bankruptcy manager in the same position, as far as practicable, as one appointed under domestic law – the recognition of a foreign main proceeding was to invoke the infrastructure of domestic insolvency legislation in support of the foreign proceeding. Because the English bankruptcy regime offered other forms of protection, relief in the form of a freezing order was not warranted. </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r w:rsidRPr="00E2622D">
        <w:rPr>
          <w:rFonts w:ascii="Avenir Next" w:hAnsi="Avenir Next" w:cs="Arial"/>
          <w:color w:val="000000"/>
          <w:sz w:val="22"/>
          <w:szCs w:val="22"/>
          <w:lang w:val="en-GB" w:eastAsia="en-GB"/>
        </w:rPr>
        <w:t>a number of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3CA57103" w14:textId="39D8BEF3" w:rsidR="00860E61" w:rsidRDefault="00860E61" w:rsidP="00860E61">
      <w:pPr>
        <w:jc w:val="both"/>
        <w:rPr>
          <w:rFonts w:ascii="Avenir Next" w:hAnsi="Avenir Next" w:cs="Arial"/>
          <w:color w:val="000000"/>
          <w:sz w:val="22"/>
          <w:szCs w:val="22"/>
          <w:lang w:val="en-GB" w:eastAsia="en-GB"/>
        </w:rPr>
      </w:pPr>
    </w:p>
    <w:p w14:paraId="4B225462" w14:textId="5A510A1D" w:rsidR="00867A8F" w:rsidRDefault="00867A8F" w:rsidP="00860E61">
      <w:pPr>
        <w:jc w:val="both"/>
        <w:rPr>
          <w:rFonts w:ascii="Avenir Next" w:hAnsi="Avenir Next" w:cs="Arial"/>
          <w:color w:val="000000"/>
          <w:sz w:val="22"/>
          <w:szCs w:val="22"/>
          <w:lang w:val="en-GB" w:eastAsia="en-GB"/>
        </w:rPr>
      </w:pPr>
    </w:p>
    <w:p w14:paraId="71FDE47B" w14:textId="34333CBE" w:rsidR="00867A8F" w:rsidRDefault="00867A8F"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third of the minimum level specified by law;</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t xml:space="preserve">The NB has the ability to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E2622D" w:rsidRDefault="008A7470">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affairs. Articles 35(5) and 36(1) of the DGF Law provide that during provisional administration, </w:t>
      </w:r>
      <w:r w:rsidRPr="00E2622D">
        <w:rPr>
          <w:rFonts w:ascii="Avenir Next" w:hAnsi="Avenir Next" w:cs="Arial"/>
          <w:color w:val="000000"/>
          <w:sz w:val="22"/>
          <w:szCs w:val="22"/>
          <w:lang w:val="en-GB" w:eastAsia="en-GB"/>
        </w:rPr>
        <w:lastRenderedPageBreak/>
        <w:t>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0C5C9B4D" w14:textId="57BE92F7" w:rsidR="00867A8F" w:rsidRDefault="00867A8F" w:rsidP="006A3DF0">
      <w:pPr>
        <w:jc w:val="both"/>
        <w:rPr>
          <w:rFonts w:ascii="Avenir Next" w:hAnsi="Avenir Next" w:cs="Arial"/>
          <w:color w:val="000000"/>
          <w:sz w:val="22"/>
          <w:szCs w:val="22"/>
          <w:lang w:val="en-GB" w:eastAsia="en-GB"/>
        </w:rPr>
      </w:pPr>
    </w:p>
    <w:p w14:paraId="4518FE33" w14:textId="6ADCB6A7" w:rsidR="00867A8F" w:rsidRDefault="00867A8F" w:rsidP="006A3DF0">
      <w:pPr>
        <w:jc w:val="both"/>
        <w:rPr>
          <w:rFonts w:ascii="Avenir Next" w:hAnsi="Avenir Next" w:cs="Arial"/>
          <w:color w:val="000000"/>
          <w:sz w:val="22"/>
          <w:szCs w:val="22"/>
          <w:lang w:val="en-GB" w:eastAsia="en-GB"/>
        </w:rPr>
      </w:pPr>
    </w:p>
    <w:p w14:paraId="3058137D" w14:textId="3DF06EC3" w:rsidR="00867A8F" w:rsidRDefault="00867A8F" w:rsidP="006A3DF0">
      <w:pPr>
        <w:jc w:val="both"/>
        <w:rPr>
          <w:rFonts w:ascii="Avenir Next" w:hAnsi="Avenir Next" w:cs="Arial"/>
          <w:color w:val="000000"/>
          <w:sz w:val="22"/>
          <w:szCs w:val="22"/>
          <w:lang w:val="en-GB" w:eastAsia="en-GB"/>
        </w:rPr>
      </w:pP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funds. Public encumbrances and restrictions on disposal of bank property are terminated and offsetting of counter-claims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exercise management powers and take over management of the property (including the money) of the bank;</w:t>
      </w:r>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compile a register of creditor claims and to seek to satisfy those claims;</w:t>
      </w:r>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dismiss employees and withdraw from/terminate contracts;</w:t>
      </w:r>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t>The DGF also has powers of sale, distribution and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 xml:space="preserve">an employee of the Fund, who on behalf of the Fund and within the powers provided for </w:t>
      </w:r>
      <w:r w:rsidRPr="00E2622D">
        <w:rPr>
          <w:rFonts w:ascii="Avenir Next" w:hAnsi="Avenir Next" w:cs="Arial"/>
          <w:i/>
          <w:iCs/>
          <w:color w:val="000000"/>
          <w:sz w:val="22"/>
          <w:szCs w:val="22"/>
          <w:lang w:val="en-GB" w:eastAsia="en-GB"/>
        </w:rPr>
        <w:lastRenderedPageBreak/>
        <w:t>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breach, for eight consecutive reporting periods,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activities;</w:t>
      </w:r>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banking licence and resolved that it be liquidated. The following day, the DGF initiated the liquidation procedure and </w:t>
      </w:r>
      <w:r w:rsidRPr="00E2622D">
        <w:rPr>
          <w:rFonts w:ascii="Avenir Next" w:hAnsi="Avenir Next" w:cs="Arial"/>
          <w:color w:val="000000"/>
          <w:sz w:val="22"/>
          <w:szCs w:val="22"/>
          <w:lang w:val="en-GB" w:eastAsia="en-GB"/>
        </w:rPr>
        <w:lastRenderedPageBreak/>
        <w:t>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283EC709" w:rsidR="008A7470"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0B666C5B" w14:textId="7357887E" w:rsidR="00195485" w:rsidRDefault="00195485" w:rsidP="00957951">
      <w:pPr>
        <w:ind w:left="720" w:hanging="720"/>
        <w:jc w:val="both"/>
        <w:rPr>
          <w:rFonts w:ascii="Avenir Next" w:hAnsi="Avenir Next" w:cs="Arial"/>
          <w:color w:val="000000"/>
          <w:sz w:val="22"/>
          <w:szCs w:val="22"/>
          <w:lang w:val="en-GB" w:eastAsia="en-GB"/>
        </w:rPr>
      </w:pPr>
    </w:p>
    <w:p w14:paraId="001C34C6" w14:textId="78FA5971" w:rsidR="00195485" w:rsidRPr="00583C2A" w:rsidRDefault="007F15DB" w:rsidP="00957951">
      <w:pPr>
        <w:ind w:left="720" w:hanging="720"/>
        <w:jc w:val="both"/>
        <w:rPr>
          <w:rFonts w:ascii="Arial" w:hAnsi="Arial" w:cs="Arial"/>
          <w:sz w:val="22"/>
          <w:szCs w:val="22"/>
          <w:lang w:val="en-GB" w:eastAsia="en-GB"/>
        </w:rPr>
      </w:pPr>
      <w:r>
        <w:rPr>
          <w:rFonts w:ascii="Arial" w:hAnsi="Arial" w:cs="Arial"/>
          <w:sz w:val="22"/>
          <w:szCs w:val="22"/>
          <w:lang w:val="en-GB" w:eastAsia="en-GB"/>
        </w:rPr>
        <w:t>I note that a</w:t>
      </w:r>
      <w:r w:rsidR="00195485" w:rsidRPr="00583C2A">
        <w:rPr>
          <w:rFonts w:ascii="Arial" w:hAnsi="Arial" w:cs="Arial"/>
          <w:sz w:val="22"/>
          <w:szCs w:val="22"/>
          <w:lang w:val="en-GB" w:eastAsia="en-GB"/>
        </w:rPr>
        <w:t xml:space="preserve"> foreign proceeding as defined under Art 2(a) of the MLCBI has the following elements: </w:t>
      </w:r>
    </w:p>
    <w:p w14:paraId="119ED979" w14:textId="3CFC6F4B" w:rsidR="00195485" w:rsidRPr="00583C2A" w:rsidRDefault="00195485">
      <w:pPr>
        <w:pStyle w:val="ListParagraph"/>
        <w:numPr>
          <w:ilvl w:val="0"/>
          <w:numId w:val="16"/>
        </w:numPr>
        <w:jc w:val="both"/>
        <w:rPr>
          <w:rFonts w:ascii="Arial" w:hAnsi="Arial" w:cs="Arial"/>
          <w:sz w:val="22"/>
          <w:szCs w:val="22"/>
          <w:lang w:val="en-GB" w:eastAsia="en-GB"/>
        </w:rPr>
      </w:pPr>
      <w:r w:rsidRPr="00583C2A">
        <w:rPr>
          <w:rFonts w:ascii="Arial" w:hAnsi="Arial" w:cs="Arial"/>
          <w:sz w:val="22"/>
          <w:szCs w:val="22"/>
          <w:lang w:val="en-GB" w:eastAsia="en-GB"/>
        </w:rPr>
        <w:t xml:space="preserve">A proceeding (this includes an interim proceeding); </w:t>
      </w:r>
    </w:p>
    <w:p w14:paraId="3B4657BA" w14:textId="3F0FA1B7" w:rsidR="00195485" w:rsidRPr="00583C2A" w:rsidRDefault="00195485">
      <w:pPr>
        <w:pStyle w:val="ListParagraph"/>
        <w:numPr>
          <w:ilvl w:val="0"/>
          <w:numId w:val="16"/>
        </w:numPr>
        <w:jc w:val="both"/>
        <w:rPr>
          <w:rFonts w:ascii="Arial" w:hAnsi="Arial" w:cs="Arial"/>
          <w:sz w:val="22"/>
          <w:szCs w:val="22"/>
          <w:lang w:val="en-GB" w:eastAsia="en-GB"/>
        </w:rPr>
      </w:pPr>
      <w:r w:rsidRPr="00583C2A">
        <w:rPr>
          <w:rFonts w:ascii="Arial" w:hAnsi="Arial" w:cs="Arial"/>
          <w:sz w:val="22"/>
          <w:szCs w:val="22"/>
          <w:lang w:val="en-GB" w:eastAsia="en-GB"/>
        </w:rPr>
        <w:t xml:space="preserve">That is either judicial or administrative; </w:t>
      </w:r>
    </w:p>
    <w:p w14:paraId="55BBAC64" w14:textId="4DE6F4DE" w:rsidR="00195485" w:rsidRPr="00583C2A" w:rsidRDefault="00195485">
      <w:pPr>
        <w:pStyle w:val="ListParagraph"/>
        <w:numPr>
          <w:ilvl w:val="0"/>
          <w:numId w:val="16"/>
        </w:numPr>
        <w:jc w:val="both"/>
        <w:rPr>
          <w:rFonts w:ascii="Arial" w:hAnsi="Arial" w:cs="Arial"/>
          <w:sz w:val="22"/>
          <w:szCs w:val="22"/>
          <w:lang w:val="en-GB" w:eastAsia="en-GB"/>
        </w:rPr>
      </w:pPr>
      <w:r w:rsidRPr="00583C2A">
        <w:rPr>
          <w:rFonts w:ascii="Arial" w:hAnsi="Arial" w:cs="Arial"/>
          <w:sz w:val="22"/>
          <w:szCs w:val="22"/>
          <w:lang w:val="en-GB" w:eastAsia="en-GB"/>
        </w:rPr>
        <w:t xml:space="preserve">That is collective in nature; </w:t>
      </w:r>
    </w:p>
    <w:p w14:paraId="304CB693" w14:textId="58639944" w:rsidR="00195485" w:rsidRPr="00583C2A" w:rsidRDefault="00195485">
      <w:pPr>
        <w:pStyle w:val="ListParagraph"/>
        <w:numPr>
          <w:ilvl w:val="0"/>
          <w:numId w:val="16"/>
        </w:numPr>
        <w:jc w:val="both"/>
        <w:rPr>
          <w:rFonts w:ascii="Arial" w:hAnsi="Arial" w:cs="Arial"/>
          <w:sz w:val="22"/>
          <w:szCs w:val="22"/>
          <w:lang w:val="en-GB" w:eastAsia="en-GB"/>
        </w:rPr>
      </w:pPr>
      <w:r w:rsidRPr="00583C2A">
        <w:rPr>
          <w:rFonts w:ascii="Arial" w:hAnsi="Arial" w:cs="Arial"/>
          <w:sz w:val="22"/>
          <w:szCs w:val="22"/>
          <w:lang w:val="en-GB" w:eastAsia="en-GB"/>
        </w:rPr>
        <w:t xml:space="preserve">That is in a foreign State; </w:t>
      </w:r>
    </w:p>
    <w:p w14:paraId="7FFB9AF8" w14:textId="5094F66C" w:rsidR="00195485" w:rsidRPr="00583C2A" w:rsidRDefault="00195485">
      <w:pPr>
        <w:pStyle w:val="ListParagraph"/>
        <w:numPr>
          <w:ilvl w:val="0"/>
          <w:numId w:val="16"/>
        </w:numPr>
        <w:jc w:val="both"/>
        <w:rPr>
          <w:rFonts w:ascii="Arial" w:hAnsi="Arial" w:cs="Arial"/>
          <w:sz w:val="22"/>
          <w:szCs w:val="22"/>
          <w:lang w:val="en-GB" w:eastAsia="en-GB"/>
        </w:rPr>
      </w:pPr>
      <w:r w:rsidRPr="00583C2A">
        <w:rPr>
          <w:rFonts w:ascii="Arial" w:hAnsi="Arial" w:cs="Arial"/>
          <w:sz w:val="22"/>
          <w:szCs w:val="22"/>
          <w:lang w:val="en-GB" w:eastAsia="en-GB"/>
        </w:rPr>
        <w:t xml:space="preserve">That is authorised or conducted under a law relating to insolvency; </w:t>
      </w:r>
    </w:p>
    <w:p w14:paraId="7DBE63D9" w14:textId="3CDBCFE5" w:rsidR="00195485" w:rsidRPr="00583C2A" w:rsidRDefault="00195485">
      <w:pPr>
        <w:pStyle w:val="ListParagraph"/>
        <w:numPr>
          <w:ilvl w:val="0"/>
          <w:numId w:val="16"/>
        </w:numPr>
        <w:jc w:val="both"/>
        <w:rPr>
          <w:rFonts w:ascii="Arial" w:hAnsi="Arial" w:cs="Arial"/>
          <w:sz w:val="22"/>
          <w:szCs w:val="22"/>
          <w:lang w:val="en-GB" w:eastAsia="en-GB"/>
        </w:rPr>
      </w:pPr>
      <w:r w:rsidRPr="00583C2A">
        <w:rPr>
          <w:rFonts w:ascii="Arial" w:hAnsi="Arial" w:cs="Arial"/>
          <w:sz w:val="22"/>
          <w:szCs w:val="22"/>
          <w:lang w:val="en-GB" w:eastAsia="en-GB"/>
        </w:rPr>
        <w:t xml:space="preserve">In which the assets and affairs of the debtor are subject to control or supervision by the foreign Court; and </w:t>
      </w:r>
    </w:p>
    <w:p w14:paraId="57C369F1" w14:textId="568B7655" w:rsidR="00195485" w:rsidRDefault="00195485">
      <w:pPr>
        <w:pStyle w:val="ListParagraph"/>
        <w:numPr>
          <w:ilvl w:val="0"/>
          <w:numId w:val="16"/>
        </w:numPr>
        <w:jc w:val="both"/>
        <w:rPr>
          <w:rFonts w:ascii="Arial" w:hAnsi="Arial" w:cs="Arial"/>
          <w:sz w:val="22"/>
          <w:szCs w:val="22"/>
          <w:lang w:val="en-GB" w:eastAsia="en-GB"/>
        </w:rPr>
      </w:pPr>
      <w:r w:rsidRPr="00583C2A">
        <w:rPr>
          <w:rFonts w:ascii="Arial" w:hAnsi="Arial" w:cs="Arial"/>
          <w:sz w:val="22"/>
          <w:szCs w:val="22"/>
          <w:lang w:val="en-GB" w:eastAsia="en-GB"/>
        </w:rPr>
        <w:t xml:space="preserve">The proceeding is for the purpose of reorganisation or liquidation. </w:t>
      </w:r>
    </w:p>
    <w:p w14:paraId="3F476FD9" w14:textId="5A3C8E10" w:rsidR="008D2D37" w:rsidRDefault="008D2D37" w:rsidP="008D2D37">
      <w:pPr>
        <w:jc w:val="both"/>
        <w:rPr>
          <w:rFonts w:ascii="Arial" w:hAnsi="Arial" w:cs="Arial"/>
          <w:sz w:val="22"/>
          <w:szCs w:val="22"/>
          <w:lang w:val="en-GB" w:eastAsia="en-GB"/>
        </w:rPr>
      </w:pPr>
    </w:p>
    <w:p w14:paraId="5F25A207" w14:textId="78739582" w:rsidR="00870D72" w:rsidRPr="00E22C11" w:rsidRDefault="007F15DB" w:rsidP="008D2D37">
      <w:pPr>
        <w:jc w:val="both"/>
        <w:rPr>
          <w:rFonts w:ascii="Arial" w:hAnsi="Arial" w:cs="Arial"/>
          <w:sz w:val="22"/>
          <w:szCs w:val="22"/>
          <w:lang w:val="en-GB" w:eastAsia="en-GB"/>
        </w:rPr>
      </w:pPr>
      <w:r>
        <w:rPr>
          <w:rFonts w:ascii="Arial" w:hAnsi="Arial" w:cs="Arial"/>
          <w:sz w:val="22"/>
          <w:szCs w:val="22"/>
          <w:lang w:val="en-GB" w:eastAsia="en-GB"/>
        </w:rPr>
        <w:t>I am aware of the case of</w:t>
      </w:r>
      <w:r w:rsidR="00870D72">
        <w:rPr>
          <w:rFonts w:ascii="Arial" w:hAnsi="Arial" w:cs="Arial"/>
          <w:sz w:val="22"/>
          <w:szCs w:val="22"/>
          <w:lang w:val="en-GB" w:eastAsia="en-GB"/>
        </w:rPr>
        <w:t xml:space="preserve"> </w:t>
      </w:r>
      <w:r w:rsidR="00870D72" w:rsidRPr="00870D72">
        <w:rPr>
          <w:rFonts w:ascii="Arial" w:hAnsi="Arial" w:cs="Arial"/>
          <w:i/>
          <w:iCs/>
          <w:sz w:val="22"/>
          <w:szCs w:val="22"/>
          <w:lang w:val="en-GB" w:eastAsia="en-GB"/>
        </w:rPr>
        <w:t>In the matter of Agrokor DD</w:t>
      </w:r>
      <w:r w:rsidR="00870D72">
        <w:rPr>
          <w:rFonts w:ascii="Arial" w:hAnsi="Arial" w:cs="Arial"/>
          <w:sz w:val="22"/>
          <w:szCs w:val="22"/>
          <w:lang w:val="en-GB" w:eastAsia="en-GB"/>
        </w:rPr>
        <w:t xml:space="preserve"> [2017] EWHC 2791 (Ch)</w:t>
      </w:r>
      <w:r w:rsidR="00E22C11">
        <w:rPr>
          <w:rFonts w:ascii="Arial" w:hAnsi="Arial" w:cs="Arial"/>
          <w:sz w:val="22"/>
          <w:szCs w:val="22"/>
          <w:lang w:val="en-GB" w:eastAsia="en-GB"/>
        </w:rPr>
        <w:t xml:space="preserve">. </w:t>
      </w:r>
      <w:r>
        <w:rPr>
          <w:rFonts w:ascii="Arial" w:hAnsi="Arial" w:cs="Arial"/>
          <w:sz w:val="22"/>
          <w:szCs w:val="22"/>
          <w:lang w:val="en-GB" w:eastAsia="en-GB"/>
        </w:rPr>
        <w:t>I find that the facts in that case are on all fours with the facts of the present case. I explain.</w:t>
      </w:r>
      <w:r w:rsidR="00E22C11">
        <w:rPr>
          <w:rFonts w:ascii="Arial" w:hAnsi="Arial" w:cs="Arial"/>
          <w:sz w:val="22"/>
          <w:szCs w:val="22"/>
          <w:lang w:val="en-GB" w:eastAsia="en-GB"/>
        </w:rPr>
        <w:t xml:space="preserve"> </w:t>
      </w:r>
    </w:p>
    <w:p w14:paraId="5B77D581" w14:textId="77777777" w:rsidR="00870D72" w:rsidRDefault="00870D72" w:rsidP="008D2D37">
      <w:pPr>
        <w:jc w:val="both"/>
        <w:rPr>
          <w:rFonts w:ascii="Arial" w:hAnsi="Arial" w:cs="Arial"/>
          <w:sz w:val="22"/>
          <w:szCs w:val="22"/>
          <w:lang w:val="en-GB" w:eastAsia="en-GB"/>
        </w:rPr>
      </w:pPr>
    </w:p>
    <w:p w14:paraId="6022F0B3" w14:textId="45514831" w:rsidR="008D2D37" w:rsidRDefault="008D2D37" w:rsidP="008D2D37">
      <w:pPr>
        <w:jc w:val="both"/>
        <w:rPr>
          <w:rFonts w:ascii="Arial" w:hAnsi="Arial" w:cs="Arial"/>
          <w:sz w:val="22"/>
          <w:szCs w:val="22"/>
          <w:lang w:val="en-GB" w:eastAsia="en-GB"/>
        </w:rPr>
      </w:pPr>
      <w:r>
        <w:rPr>
          <w:rFonts w:ascii="Arial" w:hAnsi="Arial" w:cs="Arial"/>
          <w:sz w:val="22"/>
          <w:szCs w:val="22"/>
          <w:lang w:val="en-GB" w:eastAsia="en-GB"/>
        </w:rPr>
        <w:t xml:space="preserve">As to whether DGF Law and the LBBA is a law relating to insolvency, insofar as English law is concerned, questions of foreign law are facts which must be decided on the basis of expert evidence. On the assumption that the affidavit which </w:t>
      </w:r>
      <w:r w:rsidRPr="008D2D37">
        <w:rPr>
          <w:rFonts w:ascii="Arial" w:hAnsi="Arial" w:cs="Arial"/>
          <w:sz w:val="22"/>
          <w:szCs w:val="22"/>
          <w:lang w:val="en-GB" w:eastAsia="en-GB"/>
        </w:rPr>
        <w:t>sets out a detailed summary of the legislation of Country A’s specific insolvency procedure for Banks</w:t>
      </w:r>
      <w:r>
        <w:rPr>
          <w:rFonts w:ascii="Arial" w:hAnsi="Arial" w:cs="Arial"/>
          <w:sz w:val="22"/>
          <w:szCs w:val="22"/>
          <w:lang w:val="en-GB" w:eastAsia="en-GB"/>
        </w:rPr>
        <w:t xml:space="preserve"> is that provided by an expert</w:t>
      </w:r>
      <w:r w:rsidR="00ED0F04">
        <w:rPr>
          <w:rFonts w:ascii="Arial" w:hAnsi="Arial" w:cs="Arial"/>
          <w:sz w:val="22"/>
          <w:szCs w:val="22"/>
          <w:lang w:val="en-GB" w:eastAsia="en-GB"/>
        </w:rPr>
        <w:t xml:space="preserve"> </w:t>
      </w:r>
      <w:r w:rsidR="00ED0F04">
        <w:rPr>
          <w:rFonts w:ascii="Arial" w:hAnsi="Arial" w:cs="Arial"/>
          <w:sz w:val="22"/>
          <w:szCs w:val="22"/>
          <w:lang w:val="en-GB" w:eastAsia="en-GB"/>
        </w:rPr>
        <w:lastRenderedPageBreak/>
        <w:t>(presumably a law professor who is well versed in the laws of Country A)</w:t>
      </w:r>
      <w:r>
        <w:rPr>
          <w:rFonts w:ascii="Arial" w:hAnsi="Arial" w:cs="Arial"/>
          <w:sz w:val="22"/>
          <w:szCs w:val="22"/>
          <w:lang w:val="en-GB" w:eastAsia="en-GB"/>
        </w:rPr>
        <w:t xml:space="preserve">, the DGF Law and the LBBA is indeed a law relating to insolvency. </w:t>
      </w:r>
      <w:r w:rsidR="00E130E4">
        <w:rPr>
          <w:rFonts w:ascii="Arial" w:hAnsi="Arial" w:cs="Arial"/>
          <w:sz w:val="22"/>
          <w:szCs w:val="22"/>
          <w:lang w:val="en-GB" w:eastAsia="en-GB"/>
        </w:rPr>
        <w:t xml:space="preserve">Insofar as the Model Law is concerned, it is sufficient if the law deals with or addresses insolvency or financial distress – it suffices that insolvency is one of the grounds on which proceedings could be commenced. </w:t>
      </w:r>
    </w:p>
    <w:p w14:paraId="6FB8BB9D" w14:textId="77777777" w:rsidR="00E130E4" w:rsidRDefault="00E130E4" w:rsidP="008D2D37">
      <w:pPr>
        <w:jc w:val="both"/>
        <w:rPr>
          <w:rFonts w:ascii="Arial" w:hAnsi="Arial" w:cs="Arial"/>
          <w:sz w:val="22"/>
          <w:szCs w:val="22"/>
          <w:lang w:val="en-GB" w:eastAsia="en-GB"/>
        </w:rPr>
      </w:pPr>
    </w:p>
    <w:p w14:paraId="65AD359A" w14:textId="604096EA" w:rsidR="00E130E4" w:rsidRDefault="00E130E4" w:rsidP="008D2D37">
      <w:pPr>
        <w:jc w:val="both"/>
        <w:rPr>
          <w:rFonts w:ascii="Arial" w:hAnsi="Arial" w:cs="Arial"/>
          <w:sz w:val="22"/>
          <w:szCs w:val="22"/>
          <w:lang w:val="en-GB" w:eastAsia="en-GB"/>
        </w:rPr>
      </w:pPr>
      <w:r>
        <w:rPr>
          <w:rFonts w:ascii="Arial" w:hAnsi="Arial" w:cs="Arial"/>
          <w:sz w:val="22"/>
          <w:szCs w:val="22"/>
          <w:lang w:val="en-GB" w:eastAsia="en-GB"/>
        </w:rPr>
        <w:t xml:space="preserve">In the present case, its is clear that the LBBA as well as the DGF law both deal with the insolvency of banks. It provides a mechanism for designating banks as being insolvent, as well as the consequences that follow. </w:t>
      </w:r>
    </w:p>
    <w:p w14:paraId="28EA8732" w14:textId="77777777" w:rsidR="00E22C11" w:rsidRDefault="00E22C11" w:rsidP="008D2D37">
      <w:pPr>
        <w:jc w:val="both"/>
        <w:rPr>
          <w:rFonts w:ascii="Arial" w:hAnsi="Arial" w:cs="Arial"/>
          <w:sz w:val="22"/>
          <w:szCs w:val="22"/>
          <w:lang w:val="en-GB" w:eastAsia="en-GB"/>
        </w:rPr>
      </w:pPr>
    </w:p>
    <w:p w14:paraId="6C535EED" w14:textId="48514A20" w:rsidR="00E130E4" w:rsidRDefault="00E130E4" w:rsidP="008D2D37">
      <w:pPr>
        <w:jc w:val="both"/>
        <w:rPr>
          <w:rFonts w:ascii="Arial" w:hAnsi="Arial" w:cs="Arial"/>
          <w:sz w:val="22"/>
          <w:szCs w:val="22"/>
          <w:lang w:val="en-GB" w:eastAsia="en-GB"/>
        </w:rPr>
      </w:pPr>
      <w:r>
        <w:rPr>
          <w:rFonts w:ascii="Arial" w:hAnsi="Arial" w:cs="Arial"/>
          <w:sz w:val="22"/>
          <w:szCs w:val="22"/>
          <w:lang w:val="en-GB" w:eastAsia="en-GB"/>
        </w:rPr>
        <w:t xml:space="preserve">As for court supervision – the level of such supervision demanded by the Model Law is relatively low. This supervision can be potential rather than actual, and indirect rather than direct. In this case, the UK court is likely to find that there is court supervision. For instance,  </w:t>
      </w:r>
      <w:r w:rsidRPr="00E130E4">
        <w:rPr>
          <w:rFonts w:ascii="Arial" w:hAnsi="Arial" w:cs="Arial"/>
          <w:sz w:val="22"/>
          <w:szCs w:val="22"/>
          <w:lang w:val="en-GB" w:eastAsia="en-GB"/>
        </w:rPr>
        <w:t xml:space="preserve">Article 37 establishes that the DGF (or its authorised person, insofar as such powers are delegated) </w:t>
      </w:r>
      <w:r>
        <w:rPr>
          <w:rFonts w:ascii="Arial" w:hAnsi="Arial" w:cs="Arial"/>
          <w:sz w:val="22"/>
          <w:szCs w:val="22"/>
          <w:lang w:val="en-GB" w:eastAsia="en-GB"/>
        </w:rPr>
        <w:t>may</w:t>
      </w:r>
      <w:r w:rsidRPr="00E130E4">
        <w:rPr>
          <w:rFonts w:ascii="Arial" w:hAnsi="Arial" w:cs="Arial"/>
          <w:sz w:val="22"/>
          <w:szCs w:val="22"/>
          <w:lang w:val="en-GB" w:eastAsia="en-GB"/>
        </w:rPr>
        <w:t xml:space="preserve"> file property and non-property claims with a court.</w:t>
      </w:r>
    </w:p>
    <w:p w14:paraId="719599F8" w14:textId="1340B1F6" w:rsidR="00E22C11" w:rsidRDefault="00E22C11" w:rsidP="008D2D37">
      <w:pPr>
        <w:jc w:val="both"/>
        <w:rPr>
          <w:rFonts w:ascii="Arial" w:hAnsi="Arial" w:cs="Arial"/>
          <w:sz w:val="22"/>
          <w:szCs w:val="22"/>
          <w:lang w:val="en-GB" w:eastAsia="en-GB"/>
        </w:rPr>
      </w:pPr>
    </w:p>
    <w:p w14:paraId="33F7EF61" w14:textId="5B321379" w:rsidR="00E22C11" w:rsidRDefault="00E22C11" w:rsidP="008D2D37">
      <w:pPr>
        <w:jc w:val="both"/>
        <w:rPr>
          <w:rFonts w:ascii="Arial" w:hAnsi="Arial" w:cs="Arial"/>
          <w:sz w:val="22"/>
          <w:szCs w:val="22"/>
          <w:lang w:val="en-GB" w:eastAsia="en-GB"/>
        </w:rPr>
      </w:pPr>
      <w:r>
        <w:rPr>
          <w:rFonts w:ascii="Arial" w:hAnsi="Arial" w:cs="Arial"/>
          <w:sz w:val="22"/>
          <w:szCs w:val="22"/>
          <w:lang w:val="en-GB" w:eastAsia="en-GB"/>
        </w:rPr>
        <w:t>Here the English court is also likely to find that the nature of the proceedings are more collective than not. The collective nature of the proceedings is clear from the fact that o</w:t>
      </w:r>
      <w:r w:rsidRPr="00E22C11">
        <w:rPr>
          <w:rFonts w:ascii="Arial" w:hAnsi="Arial" w:cs="Arial"/>
          <w:sz w:val="22"/>
          <w:szCs w:val="22"/>
          <w:lang w:val="en-GB" w:eastAsia="en-GB"/>
        </w:rPr>
        <w:t>n 7 September 2020, the DGF resolved to approve an amended list of creditors’ claims totalling approximately USD 1.113 billion</w:t>
      </w:r>
      <w:r>
        <w:rPr>
          <w:rFonts w:ascii="Arial" w:hAnsi="Arial" w:cs="Arial"/>
          <w:sz w:val="22"/>
          <w:szCs w:val="22"/>
          <w:lang w:val="en-GB" w:eastAsia="en-GB"/>
        </w:rPr>
        <w:t xml:space="preserve">. </w:t>
      </w:r>
    </w:p>
    <w:p w14:paraId="2B21FDD9" w14:textId="52142F18" w:rsidR="007C42C2" w:rsidRDefault="007C42C2" w:rsidP="008D2D37">
      <w:pPr>
        <w:jc w:val="both"/>
        <w:rPr>
          <w:rFonts w:ascii="Arial" w:hAnsi="Arial" w:cs="Arial"/>
          <w:sz w:val="22"/>
          <w:szCs w:val="22"/>
          <w:lang w:val="en-GB" w:eastAsia="en-GB"/>
        </w:rPr>
      </w:pPr>
    </w:p>
    <w:p w14:paraId="6B5F8D93" w14:textId="053B9DEF" w:rsidR="007C42C2" w:rsidRPr="007C42C2" w:rsidRDefault="007C42C2" w:rsidP="008D2D37">
      <w:pPr>
        <w:jc w:val="both"/>
        <w:rPr>
          <w:rFonts w:ascii="Arial" w:hAnsi="Arial" w:cs="Arial"/>
          <w:sz w:val="22"/>
          <w:szCs w:val="22"/>
          <w:lang w:val="en-GB" w:eastAsia="en-GB"/>
        </w:rPr>
      </w:pPr>
      <w:r>
        <w:rPr>
          <w:rFonts w:ascii="Arial" w:hAnsi="Arial" w:cs="Arial"/>
          <w:sz w:val="22"/>
          <w:szCs w:val="22"/>
          <w:lang w:val="en-GB" w:eastAsia="en-GB"/>
        </w:rPr>
        <w:t xml:space="preserve">Finally, it is clear that the requirement “for the purpose of reorganisation or liquidation” is met. Similar to the </w:t>
      </w:r>
      <w:r>
        <w:rPr>
          <w:rFonts w:ascii="Arial" w:hAnsi="Arial" w:cs="Arial"/>
          <w:i/>
          <w:iCs/>
          <w:sz w:val="22"/>
          <w:szCs w:val="22"/>
          <w:lang w:val="en-GB" w:eastAsia="en-GB"/>
        </w:rPr>
        <w:t xml:space="preserve">Agrokor </w:t>
      </w:r>
      <w:r>
        <w:rPr>
          <w:rFonts w:ascii="Arial" w:hAnsi="Arial" w:cs="Arial"/>
          <w:sz w:val="22"/>
          <w:szCs w:val="22"/>
          <w:lang w:val="en-GB" w:eastAsia="en-GB"/>
        </w:rPr>
        <w:t xml:space="preserve">case where the English court found that the </w:t>
      </w:r>
      <w:r>
        <w:rPr>
          <w:rFonts w:ascii="Arial" w:hAnsi="Arial" w:cs="Arial"/>
          <w:i/>
          <w:iCs/>
          <w:sz w:val="22"/>
          <w:szCs w:val="22"/>
          <w:lang w:val="en-GB" w:eastAsia="en-GB"/>
        </w:rPr>
        <w:t xml:space="preserve">Lex Agrokor </w:t>
      </w:r>
      <w:r>
        <w:rPr>
          <w:rFonts w:ascii="Arial" w:hAnsi="Arial" w:cs="Arial"/>
          <w:sz w:val="22"/>
          <w:szCs w:val="22"/>
          <w:lang w:val="en-GB" w:eastAsia="en-GB"/>
        </w:rPr>
        <w:t>was intended to ensure economic stability by allowing economically important companies to attempt restructuring before entering bankruptcy proceedings, this is exactly the situation here. The NB first has the option to classify the bank as troubled. Once this is done, the bank has 180 days to extricate itself. If the bank does not, NB can then label the bank as insolvent which kickstarts the bankruptcy process. This suggests that the LBBA and DGF Law provide</w:t>
      </w:r>
      <w:r w:rsidR="007F15DB">
        <w:rPr>
          <w:rFonts w:ascii="Arial" w:hAnsi="Arial" w:cs="Arial"/>
          <w:sz w:val="22"/>
          <w:szCs w:val="22"/>
          <w:lang w:val="en-GB" w:eastAsia="en-GB"/>
        </w:rPr>
        <w:t>s</w:t>
      </w:r>
      <w:r>
        <w:rPr>
          <w:rFonts w:ascii="Arial" w:hAnsi="Arial" w:cs="Arial"/>
          <w:sz w:val="22"/>
          <w:szCs w:val="22"/>
          <w:lang w:val="en-GB" w:eastAsia="en-GB"/>
        </w:rPr>
        <w:t xml:space="preserve"> a mechanism to allow economically important companies to restructure, and in the worst case scenario, be declared bankrupt. </w:t>
      </w:r>
    </w:p>
    <w:p w14:paraId="293FF66C" w14:textId="15DD51A6" w:rsidR="00070458" w:rsidRDefault="00070458" w:rsidP="008D2D37">
      <w:pPr>
        <w:jc w:val="both"/>
        <w:rPr>
          <w:rFonts w:ascii="Arial" w:hAnsi="Arial" w:cs="Arial"/>
          <w:sz w:val="22"/>
          <w:szCs w:val="22"/>
          <w:lang w:val="en-GB" w:eastAsia="en-GB"/>
        </w:rPr>
      </w:pPr>
    </w:p>
    <w:p w14:paraId="6691FA8F" w14:textId="77777777" w:rsidR="00070458" w:rsidRPr="008D2D37" w:rsidRDefault="00070458" w:rsidP="008D2D37">
      <w:pPr>
        <w:jc w:val="both"/>
        <w:rPr>
          <w:rFonts w:ascii="Arial" w:hAnsi="Arial" w:cs="Arial"/>
          <w:sz w:val="22"/>
          <w:szCs w:val="22"/>
          <w:lang w:val="en-GB" w:eastAsia="en-GB"/>
        </w:rPr>
      </w:pPr>
    </w:p>
    <w:p w14:paraId="09C2FB61" w14:textId="18326A5E"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4F394C60" w:rsidR="008A7470"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65A61AEB" w14:textId="77777777" w:rsidR="000575D4" w:rsidRDefault="000575D4" w:rsidP="00957951">
      <w:pPr>
        <w:ind w:left="720" w:hanging="720"/>
        <w:jc w:val="both"/>
        <w:rPr>
          <w:rFonts w:ascii="Avenir Next" w:hAnsi="Avenir Next" w:cs="Arial"/>
          <w:color w:val="000000"/>
          <w:sz w:val="22"/>
          <w:szCs w:val="22"/>
          <w:lang w:val="en-GB" w:eastAsia="en-GB"/>
        </w:rPr>
      </w:pPr>
    </w:p>
    <w:p w14:paraId="6433E107" w14:textId="0BD0D5C8" w:rsidR="00832AE6" w:rsidRPr="00583C2A" w:rsidRDefault="00832AE6" w:rsidP="00957951">
      <w:pPr>
        <w:ind w:left="720" w:hanging="720"/>
        <w:jc w:val="both"/>
        <w:rPr>
          <w:rFonts w:ascii="Arial" w:hAnsi="Arial" w:cs="Arial"/>
          <w:sz w:val="22"/>
          <w:szCs w:val="22"/>
          <w:lang w:val="en-GB" w:eastAsia="en-GB"/>
        </w:rPr>
      </w:pPr>
      <w:r w:rsidRPr="00583C2A">
        <w:rPr>
          <w:rFonts w:ascii="Arial" w:hAnsi="Arial" w:cs="Arial"/>
          <w:sz w:val="22"/>
          <w:szCs w:val="22"/>
          <w:lang w:val="en-GB" w:eastAsia="en-GB"/>
        </w:rPr>
        <w:t xml:space="preserve">A foreign representative as defined under Art 2(d) of the MLCBI is: </w:t>
      </w:r>
    </w:p>
    <w:p w14:paraId="674F87D6" w14:textId="613FA4EF" w:rsidR="00832AE6" w:rsidRPr="00583C2A" w:rsidRDefault="00832AE6">
      <w:pPr>
        <w:pStyle w:val="ListParagraph"/>
        <w:numPr>
          <w:ilvl w:val="0"/>
          <w:numId w:val="15"/>
        </w:numPr>
        <w:jc w:val="both"/>
        <w:rPr>
          <w:rFonts w:ascii="Arial" w:hAnsi="Arial" w:cs="Arial"/>
          <w:sz w:val="22"/>
          <w:szCs w:val="22"/>
          <w:lang w:val="en-GB" w:eastAsia="en-GB"/>
        </w:rPr>
      </w:pPr>
      <w:r w:rsidRPr="00583C2A">
        <w:rPr>
          <w:rFonts w:ascii="Arial" w:hAnsi="Arial" w:cs="Arial"/>
          <w:sz w:val="22"/>
          <w:szCs w:val="22"/>
          <w:lang w:val="en-GB" w:eastAsia="en-GB"/>
        </w:rPr>
        <w:t>A person or body (including one that is appointed on an interim basis);</w:t>
      </w:r>
    </w:p>
    <w:p w14:paraId="61A74CBF" w14:textId="015C4054" w:rsidR="00832AE6" w:rsidRPr="00583C2A" w:rsidRDefault="00832AE6">
      <w:pPr>
        <w:pStyle w:val="ListParagraph"/>
        <w:numPr>
          <w:ilvl w:val="0"/>
          <w:numId w:val="15"/>
        </w:numPr>
        <w:jc w:val="both"/>
        <w:rPr>
          <w:rFonts w:ascii="Arial" w:hAnsi="Arial" w:cs="Arial"/>
          <w:sz w:val="22"/>
          <w:szCs w:val="22"/>
          <w:lang w:val="en-GB" w:eastAsia="en-GB"/>
        </w:rPr>
      </w:pPr>
      <w:r w:rsidRPr="00583C2A">
        <w:rPr>
          <w:rFonts w:ascii="Arial" w:hAnsi="Arial" w:cs="Arial"/>
          <w:sz w:val="22"/>
          <w:szCs w:val="22"/>
          <w:lang w:val="en-GB" w:eastAsia="en-GB"/>
        </w:rPr>
        <w:t>Authorised in a foreign proceeding;</w:t>
      </w:r>
    </w:p>
    <w:p w14:paraId="4B1C8E0A" w14:textId="0ECC6280" w:rsidR="00832AE6" w:rsidRPr="00583C2A" w:rsidRDefault="00832AE6">
      <w:pPr>
        <w:pStyle w:val="ListParagraph"/>
        <w:numPr>
          <w:ilvl w:val="0"/>
          <w:numId w:val="15"/>
        </w:numPr>
        <w:jc w:val="both"/>
        <w:rPr>
          <w:rFonts w:ascii="Arial" w:hAnsi="Arial" w:cs="Arial"/>
          <w:sz w:val="22"/>
          <w:szCs w:val="22"/>
          <w:lang w:val="en-GB" w:eastAsia="en-GB"/>
        </w:rPr>
      </w:pPr>
      <w:r w:rsidRPr="00583C2A">
        <w:rPr>
          <w:rFonts w:ascii="Arial" w:hAnsi="Arial" w:cs="Arial"/>
          <w:sz w:val="22"/>
          <w:szCs w:val="22"/>
          <w:lang w:val="en-GB" w:eastAsia="en-GB"/>
        </w:rPr>
        <w:t>To administer the reorganisation or liquidation of the debtor’s assets or affairs or to act as representative of the foreign proceeding.</w:t>
      </w:r>
    </w:p>
    <w:p w14:paraId="258E2804" w14:textId="331601BE" w:rsidR="00AA2C99" w:rsidRDefault="005F721C" w:rsidP="00AA2C99">
      <w:pPr>
        <w:ind w:left="360"/>
        <w:jc w:val="both"/>
        <w:rPr>
          <w:rFonts w:ascii="Arial" w:hAnsi="Arial" w:cs="Arial"/>
          <w:sz w:val="22"/>
          <w:szCs w:val="22"/>
          <w:lang w:val="en-GB" w:eastAsia="en-GB"/>
        </w:rPr>
      </w:pPr>
      <w:r w:rsidRPr="00583C2A">
        <w:rPr>
          <w:rFonts w:ascii="Arial" w:hAnsi="Arial" w:cs="Arial"/>
          <w:sz w:val="22"/>
          <w:szCs w:val="22"/>
          <w:lang w:val="en-GB" w:eastAsia="en-GB"/>
        </w:rPr>
        <w:t xml:space="preserve">The Model Law does not specify that the foreign representative has to be authorised by the foreign court. </w:t>
      </w:r>
    </w:p>
    <w:p w14:paraId="6E4DA60B" w14:textId="428E51CC" w:rsidR="00AA2C99" w:rsidRDefault="00AA2C99" w:rsidP="00AA2C99">
      <w:pPr>
        <w:ind w:left="360"/>
        <w:jc w:val="both"/>
        <w:rPr>
          <w:rFonts w:ascii="Arial" w:hAnsi="Arial" w:cs="Arial"/>
          <w:sz w:val="22"/>
          <w:szCs w:val="22"/>
          <w:lang w:val="en-GB" w:eastAsia="en-GB"/>
        </w:rPr>
      </w:pPr>
      <w:r>
        <w:rPr>
          <w:rFonts w:ascii="Arial" w:hAnsi="Arial" w:cs="Arial"/>
          <w:sz w:val="22"/>
          <w:szCs w:val="22"/>
          <w:lang w:val="en-GB" w:eastAsia="en-GB"/>
        </w:rPr>
        <w:t xml:space="preserve">In this case, I think that DGF does fall within the definition of a foreign representative under Art 2(d) MLCBI. </w:t>
      </w:r>
      <w:r w:rsidR="00A65B97">
        <w:rPr>
          <w:rFonts w:ascii="Arial" w:hAnsi="Arial" w:cs="Arial"/>
          <w:sz w:val="22"/>
          <w:szCs w:val="22"/>
          <w:lang w:val="en-GB" w:eastAsia="en-GB"/>
        </w:rPr>
        <w:t xml:space="preserve">The Bank’s license was revoked by NB on 17 December 2015. Pursuant to </w:t>
      </w:r>
      <w:r w:rsidR="00A65B97" w:rsidRPr="00A65B97">
        <w:rPr>
          <w:rFonts w:ascii="Arial" w:hAnsi="Arial" w:cs="Arial"/>
          <w:sz w:val="22"/>
          <w:szCs w:val="22"/>
          <w:lang w:val="en-GB" w:eastAsia="en-GB"/>
        </w:rPr>
        <w:t xml:space="preserve">Article 77 of the LBBA </w:t>
      </w:r>
      <w:r w:rsidR="00A65B97">
        <w:rPr>
          <w:rFonts w:ascii="Arial" w:hAnsi="Arial" w:cs="Arial"/>
          <w:sz w:val="22"/>
          <w:szCs w:val="22"/>
          <w:lang w:val="en-GB" w:eastAsia="en-GB"/>
        </w:rPr>
        <w:t xml:space="preserve">(which </w:t>
      </w:r>
      <w:r w:rsidR="00A65B97" w:rsidRPr="00A65B97">
        <w:rPr>
          <w:rFonts w:ascii="Arial" w:hAnsi="Arial" w:cs="Arial"/>
          <w:sz w:val="22"/>
          <w:szCs w:val="22"/>
          <w:lang w:val="en-GB" w:eastAsia="en-GB"/>
        </w:rPr>
        <w:t>provides that the DGF automatically becomes liquidator of a bank on the date it receives confirmation of the NB’s decision to revoke the bank’s licence</w:t>
      </w:r>
      <w:r w:rsidR="00A65B97">
        <w:rPr>
          <w:rFonts w:ascii="Arial" w:hAnsi="Arial" w:cs="Arial"/>
          <w:sz w:val="22"/>
          <w:szCs w:val="22"/>
          <w:lang w:val="en-GB" w:eastAsia="en-GB"/>
        </w:rPr>
        <w:t xml:space="preserve">), DGF became the Bank’s liquidator. </w:t>
      </w:r>
    </w:p>
    <w:p w14:paraId="68E4DE7E" w14:textId="77777777" w:rsidR="00E130E4" w:rsidRDefault="00E130E4" w:rsidP="00AA2C99">
      <w:pPr>
        <w:ind w:left="360"/>
        <w:jc w:val="both"/>
        <w:rPr>
          <w:rFonts w:ascii="Arial" w:hAnsi="Arial" w:cs="Arial"/>
          <w:sz w:val="22"/>
          <w:szCs w:val="22"/>
          <w:lang w:val="en-GB" w:eastAsia="en-GB"/>
        </w:rPr>
      </w:pPr>
    </w:p>
    <w:p w14:paraId="15DA5387" w14:textId="3A0A23BA" w:rsidR="00C15035" w:rsidRDefault="00C43F3C" w:rsidP="00AA2C99">
      <w:pPr>
        <w:ind w:left="360"/>
        <w:jc w:val="both"/>
        <w:rPr>
          <w:rFonts w:ascii="Arial" w:hAnsi="Arial" w:cs="Arial"/>
          <w:sz w:val="22"/>
          <w:szCs w:val="22"/>
          <w:lang w:val="en-GB" w:eastAsia="en-GB"/>
        </w:rPr>
      </w:pPr>
      <w:r>
        <w:rPr>
          <w:rFonts w:ascii="Arial" w:hAnsi="Arial" w:cs="Arial"/>
          <w:sz w:val="22"/>
          <w:szCs w:val="22"/>
          <w:lang w:val="en-GB" w:eastAsia="en-GB"/>
        </w:rPr>
        <w:t xml:space="preserve">The position in relation to </w:t>
      </w:r>
      <w:r w:rsidR="00C15035">
        <w:rPr>
          <w:rFonts w:ascii="Arial" w:hAnsi="Arial" w:cs="Arial"/>
          <w:sz w:val="22"/>
          <w:szCs w:val="22"/>
          <w:lang w:val="en-GB" w:eastAsia="en-GB"/>
        </w:rPr>
        <w:t>Ms G</w:t>
      </w:r>
      <w:r>
        <w:rPr>
          <w:rFonts w:ascii="Arial" w:hAnsi="Arial" w:cs="Arial"/>
          <w:sz w:val="22"/>
          <w:szCs w:val="22"/>
          <w:lang w:val="en-GB" w:eastAsia="en-GB"/>
        </w:rPr>
        <w:t>, however, is different. I do not think that she fa</w:t>
      </w:r>
      <w:r w:rsidR="00C15035">
        <w:rPr>
          <w:rFonts w:ascii="Arial" w:hAnsi="Arial" w:cs="Arial"/>
          <w:sz w:val="22"/>
          <w:szCs w:val="22"/>
          <w:lang w:val="en-GB" w:eastAsia="en-GB"/>
        </w:rPr>
        <w:t xml:space="preserve">lls within the definition of a foreign representative under Art 2(d) MLCBI. </w:t>
      </w:r>
      <w:r>
        <w:rPr>
          <w:rFonts w:ascii="Arial" w:hAnsi="Arial" w:cs="Arial"/>
          <w:sz w:val="22"/>
          <w:szCs w:val="22"/>
          <w:lang w:val="en-GB" w:eastAsia="en-GB"/>
        </w:rPr>
        <w:t xml:space="preserve">Pursuant to Resolution 1513, she was delegated all liquidation powers of the Bank. Crucially, Resolution 1513 excludes from Mrs G’s authority, the power to claim damages from a related party of the Bank, </w:t>
      </w:r>
      <w:r w:rsidRPr="00C43F3C">
        <w:rPr>
          <w:rFonts w:ascii="Arial" w:hAnsi="Arial" w:cs="Arial"/>
          <w:sz w:val="22"/>
          <w:szCs w:val="22"/>
          <w:lang w:val="en-GB" w:eastAsia="en-GB"/>
        </w:rPr>
        <w:t xml:space="preserve">the power to make a claim against a non-banking financial institution that raised money as loans or deposits from individuals, and the power to arrange for the sale of the </w:t>
      </w:r>
      <w:r w:rsidRPr="00C43F3C">
        <w:rPr>
          <w:rFonts w:ascii="Arial" w:hAnsi="Arial" w:cs="Arial"/>
          <w:sz w:val="22"/>
          <w:szCs w:val="22"/>
          <w:lang w:val="en-GB" w:eastAsia="en-GB"/>
        </w:rPr>
        <w:lastRenderedPageBreak/>
        <w:t>Bank’s assets</w:t>
      </w:r>
      <w:r>
        <w:rPr>
          <w:rFonts w:ascii="Arial" w:hAnsi="Arial" w:cs="Arial"/>
          <w:sz w:val="22"/>
          <w:szCs w:val="22"/>
          <w:lang w:val="en-GB" w:eastAsia="en-GB"/>
        </w:rPr>
        <w:t xml:space="preserve">. This means that Ms G cannot be considered as a person authorised in a foreign proceeding to administer the liquidation of a debtor’s assets – Resolution 1513 makes it clear that Ms G has no such power here. </w:t>
      </w:r>
    </w:p>
    <w:p w14:paraId="6D77C604" w14:textId="26F47BAB" w:rsidR="00E13BA3" w:rsidRDefault="00E13BA3" w:rsidP="00AA2C99">
      <w:pPr>
        <w:ind w:left="360"/>
        <w:jc w:val="both"/>
        <w:rPr>
          <w:rFonts w:ascii="Arial" w:hAnsi="Arial" w:cs="Arial"/>
          <w:sz w:val="22"/>
          <w:szCs w:val="22"/>
          <w:lang w:val="en-GB" w:eastAsia="en-GB"/>
        </w:rPr>
      </w:pPr>
    </w:p>
    <w:p w14:paraId="0C391E79" w14:textId="45A3D68A" w:rsidR="00E13BA3" w:rsidRPr="00583C2A" w:rsidRDefault="00E13BA3" w:rsidP="00AA2C99">
      <w:pPr>
        <w:ind w:left="360"/>
        <w:jc w:val="both"/>
        <w:rPr>
          <w:rFonts w:ascii="Arial" w:hAnsi="Arial" w:cs="Arial"/>
          <w:sz w:val="22"/>
          <w:szCs w:val="22"/>
          <w:lang w:val="en-GB" w:eastAsia="en-GB"/>
        </w:rPr>
      </w:pPr>
    </w:p>
    <w:p w14:paraId="5D99B96B" w14:textId="77777777" w:rsidR="00832AE6" w:rsidRPr="00E2622D" w:rsidRDefault="00832AE6" w:rsidP="00957951">
      <w:pPr>
        <w:ind w:left="720" w:hanging="720"/>
        <w:jc w:val="both"/>
        <w:rPr>
          <w:rFonts w:ascii="Avenir Next" w:hAnsi="Avenir Next" w:cs="Arial"/>
          <w:color w:val="000000"/>
          <w:sz w:val="22"/>
          <w:szCs w:val="22"/>
          <w:lang w:val="en-GB" w:eastAsia="en-GB"/>
        </w:rPr>
      </w:pP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r w:rsidRPr="00E2622D">
        <w:rPr>
          <w:rFonts w:ascii="Avenir Next" w:hAnsi="Avenir Next" w:cs="Arial"/>
          <w:sz w:val="22"/>
          <w:szCs w:val="22"/>
          <w:lang w:val="en-GB"/>
        </w:rPr>
        <w:t xml:space="preserve">For the purpose of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3A8EA3B9" w14:textId="6A6DF3B4" w:rsidR="00A153F7" w:rsidRPr="00E2622D" w:rsidRDefault="00A153F7" w:rsidP="00707FC8">
      <w:pPr>
        <w:jc w:val="both"/>
        <w:rPr>
          <w:rFonts w:ascii="Avenir Next" w:hAnsi="Avenir Next" w:cs="Arial"/>
          <w:sz w:val="22"/>
          <w:szCs w:val="22"/>
          <w:lang w:val="en-GB"/>
        </w:rPr>
      </w:pPr>
    </w:p>
    <w:bookmarkEnd w:id="3"/>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4A14D" w14:textId="77777777" w:rsidR="00110356" w:rsidRDefault="00110356" w:rsidP="00241B44">
      <w:r>
        <w:separator/>
      </w:r>
    </w:p>
  </w:endnote>
  <w:endnote w:type="continuationSeparator" w:id="0">
    <w:p w14:paraId="5D9BBC79" w14:textId="77777777" w:rsidR="00110356" w:rsidRDefault="0011035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1ADDEF7D"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32AE6">
          <w:rPr>
            <w:rStyle w:val="PageNumber"/>
            <w:noProof/>
          </w:rPr>
          <w:t>1</w: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2AE76EFC" w:rsidR="000300E0" w:rsidRPr="00B46CE2" w:rsidRDefault="00832AE6" w:rsidP="000300E0">
    <w:pPr>
      <w:pStyle w:val="Footer"/>
      <w:ind w:right="360"/>
      <w:rPr>
        <w:rFonts w:ascii="Avenir Next" w:hAnsi="Avenir Next"/>
        <w:sz w:val="22"/>
        <w:szCs w:val="22"/>
      </w:rPr>
    </w:pPr>
    <w:r w:rsidRPr="00832AE6">
      <w:rPr>
        <w:rFonts w:ascii="Avenir Next" w:hAnsi="Avenir Next"/>
        <w:sz w:val="22"/>
        <w:szCs w:val="22"/>
      </w:rPr>
      <w:t>202223-993</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87063" w14:textId="77777777" w:rsidR="00110356" w:rsidRDefault="00110356" w:rsidP="00241B44">
      <w:r>
        <w:separator/>
      </w:r>
    </w:p>
  </w:footnote>
  <w:footnote w:type="continuationSeparator" w:id="0">
    <w:p w14:paraId="7A73A252" w14:textId="77777777" w:rsidR="00110356" w:rsidRDefault="0011035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0757BF7"/>
    <w:multiLevelType w:val="hybridMultilevel"/>
    <w:tmpl w:val="BBF66414"/>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DCF33CD"/>
    <w:multiLevelType w:val="hybridMultilevel"/>
    <w:tmpl w:val="A57E6394"/>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55025863">
    <w:abstractNumId w:val="12"/>
  </w:num>
  <w:num w:numId="2" w16cid:durableId="1553075616">
    <w:abstractNumId w:val="11"/>
  </w:num>
  <w:num w:numId="3" w16cid:durableId="1532643743">
    <w:abstractNumId w:val="6"/>
  </w:num>
  <w:num w:numId="4" w16cid:durableId="1781797447">
    <w:abstractNumId w:val="3"/>
  </w:num>
  <w:num w:numId="5" w16cid:durableId="2031178149">
    <w:abstractNumId w:val="15"/>
  </w:num>
  <w:num w:numId="6" w16cid:durableId="1049499670">
    <w:abstractNumId w:val="14"/>
  </w:num>
  <w:num w:numId="7" w16cid:durableId="1237588858">
    <w:abstractNumId w:val="13"/>
  </w:num>
  <w:num w:numId="8" w16cid:durableId="2016029269">
    <w:abstractNumId w:val="4"/>
  </w:num>
  <w:num w:numId="9" w16cid:durableId="2132241160">
    <w:abstractNumId w:val="5"/>
  </w:num>
  <w:num w:numId="10" w16cid:durableId="1089623270">
    <w:abstractNumId w:val="9"/>
  </w:num>
  <w:num w:numId="11" w16cid:durableId="182481573">
    <w:abstractNumId w:val="0"/>
  </w:num>
  <w:num w:numId="12" w16cid:durableId="909778166">
    <w:abstractNumId w:val="7"/>
  </w:num>
  <w:num w:numId="13" w16cid:durableId="904951069">
    <w:abstractNumId w:val="8"/>
  </w:num>
  <w:num w:numId="14" w16cid:durableId="1347441226">
    <w:abstractNumId w:val="2"/>
  </w:num>
  <w:num w:numId="15" w16cid:durableId="697895634">
    <w:abstractNumId w:val="1"/>
  </w:num>
  <w:num w:numId="16" w16cid:durableId="634260545">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6CC0"/>
    <w:rsid w:val="000077DD"/>
    <w:rsid w:val="00010BA0"/>
    <w:rsid w:val="00011778"/>
    <w:rsid w:val="00020557"/>
    <w:rsid w:val="00022457"/>
    <w:rsid w:val="000232A1"/>
    <w:rsid w:val="000250C7"/>
    <w:rsid w:val="00025CCF"/>
    <w:rsid w:val="000300E0"/>
    <w:rsid w:val="0003114A"/>
    <w:rsid w:val="000352C1"/>
    <w:rsid w:val="0003619C"/>
    <w:rsid w:val="00037621"/>
    <w:rsid w:val="00040983"/>
    <w:rsid w:val="00041B09"/>
    <w:rsid w:val="00044D46"/>
    <w:rsid w:val="00045088"/>
    <w:rsid w:val="00045904"/>
    <w:rsid w:val="000464F7"/>
    <w:rsid w:val="0005141D"/>
    <w:rsid w:val="000575D4"/>
    <w:rsid w:val="00060E02"/>
    <w:rsid w:val="00065166"/>
    <w:rsid w:val="00067A88"/>
    <w:rsid w:val="00070458"/>
    <w:rsid w:val="00070B92"/>
    <w:rsid w:val="00073474"/>
    <w:rsid w:val="00077D49"/>
    <w:rsid w:val="00082609"/>
    <w:rsid w:val="000851CC"/>
    <w:rsid w:val="00093653"/>
    <w:rsid w:val="00093BE8"/>
    <w:rsid w:val="000A68ED"/>
    <w:rsid w:val="000B4FEB"/>
    <w:rsid w:val="000B5FF1"/>
    <w:rsid w:val="000B609F"/>
    <w:rsid w:val="000C147F"/>
    <w:rsid w:val="000C1B56"/>
    <w:rsid w:val="000C6BB9"/>
    <w:rsid w:val="000C6FBF"/>
    <w:rsid w:val="000D32A9"/>
    <w:rsid w:val="000D55A8"/>
    <w:rsid w:val="000E4841"/>
    <w:rsid w:val="000E6325"/>
    <w:rsid w:val="000F1677"/>
    <w:rsid w:val="000F3D6C"/>
    <w:rsid w:val="000F579C"/>
    <w:rsid w:val="00101707"/>
    <w:rsid w:val="00110356"/>
    <w:rsid w:val="0011298F"/>
    <w:rsid w:val="00114082"/>
    <w:rsid w:val="0011473D"/>
    <w:rsid w:val="00115C85"/>
    <w:rsid w:val="00123855"/>
    <w:rsid w:val="00126A4D"/>
    <w:rsid w:val="0012759B"/>
    <w:rsid w:val="00130898"/>
    <w:rsid w:val="00135412"/>
    <w:rsid w:val="001374D8"/>
    <w:rsid w:val="00140A00"/>
    <w:rsid w:val="00140E0A"/>
    <w:rsid w:val="0014171F"/>
    <w:rsid w:val="0014622C"/>
    <w:rsid w:val="00151F58"/>
    <w:rsid w:val="00152348"/>
    <w:rsid w:val="00152845"/>
    <w:rsid w:val="0015456D"/>
    <w:rsid w:val="0015549B"/>
    <w:rsid w:val="00155FA2"/>
    <w:rsid w:val="001578CB"/>
    <w:rsid w:val="00161F1B"/>
    <w:rsid w:val="00162829"/>
    <w:rsid w:val="00166F24"/>
    <w:rsid w:val="001672E0"/>
    <w:rsid w:val="00167C32"/>
    <w:rsid w:val="0017257C"/>
    <w:rsid w:val="00176079"/>
    <w:rsid w:val="0017652E"/>
    <w:rsid w:val="00180548"/>
    <w:rsid w:val="00180AC4"/>
    <w:rsid w:val="00180CCE"/>
    <w:rsid w:val="00182648"/>
    <w:rsid w:val="0018267A"/>
    <w:rsid w:val="00182779"/>
    <w:rsid w:val="001830DF"/>
    <w:rsid w:val="00190FD2"/>
    <w:rsid w:val="00195485"/>
    <w:rsid w:val="001966D9"/>
    <w:rsid w:val="001A24E7"/>
    <w:rsid w:val="001A2B78"/>
    <w:rsid w:val="001A7E9A"/>
    <w:rsid w:val="001B0F70"/>
    <w:rsid w:val="001B5016"/>
    <w:rsid w:val="001C45FC"/>
    <w:rsid w:val="001D02C5"/>
    <w:rsid w:val="001D3935"/>
    <w:rsid w:val="001D4862"/>
    <w:rsid w:val="001E25B9"/>
    <w:rsid w:val="001E49E0"/>
    <w:rsid w:val="001E60C3"/>
    <w:rsid w:val="001E7B5A"/>
    <w:rsid w:val="001F7412"/>
    <w:rsid w:val="00200FDD"/>
    <w:rsid w:val="00201874"/>
    <w:rsid w:val="00202133"/>
    <w:rsid w:val="0020264E"/>
    <w:rsid w:val="0020725B"/>
    <w:rsid w:val="002175BA"/>
    <w:rsid w:val="00223FB2"/>
    <w:rsid w:val="0022599E"/>
    <w:rsid w:val="002305E8"/>
    <w:rsid w:val="0023198D"/>
    <w:rsid w:val="0023317E"/>
    <w:rsid w:val="00234F2C"/>
    <w:rsid w:val="00240B0E"/>
    <w:rsid w:val="0024116D"/>
    <w:rsid w:val="00241B44"/>
    <w:rsid w:val="00245EFB"/>
    <w:rsid w:val="00250E19"/>
    <w:rsid w:val="0025386E"/>
    <w:rsid w:val="00257437"/>
    <w:rsid w:val="002638B0"/>
    <w:rsid w:val="00264FFF"/>
    <w:rsid w:val="002650D7"/>
    <w:rsid w:val="002654E8"/>
    <w:rsid w:val="0026647A"/>
    <w:rsid w:val="002668D3"/>
    <w:rsid w:val="002675BE"/>
    <w:rsid w:val="0027299F"/>
    <w:rsid w:val="00276913"/>
    <w:rsid w:val="0028135B"/>
    <w:rsid w:val="00282480"/>
    <w:rsid w:val="00284EBE"/>
    <w:rsid w:val="002868AD"/>
    <w:rsid w:val="0029433F"/>
    <w:rsid w:val="00294829"/>
    <w:rsid w:val="00294F3B"/>
    <w:rsid w:val="0029690F"/>
    <w:rsid w:val="002A1EEC"/>
    <w:rsid w:val="002A2A60"/>
    <w:rsid w:val="002B1C45"/>
    <w:rsid w:val="002C13C8"/>
    <w:rsid w:val="002C3547"/>
    <w:rsid w:val="002C6252"/>
    <w:rsid w:val="002D0021"/>
    <w:rsid w:val="002D3473"/>
    <w:rsid w:val="002D5C95"/>
    <w:rsid w:val="002D5D6B"/>
    <w:rsid w:val="002D7D0E"/>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22F3B"/>
    <w:rsid w:val="00323D95"/>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2C98"/>
    <w:rsid w:val="0038533C"/>
    <w:rsid w:val="00386568"/>
    <w:rsid w:val="00386FD0"/>
    <w:rsid w:val="00387106"/>
    <w:rsid w:val="00391F3E"/>
    <w:rsid w:val="003948D5"/>
    <w:rsid w:val="00396821"/>
    <w:rsid w:val="00397D3A"/>
    <w:rsid w:val="003A051E"/>
    <w:rsid w:val="003A2FEE"/>
    <w:rsid w:val="003B1310"/>
    <w:rsid w:val="003B170F"/>
    <w:rsid w:val="003B3C5F"/>
    <w:rsid w:val="003B4632"/>
    <w:rsid w:val="003C089D"/>
    <w:rsid w:val="003C4471"/>
    <w:rsid w:val="003C66B1"/>
    <w:rsid w:val="003D0A6D"/>
    <w:rsid w:val="003E0B16"/>
    <w:rsid w:val="003E67D1"/>
    <w:rsid w:val="003E7E86"/>
    <w:rsid w:val="00405DC1"/>
    <w:rsid w:val="0040710D"/>
    <w:rsid w:val="0041139B"/>
    <w:rsid w:val="004137C3"/>
    <w:rsid w:val="00413D3A"/>
    <w:rsid w:val="00415F1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C4E30"/>
    <w:rsid w:val="004C4E97"/>
    <w:rsid w:val="004D1A5A"/>
    <w:rsid w:val="004D2FFF"/>
    <w:rsid w:val="004D3721"/>
    <w:rsid w:val="004D64F9"/>
    <w:rsid w:val="004E0549"/>
    <w:rsid w:val="004E2E92"/>
    <w:rsid w:val="004E30B0"/>
    <w:rsid w:val="004E622C"/>
    <w:rsid w:val="004F5FDF"/>
    <w:rsid w:val="0050157D"/>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3C2A"/>
    <w:rsid w:val="005846F3"/>
    <w:rsid w:val="0058622F"/>
    <w:rsid w:val="00587461"/>
    <w:rsid w:val="00590023"/>
    <w:rsid w:val="00592F82"/>
    <w:rsid w:val="005A0CCA"/>
    <w:rsid w:val="005A726D"/>
    <w:rsid w:val="005B67AC"/>
    <w:rsid w:val="005C2C94"/>
    <w:rsid w:val="005C36BC"/>
    <w:rsid w:val="005C4865"/>
    <w:rsid w:val="005D43E0"/>
    <w:rsid w:val="005D58A3"/>
    <w:rsid w:val="005E1B79"/>
    <w:rsid w:val="005E451D"/>
    <w:rsid w:val="005E5C28"/>
    <w:rsid w:val="005F026D"/>
    <w:rsid w:val="005F21F4"/>
    <w:rsid w:val="005F2D0B"/>
    <w:rsid w:val="005F4B31"/>
    <w:rsid w:val="005F721C"/>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443E2"/>
    <w:rsid w:val="00651AE3"/>
    <w:rsid w:val="00654C2F"/>
    <w:rsid w:val="00657087"/>
    <w:rsid w:val="00660BAB"/>
    <w:rsid w:val="0066252C"/>
    <w:rsid w:val="006661EF"/>
    <w:rsid w:val="0067294B"/>
    <w:rsid w:val="00677736"/>
    <w:rsid w:val="0067785F"/>
    <w:rsid w:val="00677AEB"/>
    <w:rsid w:val="00680EF2"/>
    <w:rsid w:val="006839C2"/>
    <w:rsid w:val="00687A1D"/>
    <w:rsid w:val="006919E4"/>
    <w:rsid w:val="006920CC"/>
    <w:rsid w:val="00692AB2"/>
    <w:rsid w:val="0069647C"/>
    <w:rsid w:val="00697EA1"/>
    <w:rsid w:val="006A1850"/>
    <w:rsid w:val="006A2646"/>
    <w:rsid w:val="006A3DF0"/>
    <w:rsid w:val="006A6530"/>
    <w:rsid w:val="006A70C3"/>
    <w:rsid w:val="006B435A"/>
    <w:rsid w:val="006B4C64"/>
    <w:rsid w:val="006B4FFC"/>
    <w:rsid w:val="006D0E6E"/>
    <w:rsid w:val="006D6BD5"/>
    <w:rsid w:val="006D6FF6"/>
    <w:rsid w:val="006E481A"/>
    <w:rsid w:val="006E5298"/>
    <w:rsid w:val="006F2CE3"/>
    <w:rsid w:val="006F30C5"/>
    <w:rsid w:val="006F734A"/>
    <w:rsid w:val="00700D83"/>
    <w:rsid w:val="00701645"/>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51F66"/>
    <w:rsid w:val="0075270A"/>
    <w:rsid w:val="0075656A"/>
    <w:rsid w:val="007603F5"/>
    <w:rsid w:val="00764DB0"/>
    <w:rsid w:val="00766F8A"/>
    <w:rsid w:val="0076764D"/>
    <w:rsid w:val="0077498C"/>
    <w:rsid w:val="007765FA"/>
    <w:rsid w:val="00777183"/>
    <w:rsid w:val="00784128"/>
    <w:rsid w:val="00784B4B"/>
    <w:rsid w:val="007854ED"/>
    <w:rsid w:val="007905FF"/>
    <w:rsid w:val="00793173"/>
    <w:rsid w:val="007B16D8"/>
    <w:rsid w:val="007B3AC7"/>
    <w:rsid w:val="007B497A"/>
    <w:rsid w:val="007C1FCC"/>
    <w:rsid w:val="007C32A8"/>
    <w:rsid w:val="007C3FE5"/>
    <w:rsid w:val="007C42C2"/>
    <w:rsid w:val="007C6201"/>
    <w:rsid w:val="007C6988"/>
    <w:rsid w:val="007D28A1"/>
    <w:rsid w:val="007D7C92"/>
    <w:rsid w:val="007E1154"/>
    <w:rsid w:val="007E6BA4"/>
    <w:rsid w:val="007E7678"/>
    <w:rsid w:val="007F15DB"/>
    <w:rsid w:val="007F41F8"/>
    <w:rsid w:val="007F60D0"/>
    <w:rsid w:val="00801463"/>
    <w:rsid w:val="0080454E"/>
    <w:rsid w:val="00804C32"/>
    <w:rsid w:val="00806302"/>
    <w:rsid w:val="00807119"/>
    <w:rsid w:val="00817D57"/>
    <w:rsid w:val="00822764"/>
    <w:rsid w:val="008241C4"/>
    <w:rsid w:val="0082483F"/>
    <w:rsid w:val="008264CB"/>
    <w:rsid w:val="008279C0"/>
    <w:rsid w:val="00832AE6"/>
    <w:rsid w:val="00835FD1"/>
    <w:rsid w:val="0084683C"/>
    <w:rsid w:val="0084722A"/>
    <w:rsid w:val="008512FA"/>
    <w:rsid w:val="00853A74"/>
    <w:rsid w:val="00857763"/>
    <w:rsid w:val="00860E61"/>
    <w:rsid w:val="00863E20"/>
    <w:rsid w:val="00867A8F"/>
    <w:rsid w:val="00870D72"/>
    <w:rsid w:val="008723F3"/>
    <w:rsid w:val="00881DE6"/>
    <w:rsid w:val="008837A6"/>
    <w:rsid w:val="0089145D"/>
    <w:rsid w:val="008A0C6E"/>
    <w:rsid w:val="008A46CF"/>
    <w:rsid w:val="008A4DF2"/>
    <w:rsid w:val="008A4FC2"/>
    <w:rsid w:val="008A6CFE"/>
    <w:rsid w:val="008A7470"/>
    <w:rsid w:val="008B1A08"/>
    <w:rsid w:val="008B2DE3"/>
    <w:rsid w:val="008B5333"/>
    <w:rsid w:val="008B6223"/>
    <w:rsid w:val="008C66E0"/>
    <w:rsid w:val="008D2D37"/>
    <w:rsid w:val="008E0ADD"/>
    <w:rsid w:val="008E2DFA"/>
    <w:rsid w:val="008E3339"/>
    <w:rsid w:val="008E549B"/>
    <w:rsid w:val="008F18EF"/>
    <w:rsid w:val="008F20FC"/>
    <w:rsid w:val="008F2B24"/>
    <w:rsid w:val="008F3C3B"/>
    <w:rsid w:val="008F5FFE"/>
    <w:rsid w:val="008F6ACB"/>
    <w:rsid w:val="0090421A"/>
    <w:rsid w:val="00905A43"/>
    <w:rsid w:val="00907DC2"/>
    <w:rsid w:val="00912C79"/>
    <w:rsid w:val="00920192"/>
    <w:rsid w:val="009260A2"/>
    <w:rsid w:val="00940752"/>
    <w:rsid w:val="00942062"/>
    <w:rsid w:val="00942123"/>
    <w:rsid w:val="00943743"/>
    <w:rsid w:val="00951031"/>
    <w:rsid w:val="0095207B"/>
    <w:rsid w:val="00954461"/>
    <w:rsid w:val="00956085"/>
    <w:rsid w:val="00957951"/>
    <w:rsid w:val="00962045"/>
    <w:rsid w:val="0096498B"/>
    <w:rsid w:val="00967EDA"/>
    <w:rsid w:val="00970897"/>
    <w:rsid w:val="00980314"/>
    <w:rsid w:val="009816D0"/>
    <w:rsid w:val="00991428"/>
    <w:rsid w:val="00992676"/>
    <w:rsid w:val="00996691"/>
    <w:rsid w:val="009A4880"/>
    <w:rsid w:val="009A6055"/>
    <w:rsid w:val="009A7865"/>
    <w:rsid w:val="009B0723"/>
    <w:rsid w:val="009B07AD"/>
    <w:rsid w:val="009B0883"/>
    <w:rsid w:val="009B15E2"/>
    <w:rsid w:val="009B5832"/>
    <w:rsid w:val="009B5FD7"/>
    <w:rsid w:val="009B6312"/>
    <w:rsid w:val="009B640D"/>
    <w:rsid w:val="009C0850"/>
    <w:rsid w:val="009C0B8E"/>
    <w:rsid w:val="009C1BC8"/>
    <w:rsid w:val="009C2442"/>
    <w:rsid w:val="009D0811"/>
    <w:rsid w:val="009D0EE1"/>
    <w:rsid w:val="009D30BB"/>
    <w:rsid w:val="009E2AEB"/>
    <w:rsid w:val="009E2E27"/>
    <w:rsid w:val="009E4DE3"/>
    <w:rsid w:val="00A047EE"/>
    <w:rsid w:val="00A114EA"/>
    <w:rsid w:val="00A153F7"/>
    <w:rsid w:val="00A2274A"/>
    <w:rsid w:val="00A235B7"/>
    <w:rsid w:val="00A27A7A"/>
    <w:rsid w:val="00A407EF"/>
    <w:rsid w:val="00A46B4C"/>
    <w:rsid w:val="00A5117B"/>
    <w:rsid w:val="00A54000"/>
    <w:rsid w:val="00A54689"/>
    <w:rsid w:val="00A60074"/>
    <w:rsid w:val="00A65B97"/>
    <w:rsid w:val="00A6627C"/>
    <w:rsid w:val="00A70BBC"/>
    <w:rsid w:val="00A71019"/>
    <w:rsid w:val="00A81029"/>
    <w:rsid w:val="00A83CB5"/>
    <w:rsid w:val="00A865A7"/>
    <w:rsid w:val="00A96489"/>
    <w:rsid w:val="00AA2C99"/>
    <w:rsid w:val="00AA3A42"/>
    <w:rsid w:val="00AA5311"/>
    <w:rsid w:val="00AA7BAA"/>
    <w:rsid w:val="00AB685C"/>
    <w:rsid w:val="00AB6C2D"/>
    <w:rsid w:val="00AC08F7"/>
    <w:rsid w:val="00AC3839"/>
    <w:rsid w:val="00AC7082"/>
    <w:rsid w:val="00AD3FEA"/>
    <w:rsid w:val="00AD7BBD"/>
    <w:rsid w:val="00AF228E"/>
    <w:rsid w:val="00B04137"/>
    <w:rsid w:val="00B1112C"/>
    <w:rsid w:val="00B11D19"/>
    <w:rsid w:val="00B12936"/>
    <w:rsid w:val="00B14819"/>
    <w:rsid w:val="00B17AA9"/>
    <w:rsid w:val="00B22E1F"/>
    <w:rsid w:val="00B305A5"/>
    <w:rsid w:val="00B327CD"/>
    <w:rsid w:val="00B32DE4"/>
    <w:rsid w:val="00B33578"/>
    <w:rsid w:val="00B370C3"/>
    <w:rsid w:val="00B411AE"/>
    <w:rsid w:val="00B413DF"/>
    <w:rsid w:val="00B42B1D"/>
    <w:rsid w:val="00B46CE2"/>
    <w:rsid w:val="00B60190"/>
    <w:rsid w:val="00B61419"/>
    <w:rsid w:val="00B72F5F"/>
    <w:rsid w:val="00B736DF"/>
    <w:rsid w:val="00B74FBD"/>
    <w:rsid w:val="00B77006"/>
    <w:rsid w:val="00B77352"/>
    <w:rsid w:val="00B82586"/>
    <w:rsid w:val="00B829A3"/>
    <w:rsid w:val="00B86DB1"/>
    <w:rsid w:val="00B87869"/>
    <w:rsid w:val="00BA0E44"/>
    <w:rsid w:val="00BA47C5"/>
    <w:rsid w:val="00BB0F2B"/>
    <w:rsid w:val="00BD0D57"/>
    <w:rsid w:val="00BD128A"/>
    <w:rsid w:val="00BE1A50"/>
    <w:rsid w:val="00BF50F7"/>
    <w:rsid w:val="00C02644"/>
    <w:rsid w:val="00C02F29"/>
    <w:rsid w:val="00C07E61"/>
    <w:rsid w:val="00C10C13"/>
    <w:rsid w:val="00C15035"/>
    <w:rsid w:val="00C17111"/>
    <w:rsid w:val="00C20747"/>
    <w:rsid w:val="00C20AFE"/>
    <w:rsid w:val="00C22A25"/>
    <w:rsid w:val="00C23B79"/>
    <w:rsid w:val="00C33D50"/>
    <w:rsid w:val="00C35671"/>
    <w:rsid w:val="00C35B77"/>
    <w:rsid w:val="00C370D3"/>
    <w:rsid w:val="00C376EB"/>
    <w:rsid w:val="00C4003A"/>
    <w:rsid w:val="00C4023B"/>
    <w:rsid w:val="00C43F3C"/>
    <w:rsid w:val="00C46EC1"/>
    <w:rsid w:val="00C504E5"/>
    <w:rsid w:val="00C53E2C"/>
    <w:rsid w:val="00C53F23"/>
    <w:rsid w:val="00C550C8"/>
    <w:rsid w:val="00C562FF"/>
    <w:rsid w:val="00C56B61"/>
    <w:rsid w:val="00C606C3"/>
    <w:rsid w:val="00C611C8"/>
    <w:rsid w:val="00C620F4"/>
    <w:rsid w:val="00C668B6"/>
    <w:rsid w:val="00C67ECE"/>
    <w:rsid w:val="00C7161B"/>
    <w:rsid w:val="00C72848"/>
    <w:rsid w:val="00C752BB"/>
    <w:rsid w:val="00C7736C"/>
    <w:rsid w:val="00C82D87"/>
    <w:rsid w:val="00C841ED"/>
    <w:rsid w:val="00C85F17"/>
    <w:rsid w:val="00C8712A"/>
    <w:rsid w:val="00C91324"/>
    <w:rsid w:val="00C914F7"/>
    <w:rsid w:val="00C963D3"/>
    <w:rsid w:val="00CA6E0D"/>
    <w:rsid w:val="00CB2CBB"/>
    <w:rsid w:val="00CB56CE"/>
    <w:rsid w:val="00CB7CAC"/>
    <w:rsid w:val="00CC0EA0"/>
    <w:rsid w:val="00CC5335"/>
    <w:rsid w:val="00CC5BA4"/>
    <w:rsid w:val="00CC70BB"/>
    <w:rsid w:val="00CD3420"/>
    <w:rsid w:val="00CD4998"/>
    <w:rsid w:val="00CD67BC"/>
    <w:rsid w:val="00CE1035"/>
    <w:rsid w:val="00CF2819"/>
    <w:rsid w:val="00CF4F9D"/>
    <w:rsid w:val="00CF70DC"/>
    <w:rsid w:val="00D148DC"/>
    <w:rsid w:val="00D17FDC"/>
    <w:rsid w:val="00D444C5"/>
    <w:rsid w:val="00D45AEA"/>
    <w:rsid w:val="00D5244F"/>
    <w:rsid w:val="00D52E4F"/>
    <w:rsid w:val="00D56A37"/>
    <w:rsid w:val="00D57202"/>
    <w:rsid w:val="00D6386E"/>
    <w:rsid w:val="00D63EFD"/>
    <w:rsid w:val="00D64826"/>
    <w:rsid w:val="00D80DF2"/>
    <w:rsid w:val="00D81146"/>
    <w:rsid w:val="00D84752"/>
    <w:rsid w:val="00D85AB0"/>
    <w:rsid w:val="00D86B3B"/>
    <w:rsid w:val="00D8748A"/>
    <w:rsid w:val="00D93196"/>
    <w:rsid w:val="00D94A4D"/>
    <w:rsid w:val="00D95F1B"/>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9FB"/>
    <w:rsid w:val="00E05FF3"/>
    <w:rsid w:val="00E069C4"/>
    <w:rsid w:val="00E07275"/>
    <w:rsid w:val="00E07866"/>
    <w:rsid w:val="00E07C5A"/>
    <w:rsid w:val="00E1309A"/>
    <w:rsid w:val="00E130E4"/>
    <w:rsid w:val="00E13BA3"/>
    <w:rsid w:val="00E15BA9"/>
    <w:rsid w:val="00E22C11"/>
    <w:rsid w:val="00E25B22"/>
    <w:rsid w:val="00E2622D"/>
    <w:rsid w:val="00E26E19"/>
    <w:rsid w:val="00E27E3C"/>
    <w:rsid w:val="00E31DBC"/>
    <w:rsid w:val="00E31DF3"/>
    <w:rsid w:val="00E32814"/>
    <w:rsid w:val="00E33448"/>
    <w:rsid w:val="00E33486"/>
    <w:rsid w:val="00E34181"/>
    <w:rsid w:val="00E450A4"/>
    <w:rsid w:val="00E506BE"/>
    <w:rsid w:val="00E55547"/>
    <w:rsid w:val="00E57410"/>
    <w:rsid w:val="00E6302B"/>
    <w:rsid w:val="00E6452F"/>
    <w:rsid w:val="00E64619"/>
    <w:rsid w:val="00E64F45"/>
    <w:rsid w:val="00E6742D"/>
    <w:rsid w:val="00E71CB0"/>
    <w:rsid w:val="00E73529"/>
    <w:rsid w:val="00E77400"/>
    <w:rsid w:val="00E77C3D"/>
    <w:rsid w:val="00E82E22"/>
    <w:rsid w:val="00E850FE"/>
    <w:rsid w:val="00E909F0"/>
    <w:rsid w:val="00E90D47"/>
    <w:rsid w:val="00E93993"/>
    <w:rsid w:val="00E9597C"/>
    <w:rsid w:val="00EA0913"/>
    <w:rsid w:val="00EA0A2F"/>
    <w:rsid w:val="00EA24F3"/>
    <w:rsid w:val="00EA6D31"/>
    <w:rsid w:val="00EB146B"/>
    <w:rsid w:val="00EB45AC"/>
    <w:rsid w:val="00EC2AEA"/>
    <w:rsid w:val="00EC7B11"/>
    <w:rsid w:val="00EC7F95"/>
    <w:rsid w:val="00ED0BC4"/>
    <w:rsid w:val="00ED0F04"/>
    <w:rsid w:val="00ED3771"/>
    <w:rsid w:val="00ED4AB7"/>
    <w:rsid w:val="00ED6A32"/>
    <w:rsid w:val="00EE4971"/>
    <w:rsid w:val="00EF090E"/>
    <w:rsid w:val="00F033DA"/>
    <w:rsid w:val="00F11AAB"/>
    <w:rsid w:val="00F13FB1"/>
    <w:rsid w:val="00F17BC1"/>
    <w:rsid w:val="00F17C87"/>
    <w:rsid w:val="00F20272"/>
    <w:rsid w:val="00F21FB0"/>
    <w:rsid w:val="00F223E7"/>
    <w:rsid w:val="00F2288D"/>
    <w:rsid w:val="00F25779"/>
    <w:rsid w:val="00F2750A"/>
    <w:rsid w:val="00F27CD8"/>
    <w:rsid w:val="00F30351"/>
    <w:rsid w:val="00F3323E"/>
    <w:rsid w:val="00F341F4"/>
    <w:rsid w:val="00F34F9D"/>
    <w:rsid w:val="00F35CCE"/>
    <w:rsid w:val="00F361D4"/>
    <w:rsid w:val="00F55241"/>
    <w:rsid w:val="00F5524B"/>
    <w:rsid w:val="00F60538"/>
    <w:rsid w:val="00F61DD2"/>
    <w:rsid w:val="00F6523A"/>
    <w:rsid w:val="00F66AFF"/>
    <w:rsid w:val="00F71433"/>
    <w:rsid w:val="00F7241A"/>
    <w:rsid w:val="00F82EE9"/>
    <w:rsid w:val="00F83E76"/>
    <w:rsid w:val="00F87BEA"/>
    <w:rsid w:val="00F90A57"/>
    <w:rsid w:val="00F9741A"/>
    <w:rsid w:val="00F97C5B"/>
    <w:rsid w:val="00FA05D2"/>
    <w:rsid w:val="00FA359A"/>
    <w:rsid w:val="00FA3B00"/>
    <w:rsid w:val="00FA3D50"/>
    <w:rsid w:val="00FB009F"/>
    <w:rsid w:val="00FB25B0"/>
    <w:rsid w:val="00FB4920"/>
    <w:rsid w:val="00FB6136"/>
    <w:rsid w:val="00FC363D"/>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17</Pages>
  <Words>7402</Words>
  <Characters>36793</Characters>
  <Application>Microsoft Office Word</Application>
  <DocSecurity>0</DocSecurity>
  <Lines>525</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Soh Kian Peng</cp:lastModifiedBy>
  <cp:revision>97</cp:revision>
  <cp:lastPrinted>2019-08-27T05:42:00Z</cp:lastPrinted>
  <dcterms:created xsi:type="dcterms:W3CDTF">2022-07-22T09:49:00Z</dcterms:created>
  <dcterms:modified xsi:type="dcterms:W3CDTF">2023-02-28T12:45:00Z</dcterms:modified>
</cp:coreProperties>
</file>