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2C4932" w:rsidRDefault="00CE0ECD" w:rsidP="00B77B19">
      <w:pPr>
        <w:pStyle w:val="AODocTxt"/>
        <w:numPr>
          <w:ilvl w:val="0"/>
          <w:numId w:val="14"/>
        </w:numPr>
        <w:spacing w:before="0" w:line="240" w:lineRule="auto"/>
        <w:ind w:left="426"/>
        <w:rPr>
          <w:rFonts w:ascii="Avenir Next" w:hAnsi="Avenir Next"/>
        </w:rPr>
      </w:pPr>
      <w:r w:rsidRPr="007A4765">
        <w:rPr>
          <w:rFonts w:ascii="Avenir Next" w:hAnsi="Avenir Next"/>
          <w:highlight w:val="yellow"/>
        </w:rPr>
        <w:t>All of the above satisfy the minimum requirement for presence in the United States</w:t>
      </w:r>
      <w:r w:rsidRPr="002C4932">
        <w:rPr>
          <w:rFonts w:ascii="Avenir Next" w:hAnsi="Avenir Next"/>
        </w:rPr>
        <w:t>.</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7A4765">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F841F5" w:rsidRDefault="00CE0ECD" w:rsidP="00097D56">
      <w:pPr>
        <w:pStyle w:val="AODocTxt"/>
        <w:numPr>
          <w:ilvl w:val="0"/>
          <w:numId w:val="16"/>
        </w:numPr>
        <w:spacing w:before="0" w:line="240" w:lineRule="auto"/>
        <w:ind w:left="426"/>
        <w:rPr>
          <w:rFonts w:ascii="Avenir Next" w:hAnsi="Avenir Next"/>
          <w:highlight w:val="yellow"/>
        </w:rPr>
      </w:pPr>
      <w:r w:rsidRPr="00F841F5">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F841F5" w:rsidRDefault="00CE0ECD" w:rsidP="00097D56">
      <w:pPr>
        <w:pStyle w:val="AODocTxt"/>
        <w:numPr>
          <w:ilvl w:val="0"/>
          <w:numId w:val="16"/>
        </w:numPr>
        <w:spacing w:before="0" w:line="240" w:lineRule="auto"/>
        <w:ind w:left="426"/>
        <w:rPr>
          <w:rFonts w:ascii="Avenir Next" w:hAnsi="Avenir Next"/>
        </w:rPr>
      </w:pPr>
      <w:r w:rsidRPr="00F841F5">
        <w:rPr>
          <w:rFonts w:ascii="Avenir Next" w:hAnsi="Avenir Next"/>
        </w:rPr>
        <w:t xml:space="preserve">A </w:t>
      </w:r>
      <w:r w:rsidR="00D06A30" w:rsidRPr="00F841F5">
        <w:rPr>
          <w:rFonts w:ascii="Avenir Next" w:hAnsi="Avenir Next"/>
        </w:rPr>
        <w:t>10</w:t>
      </w:r>
      <w:r w:rsidRPr="00F841F5">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FE724C" w:rsidRDefault="00CE0ECD" w:rsidP="00A82B32">
      <w:pPr>
        <w:pStyle w:val="AODocTxt"/>
        <w:numPr>
          <w:ilvl w:val="0"/>
          <w:numId w:val="18"/>
        </w:numPr>
        <w:spacing w:before="0" w:line="240" w:lineRule="auto"/>
        <w:ind w:left="426"/>
        <w:rPr>
          <w:rFonts w:ascii="Avenir Next" w:hAnsi="Avenir Next"/>
          <w:highlight w:val="yellow"/>
        </w:rPr>
      </w:pPr>
      <w:r w:rsidRPr="00FE724C">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Pr="00513A70" w:rsidRDefault="00CE0ECD" w:rsidP="00A82B32">
      <w:pPr>
        <w:pStyle w:val="AODocTxt"/>
        <w:numPr>
          <w:ilvl w:val="0"/>
          <w:numId w:val="18"/>
        </w:numPr>
        <w:spacing w:before="0" w:line="240" w:lineRule="auto"/>
        <w:ind w:left="426"/>
        <w:rPr>
          <w:rFonts w:ascii="Avenir Next" w:hAnsi="Avenir Next"/>
        </w:rPr>
      </w:pPr>
      <w:r w:rsidRPr="00513A70">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Pr="00FE724C" w:rsidRDefault="00CE0ECD" w:rsidP="00A82B32">
      <w:pPr>
        <w:pStyle w:val="AODocTxt"/>
        <w:numPr>
          <w:ilvl w:val="0"/>
          <w:numId w:val="18"/>
        </w:numPr>
        <w:spacing w:before="0" w:line="240" w:lineRule="auto"/>
        <w:ind w:left="426"/>
        <w:rPr>
          <w:rFonts w:ascii="Avenir Next" w:hAnsi="Avenir Next"/>
        </w:rPr>
      </w:pPr>
      <w:r w:rsidRPr="00FE724C">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Pr="005E01BB" w:rsidRDefault="00CE0ECD" w:rsidP="00E421C6">
      <w:pPr>
        <w:pStyle w:val="AODocTxt"/>
        <w:numPr>
          <w:ilvl w:val="0"/>
          <w:numId w:val="20"/>
        </w:numPr>
        <w:spacing w:before="0" w:line="240" w:lineRule="auto"/>
        <w:ind w:left="426"/>
        <w:rPr>
          <w:rFonts w:ascii="Avenir Next" w:hAnsi="Avenir Next"/>
        </w:rPr>
      </w:pPr>
      <w:r w:rsidRPr="005E01BB">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5E01BB" w:rsidRDefault="00CE0ECD" w:rsidP="00E421C6">
      <w:pPr>
        <w:pStyle w:val="AODocTxt"/>
        <w:numPr>
          <w:ilvl w:val="0"/>
          <w:numId w:val="20"/>
        </w:numPr>
        <w:spacing w:before="0" w:line="240" w:lineRule="auto"/>
        <w:ind w:left="426"/>
        <w:rPr>
          <w:rFonts w:ascii="Avenir Next" w:hAnsi="Avenir Next"/>
          <w:highlight w:val="yellow"/>
        </w:rPr>
      </w:pPr>
      <w:r w:rsidRPr="005E01BB">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0039B" w:rsidRDefault="00CE0ECD" w:rsidP="00E421C6">
      <w:pPr>
        <w:pStyle w:val="AODocTxt"/>
        <w:numPr>
          <w:ilvl w:val="0"/>
          <w:numId w:val="22"/>
        </w:numPr>
        <w:spacing w:before="0" w:line="240" w:lineRule="auto"/>
        <w:ind w:left="426"/>
        <w:rPr>
          <w:rFonts w:ascii="Avenir Next" w:hAnsi="Avenir Next"/>
          <w:highlight w:val="yellow"/>
        </w:rPr>
      </w:pPr>
      <w:r w:rsidRPr="0020039B">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8A6D3B" w:rsidRDefault="00CE0ECD" w:rsidP="000346E7">
      <w:pPr>
        <w:pStyle w:val="AODocTxt"/>
        <w:numPr>
          <w:ilvl w:val="0"/>
          <w:numId w:val="24"/>
        </w:numPr>
        <w:spacing w:before="0" w:line="240" w:lineRule="auto"/>
        <w:ind w:left="426"/>
        <w:rPr>
          <w:rFonts w:ascii="Avenir Next" w:hAnsi="Avenir Next"/>
          <w:highlight w:val="yellow"/>
        </w:rPr>
      </w:pPr>
      <w:r w:rsidRPr="008A6D3B">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8A6D3B" w:rsidRDefault="00CE0ECD" w:rsidP="004830F8">
      <w:pPr>
        <w:pStyle w:val="AODocTxt"/>
        <w:numPr>
          <w:ilvl w:val="0"/>
          <w:numId w:val="26"/>
        </w:numPr>
        <w:spacing w:before="0" w:line="240" w:lineRule="auto"/>
        <w:ind w:left="426"/>
        <w:rPr>
          <w:rFonts w:ascii="Avenir Next" w:hAnsi="Avenir Next"/>
          <w:highlight w:val="yellow"/>
        </w:rPr>
      </w:pPr>
      <w:r w:rsidRPr="008A6D3B">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8A6D3B" w:rsidRDefault="00CE0ECD" w:rsidP="004830F8">
      <w:pPr>
        <w:pStyle w:val="AODocTxt"/>
        <w:numPr>
          <w:ilvl w:val="0"/>
          <w:numId w:val="28"/>
        </w:numPr>
        <w:spacing w:before="0" w:line="240" w:lineRule="auto"/>
        <w:ind w:left="426"/>
        <w:rPr>
          <w:rFonts w:ascii="Avenir Next" w:hAnsi="Avenir Next"/>
          <w:highlight w:val="yellow"/>
        </w:rPr>
      </w:pPr>
      <w:r w:rsidRPr="008A6D3B">
        <w:rPr>
          <w:rFonts w:ascii="Avenir Next" w:hAnsi="Avenir Next"/>
          <w:highlight w:val="yellow"/>
        </w:rPr>
        <w:t xml:space="preserve">If a creditor can show it extended credit </w:t>
      </w:r>
      <w:proofErr w:type="gramStart"/>
      <w:r w:rsidRPr="008A6D3B">
        <w:rPr>
          <w:rFonts w:ascii="Avenir Next" w:hAnsi="Avenir Next"/>
          <w:highlight w:val="yellow"/>
        </w:rPr>
        <w:t>on the basis of</w:t>
      </w:r>
      <w:proofErr w:type="gramEnd"/>
      <w:r w:rsidRPr="008A6D3B">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8A6D3B" w:rsidRDefault="00CE0ECD" w:rsidP="00AA0280">
      <w:pPr>
        <w:pStyle w:val="AODocTxt"/>
        <w:numPr>
          <w:ilvl w:val="0"/>
          <w:numId w:val="30"/>
        </w:numPr>
        <w:spacing w:before="0" w:line="240" w:lineRule="auto"/>
        <w:ind w:left="426"/>
        <w:rPr>
          <w:rFonts w:ascii="Avenir Next" w:hAnsi="Avenir Next"/>
          <w:highlight w:val="yellow"/>
        </w:rPr>
      </w:pPr>
      <w:proofErr w:type="gramStart"/>
      <w:r w:rsidRPr="008A6D3B">
        <w:rPr>
          <w:rFonts w:ascii="Avenir Next" w:hAnsi="Avenir Next"/>
          <w:highlight w:val="yellow"/>
        </w:rPr>
        <w:t>All of</w:t>
      </w:r>
      <w:proofErr w:type="gramEnd"/>
      <w:r w:rsidRPr="008A6D3B">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677B00F6" w:rsidR="00E41578" w:rsidRPr="00A00CE7" w:rsidRDefault="00A00CE7" w:rsidP="00E41578">
      <w:pPr>
        <w:jc w:val="both"/>
        <w:rPr>
          <w:rFonts w:ascii="Arial" w:hAnsi="Arial" w:cs="Arial"/>
          <w:sz w:val="22"/>
          <w:szCs w:val="22"/>
          <w:lang w:val="en-GB"/>
        </w:rPr>
      </w:pPr>
      <w:r w:rsidRPr="00A00CE7">
        <w:rPr>
          <w:rFonts w:ascii="Arial" w:hAnsi="Arial" w:cs="Arial"/>
          <w:sz w:val="22"/>
          <w:szCs w:val="22"/>
          <w:lang w:val="en-GB"/>
        </w:rPr>
        <w:t xml:space="preserve">Setoff allows a creditor who has a claim against a debtor, and who also owes money to the same debtor, to net out the two or more obligations. Setoff can improve the position of the creditor as opposed to other unsecured creditors who are not owed money by the debtor – it decreases the obligation to the estate by the full amount owed by the debtor rather than the difference (the lesser amount) the debtor would have to pay on the unsecured claim. </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428B4141" w:rsidR="00E41578" w:rsidRPr="00711285" w:rsidRDefault="00A00CE7" w:rsidP="00E41578">
      <w:pPr>
        <w:jc w:val="both"/>
        <w:rPr>
          <w:rFonts w:ascii="Arial" w:hAnsi="Arial" w:cs="Arial"/>
          <w:sz w:val="22"/>
          <w:szCs w:val="22"/>
          <w:lang w:val="en-GB"/>
        </w:rPr>
      </w:pPr>
      <w:r w:rsidRPr="00711285">
        <w:rPr>
          <w:rFonts w:ascii="Arial" w:hAnsi="Arial" w:cs="Arial"/>
          <w:sz w:val="22"/>
          <w:szCs w:val="22"/>
          <w:lang w:val="en-GB"/>
        </w:rPr>
        <w:t>The Bankruptcy Rules, the Federal Rules of Civil Procedure, the bankruptcy court’s local rules. It is also important to know of the judge’s personal practices</w:t>
      </w:r>
      <w:r w:rsidR="00711285" w:rsidRPr="00711285">
        <w:rPr>
          <w:rFonts w:ascii="Arial" w:hAnsi="Arial" w:cs="Arial"/>
          <w:sz w:val="22"/>
          <w:szCs w:val="22"/>
          <w:lang w:val="en-GB"/>
        </w:rPr>
        <w:t xml:space="preserve">. </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7E25634B" w14:textId="772DBB0B" w:rsidR="00B95790" w:rsidRPr="00101C66" w:rsidRDefault="00397A7B" w:rsidP="00E41578">
      <w:pPr>
        <w:jc w:val="both"/>
        <w:rPr>
          <w:rFonts w:ascii="Arial" w:hAnsi="Arial" w:cs="Arial"/>
          <w:sz w:val="22"/>
          <w:szCs w:val="22"/>
          <w:lang w:val="en-GB"/>
        </w:rPr>
      </w:pPr>
      <w:r w:rsidRPr="00101C66">
        <w:rPr>
          <w:rFonts w:ascii="Arial" w:hAnsi="Arial" w:cs="Arial"/>
          <w:sz w:val="22"/>
          <w:szCs w:val="22"/>
          <w:lang w:val="en-GB"/>
        </w:rPr>
        <w:t>The rule requires that</w:t>
      </w:r>
      <w:r w:rsidRPr="00101C66">
        <w:rPr>
          <w:rFonts w:ascii="Arial" w:hAnsi="Arial" w:cs="Arial"/>
          <w:sz w:val="22"/>
          <w:szCs w:val="22"/>
          <w:lang w:val="en-GB"/>
        </w:rPr>
        <w:t xml:space="preserve"> payment in full must be made to each category of claims before the next category receives anything. </w:t>
      </w:r>
      <w:r w:rsidRPr="00101C66">
        <w:rPr>
          <w:rFonts w:ascii="Arial" w:hAnsi="Arial" w:cs="Arial"/>
          <w:sz w:val="22"/>
          <w:szCs w:val="22"/>
          <w:lang w:val="en-GB"/>
        </w:rPr>
        <w:t>A corollary of this rule is</w:t>
      </w:r>
      <w:r w:rsidR="006B7092" w:rsidRPr="00101C66">
        <w:rPr>
          <w:rFonts w:ascii="Arial" w:hAnsi="Arial" w:cs="Arial"/>
          <w:sz w:val="22"/>
          <w:szCs w:val="22"/>
          <w:lang w:val="en-GB"/>
        </w:rPr>
        <w:t xml:space="preserve"> that no creditor or class of creditors may receive</w:t>
      </w:r>
      <w:r w:rsidRPr="00101C66">
        <w:rPr>
          <w:rFonts w:ascii="Arial" w:hAnsi="Arial" w:cs="Arial"/>
          <w:sz w:val="22"/>
          <w:szCs w:val="22"/>
          <w:lang w:val="en-GB"/>
        </w:rPr>
        <w:t xml:space="preserve"> </w:t>
      </w:r>
      <w:r w:rsidR="006B7092" w:rsidRPr="00101C66">
        <w:rPr>
          <w:rFonts w:ascii="Arial" w:hAnsi="Arial" w:cs="Arial"/>
          <w:sz w:val="22"/>
          <w:szCs w:val="22"/>
          <w:lang w:val="en-GB"/>
        </w:rPr>
        <w:t xml:space="preserve">less under a plan of reorganisation than it would under a hypothetical Chapter 7 liquidation (where the claims are paid in accordance with statutorily required priorities, without the affected creditor’s consent). </w:t>
      </w:r>
    </w:p>
    <w:p w14:paraId="1F6078B6" w14:textId="45B4223D" w:rsidR="00E41578" w:rsidRPr="00101C66" w:rsidRDefault="00711285" w:rsidP="00E41578">
      <w:pPr>
        <w:jc w:val="both"/>
        <w:rPr>
          <w:rFonts w:ascii="Arial" w:hAnsi="Arial" w:cs="Arial"/>
          <w:sz w:val="22"/>
          <w:szCs w:val="22"/>
          <w:lang w:val="en-GB"/>
        </w:rPr>
      </w:pPr>
      <w:r w:rsidRPr="00101C66">
        <w:rPr>
          <w:rFonts w:ascii="Arial" w:hAnsi="Arial" w:cs="Arial"/>
          <w:sz w:val="22"/>
          <w:szCs w:val="22"/>
          <w:lang w:val="en-GB"/>
        </w:rPr>
        <w:t xml:space="preserve">Under a Chapter 11 plan, the absolute priority rule can be deviated from with the consent of the affected creditors. </w:t>
      </w:r>
      <w:r w:rsidR="006B7092" w:rsidRPr="00101C66">
        <w:rPr>
          <w:rFonts w:ascii="Arial" w:hAnsi="Arial" w:cs="Arial"/>
          <w:sz w:val="22"/>
          <w:szCs w:val="22"/>
          <w:lang w:val="en-GB"/>
        </w:rPr>
        <w:t xml:space="preserve">For example, a senior creditor could consent to receiving less than their entitlement under the absolute priority rule if distribution of funds to lower priority claimants is necessary to obtain their approval of the plan. </w:t>
      </w:r>
      <w:r w:rsidRPr="00101C66">
        <w:rPr>
          <w:rFonts w:ascii="Arial" w:hAnsi="Arial" w:cs="Arial"/>
          <w:sz w:val="22"/>
          <w:szCs w:val="22"/>
          <w:lang w:val="en-GB"/>
        </w:rPr>
        <w:t xml:space="preserve">The absolute priority rule cannot be deviated from in Chapter 7 – the statutory priorities must be strictly followed. </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67E1CE21" w:rsidR="00E41578" w:rsidRPr="009A4176" w:rsidRDefault="009A4176" w:rsidP="00E41578">
      <w:pPr>
        <w:jc w:val="both"/>
        <w:rPr>
          <w:rFonts w:ascii="Arial" w:hAnsi="Arial" w:cs="Arial"/>
          <w:sz w:val="22"/>
          <w:szCs w:val="22"/>
          <w:lang w:val="en-GB"/>
        </w:rPr>
      </w:pPr>
      <w:r w:rsidRPr="009A4176">
        <w:rPr>
          <w:rFonts w:ascii="Arial" w:hAnsi="Arial" w:cs="Arial"/>
          <w:sz w:val="22"/>
          <w:szCs w:val="22"/>
          <w:lang w:val="en-GB"/>
        </w:rPr>
        <w:t xml:space="preserve">This is a lien that is senior or equal to a pre-petition lien on estate property. The debtor must show that the interest of the secured creditor which is being primed is adequately protected. A priming lien is usually granted by the court as a last resort, where the debtor is unable to obtain any other type of financing. </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5E5FB43B" w:rsidR="00E41578" w:rsidRPr="001F3A04" w:rsidRDefault="001F3A04" w:rsidP="00E41578">
      <w:pPr>
        <w:jc w:val="both"/>
        <w:rPr>
          <w:rFonts w:ascii="Arial" w:hAnsi="Arial" w:cs="Arial"/>
          <w:sz w:val="22"/>
          <w:szCs w:val="22"/>
          <w:lang w:val="en-GB"/>
        </w:rPr>
      </w:pPr>
      <w:r w:rsidRPr="001F3A04">
        <w:rPr>
          <w:rFonts w:ascii="Arial" w:hAnsi="Arial" w:cs="Arial"/>
          <w:sz w:val="22"/>
          <w:szCs w:val="22"/>
          <w:lang w:val="en-GB"/>
        </w:rPr>
        <w:t xml:space="preserve">A preference is a transfer of the debtor’s property made in a suspect period before the petition date – this property will have to be returned to the estate if it exceeds the amount the recipient would have received in a Chapter 7 liquidation had the transfer not been made. </w:t>
      </w:r>
    </w:p>
    <w:p w14:paraId="122A97D6" w14:textId="13475BB3" w:rsidR="00E41578" w:rsidRDefault="001F3A04" w:rsidP="00E41578">
      <w:pPr>
        <w:jc w:val="both"/>
        <w:rPr>
          <w:rFonts w:ascii="Arial" w:hAnsi="Arial" w:cs="Arial"/>
          <w:sz w:val="22"/>
          <w:szCs w:val="22"/>
          <w:lang w:val="en-GB"/>
        </w:rPr>
      </w:pPr>
      <w:r>
        <w:rPr>
          <w:rFonts w:ascii="Arial" w:hAnsi="Arial" w:cs="Arial"/>
          <w:sz w:val="22"/>
          <w:szCs w:val="22"/>
          <w:lang w:val="en-GB"/>
        </w:rPr>
        <w:t xml:space="preserve">These are the elements of a preference claim: </w:t>
      </w:r>
    </w:p>
    <w:p w14:paraId="33959534" w14:textId="118E2710" w:rsidR="001F3A04" w:rsidRDefault="001F3A04" w:rsidP="001F3A04">
      <w:pPr>
        <w:pStyle w:val="ListParagraph"/>
        <w:numPr>
          <w:ilvl w:val="0"/>
          <w:numId w:val="32"/>
        </w:numPr>
        <w:jc w:val="both"/>
        <w:rPr>
          <w:rFonts w:ascii="Arial" w:hAnsi="Arial" w:cs="Arial"/>
          <w:sz w:val="22"/>
          <w:szCs w:val="22"/>
          <w:lang w:val="en-GB"/>
        </w:rPr>
      </w:pPr>
      <w:r>
        <w:rPr>
          <w:rFonts w:ascii="Arial" w:hAnsi="Arial" w:cs="Arial"/>
          <w:sz w:val="22"/>
          <w:szCs w:val="22"/>
          <w:lang w:val="en-GB"/>
        </w:rPr>
        <w:t xml:space="preserve">There must be a transfer of an interest of the debtor in </w:t>
      </w:r>
      <w:proofErr w:type="gramStart"/>
      <w:r>
        <w:rPr>
          <w:rFonts w:ascii="Arial" w:hAnsi="Arial" w:cs="Arial"/>
          <w:sz w:val="22"/>
          <w:szCs w:val="22"/>
          <w:lang w:val="en-GB"/>
        </w:rPr>
        <w:t>property</w:t>
      </w:r>
      <w:proofErr w:type="gramEnd"/>
    </w:p>
    <w:p w14:paraId="157D5886" w14:textId="477052CF" w:rsidR="001F3A04" w:rsidRDefault="001F3A04" w:rsidP="001F3A04">
      <w:pPr>
        <w:pStyle w:val="ListParagraph"/>
        <w:numPr>
          <w:ilvl w:val="0"/>
          <w:numId w:val="32"/>
        </w:numPr>
        <w:jc w:val="both"/>
        <w:rPr>
          <w:rFonts w:ascii="Arial" w:hAnsi="Arial" w:cs="Arial"/>
          <w:sz w:val="22"/>
          <w:szCs w:val="22"/>
          <w:lang w:val="en-GB"/>
        </w:rPr>
      </w:pPr>
      <w:r>
        <w:rPr>
          <w:rFonts w:ascii="Arial" w:hAnsi="Arial" w:cs="Arial"/>
          <w:sz w:val="22"/>
          <w:szCs w:val="22"/>
          <w:lang w:val="en-GB"/>
        </w:rPr>
        <w:t xml:space="preserve">This transfer must have been to or for the benefit of the </w:t>
      </w:r>
      <w:proofErr w:type="gramStart"/>
      <w:r>
        <w:rPr>
          <w:rFonts w:ascii="Arial" w:hAnsi="Arial" w:cs="Arial"/>
          <w:sz w:val="22"/>
          <w:szCs w:val="22"/>
          <w:lang w:val="en-GB"/>
        </w:rPr>
        <w:t>creditor</w:t>
      </w:r>
      <w:proofErr w:type="gramEnd"/>
    </w:p>
    <w:p w14:paraId="3B25A6DE" w14:textId="212722BB" w:rsidR="001F3A04" w:rsidRDefault="001F3A04" w:rsidP="001F3A04">
      <w:pPr>
        <w:pStyle w:val="ListParagraph"/>
        <w:numPr>
          <w:ilvl w:val="0"/>
          <w:numId w:val="32"/>
        </w:numPr>
        <w:jc w:val="both"/>
        <w:rPr>
          <w:rFonts w:ascii="Arial" w:hAnsi="Arial" w:cs="Arial"/>
          <w:sz w:val="22"/>
          <w:szCs w:val="22"/>
          <w:lang w:val="en-GB"/>
        </w:rPr>
      </w:pPr>
      <w:r>
        <w:rPr>
          <w:rFonts w:ascii="Arial" w:hAnsi="Arial" w:cs="Arial"/>
          <w:sz w:val="22"/>
          <w:szCs w:val="22"/>
          <w:lang w:val="en-GB"/>
        </w:rPr>
        <w:t xml:space="preserve">This transfer must be for or on account of an antecedent debt owed by the debtor before such transfer was </w:t>
      </w:r>
      <w:proofErr w:type="gramStart"/>
      <w:r>
        <w:rPr>
          <w:rFonts w:ascii="Arial" w:hAnsi="Arial" w:cs="Arial"/>
          <w:sz w:val="22"/>
          <w:szCs w:val="22"/>
          <w:lang w:val="en-GB"/>
        </w:rPr>
        <w:t>made</w:t>
      </w:r>
      <w:proofErr w:type="gramEnd"/>
    </w:p>
    <w:p w14:paraId="756C17C1" w14:textId="69463DD7" w:rsidR="001F3A04" w:rsidRDefault="001F3A04" w:rsidP="001F3A04">
      <w:pPr>
        <w:pStyle w:val="ListParagraph"/>
        <w:numPr>
          <w:ilvl w:val="0"/>
          <w:numId w:val="32"/>
        </w:numPr>
        <w:jc w:val="both"/>
        <w:rPr>
          <w:rFonts w:ascii="Arial" w:hAnsi="Arial" w:cs="Arial"/>
          <w:sz w:val="22"/>
          <w:szCs w:val="22"/>
          <w:lang w:val="en-GB"/>
        </w:rPr>
      </w:pPr>
      <w:r>
        <w:rPr>
          <w:rFonts w:ascii="Arial" w:hAnsi="Arial" w:cs="Arial"/>
          <w:sz w:val="22"/>
          <w:szCs w:val="22"/>
          <w:lang w:val="en-GB"/>
        </w:rPr>
        <w:t>This transfer must have been made during the suspect period, while the debtor was insolvent.</w:t>
      </w:r>
    </w:p>
    <w:p w14:paraId="46BF4669" w14:textId="4203C65E" w:rsidR="001F3A04" w:rsidRDefault="001F3A04" w:rsidP="001F3A04">
      <w:pPr>
        <w:pStyle w:val="ListParagraph"/>
        <w:numPr>
          <w:ilvl w:val="0"/>
          <w:numId w:val="32"/>
        </w:numPr>
        <w:jc w:val="both"/>
        <w:rPr>
          <w:rFonts w:ascii="Arial" w:hAnsi="Arial" w:cs="Arial"/>
          <w:sz w:val="22"/>
          <w:szCs w:val="22"/>
          <w:lang w:val="en-GB"/>
        </w:rPr>
      </w:pPr>
      <w:r>
        <w:rPr>
          <w:rFonts w:ascii="Arial" w:hAnsi="Arial" w:cs="Arial"/>
          <w:sz w:val="22"/>
          <w:szCs w:val="22"/>
          <w:lang w:val="en-GB"/>
        </w:rPr>
        <w:t xml:space="preserve">The transfer enables the creditor to receive more than it would have in a Chapter 7 liquidation. </w:t>
      </w:r>
    </w:p>
    <w:p w14:paraId="25DDD05A" w14:textId="7E328FA8" w:rsidR="001F3A04" w:rsidRPr="001F3A04" w:rsidRDefault="001F3A04" w:rsidP="001F3A04">
      <w:pPr>
        <w:jc w:val="both"/>
        <w:rPr>
          <w:rFonts w:ascii="Arial" w:hAnsi="Arial" w:cs="Arial"/>
          <w:sz w:val="22"/>
          <w:szCs w:val="22"/>
          <w:lang w:val="en-GB"/>
        </w:rPr>
      </w:pPr>
      <w:r>
        <w:rPr>
          <w:rFonts w:ascii="Arial" w:hAnsi="Arial" w:cs="Arial"/>
          <w:sz w:val="22"/>
          <w:szCs w:val="22"/>
          <w:lang w:val="en-GB"/>
        </w:rPr>
        <w:t xml:space="preserve">The showing of fault, by either the debtor or creditor, is not required. </w:t>
      </w: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57067A37" w:rsidR="00E41578" w:rsidRPr="003453F6" w:rsidRDefault="00456F61" w:rsidP="00E41578">
      <w:pPr>
        <w:jc w:val="both"/>
        <w:rPr>
          <w:rFonts w:ascii="Arial" w:hAnsi="Arial" w:cs="Arial"/>
          <w:sz w:val="22"/>
          <w:szCs w:val="22"/>
          <w:lang w:val="en-GB"/>
        </w:rPr>
      </w:pPr>
      <w:r w:rsidRPr="003453F6">
        <w:rPr>
          <w:rFonts w:ascii="Arial" w:hAnsi="Arial" w:cs="Arial"/>
          <w:sz w:val="22"/>
          <w:szCs w:val="22"/>
          <w:lang w:val="en-GB"/>
        </w:rPr>
        <w:t xml:space="preserve">A bankruptcy court may enter a final order in core proceedings – but the US Supreme Court has held, in </w:t>
      </w:r>
      <w:r w:rsidRPr="003453F6">
        <w:rPr>
          <w:rFonts w:ascii="Arial" w:hAnsi="Arial" w:cs="Arial"/>
          <w:i/>
          <w:iCs/>
          <w:sz w:val="22"/>
          <w:szCs w:val="22"/>
          <w:lang w:val="en-GB"/>
        </w:rPr>
        <w:t>Stern v Marshall</w:t>
      </w:r>
      <w:r w:rsidRPr="003453F6">
        <w:rPr>
          <w:rFonts w:ascii="Arial" w:hAnsi="Arial" w:cs="Arial"/>
          <w:sz w:val="22"/>
          <w:szCs w:val="22"/>
          <w:lang w:val="en-GB"/>
        </w:rPr>
        <w:t xml:space="preserve">, that even in core proceedings, a bankruptcy court cannot issue final orders that invade Article III jurisdiction. </w:t>
      </w:r>
    </w:p>
    <w:p w14:paraId="2E8B61BB" w14:textId="64F119B2" w:rsidR="001E79B8" w:rsidRPr="003453F6" w:rsidRDefault="001E79B8" w:rsidP="00E41578">
      <w:pPr>
        <w:jc w:val="both"/>
        <w:rPr>
          <w:rFonts w:ascii="Arial" w:hAnsi="Arial" w:cs="Arial"/>
          <w:sz w:val="22"/>
          <w:szCs w:val="22"/>
          <w:lang w:val="en-GB"/>
        </w:rPr>
      </w:pPr>
      <w:r w:rsidRPr="003453F6">
        <w:rPr>
          <w:rFonts w:ascii="Arial" w:hAnsi="Arial" w:cs="Arial"/>
          <w:sz w:val="22"/>
          <w:szCs w:val="22"/>
          <w:lang w:val="en-GB"/>
        </w:rPr>
        <w:t xml:space="preserve">A bankruptcy court may exercise a district court’s delegated authority to enter a final order on a motion challenging a petition. A bankruptcy court can also, in determining a core proceeding, issue final orders with parties’ consent. </w:t>
      </w:r>
    </w:p>
    <w:p w14:paraId="1073B8E1" w14:textId="32F0FE43" w:rsidR="005B3420" w:rsidRPr="003453F6" w:rsidRDefault="004F1937" w:rsidP="00E41578">
      <w:pPr>
        <w:jc w:val="both"/>
        <w:rPr>
          <w:rFonts w:ascii="Arial" w:hAnsi="Arial" w:cs="Arial"/>
          <w:sz w:val="22"/>
          <w:szCs w:val="22"/>
          <w:lang w:val="en-GB"/>
        </w:rPr>
      </w:pPr>
      <w:r w:rsidRPr="003453F6">
        <w:rPr>
          <w:rFonts w:ascii="Arial" w:hAnsi="Arial" w:cs="Arial"/>
          <w:sz w:val="22"/>
          <w:szCs w:val="22"/>
          <w:lang w:val="en-GB"/>
        </w:rPr>
        <w:t xml:space="preserve">Appeals from bankruptcy court decisions are heard by the district court for the particular district in which they sit. In some circuits, bankruptcy appeals are heard by a Bankruptcy Appellate Panel (“BAP”) – in these circuits, the party can request that the appeal be heard by the district court instead. </w:t>
      </w:r>
    </w:p>
    <w:p w14:paraId="7BC7AB72" w14:textId="77777777" w:rsidR="00365114" w:rsidRPr="003453F6" w:rsidRDefault="004F1937" w:rsidP="00E41578">
      <w:pPr>
        <w:jc w:val="both"/>
        <w:rPr>
          <w:rFonts w:ascii="Arial" w:hAnsi="Arial" w:cs="Arial"/>
          <w:sz w:val="22"/>
          <w:szCs w:val="22"/>
          <w:lang w:val="en-GB"/>
        </w:rPr>
      </w:pPr>
      <w:r w:rsidRPr="003453F6">
        <w:rPr>
          <w:rFonts w:ascii="Arial" w:hAnsi="Arial" w:cs="Arial"/>
          <w:sz w:val="22"/>
          <w:szCs w:val="22"/>
          <w:lang w:val="en-GB"/>
        </w:rPr>
        <w:t xml:space="preserve">From either the district court or BAP, there is a further avenue of appeal to the circuit court of appeals. </w:t>
      </w:r>
      <w:r w:rsidR="008817C4" w:rsidRPr="003453F6">
        <w:rPr>
          <w:rFonts w:ascii="Arial" w:hAnsi="Arial" w:cs="Arial"/>
          <w:sz w:val="22"/>
          <w:szCs w:val="22"/>
          <w:lang w:val="en-GB"/>
        </w:rPr>
        <w:t>An appeal from the bankruptcy court can go directly to the court of appeals if the bankruptcy or district court certifies that</w:t>
      </w:r>
      <w:r w:rsidR="000B547B" w:rsidRPr="003453F6">
        <w:rPr>
          <w:rFonts w:ascii="Arial" w:hAnsi="Arial" w:cs="Arial"/>
          <w:sz w:val="22"/>
          <w:szCs w:val="22"/>
          <w:lang w:val="en-GB"/>
        </w:rPr>
        <w:t>: a)</w:t>
      </w:r>
      <w:r w:rsidR="008817C4" w:rsidRPr="003453F6">
        <w:rPr>
          <w:rFonts w:ascii="Arial" w:hAnsi="Arial" w:cs="Arial"/>
          <w:sz w:val="22"/>
          <w:szCs w:val="22"/>
          <w:lang w:val="en-GB"/>
        </w:rPr>
        <w:t xml:space="preserve"> the appeal raises a point of law for which there is no controlling decision of the circuit or Supreme Court, or there are conflicting decisions which need to be resolved</w:t>
      </w:r>
      <w:r w:rsidR="000B547B" w:rsidRPr="003453F6">
        <w:rPr>
          <w:rFonts w:ascii="Arial" w:hAnsi="Arial" w:cs="Arial"/>
          <w:sz w:val="22"/>
          <w:szCs w:val="22"/>
          <w:lang w:val="en-GB"/>
        </w:rPr>
        <w:t xml:space="preserve"> or b) that immediate appeal may advance the progress of the case. </w:t>
      </w:r>
    </w:p>
    <w:p w14:paraId="73C0D141" w14:textId="186A45E2" w:rsidR="004F1937" w:rsidRPr="003453F6" w:rsidRDefault="00365114" w:rsidP="00E41578">
      <w:pPr>
        <w:jc w:val="both"/>
        <w:rPr>
          <w:rFonts w:ascii="Arial" w:hAnsi="Arial" w:cs="Arial"/>
          <w:sz w:val="22"/>
          <w:szCs w:val="22"/>
          <w:lang w:val="en-GB"/>
        </w:rPr>
      </w:pPr>
      <w:r w:rsidRPr="003453F6">
        <w:rPr>
          <w:rFonts w:ascii="Arial" w:hAnsi="Arial" w:cs="Arial"/>
          <w:sz w:val="22"/>
          <w:szCs w:val="22"/>
          <w:lang w:val="en-GB"/>
        </w:rPr>
        <w:t xml:space="preserve">A </w:t>
      </w:r>
      <w:r w:rsidRPr="003453F6">
        <w:rPr>
          <w:rFonts w:ascii="Arial" w:hAnsi="Arial" w:cs="Arial"/>
          <w:i/>
          <w:iCs/>
          <w:sz w:val="22"/>
          <w:szCs w:val="22"/>
          <w:lang w:val="en-GB"/>
        </w:rPr>
        <w:t xml:space="preserve">de novo </w:t>
      </w:r>
      <w:r w:rsidRPr="003453F6">
        <w:rPr>
          <w:rFonts w:ascii="Arial" w:hAnsi="Arial" w:cs="Arial"/>
          <w:sz w:val="22"/>
          <w:szCs w:val="22"/>
          <w:lang w:val="en-GB"/>
        </w:rPr>
        <w:t xml:space="preserve">review is undertaken for non-final orders – the district court or BAP reviews </w:t>
      </w:r>
      <w:r w:rsidRPr="003453F6">
        <w:rPr>
          <w:rFonts w:ascii="Arial" w:hAnsi="Arial" w:cs="Arial"/>
          <w:i/>
          <w:iCs/>
          <w:sz w:val="22"/>
          <w:szCs w:val="22"/>
          <w:lang w:val="en-GB"/>
        </w:rPr>
        <w:t xml:space="preserve">de novo </w:t>
      </w:r>
      <w:r w:rsidRPr="003453F6">
        <w:rPr>
          <w:rFonts w:ascii="Arial" w:hAnsi="Arial" w:cs="Arial"/>
          <w:sz w:val="22"/>
          <w:szCs w:val="22"/>
          <w:lang w:val="en-GB"/>
        </w:rPr>
        <w:t xml:space="preserve">all findings of fact and conclusions of law to which a party has objected. </w:t>
      </w:r>
      <w:r w:rsidR="000B547B" w:rsidRPr="003453F6">
        <w:rPr>
          <w:rFonts w:ascii="Arial" w:hAnsi="Arial" w:cs="Arial"/>
          <w:sz w:val="22"/>
          <w:szCs w:val="22"/>
          <w:lang w:val="en-GB"/>
        </w:rPr>
        <w:t xml:space="preserve"> </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25297AEF" w:rsidR="00E41578" w:rsidRPr="00E73101" w:rsidRDefault="00E73101" w:rsidP="00E41578">
      <w:pPr>
        <w:jc w:val="both"/>
        <w:rPr>
          <w:rFonts w:ascii="Arial" w:hAnsi="Arial" w:cs="Arial"/>
          <w:sz w:val="22"/>
          <w:szCs w:val="22"/>
          <w:lang w:val="en-GB"/>
        </w:rPr>
      </w:pPr>
      <w:r w:rsidRPr="00E73101">
        <w:rPr>
          <w:rFonts w:ascii="Arial" w:hAnsi="Arial" w:cs="Arial"/>
          <w:sz w:val="22"/>
          <w:szCs w:val="22"/>
          <w:lang w:val="en-GB"/>
        </w:rPr>
        <w:t>These are the provisions of the Bankruptcy Code which automatically apply to the debtor’s property within the territorial jurisdiction of the United States (</w:t>
      </w:r>
      <w:r w:rsidRPr="00E73101">
        <w:rPr>
          <w:rFonts w:ascii="Arial" w:hAnsi="Arial" w:cs="Arial"/>
          <w:sz w:val="22"/>
          <w:szCs w:val="22"/>
          <w:lang w:val="en-GB"/>
        </w:rPr>
        <w:t>11 U.S. Code § 1520</w:t>
      </w:r>
      <w:r w:rsidRPr="00E73101">
        <w:rPr>
          <w:rFonts w:ascii="Arial" w:hAnsi="Arial" w:cs="Arial"/>
          <w:sz w:val="22"/>
          <w:szCs w:val="22"/>
          <w:lang w:val="en-GB"/>
        </w:rPr>
        <w:t>):</w:t>
      </w:r>
    </w:p>
    <w:p w14:paraId="651CA59B" w14:textId="75DA81A2" w:rsidR="00E73101" w:rsidRPr="00E73101" w:rsidRDefault="00E73101" w:rsidP="00E73101">
      <w:pPr>
        <w:pStyle w:val="ListParagraph"/>
        <w:numPr>
          <w:ilvl w:val="0"/>
          <w:numId w:val="33"/>
        </w:numPr>
        <w:jc w:val="both"/>
        <w:rPr>
          <w:rFonts w:ascii="Arial" w:hAnsi="Arial" w:cs="Arial"/>
          <w:sz w:val="22"/>
          <w:szCs w:val="22"/>
          <w:lang w:val="en-GB"/>
        </w:rPr>
      </w:pPr>
      <w:r w:rsidRPr="00E73101">
        <w:rPr>
          <w:rFonts w:ascii="Arial" w:hAnsi="Arial" w:cs="Arial"/>
          <w:sz w:val="22"/>
          <w:szCs w:val="22"/>
          <w:lang w:val="en-GB"/>
        </w:rPr>
        <w:t xml:space="preserve">Sections 361 and 362 apply with respect to the debtor and property of the debtor that is within the territorial jurisdiction of the </w:t>
      </w:r>
      <w:proofErr w:type="gramStart"/>
      <w:r w:rsidRPr="00E73101">
        <w:rPr>
          <w:rFonts w:ascii="Arial" w:hAnsi="Arial" w:cs="Arial"/>
          <w:sz w:val="22"/>
          <w:szCs w:val="22"/>
          <w:lang w:val="en-GB"/>
        </w:rPr>
        <w:t>US</w:t>
      </w:r>
      <w:proofErr w:type="gramEnd"/>
    </w:p>
    <w:p w14:paraId="5AAC2C39" w14:textId="2CF054D0" w:rsidR="00E73101" w:rsidRDefault="00E73101" w:rsidP="00E73101">
      <w:pPr>
        <w:pStyle w:val="ListParagraph"/>
        <w:numPr>
          <w:ilvl w:val="0"/>
          <w:numId w:val="33"/>
        </w:numPr>
        <w:jc w:val="both"/>
        <w:rPr>
          <w:rFonts w:ascii="Arial" w:hAnsi="Arial" w:cs="Arial"/>
          <w:sz w:val="22"/>
          <w:szCs w:val="22"/>
          <w:lang w:val="en-GB"/>
        </w:rPr>
      </w:pPr>
      <w:r w:rsidRPr="00E73101">
        <w:rPr>
          <w:rFonts w:ascii="Arial" w:hAnsi="Arial" w:cs="Arial"/>
          <w:sz w:val="22"/>
          <w:szCs w:val="22"/>
          <w:lang w:val="en-GB"/>
        </w:rPr>
        <w:t xml:space="preserve">Sections </w:t>
      </w:r>
      <w:r w:rsidRPr="00E73101">
        <w:rPr>
          <w:rFonts w:ascii="Arial" w:hAnsi="Arial" w:cs="Arial"/>
          <w:sz w:val="22"/>
          <w:szCs w:val="22"/>
          <w:lang w:val="en-GB"/>
        </w:rPr>
        <w:t>363, 549, and 552</w:t>
      </w:r>
      <w:r w:rsidR="001B4932">
        <w:rPr>
          <w:rFonts w:ascii="Arial" w:hAnsi="Arial" w:cs="Arial"/>
          <w:sz w:val="22"/>
          <w:szCs w:val="22"/>
          <w:lang w:val="en-GB"/>
        </w:rPr>
        <w:t xml:space="preserve"> apply to a transfer of an interest of the debtor in property that is within the territorial jurisdiction of the US to the same extent that the sections would apply to property of an </w:t>
      </w:r>
      <w:proofErr w:type="gramStart"/>
      <w:r w:rsidR="001B4932">
        <w:rPr>
          <w:rFonts w:ascii="Arial" w:hAnsi="Arial" w:cs="Arial"/>
          <w:sz w:val="22"/>
          <w:szCs w:val="22"/>
          <w:lang w:val="en-GB"/>
        </w:rPr>
        <w:t>estate</w:t>
      </w:r>
      <w:proofErr w:type="gramEnd"/>
    </w:p>
    <w:p w14:paraId="3555BAF6" w14:textId="0F6B649E" w:rsidR="00CE3418" w:rsidRDefault="00CE3418" w:rsidP="00E73101">
      <w:pPr>
        <w:pStyle w:val="ListParagraph"/>
        <w:numPr>
          <w:ilvl w:val="0"/>
          <w:numId w:val="33"/>
        </w:numPr>
        <w:jc w:val="both"/>
        <w:rPr>
          <w:rFonts w:ascii="Arial" w:hAnsi="Arial" w:cs="Arial"/>
          <w:sz w:val="22"/>
          <w:szCs w:val="22"/>
          <w:lang w:val="en-GB"/>
        </w:rPr>
      </w:pPr>
      <w:r>
        <w:rPr>
          <w:rFonts w:ascii="Arial" w:hAnsi="Arial" w:cs="Arial"/>
          <w:sz w:val="22"/>
          <w:szCs w:val="22"/>
          <w:lang w:val="en-GB"/>
        </w:rPr>
        <w:t>Unless the court orders otherwise</w:t>
      </w:r>
      <w:r w:rsidR="001B4932">
        <w:rPr>
          <w:rFonts w:ascii="Arial" w:hAnsi="Arial" w:cs="Arial"/>
          <w:sz w:val="22"/>
          <w:szCs w:val="22"/>
          <w:lang w:val="en-GB"/>
        </w:rPr>
        <w:t xml:space="preserve">, the foreign representative may operate the debtor’s business and may exercise the rights and powers of a trustee under and to the extent provided by sections 363 and 552. </w:t>
      </w:r>
    </w:p>
    <w:p w14:paraId="3536FEE5" w14:textId="249E0421" w:rsidR="00CE3418" w:rsidRDefault="00CE3418" w:rsidP="00E73101">
      <w:pPr>
        <w:pStyle w:val="ListParagraph"/>
        <w:numPr>
          <w:ilvl w:val="0"/>
          <w:numId w:val="33"/>
        </w:numPr>
        <w:jc w:val="both"/>
        <w:rPr>
          <w:rFonts w:ascii="Arial" w:hAnsi="Arial" w:cs="Arial"/>
          <w:sz w:val="22"/>
          <w:szCs w:val="22"/>
          <w:lang w:val="en-GB"/>
        </w:rPr>
      </w:pPr>
      <w:r>
        <w:rPr>
          <w:rFonts w:ascii="Arial" w:hAnsi="Arial" w:cs="Arial"/>
          <w:sz w:val="22"/>
          <w:szCs w:val="22"/>
          <w:lang w:val="en-GB"/>
        </w:rPr>
        <w:t xml:space="preserve">Section 552 also applies to the debtor’s property that is within the territorial jurisdiction of the US. </w:t>
      </w:r>
    </w:p>
    <w:p w14:paraId="5D11370F" w14:textId="77777777" w:rsidR="00882F0D" w:rsidRPr="00E73101" w:rsidRDefault="00882F0D" w:rsidP="00882F0D">
      <w:pPr>
        <w:pStyle w:val="ListParagraph"/>
        <w:jc w:val="both"/>
        <w:rPr>
          <w:rFonts w:ascii="Arial" w:hAnsi="Arial" w:cs="Arial"/>
          <w:sz w:val="22"/>
          <w:szCs w:val="22"/>
          <w:lang w:val="en-GB"/>
        </w:rPr>
      </w:pPr>
    </w:p>
    <w:p w14:paraId="3176A3F4" w14:textId="3EDD7819" w:rsidR="00E01803" w:rsidRPr="00882F0D" w:rsidRDefault="001B4932" w:rsidP="000778B1">
      <w:pPr>
        <w:pStyle w:val="AODocTxt"/>
        <w:spacing w:before="0" w:line="240" w:lineRule="auto"/>
        <w:rPr>
          <w:rFonts w:ascii="Arial" w:hAnsi="Arial" w:cs="Arial"/>
        </w:rPr>
      </w:pPr>
      <w:r w:rsidRPr="00882F0D">
        <w:rPr>
          <w:rFonts w:ascii="Arial" w:hAnsi="Arial" w:cs="Arial"/>
        </w:rPr>
        <w:t xml:space="preserve">These are the discretionary reliefs which may be granted for either the foreign main or non-main proceedings: </w:t>
      </w:r>
    </w:p>
    <w:p w14:paraId="5155363D" w14:textId="288137E0" w:rsidR="001B4932" w:rsidRPr="00882F0D" w:rsidRDefault="00C11941" w:rsidP="001B4932">
      <w:pPr>
        <w:pStyle w:val="AODocTxt"/>
        <w:numPr>
          <w:ilvl w:val="0"/>
          <w:numId w:val="34"/>
        </w:numPr>
        <w:spacing w:before="0" w:line="240" w:lineRule="auto"/>
        <w:rPr>
          <w:rFonts w:ascii="Arial" w:hAnsi="Arial" w:cs="Arial"/>
        </w:rPr>
      </w:pPr>
      <w:r w:rsidRPr="00882F0D">
        <w:rPr>
          <w:rFonts w:ascii="Arial" w:hAnsi="Arial" w:cs="Arial"/>
        </w:rPr>
        <w:t>Authorization of discovery regarding the debtor’s assets and affairs</w:t>
      </w:r>
    </w:p>
    <w:p w14:paraId="00496744" w14:textId="7828AE06" w:rsidR="00C11941" w:rsidRPr="00882F0D" w:rsidRDefault="00C11941" w:rsidP="001B4932">
      <w:pPr>
        <w:pStyle w:val="AODocTxt"/>
        <w:numPr>
          <w:ilvl w:val="0"/>
          <w:numId w:val="34"/>
        </w:numPr>
        <w:spacing w:before="0" w:line="240" w:lineRule="auto"/>
        <w:rPr>
          <w:rFonts w:ascii="Arial" w:hAnsi="Arial" w:cs="Arial"/>
        </w:rPr>
      </w:pPr>
      <w:r w:rsidRPr="00882F0D">
        <w:rPr>
          <w:rFonts w:ascii="Arial" w:hAnsi="Arial" w:cs="Arial"/>
        </w:rPr>
        <w:t>Entrusting administration of the debtor’s US assets to the foreign representative or other person</w:t>
      </w:r>
    </w:p>
    <w:p w14:paraId="4BA90B73" w14:textId="381CCA26" w:rsidR="00C11941" w:rsidRPr="00882F0D" w:rsidRDefault="00C11941" w:rsidP="001B4932">
      <w:pPr>
        <w:pStyle w:val="AODocTxt"/>
        <w:numPr>
          <w:ilvl w:val="0"/>
          <w:numId w:val="34"/>
        </w:numPr>
        <w:spacing w:before="0" w:line="240" w:lineRule="auto"/>
        <w:rPr>
          <w:rFonts w:ascii="Arial" w:hAnsi="Arial" w:cs="Arial"/>
        </w:rPr>
      </w:pPr>
      <w:r w:rsidRPr="00882F0D">
        <w:rPr>
          <w:rFonts w:ascii="Arial" w:hAnsi="Arial" w:cs="Arial"/>
        </w:rPr>
        <w:t>Extension of provisional relief</w:t>
      </w:r>
    </w:p>
    <w:p w14:paraId="4383E853" w14:textId="3BF95BDE" w:rsidR="00C11941" w:rsidRPr="00882F0D" w:rsidRDefault="00C11941" w:rsidP="001B4932">
      <w:pPr>
        <w:pStyle w:val="AODocTxt"/>
        <w:numPr>
          <w:ilvl w:val="0"/>
          <w:numId w:val="34"/>
        </w:numPr>
        <w:spacing w:before="0" w:line="240" w:lineRule="auto"/>
        <w:rPr>
          <w:rFonts w:ascii="Arial" w:hAnsi="Arial" w:cs="Arial"/>
        </w:rPr>
      </w:pPr>
      <w:r w:rsidRPr="00882F0D">
        <w:rPr>
          <w:rFonts w:ascii="Arial" w:hAnsi="Arial" w:cs="Arial"/>
        </w:rPr>
        <w:t xml:space="preserve">Any other relief necessary to effectuate the purposes of Chapter 15 and to protect the assets of the debtor or the creditor’s interests. </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2B7BE95D" w:rsidR="00E41578" w:rsidRPr="00CE493C" w:rsidRDefault="00DA7619" w:rsidP="00E41578">
      <w:pPr>
        <w:jc w:val="both"/>
        <w:rPr>
          <w:rFonts w:ascii="Arial" w:hAnsi="Arial" w:cs="Arial"/>
          <w:sz w:val="22"/>
          <w:szCs w:val="22"/>
          <w:lang w:val="en-GB"/>
        </w:rPr>
      </w:pPr>
      <w:r w:rsidRPr="00CE493C">
        <w:rPr>
          <w:rFonts w:ascii="Arial" w:hAnsi="Arial" w:cs="Arial"/>
          <w:sz w:val="22"/>
          <w:szCs w:val="22"/>
          <w:lang w:val="en-GB"/>
        </w:rPr>
        <w:t xml:space="preserve">Directors owe a fiduciary duty of loyalty to the corporation’s best interest. They also owe a duty of care in educated decision-making. </w:t>
      </w:r>
    </w:p>
    <w:p w14:paraId="4BB45E97" w14:textId="0FDE39A5" w:rsidR="00DA7619" w:rsidRPr="00CE493C" w:rsidRDefault="00DA7619" w:rsidP="00E41578">
      <w:pPr>
        <w:jc w:val="both"/>
        <w:rPr>
          <w:rFonts w:ascii="Arial" w:hAnsi="Arial" w:cs="Arial"/>
          <w:sz w:val="22"/>
          <w:szCs w:val="22"/>
          <w:lang w:val="en-GB"/>
        </w:rPr>
      </w:pPr>
      <w:r w:rsidRPr="00CE493C">
        <w:rPr>
          <w:rFonts w:ascii="Arial" w:hAnsi="Arial" w:cs="Arial"/>
          <w:sz w:val="22"/>
          <w:szCs w:val="22"/>
          <w:lang w:val="en-GB"/>
        </w:rPr>
        <w:t xml:space="preserve">The directors owe their duties to the corporation and its shareholders. They do not owe their duties to creditors even when the corporation is potentially or </w:t>
      </w:r>
      <w:proofErr w:type="gramStart"/>
      <w:r w:rsidRPr="00CE493C">
        <w:rPr>
          <w:rFonts w:ascii="Arial" w:hAnsi="Arial" w:cs="Arial"/>
          <w:sz w:val="22"/>
          <w:szCs w:val="22"/>
          <w:lang w:val="en-GB"/>
        </w:rPr>
        <w:t>actually insolvent</w:t>
      </w:r>
      <w:proofErr w:type="gramEnd"/>
      <w:r w:rsidRPr="00CE493C">
        <w:rPr>
          <w:rFonts w:ascii="Arial" w:hAnsi="Arial" w:cs="Arial"/>
          <w:sz w:val="22"/>
          <w:szCs w:val="22"/>
          <w:lang w:val="en-GB"/>
        </w:rPr>
        <w:t xml:space="preserve">. </w:t>
      </w:r>
    </w:p>
    <w:p w14:paraId="1E58B2FC" w14:textId="6B2C6607" w:rsidR="00DA7619" w:rsidRPr="00CE493C" w:rsidRDefault="00DA7619" w:rsidP="00E41578">
      <w:pPr>
        <w:jc w:val="both"/>
        <w:rPr>
          <w:rFonts w:ascii="Arial" w:hAnsi="Arial" w:cs="Arial"/>
          <w:sz w:val="22"/>
          <w:szCs w:val="22"/>
          <w:lang w:val="en-GB"/>
        </w:rPr>
      </w:pPr>
      <w:r w:rsidRPr="00CE493C">
        <w:rPr>
          <w:rFonts w:ascii="Arial" w:hAnsi="Arial" w:cs="Arial"/>
          <w:sz w:val="22"/>
          <w:szCs w:val="22"/>
          <w:lang w:val="en-GB"/>
        </w:rPr>
        <w:t xml:space="preserve">The rule protecting directors from liability for errors of judgment is the business judgment rule. Under this rule, directors are presumed to have acted in good faith on the basis of reasonable information. This presumption can be rebutted by showing that a majority of the board was, in fact, not reasonably informed and did not honestly believe that their decision was in the corporation’s best interest, or were not acting in good faith. </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0FA379DB" w:rsidR="00F03051" w:rsidRPr="005A63BD" w:rsidRDefault="00CE493C" w:rsidP="00F03051">
      <w:pPr>
        <w:jc w:val="both"/>
        <w:rPr>
          <w:rFonts w:ascii="Arial" w:hAnsi="Arial" w:cs="Arial"/>
          <w:sz w:val="22"/>
          <w:szCs w:val="22"/>
          <w:lang w:val="en-GB"/>
        </w:rPr>
      </w:pPr>
      <w:r w:rsidRPr="005A63BD">
        <w:rPr>
          <w:rFonts w:ascii="Arial" w:hAnsi="Arial" w:cs="Arial"/>
          <w:sz w:val="22"/>
          <w:szCs w:val="22"/>
          <w:lang w:val="en-GB"/>
        </w:rPr>
        <w:t xml:space="preserve">These are the requirements: </w:t>
      </w:r>
    </w:p>
    <w:p w14:paraId="0D8677DD" w14:textId="6A9F1D8D" w:rsidR="00CE493C" w:rsidRPr="005A63BD" w:rsidRDefault="00CE493C" w:rsidP="00CE493C">
      <w:pPr>
        <w:pStyle w:val="ListParagraph"/>
        <w:numPr>
          <w:ilvl w:val="0"/>
          <w:numId w:val="36"/>
        </w:numPr>
        <w:jc w:val="both"/>
        <w:rPr>
          <w:rFonts w:ascii="Arial" w:hAnsi="Arial" w:cs="Arial"/>
          <w:sz w:val="22"/>
          <w:szCs w:val="22"/>
          <w:lang w:val="en-GB"/>
        </w:rPr>
      </w:pPr>
      <w:r w:rsidRPr="005A63BD">
        <w:rPr>
          <w:rFonts w:ascii="Arial" w:hAnsi="Arial" w:cs="Arial"/>
          <w:sz w:val="22"/>
          <w:szCs w:val="22"/>
          <w:lang w:val="en-GB"/>
        </w:rPr>
        <w:t xml:space="preserve">The creditor must have a claim against the debtor that is: </w:t>
      </w:r>
    </w:p>
    <w:p w14:paraId="753DA45A" w14:textId="735653C4" w:rsidR="00CE493C" w:rsidRPr="005A63BD" w:rsidRDefault="005A63BD" w:rsidP="00CE493C">
      <w:pPr>
        <w:pStyle w:val="ListParagraph"/>
        <w:numPr>
          <w:ilvl w:val="1"/>
          <w:numId w:val="36"/>
        </w:numPr>
        <w:jc w:val="both"/>
        <w:rPr>
          <w:rFonts w:ascii="Arial" w:hAnsi="Arial" w:cs="Arial"/>
          <w:sz w:val="22"/>
          <w:szCs w:val="22"/>
          <w:lang w:val="en-GB"/>
        </w:rPr>
      </w:pPr>
      <w:r w:rsidRPr="005A63BD">
        <w:rPr>
          <w:rFonts w:ascii="Arial" w:hAnsi="Arial" w:cs="Arial"/>
          <w:sz w:val="22"/>
          <w:szCs w:val="22"/>
          <w:lang w:val="en-GB"/>
        </w:rPr>
        <w:lastRenderedPageBreak/>
        <w:t>Non-contingent</w:t>
      </w:r>
      <w:r>
        <w:rPr>
          <w:rFonts w:ascii="Arial" w:hAnsi="Arial" w:cs="Arial"/>
          <w:sz w:val="22"/>
          <w:szCs w:val="22"/>
          <w:lang w:val="en-GB"/>
        </w:rPr>
        <w:t xml:space="preserve"> – this means a claim which is not dependent on the occurrence of a future event. </w:t>
      </w:r>
    </w:p>
    <w:p w14:paraId="4947D3F7" w14:textId="32501E27" w:rsidR="005A63BD" w:rsidRPr="005A63BD" w:rsidRDefault="005A63BD" w:rsidP="00CE493C">
      <w:pPr>
        <w:pStyle w:val="ListParagraph"/>
        <w:numPr>
          <w:ilvl w:val="1"/>
          <w:numId w:val="36"/>
        </w:numPr>
        <w:jc w:val="both"/>
        <w:rPr>
          <w:rFonts w:ascii="Arial" w:hAnsi="Arial" w:cs="Arial"/>
          <w:sz w:val="22"/>
          <w:szCs w:val="22"/>
          <w:lang w:val="en-GB"/>
        </w:rPr>
      </w:pPr>
      <w:r w:rsidRPr="005A63BD">
        <w:rPr>
          <w:rFonts w:ascii="Arial" w:hAnsi="Arial" w:cs="Arial"/>
          <w:sz w:val="22"/>
          <w:szCs w:val="22"/>
          <w:lang w:val="en-GB"/>
        </w:rPr>
        <w:t>Not the subject of a bona fide dispute as to liability or amount</w:t>
      </w:r>
      <w:r>
        <w:rPr>
          <w:rFonts w:ascii="Arial" w:hAnsi="Arial" w:cs="Arial"/>
          <w:sz w:val="22"/>
          <w:szCs w:val="22"/>
          <w:lang w:val="en-GB"/>
        </w:rPr>
        <w:t xml:space="preserve"> </w:t>
      </w:r>
      <w:r w:rsidR="001B70B5">
        <w:rPr>
          <w:rFonts w:ascii="Arial" w:hAnsi="Arial" w:cs="Arial"/>
          <w:sz w:val="22"/>
          <w:szCs w:val="22"/>
          <w:lang w:val="en-GB"/>
        </w:rPr>
        <w:t xml:space="preserve">– there must be no objectively reasonably basis for a dispute as a matter of fact or law. </w:t>
      </w:r>
    </w:p>
    <w:p w14:paraId="2F5873FF" w14:textId="42A03B79" w:rsidR="005A63BD" w:rsidRDefault="005A63BD" w:rsidP="00CE493C">
      <w:pPr>
        <w:pStyle w:val="ListParagraph"/>
        <w:numPr>
          <w:ilvl w:val="1"/>
          <w:numId w:val="36"/>
        </w:numPr>
        <w:jc w:val="both"/>
        <w:rPr>
          <w:rFonts w:ascii="Arial" w:hAnsi="Arial" w:cs="Arial"/>
          <w:sz w:val="22"/>
          <w:szCs w:val="22"/>
          <w:lang w:val="en-GB"/>
        </w:rPr>
      </w:pPr>
      <w:r w:rsidRPr="001B70B5">
        <w:rPr>
          <w:rFonts w:ascii="Arial" w:hAnsi="Arial" w:cs="Arial"/>
          <w:sz w:val="22"/>
          <w:szCs w:val="22"/>
          <w:lang w:val="en-GB"/>
        </w:rPr>
        <w:t xml:space="preserve">The claim must be unsecured or </w:t>
      </w:r>
      <w:r w:rsidR="005E01BB" w:rsidRPr="001B70B5">
        <w:rPr>
          <w:rFonts w:ascii="Arial" w:hAnsi="Arial" w:cs="Arial"/>
          <w:sz w:val="22"/>
          <w:szCs w:val="22"/>
          <w:lang w:val="en-GB"/>
        </w:rPr>
        <w:t>under secured</w:t>
      </w:r>
      <w:r w:rsidRPr="001B70B5">
        <w:rPr>
          <w:rFonts w:ascii="Arial" w:hAnsi="Arial" w:cs="Arial"/>
          <w:sz w:val="22"/>
          <w:szCs w:val="22"/>
          <w:lang w:val="en-GB"/>
        </w:rPr>
        <w:t>, separately or in the aggregate with all other petitioning creditors’ claims in the amount of at least USD 16,750</w:t>
      </w:r>
      <w:r w:rsidR="00DD18A8">
        <w:rPr>
          <w:rFonts w:ascii="Arial" w:hAnsi="Arial" w:cs="Arial"/>
          <w:sz w:val="22"/>
          <w:szCs w:val="22"/>
          <w:lang w:val="en-GB"/>
        </w:rPr>
        <w:t xml:space="preserve"> (this amount is periodically increased due to inflation)</w:t>
      </w:r>
      <w:r w:rsidRPr="001B70B5">
        <w:rPr>
          <w:rFonts w:ascii="Arial" w:hAnsi="Arial" w:cs="Arial"/>
          <w:sz w:val="22"/>
          <w:szCs w:val="22"/>
          <w:lang w:val="en-GB"/>
        </w:rPr>
        <w:t xml:space="preserve">. </w:t>
      </w:r>
    </w:p>
    <w:p w14:paraId="3B171A34" w14:textId="77777777" w:rsidR="000A45A9" w:rsidRDefault="000A45A9" w:rsidP="000A45A9">
      <w:pPr>
        <w:pStyle w:val="ListParagraph"/>
        <w:ind w:left="1440"/>
        <w:jc w:val="both"/>
        <w:rPr>
          <w:rFonts w:ascii="Arial" w:hAnsi="Arial" w:cs="Arial"/>
          <w:sz w:val="22"/>
          <w:szCs w:val="22"/>
          <w:lang w:val="en-GB"/>
        </w:rPr>
      </w:pPr>
    </w:p>
    <w:p w14:paraId="17D4EC31" w14:textId="7854B5AA" w:rsidR="000A45A9" w:rsidRPr="001B70B5" w:rsidRDefault="000A45A9" w:rsidP="000A45A9">
      <w:pPr>
        <w:pStyle w:val="ListParagraph"/>
        <w:numPr>
          <w:ilvl w:val="0"/>
          <w:numId w:val="36"/>
        </w:numPr>
        <w:jc w:val="both"/>
        <w:rPr>
          <w:rFonts w:ascii="Arial" w:hAnsi="Arial" w:cs="Arial"/>
          <w:sz w:val="22"/>
          <w:szCs w:val="22"/>
          <w:lang w:val="en-GB"/>
        </w:rPr>
      </w:pPr>
      <w:r>
        <w:rPr>
          <w:rFonts w:ascii="Arial" w:hAnsi="Arial" w:cs="Arial"/>
          <w:sz w:val="22"/>
          <w:szCs w:val="22"/>
          <w:lang w:val="en-GB"/>
        </w:rPr>
        <w:t xml:space="preserve">The petitioner must also allege that the debtor is generally not paying its debts as the become due or that within 120 days before filing of the petition, a custodian (other than a trustee, receiver, or an agent appointed or authorised to take charge of less than substantially all of the property of the debtor for the purpose of enforcing a lien against such property) was appointed or took possession. </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7A0FE296" w:rsidR="00F03051" w:rsidRPr="00FC5307" w:rsidRDefault="00500CB7" w:rsidP="00F03051">
      <w:pPr>
        <w:jc w:val="both"/>
        <w:rPr>
          <w:rFonts w:ascii="Arial" w:hAnsi="Arial" w:cs="Arial"/>
          <w:sz w:val="22"/>
          <w:szCs w:val="22"/>
          <w:lang w:val="en-GB"/>
        </w:rPr>
      </w:pPr>
      <w:r w:rsidRPr="00FC5307">
        <w:rPr>
          <w:rFonts w:ascii="Arial" w:hAnsi="Arial" w:cs="Arial"/>
          <w:sz w:val="22"/>
          <w:szCs w:val="22"/>
          <w:lang w:val="en-GB"/>
        </w:rPr>
        <w:t>When a Chapter 11 petition is filed, a worldwide automatic stay comes into effect. These are the effects the stay would have on the aforementioned factors:</w:t>
      </w:r>
    </w:p>
    <w:p w14:paraId="4E748436" w14:textId="5F889D80" w:rsidR="00500CB7" w:rsidRPr="00FC5307" w:rsidRDefault="00500CB7" w:rsidP="00500CB7">
      <w:pPr>
        <w:pStyle w:val="ListParagraph"/>
        <w:numPr>
          <w:ilvl w:val="0"/>
          <w:numId w:val="37"/>
        </w:numPr>
        <w:jc w:val="both"/>
        <w:rPr>
          <w:rFonts w:ascii="Arial" w:hAnsi="Arial" w:cs="Arial"/>
          <w:sz w:val="22"/>
          <w:szCs w:val="22"/>
          <w:lang w:val="en-GB"/>
        </w:rPr>
      </w:pPr>
      <w:r w:rsidRPr="00801F9B">
        <w:rPr>
          <w:rFonts w:ascii="Arial" w:hAnsi="Arial" w:cs="Arial"/>
          <w:b/>
          <w:bCs/>
          <w:sz w:val="22"/>
          <w:szCs w:val="22"/>
          <w:u w:val="single"/>
          <w:lang w:val="en-GB"/>
        </w:rPr>
        <w:t>DOJ Investigation</w:t>
      </w:r>
      <w:r w:rsidR="00BA005F" w:rsidRPr="00801F9B">
        <w:rPr>
          <w:rFonts w:ascii="Arial" w:hAnsi="Arial" w:cs="Arial"/>
          <w:b/>
          <w:bCs/>
          <w:sz w:val="22"/>
          <w:szCs w:val="22"/>
          <w:u w:val="single"/>
          <w:lang w:val="en-GB"/>
        </w:rPr>
        <w:t>:</w:t>
      </w:r>
      <w:r w:rsidR="00BA005F">
        <w:rPr>
          <w:rFonts w:ascii="Arial" w:hAnsi="Arial" w:cs="Arial"/>
          <w:sz w:val="22"/>
          <w:szCs w:val="22"/>
          <w:lang w:val="en-GB"/>
        </w:rPr>
        <w:t xml:space="preserve"> The Chapter 11 petition has no effect. Exceptions to the stay cover criminal proceedings and regulatory investigations. </w:t>
      </w:r>
    </w:p>
    <w:p w14:paraId="74E02C88" w14:textId="284651C8" w:rsidR="00500CB7" w:rsidRPr="00FC5307" w:rsidRDefault="00500CB7" w:rsidP="00500CB7">
      <w:pPr>
        <w:pStyle w:val="ListParagraph"/>
        <w:numPr>
          <w:ilvl w:val="0"/>
          <w:numId w:val="37"/>
        </w:numPr>
        <w:jc w:val="both"/>
        <w:rPr>
          <w:rFonts w:ascii="Arial" w:hAnsi="Arial" w:cs="Arial"/>
          <w:sz w:val="22"/>
          <w:szCs w:val="22"/>
          <w:lang w:val="en-GB"/>
        </w:rPr>
      </w:pPr>
      <w:r w:rsidRPr="00FC5307">
        <w:rPr>
          <w:rFonts w:ascii="Arial" w:hAnsi="Arial" w:cs="Arial"/>
          <w:b/>
          <w:bCs/>
          <w:sz w:val="22"/>
          <w:szCs w:val="22"/>
          <w:u w:val="single"/>
          <w:lang w:val="en-GB"/>
        </w:rPr>
        <w:t>Margin loan default</w:t>
      </w:r>
      <w:r w:rsidR="006D7401" w:rsidRPr="00FC5307">
        <w:rPr>
          <w:rFonts w:ascii="Arial" w:hAnsi="Arial" w:cs="Arial"/>
          <w:b/>
          <w:bCs/>
          <w:sz w:val="22"/>
          <w:szCs w:val="22"/>
          <w:u w:val="single"/>
          <w:lang w:val="en-GB"/>
        </w:rPr>
        <w:t>:</w:t>
      </w:r>
      <w:r w:rsidR="006D7401" w:rsidRPr="00FC5307">
        <w:rPr>
          <w:rFonts w:ascii="Arial" w:hAnsi="Arial" w:cs="Arial"/>
          <w:sz w:val="22"/>
          <w:szCs w:val="22"/>
          <w:lang w:val="en-GB"/>
        </w:rPr>
        <w:t xml:space="preserve"> The broker cannot seize control of the Speculation Inc shares which have been used as collateral. The Bankruptcy Code prohibits any act to obtain possession or control of property of the estate. </w:t>
      </w:r>
    </w:p>
    <w:p w14:paraId="08EB7E96" w14:textId="6D569FF6" w:rsidR="00500CB7" w:rsidRPr="00FC5307" w:rsidRDefault="00500CB7" w:rsidP="00500CB7">
      <w:pPr>
        <w:pStyle w:val="ListParagraph"/>
        <w:numPr>
          <w:ilvl w:val="0"/>
          <w:numId w:val="37"/>
        </w:numPr>
        <w:jc w:val="both"/>
        <w:rPr>
          <w:rFonts w:ascii="Arial" w:hAnsi="Arial" w:cs="Arial"/>
          <w:sz w:val="22"/>
          <w:szCs w:val="22"/>
          <w:lang w:val="en-GB"/>
        </w:rPr>
      </w:pPr>
      <w:r w:rsidRPr="00FC5307">
        <w:rPr>
          <w:rFonts w:ascii="Arial" w:hAnsi="Arial" w:cs="Arial"/>
          <w:b/>
          <w:bCs/>
          <w:sz w:val="22"/>
          <w:szCs w:val="22"/>
          <w:u w:val="single"/>
          <w:lang w:val="en-GB"/>
        </w:rPr>
        <w:t>Delinquent Lease</w:t>
      </w:r>
      <w:r w:rsidR="0074582A" w:rsidRPr="00FC5307">
        <w:rPr>
          <w:rFonts w:ascii="Arial" w:hAnsi="Arial" w:cs="Arial"/>
          <w:b/>
          <w:bCs/>
          <w:sz w:val="22"/>
          <w:szCs w:val="22"/>
          <w:u w:val="single"/>
          <w:lang w:val="en-GB"/>
        </w:rPr>
        <w:t>:</w:t>
      </w:r>
      <w:r w:rsidR="0074582A" w:rsidRPr="00FC5307">
        <w:rPr>
          <w:rFonts w:ascii="Arial" w:hAnsi="Arial" w:cs="Arial"/>
          <w:sz w:val="22"/>
          <w:szCs w:val="22"/>
          <w:lang w:val="en-GB"/>
        </w:rPr>
        <w:t xml:space="preserve"> The Bankruptcy Code prohibits any attempts to collect on rent owed pre-petition (including through letters of demand or calls). </w:t>
      </w:r>
    </w:p>
    <w:p w14:paraId="7D4EAEFC" w14:textId="4C94D2CB" w:rsidR="00500CB7" w:rsidRPr="00FC5307" w:rsidRDefault="00500CB7" w:rsidP="00500CB7">
      <w:pPr>
        <w:pStyle w:val="ListParagraph"/>
        <w:numPr>
          <w:ilvl w:val="0"/>
          <w:numId w:val="37"/>
        </w:numPr>
        <w:jc w:val="both"/>
        <w:rPr>
          <w:rFonts w:ascii="Arial" w:hAnsi="Arial" w:cs="Arial"/>
          <w:sz w:val="22"/>
          <w:szCs w:val="22"/>
          <w:lang w:val="en-GB"/>
        </w:rPr>
      </w:pPr>
      <w:r w:rsidRPr="00FC5307">
        <w:rPr>
          <w:rFonts w:ascii="Arial" w:hAnsi="Arial" w:cs="Arial"/>
          <w:b/>
          <w:bCs/>
          <w:sz w:val="22"/>
          <w:szCs w:val="22"/>
          <w:u w:val="single"/>
          <w:lang w:val="en-GB"/>
        </w:rPr>
        <w:t>Employment discrimination lawsuit:</w:t>
      </w:r>
      <w:r w:rsidRPr="00FC5307">
        <w:rPr>
          <w:rFonts w:ascii="Arial" w:hAnsi="Arial" w:cs="Arial"/>
          <w:sz w:val="22"/>
          <w:szCs w:val="22"/>
          <w:lang w:val="en-GB"/>
        </w:rPr>
        <w:t xml:space="preserve"> This will be stayed. The Bankruptcy Code prohibits litigation on pre-petition claims. </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w:t>
      </w:r>
      <w:r w:rsidRPr="00E01803">
        <w:rPr>
          <w:rFonts w:ascii="Avenir Next" w:hAnsi="Avenir Next"/>
        </w:rPr>
        <w:lastRenderedPageBreak/>
        <w:t xml:space="preserve">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4A52FD6D" w14:textId="77777777" w:rsidR="00CA6CE8" w:rsidRPr="007B7A7F" w:rsidRDefault="003E39AE" w:rsidP="00F03051">
      <w:pPr>
        <w:jc w:val="both"/>
        <w:rPr>
          <w:rFonts w:ascii="Arial" w:hAnsi="Arial" w:cs="Arial"/>
          <w:sz w:val="22"/>
          <w:szCs w:val="22"/>
          <w:lang w:val="en-GB"/>
        </w:rPr>
      </w:pPr>
      <w:r w:rsidRPr="007B7A7F">
        <w:rPr>
          <w:rFonts w:ascii="Arial" w:hAnsi="Arial" w:cs="Arial"/>
          <w:sz w:val="22"/>
          <w:szCs w:val="22"/>
          <w:lang w:val="en-GB"/>
        </w:rPr>
        <w:t xml:space="preserve">I think that the English scheme of arrangement could be recognised by a US bankruptcy court under Chapter 15. </w:t>
      </w:r>
      <w:r w:rsidR="00CA6CE8" w:rsidRPr="007B7A7F">
        <w:rPr>
          <w:rFonts w:ascii="Arial" w:hAnsi="Arial" w:cs="Arial"/>
          <w:sz w:val="22"/>
          <w:szCs w:val="22"/>
          <w:lang w:val="en-GB"/>
        </w:rPr>
        <w:t xml:space="preserve">Recognition requirements are minimal – all that must be shown is that there is a foreign court or administrative proceeding with respect to the debtor that is pending and that the foreign representative is empowered to act by the proceeding. </w:t>
      </w:r>
    </w:p>
    <w:p w14:paraId="2C3CCB3C" w14:textId="1B379BEF" w:rsidR="00F03051" w:rsidRPr="007B7A7F" w:rsidRDefault="00CA6CE8" w:rsidP="00F03051">
      <w:pPr>
        <w:jc w:val="both"/>
        <w:rPr>
          <w:rFonts w:ascii="Arial" w:hAnsi="Arial" w:cs="Arial"/>
          <w:sz w:val="22"/>
          <w:szCs w:val="22"/>
          <w:lang w:val="en-GB"/>
        </w:rPr>
      </w:pPr>
      <w:r w:rsidRPr="007B7A7F">
        <w:rPr>
          <w:rFonts w:ascii="Arial" w:hAnsi="Arial" w:cs="Arial"/>
          <w:sz w:val="22"/>
          <w:szCs w:val="22"/>
          <w:lang w:val="en-GB"/>
        </w:rPr>
        <w:t>In this case, any s</w:t>
      </w:r>
      <w:r w:rsidR="003E39AE" w:rsidRPr="007B7A7F">
        <w:rPr>
          <w:rFonts w:ascii="Arial" w:hAnsi="Arial" w:cs="Arial"/>
          <w:sz w:val="22"/>
          <w:szCs w:val="22"/>
          <w:lang w:val="en-GB"/>
        </w:rPr>
        <w:t xml:space="preserve">uch recognition would be as a foreign non-main proceeding. </w:t>
      </w:r>
      <w:r w:rsidRPr="007B7A7F">
        <w:rPr>
          <w:rFonts w:ascii="Arial" w:hAnsi="Arial" w:cs="Arial"/>
          <w:sz w:val="22"/>
          <w:szCs w:val="22"/>
          <w:lang w:val="en-GB"/>
        </w:rPr>
        <w:t xml:space="preserve">I proceed on the assumption that there is no attempt to shift Stella’s COMI from the time court proceedings are commenced in the UK to sanction the scheme of arrangement proceedings, and the commencement of recognition proceedings in the US. </w:t>
      </w:r>
    </w:p>
    <w:p w14:paraId="3F65DEEA" w14:textId="43F341B4" w:rsidR="00AC60F0" w:rsidRPr="007B7A7F" w:rsidRDefault="00AC60F0" w:rsidP="00F03051">
      <w:pPr>
        <w:jc w:val="both"/>
        <w:rPr>
          <w:rFonts w:ascii="Arial" w:hAnsi="Arial" w:cs="Arial"/>
          <w:sz w:val="22"/>
          <w:szCs w:val="22"/>
          <w:lang w:val="en-GB"/>
        </w:rPr>
      </w:pPr>
      <w:r w:rsidRPr="007B7A7F">
        <w:rPr>
          <w:rFonts w:ascii="Arial" w:hAnsi="Arial" w:cs="Arial"/>
          <w:sz w:val="22"/>
          <w:szCs w:val="22"/>
          <w:lang w:val="en-GB"/>
        </w:rPr>
        <w:t xml:space="preserve">There is a rebuttable presumption that a debtor’s COMI is its place of incorporation. From this, it follows that Stella’s COMI is in France where it has its headquarters. </w:t>
      </w:r>
    </w:p>
    <w:p w14:paraId="662C62BE" w14:textId="71C220CE" w:rsidR="00AC60F0" w:rsidRPr="007B7A7F" w:rsidRDefault="00AC60F0" w:rsidP="00F03051">
      <w:pPr>
        <w:jc w:val="both"/>
        <w:rPr>
          <w:rFonts w:ascii="Arial" w:hAnsi="Arial" w:cs="Arial"/>
          <w:sz w:val="22"/>
          <w:szCs w:val="22"/>
          <w:lang w:val="en-GB"/>
        </w:rPr>
      </w:pPr>
      <w:r w:rsidRPr="007B7A7F">
        <w:rPr>
          <w:rFonts w:ascii="Arial" w:hAnsi="Arial" w:cs="Arial"/>
          <w:sz w:val="22"/>
          <w:szCs w:val="22"/>
          <w:lang w:val="en-GB"/>
        </w:rPr>
        <w:t>Stella only has stores in the UK – if proceedings (</w:t>
      </w:r>
      <w:proofErr w:type="spellStart"/>
      <w:r w:rsidRPr="007B7A7F">
        <w:rPr>
          <w:rFonts w:ascii="Arial" w:hAnsi="Arial" w:cs="Arial"/>
          <w:sz w:val="22"/>
          <w:szCs w:val="22"/>
          <w:lang w:val="en-GB"/>
        </w:rPr>
        <w:t>ie</w:t>
      </w:r>
      <w:proofErr w:type="spellEnd"/>
      <w:r w:rsidRPr="007B7A7F">
        <w:rPr>
          <w:rFonts w:ascii="Arial" w:hAnsi="Arial" w:cs="Arial"/>
          <w:sz w:val="22"/>
          <w:szCs w:val="22"/>
          <w:lang w:val="en-GB"/>
        </w:rPr>
        <w:t xml:space="preserve">, an application to sanction a scheme of arrangement) are taken out in the UK, then those proceedings would be considered as foreign non-main proceedings. Stella only has an establishment in UK (which was a place where Stella carried out non-transitory economic activity through the sale of goods in its shops in the UK). </w:t>
      </w:r>
    </w:p>
    <w:p w14:paraId="418B1BD4" w14:textId="582C9DD5" w:rsidR="00CA6CE8" w:rsidRPr="005D1F85" w:rsidRDefault="007B7A7F" w:rsidP="00F03051">
      <w:pPr>
        <w:jc w:val="both"/>
        <w:rPr>
          <w:rFonts w:ascii="Arial" w:hAnsi="Arial" w:cs="Arial"/>
          <w:sz w:val="22"/>
          <w:szCs w:val="22"/>
          <w:lang w:val="en-GB"/>
        </w:rPr>
      </w:pPr>
      <w:r w:rsidRPr="005D1F85">
        <w:rPr>
          <w:rFonts w:ascii="Arial" w:hAnsi="Arial" w:cs="Arial"/>
          <w:sz w:val="22"/>
          <w:szCs w:val="22"/>
          <w:lang w:val="en-GB"/>
        </w:rPr>
        <w:t xml:space="preserve">This affects the reliefs which may be granted upon recognition of the UK proceedings as foreign non-main proceedings. </w:t>
      </w:r>
      <w:r w:rsidR="005D1F85" w:rsidRPr="005D1F85">
        <w:rPr>
          <w:rFonts w:ascii="Arial" w:hAnsi="Arial" w:cs="Arial"/>
          <w:sz w:val="22"/>
          <w:szCs w:val="22"/>
          <w:lang w:val="en-GB"/>
        </w:rPr>
        <w:t xml:space="preserve">Reliefs such as a stay or avoidance of post-petition transfers will only be granted on a discretionary basis. </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62BCABCC" w:rsidR="00F03051" w:rsidRPr="001351FF" w:rsidRDefault="00201CBD" w:rsidP="00F03051">
      <w:pPr>
        <w:jc w:val="both"/>
        <w:rPr>
          <w:rFonts w:ascii="Arial" w:hAnsi="Arial" w:cs="Arial"/>
          <w:sz w:val="22"/>
          <w:szCs w:val="22"/>
          <w:lang w:val="en-GB"/>
        </w:rPr>
      </w:pPr>
      <w:r w:rsidRPr="001351FF">
        <w:rPr>
          <w:rFonts w:ascii="Arial" w:hAnsi="Arial" w:cs="Arial"/>
          <w:sz w:val="22"/>
          <w:szCs w:val="22"/>
          <w:lang w:val="en-GB"/>
        </w:rPr>
        <w:t xml:space="preserve">An executory contract is one where there are material, unperformed obligations on both sides. </w:t>
      </w:r>
      <w:r w:rsidR="001351FF" w:rsidRPr="001351FF">
        <w:rPr>
          <w:rFonts w:ascii="Arial" w:hAnsi="Arial" w:cs="Arial"/>
          <w:sz w:val="22"/>
          <w:szCs w:val="22"/>
          <w:lang w:val="en-GB"/>
        </w:rPr>
        <w:t xml:space="preserve">The license to manufacture </w:t>
      </w:r>
      <w:proofErr w:type="spellStart"/>
      <w:r w:rsidR="001351FF" w:rsidRPr="001351FF">
        <w:rPr>
          <w:rFonts w:ascii="Arial" w:hAnsi="Arial" w:cs="Arial"/>
          <w:sz w:val="22"/>
          <w:szCs w:val="22"/>
          <w:lang w:val="en-GB"/>
        </w:rPr>
        <w:t>Xblox</w:t>
      </w:r>
      <w:proofErr w:type="spellEnd"/>
      <w:r w:rsidR="001351FF" w:rsidRPr="001351FF">
        <w:rPr>
          <w:rFonts w:ascii="Arial" w:hAnsi="Arial" w:cs="Arial"/>
          <w:sz w:val="22"/>
          <w:szCs w:val="22"/>
          <w:lang w:val="en-GB"/>
        </w:rPr>
        <w:t xml:space="preserve"> is an executory contract – there are material, unperformed obligations on both sides. On </w:t>
      </w:r>
      <w:proofErr w:type="spellStart"/>
      <w:r w:rsidR="001351FF" w:rsidRPr="001351FF">
        <w:rPr>
          <w:rFonts w:ascii="Arial" w:hAnsi="Arial" w:cs="Arial"/>
          <w:sz w:val="22"/>
          <w:szCs w:val="22"/>
          <w:lang w:val="en-GB"/>
        </w:rPr>
        <w:t>Gamemart’s</w:t>
      </w:r>
      <w:proofErr w:type="spellEnd"/>
      <w:r w:rsidR="001351FF" w:rsidRPr="001351FF">
        <w:rPr>
          <w:rFonts w:ascii="Arial" w:hAnsi="Arial" w:cs="Arial"/>
          <w:sz w:val="22"/>
          <w:szCs w:val="22"/>
          <w:lang w:val="en-GB"/>
        </w:rPr>
        <w:t xml:space="preserve"> part, it must pay </w:t>
      </w:r>
      <w:proofErr w:type="spellStart"/>
      <w:r w:rsidR="001351FF" w:rsidRPr="001351FF">
        <w:rPr>
          <w:rFonts w:ascii="Arial" w:hAnsi="Arial" w:cs="Arial"/>
          <w:sz w:val="22"/>
          <w:szCs w:val="22"/>
          <w:lang w:val="en-GB"/>
        </w:rPr>
        <w:t>ToyCo</w:t>
      </w:r>
      <w:proofErr w:type="spellEnd"/>
      <w:r w:rsidR="001351FF" w:rsidRPr="001351FF">
        <w:rPr>
          <w:rFonts w:ascii="Arial" w:hAnsi="Arial" w:cs="Arial"/>
          <w:sz w:val="22"/>
          <w:szCs w:val="22"/>
          <w:lang w:val="en-GB"/>
        </w:rPr>
        <w:t xml:space="preserve"> monthly royalties. On </w:t>
      </w:r>
      <w:proofErr w:type="spellStart"/>
      <w:r w:rsidR="001351FF" w:rsidRPr="001351FF">
        <w:rPr>
          <w:rFonts w:ascii="Arial" w:hAnsi="Arial" w:cs="Arial"/>
          <w:sz w:val="22"/>
          <w:szCs w:val="22"/>
          <w:lang w:val="en-GB"/>
        </w:rPr>
        <w:t>ToyCo’s</w:t>
      </w:r>
      <w:proofErr w:type="spellEnd"/>
      <w:r w:rsidR="001351FF" w:rsidRPr="001351FF">
        <w:rPr>
          <w:rFonts w:ascii="Arial" w:hAnsi="Arial" w:cs="Arial"/>
          <w:sz w:val="22"/>
          <w:szCs w:val="22"/>
          <w:lang w:val="en-GB"/>
        </w:rPr>
        <w:t xml:space="preserve"> part, it must continue to allow </w:t>
      </w:r>
      <w:proofErr w:type="spellStart"/>
      <w:r w:rsidR="001351FF" w:rsidRPr="001351FF">
        <w:rPr>
          <w:rFonts w:ascii="Arial" w:hAnsi="Arial" w:cs="Arial"/>
          <w:sz w:val="22"/>
          <w:szCs w:val="22"/>
          <w:lang w:val="en-GB"/>
        </w:rPr>
        <w:t>Gamemart</w:t>
      </w:r>
      <w:proofErr w:type="spellEnd"/>
      <w:r w:rsidR="001351FF" w:rsidRPr="001351FF">
        <w:rPr>
          <w:rFonts w:ascii="Arial" w:hAnsi="Arial" w:cs="Arial"/>
          <w:sz w:val="22"/>
          <w:szCs w:val="22"/>
          <w:lang w:val="en-GB"/>
        </w:rPr>
        <w:t xml:space="preserve"> to continue to utilise its patents to manufacture the </w:t>
      </w:r>
      <w:proofErr w:type="spellStart"/>
      <w:r w:rsidR="001351FF" w:rsidRPr="001351FF">
        <w:rPr>
          <w:rFonts w:ascii="Arial" w:hAnsi="Arial" w:cs="Arial"/>
          <w:sz w:val="22"/>
          <w:szCs w:val="22"/>
          <w:lang w:val="en-GB"/>
        </w:rPr>
        <w:t>Xblox</w:t>
      </w:r>
      <w:proofErr w:type="spellEnd"/>
      <w:r w:rsidR="001351FF" w:rsidRPr="001351FF">
        <w:rPr>
          <w:rFonts w:ascii="Arial" w:hAnsi="Arial" w:cs="Arial"/>
          <w:sz w:val="22"/>
          <w:szCs w:val="22"/>
          <w:lang w:val="en-GB"/>
        </w:rPr>
        <w:t xml:space="preserve">. </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1D210EBB" w:rsidR="00F03051" w:rsidRPr="00150C09" w:rsidRDefault="00150C09" w:rsidP="00F03051">
      <w:pPr>
        <w:jc w:val="both"/>
        <w:rPr>
          <w:rFonts w:ascii="Arial" w:hAnsi="Arial" w:cs="Arial"/>
          <w:sz w:val="22"/>
          <w:szCs w:val="22"/>
          <w:lang w:val="en-GB"/>
        </w:rPr>
      </w:pPr>
      <w:proofErr w:type="spellStart"/>
      <w:r w:rsidRPr="00150C09">
        <w:rPr>
          <w:rFonts w:ascii="Arial" w:hAnsi="Arial" w:cs="Arial"/>
          <w:sz w:val="22"/>
          <w:szCs w:val="22"/>
          <w:lang w:val="en-GB"/>
        </w:rPr>
        <w:t>GameMart</w:t>
      </w:r>
      <w:proofErr w:type="spellEnd"/>
      <w:r w:rsidRPr="00150C09">
        <w:rPr>
          <w:rFonts w:ascii="Arial" w:hAnsi="Arial" w:cs="Arial"/>
          <w:sz w:val="22"/>
          <w:szCs w:val="22"/>
          <w:lang w:val="en-GB"/>
        </w:rPr>
        <w:t xml:space="preserve"> cannot transfer the </w:t>
      </w:r>
      <w:proofErr w:type="spellStart"/>
      <w:r w:rsidRPr="00150C09">
        <w:rPr>
          <w:rFonts w:ascii="Arial" w:hAnsi="Arial" w:cs="Arial"/>
          <w:sz w:val="22"/>
          <w:szCs w:val="22"/>
          <w:lang w:val="en-GB"/>
        </w:rPr>
        <w:t>Xblox</w:t>
      </w:r>
      <w:proofErr w:type="spellEnd"/>
      <w:r w:rsidRPr="00150C09">
        <w:rPr>
          <w:rFonts w:ascii="Arial" w:hAnsi="Arial" w:cs="Arial"/>
          <w:sz w:val="22"/>
          <w:szCs w:val="22"/>
          <w:lang w:val="en-GB"/>
        </w:rPr>
        <w:t xml:space="preserve"> license as part of the 363 </w:t>
      </w:r>
      <w:proofErr w:type="gramStart"/>
      <w:r w:rsidRPr="00150C09">
        <w:rPr>
          <w:rFonts w:ascii="Arial" w:hAnsi="Arial" w:cs="Arial"/>
          <w:sz w:val="22"/>
          <w:szCs w:val="22"/>
          <w:lang w:val="en-GB"/>
        </w:rPr>
        <w:t>sale</w:t>
      </w:r>
      <w:proofErr w:type="gramEnd"/>
      <w:r w:rsidRPr="00150C09">
        <w:rPr>
          <w:rFonts w:ascii="Arial" w:hAnsi="Arial" w:cs="Arial"/>
          <w:sz w:val="22"/>
          <w:szCs w:val="22"/>
          <w:lang w:val="en-GB"/>
        </w:rPr>
        <w:t xml:space="preserve"> without </w:t>
      </w:r>
      <w:proofErr w:type="spellStart"/>
      <w:r w:rsidRPr="00150C09">
        <w:rPr>
          <w:rFonts w:ascii="Arial" w:hAnsi="Arial" w:cs="Arial"/>
          <w:sz w:val="22"/>
          <w:szCs w:val="22"/>
          <w:lang w:val="en-GB"/>
        </w:rPr>
        <w:t>ToyCo’s</w:t>
      </w:r>
      <w:proofErr w:type="spellEnd"/>
      <w:r w:rsidRPr="00150C09">
        <w:rPr>
          <w:rFonts w:ascii="Arial" w:hAnsi="Arial" w:cs="Arial"/>
          <w:sz w:val="22"/>
          <w:szCs w:val="22"/>
          <w:lang w:val="en-GB"/>
        </w:rPr>
        <w:t xml:space="preserve"> consent. Generally, the Bankruptcy Code abrogates contractual restrictions on assignment so as to allow the debtor to achieve a higher value for its assets than if such provisions were enforced – that said, counter-party consent is required in cases where substantive non-bankruptcy law, such as intellectual property licensing law (pertinently in this case) provides that the counter-party cannot be compelled to accept performance from a transferee. </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lastRenderedPageBreak/>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349C43A6" w:rsidR="00F03051" w:rsidRPr="00150C09" w:rsidRDefault="00150C09" w:rsidP="00F03051">
      <w:pPr>
        <w:jc w:val="both"/>
        <w:rPr>
          <w:rFonts w:ascii="Arial" w:hAnsi="Arial" w:cs="Arial"/>
          <w:sz w:val="22"/>
          <w:szCs w:val="22"/>
          <w:lang w:val="en-GB"/>
        </w:rPr>
      </w:pPr>
      <w:proofErr w:type="spellStart"/>
      <w:r w:rsidRPr="00150C09">
        <w:rPr>
          <w:rFonts w:ascii="Arial" w:hAnsi="Arial" w:cs="Arial"/>
          <w:sz w:val="22"/>
          <w:szCs w:val="22"/>
          <w:lang w:val="en-GB"/>
        </w:rPr>
        <w:t>GameMart</w:t>
      </w:r>
      <w:proofErr w:type="spellEnd"/>
      <w:r w:rsidRPr="00150C09">
        <w:rPr>
          <w:rFonts w:ascii="Arial" w:hAnsi="Arial" w:cs="Arial"/>
          <w:sz w:val="22"/>
          <w:szCs w:val="22"/>
          <w:lang w:val="en-GB"/>
        </w:rPr>
        <w:t xml:space="preserve"> should be able to transfer the factory lease as part of 363 sale without Land Corp’s consent. The Bankruptcy Code abrogates contractual restrictions on assignment. This allows debtors such as </w:t>
      </w:r>
      <w:proofErr w:type="spellStart"/>
      <w:r w:rsidRPr="00150C09">
        <w:rPr>
          <w:rFonts w:ascii="Arial" w:hAnsi="Arial" w:cs="Arial"/>
          <w:sz w:val="22"/>
          <w:szCs w:val="22"/>
          <w:lang w:val="en-GB"/>
        </w:rPr>
        <w:t>GameMart</w:t>
      </w:r>
      <w:proofErr w:type="spellEnd"/>
      <w:r w:rsidRPr="00150C09">
        <w:rPr>
          <w:rFonts w:ascii="Arial" w:hAnsi="Arial" w:cs="Arial"/>
          <w:sz w:val="22"/>
          <w:szCs w:val="22"/>
          <w:lang w:val="en-GB"/>
        </w:rPr>
        <w:t xml:space="preserve"> to achieve a higher value for its assets than if such provisions were enforced. </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AF5B" w14:textId="77777777" w:rsidR="009963D9" w:rsidRDefault="009963D9" w:rsidP="00241B44">
      <w:r>
        <w:separator/>
      </w:r>
    </w:p>
  </w:endnote>
  <w:endnote w:type="continuationSeparator" w:id="0">
    <w:p w14:paraId="0C832E18" w14:textId="77777777" w:rsidR="009963D9" w:rsidRDefault="009963D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19872026" w:rsidR="00241FA3" w:rsidRPr="00494B81" w:rsidRDefault="005E01BB" w:rsidP="009B4976">
    <w:pPr>
      <w:pStyle w:val="Footer"/>
      <w:ind w:right="360"/>
      <w:rPr>
        <w:rFonts w:ascii="Avenir Next" w:hAnsi="Avenir Next" w:cs="Arial"/>
        <w:sz w:val="22"/>
        <w:szCs w:val="22"/>
        <w:lang w:val="en-GB"/>
      </w:rPr>
    </w:pPr>
    <w:r w:rsidRPr="009A552D">
      <w:rPr>
        <w:rFonts w:ascii="Avenir Next" w:hAnsi="Avenir Next" w:cs="Arial"/>
        <w:sz w:val="22"/>
        <w:szCs w:val="22"/>
      </w:rPr>
      <w:t>202223-993</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C11D" w14:textId="77777777" w:rsidR="009963D9" w:rsidRDefault="009963D9" w:rsidP="00241B44">
      <w:r>
        <w:separator/>
      </w:r>
    </w:p>
  </w:footnote>
  <w:footnote w:type="continuationSeparator" w:id="0">
    <w:p w14:paraId="7D2D8D5D" w14:textId="77777777" w:rsidR="009963D9" w:rsidRDefault="009963D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769DC"/>
    <w:multiLevelType w:val="hybridMultilevel"/>
    <w:tmpl w:val="14960BFE"/>
    <w:lvl w:ilvl="0" w:tplc="CCE403CC">
      <w:start w:val="1"/>
      <w:numFmt w:val="bullet"/>
      <w:lvlText w:val=""/>
      <w:lvlJc w:val="left"/>
      <w:pPr>
        <w:ind w:left="720" w:hanging="360"/>
      </w:pPr>
      <w:rPr>
        <w:rFonts w:ascii="Wingdings" w:eastAsia="Times New Roman" w:hAnsi="Wingdings"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56404"/>
    <w:multiLevelType w:val="hybridMultilevel"/>
    <w:tmpl w:val="D78252E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981359"/>
    <w:multiLevelType w:val="hybridMultilevel"/>
    <w:tmpl w:val="EA543F4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B30BDE"/>
    <w:multiLevelType w:val="hybridMultilevel"/>
    <w:tmpl w:val="8324988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8650B"/>
    <w:multiLevelType w:val="hybridMultilevel"/>
    <w:tmpl w:val="052E2D8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2E04DE"/>
    <w:multiLevelType w:val="hybridMultilevel"/>
    <w:tmpl w:val="CADE1E92"/>
    <w:lvl w:ilvl="0" w:tplc="276CA4D4">
      <w:start w:val="1"/>
      <w:numFmt w:val="bullet"/>
      <w:lvlText w:val=""/>
      <w:lvlJc w:val="left"/>
      <w:pPr>
        <w:ind w:left="720" w:hanging="360"/>
      </w:pPr>
      <w:rPr>
        <w:rFonts w:ascii="Wingdings" w:eastAsia="Times New Roman" w:hAnsi="Wingdings"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8059184">
    <w:abstractNumId w:val="25"/>
  </w:num>
  <w:num w:numId="2" w16cid:durableId="1226448244">
    <w:abstractNumId w:val="30"/>
  </w:num>
  <w:num w:numId="3" w16cid:durableId="1883666968">
    <w:abstractNumId w:val="5"/>
  </w:num>
  <w:num w:numId="4" w16cid:durableId="1285892565">
    <w:abstractNumId w:val="10"/>
  </w:num>
  <w:num w:numId="5" w16cid:durableId="1917861162">
    <w:abstractNumId w:val="13"/>
  </w:num>
  <w:num w:numId="6" w16cid:durableId="1225868338">
    <w:abstractNumId w:val="33"/>
  </w:num>
  <w:num w:numId="7" w16cid:durableId="1370492673">
    <w:abstractNumId w:val="7"/>
  </w:num>
  <w:num w:numId="8" w16cid:durableId="342056090">
    <w:abstractNumId w:val="35"/>
  </w:num>
  <w:num w:numId="9" w16cid:durableId="1696155475">
    <w:abstractNumId w:val="14"/>
  </w:num>
  <w:num w:numId="10" w16cid:durableId="310135906">
    <w:abstractNumId w:val="28"/>
  </w:num>
  <w:num w:numId="11" w16cid:durableId="1261720232">
    <w:abstractNumId w:val="17"/>
  </w:num>
  <w:num w:numId="12" w16cid:durableId="913852342">
    <w:abstractNumId w:val="24"/>
  </w:num>
  <w:num w:numId="13" w16cid:durableId="577908011">
    <w:abstractNumId w:val="0"/>
  </w:num>
  <w:num w:numId="14" w16cid:durableId="1702247099">
    <w:abstractNumId w:val="12"/>
  </w:num>
  <w:num w:numId="15" w16cid:durableId="2002615097">
    <w:abstractNumId w:val="20"/>
  </w:num>
  <w:num w:numId="16" w16cid:durableId="23795929">
    <w:abstractNumId w:val="9"/>
  </w:num>
  <w:num w:numId="17" w16cid:durableId="1118337931">
    <w:abstractNumId w:val="4"/>
  </w:num>
  <w:num w:numId="18" w16cid:durableId="860357402">
    <w:abstractNumId w:val="3"/>
  </w:num>
  <w:num w:numId="19" w16cid:durableId="730495474">
    <w:abstractNumId w:val="31"/>
  </w:num>
  <w:num w:numId="20" w16cid:durableId="1601067278">
    <w:abstractNumId w:val="8"/>
  </w:num>
  <w:num w:numId="21" w16cid:durableId="681594259">
    <w:abstractNumId w:val="27"/>
  </w:num>
  <w:num w:numId="22" w16cid:durableId="489491965">
    <w:abstractNumId w:val="36"/>
  </w:num>
  <w:num w:numId="23" w16cid:durableId="1870951205">
    <w:abstractNumId w:val="15"/>
  </w:num>
  <w:num w:numId="24" w16cid:durableId="2058967864">
    <w:abstractNumId w:val="32"/>
  </w:num>
  <w:num w:numId="25" w16cid:durableId="2107070567">
    <w:abstractNumId w:val="21"/>
  </w:num>
  <w:num w:numId="26" w16cid:durableId="460266380">
    <w:abstractNumId w:val="22"/>
  </w:num>
  <w:num w:numId="27" w16cid:durableId="1171867598">
    <w:abstractNumId w:val="18"/>
  </w:num>
  <w:num w:numId="28" w16cid:durableId="1848907131">
    <w:abstractNumId w:val="34"/>
  </w:num>
  <w:num w:numId="29" w16cid:durableId="348914703">
    <w:abstractNumId w:val="2"/>
  </w:num>
  <w:num w:numId="30" w16cid:durableId="1525510261">
    <w:abstractNumId w:val="19"/>
  </w:num>
  <w:num w:numId="31" w16cid:durableId="1921789184">
    <w:abstractNumId w:val="23"/>
  </w:num>
  <w:num w:numId="32" w16cid:durableId="120147761">
    <w:abstractNumId w:val="16"/>
  </w:num>
  <w:num w:numId="33" w16cid:durableId="370032343">
    <w:abstractNumId w:val="26"/>
  </w:num>
  <w:num w:numId="34" w16cid:durableId="103572942">
    <w:abstractNumId w:val="6"/>
  </w:num>
  <w:num w:numId="35" w16cid:durableId="776096192">
    <w:abstractNumId w:val="29"/>
  </w:num>
  <w:num w:numId="36" w16cid:durableId="903176861">
    <w:abstractNumId w:val="11"/>
  </w:num>
  <w:num w:numId="37" w16cid:durableId="17879185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45A9"/>
    <w:rsid w:val="000A636A"/>
    <w:rsid w:val="000A68ED"/>
    <w:rsid w:val="000A7A3D"/>
    <w:rsid w:val="000B547B"/>
    <w:rsid w:val="000B5FF1"/>
    <w:rsid w:val="000B609F"/>
    <w:rsid w:val="000C4C5B"/>
    <w:rsid w:val="000D55A8"/>
    <w:rsid w:val="000E4841"/>
    <w:rsid w:val="000F1677"/>
    <w:rsid w:val="000F3D6C"/>
    <w:rsid w:val="000F7FC2"/>
    <w:rsid w:val="00101707"/>
    <w:rsid w:val="00101C66"/>
    <w:rsid w:val="00102CC9"/>
    <w:rsid w:val="0011473D"/>
    <w:rsid w:val="00115C85"/>
    <w:rsid w:val="0012224B"/>
    <w:rsid w:val="00123855"/>
    <w:rsid w:val="00126A4D"/>
    <w:rsid w:val="001351FF"/>
    <w:rsid w:val="0014171F"/>
    <w:rsid w:val="0014622C"/>
    <w:rsid w:val="00150C09"/>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4932"/>
    <w:rsid w:val="001B5016"/>
    <w:rsid w:val="001B70B5"/>
    <w:rsid w:val="001C45FC"/>
    <w:rsid w:val="001D0469"/>
    <w:rsid w:val="001D4862"/>
    <w:rsid w:val="001E25B9"/>
    <w:rsid w:val="001E49E0"/>
    <w:rsid w:val="001E79B8"/>
    <w:rsid w:val="001E7B5A"/>
    <w:rsid w:val="001F3A04"/>
    <w:rsid w:val="001F7412"/>
    <w:rsid w:val="0020039B"/>
    <w:rsid w:val="00201CBD"/>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9E8"/>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453F6"/>
    <w:rsid w:val="003502EB"/>
    <w:rsid w:val="00361A0A"/>
    <w:rsid w:val="00364836"/>
    <w:rsid w:val="00365114"/>
    <w:rsid w:val="0036565C"/>
    <w:rsid w:val="0036625E"/>
    <w:rsid w:val="0037465A"/>
    <w:rsid w:val="00382C98"/>
    <w:rsid w:val="0038411A"/>
    <w:rsid w:val="0038533C"/>
    <w:rsid w:val="00386568"/>
    <w:rsid w:val="00390B57"/>
    <w:rsid w:val="003948D5"/>
    <w:rsid w:val="00396821"/>
    <w:rsid w:val="00397A7B"/>
    <w:rsid w:val="00397D3A"/>
    <w:rsid w:val="003A051E"/>
    <w:rsid w:val="003A5537"/>
    <w:rsid w:val="003A75F4"/>
    <w:rsid w:val="003B170F"/>
    <w:rsid w:val="003B3C5F"/>
    <w:rsid w:val="003B7184"/>
    <w:rsid w:val="003C3388"/>
    <w:rsid w:val="003C4471"/>
    <w:rsid w:val="003C53FE"/>
    <w:rsid w:val="003D0A6D"/>
    <w:rsid w:val="003E0B16"/>
    <w:rsid w:val="003E39AE"/>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56F61"/>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1937"/>
    <w:rsid w:val="004F49B5"/>
    <w:rsid w:val="004F5FDF"/>
    <w:rsid w:val="004F7B99"/>
    <w:rsid w:val="00500CB7"/>
    <w:rsid w:val="00513A70"/>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3BD"/>
    <w:rsid w:val="005A6FF2"/>
    <w:rsid w:val="005A726D"/>
    <w:rsid w:val="005B3420"/>
    <w:rsid w:val="005B67AC"/>
    <w:rsid w:val="005B79F4"/>
    <w:rsid w:val="005D1293"/>
    <w:rsid w:val="005D1F85"/>
    <w:rsid w:val="005D43E0"/>
    <w:rsid w:val="005D58A3"/>
    <w:rsid w:val="005D6642"/>
    <w:rsid w:val="005E01BB"/>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B7092"/>
    <w:rsid w:val="006C65F4"/>
    <w:rsid w:val="006D6BD5"/>
    <w:rsid w:val="006D7401"/>
    <w:rsid w:val="006E481A"/>
    <w:rsid w:val="006E5298"/>
    <w:rsid w:val="006F4A78"/>
    <w:rsid w:val="006F734A"/>
    <w:rsid w:val="00700D83"/>
    <w:rsid w:val="00704852"/>
    <w:rsid w:val="007074E9"/>
    <w:rsid w:val="00711285"/>
    <w:rsid w:val="00713DA4"/>
    <w:rsid w:val="00714BF1"/>
    <w:rsid w:val="00717C2C"/>
    <w:rsid w:val="00721383"/>
    <w:rsid w:val="0073158B"/>
    <w:rsid w:val="007333CC"/>
    <w:rsid w:val="0073399A"/>
    <w:rsid w:val="0074582A"/>
    <w:rsid w:val="007603F5"/>
    <w:rsid w:val="00764DB0"/>
    <w:rsid w:val="0076764D"/>
    <w:rsid w:val="0077498C"/>
    <w:rsid w:val="00777C53"/>
    <w:rsid w:val="007809BC"/>
    <w:rsid w:val="00784128"/>
    <w:rsid w:val="00787BCC"/>
    <w:rsid w:val="00793173"/>
    <w:rsid w:val="007A2A33"/>
    <w:rsid w:val="007A4765"/>
    <w:rsid w:val="007B0809"/>
    <w:rsid w:val="007B5C89"/>
    <w:rsid w:val="007B7A7F"/>
    <w:rsid w:val="007C1FCC"/>
    <w:rsid w:val="007C6201"/>
    <w:rsid w:val="007D0192"/>
    <w:rsid w:val="007D7C92"/>
    <w:rsid w:val="007E1154"/>
    <w:rsid w:val="007E6BA4"/>
    <w:rsid w:val="007F12AB"/>
    <w:rsid w:val="007F41F8"/>
    <w:rsid w:val="007F659B"/>
    <w:rsid w:val="00801F9B"/>
    <w:rsid w:val="0080454E"/>
    <w:rsid w:val="00804C32"/>
    <w:rsid w:val="00805305"/>
    <w:rsid w:val="00806302"/>
    <w:rsid w:val="00807119"/>
    <w:rsid w:val="0082483F"/>
    <w:rsid w:val="008279C0"/>
    <w:rsid w:val="00834F92"/>
    <w:rsid w:val="008723F3"/>
    <w:rsid w:val="008817C4"/>
    <w:rsid w:val="00881DE6"/>
    <w:rsid w:val="00882F0D"/>
    <w:rsid w:val="008837A6"/>
    <w:rsid w:val="0089145D"/>
    <w:rsid w:val="00895EF1"/>
    <w:rsid w:val="008A4DF2"/>
    <w:rsid w:val="008A6CFE"/>
    <w:rsid w:val="008A6D3B"/>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0315"/>
    <w:rsid w:val="00962045"/>
    <w:rsid w:val="00980E61"/>
    <w:rsid w:val="00991428"/>
    <w:rsid w:val="00992676"/>
    <w:rsid w:val="00993DCC"/>
    <w:rsid w:val="009954B2"/>
    <w:rsid w:val="009963D9"/>
    <w:rsid w:val="00996691"/>
    <w:rsid w:val="009A4176"/>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0CE7"/>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1E17"/>
    <w:rsid w:val="00AA7BE3"/>
    <w:rsid w:val="00AB1B65"/>
    <w:rsid w:val="00AB2425"/>
    <w:rsid w:val="00AB685C"/>
    <w:rsid w:val="00AB6C2D"/>
    <w:rsid w:val="00AC08F7"/>
    <w:rsid w:val="00AC3839"/>
    <w:rsid w:val="00AC60F0"/>
    <w:rsid w:val="00AC7082"/>
    <w:rsid w:val="00AD4BE8"/>
    <w:rsid w:val="00AF228E"/>
    <w:rsid w:val="00B016A8"/>
    <w:rsid w:val="00B01E81"/>
    <w:rsid w:val="00B10961"/>
    <w:rsid w:val="00B14819"/>
    <w:rsid w:val="00B15E2F"/>
    <w:rsid w:val="00B17AA9"/>
    <w:rsid w:val="00B27E6E"/>
    <w:rsid w:val="00B44713"/>
    <w:rsid w:val="00B56103"/>
    <w:rsid w:val="00B64929"/>
    <w:rsid w:val="00B736DF"/>
    <w:rsid w:val="00B743D6"/>
    <w:rsid w:val="00B74FBD"/>
    <w:rsid w:val="00B77B19"/>
    <w:rsid w:val="00B77F46"/>
    <w:rsid w:val="00B82586"/>
    <w:rsid w:val="00B829A3"/>
    <w:rsid w:val="00B84100"/>
    <w:rsid w:val="00B86DB1"/>
    <w:rsid w:val="00B87869"/>
    <w:rsid w:val="00B95790"/>
    <w:rsid w:val="00B9639B"/>
    <w:rsid w:val="00BA005F"/>
    <w:rsid w:val="00BB0F2B"/>
    <w:rsid w:val="00BD4A58"/>
    <w:rsid w:val="00BD7337"/>
    <w:rsid w:val="00BE4352"/>
    <w:rsid w:val="00BE4FF3"/>
    <w:rsid w:val="00BF50F7"/>
    <w:rsid w:val="00C02F29"/>
    <w:rsid w:val="00C05A9F"/>
    <w:rsid w:val="00C11941"/>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571F5"/>
    <w:rsid w:val="00C606C3"/>
    <w:rsid w:val="00C620F4"/>
    <w:rsid w:val="00C651D6"/>
    <w:rsid w:val="00C72848"/>
    <w:rsid w:val="00C7736C"/>
    <w:rsid w:val="00C82D87"/>
    <w:rsid w:val="00C8712A"/>
    <w:rsid w:val="00C87E0A"/>
    <w:rsid w:val="00C902C8"/>
    <w:rsid w:val="00C919D1"/>
    <w:rsid w:val="00C963D3"/>
    <w:rsid w:val="00CA6CE8"/>
    <w:rsid w:val="00CB1983"/>
    <w:rsid w:val="00CB2CBB"/>
    <w:rsid w:val="00CB6578"/>
    <w:rsid w:val="00CB7CAC"/>
    <w:rsid w:val="00CC4818"/>
    <w:rsid w:val="00CC5335"/>
    <w:rsid w:val="00CC5BA4"/>
    <w:rsid w:val="00CD4998"/>
    <w:rsid w:val="00CE0ECD"/>
    <w:rsid w:val="00CE1035"/>
    <w:rsid w:val="00CE3418"/>
    <w:rsid w:val="00CE493C"/>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3EFD"/>
    <w:rsid w:val="00D84752"/>
    <w:rsid w:val="00D86B3B"/>
    <w:rsid w:val="00D8748A"/>
    <w:rsid w:val="00D93196"/>
    <w:rsid w:val="00D9565D"/>
    <w:rsid w:val="00D97214"/>
    <w:rsid w:val="00DA0DC0"/>
    <w:rsid w:val="00DA1D45"/>
    <w:rsid w:val="00DA7619"/>
    <w:rsid w:val="00DB243C"/>
    <w:rsid w:val="00DB482A"/>
    <w:rsid w:val="00DB50FB"/>
    <w:rsid w:val="00DB56F2"/>
    <w:rsid w:val="00DB6EF5"/>
    <w:rsid w:val="00DC3089"/>
    <w:rsid w:val="00DC359F"/>
    <w:rsid w:val="00DC4420"/>
    <w:rsid w:val="00DD0802"/>
    <w:rsid w:val="00DD18A8"/>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3101"/>
    <w:rsid w:val="00E77C3D"/>
    <w:rsid w:val="00E90991"/>
    <w:rsid w:val="00E909F0"/>
    <w:rsid w:val="00E90D47"/>
    <w:rsid w:val="00E93993"/>
    <w:rsid w:val="00E9597C"/>
    <w:rsid w:val="00EA0913"/>
    <w:rsid w:val="00EA56B1"/>
    <w:rsid w:val="00EA5B00"/>
    <w:rsid w:val="00EA78AC"/>
    <w:rsid w:val="00EB146B"/>
    <w:rsid w:val="00EB45AC"/>
    <w:rsid w:val="00EC441F"/>
    <w:rsid w:val="00EC4755"/>
    <w:rsid w:val="00ED0BC4"/>
    <w:rsid w:val="00ED447D"/>
    <w:rsid w:val="00ED738F"/>
    <w:rsid w:val="00ED74BC"/>
    <w:rsid w:val="00EE4971"/>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41F5"/>
    <w:rsid w:val="00F84270"/>
    <w:rsid w:val="00F92140"/>
    <w:rsid w:val="00F97C5B"/>
    <w:rsid w:val="00FA3D50"/>
    <w:rsid w:val="00FB7FBD"/>
    <w:rsid w:val="00FC374A"/>
    <w:rsid w:val="00FC43EC"/>
    <w:rsid w:val="00FC5307"/>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E724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11</Pages>
  <Words>4123</Words>
  <Characters>20493</Characters>
  <Application>Microsoft Office Word</Application>
  <DocSecurity>0</DocSecurity>
  <Lines>292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Soh Kian Peng</cp:lastModifiedBy>
  <cp:revision>59</cp:revision>
  <cp:lastPrinted>2019-08-27T05:42:00Z</cp:lastPrinted>
  <dcterms:created xsi:type="dcterms:W3CDTF">2022-07-01T09:50:00Z</dcterms:created>
  <dcterms:modified xsi:type="dcterms:W3CDTF">2023-02-27T13:39:00Z</dcterms:modified>
</cp:coreProperties>
</file>