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2015032" w:rsidR="004B23A2" w:rsidRDefault="0026166E" w:rsidP="00524728">
      <w:pPr>
        <w:jc w:val="center"/>
        <w:rPr>
          <w:rFonts w:ascii="Arial" w:hAnsi="Arial" w:cs="Arial"/>
          <w:b/>
          <w:sz w:val="22"/>
          <w:szCs w:val="22"/>
          <w:lang w:val="en-GB"/>
        </w:rPr>
      </w:pPr>
      <w:r>
        <w:rPr>
          <w:rFonts w:ascii="Arial" w:hAnsi="Arial" w:cs="Arial"/>
          <w:b/>
          <w:sz w:val="22"/>
          <w:szCs w:val="22"/>
          <w:lang w:val="en-GB"/>
        </w:rPr>
        <w:t xml:space="preserve"> </w:t>
      </w:r>
      <w:r w:rsidR="007D0192">
        <w:rPr>
          <w:rFonts w:ascii="Arial" w:hAnsi="Arial" w:cs="Arial"/>
          <w:b/>
          <w:noProof/>
          <w:sz w:val="22"/>
          <w:szCs w:val="22"/>
          <w:lang w:val="en-ZA" w:eastAsia="en-ZA"/>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64013D" w:rsidRDefault="00CE0ECD" w:rsidP="00B77B19">
      <w:pPr>
        <w:pStyle w:val="AODocTxt"/>
        <w:numPr>
          <w:ilvl w:val="0"/>
          <w:numId w:val="14"/>
        </w:numPr>
        <w:spacing w:before="0" w:line="240" w:lineRule="auto"/>
        <w:ind w:left="426"/>
        <w:rPr>
          <w:rFonts w:ascii="Avenir Next" w:hAnsi="Avenir Next"/>
          <w:highlight w:val="yellow"/>
        </w:rPr>
      </w:pPr>
      <w:r w:rsidRPr="0064013D">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64013D">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7E5D3B">
        <w:rPr>
          <w:rFonts w:ascii="Avenir Next" w:hAnsi="Avenir Next"/>
          <w:highlight w:val="yellow"/>
        </w:rPr>
        <w:t>A lease on a manufacturing plant that contains a provision that requires landlord approval of any assignment</w:t>
      </w:r>
      <w:r w:rsidRPr="002C4932">
        <w:rPr>
          <w:rFonts w:ascii="Avenir Next" w:hAnsi="Avenir Next"/>
        </w:rPr>
        <w: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32033" w:rsidRDefault="00CE0ECD" w:rsidP="00A82B32">
      <w:pPr>
        <w:pStyle w:val="AODocTxt"/>
        <w:numPr>
          <w:ilvl w:val="0"/>
          <w:numId w:val="18"/>
        </w:numPr>
        <w:spacing w:before="0" w:line="240" w:lineRule="auto"/>
        <w:ind w:left="426"/>
        <w:rPr>
          <w:rFonts w:ascii="Avenir Next" w:hAnsi="Avenir Next"/>
          <w:highlight w:val="yellow"/>
        </w:rPr>
      </w:pPr>
      <w:r w:rsidRPr="00332033">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B3417" w:rsidRDefault="00CE0ECD" w:rsidP="00E421C6">
      <w:pPr>
        <w:pStyle w:val="AODocTxt"/>
        <w:numPr>
          <w:ilvl w:val="0"/>
          <w:numId w:val="20"/>
        </w:numPr>
        <w:spacing w:before="0" w:line="240" w:lineRule="auto"/>
        <w:ind w:left="426"/>
        <w:rPr>
          <w:rFonts w:ascii="Avenir Next" w:hAnsi="Avenir Next"/>
          <w:highlight w:val="yellow"/>
        </w:rPr>
      </w:pPr>
      <w:r w:rsidRPr="002B341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332033" w:rsidRDefault="00CE0ECD" w:rsidP="00E421C6">
      <w:pPr>
        <w:pStyle w:val="AODocTxt"/>
        <w:numPr>
          <w:ilvl w:val="0"/>
          <w:numId w:val="22"/>
        </w:numPr>
        <w:spacing w:before="0" w:line="240" w:lineRule="auto"/>
        <w:ind w:left="426"/>
        <w:rPr>
          <w:rFonts w:ascii="Avenir Next" w:hAnsi="Avenir Next"/>
          <w:highlight w:val="yellow"/>
        </w:rPr>
      </w:pPr>
      <w:r w:rsidRPr="00332033">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044704" w:rsidRDefault="00CE0ECD" w:rsidP="000346E7">
      <w:pPr>
        <w:pStyle w:val="AODocTxt"/>
        <w:numPr>
          <w:ilvl w:val="0"/>
          <w:numId w:val="24"/>
        </w:numPr>
        <w:spacing w:before="0" w:line="240" w:lineRule="auto"/>
        <w:ind w:left="426"/>
        <w:rPr>
          <w:rFonts w:ascii="Avenir Next" w:hAnsi="Avenir Next"/>
          <w:highlight w:val="yellow"/>
        </w:rPr>
      </w:pPr>
      <w:r w:rsidRPr="00044704">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465C25" w:rsidRDefault="00CE0ECD" w:rsidP="004830F8">
      <w:pPr>
        <w:pStyle w:val="AODocTxt"/>
        <w:numPr>
          <w:ilvl w:val="0"/>
          <w:numId w:val="26"/>
        </w:numPr>
        <w:spacing w:before="0" w:line="240" w:lineRule="auto"/>
        <w:ind w:left="426"/>
        <w:rPr>
          <w:rFonts w:ascii="Avenir Next" w:hAnsi="Avenir Next"/>
          <w:highlight w:val="yellow"/>
        </w:rPr>
      </w:pPr>
      <w:r w:rsidRPr="00465C25">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904692" w:rsidRDefault="00CE0ECD" w:rsidP="004830F8">
      <w:pPr>
        <w:pStyle w:val="AODocTxt"/>
        <w:numPr>
          <w:ilvl w:val="0"/>
          <w:numId w:val="28"/>
        </w:numPr>
        <w:spacing w:before="0" w:line="240" w:lineRule="auto"/>
        <w:ind w:left="426"/>
        <w:rPr>
          <w:rFonts w:ascii="Avenir Next" w:hAnsi="Avenir Next"/>
          <w:highlight w:val="yellow"/>
        </w:rPr>
      </w:pPr>
      <w:r w:rsidRPr="00904692">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BB25CF" w:rsidRDefault="00CE0ECD" w:rsidP="00AA0280">
      <w:pPr>
        <w:pStyle w:val="AODocTxt"/>
        <w:numPr>
          <w:ilvl w:val="0"/>
          <w:numId w:val="30"/>
        </w:numPr>
        <w:spacing w:before="0" w:line="240" w:lineRule="auto"/>
        <w:ind w:left="426"/>
        <w:rPr>
          <w:rFonts w:ascii="Avenir Next" w:hAnsi="Avenir Next"/>
          <w:highlight w:val="yellow"/>
        </w:rPr>
      </w:pPr>
      <w:r w:rsidRPr="00BB25CF">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0797F3F" w:rsid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00138DF3" w14:textId="38BA0942" w:rsidR="00DE316C" w:rsidRDefault="00DE316C" w:rsidP="00AA0280">
      <w:pPr>
        <w:pStyle w:val="AODocTxt"/>
        <w:spacing w:before="0"/>
        <w:rPr>
          <w:rFonts w:ascii="Avenir Next" w:hAnsi="Avenir Next"/>
        </w:rPr>
      </w:pPr>
    </w:p>
    <w:p w14:paraId="5401FF98" w14:textId="43EA1B95" w:rsidR="00DE316C" w:rsidRPr="00DE316C" w:rsidRDefault="00DE316C" w:rsidP="00AA0280">
      <w:pPr>
        <w:pStyle w:val="AODocTxt"/>
        <w:spacing w:before="0"/>
        <w:rPr>
          <w:rFonts w:ascii="Arial" w:hAnsi="Arial" w:cs="Arial"/>
        </w:rPr>
      </w:pPr>
      <w:r>
        <w:rPr>
          <w:rFonts w:ascii="Arial" w:hAnsi="Arial" w:cs="Arial"/>
        </w:rPr>
        <w:t>When a creditor holds a claim against a debtor and simultaneously owes the debtor an obligation, such creditor nets out the obligations. Set-off is not permitted in many circumstances</w:t>
      </w:r>
      <w:r w:rsidR="008676D2">
        <w:rPr>
          <w:rFonts w:ascii="Arial" w:hAnsi="Arial" w:cs="Arial"/>
        </w:rPr>
        <w:t xml:space="preserve"> as it can improve the position of the creditor, in comparison to unsecured creditors</w:t>
      </w:r>
      <w:r w:rsidR="009E1E66">
        <w:rPr>
          <w:rFonts w:ascii="Arial" w:hAnsi="Arial" w:cs="Arial"/>
        </w:rPr>
        <w:t xml:space="preserve"> not owed money by the debtor, as it reduces the obligation to the estate by the full amount owed by the debtor rather than the lesser amount the debtor would pay on the unsecured claim. </w:t>
      </w:r>
      <w:r w:rsidR="008676D2">
        <w:rPr>
          <w:rFonts w:ascii="Arial" w:hAnsi="Arial" w:cs="Arial"/>
        </w:rPr>
        <w:t xml:space="preserve"> </w:t>
      </w:r>
    </w:p>
    <w:p w14:paraId="2E63DF87" w14:textId="77777777" w:rsidR="00AA0280" w:rsidRPr="00AA0280" w:rsidRDefault="00AA0280" w:rsidP="00AA0280">
      <w:pPr>
        <w:pStyle w:val="AODocTxt"/>
        <w:spacing w:before="0"/>
        <w:rPr>
          <w:rFonts w:ascii="Avenir Next" w:hAnsi="Avenir Next"/>
        </w:rPr>
      </w:pPr>
    </w:p>
    <w:p w14:paraId="3E67FBD8" w14:textId="34494DE2" w:rsidR="00E41578" w:rsidRPr="00DE316C" w:rsidRDefault="00E41578" w:rsidP="00E41578">
      <w:pPr>
        <w:jc w:val="both"/>
        <w:rPr>
          <w:rFonts w:ascii="Arial" w:hAnsi="Arial" w:cs="Arial"/>
          <w:color w:val="525252" w:themeColor="accent3" w:themeShade="80"/>
          <w:sz w:val="22"/>
          <w:szCs w:val="22"/>
          <w:lang w:val="en-GB"/>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58B200E9"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3FD9DC3C" w14:textId="23E2D1B9" w:rsidR="00B81719" w:rsidRDefault="00B81719" w:rsidP="00622C36">
      <w:pPr>
        <w:pStyle w:val="AODocTxt"/>
        <w:spacing w:before="0" w:line="240" w:lineRule="auto"/>
        <w:rPr>
          <w:rFonts w:ascii="Avenir Next" w:hAnsi="Avenir Next"/>
        </w:rPr>
      </w:pPr>
    </w:p>
    <w:p w14:paraId="4F947D93" w14:textId="4A77A826" w:rsidR="00B81719" w:rsidRDefault="00B81719" w:rsidP="00622C36">
      <w:pPr>
        <w:pStyle w:val="AODocTxt"/>
        <w:spacing w:before="0" w:line="240" w:lineRule="auto"/>
        <w:rPr>
          <w:rFonts w:ascii="Arial" w:hAnsi="Arial" w:cs="Arial"/>
        </w:rPr>
      </w:pPr>
      <w:r w:rsidRPr="00B81719">
        <w:rPr>
          <w:rFonts w:ascii="Arial" w:hAnsi="Arial" w:cs="Arial"/>
        </w:rPr>
        <w:t xml:space="preserve">The rules one </w:t>
      </w:r>
      <w:r>
        <w:rPr>
          <w:rFonts w:ascii="Arial" w:hAnsi="Arial" w:cs="Arial"/>
        </w:rPr>
        <w:t>should review when preparing a filing for a bankruptcy court include;</w:t>
      </w:r>
    </w:p>
    <w:p w14:paraId="6B7AA4F3" w14:textId="291F4C4C" w:rsidR="00B81719" w:rsidRDefault="00B81719" w:rsidP="00B81719">
      <w:pPr>
        <w:pStyle w:val="AODocTxt"/>
        <w:numPr>
          <w:ilvl w:val="0"/>
          <w:numId w:val="37"/>
        </w:numPr>
        <w:spacing w:before="0" w:line="240" w:lineRule="auto"/>
        <w:rPr>
          <w:rFonts w:ascii="Arial" w:hAnsi="Arial" w:cs="Arial"/>
        </w:rPr>
      </w:pPr>
      <w:r>
        <w:rPr>
          <w:rFonts w:ascii="Arial" w:hAnsi="Arial" w:cs="Arial"/>
        </w:rPr>
        <w:t>Filing schedules such as lists of assets</w:t>
      </w:r>
      <w:r w:rsidR="003F3596">
        <w:rPr>
          <w:rFonts w:ascii="Arial" w:hAnsi="Arial" w:cs="Arial"/>
        </w:rPr>
        <w:t xml:space="preserve"> which includes all property, executory contracts, unexpired leases of real and personal property</w:t>
      </w:r>
      <w:r>
        <w:rPr>
          <w:rFonts w:ascii="Arial" w:hAnsi="Arial" w:cs="Arial"/>
        </w:rPr>
        <w:t xml:space="preserve"> and liabilities,</w:t>
      </w:r>
    </w:p>
    <w:p w14:paraId="45E1A735" w14:textId="549CD857" w:rsidR="00B81719" w:rsidRDefault="00B81719" w:rsidP="00B81719">
      <w:pPr>
        <w:pStyle w:val="AODocTxt"/>
        <w:numPr>
          <w:ilvl w:val="0"/>
          <w:numId w:val="37"/>
        </w:numPr>
        <w:spacing w:before="0" w:line="240" w:lineRule="auto"/>
        <w:rPr>
          <w:rFonts w:ascii="Arial" w:hAnsi="Arial" w:cs="Arial"/>
        </w:rPr>
      </w:pPr>
      <w:r>
        <w:rPr>
          <w:rFonts w:ascii="Arial" w:hAnsi="Arial" w:cs="Arial"/>
        </w:rPr>
        <w:t>List of creditors,</w:t>
      </w:r>
    </w:p>
    <w:p w14:paraId="70390C3F" w14:textId="24372506" w:rsidR="003A5537" w:rsidRPr="003F3596" w:rsidRDefault="003F3596" w:rsidP="009D5530">
      <w:pPr>
        <w:pStyle w:val="AODocTxt"/>
        <w:numPr>
          <w:ilvl w:val="0"/>
          <w:numId w:val="37"/>
        </w:numPr>
        <w:spacing w:before="0" w:line="240" w:lineRule="auto"/>
        <w:rPr>
          <w:rFonts w:ascii="Avenir Next" w:hAnsi="Avenir Next"/>
        </w:rPr>
      </w:pPr>
      <w:r w:rsidRPr="003F3596">
        <w:rPr>
          <w:rFonts w:ascii="Arial" w:hAnsi="Arial" w:cs="Arial"/>
        </w:rPr>
        <w:t>Estimated funds in the debtor’s possession.</w:t>
      </w:r>
    </w:p>
    <w:p w14:paraId="4EC1CD7D" w14:textId="177B8AE3" w:rsidR="00622C36" w:rsidRDefault="00622C36" w:rsidP="00622C36">
      <w:pPr>
        <w:pStyle w:val="AODocTxt"/>
        <w:spacing w:before="0" w:line="240" w:lineRule="auto"/>
        <w:rPr>
          <w:rFonts w:ascii="Avenir Next" w:hAnsi="Avenir Next"/>
        </w:rPr>
      </w:pPr>
    </w:p>
    <w:p w14:paraId="798BEB3F" w14:textId="77777777" w:rsidR="003F3596" w:rsidRDefault="003F359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01206DF2"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54267F28" w14:textId="354D06B5" w:rsidR="005143D6" w:rsidRDefault="005143D6" w:rsidP="00622C36">
      <w:pPr>
        <w:pStyle w:val="AODocTxt"/>
        <w:spacing w:before="0" w:line="240" w:lineRule="auto"/>
        <w:rPr>
          <w:rFonts w:ascii="Avenir Next" w:hAnsi="Avenir Next"/>
        </w:rPr>
      </w:pPr>
    </w:p>
    <w:p w14:paraId="1F704B6B" w14:textId="6EAD1B71" w:rsidR="003A5537" w:rsidRDefault="005143D6" w:rsidP="00622C36">
      <w:pPr>
        <w:pStyle w:val="AODocTxt"/>
        <w:spacing w:before="0" w:line="240" w:lineRule="auto"/>
        <w:rPr>
          <w:rFonts w:ascii="Avenir Next" w:hAnsi="Avenir Next"/>
        </w:rPr>
      </w:pPr>
      <w:r>
        <w:rPr>
          <w:rFonts w:ascii="Arial" w:hAnsi="Arial" w:cs="Arial"/>
        </w:rPr>
        <w:t xml:space="preserve">The rule requires that full payment must be made to each group of claims before the next group receives payment. It can be deviated from under a Chapter 11 plan with the consent of affected creditors. </w:t>
      </w:r>
    </w:p>
    <w:p w14:paraId="1F6078B6" w14:textId="2AF84BFC" w:rsidR="00E41578" w:rsidRPr="00E41578" w:rsidRDefault="00E41578" w:rsidP="00E41578">
      <w:pPr>
        <w:jc w:val="both"/>
        <w:rPr>
          <w:rFonts w:ascii="Avenir Next" w:hAnsi="Avenir Next" w:cs="Arial"/>
          <w:color w:val="7B7B7B" w:themeColor="accent3" w:themeShade="BF"/>
          <w:sz w:val="22"/>
          <w:szCs w:val="22"/>
          <w:lang w:val="en-GB"/>
        </w:rPr>
      </w:pP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8ADC916" w:rsidR="00E01803" w:rsidRDefault="00DE3E6F" w:rsidP="00622C36">
      <w:pPr>
        <w:pStyle w:val="AODocTxt"/>
        <w:spacing w:before="0" w:line="240" w:lineRule="auto"/>
        <w:rPr>
          <w:rFonts w:ascii="Arial" w:hAnsi="Arial" w:cs="Arial"/>
        </w:rPr>
      </w:pPr>
      <w:r>
        <w:rPr>
          <w:rFonts w:ascii="Arial" w:hAnsi="Arial" w:cs="Arial"/>
        </w:rPr>
        <w:t>It is a lien equal or more superior</w:t>
      </w:r>
      <w:r w:rsidR="00E44356">
        <w:rPr>
          <w:rFonts w:ascii="Arial" w:hAnsi="Arial" w:cs="Arial"/>
        </w:rPr>
        <w:t xml:space="preserve"> to other liens over a debtor’s property that existed before the bankruptcy petition. It is used to obtain financing after a bankruptcy petition.</w:t>
      </w:r>
    </w:p>
    <w:p w14:paraId="3E08510C" w14:textId="2D9ACFA3" w:rsidR="00E44356" w:rsidRDefault="00E44356" w:rsidP="00622C36">
      <w:pPr>
        <w:pStyle w:val="AODocTxt"/>
        <w:spacing w:before="0" w:line="240" w:lineRule="auto"/>
        <w:rPr>
          <w:rFonts w:ascii="Arial" w:hAnsi="Arial" w:cs="Arial"/>
        </w:rPr>
      </w:pPr>
    </w:p>
    <w:p w14:paraId="271C7928" w14:textId="03EB9894" w:rsidR="00E44356" w:rsidRPr="00DE3E6F" w:rsidRDefault="00E44356" w:rsidP="00622C36">
      <w:pPr>
        <w:pStyle w:val="AODocTxt"/>
        <w:spacing w:before="0" w:line="240" w:lineRule="auto"/>
        <w:rPr>
          <w:rFonts w:ascii="Arial" w:hAnsi="Arial" w:cs="Arial"/>
        </w:rPr>
      </w:pPr>
      <w:r>
        <w:rPr>
          <w:rFonts w:ascii="Arial" w:hAnsi="Arial" w:cs="Arial"/>
        </w:rPr>
        <w:t>In order to be granted the lien, the debtor must show that the interests of the secured creditor</w:t>
      </w:r>
      <w:r w:rsidR="00C05895">
        <w:rPr>
          <w:rFonts w:ascii="Arial" w:hAnsi="Arial" w:cs="Arial"/>
        </w:rPr>
        <w:t xml:space="preserve"> being primed is adequately protected.</w:t>
      </w:r>
    </w:p>
    <w:p w14:paraId="009F8FB2" w14:textId="66D761AD" w:rsidR="00E41578" w:rsidRPr="00E41578" w:rsidRDefault="00E41578" w:rsidP="00E41578">
      <w:pPr>
        <w:jc w:val="both"/>
        <w:rPr>
          <w:rFonts w:ascii="Avenir Next" w:hAnsi="Avenir Next" w:cs="Arial"/>
          <w:color w:val="7B7B7B" w:themeColor="accent3" w:themeShade="BF"/>
          <w:sz w:val="22"/>
          <w:szCs w:val="22"/>
          <w:lang w:val="en-GB"/>
        </w:rPr>
      </w:pP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34AE7C9"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7BAAF324" w14:textId="2C8E46BD" w:rsidR="00B854AE" w:rsidRDefault="00B854AE" w:rsidP="00622C36">
      <w:pPr>
        <w:pStyle w:val="AODocTxt"/>
        <w:spacing w:before="0" w:line="240" w:lineRule="auto"/>
        <w:rPr>
          <w:rFonts w:ascii="Avenir Next" w:hAnsi="Avenir Next"/>
        </w:rPr>
      </w:pPr>
    </w:p>
    <w:p w14:paraId="1E0FB90C" w14:textId="77777777" w:rsidR="001E291F" w:rsidRDefault="001E291F" w:rsidP="00622C36">
      <w:pPr>
        <w:pStyle w:val="AODocTxt"/>
        <w:spacing w:before="0" w:line="240" w:lineRule="auto"/>
        <w:rPr>
          <w:rFonts w:ascii="Arial" w:hAnsi="Arial" w:cs="Arial"/>
        </w:rPr>
      </w:pPr>
      <w:r>
        <w:rPr>
          <w:rFonts w:ascii="Arial" w:hAnsi="Arial" w:cs="Arial"/>
        </w:rPr>
        <w:t xml:space="preserve">A preference is the act of transferring a debtor’s property during the suspect period to a recipient, the effect of which the recipient receives more than they would have been entitled to under a Chapter 7 liquidation had the transfer not been made. </w:t>
      </w:r>
    </w:p>
    <w:p w14:paraId="0A0000EF" w14:textId="77777777" w:rsidR="001E291F" w:rsidRDefault="001E291F" w:rsidP="00622C36">
      <w:pPr>
        <w:pStyle w:val="AODocTxt"/>
        <w:spacing w:before="0" w:line="240" w:lineRule="auto"/>
        <w:rPr>
          <w:rFonts w:ascii="Arial" w:hAnsi="Arial" w:cs="Arial"/>
        </w:rPr>
      </w:pPr>
    </w:p>
    <w:p w14:paraId="74985A71" w14:textId="77777777" w:rsidR="001E291F" w:rsidRDefault="001E291F" w:rsidP="00622C36">
      <w:pPr>
        <w:pStyle w:val="AODocTxt"/>
        <w:spacing w:before="0" w:line="240" w:lineRule="auto"/>
        <w:rPr>
          <w:rFonts w:ascii="Arial" w:hAnsi="Arial" w:cs="Arial"/>
        </w:rPr>
      </w:pPr>
      <w:r>
        <w:rPr>
          <w:rFonts w:ascii="Arial" w:hAnsi="Arial" w:cs="Arial"/>
        </w:rPr>
        <w:t>The elements of a preference that need to be proved are;</w:t>
      </w:r>
    </w:p>
    <w:p w14:paraId="6796B18F" w14:textId="77777777" w:rsidR="001E291F" w:rsidRDefault="001E291F" w:rsidP="00622C36">
      <w:pPr>
        <w:pStyle w:val="AODocTxt"/>
        <w:spacing w:before="0" w:line="240" w:lineRule="auto"/>
        <w:rPr>
          <w:rFonts w:ascii="Arial" w:hAnsi="Arial" w:cs="Arial"/>
        </w:rPr>
      </w:pPr>
    </w:p>
    <w:p w14:paraId="693C81B2" w14:textId="69F71DE1" w:rsidR="00B854AE" w:rsidRDefault="006D30B0" w:rsidP="001E291F">
      <w:pPr>
        <w:pStyle w:val="AODocTxt"/>
        <w:numPr>
          <w:ilvl w:val="0"/>
          <w:numId w:val="32"/>
        </w:numPr>
        <w:spacing w:before="0" w:line="240" w:lineRule="auto"/>
        <w:rPr>
          <w:rFonts w:ascii="Arial" w:hAnsi="Arial" w:cs="Arial"/>
        </w:rPr>
      </w:pPr>
      <w:r>
        <w:rPr>
          <w:rFonts w:ascii="Arial" w:hAnsi="Arial" w:cs="Arial"/>
        </w:rPr>
        <w:t>A transfer of the interest of the debtor in the property;</w:t>
      </w:r>
    </w:p>
    <w:p w14:paraId="48422FDB" w14:textId="1BB14BCA" w:rsidR="006D30B0" w:rsidRDefault="006D30B0" w:rsidP="001E291F">
      <w:pPr>
        <w:pStyle w:val="AODocTxt"/>
        <w:numPr>
          <w:ilvl w:val="0"/>
          <w:numId w:val="32"/>
        </w:numPr>
        <w:spacing w:before="0" w:line="240" w:lineRule="auto"/>
        <w:rPr>
          <w:rFonts w:ascii="Arial" w:hAnsi="Arial" w:cs="Arial"/>
        </w:rPr>
      </w:pPr>
      <w:r>
        <w:rPr>
          <w:rFonts w:ascii="Arial" w:hAnsi="Arial" w:cs="Arial"/>
        </w:rPr>
        <w:t>For the benefit of a creditor;</w:t>
      </w:r>
    </w:p>
    <w:p w14:paraId="0C480D6E" w14:textId="77777777" w:rsidR="006D30B0" w:rsidRDefault="006D30B0" w:rsidP="001E291F">
      <w:pPr>
        <w:pStyle w:val="AODocTxt"/>
        <w:numPr>
          <w:ilvl w:val="0"/>
          <w:numId w:val="32"/>
        </w:numPr>
        <w:spacing w:before="0" w:line="240" w:lineRule="auto"/>
        <w:rPr>
          <w:rFonts w:ascii="Arial" w:hAnsi="Arial" w:cs="Arial"/>
        </w:rPr>
      </w:pPr>
      <w:r>
        <w:rPr>
          <w:rFonts w:ascii="Arial" w:hAnsi="Arial" w:cs="Arial"/>
        </w:rPr>
        <w:t>For a debt owed by the debtor before the transfer was made;</w:t>
      </w:r>
    </w:p>
    <w:p w14:paraId="02557E3D" w14:textId="77777777" w:rsidR="006D30B0" w:rsidRDefault="006D30B0" w:rsidP="001E291F">
      <w:pPr>
        <w:pStyle w:val="AODocTxt"/>
        <w:numPr>
          <w:ilvl w:val="0"/>
          <w:numId w:val="32"/>
        </w:numPr>
        <w:spacing w:before="0" w:line="240" w:lineRule="auto"/>
        <w:rPr>
          <w:rFonts w:ascii="Arial" w:hAnsi="Arial" w:cs="Arial"/>
        </w:rPr>
      </w:pPr>
      <w:r>
        <w:rPr>
          <w:rFonts w:ascii="Arial" w:hAnsi="Arial" w:cs="Arial"/>
        </w:rPr>
        <w:t>The transfer having been effected while the debtor was insolvent;</w:t>
      </w:r>
    </w:p>
    <w:p w14:paraId="4DBD952D" w14:textId="77777777" w:rsidR="003B349F" w:rsidRDefault="006D30B0" w:rsidP="001E291F">
      <w:pPr>
        <w:pStyle w:val="AODocTxt"/>
        <w:numPr>
          <w:ilvl w:val="0"/>
          <w:numId w:val="32"/>
        </w:numPr>
        <w:spacing w:before="0" w:line="240" w:lineRule="auto"/>
        <w:rPr>
          <w:rFonts w:ascii="Arial" w:hAnsi="Arial" w:cs="Arial"/>
        </w:rPr>
      </w:pPr>
      <w:r>
        <w:rPr>
          <w:rFonts w:ascii="Arial" w:hAnsi="Arial" w:cs="Arial"/>
        </w:rPr>
        <w:t xml:space="preserve">The transfer of the property was made </w:t>
      </w:r>
      <w:r w:rsidR="003B349F">
        <w:rPr>
          <w:rFonts w:ascii="Arial" w:hAnsi="Arial" w:cs="Arial"/>
        </w:rPr>
        <w:t>during the suspect period;</w:t>
      </w:r>
    </w:p>
    <w:p w14:paraId="66FBDC15" w14:textId="77777777" w:rsidR="003B349F" w:rsidRDefault="003B349F" w:rsidP="001E291F">
      <w:pPr>
        <w:pStyle w:val="AODocTxt"/>
        <w:numPr>
          <w:ilvl w:val="0"/>
          <w:numId w:val="32"/>
        </w:numPr>
        <w:spacing w:before="0" w:line="240" w:lineRule="auto"/>
        <w:rPr>
          <w:rFonts w:ascii="Arial" w:hAnsi="Arial" w:cs="Arial"/>
        </w:rPr>
      </w:pPr>
      <w:r>
        <w:rPr>
          <w:rFonts w:ascii="Arial" w:hAnsi="Arial" w:cs="Arial"/>
        </w:rPr>
        <w:t>By virtue of the transfer the creditor was able to receive more than it would have under a chapter 7 liquidation.</w:t>
      </w:r>
    </w:p>
    <w:p w14:paraId="75B884BC" w14:textId="77777777" w:rsidR="003B349F" w:rsidRDefault="003B349F" w:rsidP="003B349F">
      <w:pPr>
        <w:pStyle w:val="AODocTxt"/>
        <w:spacing w:before="0" w:line="240" w:lineRule="auto"/>
        <w:rPr>
          <w:rFonts w:ascii="Arial" w:hAnsi="Arial" w:cs="Arial"/>
        </w:rPr>
      </w:pPr>
    </w:p>
    <w:p w14:paraId="7BB53442" w14:textId="6CF3ECD0" w:rsidR="006D30B0" w:rsidRPr="001E291F" w:rsidRDefault="003B349F" w:rsidP="003B349F">
      <w:pPr>
        <w:pStyle w:val="AODocTxt"/>
        <w:spacing w:before="0" w:line="240" w:lineRule="auto"/>
        <w:rPr>
          <w:rFonts w:ascii="Arial" w:hAnsi="Arial" w:cs="Arial"/>
        </w:rPr>
      </w:pPr>
      <w:r>
        <w:rPr>
          <w:rFonts w:ascii="Arial" w:hAnsi="Arial" w:cs="Arial"/>
        </w:rPr>
        <w:t>It is not necessary to show default by either the debtor or creditor.</w:t>
      </w:r>
      <w:r w:rsidR="006D30B0">
        <w:rPr>
          <w:rFonts w:ascii="Arial" w:hAnsi="Arial" w:cs="Arial"/>
        </w:rPr>
        <w:t xml:space="preserve">  </w:t>
      </w:r>
    </w:p>
    <w:p w14:paraId="02D72BC5" w14:textId="555B1030" w:rsidR="003A5537" w:rsidRDefault="003A5537" w:rsidP="00622C36">
      <w:pPr>
        <w:pStyle w:val="AODocTxt"/>
        <w:spacing w:before="0" w:line="240" w:lineRule="auto"/>
        <w:rPr>
          <w:rFonts w:ascii="Avenir Next" w:hAnsi="Avenir Next"/>
        </w:rPr>
      </w:pP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158F257E" w:rsidR="00484B73" w:rsidRDefault="00484B73" w:rsidP="000778B1">
      <w:pPr>
        <w:pStyle w:val="AODocTxt"/>
        <w:spacing w:before="0" w:line="240" w:lineRule="auto"/>
        <w:rPr>
          <w:rFonts w:ascii="Avenir Next" w:hAnsi="Avenir Next"/>
        </w:rPr>
      </w:pPr>
    </w:p>
    <w:p w14:paraId="2F9E04C0" w14:textId="3614DE26" w:rsidR="0087276F" w:rsidRDefault="0087276F" w:rsidP="000778B1">
      <w:pPr>
        <w:pStyle w:val="AODocTxt"/>
        <w:spacing w:before="0" w:line="240" w:lineRule="auto"/>
        <w:rPr>
          <w:rFonts w:ascii="Avenir Next" w:hAnsi="Avenir Next"/>
        </w:rPr>
      </w:pPr>
    </w:p>
    <w:p w14:paraId="07DA8686" w14:textId="77777777" w:rsidR="00EB5C6C" w:rsidRDefault="0087276F" w:rsidP="000778B1">
      <w:pPr>
        <w:pStyle w:val="AODocTxt"/>
        <w:spacing w:before="0" w:line="240" w:lineRule="auto"/>
        <w:rPr>
          <w:rFonts w:ascii="Arial" w:hAnsi="Arial" w:cs="Arial"/>
        </w:rPr>
      </w:pPr>
      <w:r>
        <w:rPr>
          <w:rFonts w:ascii="Arial" w:hAnsi="Arial" w:cs="Arial"/>
        </w:rPr>
        <w:t>The bankruptcy court may enter a final order when exercising a District Court’s delegated authority. A final order may also be entered with the consent of the parties.</w:t>
      </w:r>
    </w:p>
    <w:p w14:paraId="5BAA8CF3" w14:textId="77777777" w:rsidR="00EB5C6C" w:rsidRDefault="00EB5C6C" w:rsidP="000778B1">
      <w:pPr>
        <w:pStyle w:val="AODocTxt"/>
        <w:spacing w:before="0" w:line="240" w:lineRule="auto"/>
        <w:rPr>
          <w:rFonts w:ascii="Arial" w:hAnsi="Arial" w:cs="Arial"/>
        </w:rPr>
      </w:pPr>
    </w:p>
    <w:p w14:paraId="599B165E" w14:textId="55141D51" w:rsidR="0087276F" w:rsidRPr="0087276F" w:rsidRDefault="00EB5C6C" w:rsidP="000778B1">
      <w:pPr>
        <w:pStyle w:val="AODocTxt"/>
        <w:spacing w:before="0" w:line="240" w:lineRule="auto"/>
        <w:rPr>
          <w:rFonts w:ascii="Arial" w:hAnsi="Arial" w:cs="Arial"/>
        </w:rPr>
      </w:pPr>
      <w:r>
        <w:rPr>
          <w:rFonts w:ascii="Arial" w:hAnsi="Arial" w:cs="Arial"/>
        </w:rPr>
        <w:t>District Courts review appeals from bankruptcy court orders. Non-final orders are reviewed through the issuance of a report by the bankruptcy court Judges</w:t>
      </w:r>
      <w:r w:rsidR="001B596E">
        <w:rPr>
          <w:rFonts w:ascii="Arial" w:hAnsi="Arial" w:cs="Arial"/>
        </w:rPr>
        <w:t xml:space="preserve"> and recommendation for review by the District Court.</w:t>
      </w:r>
      <w:r w:rsidR="0087276F">
        <w:rPr>
          <w:rFonts w:ascii="Arial" w:hAnsi="Arial" w:cs="Arial"/>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6756A095"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015B650D" w14:textId="2A404CEF" w:rsidR="00327E4E" w:rsidRDefault="00327E4E" w:rsidP="000778B1">
      <w:pPr>
        <w:pStyle w:val="AODocTxt"/>
        <w:spacing w:before="0" w:line="240" w:lineRule="auto"/>
        <w:rPr>
          <w:rFonts w:ascii="Avenir Next" w:hAnsi="Avenir Next"/>
        </w:rPr>
      </w:pPr>
    </w:p>
    <w:p w14:paraId="7FD442EA" w14:textId="2BCD1720" w:rsidR="00327E4E" w:rsidRDefault="00BA4466" w:rsidP="000778B1">
      <w:pPr>
        <w:pStyle w:val="AODocTxt"/>
        <w:spacing w:before="0" w:line="240" w:lineRule="auto"/>
        <w:rPr>
          <w:rFonts w:ascii="Arial" w:hAnsi="Arial" w:cs="Arial"/>
        </w:rPr>
      </w:pPr>
      <w:r>
        <w:rPr>
          <w:rFonts w:ascii="Arial" w:hAnsi="Arial" w:cs="Arial"/>
        </w:rPr>
        <w:t>The Bankruptcy Code allows a United States Court to grant an automatic stay upon the petition for the recognition of a foreign main proceeding.</w:t>
      </w:r>
      <w:r>
        <w:rPr>
          <w:rStyle w:val="FootnoteReference"/>
          <w:rFonts w:ascii="Arial" w:hAnsi="Arial" w:cs="Arial"/>
        </w:rPr>
        <w:footnoteReference w:id="1"/>
      </w:r>
      <w:r>
        <w:rPr>
          <w:rFonts w:ascii="Arial" w:hAnsi="Arial" w:cs="Arial"/>
        </w:rPr>
        <w:t xml:space="preserve"> The discretionary relief available following recognition of foreign main </w:t>
      </w:r>
      <w:r w:rsidR="00130DF4">
        <w:rPr>
          <w:rFonts w:ascii="Arial" w:hAnsi="Arial" w:cs="Arial"/>
        </w:rPr>
        <w:t>or</w:t>
      </w:r>
      <w:r>
        <w:rPr>
          <w:rFonts w:ascii="Arial" w:hAnsi="Arial" w:cs="Arial"/>
        </w:rPr>
        <w:t xml:space="preserve"> non-main proceedings includes,</w:t>
      </w:r>
      <w:r w:rsidR="0057268E">
        <w:rPr>
          <w:rStyle w:val="FootnoteReference"/>
          <w:rFonts w:ascii="Arial" w:hAnsi="Arial" w:cs="Arial"/>
        </w:rPr>
        <w:footnoteReference w:id="2"/>
      </w:r>
    </w:p>
    <w:p w14:paraId="2AEA8FDF" w14:textId="77777777" w:rsidR="006B71AC" w:rsidRDefault="006B71AC" w:rsidP="000778B1">
      <w:pPr>
        <w:pStyle w:val="AODocTxt"/>
        <w:spacing w:before="0" w:line="240" w:lineRule="auto"/>
        <w:rPr>
          <w:rFonts w:ascii="Arial" w:hAnsi="Arial" w:cs="Arial"/>
        </w:rPr>
      </w:pPr>
    </w:p>
    <w:p w14:paraId="292DBF0F" w14:textId="77777777" w:rsidR="006B71AC" w:rsidRDefault="006B71AC" w:rsidP="00BA4466">
      <w:pPr>
        <w:pStyle w:val="AODocTxt"/>
        <w:numPr>
          <w:ilvl w:val="0"/>
          <w:numId w:val="36"/>
        </w:numPr>
        <w:spacing w:before="0" w:line="240" w:lineRule="auto"/>
        <w:rPr>
          <w:rFonts w:ascii="Arial" w:hAnsi="Arial" w:cs="Arial"/>
        </w:rPr>
      </w:pPr>
      <w:r>
        <w:rPr>
          <w:rFonts w:ascii="Arial" w:hAnsi="Arial" w:cs="Arial"/>
        </w:rPr>
        <w:t>Authorisation of discovery of the debtor’s assets and affairs;</w:t>
      </w:r>
    </w:p>
    <w:p w14:paraId="467A941C" w14:textId="77777777" w:rsidR="006B71AC" w:rsidRDefault="006B71AC" w:rsidP="006B71AC">
      <w:pPr>
        <w:pStyle w:val="AODocTxt"/>
        <w:spacing w:before="0" w:line="240" w:lineRule="auto"/>
        <w:ind w:left="720"/>
        <w:rPr>
          <w:rFonts w:ascii="Arial" w:hAnsi="Arial" w:cs="Arial"/>
        </w:rPr>
      </w:pPr>
    </w:p>
    <w:p w14:paraId="4FFD9108" w14:textId="77777777" w:rsidR="006B71AC" w:rsidRDefault="006B71AC" w:rsidP="006B71AC">
      <w:pPr>
        <w:pStyle w:val="AODocTxt"/>
        <w:numPr>
          <w:ilvl w:val="0"/>
          <w:numId w:val="36"/>
        </w:numPr>
        <w:spacing w:before="0" w:line="240" w:lineRule="auto"/>
        <w:rPr>
          <w:rFonts w:ascii="Arial" w:hAnsi="Arial" w:cs="Arial"/>
        </w:rPr>
      </w:pPr>
      <w:r>
        <w:rPr>
          <w:rFonts w:ascii="Arial" w:hAnsi="Arial" w:cs="Arial"/>
        </w:rPr>
        <w:t>Entrusting administration of the debtor’s US assets to the Foreign Representative or other person;</w:t>
      </w:r>
    </w:p>
    <w:p w14:paraId="4DB1BD91" w14:textId="77777777" w:rsidR="006B71AC" w:rsidRDefault="006B71AC" w:rsidP="006B71AC">
      <w:pPr>
        <w:pStyle w:val="ListParagraph"/>
        <w:rPr>
          <w:rFonts w:ascii="Arial" w:hAnsi="Arial" w:cs="Arial"/>
        </w:rPr>
      </w:pPr>
    </w:p>
    <w:p w14:paraId="1EBA2D0D" w14:textId="73D80BD3" w:rsidR="00BA4466" w:rsidRPr="00327E4E" w:rsidRDefault="006B71AC" w:rsidP="006B71AC">
      <w:pPr>
        <w:pStyle w:val="AODocTxt"/>
        <w:numPr>
          <w:ilvl w:val="0"/>
          <w:numId w:val="36"/>
        </w:numPr>
        <w:spacing w:before="0" w:line="240" w:lineRule="auto"/>
        <w:rPr>
          <w:rFonts w:ascii="Arial" w:hAnsi="Arial" w:cs="Arial"/>
        </w:rPr>
      </w:pPr>
      <w:r>
        <w:rPr>
          <w:rFonts w:ascii="Arial" w:hAnsi="Arial" w:cs="Arial"/>
        </w:rPr>
        <w:t xml:space="preserve">Extension of provisional relief. </w:t>
      </w:r>
    </w:p>
    <w:p w14:paraId="1E59F471" w14:textId="77777777" w:rsidR="00F84270" w:rsidRPr="00E01803" w:rsidRDefault="00F84270" w:rsidP="000778B1">
      <w:pPr>
        <w:pStyle w:val="AODocTxt"/>
        <w:spacing w:before="0" w:line="240" w:lineRule="auto"/>
        <w:rPr>
          <w:rFonts w:ascii="Avenir Next" w:hAnsi="Avenir Next"/>
        </w:rPr>
      </w:pPr>
    </w:p>
    <w:p w14:paraId="711A9A60" w14:textId="01B1DB57" w:rsidR="00E41578" w:rsidRPr="00E41578" w:rsidRDefault="00E41578" w:rsidP="00E41578">
      <w:pPr>
        <w:jc w:val="both"/>
        <w:rPr>
          <w:rFonts w:ascii="Avenir Next" w:hAnsi="Avenir Next" w:cs="Arial"/>
          <w:color w:val="7B7B7B" w:themeColor="accent3" w:themeShade="BF"/>
          <w:sz w:val="22"/>
          <w:szCs w:val="22"/>
          <w:lang w:val="en-GB"/>
        </w:rPr>
      </w:pP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389FA9F2" w:rsid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60477AF5" w14:textId="61D8EE6C" w:rsidR="007663B4" w:rsidRDefault="007663B4" w:rsidP="000778B1">
      <w:pPr>
        <w:pStyle w:val="AODocTxt"/>
        <w:spacing w:before="0" w:line="240" w:lineRule="auto"/>
        <w:rPr>
          <w:rFonts w:ascii="Avenir Next" w:hAnsi="Avenir Next"/>
        </w:rPr>
      </w:pPr>
    </w:p>
    <w:p w14:paraId="5A3F81D8" w14:textId="31A3153B" w:rsidR="007663B4" w:rsidRDefault="007663B4" w:rsidP="000778B1">
      <w:pPr>
        <w:pStyle w:val="AODocTxt"/>
        <w:spacing w:before="0" w:line="240" w:lineRule="auto"/>
        <w:rPr>
          <w:rFonts w:ascii="Arial" w:hAnsi="Arial" w:cs="Arial"/>
        </w:rPr>
      </w:pPr>
      <w:r>
        <w:rPr>
          <w:rFonts w:ascii="Arial" w:hAnsi="Arial" w:cs="Arial"/>
        </w:rPr>
        <w:t>In the ordinary course of business, directors owe to a Delaware Corporation the following duties;</w:t>
      </w:r>
    </w:p>
    <w:p w14:paraId="58724B61" w14:textId="2FA46CF3" w:rsidR="007663B4" w:rsidRDefault="007663B4" w:rsidP="000778B1">
      <w:pPr>
        <w:pStyle w:val="AODocTxt"/>
        <w:spacing w:before="0" w:line="240" w:lineRule="auto"/>
        <w:rPr>
          <w:rFonts w:ascii="Arial" w:hAnsi="Arial" w:cs="Arial"/>
        </w:rPr>
      </w:pPr>
    </w:p>
    <w:p w14:paraId="395E5A04" w14:textId="77777777" w:rsidR="007663B4" w:rsidRDefault="007663B4" w:rsidP="007663B4">
      <w:pPr>
        <w:pStyle w:val="AODocTxt"/>
        <w:numPr>
          <w:ilvl w:val="0"/>
          <w:numId w:val="33"/>
        </w:numPr>
        <w:spacing w:before="0" w:line="240" w:lineRule="auto"/>
        <w:rPr>
          <w:rFonts w:ascii="Arial" w:hAnsi="Arial" w:cs="Arial"/>
        </w:rPr>
      </w:pPr>
      <w:r>
        <w:rPr>
          <w:rFonts w:ascii="Arial" w:hAnsi="Arial" w:cs="Arial"/>
        </w:rPr>
        <w:t>A fiduciary duty of loyalty to the Corporation’s best interest;</w:t>
      </w:r>
    </w:p>
    <w:p w14:paraId="51F469B6" w14:textId="051CAE72" w:rsidR="007663B4" w:rsidRDefault="007663B4" w:rsidP="007663B4">
      <w:pPr>
        <w:pStyle w:val="AODocTxt"/>
        <w:numPr>
          <w:ilvl w:val="0"/>
          <w:numId w:val="33"/>
        </w:numPr>
        <w:spacing w:before="0" w:line="240" w:lineRule="auto"/>
        <w:rPr>
          <w:rFonts w:ascii="Arial" w:hAnsi="Arial" w:cs="Arial"/>
        </w:rPr>
      </w:pPr>
      <w:r>
        <w:rPr>
          <w:rFonts w:ascii="Arial" w:hAnsi="Arial" w:cs="Arial"/>
        </w:rPr>
        <w:t>A duty of care in educated decision making.</w:t>
      </w:r>
    </w:p>
    <w:p w14:paraId="15E7C12F" w14:textId="77777777" w:rsidR="0051291A" w:rsidRDefault="0051291A" w:rsidP="0051291A">
      <w:pPr>
        <w:pStyle w:val="AODocTxt"/>
        <w:spacing w:before="0" w:line="240" w:lineRule="auto"/>
        <w:rPr>
          <w:rFonts w:ascii="Arial" w:hAnsi="Arial" w:cs="Arial"/>
        </w:rPr>
      </w:pPr>
    </w:p>
    <w:p w14:paraId="2937F5EA" w14:textId="77777777" w:rsidR="00F1101E" w:rsidRDefault="0051291A" w:rsidP="0051291A">
      <w:pPr>
        <w:pStyle w:val="AODocTxt"/>
        <w:spacing w:before="0" w:line="240" w:lineRule="auto"/>
        <w:rPr>
          <w:rFonts w:ascii="Arial" w:hAnsi="Arial" w:cs="Arial"/>
        </w:rPr>
      </w:pPr>
      <w:r>
        <w:rPr>
          <w:rFonts w:ascii="Arial" w:hAnsi="Arial" w:cs="Arial"/>
        </w:rPr>
        <w:t>The duties are owed to the Corporation and its shareholders</w:t>
      </w:r>
      <w:r w:rsidR="00F1101E">
        <w:rPr>
          <w:rFonts w:ascii="Arial" w:hAnsi="Arial" w:cs="Arial"/>
        </w:rPr>
        <w:t xml:space="preserve"> even when the Corporation is potentially and factually insolvent.</w:t>
      </w:r>
    </w:p>
    <w:p w14:paraId="38AD69E7" w14:textId="77777777" w:rsidR="00F1101E" w:rsidRDefault="00F1101E" w:rsidP="0051291A">
      <w:pPr>
        <w:pStyle w:val="AODocTxt"/>
        <w:spacing w:before="0" w:line="240" w:lineRule="auto"/>
        <w:rPr>
          <w:rFonts w:ascii="Arial" w:hAnsi="Arial" w:cs="Arial"/>
        </w:rPr>
      </w:pPr>
    </w:p>
    <w:p w14:paraId="385CF4ED" w14:textId="1B959DC4" w:rsidR="0051291A" w:rsidRPr="007663B4" w:rsidRDefault="00F1101E" w:rsidP="0051291A">
      <w:pPr>
        <w:pStyle w:val="AODocTxt"/>
        <w:spacing w:before="0" w:line="240" w:lineRule="auto"/>
        <w:rPr>
          <w:rFonts w:ascii="Arial" w:hAnsi="Arial" w:cs="Arial"/>
        </w:rPr>
      </w:pPr>
      <w:r>
        <w:rPr>
          <w:rFonts w:ascii="Arial" w:hAnsi="Arial" w:cs="Arial"/>
        </w:rPr>
        <w:t xml:space="preserve">The </w:t>
      </w:r>
      <w:r w:rsidRPr="00F1101E">
        <w:rPr>
          <w:rFonts w:ascii="Arial" w:hAnsi="Arial" w:cs="Arial"/>
          <w:b/>
        </w:rPr>
        <w:t>business judgement</w:t>
      </w:r>
      <w:r>
        <w:rPr>
          <w:rFonts w:ascii="Arial" w:hAnsi="Arial" w:cs="Arial"/>
        </w:rPr>
        <w:t xml:space="preserve"> rule</w:t>
      </w:r>
      <w:r w:rsidR="00EB7124">
        <w:rPr>
          <w:rFonts w:ascii="Arial" w:hAnsi="Arial" w:cs="Arial"/>
        </w:rPr>
        <w:t xml:space="preserve"> protects directors from liability for errors of judgment as there is a rebuttable presumption that the board</w:t>
      </w:r>
      <w:r w:rsidR="00020C81">
        <w:rPr>
          <w:rFonts w:ascii="Arial" w:hAnsi="Arial" w:cs="Arial"/>
        </w:rPr>
        <w:t xml:space="preserve"> of</w:t>
      </w:r>
      <w:r w:rsidR="00EB7124">
        <w:rPr>
          <w:rFonts w:ascii="Arial" w:hAnsi="Arial" w:cs="Arial"/>
        </w:rPr>
        <w:t xml:space="preserve"> directors acted in good faith on the basis of reasonable information. </w:t>
      </w:r>
      <w:r>
        <w:rPr>
          <w:rFonts w:ascii="Arial" w:hAnsi="Arial" w:cs="Arial"/>
        </w:rPr>
        <w:t xml:space="preserve">  </w:t>
      </w:r>
      <w:r w:rsidR="0051291A">
        <w:rPr>
          <w:rFonts w:ascii="Arial" w:hAnsi="Arial" w:cs="Arial"/>
        </w:rPr>
        <w:t xml:space="preserve"> </w:t>
      </w:r>
    </w:p>
    <w:p w14:paraId="74E0C24D" w14:textId="77FE6A49" w:rsidR="00E01803" w:rsidRDefault="00E01803" w:rsidP="000778B1">
      <w:pPr>
        <w:pStyle w:val="AODocTxt"/>
        <w:spacing w:before="0" w:line="240" w:lineRule="auto"/>
        <w:rPr>
          <w:rFonts w:ascii="Avenir Next" w:hAnsi="Avenir Next"/>
        </w:rPr>
      </w:pP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3923EE71" w:rsidR="00E01803" w:rsidRDefault="00E01803" w:rsidP="000778B1">
      <w:pPr>
        <w:pStyle w:val="AODocTxt"/>
        <w:spacing w:before="0" w:line="240" w:lineRule="auto"/>
        <w:rPr>
          <w:rFonts w:ascii="Avenir Next" w:hAnsi="Avenir Next"/>
        </w:rPr>
      </w:pPr>
    </w:p>
    <w:p w14:paraId="327F44A9" w14:textId="01FCDEA1" w:rsidR="00626210" w:rsidRDefault="00626210" w:rsidP="000778B1">
      <w:pPr>
        <w:pStyle w:val="AODocTxt"/>
        <w:spacing w:before="0" w:line="240" w:lineRule="auto"/>
        <w:rPr>
          <w:rFonts w:ascii="Avenir Next" w:hAnsi="Avenir Next"/>
        </w:rPr>
      </w:pPr>
    </w:p>
    <w:p w14:paraId="1967BD9D" w14:textId="2C84E3FB" w:rsidR="00626210" w:rsidRDefault="00626210" w:rsidP="000778B1">
      <w:pPr>
        <w:pStyle w:val="AODocTxt"/>
        <w:spacing w:before="0" w:line="240" w:lineRule="auto"/>
        <w:rPr>
          <w:rFonts w:ascii="Arial" w:hAnsi="Arial" w:cs="Arial"/>
        </w:rPr>
      </w:pPr>
      <w:r>
        <w:rPr>
          <w:rFonts w:ascii="Arial" w:hAnsi="Arial" w:cs="Arial"/>
        </w:rPr>
        <w:t>To qualify as a petitioning creditor the following requirements must be fulfilled;</w:t>
      </w:r>
    </w:p>
    <w:p w14:paraId="012ACEDB" w14:textId="2389CCD8" w:rsidR="00626210" w:rsidRDefault="00626210" w:rsidP="000778B1">
      <w:pPr>
        <w:pStyle w:val="AODocTxt"/>
        <w:spacing w:before="0" w:line="240" w:lineRule="auto"/>
        <w:rPr>
          <w:rFonts w:ascii="Arial" w:hAnsi="Arial" w:cs="Arial"/>
        </w:rPr>
      </w:pPr>
    </w:p>
    <w:p w14:paraId="3EC9F223" w14:textId="77777777" w:rsidR="003E0792" w:rsidRDefault="00626210" w:rsidP="00626210">
      <w:pPr>
        <w:pStyle w:val="AODocTxt"/>
        <w:numPr>
          <w:ilvl w:val="0"/>
          <w:numId w:val="34"/>
        </w:numPr>
        <w:spacing w:before="0" w:line="240" w:lineRule="auto"/>
        <w:rPr>
          <w:rFonts w:ascii="Arial" w:hAnsi="Arial" w:cs="Arial"/>
        </w:rPr>
      </w:pPr>
      <w:r>
        <w:rPr>
          <w:rFonts w:ascii="Arial" w:hAnsi="Arial" w:cs="Arial"/>
        </w:rPr>
        <w:t>The creditor must have a claim against the debtor</w:t>
      </w:r>
      <w:r w:rsidR="003E0792">
        <w:rPr>
          <w:rFonts w:ascii="Arial" w:hAnsi="Arial" w:cs="Arial"/>
        </w:rPr>
        <w:t xml:space="preserve"> that does not rely on the occurrence of a future event.</w:t>
      </w:r>
    </w:p>
    <w:p w14:paraId="1D7269AE" w14:textId="77777777" w:rsidR="003E0792" w:rsidRDefault="003E0792" w:rsidP="00626210">
      <w:pPr>
        <w:pStyle w:val="AODocTxt"/>
        <w:numPr>
          <w:ilvl w:val="0"/>
          <w:numId w:val="34"/>
        </w:numPr>
        <w:spacing w:before="0" w:line="240" w:lineRule="auto"/>
        <w:rPr>
          <w:rFonts w:ascii="Arial" w:hAnsi="Arial" w:cs="Arial"/>
        </w:rPr>
      </w:pPr>
      <w:r>
        <w:rPr>
          <w:rFonts w:ascii="Arial" w:hAnsi="Arial" w:cs="Arial"/>
        </w:rPr>
        <w:t xml:space="preserve">The claim should not be the subject of a </w:t>
      </w:r>
      <w:r>
        <w:rPr>
          <w:rFonts w:ascii="Arial" w:hAnsi="Arial" w:cs="Arial"/>
          <w:i/>
        </w:rPr>
        <w:t xml:space="preserve">bona fide </w:t>
      </w:r>
      <w:r>
        <w:rPr>
          <w:rFonts w:ascii="Arial" w:hAnsi="Arial" w:cs="Arial"/>
        </w:rPr>
        <w:t>dispute on the liability or amount.</w:t>
      </w:r>
    </w:p>
    <w:p w14:paraId="29187296" w14:textId="50CF7003" w:rsidR="00647F65" w:rsidRDefault="003E0792" w:rsidP="00626210">
      <w:pPr>
        <w:pStyle w:val="AODocTxt"/>
        <w:numPr>
          <w:ilvl w:val="0"/>
          <w:numId w:val="34"/>
        </w:numPr>
        <w:spacing w:before="0" w:line="240" w:lineRule="auto"/>
        <w:rPr>
          <w:rFonts w:ascii="Arial" w:hAnsi="Arial" w:cs="Arial"/>
        </w:rPr>
      </w:pPr>
      <w:r>
        <w:rPr>
          <w:rFonts w:ascii="Arial" w:hAnsi="Arial" w:cs="Arial"/>
        </w:rPr>
        <w:lastRenderedPageBreak/>
        <w:t xml:space="preserve">The claim must be unsecured or </w:t>
      </w:r>
      <w:r w:rsidR="00B17674">
        <w:rPr>
          <w:rFonts w:ascii="Arial" w:hAnsi="Arial" w:cs="Arial"/>
        </w:rPr>
        <w:t>under secured</w:t>
      </w:r>
      <w:r>
        <w:rPr>
          <w:rFonts w:ascii="Arial" w:hAnsi="Arial" w:cs="Arial"/>
        </w:rPr>
        <w:t xml:space="preserve"> separately as an average with all other petitioning creditors’ claims in the minimum amount of USD 16, 750 duly adjusted according to inflation.</w:t>
      </w:r>
    </w:p>
    <w:p w14:paraId="50B4B961" w14:textId="7FADB219" w:rsidR="00647F65" w:rsidRDefault="00647F65" w:rsidP="00626210">
      <w:pPr>
        <w:pStyle w:val="AODocTxt"/>
        <w:numPr>
          <w:ilvl w:val="0"/>
          <w:numId w:val="34"/>
        </w:numPr>
        <w:spacing w:before="0" w:line="240" w:lineRule="auto"/>
        <w:rPr>
          <w:rFonts w:ascii="Arial" w:hAnsi="Arial" w:cs="Arial"/>
        </w:rPr>
      </w:pPr>
      <w:r>
        <w:rPr>
          <w:rFonts w:ascii="Arial" w:hAnsi="Arial" w:cs="Arial"/>
        </w:rPr>
        <w:t xml:space="preserve">The </w:t>
      </w:r>
      <w:r w:rsidR="00B17674">
        <w:rPr>
          <w:rFonts w:ascii="Arial" w:hAnsi="Arial" w:cs="Arial"/>
        </w:rPr>
        <w:t>creditors</w:t>
      </w:r>
      <w:r>
        <w:rPr>
          <w:rFonts w:ascii="Arial" w:hAnsi="Arial" w:cs="Arial"/>
        </w:rPr>
        <w:t xml:space="preserve"> must allege either,</w:t>
      </w:r>
    </w:p>
    <w:p w14:paraId="788432A9" w14:textId="7D6B21E0" w:rsidR="00626210" w:rsidRDefault="009500DE" w:rsidP="00647F65">
      <w:pPr>
        <w:pStyle w:val="AODocTxt"/>
        <w:numPr>
          <w:ilvl w:val="0"/>
          <w:numId w:val="35"/>
        </w:numPr>
        <w:spacing w:before="0" w:line="240" w:lineRule="auto"/>
        <w:rPr>
          <w:rFonts w:ascii="Arial" w:hAnsi="Arial" w:cs="Arial"/>
        </w:rPr>
      </w:pPr>
      <w:r>
        <w:rPr>
          <w:rFonts w:ascii="Arial" w:hAnsi="Arial" w:cs="Arial"/>
        </w:rPr>
        <w:t xml:space="preserve">The debtor is </w:t>
      </w:r>
      <w:r w:rsidR="00B17674">
        <w:rPr>
          <w:rFonts w:ascii="Arial" w:hAnsi="Arial" w:cs="Arial"/>
        </w:rPr>
        <w:t>generally</w:t>
      </w:r>
      <w:r>
        <w:rPr>
          <w:rFonts w:ascii="Arial" w:hAnsi="Arial" w:cs="Arial"/>
        </w:rPr>
        <w:t xml:space="preserve"> not paying his debts as they become due or;</w:t>
      </w:r>
    </w:p>
    <w:p w14:paraId="2EA114D0" w14:textId="2EEABA31" w:rsidR="009500DE" w:rsidRDefault="009500DE" w:rsidP="00647F65">
      <w:pPr>
        <w:pStyle w:val="AODocTxt"/>
        <w:numPr>
          <w:ilvl w:val="0"/>
          <w:numId w:val="35"/>
        </w:numPr>
        <w:spacing w:before="0" w:line="240" w:lineRule="auto"/>
        <w:rPr>
          <w:rFonts w:ascii="Arial" w:hAnsi="Arial" w:cs="Arial"/>
        </w:rPr>
      </w:pPr>
      <w:r>
        <w:rPr>
          <w:rFonts w:ascii="Arial" w:hAnsi="Arial" w:cs="Arial"/>
        </w:rPr>
        <w:t xml:space="preserve">Within 120 days before the filing of the petition a custodian other than a trustee, receiver or duly authorized appointed agent to take charge of less than substantially all of the property of the debtor so as to enforce a lien against such property was appointed or took </w:t>
      </w:r>
      <w:r w:rsidR="00B17674">
        <w:rPr>
          <w:rFonts w:ascii="Arial" w:hAnsi="Arial" w:cs="Arial"/>
        </w:rPr>
        <w:t>possession</w:t>
      </w:r>
      <w:r>
        <w:rPr>
          <w:rFonts w:ascii="Arial" w:hAnsi="Arial" w:cs="Arial"/>
        </w:rPr>
        <w:t>.</w:t>
      </w:r>
      <w:r>
        <w:rPr>
          <w:rStyle w:val="FootnoteReference"/>
          <w:rFonts w:ascii="Arial" w:hAnsi="Arial" w:cs="Arial"/>
        </w:rPr>
        <w:footnoteReference w:id="3"/>
      </w:r>
    </w:p>
    <w:p w14:paraId="7CFBFAF1" w14:textId="77777777" w:rsidR="00626210" w:rsidRDefault="00626210" w:rsidP="000778B1">
      <w:pPr>
        <w:pStyle w:val="AODocTxt"/>
        <w:spacing w:before="0" w:line="240" w:lineRule="auto"/>
        <w:rPr>
          <w:rFonts w:ascii="Arial" w:hAnsi="Arial" w:cs="Arial"/>
        </w:rPr>
      </w:pPr>
    </w:p>
    <w:p w14:paraId="5CF57012" w14:textId="32FBB282" w:rsidR="00626210" w:rsidRPr="00626210" w:rsidRDefault="00626210" w:rsidP="000778B1">
      <w:pPr>
        <w:pStyle w:val="AODocTxt"/>
        <w:spacing w:before="0" w:line="240" w:lineRule="auto"/>
        <w:rPr>
          <w:rFonts w:ascii="Arial" w:hAnsi="Arial" w:cs="Arial"/>
        </w:rPr>
      </w:pPr>
      <w:r>
        <w:rPr>
          <w:rFonts w:ascii="Arial" w:hAnsi="Arial" w:cs="Arial"/>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605FCA5B"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5E2DC46" w14:textId="7B2953C0" w:rsidR="00AE2827" w:rsidRDefault="00AE2827" w:rsidP="000778B1">
      <w:pPr>
        <w:pStyle w:val="AODocTxt"/>
        <w:spacing w:before="0" w:line="240" w:lineRule="auto"/>
        <w:rPr>
          <w:rFonts w:ascii="Avenir Next" w:hAnsi="Avenir Next"/>
        </w:rPr>
      </w:pPr>
    </w:p>
    <w:p w14:paraId="7B7EE349" w14:textId="4DE81623" w:rsidR="00AE2827" w:rsidRDefault="00AE2827" w:rsidP="000778B1">
      <w:pPr>
        <w:pStyle w:val="AODocTxt"/>
        <w:spacing w:before="0" w:line="240" w:lineRule="auto"/>
        <w:rPr>
          <w:rFonts w:ascii="Arial" w:hAnsi="Arial" w:cs="Arial"/>
          <w:b/>
          <w:bCs/>
        </w:rPr>
      </w:pPr>
      <w:r>
        <w:rPr>
          <w:rFonts w:ascii="Arial" w:hAnsi="Arial" w:cs="Arial"/>
          <w:b/>
          <w:bCs/>
        </w:rPr>
        <w:t>DOJ INVESTIGATION</w:t>
      </w:r>
    </w:p>
    <w:p w14:paraId="7B2EC690" w14:textId="77777777" w:rsidR="00710731" w:rsidRDefault="00AE2827" w:rsidP="000778B1">
      <w:pPr>
        <w:pStyle w:val="AODocTxt"/>
        <w:spacing w:before="0" w:line="240" w:lineRule="auto"/>
        <w:rPr>
          <w:rFonts w:ascii="Arial" w:hAnsi="Arial" w:cs="Arial"/>
        </w:rPr>
      </w:pPr>
      <w:r>
        <w:rPr>
          <w:rFonts w:ascii="Arial" w:hAnsi="Arial" w:cs="Arial"/>
        </w:rPr>
        <w:t>A Chapter 11 petition would not suspend the investigation of DOJ on Speculation Inc as DOJ is a regulatory body and therefore exempt from the world wide automatic stay effective under the Chapter 11 petition.</w:t>
      </w:r>
    </w:p>
    <w:p w14:paraId="1444CB96" w14:textId="77777777" w:rsidR="00710731" w:rsidRDefault="00710731" w:rsidP="000778B1">
      <w:pPr>
        <w:pStyle w:val="AODocTxt"/>
        <w:spacing w:before="0" w:line="240" w:lineRule="auto"/>
        <w:rPr>
          <w:rFonts w:ascii="Arial" w:hAnsi="Arial" w:cs="Arial"/>
        </w:rPr>
      </w:pPr>
    </w:p>
    <w:p w14:paraId="5057C55F" w14:textId="77777777" w:rsidR="00710731" w:rsidRDefault="00710731" w:rsidP="000778B1">
      <w:pPr>
        <w:pStyle w:val="AODocTxt"/>
        <w:spacing w:before="0" w:line="240" w:lineRule="auto"/>
        <w:rPr>
          <w:rFonts w:ascii="Arial" w:hAnsi="Arial" w:cs="Arial"/>
          <w:b/>
          <w:bCs/>
        </w:rPr>
      </w:pPr>
      <w:r>
        <w:rPr>
          <w:rFonts w:ascii="Arial" w:hAnsi="Arial" w:cs="Arial"/>
          <w:b/>
          <w:bCs/>
        </w:rPr>
        <w:t>MARGIN LOAN DEFAULT.</w:t>
      </w:r>
    </w:p>
    <w:p w14:paraId="4E7CA0B2" w14:textId="762235F2" w:rsidR="00710731" w:rsidRDefault="00710731" w:rsidP="00710731">
      <w:pPr>
        <w:pStyle w:val="AODocTxt"/>
        <w:spacing w:before="0" w:line="240" w:lineRule="auto"/>
        <w:rPr>
          <w:rFonts w:ascii="Arial" w:hAnsi="Arial" w:cs="Arial"/>
        </w:rPr>
      </w:pPr>
      <w:r>
        <w:rPr>
          <w:rFonts w:ascii="Arial" w:hAnsi="Arial" w:cs="Arial"/>
        </w:rPr>
        <w:t xml:space="preserve">The </w:t>
      </w:r>
      <w:r w:rsidR="004B38FB">
        <w:rPr>
          <w:rFonts w:ascii="Arial" w:hAnsi="Arial" w:cs="Arial"/>
        </w:rPr>
        <w:t>worldwide</w:t>
      </w:r>
      <w:r>
        <w:rPr>
          <w:rFonts w:ascii="Arial" w:hAnsi="Arial" w:cs="Arial"/>
        </w:rPr>
        <w:t xml:space="preserve"> stay applies to the loan from the broker who is a creditor in the estate. The stock broker after filing the claim is entitled to participate in the restructuring plan.</w:t>
      </w:r>
    </w:p>
    <w:p w14:paraId="237B6890" w14:textId="77777777" w:rsidR="00710731" w:rsidRDefault="00710731" w:rsidP="00710731">
      <w:pPr>
        <w:pStyle w:val="AODocTxt"/>
        <w:spacing w:before="0" w:line="240" w:lineRule="auto"/>
        <w:rPr>
          <w:rFonts w:ascii="Arial" w:hAnsi="Arial" w:cs="Arial"/>
        </w:rPr>
      </w:pPr>
    </w:p>
    <w:p w14:paraId="21D1D0A3" w14:textId="60BECB02" w:rsidR="00710731" w:rsidRDefault="00710731" w:rsidP="00710731">
      <w:pPr>
        <w:pStyle w:val="AODocTxt"/>
        <w:spacing w:before="0" w:line="240" w:lineRule="auto"/>
        <w:rPr>
          <w:rFonts w:ascii="Arial" w:hAnsi="Arial" w:cs="Arial"/>
          <w:b/>
          <w:bCs/>
        </w:rPr>
      </w:pPr>
      <w:r>
        <w:rPr>
          <w:rFonts w:ascii="Arial" w:hAnsi="Arial" w:cs="Arial"/>
          <w:b/>
          <w:bCs/>
        </w:rPr>
        <w:t>DELINQUENT LEASE.</w:t>
      </w:r>
    </w:p>
    <w:p w14:paraId="28CFBB55" w14:textId="77777777" w:rsidR="00710731" w:rsidRDefault="00710731" w:rsidP="00710731">
      <w:pPr>
        <w:pStyle w:val="AODocTxt"/>
        <w:spacing w:before="0" w:line="240" w:lineRule="auto"/>
        <w:rPr>
          <w:rFonts w:ascii="Arial" w:hAnsi="Arial" w:cs="Arial"/>
        </w:rPr>
      </w:pPr>
      <w:r>
        <w:rPr>
          <w:rFonts w:ascii="Arial" w:hAnsi="Arial" w:cs="Arial"/>
        </w:rPr>
        <w:t>The stay does not apply to a debtor tenant occupying rented commercial premises. The effect is that Speculation Inc can be evicted from the leased office space.</w:t>
      </w:r>
    </w:p>
    <w:p w14:paraId="2BE980A4" w14:textId="77777777" w:rsidR="00710731" w:rsidRDefault="00710731" w:rsidP="00710731">
      <w:pPr>
        <w:pStyle w:val="AODocTxt"/>
        <w:spacing w:before="0" w:line="240" w:lineRule="auto"/>
        <w:rPr>
          <w:rFonts w:ascii="Arial" w:hAnsi="Arial" w:cs="Arial"/>
        </w:rPr>
      </w:pPr>
    </w:p>
    <w:p w14:paraId="4278672A" w14:textId="77777777" w:rsidR="00C92E13" w:rsidRDefault="00C92E13" w:rsidP="00710731">
      <w:pPr>
        <w:pStyle w:val="AODocTxt"/>
        <w:spacing w:before="0" w:line="240" w:lineRule="auto"/>
        <w:rPr>
          <w:rFonts w:ascii="Arial" w:hAnsi="Arial" w:cs="Arial"/>
          <w:b/>
          <w:bCs/>
        </w:rPr>
      </w:pPr>
      <w:r>
        <w:rPr>
          <w:rFonts w:ascii="Arial" w:hAnsi="Arial" w:cs="Arial"/>
          <w:b/>
          <w:bCs/>
        </w:rPr>
        <w:t>EMPLOYMENT DISCRIMINATION LAW SUIT.</w:t>
      </w:r>
    </w:p>
    <w:p w14:paraId="127EF29B" w14:textId="19022F52" w:rsidR="00710731" w:rsidRPr="00710731" w:rsidRDefault="00C92E13" w:rsidP="00710731">
      <w:pPr>
        <w:pStyle w:val="AODocTxt"/>
        <w:spacing w:before="0" w:line="240" w:lineRule="auto"/>
        <w:rPr>
          <w:rFonts w:ascii="Arial" w:hAnsi="Arial" w:cs="Arial"/>
        </w:rPr>
      </w:pPr>
      <w:r>
        <w:rPr>
          <w:rFonts w:ascii="Arial" w:hAnsi="Arial" w:cs="Arial"/>
        </w:rPr>
        <w:t>The moratorium would apply to a former employee’s law suit as it occurred before the petition was filed. The employee</w:t>
      </w:r>
      <w:r w:rsidR="00153CFC">
        <w:rPr>
          <w:rFonts w:ascii="Arial" w:hAnsi="Arial" w:cs="Arial"/>
        </w:rPr>
        <w:t>’s suit would be suspended if no decision by the Court was pronounced before the petition was filed.</w:t>
      </w:r>
      <w:r w:rsidR="00824E71">
        <w:rPr>
          <w:rFonts w:ascii="Arial" w:hAnsi="Arial" w:cs="Arial"/>
        </w:rPr>
        <w:t xml:space="preserve"> The employee therefore has an unsecured claim for damages.</w:t>
      </w:r>
      <w:r>
        <w:rPr>
          <w:rFonts w:ascii="Arial" w:hAnsi="Arial" w:cs="Arial"/>
        </w:rPr>
        <w:t xml:space="preserve">  </w:t>
      </w:r>
      <w:r w:rsidR="00710731">
        <w:rPr>
          <w:rFonts w:ascii="Arial" w:hAnsi="Arial" w:cs="Arial"/>
        </w:rPr>
        <w:t xml:space="preserve"> </w:t>
      </w:r>
    </w:p>
    <w:p w14:paraId="1747F499" w14:textId="048AE3C9" w:rsidR="00F03051" w:rsidRPr="00E41578" w:rsidRDefault="00F03051" w:rsidP="00710731">
      <w:pPr>
        <w:pStyle w:val="AODocTxt"/>
        <w:spacing w:before="0" w:line="240" w:lineRule="auto"/>
        <w:rPr>
          <w:rFonts w:ascii="Avenir Next" w:hAnsi="Avenir Next" w:cs="Arial"/>
          <w:color w:val="7B7B7B" w:themeColor="accent3" w:themeShade="BF"/>
          <w:lang w:val="en-GB"/>
        </w:rPr>
      </w:pP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5F51423A" w:rsid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4B668B5A" w14:textId="37FCE532" w:rsidR="007B1FE8" w:rsidRDefault="007B1FE8" w:rsidP="000778B1">
      <w:pPr>
        <w:pStyle w:val="AODocTxt"/>
        <w:spacing w:before="0" w:line="240" w:lineRule="auto"/>
        <w:rPr>
          <w:rFonts w:ascii="Avenir Next" w:hAnsi="Avenir Next"/>
        </w:rPr>
      </w:pPr>
    </w:p>
    <w:p w14:paraId="7BF17F69" w14:textId="31383865" w:rsidR="007B1FE8" w:rsidRDefault="007B1FE8" w:rsidP="000778B1">
      <w:pPr>
        <w:pStyle w:val="AODocTxt"/>
        <w:spacing w:before="0" w:line="240" w:lineRule="auto"/>
        <w:rPr>
          <w:rFonts w:ascii="Arial" w:hAnsi="Arial" w:cs="Arial"/>
        </w:rPr>
      </w:pPr>
      <w:r>
        <w:rPr>
          <w:rFonts w:ascii="Arial" w:hAnsi="Arial" w:cs="Arial"/>
        </w:rPr>
        <w:t xml:space="preserve">The US courts have adopted a </w:t>
      </w:r>
      <w:r w:rsidR="005A6F09">
        <w:rPr>
          <w:rFonts w:ascii="Arial" w:hAnsi="Arial" w:cs="Arial"/>
          <w:i/>
          <w:iCs/>
        </w:rPr>
        <w:t>Universalist</w:t>
      </w:r>
      <w:r>
        <w:rPr>
          <w:rFonts w:ascii="Arial" w:hAnsi="Arial" w:cs="Arial"/>
          <w:i/>
          <w:iCs/>
        </w:rPr>
        <w:t xml:space="preserve"> </w:t>
      </w:r>
      <w:r>
        <w:rPr>
          <w:rFonts w:ascii="Arial" w:hAnsi="Arial" w:cs="Arial"/>
        </w:rPr>
        <w:t>approach to bankruptcy cases with an international dimension.</w:t>
      </w:r>
      <w:r w:rsidR="00771192">
        <w:rPr>
          <w:rFonts w:ascii="Arial" w:hAnsi="Arial" w:cs="Arial"/>
        </w:rPr>
        <w:t xml:space="preserve"> Under Chapter 15 a British scheme of </w:t>
      </w:r>
      <w:r w:rsidR="005A6F09">
        <w:rPr>
          <w:rFonts w:ascii="Arial" w:hAnsi="Arial" w:cs="Arial"/>
        </w:rPr>
        <w:t xml:space="preserve">arrangement </w:t>
      </w:r>
      <w:r w:rsidR="00771192">
        <w:rPr>
          <w:rFonts w:ascii="Arial" w:hAnsi="Arial" w:cs="Arial"/>
        </w:rPr>
        <w:t xml:space="preserve">falls under the definition </w:t>
      </w:r>
      <w:r w:rsidR="0060600D">
        <w:rPr>
          <w:rFonts w:ascii="Arial" w:hAnsi="Arial" w:cs="Arial"/>
        </w:rPr>
        <w:t xml:space="preserve">of a foreign </w:t>
      </w:r>
      <w:r w:rsidR="005A6F09">
        <w:rPr>
          <w:rFonts w:ascii="Arial" w:hAnsi="Arial" w:cs="Arial"/>
        </w:rPr>
        <w:t>proceeding</w:t>
      </w:r>
      <w:r w:rsidR="0060600D">
        <w:rPr>
          <w:rFonts w:ascii="Arial" w:hAnsi="Arial" w:cs="Arial"/>
        </w:rPr>
        <w:t xml:space="preserve"> which is defined as a “collective judicial or administrative </w:t>
      </w:r>
      <w:r w:rsidR="005A6F09">
        <w:rPr>
          <w:rFonts w:ascii="Arial" w:hAnsi="Arial" w:cs="Arial"/>
        </w:rPr>
        <w:t>proceeding</w:t>
      </w:r>
      <w:r w:rsidR="0060600D">
        <w:rPr>
          <w:rFonts w:ascii="Arial" w:hAnsi="Arial" w:cs="Arial"/>
        </w:rPr>
        <w:t xml:space="preserve"> in a foreign country under a law relating </w:t>
      </w:r>
      <w:r w:rsidR="004B38FB">
        <w:rPr>
          <w:rFonts w:ascii="Arial" w:hAnsi="Arial" w:cs="Arial"/>
        </w:rPr>
        <w:t>to</w:t>
      </w:r>
      <w:r w:rsidR="0060600D">
        <w:rPr>
          <w:rFonts w:ascii="Arial" w:hAnsi="Arial" w:cs="Arial"/>
        </w:rPr>
        <w:t xml:space="preserve"> insolvency or adjustment of debt in which proceedings the assets and affairs of the debtor are subject to control or supervision by a foreign court for the purposes of reorganization or liquidation”. </w:t>
      </w:r>
      <w:r w:rsidR="0060600D">
        <w:rPr>
          <w:rStyle w:val="FootnoteReference"/>
          <w:rFonts w:ascii="Arial" w:hAnsi="Arial" w:cs="Arial"/>
        </w:rPr>
        <w:footnoteReference w:id="4"/>
      </w:r>
      <w:r w:rsidR="0060600D">
        <w:rPr>
          <w:rFonts w:ascii="Arial" w:hAnsi="Arial" w:cs="Arial"/>
        </w:rPr>
        <w:t xml:space="preserve">  </w:t>
      </w:r>
      <w:r w:rsidR="00771192">
        <w:rPr>
          <w:rFonts w:ascii="Arial" w:hAnsi="Arial" w:cs="Arial"/>
        </w:rPr>
        <w:t xml:space="preserve"> </w:t>
      </w:r>
      <w:r>
        <w:rPr>
          <w:rFonts w:ascii="Arial" w:hAnsi="Arial" w:cs="Arial"/>
        </w:rPr>
        <w:t xml:space="preserve"> </w:t>
      </w:r>
    </w:p>
    <w:p w14:paraId="682C6920" w14:textId="0AC9E8E3" w:rsidR="0060600D" w:rsidRDefault="0060600D" w:rsidP="000778B1">
      <w:pPr>
        <w:pStyle w:val="AODocTxt"/>
        <w:spacing w:before="0" w:line="240" w:lineRule="auto"/>
        <w:rPr>
          <w:rFonts w:ascii="Arial" w:hAnsi="Arial" w:cs="Arial"/>
        </w:rPr>
      </w:pPr>
    </w:p>
    <w:p w14:paraId="63ED1868" w14:textId="7CF916BC" w:rsidR="0060600D" w:rsidRDefault="0060600D" w:rsidP="000778B1">
      <w:pPr>
        <w:pStyle w:val="AODocTxt"/>
        <w:spacing w:before="0" w:line="240" w:lineRule="auto"/>
        <w:rPr>
          <w:rFonts w:ascii="Arial" w:hAnsi="Arial" w:cs="Arial"/>
        </w:rPr>
      </w:pPr>
      <w:r>
        <w:rPr>
          <w:rFonts w:ascii="Arial" w:hAnsi="Arial" w:cs="Arial"/>
        </w:rPr>
        <w:t xml:space="preserve">One of the purposes of Chapter 15 which adopted the UNCITRAL Model Law on Cross-Border Insolvency is to facilitate the </w:t>
      </w:r>
      <w:r w:rsidR="00A40C81">
        <w:rPr>
          <w:rFonts w:ascii="Arial" w:hAnsi="Arial" w:cs="Arial"/>
        </w:rPr>
        <w:t>cooperation</w:t>
      </w:r>
      <w:r>
        <w:rPr>
          <w:rFonts w:ascii="Arial" w:hAnsi="Arial" w:cs="Arial"/>
        </w:rPr>
        <w:t xml:space="preserve"> between courts and parties to insolvency proceedings in the US and foreign countries.</w:t>
      </w:r>
    </w:p>
    <w:p w14:paraId="1A4211D8" w14:textId="77777777" w:rsidR="0060600D" w:rsidRDefault="0060600D" w:rsidP="000778B1">
      <w:pPr>
        <w:pStyle w:val="AODocTxt"/>
        <w:spacing w:before="0" w:line="240" w:lineRule="auto"/>
        <w:rPr>
          <w:rFonts w:ascii="Arial" w:hAnsi="Arial" w:cs="Arial"/>
        </w:rPr>
      </w:pPr>
    </w:p>
    <w:p w14:paraId="7EF81464" w14:textId="392AE2AC" w:rsidR="0060600D" w:rsidRPr="007B1FE8" w:rsidRDefault="0060600D" w:rsidP="000778B1">
      <w:pPr>
        <w:pStyle w:val="AODocTxt"/>
        <w:spacing w:before="0" w:line="240" w:lineRule="auto"/>
        <w:rPr>
          <w:rFonts w:ascii="Arial" w:hAnsi="Arial" w:cs="Arial"/>
        </w:rPr>
      </w:pPr>
      <w:r>
        <w:rPr>
          <w:rFonts w:ascii="Arial" w:hAnsi="Arial" w:cs="Arial"/>
        </w:rPr>
        <w:t xml:space="preserve">From the above facts Stella’s COMI would determine whether the US would recognize the English scheme of </w:t>
      </w:r>
      <w:r w:rsidR="00A40C81">
        <w:rPr>
          <w:rFonts w:ascii="Arial" w:hAnsi="Arial" w:cs="Arial"/>
        </w:rPr>
        <w:t>arrangement</w:t>
      </w:r>
      <w:r>
        <w:rPr>
          <w:rFonts w:ascii="Arial" w:hAnsi="Arial" w:cs="Arial"/>
        </w:rPr>
        <w:t xml:space="preserve"> as a foreign main or non-main </w:t>
      </w:r>
      <w:r w:rsidR="00A40C81">
        <w:rPr>
          <w:rFonts w:ascii="Arial" w:hAnsi="Arial" w:cs="Arial"/>
        </w:rPr>
        <w:t>proceeding. The</w:t>
      </w:r>
      <w:r w:rsidR="00FC5FB3">
        <w:rPr>
          <w:rFonts w:ascii="Arial" w:hAnsi="Arial" w:cs="Arial"/>
        </w:rPr>
        <w:t xml:space="preserve"> factors considered when determining COMI include the location of the </w:t>
      </w:r>
      <w:r w:rsidR="00A40C81">
        <w:rPr>
          <w:rFonts w:ascii="Arial" w:hAnsi="Arial" w:cs="Arial"/>
        </w:rPr>
        <w:t>Head</w:t>
      </w:r>
      <w:r w:rsidR="00FC5FB3">
        <w:rPr>
          <w:rFonts w:ascii="Arial" w:hAnsi="Arial" w:cs="Arial"/>
        </w:rPr>
        <w:t xml:space="preserve"> Quarters and the location of the primary assets. Stella’s headquarters are in Paris. The products are located in Italy and shipped to retail stores all over Europe including England. </w:t>
      </w:r>
      <w:r w:rsidR="00A40C81">
        <w:rPr>
          <w:rFonts w:ascii="Arial" w:hAnsi="Arial" w:cs="Arial"/>
        </w:rPr>
        <w:t>England</w:t>
      </w:r>
      <w:r w:rsidR="00FC5FB3">
        <w:rPr>
          <w:rFonts w:ascii="Arial" w:hAnsi="Arial" w:cs="Arial"/>
        </w:rPr>
        <w:t xml:space="preserve"> is therefore not Stella’s COMI</w:t>
      </w:r>
      <w:r w:rsidR="00E45D8A">
        <w:rPr>
          <w:rFonts w:ascii="Arial" w:hAnsi="Arial" w:cs="Arial"/>
        </w:rPr>
        <w:t xml:space="preserve"> as neither the headquarters nor a majority of the company’s assets are located in England.</w:t>
      </w:r>
      <w:r w:rsidR="004A0F63">
        <w:rPr>
          <w:rFonts w:ascii="Arial" w:hAnsi="Arial" w:cs="Arial"/>
        </w:rPr>
        <w:t xml:space="preserve"> Recognition of the English scheme of arrangement in the US by the US courts would be categorized under a foreign non-main proceeding.</w:t>
      </w:r>
      <w:r w:rsidR="00E45D8A">
        <w:rPr>
          <w:rFonts w:ascii="Arial" w:hAnsi="Arial" w:cs="Arial"/>
        </w:rPr>
        <w:t xml:space="preserve"> </w:t>
      </w:r>
      <w:r w:rsidR="00FC5FB3">
        <w:rPr>
          <w:rFonts w:ascii="Arial" w:hAnsi="Arial" w:cs="Arial"/>
        </w:rPr>
        <w:t xml:space="preserve">  </w:t>
      </w:r>
      <w:r>
        <w:rPr>
          <w:rFonts w:ascii="Arial" w:hAnsi="Arial" w:cs="Arial"/>
        </w:rPr>
        <w:t xml:space="preserve">  </w:t>
      </w:r>
    </w:p>
    <w:p w14:paraId="15A8104F" w14:textId="6B866723" w:rsidR="00B642DB" w:rsidRDefault="00B642DB" w:rsidP="000778B1">
      <w:pPr>
        <w:pStyle w:val="AODocTxt"/>
        <w:spacing w:before="0" w:line="240" w:lineRule="auto"/>
        <w:rPr>
          <w:rFonts w:ascii="Avenir Next" w:hAnsi="Avenir Next"/>
        </w:rPr>
      </w:pPr>
    </w:p>
    <w:p w14:paraId="1E2F8BA6" w14:textId="77777777" w:rsidR="00B642DB" w:rsidRPr="00E01803" w:rsidRDefault="00B642DB" w:rsidP="000778B1">
      <w:pPr>
        <w:pStyle w:val="AODocTxt"/>
        <w:spacing w:before="0" w:line="240" w:lineRule="auto"/>
        <w:rPr>
          <w:rFonts w:ascii="Avenir Next" w:hAnsi="Avenir Next"/>
        </w:rPr>
      </w:pPr>
    </w:p>
    <w:p w14:paraId="69C2E697" w14:textId="77D49ACF" w:rsidR="00E01803" w:rsidRDefault="00E01803" w:rsidP="000778B1">
      <w:pPr>
        <w:pStyle w:val="AODocTxt"/>
        <w:spacing w:before="0" w:line="240" w:lineRule="auto"/>
        <w:rPr>
          <w:rFonts w:ascii="Avenir Next" w:hAnsi="Avenir Next"/>
        </w:rPr>
      </w:pPr>
    </w:p>
    <w:p w14:paraId="4206237C" w14:textId="39D3B4C8" w:rsidR="00F03051" w:rsidRPr="00E01803" w:rsidRDefault="00A4263A" w:rsidP="000778B1">
      <w:pPr>
        <w:pStyle w:val="AODocTxt"/>
        <w:spacing w:before="0" w:line="240" w:lineRule="auto"/>
        <w:rPr>
          <w:rFonts w:ascii="Avenir Next" w:hAnsi="Avenir Next"/>
        </w:rPr>
      </w:pPr>
      <w:r>
        <w:rPr>
          <w:rFonts w:ascii="Avenir Next" w:hAnsi="Avenir Next"/>
        </w:rPr>
        <w:t xml:space="preserve">  </w:t>
      </w: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2521FB9F" w:rsid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23BEC8D2" w14:textId="77777777" w:rsidR="00257F9B" w:rsidRPr="00E01803" w:rsidRDefault="00257F9B" w:rsidP="000778B1">
      <w:pPr>
        <w:pStyle w:val="AODocTxt"/>
        <w:spacing w:before="0" w:line="240" w:lineRule="auto"/>
        <w:rPr>
          <w:rFonts w:ascii="Avenir Next" w:hAnsi="Avenir Next"/>
        </w:rPr>
      </w:pPr>
    </w:p>
    <w:p w14:paraId="02A876BC" w14:textId="3AA03DC2" w:rsidR="00E01803" w:rsidRDefault="00E01803" w:rsidP="000778B1">
      <w:pPr>
        <w:pStyle w:val="AODocTxt"/>
        <w:spacing w:before="0" w:line="240" w:lineRule="auto"/>
        <w:rPr>
          <w:rFonts w:ascii="Avenir Next" w:hAnsi="Avenir Next"/>
        </w:rPr>
      </w:pPr>
    </w:p>
    <w:p w14:paraId="5C112279" w14:textId="6DF65A34" w:rsidR="00F03051" w:rsidRPr="00257F9B" w:rsidRDefault="00F03051" w:rsidP="00F03051">
      <w:pPr>
        <w:jc w:val="both"/>
        <w:rPr>
          <w:rFonts w:ascii="Arial" w:hAnsi="Arial" w:cs="Arial"/>
          <w:color w:val="7B7B7B" w:themeColor="accent3" w:themeShade="BF"/>
          <w:sz w:val="22"/>
          <w:szCs w:val="22"/>
          <w:lang w:val="en-GB"/>
        </w:rPr>
      </w:pPr>
    </w:p>
    <w:p w14:paraId="092CCA5C" w14:textId="55D8CB51" w:rsidR="00E01803" w:rsidRPr="00863006" w:rsidRDefault="00257F9B" w:rsidP="000778B1">
      <w:pPr>
        <w:pStyle w:val="AODocTxt"/>
        <w:spacing w:before="0" w:line="240" w:lineRule="auto"/>
        <w:rPr>
          <w:rFonts w:ascii="Arial" w:hAnsi="Arial" w:cs="Arial"/>
        </w:rPr>
      </w:pPr>
      <w:r w:rsidRPr="00863006">
        <w:rPr>
          <w:rFonts w:ascii="Arial" w:hAnsi="Arial" w:cs="Arial"/>
        </w:rPr>
        <w:t xml:space="preserve">The license to </w:t>
      </w:r>
      <w:r w:rsidR="00A40C81" w:rsidRPr="00863006">
        <w:rPr>
          <w:rFonts w:ascii="Arial" w:hAnsi="Arial" w:cs="Arial"/>
        </w:rPr>
        <w:t>manufacture</w:t>
      </w:r>
      <w:r w:rsidRPr="00863006">
        <w:rPr>
          <w:rFonts w:ascii="Arial" w:hAnsi="Arial" w:cs="Arial"/>
        </w:rPr>
        <w:t xml:space="preserve"> Xblox is an executory contract as GameMart has an obligation to manufacture the Xblox and pay ToyCo monthly royalties while ToyCo over the remaining period cannot unilaterally terminate the manufacturing license. </w:t>
      </w:r>
    </w:p>
    <w:p w14:paraId="5B7E8D51" w14:textId="77777777" w:rsidR="00F03051" w:rsidRPr="00E01803" w:rsidRDefault="00F03051" w:rsidP="000778B1">
      <w:pPr>
        <w:pStyle w:val="AODocTxt"/>
        <w:spacing w:before="0" w:line="240" w:lineRule="auto"/>
        <w:rPr>
          <w:rFonts w:ascii="Avenir Next" w:hAnsi="Avenir Next"/>
        </w:rPr>
      </w:pPr>
    </w:p>
    <w:p w14:paraId="165BD383" w14:textId="3B002657" w:rsidR="00E01803" w:rsidRDefault="00E01803" w:rsidP="003C3388">
      <w:pPr>
        <w:pStyle w:val="AODocTxt"/>
        <w:spacing w:before="0" w:line="240" w:lineRule="auto"/>
        <w:ind w:left="720" w:hanging="720"/>
        <w:rPr>
          <w:rFonts w:ascii="Avenir Next" w:hAnsi="Avenir Next"/>
        </w:rPr>
      </w:pPr>
      <w:r w:rsidRPr="00E01803">
        <w:rPr>
          <w:rFonts w:ascii="Avenir Next" w:hAnsi="Avenir Next"/>
        </w:rPr>
        <w:lastRenderedPageBreak/>
        <w:t>(ii)</w:t>
      </w:r>
      <w:r w:rsidRPr="00E01803">
        <w:rPr>
          <w:rFonts w:ascii="Avenir Next" w:hAnsi="Avenir Next"/>
        </w:rPr>
        <w:tab/>
        <w:t>Can GameMart transfer the Xblox license as part of 363 sale without ToyCo’s consent? Why or why not?</w:t>
      </w:r>
    </w:p>
    <w:p w14:paraId="0FCBA4A3" w14:textId="1277AA34" w:rsidR="00760F4A" w:rsidRDefault="00760F4A" w:rsidP="003C3388">
      <w:pPr>
        <w:pStyle w:val="AODocTxt"/>
        <w:spacing w:before="0" w:line="240" w:lineRule="auto"/>
        <w:ind w:left="720" w:hanging="720"/>
        <w:rPr>
          <w:rFonts w:ascii="Avenir Next" w:hAnsi="Avenir Next"/>
        </w:rPr>
      </w:pPr>
    </w:p>
    <w:p w14:paraId="13C94E15" w14:textId="2CC53028" w:rsidR="00760F4A" w:rsidRDefault="00760F4A" w:rsidP="003C3388">
      <w:pPr>
        <w:pStyle w:val="AODocTxt"/>
        <w:spacing w:before="0" w:line="240" w:lineRule="auto"/>
        <w:ind w:left="720" w:hanging="720"/>
        <w:rPr>
          <w:rFonts w:ascii="Avenir Next" w:hAnsi="Avenir Next"/>
        </w:rPr>
      </w:pPr>
    </w:p>
    <w:p w14:paraId="23D52EAC" w14:textId="79BC4B3E" w:rsidR="00760F4A" w:rsidRPr="00760F4A" w:rsidRDefault="00760F4A" w:rsidP="00DE4D20">
      <w:pPr>
        <w:pStyle w:val="AODocTxt"/>
        <w:spacing w:before="0" w:line="240" w:lineRule="auto"/>
        <w:ind w:left="720"/>
        <w:rPr>
          <w:rFonts w:ascii="Arial" w:hAnsi="Arial" w:cs="Arial"/>
        </w:rPr>
      </w:pPr>
      <w:r>
        <w:rPr>
          <w:rFonts w:ascii="Arial" w:hAnsi="Arial" w:cs="Arial"/>
        </w:rPr>
        <w:t>GameMart cannot transfer the Xblox license as part of a 363 sale without ToyCo’s consent as licenses are n</w:t>
      </w:r>
      <w:r w:rsidR="00DE4D20">
        <w:rPr>
          <w:rFonts w:ascii="Arial" w:hAnsi="Arial" w:cs="Arial"/>
        </w:rPr>
        <w:t>o</w:t>
      </w:r>
      <w:r>
        <w:rPr>
          <w:rFonts w:ascii="Arial" w:hAnsi="Arial" w:cs="Arial"/>
        </w:rPr>
        <w:t>t transferable without the licensor’s consent.</w:t>
      </w:r>
      <w:r w:rsidR="004D2CEE">
        <w:rPr>
          <w:rStyle w:val="FootnoteReference"/>
          <w:rFonts w:ascii="Arial" w:hAnsi="Arial" w:cs="Arial"/>
        </w:rPr>
        <w:footnoteReference w:id="5"/>
      </w:r>
      <w:r w:rsidR="004D2CEE">
        <w:rPr>
          <w:rFonts w:ascii="Arial" w:hAnsi="Arial" w:cs="Arial"/>
        </w:rPr>
        <w:t xml:space="preserve"> </w:t>
      </w:r>
      <w:r>
        <w:rPr>
          <w:rFonts w:ascii="Arial" w:hAnsi="Arial" w:cs="Arial"/>
        </w:rPr>
        <w:t>ToyCo’s consent is therefore required as the holder of the license.</w:t>
      </w:r>
    </w:p>
    <w:p w14:paraId="5BCE02E2" w14:textId="6EB8FF8D" w:rsidR="00E01803" w:rsidRDefault="00E01803" w:rsidP="000778B1">
      <w:pPr>
        <w:pStyle w:val="AODocTxt"/>
        <w:spacing w:before="0" w:line="240" w:lineRule="auto"/>
        <w:rPr>
          <w:rFonts w:ascii="Avenir Next" w:hAnsi="Avenir Next"/>
        </w:rPr>
      </w:pPr>
    </w:p>
    <w:p w14:paraId="7AF79EF8" w14:textId="553A5C9F" w:rsidR="00F03051" w:rsidRPr="00E41578" w:rsidRDefault="00F03051" w:rsidP="00F03051">
      <w:pPr>
        <w:jc w:val="both"/>
        <w:rPr>
          <w:rFonts w:ascii="Avenir Next" w:hAnsi="Avenir Next" w:cs="Arial"/>
          <w:color w:val="7B7B7B" w:themeColor="accent3" w:themeShade="BF"/>
          <w:sz w:val="22"/>
          <w:szCs w:val="22"/>
          <w:lang w:val="en-GB"/>
        </w:rPr>
      </w:pP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09F14B5C" w:rsid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08E4B04A" w14:textId="484BAC46" w:rsidR="0082161A" w:rsidRDefault="0082161A" w:rsidP="000778B1">
      <w:pPr>
        <w:pStyle w:val="AODocTxt"/>
        <w:spacing w:before="0" w:line="240" w:lineRule="auto"/>
        <w:ind w:left="720" w:hanging="720"/>
        <w:rPr>
          <w:rFonts w:ascii="Avenir Next" w:hAnsi="Avenir Next"/>
        </w:rPr>
      </w:pPr>
    </w:p>
    <w:p w14:paraId="1A1CC569" w14:textId="5CCE07A9" w:rsidR="0082161A" w:rsidRDefault="0082161A" w:rsidP="000778B1">
      <w:pPr>
        <w:pStyle w:val="AODocTxt"/>
        <w:spacing w:before="0" w:line="240" w:lineRule="auto"/>
        <w:ind w:left="720" w:hanging="720"/>
        <w:rPr>
          <w:rFonts w:ascii="Avenir Next" w:hAnsi="Avenir Next"/>
        </w:rPr>
      </w:pPr>
    </w:p>
    <w:p w14:paraId="71B67E27" w14:textId="6AE173E7" w:rsidR="00E01803" w:rsidRPr="0082161A" w:rsidRDefault="0082161A" w:rsidP="00DE4D20">
      <w:pPr>
        <w:pStyle w:val="AODocTxt"/>
        <w:spacing w:before="0" w:line="240" w:lineRule="auto"/>
        <w:ind w:left="720"/>
        <w:rPr>
          <w:rFonts w:ascii="Arial" w:hAnsi="Arial" w:cs="Arial"/>
        </w:rPr>
      </w:pPr>
      <w:r>
        <w:rPr>
          <w:rFonts w:ascii="Arial" w:hAnsi="Arial" w:cs="Arial"/>
        </w:rPr>
        <w:t xml:space="preserve">GameMart can transfer the factory lease as part of the 363 sale without Land Corp’s consent notwithstanding the </w:t>
      </w:r>
      <w:r w:rsidR="00B17674">
        <w:rPr>
          <w:rFonts w:ascii="Arial" w:hAnsi="Arial" w:cs="Arial"/>
        </w:rPr>
        <w:t>prohibition</w:t>
      </w:r>
      <w:r>
        <w:rPr>
          <w:rFonts w:ascii="Arial" w:hAnsi="Arial" w:cs="Arial"/>
        </w:rPr>
        <w:t xml:space="preserve"> of assignment without Land Corp’s consent.</w:t>
      </w:r>
      <w:r w:rsidR="004D2CEE">
        <w:rPr>
          <w:rStyle w:val="FootnoteReference"/>
          <w:rFonts w:ascii="Arial" w:hAnsi="Arial" w:cs="Arial"/>
        </w:rPr>
        <w:footnoteReference w:id="6"/>
      </w:r>
      <w:r w:rsidR="003A45D9">
        <w:rPr>
          <w:rFonts w:ascii="Arial" w:hAnsi="Arial" w:cs="Arial"/>
        </w:rPr>
        <w:t xml:space="preserve"> This is to ensure continuity of business for GameMart so it remains a viable entity.</w:t>
      </w:r>
      <w:r>
        <w:rPr>
          <w:rFonts w:ascii="Arial" w:hAnsi="Arial" w:cs="Arial"/>
        </w:rPr>
        <w:t xml:space="preserve"> </w:t>
      </w:r>
    </w:p>
    <w:p w14:paraId="2BD8B1AF" w14:textId="54A94D6D" w:rsidR="00F03051" w:rsidRPr="00E41578" w:rsidRDefault="00F03051" w:rsidP="00F03051">
      <w:pPr>
        <w:jc w:val="both"/>
        <w:rPr>
          <w:rFonts w:ascii="Avenir Next" w:hAnsi="Avenir Next" w:cs="Arial"/>
          <w:color w:val="7B7B7B" w:themeColor="accent3" w:themeShade="BF"/>
          <w:sz w:val="22"/>
          <w:szCs w:val="22"/>
          <w:lang w:val="en-GB"/>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C216" w14:textId="77777777" w:rsidR="0067160E" w:rsidRDefault="0067160E" w:rsidP="00241B44">
      <w:r>
        <w:separator/>
      </w:r>
    </w:p>
  </w:endnote>
  <w:endnote w:type="continuationSeparator" w:id="0">
    <w:p w14:paraId="65223B8A" w14:textId="77777777" w:rsidR="0067160E" w:rsidRDefault="006716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78E93B28"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4B38FB">
          <w:rPr>
            <w:rStyle w:val="PageNumber"/>
            <w:rFonts w:ascii="Avenir Next" w:hAnsi="Avenir Next" w:cs="Arial"/>
            <w:noProof/>
            <w:sz w:val="22"/>
            <w:szCs w:val="22"/>
          </w:rPr>
          <w:t>9</w:t>
        </w:r>
        <w:r w:rsidRPr="00494B81">
          <w:rPr>
            <w:rStyle w:val="PageNumber"/>
            <w:rFonts w:ascii="Avenir Next" w:hAnsi="Avenir Next" w:cs="Arial"/>
            <w:sz w:val="22"/>
            <w:szCs w:val="22"/>
          </w:rPr>
          <w:fldChar w:fldCharType="end"/>
        </w:r>
      </w:p>
    </w:sdtContent>
  </w:sdt>
  <w:p w14:paraId="30F05E79" w14:textId="0A5CEAFA" w:rsidR="00241FA3" w:rsidRPr="00494B81" w:rsidRDefault="00F00DE0" w:rsidP="009B4976">
    <w:pPr>
      <w:pStyle w:val="Footer"/>
      <w:ind w:right="360"/>
      <w:rPr>
        <w:rFonts w:ascii="Avenir Next" w:hAnsi="Avenir Next" w:cs="Arial"/>
        <w:sz w:val="22"/>
        <w:szCs w:val="22"/>
        <w:lang w:val="en-GB"/>
      </w:rPr>
    </w:pPr>
    <w:r>
      <w:rPr>
        <w:rFonts w:ascii="Avenir Next" w:hAnsi="Avenir Next" w:cs="Arial"/>
        <w:sz w:val="22"/>
        <w:szCs w:val="22"/>
        <w:lang w:val="en-GB"/>
      </w:rPr>
      <w:t>202223-787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20D7" w14:textId="77777777" w:rsidR="0067160E" w:rsidRDefault="0067160E" w:rsidP="00241B44">
      <w:r>
        <w:separator/>
      </w:r>
    </w:p>
  </w:footnote>
  <w:footnote w:type="continuationSeparator" w:id="0">
    <w:p w14:paraId="292564A8" w14:textId="77777777" w:rsidR="0067160E" w:rsidRDefault="0067160E" w:rsidP="00241B44">
      <w:r>
        <w:continuationSeparator/>
      </w:r>
    </w:p>
  </w:footnote>
  <w:footnote w:id="1">
    <w:p w14:paraId="719B40F7" w14:textId="7291D3D0" w:rsidR="00BA4466" w:rsidRDefault="00BA4466">
      <w:pPr>
        <w:pStyle w:val="FootnoteText"/>
      </w:pPr>
      <w:r>
        <w:rPr>
          <w:rStyle w:val="FootnoteReference"/>
        </w:rPr>
        <w:footnoteRef/>
      </w:r>
      <w:r>
        <w:t xml:space="preserve"> </w:t>
      </w:r>
      <w:proofErr w:type="gramStart"/>
      <w:r>
        <w:t>S.1520(</w:t>
      </w:r>
      <w:proofErr w:type="gramEnd"/>
      <w:r>
        <w:t>a) (1).</w:t>
      </w:r>
      <w:r w:rsidR="004B38FB">
        <w:t xml:space="preserve"> Bankruptcy Code.</w:t>
      </w:r>
      <w:bookmarkStart w:id="1" w:name="_GoBack"/>
      <w:bookmarkEnd w:id="1"/>
    </w:p>
  </w:footnote>
  <w:footnote w:id="2">
    <w:p w14:paraId="35829040" w14:textId="6DF9C30A" w:rsidR="0057268E" w:rsidRDefault="0057268E">
      <w:pPr>
        <w:pStyle w:val="FootnoteText"/>
      </w:pPr>
      <w:r>
        <w:rPr>
          <w:rStyle w:val="FootnoteReference"/>
        </w:rPr>
        <w:footnoteRef/>
      </w:r>
      <w:r>
        <w:t xml:space="preserve"> 11 USC, S.1521.</w:t>
      </w:r>
    </w:p>
  </w:footnote>
  <w:footnote w:id="3">
    <w:p w14:paraId="771A52AB" w14:textId="2E9A0B83" w:rsidR="009500DE" w:rsidRPr="009500DE" w:rsidRDefault="009500DE">
      <w:pPr>
        <w:pStyle w:val="FootnoteText"/>
        <w:rPr>
          <w:lang w:val="en-ZA"/>
        </w:rPr>
      </w:pPr>
      <w:r>
        <w:rPr>
          <w:rStyle w:val="FootnoteReference"/>
        </w:rPr>
        <w:footnoteRef/>
      </w:r>
      <w:r>
        <w:rPr>
          <w:rStyle w:val="FootnoteReference"/>
        </w:rPr>
        <w:footnoteRef/>
      </w:r>
      <w:r>
        <w:t xml:space="preserve"> </w:t>
      </w:r>
      <w:r>
        <w:rPr>
          <w:lang w:val="en-ZA"/>
        </w:rPr>
        <w:t>II USC, 303.</w:t>
      </w:r>
    </w:p>
  </w:footnote>
  <w:footnote w:id="4">
    <w:p w14:paraId="1749B96F" w14:textId="3B3B1A5B" w:rsidR="0060600D" w:rsidRDefault="0060600D">
      <w:pPr>
        <w:pStyle w:val="FootnoteText"/>
      </w:pPr>
      <w:r>
        <w:rPr>
          <w:rStyle w:val="FootnoteReference"/>
        </w:rPr>
        <w:footnoteRef/>
      </w:r>
      <w:r>
        <w:t xml:space="preserve"> S. 101 (23).</w:t>
      </w:r>
    </w:p>
  </w:footnote>
  <w:footnote w:id="5">
    <w:p w14:paraId="5A965116" w14:textId="638C4A81" w:rsidR="004D2CEE" w:rsidRDefault="004D2CEE">
      <w:pPr>
        <w:pStyle w:val="FootnoteText"/>
      </w:pPr>
      <w:r>
        <w:rPr>
          <w:rStyle w:val="FootnoteReference"/>
        </w:rPr>
        <w:footnoteRef/>
      </w:r>
      <w:r>
        <w:t xml:space="preserve"> </w:t>
      </w:r>
      <w:r w:rsidR="004B38FB">
        <w:t>Bankruptcy</w:t>
      </w:r>
      <w:r>
        <w:t xml:space="preserve"> code s.365 (n).</w:t>
      </w:r>
    </w:p>
  </w:footnote>
  <w:footnote w:id="6">
    <w:p w14:paraId="767A3DE6" w14:textId="7679D7D5" w:rsidR="004D2CEE" w:rsidRDefault="004D2CEE">
      <w:pPr>
        <w:pStyle w:val="FootnoteText"/>
      </w:pPr>
      <w:r>
        <w:rPr>
          <w:rStyle w:val="FootnoteReference"/>
        </w:rPr>
        <w:footnoteRef/>
      </w:r>
      <w:r>
        <w:t xml:space="preserve"> S. 365 ( c ) and ( 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97D77"/>
    <w:multiLevelType w:val="hybridMultilevel"/>
    <w:tmpl w:val="416AE2FE"/>
    <w:lvl w:ilvl="0" w:tplc="1C090019">
      <w:start w:val="1"/>
      <w:numFmt w:val="lowerLetter"/>
      <w:lvlText w:val="%1."/>
      <w:lvlJc w:val="left"/>
      <w:pPr>
        <w:ind w:left="1560" w:hanging="360"/>
      </w:p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B34DE"/>
    <w:multiLevelType w:val="hybridMultilevel"/>
    <w:tmpl w:val="B1C095B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60E8B"/>
    <w:multiLevelType w:val="hybridMultilevel"/>
    <w:tmpl w:val="24E243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143F4"/>
    <w:multiLevelType w:val="hybridMultilevel"/>
    <w:tmpl w:val="333E62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878F7"/>
    <w:multiLevelType w:val="hybridMultilevel"/>
    <w:tmpl w:val="D94E4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601E5"/>
    <w:multiLevelType w:val="hybridMultilevel"/>
    <w:tmpl w:val="C9F65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5"/>
  </w:num>
  <w:num w:numId="4">
    <w:abstractNumId w:val="9"/>
  </w:num>
  <w:num w:numId="5">
    <w:abstractNumId w:val="12"/>
  </w:num>
  <w:num w:numId="6">
    <w:abstractNumId w:val="33"/>
  </w:num>
  <w:num w:numId="7">
    <w:abstractNumId w:val="6"/>
  </w:num>
  <w:num w:numId="8">
    <w:abstractNumId w:val="35"/>
  </w:num>
  <w:num w:numId="9">
    <w:abstractNumId w:val="13"/>
  </w:num>
  <w:num w:numId="10">
    <w:abstractNumId w:val="29"/>
  </w:num>
  <w:num w:numId="11">
    <w:abstractNumId w:val="15"/>
  </w:num>
  <w:num w:numId="12">
    <w:abstractNumId w:val="25"/>
  </w:num>
  <w:num w:numId="13">
    <w:abstractNumId w:val="0"/>
  </w:num>
  <w:num w:numId="14">
    <w:abstractNumId w:val="11"/>
  </w:num>
  <w:num w:numId="15">
    <w:abstractNumId w:val="20"/>
  </w:num>
  <w:num w:numId="16">
    <w:abstractNumId w:val="8"/>
  </w:num>
  <w:num w:numId="17">
    <w:abstractNumId w:val="3"/>
  </w:num>
  <w:num w:numId="18">
    <w:abstractNumId w:val="2"/>
  </w:num>
  <w:num w:numId="19">
    <w:abstractNumId w:val="31"/>
  </w:num>
  <w:num w:numId="20">
    <w:abstractNumId w:val="7"/>
  </w:num>
  <w:num w:numId="21">
    <w:abstractNumId w:val="28"/>
  </w:num>
  <w:num w:numId="22">
    <w:abstractNumId w:val="36"/>
  </w:num>
  <w:num w:numId="23">
    <w:abstractNumId w:val="14"/>
  </w:num>
  <w:num w:numId="24">
    <w:abstractNumId w:val="32"/>
  </w:num>
  <w:num w:numId="25">
    <w:abstractNumId w:val="21"/>
  </w:num>
  <w:num w:numId="26">
    <w:abstractNumId w:val="23"/>
  </w:num>
  <w:num w:numId="27">
    <w:abstractNumId w:val="16"/>
  </w:num>
  <w:num w:numId="28">
    <w:abstractNumId w:val="34"/>
  </w:num>
  <w:num w:numId="29">
    <w:abstractNumId w:val="1"/>
  </w:num>
  <w:num w:numId="30">
    <w:abstractNumId w:val="18"/>
  </w:num>
  <w:num w:numId="31">
    <w:abstractNumId w:val="24"/>
  </w:num>
  <w:num w:numId="32">
    <w:abstractNumId w:val="10"/>
  </w:num>
  <w:num w:numId="33">
    <w:abstractNumId w:val="26"/>
  </w:num>
  <w:num w:numId="34">
    <w:abstractNumId w:val="17"/>
  </w:num>
  <w:num w:numId="35">
    <w:abstractNumId w:val="4"/>
  </w:num>
  <w:num w:numId="36">
    <w:abstractNumId w:val="19"/>
  </w:num>
  <w:num w:numId="3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0C81"/>
    <w:rsid w:val="00021FC2"/>
    <w:rsid w:val="00022E00"/>
    <w:rsid w:val="000250C7"/>
    <w:rsid w:val="00026F16"/>
    <w:rsid w:val="000346E7"/>
    <w:rsid w:val="00037621"/>
    <w:rsid w:val="00037671"/>
    <w:rsid w:val="00042C87"/>
    <w:rsid w:val="00044704"/>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B6860"/>
    <w:rsid w:val="000C4C5B"/>
    <w:rsid w:val="000D55A8"/>
    <w:rsid w:val="000E4841"/>
    <w:rsid w:val="000F1677"/>
    <w:rsid w:val="000F3D6C"/>
    <w:rsid w:val="000F7FC2"/>
    <w:rsid w:val="00101707"/>
    <w:rsid w:val="00102CC9"/>
    <w:rsid w:val="0011473D"/>
    <w:rsid w:val="00115C85"/>
    <w:rsid w:val="0012224B"/>
    <w:rsid w:val="00123855"/>
    <w:rsid w:val="00126A4D"/>
    <w:rsid w:val="00130DF4"/>
    <w:rsid w:val="0014171F"/>
    <w:rsid w:val="0014622C"/>
    <w:rsid w:val="00152348"/>
    <w:rsid w:val="00153CFC"/>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B596E"/>
    <w:rsid w:val="001C26EC"/>
    <w:rsid w:val="001C45FC"/>
    <w:rsid w:val="001D0469"/>
    <w:rsid w:val="001D4862"/>
    <w:rsid w:val="001E25B9"/>
    <w:rsid w:val="001E291F"/>
    <w:rsid w:val="001E49E0"/>
    <w:rsid w:val="001E7B5A"/>
    <w:rsid w:val="001F7412"/>
    <w:rsid w:val="00202DFE"/>
    <w:rsid w:val="0020725B"/>
    <w:rsid w:val="002110F1"/>
    <w:rsid w:val="00223917"/>
    <w:rsid w:val="0024116D"/>
    <w:rsid w:val="00241B44"/>
    <w:rsid w:val="00241FA3"/>
    <w:rsid w:val="00245EFB"/>
    <w:rsid w:val="0025386E"/>
    <w:rsid w:val="00256B74"/>
    <w:rsid w:val="00257F9B"/>
    <w:rsid w:val="0026166E"/>
    <w:rsid w:val="002638B0"/>
    <w:rsid w:val="0026647A"/>
    <w:rsid w:val="002668D3"/>
    <w:rsid w:val="0027299F"/>
    <w:rsid w:val="00284EBE"/>
    <w:rsid w:val="002903A7"/>
    <w:rsid w:val="0029433F"/>
    <w:rsid w:val="00294829"/>
    <w:rsid w:val="0029690F"/>
    <w:rsid w:val="00297C8A"/>
    <w:rsid w:val="002A2A60"/>
    <w:rsid w:val="002A37BB"/>
    <w:rsid w:val="002B1C45"/>
    <w:rsid w:val="002B3417"/>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0772"/>
    <w:rsid w:val="003144EF"/>
    <w:rsid w:val="00323167"/>
    <w:rsid w:val="00325A8F"/>
    <w:rsid w:val="00326292"/>
    <w:rsid w:val="00326415"/>
    <w:rsid w:val="00327E4E"/>
    <w:rsid w:val="00330937"/>
    <w:rsid w:val="00330F31"/>
    <w:rsid w:val="00332033"/>
    <w:rsid w:val="00334648"/>
    <w:rsid w:val="0033768C"/>
    <w:rsid w:val="00337938"/>
    <w:rsid w:val="00340769"/>
    <w:rsid w:val="00341AA6"/>
    <w:rsid w:val="003502EB"/>
    <w:rsid w:val="00361A0A"/>
    <w:rsid w:val="00364836"/>
    <w:rsid w:val="0036565C"/>
    <w:rsid w:val="0036625E"/>
    <w:rsid w:val="0037465A"/>
    <w:rsid w:val="00376690"/>
    <w:rsid w:val="00382C98"/>
    <w:rsid w:val="0038411A"/>
    <w:rsid w:val="0038533C"/>
    <w:rsid w:val="00386568"/>
    <w:rsid w:val="00390B57"/>
    <w:rsid w:val="003948D5"/>
    <w:rsid w:val="00396821"/>
    <w:rsid w:val="00397D3A"/>
    <w:rsid w:val="003A051E"/>
    <w:rsid w:val="003A45D9"/>
    <w:rsid w:val="003A5537"/>
    <w:rsid w:val="003A75F4"/>
    <w:rsid w:val="003B170F"/>
    <w:rsid w:val="003B349F"/>
    <w:rsid w:val="003B3C5F"/>
    <w:rsid w:val="003B7184"/>
    <w:rsid w:val="003C3388"/>
    <w:rsid w:val="003C4471"/>
    <w:rsid w:val="003C53FE"/>
    <w:rsid w:val="003D0A6D"/>
    <w:rsid w:val="003E0792"/>
    <w:rsid w:val="003E0B16"/>
    <w:rsid w:val="003E67D1"/>
    <w:rsid w:val="003F3596"/>
    <w:rsid w:val="00404329"/>
    <w:rsid w:val="00405DC1"/>
    <w:rsid w:val="0041001B"/>
    <w:rsid w:val="00415F1F"/>
    <w:rsid w:val="0042108F"/>
    <w:rsid w:val="004248F6"/>
    <w:rsid w:val="004273B0"/>
    <w:rsid w:val="00430FED"/>
    <w:rsid w:val="00434A8C"/>
    <w:rsid w:val="00437297"/>
    <w:rsid w:val="00444284"/>
    <w:rsid w:val="00445CE6"/>
    <w:rsid w:val="004534C2"/>
    <w:rsid w:val="0045446F"/>
    <w:rsid w:val="00455018"/>
    <w:rsid w:val="0045683E"/>
    <w:rsid w:val="00465C25"/>
    <w:rsid w:val="00477C72"/>
    <w:rsid w:val="004830F8"/>
    <w:rsid w:val="00484B73"/>
    <w:rsid w:val="00491675"/>
    <w:rsid w:val="00493855"/>
    <w:rsid w:val="00494B81"/>
    <w:rsid w:val="00495E79"/>
    <w:rsid w:val="004A0F63"/>
    <w:rsid w:val="004A57DD"/>
    <w:rsid w:val="004A7B51"/>
    <w:rsid w:val="004A7D71"/>
    <w:rsid w:val="004A7EF3"/>
    <w:rsid w:val="004B11FD"/>
    <w:rsid w:val="004B23A2"/>
    <w:rsid w:val="004B38FB"/>
    <w:rsid w:val="004D1A5A"/>
    <w:rsid w:val="004D2CEE"/>
    <w:rsid w:val="004D2FFF"/>
    <w:rsid w:val="004D3721"/>
    <w:rsid w:val="004D4255"/>
    <w:rsid w:val="004D64F9"/>
    <w:rsid w:val="004E3A6B"/>
    <w:rsid w:val="004E5AF5"/>
    <w:rsid w:val="004E622C"/>
    <w:rsid w:val="004F49B5"/>
    <w:rsid w:val="004F5FDF"/>
    <w:rsid w:val="004F7B99"/>
    <w:rsid w:val="0051291A"/>
    <w:rsid w:val="005143D6"/>
    <w:rsid w:val="00515810"/>
    <w:rsid w:val="005177FE"/>
    <w:rsid w:val="0052263B"/>
    <w:rsid w:val="00524728"/>
    <w:rsid w:val="005331CA"/>
    <w:rsid w:val="00537424"/>
    <w:rsid w:val="00537970"/>
    <w:rsid w:val="00540E3A"/>
    <w:rsid w:val="00544127"/>
    <w:rsid w:val="005463A9"/>
    <w:rsid w:val="00553EB2"/>
    <w:rsid w:val="005566FD"/>
    <w:rsid w:val="00560534"/>
    <w:rsid w:val="0056391B"/>
    <w:rsid w:val="005650E2"/>
    <w:rsid w:val="00567AD7"/>
    <w:rsid w:val="0057268E"/>
    <w:rsid w:val="00575B2D"/>
    <w:rsid w:val="005833D0"/>
    <w:rsid w:val="00583D8E"/>
    <w:rsid w:val="005846F3"/>
    <w:rsid w:val="0058622F"/>
    <w:rsid w:val="00587019"/>
    <w:rsid w:val="00592F82"/>
    <w:rsid w:val="005A0CCA"/>
    <w:rsid w:val="005A6F09"/>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332F"/>
    <w:rsid w:val="0060600D"/>
    <w:rsid w:val="00610388"/>
    <w:rsid w:val="00610AC7"/>
    <w:rsid w:val="0061188A"/>
    <w:rsid w:val="00612CA5"/>
    <w:rsid w:val="006153EC"/>
    <w:rsid w:val="00621A17"/>
    <w:rsid w:val="00622C36"/>
    <w:rsid w:val="006245E3"/>
    <w:rsid w:val="00626210"/>
    <w:rsid w:val="00627CC9"/>
    <w:rsid w:val="00627E7B"/>
    <w:rsid w:val="00630542"/>
    <w:rsid w:val="00632E44"/>
    <w:rsid w:val="00634622"/>
    <w:rsid w:val="00635ACC"/>
    <w:rsid w:val="00636808"/>
    <w:rsid w:val="0064013D"/>
    <w:rsid w:val="00641515"/>
    <w:rsid w:val="00647F65"/>
    <w:rsid w:val="00654C2F"/>
    <w:rsid w:val="00657087"/>
    <w:rsid w:val="006639DB"/>
    <w:rsid w:val="006661EF"/>
    <w:rsid w:val="0067160E"/>
    <w:rsid w:val="00677AEB"/>
    <w:rsid w:val="00680EF2"/>
    <w:rsid w:val="00687A1D"/>
    <w:rsid w:val="00697EA1"/>
    <w:rsid w:val="006A2646"/>
    <w:rsid w:val="006A6530"/>
    <w:rsid w:val="006B3571"/>
    <w:rsid w:val="006B435A"/>
    <w:rsid w:val="006B4C64"/>
    <w:rsid w:val="006B71AC"/>
    <w:rsid w:val="006C65F4"/>
    <w:rsid w:val="006D30B0"/>
    <w:rsid w:val="006D6BD5"/>
    <w:rsid w:val="006E481A"/>
    <w:rsid w:val="006E5298"/>
    <w:rsid w:val="006F4A78"/>
    <w:rsid w:val="006F734A"/>
    <w:rsid w:val="00700D83"/>
    <w:rsid w:val="00704852"/>
    <w:rsid w:val="007074E9"/>
    <w:rsid w:val="00710731"/>
    <w:rsid w:val="00713DA4"/>
    <w:rsid w:val="00714BF1"/>
    <w:rsid w:val="00717C2C"/>
    <w:rsid w:val="00721383"/>
    <w:rsid w:val="0073158B"/>
    <w:rsid w:val="007333CC"/>
    <w:rsid w:val="0073399A"/>
    <w:rsid w:val="007522DD"/>
    <w:rsid w:val="007603F5"/>
    <w:rsid w:val="00760F4A"/>
    <w:rsid w:val="00764DB0"/>
    <w:rsid w:val="007663B4"/>
    <w:rsid w:val="0076764D"/>
    <w:rsid w:val="00771192"/>
    <w:rsid w:val="0077498C"/>
    <w:rsid w:val="00777C53"/>
    <w:rsid w:val="007809BC"/>
    <w:rsid w:val="00784128"/>
    <w:rsid w:val="00787BCC"/>
    <w:rsid w:val="00793173"/>
    <w:rsid w:val="0079776A"/>
    <w:rsid w:val="007A2A33"/>
    <w:rsid w:val="007B0809"/>
    <w:rsid w:val="007B1FE8"/>
    <w:rsid w:val="007B5C89"/>
    <w:rsid w:val="007C1FCC"/>
    <w:rsid w:val="007C6201"/>
    <w:rsid w:val="007D0192"/>
    <w:rsid w:val="007D7C92"/>
    <w:rsid w:val="007E1154"/>
    <w:rsid w:val="007E5D3B"/>
    <w:rsid w:val="007E6BA4"/>
    <w:rsid w:val="007F12AB"/>
    <w:rsid w:val="007F41F8"/>
    <w:rsid w:val="007F659B"/>
    <w:rsid w:val="0080454E"/>
    <w:rsid w:val="00804C32"/>
    <w:rsid w:val="00805305"/>
    <w:rsid w:val="00806302"/>
    <w:rsid w:val="00807119"/>
    <w:rsid w:val="0082161A"/>
    <w:rsid w:val="0082483F"/>
    <w:rsid w:val="00824E71"/>
    <w:rsid w:val="008279C0"/>
    <w:rsid w:val="00834F92"/>
    <w:rsid w:val="00863006"/>
    <w:rsid w:val="008676D2"/>
    <w:rsid w:val="008723F3"/>
    <w:rsid w:val="0087276F"/>
    <w:rsid w:val="00881DE6"/>
    <w:rsid w:val="008837A6"/>
    <w:rsid w:val="0089145D"/>
    <w:rsid w:val="00895EF1"/>
    <w:rsid w:val="008A4DF2"/>
    <w:rsid w:val="008A6CFE"/>
    <w:rsid w:val="008A771D"/>
    <w:rsid w:val="008B4F15"/>
    <w:rsid w:val="008B5333"/>
    <w:rsid w:val="008B6223"/>
    <w:rsid w:val="008C66E0"/>
    <w:rsid w:val="008D223A"/>
    <w:rsid w:val="008E3339"/>
    <w:rsid w:val="008F20FC"/>
    <w:rsid w:val="008F5FFE"/>
    <w:rsid w:val="00902FA7"/>
    <w:rsid w:val="00904692"/>
    <w:rsid w:val="00905A43"/>
    <w:rsid w:val="00912C79"/>
    <w:rsid w:val="00921B8C"/>
    <w:rsid w:val="0092565E"/>
    <w:rsid w:val="0093467C"/>
    <w:rsid w:val="00942123"/>
    <w:rsid w:val="009500DE"/>
    <w:rsid w:val="0095207B"/>
    <w:rsid w:val="00962045"/>
    <w:rsid w:val="00965CE1"/>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1E66"/>
    <w:rsid w:val="009E2AEB"/>
    <w:rsid w:val="009E2E27"/>
    <w:rsid w:val="009E37F5"/>
    <w:rsid w:val="009E45DF"/>
    <w:rsid w:val="009E4DE3"/>
    <w:rsid w:val="009F275E"/>
    <w:rsid w:val="00A024E7"/>
    <w:rsid w:val="00A047EE"/>
    <w:rsid w:val="00A04D79"/>
    <w:rsid w:val="00A2274A"/>
    <w:rsid w:val="00A235B7"/>
    <w:rsid w:val="00A276F5"/>
    <w:rsid w:val="00A27A7A"/>
    <w:rsid w:val="00A3165E"/>
    <w:rsid w:val="00A34ABE"/>
    <w:rsid w:val="00A407EF"/>
    <w:rsid w:val="00A40C81"/>
    <w:rsid w:val="00A4263A"/>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2827"/>
    <w:rsid w:val="00AF228E"/>
    <w:rsid w:val="00B016A8"/>
    <w:rsid w:val="00B01E81"/>
    <w:rsid w:val="00B10961"/>
    <w:rsid w:val="00B14819"/>
    <w:rsid w:val="00B15E2F"/>
    <w:rsid w:val="00B17674"/>
    <w:rsid w:val="00B17AA9"/>
    <w:rsid w:val="00B27E6E"/>
    <w:rsid w:val="00B44713"/>
    <w:rsid w:val="00B56103"/>
    <w:rsid w:val="00B642DB"/>
    <w:rsid w:val="00B64929"/>
    <w:rsid w:val="00B736DF"/>
    <w:rsid w:val="00B743D6"/>
    <w:rsid w:val="00B74FBD"/>
    <w:rsid w:val="00B77B19"/>
    <w:rsid w:val="00B77F46"/>
    <w:rsid w:val="00B81719"/>
    <w:rsid w:val="00B82586"/>
    <w:rsid w:val="00B829A3"/>
    <w:rsid w:val="00B854AE"/>
    <w:rsid w:val="00B86DB1"/>
    <w:rsid w:val="00B87869"/>
    <w:rsid w:val="00B92109"/>
    <w:rsid w:val="00B9639B"/>
    <w:rsid w:val="00BA4466"/>
    <w:rsid w:val="00BB0F2B"/>
    <w:rsid w:val="00BB25CF"/>
    <w:rsid w:val="00BD4A58"/>
    <w:rsid w:val="00BD7337"/>
    <w:rsid w:val="00BE4FF3"/>
    <w:rsid w:val="00BF50F7"/>
    <w:rsid w:val="00C02F29"/>
    <w:rsid w:val="00C05895"/>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2E13"/>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22761"/>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1CB"/>
    <w:rsid w:val="00DD2E11"/>
    <w:rsid w:val="00DE03AF"/>
    <w:rsid w:val="00DE121C"/>
    <w:rsid w:val="00DE316C"/>
    <w:rsid w:val="00DE3E6F"/>
    <w:rsid w:val="00DE4D20"/>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4356"/>
    <w:rsid w:val="00E450A4"/>
    <w:rsid w:val="00E45D8A"/>
    <w:rsid w:val="00E506BE"/>
    <w:rsid w:val="00E5501D"/>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B5C6C"/>
    <w:rsid w:val="00EB7124"/>
    <w:rsid w:val="00EC441F"/>
    <w:rsid w:val="00EC4755"/>
    <w:rsid w:val="00ED0BC4"/>
    <w:rsid w:val="00ED447D"/>
    <w:rsid w:val="00ED738F"/>
    <w:rsid w:val="00ED74BC"/>
    <w:rsid w:val="00EE4971"/>
    <w:rsid w:val="00EF090E"/>
    <w:rsid w:val="00EF5572"/>
    <w:rsid w:val="00F00DE0"/>
    <w:rsid w:val="00F03051"/>
    <w:rsid w:val="00F033DA"/>
    <w:rsid w:val="00F1101E"/>
    <w:rsid w:val="00F13691"/>
    <w:rsid w:val="00F13FB1"/>
    <w:rsid w:val="00F27CD8"/>
    <w:rsid w:val="00F30351"/>
    <w:rsid w:val="00F3323E"/>
    <w:rsid w:val="00F341F4"/>
    <w:rsid w:val="00F34F9D"/>
    <w:rsid w:val="00F35CCE"/>
    <w:rsid w:val="00F5524B"/>
    <w:rsid w:val="00F559DF"/>
    <w:rsid w:val="00F60538"/>
    <w:rsid w:val="00F61DD2"/>
    <w:rsid w:val="00F66AFF"/>
    <w:rsid w:val="00F71433"/>
    <w:rsid w:val="00F84270"/>
    <w:rsid w:val="00F92140"/>
    <w:rsid w:val="00F97C5B"/>
    <w:rsid w:val="00FA3D50"/>
    <w:rsid w:val="00FB7FBD"/>
    <w:rsid w:val="00FC374A"/>
    <w:rsid w:val="00FC43EC"/>
    <w:rsid w:val="00FC5FB3"/>
    <w:rsid w:val="00FC7AC7"/>
    <w:rsid w:val="00FC7B47"/>
    <w:rsid w:val="00FD035C"/>
    <w:rsid w:val="00FD1A35"/>
    <w:rsid w:val="00FD2EA4"/>
    <w:rsid w:val="00FD36C5"/>
    <w:rsid w:val="00FD4A46"/>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CA15-1BB1-4781-B47F-715904A4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10</cp:revision>
  <cp:lastPrinted>2019-08-27T05:42:00Z</cp:lastPrinted>
  <dcterms:created xsi:type="dcterms:W3CDTF">2023-02-28T09:59:00Z</dcterms:created>
  <dcterms:modified xsi:type="dcterms:W3CDTF">2023-02-28T11:15:00Z</dcterms:modified>
</cp:coreProperties>
</file>