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eastAsia="ja-JP"/>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a3"/>
        <w:ind w:left="426"/>
        <w:jc w:val="both"/>
        <w:rPr>
          <w:rFonts w:ascii="Avenir Next" w:hAnsi="Avenir Next" w:cs="Arial"/>
          <w:sz w:val="22"/>
          <w:szCs w:val="22"/>
          <w:lang w:val="en-GB"/>
        </w:rPr>
      </w:pPr>
    </w:p>
    <w:p w14:paraId="327576EE" w14:textId="4AC8B157"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a3"/>
        <w:ind w:left="426"/>
        <w:jc w:val="both"/>
        <w:rPr>
          <w:rFonts w:ascii="Avenir Next" w:hAnsi="Avenir Next" w:cs="Arial"/>
          <w:sz w:val="22"/>
          <w:szCs w:val="22"/>
          <w:lang w:val="en-GB"/>
        </w:rPr>
      </w:pPr>
    </w:p>
    <w:p w14:paraId="5F606333" w14:textId="3F76D48E"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a3"/>
        <w:ind w:left="426"/>
        <w:jc w:val="both"/>
        <w:rPr>
          <w:rFonts w:ascii="Avenir Next" w:hAnsi="Avenir Next" w:cs="Arial"/>
          <w:sz w:val="22"/>
          <w:szCs w:val="22"/>
          <w:lang w:val="en-GB"/>
        </w:rPr>
      </w:pPr>
    </w:p>
    <w:p w14:paraId="0FCA7419" w14:textId="77777777" w:rsidR="00D66F96" w:rsidRPr="00F35D75" w:rsidRDefault="00D66F96" w:rsidP="005B7C95">
      <w:pPr>
        <w:pStyle w:val="a3"/>
        <w:numPr>
          <w:ilvl w:val="0"/>
          <w:numId w:val="26"/>
        </w:numPr>
        <w:ind w:left="426"/>
        <w:jc w:val="both"/>
        <w:rPr>
          <w:rFonts w:ascii="Avenir Next" w:hAnsi="Avenir Next" w:cs="Arial"/>
          <w:sz w:val="22"/>
          <w:szCs w:val="22"/>
          <w:highlight w:val="yellow"/>
          <w:lang w:val="en-GB"/>
        </w:rPr>
      </w:pPr>
      <w:r w:rsidRPr="00F35D75">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E16A04" w:rsidRDefault="00A26868" w:rsidP="00366B0C">
      <w:pPr>
        <w:pStyle w:val="a3"/>
        <w:numPr>
          <w:ilvl w:val="0"/>
          <w:numId w:val="3"/>
        </w:numPr>
        <w:ind w:left="426"/>
        <w:jc w:val="both"/>
        <w:rPr>
          <w:rFonts w:ascii="Avenir Next" w:hAnsi="Avenir Next" w:cs="Arial"/>
          <w:iCs/>
          <w:sz w:val="22"/>
          <w:szCs w:val="22"/>
          <w:highlight w:val="yellow"/>
          <w:lang w:val="en-GB"/>
        </w:rPr>
      </w:pPr>
      <w:r w:rsidRPr="00E16A04">
        <w:rPr>
          <w:rFonts w:ascii="Avenir Next" w:hAnsi="Avenir Next" w:cs="Arial"/>
          <w:iCs/>
          <w:sz w:val="22"/>
          <w:szCs w:val="22"/>
          <w:highlight w:val="yellow"/>
          <w:lang w:val="en-GB"/>
        </w:rPr>
        <w:t>t</w:t>
      </w:r>
      <w:r w:rsidR="00302D76" w:rsidRPr="00E16A04">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a3"/>
        <w:ind w:left="426"/>
        <w:jc w:val="both"/>
        <w:rPr>
          <w:rFonts w:ascii="Avenir Next" w:hAnsi="Avenir Next" w:cs="Arial"/>
          <w:iCs/>
          <w:sz w:val="22"/>
          <w:szCs w:val="22"/>
          <w:lang w:val="en-GB"/>
        </w:rPr>
      </w:pPr>
    </w:p>
    <w:p w14:paraId="74C0E9B6" w14:textId="32988A54" w:rsidR="005B79F4" w:rsidRPr="008E3C96" w:rsidRDefault="00A26868" w:rsidP="00D21F62">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366B0C">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a3"/>
        <w:ind w:left="426"/>
        <w:jc w:val="both"/>
        <w:rPr>
          <w:rFonts w:ascii="Avenir Next" w:hAnsi="Avenir Next" w:cs="Arial"/>
          <w:iCs/>
          <w:sz w:val="22"/>
          <w:szCs w:val="22"/>
          <w:lang w:val="en-GB"/>
        </w:rPr>
      </w:pPr>
    </w:p>
    <w:p w14:paraId="5447959C" w14:textId="5271DBEE" w:rsidR="00302D76" w:rsidRPr="008E3C96" w:rsidRDefault="00A26868" w:rsidP="00302D76">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a3"/>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E16A04" w:rsidRDefault="00302D76" w:rsidP="005B7C95">
      <w:pPr>
        <w:pStyle w:val="a3"/>
        <w:numPr>
          <w:ilvl w:val="0"/>
          <w:numId w:val="27"/>
        </w:numPr>
        <w:ind w:left="426"/>
        <w:jc w:val="both"/>
        <w:rPr>
          <w:rFonts w:ascii="Avenir Next" w:hAnsi="Avenir Next" w:cs="Arial"/>
          <w:iCs/>
          <w:sz w:val="22"/>
          <w:szCs w:val="22"/>
          <w:highlight w:val="yellow"/>
          <w:lang w:val="en-GB"/>
        </w:rPr>
      </w:pPr>
      <w:r w:rsidRPr="00E16A04">
        <w:rPr>
          <w:rFonts w:ascii="Avenir Next" w:hAnsi="Avenir Next" w:cs="Arial"/>
          <w:iCs/>
          <w:sz w:val="22"/>
          <w:szCs w:val="22"/>
          <w:highlight w:val="yellow"/>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a3"/>
        <w:ind w:left="426"/>
        <w:jc w:val="both"/>
        <w:rPr>
          <w:rFonts w:ascii="Avenir Next" w:hAnsi="Avenir Next" w:cs="Arial"/>
          <w:iCs/>
          <w:sz w:val="22"/>
          <w:szCs w:val="22"/>
          <w:lang w:val="en-GB"/>
        </w:rPr>
      </w:pPr>
    </w:p>
    <w:p w14:paraId="2E108863" w14:textId="6CFAAD40"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a3"/>
        <w:ind w:left="426"/>
        <w:jc w:val="both"/>
        <w:rPr>
          <w:rFonts w:ascii="Avenir Next" w:hAnsi="Avenir Next" w:cs="Arial"/>
          <w:iCs/>
          <w:sz w:val="22"/>
          <w:szCs w:val="22"/>
          <w:lang w:val="en-GB"/>
        </w:rPr>
      </w:pPr>
    </w:p>
    <w:p w14:paraId="4B4D02E6" w14:textId="77777777"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DA61BB" w:rsidRDefault="00971896" w:rsidP="003C4BCB">
      <w:pPr>
        <w:pStyle w:val="a3"/>
        <w:numPr>
          <w:ilvl w:val="0"/>
          <w:numId w:val="5"/>
        </w:numPr>
        <w:ind w:left="426"/>
        <w:jc w:val="both"/>
        <w:rPr>
          <w:rFonts w:ascii="Avenir Next" w:hAnsi="Avenir Next" w:cs="Arial"/>
          <w:sz w:val="22"/>
          <w:szCs w:val="22"/>
          <w:highlight w:val="yellow"/>
          <w:lang w:val="en-GB"/>
        </w:rPr>
      </w:pPr>
      <w:r w:rsidRPr="00DA61BB">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DA61BB">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a3"/>
        <w:ind w:left="426"/>
        <w:jc w:val="both"/>
        <w:rPr>
          <w:rFonts w:ascii="Avenir Next" w:hAnsi="Avenir Next" w:cs="Arial"/>
          <w:sz w:val="22"/>
          <w:szCs w:val="22"/>
          <w:lang w:val="en-GB"/>
        </w:rPr>
      </w:pPr>
    </w:p>
    <w:p w14:paraId="26A80627" w14:textId="6CEDA8AC" w:rsidR="00302D76" w:rsidRPr="008E3C96" w:rsidRDefault="00302D76"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a3"/>
        <w:ind w:left="426"/>
        <w:jc w:val="both"/>
        <w:rPr>
          <w:rFonts w:ascii="Avenir Next" w:hAnsi="Avenir Next" w:cs="Arial"/>
          <w:sz w:val="22"/>
          <w:szCs w:val="22"/>
          <w:lang w:val="en-GB"/>
        </w:rPr>
      </w:pPr>
    </w:p>
    <w:p w14:paraId="1700C230" w14:textId="7924230F" w:rsidR="00302D76" w:rsidRPr="008E3C96" w:rsidRDefault="00302D76"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a3"/>
        <w:ind w:left="426"/>
        <w:jc w:val="both"/>
        <w:rPr>
          <w:rFonts w:ascii="Avenir Next" w:hAnsi="Avenir Next" w:cs="Arial"/>
          <w:sz w:val="22"/>
          <w:szCs w:val="22"/>
          <w:lang w:val="en-GB"/>
        </w:rPr>
      </w:pPr>
    </w:p>
    <w:p w14:paraId="448D3B2E" w14:textId="77777777" w:rsidR="00CA7069" w:rsidRPr="00CB30F1" w:rsidRDefault="00CA7069" w:rsidP="008E3C96">
      <w:pPr>
        <w:pStyle w:val="a3"/>
        <w:numPr>
          <w:ilvl w:val="0"/>
          <w:numId w:val="28"/>
        </w:numPr>
        <w:ind w:left="426"/>
        <w:jc w:val="both"/>
        <w:rPr>
          <w:rFonts w:ascii="Avenir Next" w:hAnsi="Avenir Next" w:cs="Arial"/>
          <w:sz w:val="22"/>
          <w:szCs w:val="22"/>
          <w:highlight w:val="yellow"/>
          <w:lang w:val="en-GB"/>
        </w:rPr>
      </w:pPr>
      <w:r w:rsidRPr="00CB30F1">
        <w:rPr>
          <w:rFonts w:ascii="Avenir Next" w:hAnsi="Avenir Next" w:cs="Arial"/>
          <w:sz w:val="22"/>
          <w:szCs w:val="22"/>
          <w:highlight w:val="yellow"/>
          <w:lang w:val="en-GB"/>
        </w:rPr>
        <w:t>Article 31 EIR Recast (“</w:t>
      </w:r>
      <w:r w:rsidRPr="00CB30F1">
        <w:rPr>
          <w:rFonts w:ascii="Avenir Next" w:hAnsi="Avenir Next" w:cs="Arial"/>
          <w:bCs/>
          <w:sz w:val="22"/>
          <w:szCs w:val="22"/>
          <w:highlight w:val="yellow"/>
          <w:lang w:val="en-GB"/>
        </w:rPr>
        <w:t>Honouring of an obligation to a debtor”</w:t>
      </w:r>
      <w:r w:rsidRPr="00CB30F1">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a3"/>
        <w:ind w:left="426"/>
        <w:jc w:val="both"/>
        <w:rPr>
          <w:rFonts w:ascii="Avenir Next" w:hAnsi="Avenir Next" w:cs="Arial"/>
          <w:sz w:val="22"/>
          <w:szCs w:val="22"/>
          <w:lang w:val="en-GB"/>
        </w:rPr>
      </w:pPr>
    </w:p>
    <w:p w14:paraId="59E5541F" w14:textId="24AE7A7F" w:rsidR="00113E29" w:rsidRPr="008E3C96" w:rsidRDefault="00CA7069" w:rsidP="00CA7069">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2E25DB" w:rsidRDefault="00CA7069" w:rsidP="003C4BCB">
      <w:pPr>
        <w:pStyle w:val="a3"/>
        <w:numPr>
          <w:ilvl w:val="0"/>
          <w:numId w:val="7"/>
        </w:numPr>
        <w:ind w:left="426"/>
        <w:jc w:val="both"/>
        <w:rPr>
          <w:rFonts w:ascii="Avenir Next" w:hAnsi="Avenir Next" w:cs="Arial"/>
          <w:sz w:val="22"/>
          <w:szCs w:val="22"/>
          <w:highlight w:val="yellow"/>
          <w:lang w:val="en-GB"/>
        </w:rPr>
      </w:pPr>
      <w:r w:rsidRPr="002E25DB">
        <w:rPr>
          <w:rFonts w:ascii="Avenir Next" w:hAnsi="Avenir Next" w:cs="Arial"/>
          <w:sz w:val="22"/>
          <w:szCs w:val="22"/>
          <w:highlight w:val="yellow"/>
          <w:lang w:val="en-GB"/>
        </w:rPr>
        <w:lastRenderedPageBreak/>
        <w:t xml:space="preserve">Each Member State will define </w:t>
      </w:r>
      <w:r w:rsidR="001A68CC" w:rsidRPr="002E25DB">
        <w:rPr>
          <w:rFonts w:ascii="Avenir Next" w:hAnsi="Avenir Next" w:cs="Arial"/>
          <w:sz w:val="22"/>
          <w:szCs w:val="22"/>
          <w:highlight w:val="yellow"/>
          <w:lang w:val="en-GB"/>
        </w:rPr>
        <w:t>“</w:t>
      </w:r>
      <w:r w:rsidRPr="002E25DB">
        <w:rPr>
          <w:rFonts w:ascii="Avenir Next" w:hAnsi="Avenir Next" w:cs="Arial"/>
          <w:sz w:val="22"/>
          <w:szCs w:val="22"/>
          <w:highlight w:val="yellow"/>
          <w:lang w:val="en-GB"/>
        </w:rPr>
        <w:t>insolvency</w:t>
      </w:r>
      <w:r w:rsidR="001A68CC" w:rsidRPr="002E25DB">
        <w:rPr>
          <w:rFonts w:ascii="Avenir Next" w:hAnsi="Avenir Next" w:cs="Arial"/>
          <w:sz w:val="22"/>
          <w:szCs w:val="22"/>
          <w:highlight w:val="yellow"/>
          <w:lang w:val="en-GB"/>
        </w:rPr>
        <w:t>”</w:t>
      </w:r>
      <w:r w:rsidRPr="002E25DB">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2E25DB" w:rsidRDefault="00CA7069" w:rsidP="00CA7069">
      <w:pPr>
        <w:pStyle w:val="a3"/>
        <w:numPr>
          <w:ilvl w:val="0"/>
          <w:numId w:val="8"/>
        </w:numPr>
        <w:ind w:left="426"/>
        <w:jc w:val="both"/>
        <w:rPr>
          <w:rFonts w:ascii="Avenir Next" w:hAnsi="Avenir Next" w:cs="Arial"/>
          <w:sz w:val="22"/>
          <w:szCs w:val="22"/>
          <w:highlight w:val="yellow"/>
          <w:lang w:val="en-GB"/>
        </w:rPr>
      </w:pPr>
      <w:r w:rsidRPr="002E25DB">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a3"/>
        <w:ind w:left="426"/>
        <w:jc w:val="both"/>
        <w:rPr>
          <w:rFonts w:ascii="Avenir Next" w:hAnsi="Avenir Next" w:cs="Arial"/>
          <w:sz w:val="22"/>
          <w:szCs w:val="22"/>
          <w:lang w:val="en-GB"/>
        </w:rPr>
      </w:pPr>
    </w:p>
    <w:p w14:paraId="757169A8" w14:textId="47F05D2D" w:rsidR="00113E2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a3"/>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a3"/>
        <w:ind w:left="426"/>
        <w:jc w:val="both"/>
        <w:rPr>
          <w:rFonts w:ascii="Avenir Next" w:hAnsi="Avenir Next" w:cs="Arial"/>
          <w:sz w:val="22"/>
          <w:szCs w:val="22"/>
          <w:lang w:val="en-GB"/>
        </w:rPr>
      </w:pPr>
    </w:p>
    <w:p w14:paraId="02DEF131" w14:textId="169791F5"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a3"/>
        <w:ind w:left="426"/>
        <w:jc w:val="both"/>
        <w:rPr>
          <w:rFonts w:ascii="Avenir Next" w:hAnsi="Avenir Next" w:cs="Arial"/>
          <w:sz w:val="22"/>
          <w:szCs w:val="22"/>
          <w:lang w:val="en-GB"/>
        </w:rPr>
      </w:pPr>
    </w:p>
    <w:p w14:paraId="3DD7A10B" w14:textId="18EC073B"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a3"/>
        <w:ind w:left="426"/>
        <w:jc w:val="both"/>
        <w:rPr>
          <w:rFonts w:ascii="Avenir Next" w:hAnsi="Avenir Next" w:cs="Arial"/>
          <w:sz w:val="22"/>
          <w:szCs w:val="22"/>
          <w:lang w:val="en-GB"/>
        </w:rPr>
      </w:pPr>
    </w:p>
    <w:p w14:paraId="1449FE57" w14:textId="77777777" w:rsidR="00C15FA2" w:rsidRPr="002E25DB" w:rsidRDefault="00C15FA2" w:rsidP="008E3C96">
      <w:pPr>
        <w:pStyle w:val="a3"/>
        <w:numPr>
          <w:ilvl w:val="0"/>
          <w:numId w:val="29"/>
        </w:numPr>
        <w:ind w:left="426"/>
        <w:jc w:val="both"/>
        <w:rPr>
          <w:rFonts w:ascii="Avenir Next" w:hAnsi="Avenir Next" w:cs="Arial"/>
          <w:sz w:val="22"/>
          <w:szCs w:val="22"/>
          <w:highlight w:val="yellow"/>
          <w:lang w:val="en-GB"/>
        </w:rPr>
      </w:pPr>
      <w:r w:rsidRPr="002E25DB">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A50570" w:rsidRDefault="00EC242E" w:rsidP="008E3C96">
      <w:pPr>
        <w:pStyle w:val="a3"/>
        <w:numPr>
          <w:ilvl w:val="0"/>
          <w:numId w:val="30"/>
        </w:numPr>
        <w:ind w:left="426"/>
        <w:jc w:val="both"/>
        <w:rPr>
          <w:rFonts w:ascii="Avenir Next" w:hAnsi="Avenir Next" w:cs="Arial"/>
          <w:sz w:val="22"/>
          <w:szCs w:val="22"/>
          <w:highlight w:val="yellow"/>
          <w:lang w:val="en-GB"/>
        </w:rPr>
      </w:pPr>
      <w:r w:rsidRPr="00A50570">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a3"/>
        <w:ind w:left="426"/>
        <w:jc w:val="both"/>
        <w:rPr>
          <w:rFonts w:ascii="Avenir Next" w:hAnsi="Avenir Next" w:cs="Arial"/>
          <w:sz w:val="22"/>
          <w:szCs w:val="22"/>
          <w:lang w:val="en-GB"/>
        </w:rPr>
      </w:pPr>
    </w:p>
    <w:p w14:paraId="145983AE" w14:textId="77777777"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a3"/>
        <w:ind w:left="426"/>
        <w:jc w:val="both"/>
        <w:rPr>
          <w:rFonts w:ascii="Avenir Next" w:hAnsi="Avenir Next" w:cs="Arial"/>
          <w:sz w:val="22"/>
          <w:szCs w:val="22"/>
          <w:lang w:val="en-GB"/>
        </w:rPr>
      </w:pPr>
    </w:p>
    <w:p w14:paraId="0701B637" w14:textId="77777777"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a3"/>
        <w:ind w:left="426"/>
        <w:jc w:val="both"/>
        <w:rPr>
          <w:rFonts w:ascii="Avenir Next" w:hAnsi="Avenir Next" w:cs="Arial"/>
          <w:sz w:val="22"/>
          <w:szCs w:val="22"/>
          <w:lang w:val="en-GB"/>
        </w:rPr>
      </w:pPr>
    </w:p>
    <w:p w14:paraId="1D2436EF" w14:textId="2009EE5E"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Canetier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Canetier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2E2846" w:rsidRDefault="00EC242E" w:rsidP="00EC242E">
      <w:pPr>
        <w:pStyle w:val="a3"/>
        <w:numPr>
          <w:ilvl w:val="0"/>
          <w:numId w:val="9"/>
        </w:numPr>
        <w:ind w:left="426"/>
        <w:jc w:val="both"/>
        <w:rPr>
          <w:rFonts w:ascii="Avenir Next" w:hAnsi="Avenir Next" w:cs="Arial"/>
          <w:sz w:val="22"/>
          <w:szCs w:val="22"/>
          <w:highlight w:val="yellow"/>
          <w:lang w:val="en-GB"/>
        </w:rPr>
      </w:pPr>
      <w:r w:rsidRPr="002E2846">
        <w:rPr>
          <w:rFonts w:ascii="Avenir Next" w:hAnsi="Avenir Next" w:cs="Arial"/>
          <w:sz w:val="22"/>
          <w:szCs w:val="22"/>
          <w:highlight w:val="yellow"/>
          <w:lang w:val="en-GB"/>
        </w:rPr>
        <w:t xml:space="preserve">The contested transactions cannot be avoided if Canetier SARL can prove that the </w:t>
      </w:r>
      <w:r w:rsidRPr="002E2846">
        <w:rPr>
          <w:rFonts w:ascii="Avenir Next" w:hAnsi="Avenir Next" w:cs="Arial"/>
          <w:i/>
          <w:sz w:val="22"/>
          <w:szCs w:val="22"/>
          <w:highlight w:val="yellow"/>
          <w:lang w:val="en-GB"/>
        </w:rPr>
        <w:t>lex causae</w:t>
      </w:r>
      <w:r w:rsidRPr="002E2846">
        <w:rPr>
          <w:rFonts w:ascii="Avenir Next" w:hAnsi="Avenir Next"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a3"/>
        <w:ind w:left="426"/>
        <w:jc w:val="both"/>
        <w:rPr>
          <w:rFonts w:ascii="Avenir Next" w:hAnsi="Avenir Next" w:cs="Arial"/>
          <w:sz w:val="22"/>
          <w:szCs w:val="22"/>
          <w:lang w:val="en-GB"/>
        </w:rPr>
      </w:pPr>
    </w:p>
    <w:p w14:paraId="22DD9FEF" w14:textId="18795AB2" w:rsidR="00054E15" w:rsidRPr="008E3C96" w:rsidRDefault="00054E15" w:rsidP="00054E15">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Canetier SARL proves that such transactions cannot be challenged on the basis of the insolvency provisions of Italian law (Article 16 EIR Recast).</w:t>
      </w:r>
    </w:p>
    <w:p w14:paraId="53AE8D5A" w14:textId="77777777" w:rsidR="00054E15" w:rsidRPr="008E3C96" w:rsidRDefault="00054E15" w:rsidP="00183ED8">
      <w:pPr>
        <w:pStyle w:val="a3"/>
        <w:ind w:left="426"/>
        <w:jc w:val="both"/>
        <w:rPr>
          <w:rFonts w:ascii="Avenir Next" w:hAnsi="Avenir Next" w:cs="Arial"/>
          <w:sz w:val="22"/>
          <w:szCs w:val="22"/>
          <w:lang w:val="en-GB"/>
        </w:rPr>
      </w:pPr>
    </w:p>
    <w:p w14:paraId="2DD3E669" w14:textId="77777777" w:rsidR="00EC242E" w:rsidRPr="008E3C96" w:rsidRDefault="00EC242E" w:rsidP="00EC242E">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Canetier SARL can rely solely, in a purely abstract manner, on the unchallengeable character of the payments at issue on the basis of a provision of the </w:t>
      </w:r>
      <w:r w:rsidRPr="008E3C96">
        <w:rPr>
          <w:rFonts w:ascii="Avenir Next" w:hAnsi="Avenir Next" w:cs="Arial"/>
          <w:i/>
          <w:sz w:val="22"/>
          <w:szCs w:val="22"/>
          <w:lang w:val="en-GB"/>
        </w:rPr>
        <w:t>lex causae</w:t>
      </w:r>
      <w:r w:rsidRPr="008E3C96">
        <w:rPr>
          <w:rFonts w:ascii="Avenir Next" w:hAnsi="Avenir Next" w:cs="Arial"/>
          <w:sz w:val="22"/>
          <w:szCs w:val="22"/>
          <w:lang w:val="en-GB"/>
        </w:rPr>
        <w:t>.</w:t>
      </w:r>
    </w:p>
    <w:p w14:paraId="353B21D0" w14:textId="77777777" w:rsidR="00EC242E" w:rsidRPr="008E3C96" w:rsidRDefault="00EC242E" w:rsidP="00EC242E">
      <w:pPr>
        <w:pStyle w:val="a3"/>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269A8E8E" w:rsidR="00636C15" w:rsidRPr="008E3C96" w:rsidRDefault="00AA74F9" w:rsidP="00AA74F9">
      <w:pPr>
        <w:jc w:val="both"/>
        <w:rPr>
          <w:rFonts w:ascii="Avenir Next" w:hAnsi="Avenir Next" w:cs="Arial"/>
          <w:sz w:val="22"/>
          <w:szCs w:val="22"/>
        </w:rPr>
      </w:pPr>
      <w:r>
        <w:rPr>
          <w:rFonts w:ascii="Avenir Next" w:hAnsi="Avenir Next" w:cs="Arial"/>
          <w:color w:val="7B7B7B" w:themeColor="accent3" w:themeShade="BF"/>
          <w:sz w:val="22"/>
          <w:szCs w:val="22"/>
        </w:rPr>
        <w:lastRenderedPageBreak/>
        <w:t>[With respect to Statement 1,</w:t>
      </w:r>
      <w:r w:rsidRPr="00AA74F9">
        <w:rPr>
          <w:rFonts w:ascii="Avenir Next" w:hAnsi="Avenir Next" w:cs="Arial"/>
          <w:color w:val="7B7B7B" w:themeColor="accent3" w:themeShade="BF"/>
          <w:sz w:val="22"/>
          <w:szCs w:val="22"/>
        </w:rPr>
        <w:t xml:space="preserve"> the name of the provision / concept</w:t>
      </w:r>
      <w:r>
        <w:rPr>
          <w:rFonts w:ascii="Avenir Next" w:hAnsi="Avenir Next" w:cs="Arial"/>
          <w:color w:val="7B7B7B" w:themeColor="accent3" w:themeShade="BF"/>
          <w:sz w:val="22"/>
          <w:szCs w:val="22"/>
        </w:rPr>
        <w:t xml:space="preserve"> is COMI presumptions (Article 3 EIR Recast). With respect to Statement 2, </w:t>
      </w:r>
      <w:r w:rsidR="00747F8A" w:rsidRPr="00AA74F9">
        <w:rPr>
          <w:rFonts w:ascii="Avenir Next" w:hAnsi="Avenir Next" w:cs="Arial"/>
          <w:color w:val="7B7B7B" w:themeColor="accent3" w:themeShade="BF"/>
          <w:sz w:val="22"/>
          <w:szCs w:val="22"/>
        </w:rPr>
        <w:t>name of the provision / concept</w:t>
      </w:r>
      <w:r w:rsidR="00747F8A">
        <w:rPr>
          <w:rFonts w:ascii="Avenir Next" w:hAnsi="Avenir Next" w:cs="Arial"/>
          <w:color w:val="7B7B7B" w:themeColor="accent3" w:themeShade="BF"/>
          <w:sz w:val="22"/>
          <w:szCs w:val="22"/>
        </w:rPr>
        <w:t xml:space="preserve"> is Scope (Article 1 EIR Recast).</w:t>
      </w:r>
      <w:r w:rsidR="00636C15" w:rsidRPr="008E3C96">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0BF9225B" w14:textId="77777777" w:rsidR="00747F8A" w:rsidRDefault="00636C15" w:rsidP="00747F8A">
      <w:pPr>
        <w:ind w:left="720" w:hanging="720"/>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747F8A">
        <w:rPr>
          <w:rFonts w:ascii="Avenir Next" w:hAnsi="Avenir Next" w:cs="Arial"/>
          <w:color w:val="7B7B7B" w:themeColor="accent3" w:themeShade="BF"/>
          <w:sz w:val="22"/>
          <w:szCs w:val="22"/>
          <w:lang w:val="en-GB"/>
        </w:rPr>
        <w:t>(i) Opening secondary proceedings in any country where the debtor has an establishment;</w:t>
      </w:r>
    </w:p>
    <w:p w14:paraId="58A8992E" w14:textId="45DA5F23" w:rsidR="00747F8A" w:rsidRDefault="00747F8A" w:rsidP="00747F8A">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 Recognising main proceedings without precluding the open of secondary proceedings; and</w:t>
      </w:r>
    </w:p>
    <w:p w14:paraId="16675D5F" w14:textId="0DC4F99C" w:rsidR="00636C15" w:rsidRPr="008E3C96" w:rsidRDefault="00747F8A" w:rsidP="00747F8A">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(iii)  </w:t>
      </w:r>
      <w:r w:rsidR="00636C15" w:rsidRPr="008E3C96">
        <w:rPr>
          <w:rFonts w:ascii="Avenir Next" w:hAnsi="Avenir Next" w:cs="Arial"/>
          <w:color w:val="7B7B7B" w:themeColor="accent3" w:themeShade="BF"/>
          <w:sz w:val="22"/>
          <w:szCs w:val="22"/>
          <w:lang w:val="en-GB"/>
        </w:rPr>
        <w:t>]</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C0C9DE0" w14:textId="6B9E4DB1" w:rsidR="00E106B9" w:rsidRDefault="00747F8A"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E106B9">
        <w:rPr>
          <w:rFonts w:ascii="Avenir Next" w:hAnsi="Avenir Next" w:cs="Arial"/>
          <w:color w:val="7B7B7B" w:themeColor="accent3" w:themeShade="BF"/>
          <w:sz w:val="22"/>
          <w:szCs w:val="22"/>
          <w:lang w:val="en-GB"/>
        </w:rPr>
        <w:t xml:space="preserve">(i) Opening insolvency proceedings in debtor’s COMI; </w:t>
      </w:r>
    </w:p>
    <w:p w14:paraId="4B60C54C" w14:textId="51DBE5D3" w:rsidR="00747F8A" w:rsidRDefault="00747F8A"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E106B9">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i) Opening secondary proceedings in any country where the debtor has an establishment;</w:t>
      </w:r>
      <w:r w:rsidR="00E106B9">
        <w:rPr>
          <w:rFonts w:ascii="Avenir Next" w:hAnsi="Avenir Next" w:cs="Arial"/>
          <w:color w:val="7B7B7B" w:themeColor="accent3" w:themeShade="BF"/>
          <w:sz w:val="22"/>
          <w:szCs w:val="22"/>
          <w:lang w:val="en-GB"/>
        </w:rPr>
        <w:t xml:space="preserve"> and</w:t>
      </w:r>
    </w:p>
    <w:p w14:paraId="78DB9FD8" w14:textId="68D056C0" w:rsidR="00C72848" w:rsidRPr="00E106B9" w:rsidRDefault="00747F8A" w:rsidP="00E106B9">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E106B9">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ii) Recognising main proceedings without precluding the open of secondary proceedings</w:t>
      </w:r>
      <w:r w:rsidR="00E106B9">
        <w:rPr>
          <w:rFonts w:ascii="Avenir Next" w:hAnsi="Avenir Next" w:cs="Arial"/>
          <w:color w:val="7B7B7B" w:themeColor="accent3" w:themeShade="BF"/>
          <w:sz w:val="22"/>
          <w:szCs w:val="22"/>
          <w:lang w:val="en-GB"/>
        </w:rPr>
        <w:t>.</w:t>
      </w:r>
      <w:r w:rsidR="00C72848" w:rsidRPr="008E3C96">
        <w:rPr>
          <w:rFonts w:ascii="Avenir Next" w:hAnsi="Avenir Next" w:cs="Arial"/>
          <w:color w:val="7B7B7B" w:themeColor="accent3" w:themeShade="BF"/>
          <w:sz w:val="22"/>
          <w:szCs w:val="22"/>
          <w:lang w:val="en-GB"/>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624E19F7" w:rsidR="009954B2" w:rsidRPr="008E3C96" w:rsidRDefault="00583BFF" w:rsidP="00583BFF">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[Firstly, even if main proceedings are recognised, secondary proceedings are not automatically opened. Secondly, the court has the power to open insolvency proceedings for several companies belonging to the same group are opened in a single country even if such companies are located in several countries.</w:t>
      </w:r>
      <w:r w:rsidR="009954B2" w:rsidRPr="008E3C96">
        <w:rPr>
          <w:rFonts w:ascii="Avenir Next" w:hAnsi="Avenir Next" w:cs="Arial"/>
          <w:color w:val="7B7B7B" w:themeColor="accent3" w:themeShade="BF"/>
          <w:sz w:val="22"/>
          <w:szCs w:val="22"/>
          <w:lang w:val="en-GB"/>
        </w:rPr>
        <w:t>]</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65EC8B81" w14:textId="77777777" w:rsidR="00366B0C" w:rsidRDefault="00366B0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European Commissions reported the following points as a proposal for adaption and then they were adopted in EIR 2015:</w:t>
      </w:r>
    </w:p>
    <w:p w14:paraId="6760966B" w14:textId="77777777" w:rsidR="00366B0C" w:rsidRDefault="00366B0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extending the scope of EIR 2015;</w:t>
      </w:r>
    </w:p>
    <w:p w14:paraId="04DB31AC" w14:textId="77777777" w:rsidR="00366B0C" w:rsidRDefault="00366B0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 promoting the cooperation between insolvency practitioners and courts;</w:t>
      </w:r>
    </w:p>
    <w:p w14:paraId="02EE3C01" w14:textId="77777777" w:rsidR="00366B0C" w:rsidRDefault="00366B0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 reserving the possibility to open insolvency proceedings for several companies belonging to the same group in a single jurisdiction;</w:t>
      </w:r>
    </w:p>
    <w:p w14:paraId="7027B72D" w14:textId="77777777" w:rsidR="007364C5" w:rsidRDefault="00366B0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(iv) </w:t>
      </w:r>
      <w:r w:rsidR="007364C5">
        <w:rPr>
          <w:rFonts w:ascii="Avenir Next" w:hAnsi="Avenir Next" w:cs="Arial"/>
          <w:color w:val="7B7B7B" w:themeColor="accent3" w:themeShade="BF"/>
          <w:sz w:val="22"/>
          <w:szCs w:val="22"/>
          <w:lang w:val="en-GB"/>
        </w:rPr>
        <w:t>improving the timely notification to creditors; and</w:t>
      </w:r>
    </w:p>
    <w:p w14:paraId="4024A332" w14:textId="761FE7DC" w:rsidR="00544127" w:rsidRPr="008E3C96" w:rsidRDefault="007364C5"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(v) protecting the data.</w:t>
      </w:r>
      <w:r w:rsidR="00DF75F8" w:rsidRPr="008E3C96">
        <w:rPr>
          <w:rFonts w:ascii="Avenir Next" w:hAnsi="Avenir Next" w:cs="Arial"/>
          <w:color w:val="7B7B7B" w:themeColor="accent3" w:themeShade="BF"/>
          <w:sz w:val="22"/>
          <w:szCs w:val="22"/>
          <w:lang w:val="en-GB"/>
        </w:rPr>
        <w:t>]</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24058003" w14:textId="77777777" w:rsidR="00B235A6" w:rsidRDefault="00DF75F8" w:rsidP="002A37BB">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9722B8">
        <w:rPr>
          <w:rFonts w:ascii="Avenir Next" w:hAnsi="Avenir Next" w:cs="Arial"/>
          <w:color w:val="7B7B7B" w:themeColor="accent3" w:themeShade="BF"/>
          <w:sz w:val="22"/>
          <w:szCs w:val="22"/>
          <w:lang w:val="en-GB"/>
        </w:rPr>
        <w:t xml:space="preserve">Firstly, as there is no definition about “employment contract”, it is not clear whether a domestic legislation of Member States decide the definition. Nowadays, it is not easy to discern whether a contract is an employment contract and a service contract, e.g., gig worker. As a result, depending on Member States, the way to protect a claim based on such ambiguous contract may be different. On the other hand, it is too difficult to cover all type </w:t>
      </w:r>
      <w:r w:rsidR="00B235A6">
        <w:rPr>
          <w:rFonts w:ascii="Avenir Next" w:hAnsi="Avenir Next" w:cs="Arial"/>
          <w:color w:val="7B7B7B" w:themeColor="accent3" w:themeShade="BF"/>
          <w:sz w:val="22"/>
          <w:szCs w:val="22"/>
          <w:lang w:val="en-GB"/>
        </w:rPr>
        <w:t xml:space="preserve">of contract having nature of employment by introducing the definition about the employment. </w:t>
      </w:r>
      <w:r w:rsidR="009722B8">
        <w:rPr>
          <w:rFonts w:ascii="Avenir Next" w:hAnsi="Avenir Next" w:cs="Arial"/>
          <w:color w:val="7B7B7B" w:themeColor="accent3" w:themeShade="BF"/>
          <w:sz w:val="22"/>
          <w:szCs w:val="22"/>
          <w:lang w:val="en-GB"/>
        </w:rPr>
        <w:t xml:space="preserve">Therefore, </w:t>
      </w:r>
      <w:r w:rsidR="00B235A6">
        <w:rPr>
          <w:rFonts w:ascii="Avenir Next" w:hAnsi="Avenir Next" w:cs="Arial"/>
          <w:color w:val="7B7B7B" w:themeColor="accent3" w:themeShade="BF"/>
          <w:sz w:val="22"/>
          <w:szCs w:val="22"/>
          <w:lang w:val="en-GB"/>
        </w:rPr>
        <w:t xml:space="preserve">introducing the treatment is useful in the case that the interpretation of the employment contract is different, </w:t>
      </w:r>
      <w:r w:rsidR="009722B8">
        <w:rPr>
          <w:rFonts w:ascii="Avenir Next" w:hAnsi="Avenir Next" w:cs="Arial"/>
          <w:color w:val="7B7B7B" w:themeColor="accent3" w:themeShade="BF"/>
          <w:sz w:val="22"/>
          <w:szCs w:val="22"/>
          <w:lang w:val="en-GB"/>
        </w:rPr>
        <w:t>while the forum shopping should be avoided.</w:t>
      </w:r>
    </w:p>
    <w:p w14:paraId="4DADBB5F" w14:textId="77777777" w:rsidR="00B235A6" w:rsidRDefault="00B235A6" w:rsidP="002A37BB">
      <w:pPr>
        <w:jc w:val="both"/>
        <w:rPr>
          <w:rFonts w:ascii="Avenir Next" w:hAnsi="Avenir Next" w:cs="Arial"/>
          <w:color w:val="7B7B7B" w:themeColor="accent3" w:themeShade="BF"/>
          <w:sz w:val="22"/>
          <w:szCs w:val="22"/>
          <w:lang w:val="en-GB"/>
        </w:rPr>
      </w:pPr>
    </w:p>
    <w:p w14:paraId="7940D274" w14:textId="1A3E5569" w:rsidR="00DF75F8" w:rsidRPr="008E3C96" w:rsidRDefault="00B235A6"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Secondly,</w:t>
      </w:r>
      <w:r w:rsidR="000964D7">
        <w:rPr>
          <w:rFonts w:ascii="Avenir Next" w:hAnsi="Avenir Next" w:cs="Arial"/>
          <w:color w:val="7B7B7B" w:themeColor="accent3" w:themeShade="BF"/>
          <w:sz w:val="22"/>
          <w:szCs w:val="22"/>
          <w:lang w:val="en-GB"/>
        </w:rPr>
        <w:t xml:space="preserve"> if insolvency proceedings for group companies are opened</w:t>
      </w:r>
      <w:r w:rsidR="00F044AB">
        <w:rPr>
          <w:rFonts w:ascii="Avenir Next" w:hAnsi="Avenir Next" w:cs="Arial"/>
          <w:color w:val="7B7B7B" w:themeColor="accent3" w:themeShade="BF"/>
          <w:sz w:val="22"/>
          <w:szCs w:val="22"/>
          <w:lang w:val="en-GB"/>
        </w:rPr>
        <w:t xml:space="preserve">, group co-ordination proceedings are just recommended, not required under EIR Recast. As a result, the nature of group co-ordination is non-binding. On the other hand, the simple introduction to the binding group co-ordination proceedings may cause the inflexibility about group proceedings. </w:t>
      </w:r>
      <w:r w:rsidR="00D428BE">
        <w:rPr>
          <w:rFonts w:ascii="Avenir Next" w:hAnsi="Avenir Next" w:cs="Arial"/>
          <w:color w:val="7B7B7B" w:themeColor="accent3" w:themeShade="BF"/>
          <w:sz w:val="22"/>
          <w:szCs w:val="22"/>
          <w:lang w:val="en-GB"/>
        </w:rPr>
        <w:t>It may be just idea that, if insolvency practitioners appointed in the proceedings file the request to bind the group coordination with the court, the court can sanction the binding group coordination. Nevertheless</w:t>
      </w:r>
      <w:r w:rsidR="00F044AB">
        <w:rPr>
          <w:rFonts w:ascii="Avenir Next" w:hAnsi="Avenir Next" w:cs="Arial"/>
          <w:color w:val="7B7B7B" w:themeColor="accent3" w:themeShade="BF"/>
          <w:sz w:val="22"/>
          <w:szCs w:val="22"/>
          <w:lang w:val="en-GB"/>
        </w:rPr>
        <w:t xml:space="preserve">, analysing the past cross-border or protocols is important. We should find the common feature to be binding from such past examples.  </w:t>
      </w:r>
      <w:r w:rsidR="00DF75F8" w:rsidRPr="008E3C96">
        <w:rPr>
          <w:rFonts w:ascii="Avenir Next" w:hAnsi="Avenir Next" w:cs="Arial"/>
          <w:color w:val="7B7B7B" w:themeColor="accent3" w:themeShade="BF"/>
          <w:sz w:val="22"/>
          <w:szCs w:val="22"/>
          <w:lang w:val="en-GB"/>
        </w:rPr>
        <w:t>]</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FC1B478" w14:textId="77777777" w:rsidR="00830E7F" w:rsidRDefault="00DF75F8" w:rsidP="002A37BB">
      <w:pPr>
        <w:jc w:val="both"/>
        <w:rPr>
          <w:rFonts w:ascii="Avenir Next" w:eastAsiaTheme="minorEastAsia" w:hAnsi="Avenir Next" w:cs="Arial"/>
          <w:color w:val="7B7B7B" w:themeColor="accent3" w:themeShade="BF"/>
          <w:sz w:val="22"/>
          <w:szCs w:val="22"/>
          <w:lang w:val="en-GB" w:eastAsia="ja-JP"/>
        </w:rPr>
      </w:pPr>
      <w:r w:rsidRPr="008E3C96">
        <w:rPr>
          <w:rFonts w:ascii="Avenir Next" w:hAnsi="Avenir Next" w:cs="Arial"/>
          <w:color w:val="7B7B7B" w:themeColor="accent3" w:themeShade="BF"/>
          <w:sz w:val="22"/>
          <w:szCs w:val="22"/>
          <w:lang w:val="en-GB"/>
        </w:rPr>
        <w:t>[</w:t>
      </w:r>
      <w:r w:rsidR="00E6658E">
        <w:rPr>
          <w:rFonts w:ascii="Avenir Next" w:hAnsi="Avenir Next" w:cs="Arial"/>
          <w:color w:val="7B7B7B" w:themeColor="accent3" w:themeShade="BF"/>
          <w:sz w:val="22"/>
          <w:szCs w:val="22"/>
          <w:lang w:val="en-GB"/>
        </w:rPr>
        <w:t>With respect to applicable law (or “conflict of laws”), the Regulation has the general principle under Article 7 (1): “</w:t>
      </w:r>
      <w:r w:rsidR="00E6658E" w:rsidRPr="00E6658E">
        <w:rPr>
          <w:rFonts w:ascii="Avenir Next" w:hAnsi="Avenir Next" w:cs="Arial"/>
          <w:color w:val="7B7B7B" w:themeColor="accent3" w:themeShade="BF"/>
          <w:sz w:val="22"/>
          <w:szCs w:val="22"/>
          <w:lang w:val="en-GB"/>
        </w:rPr>
        <w:t>the law applicable to insolvency proceedings and their effects shall be that of the Member State within the territory of which such proceedings are opened</w:t>
      </w:r>
      <w:r w:rsidR="00E6658E">
        <w:rPr>
          <w:rFonts w:ascii="Avenir Next" w:hAnsi="Avenir Next" w:cs="Arial"/>
          <w:color w:val="7B7B7B" w:themeColor="accent3" w:themeShade="BF"/>
          <w:sz w:val="22"/>
          <w:szCs w:val="22"/>
          <w:lang w:val="en-GB"/>
        </w:rPr>
        <w:t xml:space="preserve">.” On the other hand, Because of the nature of directive, </w:t>
      </w:r>
      <w:r w:rsidR="00830E7F">
        <w:rPr>
          <w:rFonts w:ascii="Avenir Next" w:hAnsi="Avenir Next" w:cs="Arial"/>
          <w:color w:val="7B7B7B" w:themeColor="accent3" w:themeShade="BF"/>
          <w:sz w:val="22"/>
          <w:szCs w:val="22"/>
          <w:lang w:val="en-GB"/>
        </w:rPr>
        <w:t>the Directive has the room that Member States can apply the principles set out in the Directive to its national legislation with the flexibility. As a result, the objective of the Directive may not be accomplished by such flexible imp</w:t>
      </w:r>
      <w:r w:rsidR="00830E7F" w:rsidRPr="00830E7F">
        <w:rPr>
          <w:rFonts w:ascii="Avenir Next" w:hAnsi="Avenir Next" w:cs="Arial"/>
          <w:color w:val="7B7B7B" w:themeColor="accent3" w:themeShade="BF"/>
          <w:sz w:val="22"/>
          <w:szCs w:val="22"/>
          <w:lang w:val="en-GB"/>
        </w:rPr>
        <w:t>lementation</w:t>
      </w:r>
      <w:r w:rsidR="00830E7F" w:rsidRPr="00830E7F">
        <w:rPr>
          <w:rFonts w:ascii="Avenir Next" w:eastAsiaTheme="minorEastAsia" w:hAnsi="Avenir Next" w:cs="Arial"/>
          <w:color w:val="7B7B7B" w:themeColor="accent3" w:themeShade="BF"/>
          <w:sz w:val="22"/>
          <w:szCs w:val="22"/>
          <w:lang w:val="en-GB" w:eastAsia="ja-JP"/>
        </w:rPr>
        <w:t xml:space="preserve"> of the Directive</w:t>
      </w:r>
      <w:r w:rsidR="00830E7F">
        <w:rPr>
          <w:rFonts w:ascii="Avenir Next" w:eastAsiaTheme="minorEastAsia" w:hAnsi="Avenir Next" w:cs="Arial"/>
          <w:color w:val="7B7B7B" w:themeColor="accent3" w:themeShade="BF"/>
          <w:sz w:val="22"/>
          <w:szCs w:val="22"/>
          <w:lang w:val="en-GB" w:eastAsia="ja-JP"/>
        </w:rPr>
        <w:t xml:space="preserve"> in Member States</w:t>
      </w:r>
      <w:r w:rsidR="00830E7F" w:rsidRPr="00830E7F">
        <w:rPr>
          <w:rFonts w:ascii="Avenir Next" w:eastAsiaTheme="minorEastAsia" w:hAnsi="Avenir Next" w:cs="Arial"/>
          <w:color w:val="7B7B7B" w:themeColor="accent3" w:themeShade="BF"/>
          <w:sz w:val="22"/>
          <w:szCs w:val="22"/>
          <w:lang w:val="en-GB" w:eastAsia="ja-JP"/>
        </w:rPr>
        <w:t xml:space="preserve">. </w:t>
      </w:r>
    </w:p>
    <w:p w14:paraId="4E83D7AF" w14:textId="36146E52" w:rsidR="00DF75F8" w:rsidRPr="008E3C96" w:rsidRDefault="00F5367F" w:rsidP="002A37BB">
      <w:pPr>
        <w:jc w:val="both"/>
        <w:rPr>
          <w:rFonts w:ascii="Avenir Next" w:hAnsi="Avenir Next" w:cs="Arial"/>
          <w:sz w:val="22"/>
          <w:szCs w:val="22"/>
          <w:lang w:val="en-GB"/>
        </w:rPr>
      </w:pPr>
      <w:r>
        <w:rPr>
          <w:rFonts w:ascii="Avenir Next" w:eastAsiaTheme="minorEastAsia" w:hAnsi="Avenir Next" w:cs="Arial"/>
          <w:color w:val="7B7B7B" w:themeColor="accent3" w:themeShade="BF"/>
          <w:sz w:val="22"/>
          <w:szCs w:val="22"/>
          <w:lang w:val="en-GB" w:eastAsia="ja-JP"/>
        </w:rPr>
        <w:t>However</w:t>
      </w:r>
      <w:r w:rsidR="00830E7F">
        <w:rPr>
          <w:rFonts w:ascii="Avenir Next" w:eastAsiaTheme="minorEastAsia" w:hAnsi="Avenir Next" w:cs="Arial"/>
          <w:color w:val="7B7B7B" w:themeColor="accent3" w:themeShade="BF"/>
          <w:sz w:val="22"/>
          <w:szCs w:val="22"/>
          <w:lang w:val="en-GB" w:eastAsia="ja-JP"/>
        </w:rPr>
        <w:t xml:space="preserve">, there is a difference about aim between the Regulation and the Directive. </w:t>
      </w:r>
      <w:r>
        <w:rPr>
          <w:rFonts w:ascii="Avenir Next" w:eastAsiaTheme="minorEastAsia" w:hAnsi="Avenir Next" w:cs="Arial"/>
          <w:color w:val="7B7B7B" w:themeColor="accent3" w:themeShade="BF"/>
          <w:sz w:val="22"/>
          <w:szCs w:val="22"/>
          <w:lang w:val="en-GB" w:eastAsia="ja-JP"/>
        </w:rPr>
        <w:t>While the Regulation is not the instrument of which the objective is to harmonise the substantive insolvency law, the Directive aims to create harmonised insolvency frameworks</w:t>
      </w:r>
      <w:r w:rsidR="00660356">
        <w:rPr>
          <w:rFonts w:ascii="Avenir Next" w:eastAsiaTheme="minorEastAsia" w:hAnsi="Avenir Next" w:cs="Arial"/>
          <w:color w:val="7B7B7B" w:themeColor="accent3" w:themeShade="BF"/>
          <w:sz w:val="22"/>
          <w:szCs w:val="22"/>
          <w:lang w:val="en-GB" w:eastAsia="ja-JP"/>
        </w:rPr>
        <w:t>. For example,</w:t>
      </w:r>
      <w:r>
        <w:rPr>
          <w:rFonts w:ascii="Avenir Next" w:eastAsiaTheme="minorEastAsia" w:hAnsi="Avenir Next" w:cs="Arial"/>
          <w:color w:val="7B7B7B" w:themeColor="accent3" w:themeShade="BF"/>
          <w:sz w:val="22"/>
          <w:szCs w:val="22"/>
          <w:lang w:val="en-GB" w:eastAsia="ja-JP"/>
        </w:rPr>
        <w:t xml:space="preserve"> </w:t>
      </w:r>
      <w:r w:rsidR="00660356">
        <w:rPr>
          <w:rFonts w:ascii="Avenir Next" w:eastAsiaTheme="minorEastAsia" w:hAnsi="Avenir Next" w:cs="Arial"/>
          <w:color w:val="7B7B7B" w:themeColor="accent3" w:themeShade="BF"/>
          <w:sz w:val="22"/>
          <w:szCs w:val="22"/>
          <w:lang w:val="en-GB" w:eastAsia="ja-JP"/>
        </w:rPr>
        <w:t xml:space="preserve">the following </w:t>
      </w:r>
      <w:r w:rsidR="00660356">
        <w:rPr>
          <w:rFonts w:ascii="Avenir Next" w:eastAsiaTheme="minorEastAsia" w:hAnsi="Avenir Next" w:cs="Arial"/>
          <w:color w:val="7B7B7B" w:themeColor="accent3" w:themeShade="BF"/>
          <w:sz w:val="22"/>
          <w:szCs w:val="22"/>
          <w:lang w:val="en-GB" w:eastAsia="ja-JP"/>
        </w:rPr>
        <w:lastRenderedPageBreak/>
        <w:t>approach has been introduced; (i)</w:t>
      </w:r>
      <w:r>
        <w:rPr>
          <w:rFonts w:ascii="Avenir Next" w:eastAsiaTheme="minorEastAsia" w:hAnsi="Avenir Next" w:cs="Arial"/>
          <w:color w:val="7B7B7B" w:themeColor="accent3" w:themeShade="BF"/>
          <w:sz w:val="22"/>
          <w:szCs w:val="22"/>
          <w:lang w:val="en-GB" w:eastAsia="ja-JP"/>
        </w:rPr>
        <w:t xml:space="preserve"> </w:t>
      </w:r>
      <w:r w:rsidR="00660356">
        <w:rPr>
          <w:rFonts w:ascii="Avenir Next" w:eastAsiaTheme="minorEastAsia" w:hAnsi="Avenir Next" w:cs="Arial"/>
          <w:color w:val="7B7B7B" w:themeColor="accent3" w:themeShade="BF"/>
          <w:sz w:val="22"/>
          <w:szCs w:val="22"/>
          <w:lang w:val="en-GB" w:eastAsia="ja-JP"/>
        </w:rPr>
        <w:t>to prevent restructuring procedures</w:t>
      </w:r>
      <w:r>
        <w:rPr>
          <w:rFonts w:ascii="Avenir Next" w:eastAsiaTheme="minorEastAsia" w:hAnsi="Avenir Next" w:cs="Arial"/>
          <w:color w:val="7B7B7B" w:themeColor="accent3" w:themeShade="BF"/>
          <w:sz w:val="22"/>
          <w:szCs w:val="22"/>
          <w:lang w:val="en-GB" w:eastAsia="ja-JP"/>
        </w:rPr>
        <w:t xml:space="preserve"> </w:t>
      </w:r>
      <w:r w:rsidR="00660356">
        <w:rPr>
          <w:rFonts w:ascii="Avenir Next" w:eastAsiaTheme="minorEastAsia" w:hAnsi="Avenir Next" w:cs="Arial"/>
          <w:color w:val="7B7B7B" w:themeColor="accent3" w:themeShade="BF"/>
          <w:sz w:val="22"/>
          <w:szCs w:val="22"/>
          <w:lang w:val="en-GB" w:eastAsia="ja-JP"/>
        </w:rPr>
        <w:t>by limiting the requirement of court formalities, (ii) to introduce stay mechanism of individual legal actions, (iii) to protect the minimum interest of dissenting creditors, (iv) to have the possibility of cross-class cram-down mechanisms and (v) to give the priority of new and interim financing.</w:t>
      </w:r>
      <w:r w:rsidR="00830E7F">
        <w:rPr>
          <w:rFonts w:ascii="Avenir Next" w:hAnsi="Avenir Next" w:cs="Arial"/>
          <w:color w:val="7B7B7B" w:themeColor="accent3" w:themeShade="BF"/>
          <w:sz w:val="22"/>
          <w:szCs w:val="22"/>
          <w:lang w:val="en-GB"/>
        </w:rPr>
        <w:t>]</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24028257" w14:textId="6C961965" w:rsidR="00697C15" w:rsidRDefault="002F75A3" w:rsidP="002A37BB">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697C15">
        <w:rPr>
          <w:rFonts w:ascii="Avenir Next" w:hAnsi="Avenir Next" w:cs="Arial"/>
          <w:color w:val="7B7B7B" w:themeColor="accent3" w:themeShade="BF"/>
          <w:sz w:val="22"/>
          <w:szCs w:val="22"/>
          <w:lang w:val="en-GB"/>
        </w:rPr>
        <w:t xml:space="preserve">The Article 3 (1) of EIR 2000 sets out the following provision: </w:t>
      </w:r>
    </w:p>
    <w:p w14:paraId="066E07C3" w14:textId="77777777" w:rsidR="00697C15" w:rsidRDefault="00697C15" w:rsidP="002A37BB">
      <w:pPr>
        <w:jc w:val="both"/>
        <w:rPr>
          <w:rFonts w:ascii="Avenir Next" w:hAnsi="Avenir Next" w:cs="Arial"/>
          <w:color w:val="7B7B7B" w:themeColor="accent3" w:themeShade="BF"/>
          <w:sz w:val="22"/>
          <w:szCs w:val="22"/>
          <w:lang w:val="en-GB"/>
        </w:rPr>
      </w:pPr>
      <w:r w:rsidRPr="00697C15">
        <w:rPr>
          <w:rFonts w:ascii="Avenir Next" w:hAnsi="Avenir Next" w:cs="Arial"/>
          <w:i/>
          <w:color w:val="7B7B7B" w:themeColor="accent3" w:themeShade="BF"/>
          <w:sz w:val="22"/>
          <w:szCs w:val="22"/>
          <w:lang w:val="en-GB"/>
        </w:rPr>
        <w:t>The courts of the Member State within the territory of which the centre of a debtor's main interests is situated shall have jurisdiction to open insolvency proceedings. In the case of a company or legal person, the place of the registered office shall be presumed to be the centre of its main interests in the absence of proof to the contrary</w:t>
      </w:r>
      <w:r w:rsidRPr="00697C15">
        <w:rPr>
          <w:rFonts w:ascii="Avenir Next" w:hAnsi="Avenir Next" w:cs="Arial"/>
          <w:color w:val="7B7B7B" w:themeColor="accent3" w:themeShade="BF"/>
          <w:sz w:val="22"/>
          <w:szCs w:val="22"/>
          <w:lang w:val="en-GB"/>
        </w:rPr>
        <w:t>.</w:t>
      </w:r>
    </w:p>
    <w:p w14:paraId="38D9E6EF" w14:textId="77777777" w:rsidR="00EE71AA" w:rsidRDefault="00697C1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means that, if</w:t>
      </w:r>
      <w:r w:rsidRPr="00697C15">
        <w:rPr>
          <w:rFonts w:ascii="Avenir Next" w:hAnsi="Avenir Next" w:cs="Arial"/>
          <w:color w:val="7B7B7B" w:themeColor="accent3" w:themeShade="BF"/>
          <w:sz w:val="22"/>
          <w:szCs w:val="22"/>
          <w:lang w:val="en-GB"/>
        </w:rPr>
        <w:t xml:space="preserve"> Strasbourg, France</w:t>
      </w:r>
      <w:r>
        <w:rPr>
          <w:rFonts w:ascii="Avenir Next" w:hAnsi="Avenir Next" w:cs="Arial"/>
          <w:color w:val="7B7B7B" w:themeColor="accent3" w:themeShade="BF"/>
          <w:sz w:val="22"/>
          <w:szCs w:val="22"/>
          <w:lang w:val="en-GB"/>
        </w:rPr>
        <w:t xml:space="preserve"> is COMI of Bella SARL, the Strasbourg High Court has the </w:t>
      </w:r>
      <w:r w:rsidRPr="00697C15">
        <w:rPr>
          <w:rFonts w:ascii="Avenir Next" w:hAnsi="Avenir Next" w:cs="Arial"/>
          <w:color w:val="7B7B7B" w:themeColor="accent3" w:themeShade="BF"/>
          <w:sz w:val="22"/>
          <w:szCs w:val="22"/>
          <w:lang w:val="en-GB"/>
        </w:rPr>
        <w:t xml:space="preserve"> jurisdiction</w:t>
      </w:r>
      <w:r>
        <w:rPr>
          <w:rFonts w:ascii="Avenir Next" w:hAnsi="Avenir Next" w:cs="Arial"/>
          <w:color w:val="7B7B7B" w:themeColor="accent3" w:themeShade="BF"/>
          <w:sz w:val="22"/>
          <w:szCs w:val="22"/>
          <w:lang w:val="en-GB"/>
        </w:rPr>
        <w:t xml:space="preserve">. For the interpretation of definition of COMI, </w:t>
      </w:r>
      <w:r w:rsidR="00EE71AA">
        <w:rPr>
          <w:rFonts w:ascii="Avenir Next" w:hAnsi="Avenir Next" w:cs="Arial"/>
          <w:color w:val="7B7B7B" w:themeColor="accent3" w:themeShade="BF"/>
          <w:sz w:val="22"/>
          <w:szCs w:val="22"/>
          <w:lang w:val="en-GB"/>
        </w:rPr>
        <w:t>the CJEU emphasised that COMI must be determined by reference to criteria that are both objective and ascertainable by third parties.</w:t>
      </w:r>
      <w:r>
        <w:rPr>
          <w:rFonts w:ascii="Avenir Next" w:hAnsi="Avenir Next" w:cs="Arial"/>
          <w:color w:val="7B7B7B" w:themeColor="accent3" w:themeShade="BF"/>
          <w:sz w:val="22"/>
          <w:szCs w:val="22"/>
          <w:lang w:val="en-GB"/>
        </w:rPr>
        <w:t xml:space="preserve"> </w:t>
      </w:r>
    </w:p>
    <w:p w14:paraId="0D37BBBB" w14:textId="08C00DFE" w:rsidR="002F75A3" w:rsidRPr="008E3C96" w:rsidRDefault="00EE71AA"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According to the provision of EIR 2000 and the precedent from CJEU, as Bella SARL has the registered office in France, it is presumed that the COMI of the company is France. However, its main warehouse is located in Cork, Ireland and its customers are across Europe. Therefore, depending on the amount of assets located in its warehouse and/or sales in each of these countries in Europe, the presumption of the COMI may be rebuttable. We have to collect information about the company in detail and </w:t>
      </w:r>
      <w:r w:rsidR="00B1155B">
        <w:rPr>
          <w:rFonts w:ascii="Avenir Next" w:hAnsi="Avenir Next" w:cs="Arial"/>
          <w:color w:val="7B7B7B" w:themeColor="accent3" w:themeShade="BF"/>
          <w:sz w:val="22"/>
          <w:szCs w:val="22"/>
          <w:lang w:val="en-GB"/>
        </w:rPr>
        <w:t>conduct further analysis.</w:t>
      </w:r>
      <w:r w:rsidR="002F75A3" w:rsidRPr="008E3C96">
        <w:rPr>
          <w:rFonts w:ascii="Avenir Next" w:hAnsi="Avenir Next" w:cs="Arial"/>
          <w:color w:val="7B7B7B" w:themeColor="accent3" w:themeShade="BF"/>
          <w:sz w:val="22"/>
          <w:szCs w:val="22"/>
          <w:lang w:val="en-GB"/>
        </w:rPr>
        <w:t>]</w:t>
      </w:r>
    </w:p>
    <w:p w14:paraId="055F8988" w14:textId="2DD38D88" w:rsidR="00D95496" w:rsidRDefault="00D95496" w:rsidP="002A37BB">
      <w:pPr>
        <w:jc w:val="both"/>
        <w:rPr>
          <w:rFonts w:ascii="Avenir Next" w:hAnsi="Avenir Next" w:cs="Arial"/>
          <w:sz w:val="22"/>
          <w:szCs w:val="22"/>
          <w:lang w:val="en-GB"/>
        </w:rPr>
      </w:pPr>
    </w:p>
    <w:p w14:paraId="27E9670F" w14:textId="77777777" w:rsidR="00697C15" w:rsidRPr="008E3C96" w:rsidRDefault="00697C15"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26FA5C6" w14:textId="5D788276" w:rsidR="002D3473" w:rsidRPr="00CC25B9" w:rsidRDefault="001178DE" w:rsidP="00CC25B9">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Article 92 of the EIR Recast, the </w:t>
      </w:r>
      <w:r w:rsidR="00CC25B9">
        <w:rPr>
          <w:rFonts w:ascii="Avenir Next" w:hAnsi="Avenir Next" w:cs="Arial"/>
          <w:color w:val="7B7B7B" w:themeColor="accent3" w:themeShade="BF"/>
          <w:sz w:val="22"/>
          <w:szCs w:val="22"/>
          <w:lang w:val="en-GB"/>
        </w:rPr>
        <w:t xml:space="preserve">EIR Recast applies from 26 June 2017. Therefore, it seems that the EIR Recast is applicable to the </w:t>
      </w:r>
      <w:r w:rsidR="00CC25B9" w:rsidRPr="00CC25B9">
        <w:rPr>
          <w:rFonts w:ascii="Avenir Next" w:hAnsi="Avenir Next" w:cs="Arial"/>
          <w:color w:val="7B7B7B" w:themeColor="accent3" w:themeShade="BF"/>
          <w:sz w:val="22"/>
          <w:szCs w:val="22"/>
          <w:lang w:val="en-GB"/>
        </w:rPr>
        <w:t>Bella SARL</w:t>
      </w:r>
      <w:r w:rsidR="00CC25B9">
        <w:rPr>
          <w:rFonts w:ascii="Avenir Next" w:hAnsi="Avenir Next" w:cs="Arial"/>
          <w:color w:val="7B7B7B" w:themeColor="accent3" w:themeShade="BF"/>
          <w:sz w:val="22"/>
          <w:szCs w:val="22"/>
          <w:lang w:val="en-GB"/>
        </w:rPr>
        <w:t xml:space="preserve">’ proceeding in France because the opening date is 30 June 2017, although the filing date is 20 June 2017. However, </w:t>
      </w:r>
      <w:r w:rsidR="00E450B0">
        <w:rPr>
          <w:rFonts w:ascii="Avenir Next" w:hAnsi="Avenir Next" w:cs="Arial"/>
          <w:color w:val="7B7B7B" w:themeColor="accent3" w:themeShade="BF"/>
          <w:sz w:val="22"/>
          <w:szCs w:val="22"/>
          <w:lang w:val="en-GB"/>
        </w:rPr>
        <w:t>u</w:t>
      </w:r>
      <w:r w:rsidR="00CC25B9">
        <w:rPr>
          <w:rFonts w:ascii="Avenir Next" w:hAnsi="Avenir Next" w:cs="Arial"/>
          <w:color w:val="7B7B7B" w:themeColor="accent3" w:themeShade="BF"/>
          <w:sz w:val="22"/>
          <w:szCs w:val="22"/>
          <w:lang w:val="en-GB"/>
        </w:rPr>
        <w:t>nder Article 2 (8) of the EIR  Recast, the definition of “</w:t>
      </w:r>
      <w:r w:rsidR="00CC25B9" w:rsidRPr="00CC25B9">
        <w:rPr>
          <w:rFonts w:ascii="Avenir Next" w:hAnsi="Avenir Next" w:cs="Arial"/>
          <w:color w:val="7B7B7B" w:themeColor="accent3" w:themeShade="BF"/>
          <w:sz w:val="22"/>
          <w:szCs w:val="22"/>
          <w:lang w:val="en-GB"/>
        </w:rPr>
        <w:t>judgment</w:t>
      </w:r>
      <w:r w:rsidR="00CC25B9">
        <w:rPr>
          <w:rFonts w:ascii="Avenir Next" w:hAnsi="Avenir Next" w:cs="Arial"/>
          <w:color w:val="7B7B7B" w:themeColor="accent3" w:themeShade="BF"/>
          <w:sz w:val="22"/>
          <w:szCs w:val="22"/>
          <w:lang w:val="en-GB"/>
        </w:rPr>
        <w:t xml:space="preserve"> opening insolvency proceedings”  is to include (i)</w:t>
      </w:r>
      <w:r w:rsidR="00CC25B9">
        <w:rPr>
          <w:rFonts w:ascii="Avenir Next" w:eastAsiaTheme="minorEastAsia" w:hAnsi="Avenir Next" w:cs="Arial" w:hint="eastAsia"/>
          <w:color w:val="7B7B7B" w:themeColor="accent3" w:themeShade="BF"/>
          <w:sz w:val="22"/>
          <w:szCs w:val="22"/>
          <w:lang w:val="en-GB" w:eastAsia="ja-JP"/>
        </w:rPr>
        <w:t xml:space="preserve"> </w:t>
      </w:r>
      <w:r w:rsidR="00CC25B9" w:rsidRPr="00CC25B9">
        <w:rPr>
          <w:rFonts w:ascii="Avenir Next" w:hAnsi="Avenir Next" w:cs="Arial"/>
          <w:color w:val="7B7B7B" w:themeColor="accent3" w:themeShade="BF"/>
          <w:sz w:val="22"/>
          <w:szCs w:val="22"/>
          <w:lang w:val="en-GB"/>
        </w:rPr>
        <w:t>the decision of any court to open insolvency proceedings or to confirm the o</w:t>
      </w:r>
      <w:r w:rsidR="00CC25B9">
        <w:rPr>
          <w:rFonts w:ascii="Avenir Next" w:hAnsi="Avenir Next" w:cs="Arial"/>
          <w:color w:val="7B7B7B" w:themeColor="accent3" w:themeShade="BF"/>
          <w:sz w:val="22"/>
          <w:szCs w:val="22"/>
          <w:lang w:val="en-GB"/>
        </w:rPr>
        <w:t>pening of such proceedings; and</w:t>
      </w:r>
      <w:r w:rsidR="00CC25B9">
        <w:rPr>
          <w:rFonts w:ascii="Avenir Next" w:eastAsiaTheme="minorEastAsia" w:hAnsi="Avenir Next" w:cs="Arial" w:hint="eastAsia"/>
          <w:color w:val="7B7B7B" w:themeColor="accent3" w:themeShade="BF"/>
          <w:sz w:val="22"/>
          <w:szCs w:val="22"/>
          <w:lang w:val="en-GB" w:eastAsia="ja-JP"/>
        </w:rPr>
        <w:t xml:space="preserve"> </w:t>
      </w:r>
      <w:r w:rsidR="00CC25B9">
        <w:rPr>
          <w:rFonts w:ascii="Avenir Next" w:hAnsi="Avenir Next" w:cs="Arial"/>
          <w:color w:val="7B7B7B" w:themeColor="accent3" w:themeShade="BF"/>
          <w:sz w:val="22"/>
          <w:szCs w:val="22"/>
          <w:lang w:val="en-GB"/>
        </w:rPr>
        <w:t>(ii)</w:t>
      </w:r>
      <w:r w:rsidR="00CC25B9">
        <w:rPr>
          <w:rFonts w:ascii="Avenir Next" w:eastAsiaTheme="minorEastAsia" w:hAnsi="Avenir Next" w:cs="Arial" w:hint="eastAsia"/>
          <w:color w:val="7B7B7B" w:themeColor="accent3" w:themeShade="BF"/>
          <w:sz w:val="22"/>
          <w:szCs w:val="22"/>
          <w:lang w:val="en-GB" w:eastAsia="ja-JP"/>
        </w:rPr>
        <w:t xml:space="preserve"> </w:t>
      </w:r>
      <w:r w:rsidR="00CC25B9" w:rsidRPr="00CC25B9">
        <w:rPr>
          <w:rFonts w:ascii="Avenir Next" w:hAnsi="Avenir Next" w:cs="Arial"/>
          <w:color w:val="7B7B7B" w:themeColor="accent3" w:themeShade="BF"/>
          <w:sz w:val="22"/>
          <w:szCs w:val="22"/>
          <w:lang w:val="en-GB"/>
        </w:rPr>
        <w:t>the decision of a court to app</w:t>
      </w:r>
      <w:r w:rsidR="00CC25B9">
        <w:rPr>
          <w:rFonts w:ascii="Avenir Next" w:hAnsi="Avenir Next" w:cs="Arial"/>
          <w:color w:val="7B7B7B" w:themeColor="accent3" w:themeShade="BF"/>
          <w:sz w:val="22"/>
          <w:szCs w:val="22"/>
          <w:lang w:val="en-GB"/>
        </w:rPr>
        <w:t xml:space="preserve">oint an insolvency practitioner. </w:t>
      </w:r>
      <w:r w:rsidR="00281199">
        <w:rPr>
          <w:rFonts w:ascii="Avenir Next" w:hAnsi="Avenir Next" w:cs="Arial"/>
          <w:color w:val="7B7B7B" w:themeColor="accent3" w:themeShade="BF"/>
          <w:sz w:val="22"/>
          <w:szCs w:val="22"/>
          <w:lang w:val="en-GB"/>
        </w:rPr>
        <w:t xml:space="preserve">Although a safeguard proceeding in France includes the definition of insolvency proceeding under </w:t>
      </w:r>
      <w:r w:rsidR="00E450B0">
        <w:rPr>
          <w:rFonts w:ascii="Avenir Next" w:hAnsi="Avenir Next" w:cs="Arial"/>
          <w:color w:val="7B7B7B" w:themeColor="accent3" w:themeShade="BF"/>
          <w:sz w:val="22"/>
          <w:szCs w:val="22"/>
          <w:lang w:val="en-GB"/>
        </w:rPr>
        <w:t xml:space="preserve">Article 2 (4) and </w:t>
      </w:r>
      <w:r w:rsidR="00281199">
        <w:rPr>
          <w:rFonts w:ascii="Avenir Next" w:hAnsi="Avenir Next" w:cs="Arial"/>
          <w:color w:val="7B7B7B" w:themeColor="accent3" w:themeShade="BF"/>
          <w:sz w:val="22"/>
          <w:szCs w:val="22"/>
          <w:lang w:val="en-GB"/>
        </w:rPr>
        <w:t xml:space="preserve">Annex A of </w:t>
      </w:r>
      <w:r w:rsidR="00E450B0">
        <w:rPr>
          <w:rFonts w:ascii="Avenir Next" w:hAnsi="Avenir Next" w:cs="Arial"/>
          <w:color w:val="7B7B7B" w:themeColor="accent3" w:themeShade="BF"/>
          <w:sz w:val="22"/>
          <w:szCs w:val="22"/>
          <w:lang w:val="en-GB"/>
        </w:rPr>
        <w:t xml:space="preserve">the EIR Recast, the meaning of “opening” the safeguard proceedings in the French High Court is not clear, especially whether a court in the French High Court appoints an insolvency practitioner or not. If an insolvency practitioner is appointed by the French High Court after </w:t>
      </w:r>
      <w:r w:rsidR="00DF2106">
        <w:rPr>
          <w:rFonts w:ascii="Avenir Next" w:hAnsi="Avenir Next" w:cs="Arial"/>
          <w:color w:val="7B7B7B" w:themeColor="accent3" w:themeShade="BF"/>
          <w:sz w:val="22"/>
          <w:szCs w:val="22"/>
          <w:lang w:val="en-GB"/>
        </w:rPr>
        <w:t>26 June 2017</w:t>
      </w:r>
      <w:r w:rsidR="00E450B0">
        <w:rPr>
          <w:rFonts w:ascii="Avenir Next" w:hAnsi="Avenir Next" w:cs="Arial"/>
          <w:color w:val="7B7B7B" w:themeColor="accent3" w:themeShade="BF"/>
          <w:sz w:val="22"/>
          <w:szCs w:val="22"/>
          <w:lang w:val="en-GB"/>
        </w:rPr>
        <w:t xml:space="preserve">, the EIR Recast is applicable to the proceeding in the French High Court. </w:t>
      </w:r>
      <w:r w:rsidR="002D3473" w:rsidRPr="008E3C96">
        <w:rPr>
          <w:rFonts w:ascii="Avenir Next" w:hAnsi="Avenir Next" w:cs="Arial"/>
          <w:color w:val="7B7B7B" w:themeColor="accent3" w:themeShade="BF"/>
          <w:sz w:val="22"/>
          <w:szCs w:val="22"/>
          <w:lang w:val="en-GB"/>
        </w:rPr>
        <w:t>]</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56AB2B9F" w:rsidR="0077498C" w:rsidRPr="008E3C96" w:rsidRDefault="0033768C" w:rsidP="002A37BB">
      <w:pPr>
        <w:jc w:val="both"/>
        <w:rPr>
          <w:rFonts w:ascii="Avenir Next" w:hAnsi="Avenir Next" w:cs="Arial"/>
          <w:color w:val="000000" w:themeColor="text1"/>
          <w:sz w:val="22"/>
          <w:szCs w:val="22"/>
          <w:lang w:val="en-GB"/>
        </w:rPr>
      </w:pPr>
      <w:r w:rsidRPr="008E3C96">
        <w:rPr>
          <w:rFonts w:ascii="Avenir Next" w:hAnsi="Avenir Next" w:cs="Arial"/>
          <w:color w:val="7B7B7B" w:themeColor="accent3" w:themeShade="BF"/>
          <w:sz w:val="22"/>
          <w:szCs w:val="22"/>
          <w:lang w:val="en-GB"/>
        </w:rPr>
        <w:t>[</w:t>
      </w:r>
      <w:r w:rsidR="00C77247">
        <w:rPr>
          <w:rFonts w:ascii="Avenir Next" w:hAnsi="Avenir Next" w:cs="Arial"/>
          <w:color w:val="7B7B7B" w:themeColor="accent3" w:themeShade="BF"/>
          <w:sz w:val="22"/>
          <w:szCs w:val="22"/>
          <w:lang w:val="en-GB"/>
        </w:rPr>
        <w:t xml:space="preserve">Under Article 3, a secondary proceeding for the debtor can be opened “only if </w:t>
      </w:r>
      <w:r w:rsidR="00C77247" w:rsidRPr="00C77247">
        <w:rPr>
          <w:rFonts w:ascii="Avenir Next" w:hAnsi="Avenir Next" w:cs="Arial"/>
          <w:color w:val="7B7B7B" w:themeColor="accent3" w:themeShade="BF"/>
          <w:sz w:val="22"/>
          <w:szCs w:val="22"/>
          <w:lang w:val="en-GB"/>
        </w:rPr>
        <w:t>it possesses an establishment within the territory of that other Member State</w:t>
      </w:r>
      <w:r w:rsidR="00C77247">
        <w:rPr>
          <w:rFonts w:ascii="Avenir Next" w:hAnsi="Avenir Next" w:cs="Arial"/>
          <w:color w:val="7B7B7B" w:themeColor="accent3" w:themeShade="BF"/>
          <w:sz w:val="22"/>
          <w:szCs w:val="22"/>
          <w:lang w:val="en-GB"/>
        </w:rPr>
        <w:t>”</w:t>
      </w:r>
      <w:r w:rsidR="00C77247" w:rsidRPr="00C77247">
        <w:rPr>
          <w:rFonts w:ascii="Avenir Next" w:hAnsi="Avenir Next" w:cs="Arial"/>
          <w:color w:val="7B7B7B" w:themeColor="accent3" w:themeShade="BF"/>
          <w:sz w:val="22"/>
          <w:szCs w:val="22"/>
          <w:lang w:val="en-GB"/>
        </w:rPr>
        <w:t>.</w:t>
      </w:r>
      <w:r w:rsidR="00A37E58">
        <w:rPr>
          <w:rFonts w:ascii="Avenir Next" w:hAnsi="Avenir Next" w:cs="Arial"/>
          <w:color w:val="7B7B7B" w:themeColor="accent3" w:themeShade="BF"/>
          <w:sz w:val="22"/>
          <w:szCs w:val="22"/>
          <w:lang w:val="en-GB"/>
        </w:rPr>
        <w:t xml:space="preserve"> </w:t>
      </w:r>
      <w:r w:rsidR="00571A54">
        <w:rPr>
          <w:rFonts w:ascii="Avenir Next" w:hAnsi="Avenir Next" w:cs="Arial"/>
          <w:color w:val="7B7B7B" w:themeColor="accent3" w:themeShade="BF"/>
          <w:sz w:val="22"/>
          <w:szCs w:val="22"/>
          <w:lang w:val="en-GB"/>
        </w:rPr>
        <w:t xml:space="preserve">With respect to opening the </w:t>
      </w:r>
      <w:r w:rsidR="00C77247">
        <w:rPr>
          <w:rFonts w:ascii="Avenir Next" w:hAnsi="Avenir Next" w:cs="Arial"/>
          <w:color w:val="7B7B7B" w:themeColor="accent3" w:themeShade="BF"/>
          <w:sz w:val="22"/>
          <w:szCs w:val="22"/>
          <w:lang w:val="en-GB"/>
        </w:rPr>
        <w:t>insolvency pro</w:t>
      </w:r>
      <w:r w:rsidR="00571A54">
        <w:rPr>
          <w:rFonts w:ascii="Avenir Next" w:hAnsi="Avenir Next" w:cs="Arial"/>
          <w:color w:val="7B7B7B" w:themeColor="accent3" w:themeShade="BF"/>
          <w:sz w:val="22"/>
          <w:szCs w:val="22"/>
          <w:lang w:val="en-GB"/>
        </w:rPr>
        <w:t>ceeding in Italy, t</w:t>
      </w:r>
      <w:r w:rsidR="00C77247">
        <w:rPr>
          <w:rFonts w:ascii="Avenir Next" w:hAnsi="Avenir Next" w:cs="Arial"/>
          <w:color w:val="7B7B7B" w:themeColor="accent3" w:themeShade="BF"/>
          <w:sz w:val="22"/>
          <w:szCs w:val="22"/>
          <w:lang w:val="en-GB"/>
        </w:rPr>
        <w:t xml:space="preserve">he concept of the </w:t>
      </w:r>
      <w:r w:rsidR="00571A54">
        <w:rPr>
          <w:rFonts w:ascii="Avenir Next" w:hAnsi="Avenir Next" w:cs="Arial"/>
          <w:color w:val="7B7B7B" w:themeColor="accent3" w:themeShade="BF"/>
          <w:sz w:val="22"/>
          <w:szCs w:val="22"/>
          <w:lang w:val="en-GB"/>
        </w:rPr>
        <w:t>establishment is very important. According to Article 2 (10) of the EIR Recast, ““establishment” means a</w:t>
      </w:r>
      <w:r w:rsidR="00571A54" w:rsidRPr="00571A54">
        <w:rPr>
          <w:rFonts w:ascii="Avenir Next" w:hAnsi="Avenir Next" w:cs="Arial"/>
          <w:color w:val="7B7B7B" w:themeColor="accent3" w:themeShade="BF"/>
          <w:sz w:val="22"/>
          <w:szCs w:val="22"/>
          <w:lang w:val="en-GB"/>
        </w:rPr>
        <w:t>ny place of operations where a debtor carries out or has carried out in the 3-month period prior to the request to open main insolvency proceedings a non-transitory economic activity with human means and assets</w:t>
      </w:r>
      <w:r w:rsidR="00571A54">
        <w:rPr>
          <w:rFonts w:ascii="Avenir Next" w:hAnsi="Avenir Next" w:cs="Arial"/>
          <w:color w:val="7B7B7B" w:themeColor="accent3" w:themeShade="BF"/>
          <w:sz w:val="22"/>
          <w:szCs w:val="22"/>
          <w:lang w:val="en-GB"/>
        </w:rPr>
        <w:t>”. Also, in interpreting the meaning of the establishment, the CJEU emphasised a certain degree of continuity and stability as the satisfaction of the establishment.</w:t>
      </w:r>
      <w:r w:rsidR="00A37E58">
        <w:rPr>
          <w:rFonts w:ascii="Avenir Next" w:hAnsi="Avenir Next" w:cs="Arial"/>
          <w:color w:val="7B7B7B" w:themeColor="accent3" w:themeShade="BF"/>
          <w:sz w:val="22"/>
          <w:szCs w:val="22"/>
          <w:lang w:val="en-GB"/>
        </w:rPr>
        <w:t xml:space="preserve"> In this case, </w:t>
      </w:r>
      <w:r w:rsidR="00A37E58" w:rsidRPr="00A37E58">
        <w:rPr>
          <w:rFonts w:ascii="Avenir Next" w:hAnsi="Avenir Next" w:cs="Arial"/>
          <w:color w:val="7B7B7B" w:themeColor="accent3" w:themeShade="BF"/>
          <w:sz w:val="22"/>
          <w:szCs w:val="22"/>
          <w:lang w:val="en-GB"/>
        </w:rPr>
        <w:t>Bella SARL</w:t>
      </w:r>
      <w:r w:rsidR="00A37E58">
        <w:rPr>
          <w:rFonts w:ascii="Avenir Next" w:hAnsi="Avenir Next" w:cs="Arial"/>
          <w:color w:val="7B7B7B" w:themeColor="accent3" w:themeShade="BF"/>
          <w:sz w:val="22"/>
          <w:szCs w:val="22"/>
          <w:lang w:val="en-GB"/>
        </w:rPr>
        <w:t xml:space="preserve"> has </w:t>
      </w:r>
      <w:r w:rsidR="00A37E58" w:rsidRPr="00A37E58">
        <w:rPr>
          <w:rFonts w:ascii="Avenir Next" w:hAnsi="Avenir Next" w:cs="Arial"/>
          <w:color w:val="7B7B7B" w:themeColor="accent3" w:themeShade="BF"/>
          <w:sz w:val="22"/>
          <w:szCs w:val="22"/>
          <w:lang w:val="en-GB"/>
        </w:rPr>
        <w:t>warehouses</w:t>
      </w:r>
      <w:r w:rsidR="00A37E58">
        <w:rPr>
          <w:rFonts w:ascii="Avenir Next" w:hAnsi="Avenir Next" w:cs="Arial"/>
          <w:color w:val="7B7B7B" w:themeColor="accent3" w:themeShade="BF"/>
          <w:sz w:val="22"/>
          <w:szCs w:val="22"/>
          <w:lang w:val="en-GB"/>
        </w:rPr>
        <w:t>, employees and customers in Italy. Therefore, it seems that</w:t>
      </w:r>
      <w:r w:rsidR="00A37E58" w:rsidRPr="00A37E58">
        <w:rPr>
          <w:rFonts w:ascii="Avenir Next" w:hAnsi="Avenir Next" w:cs="Arial"/>
          <w:color w:val="7B7B7B" w:themeColor="accent3" w:themeShade="BF"/>
          <w:sz w:val="22"/>
          <w:szCs w:val="22"/>
          <w:lang w:val="en-GB"/>
        </w:rPr>
        <w:t xml:space="preserve"> </w:t>
      </w:r>
      <w:r w:rsidR="00A37E58" w:rsidRPr="00A37E58">
        <w:rPr>
          <w:rFonts w:ascii="Avenir Next" w:hAnsi="Avenir Next" w:cs="Arial"/>
          <w:color w:val="7B7B7B" w:themeColor="accent3" w:themeShade="BF"/>
          <w:sz w:val="22"/>
          <w:szCs w:val="22"/>
          <w:lang w:val="en-GB"/>
        </w:rPr>
        <w:t>Bella SARL</w:t>
      </w:r>
      <w:r w:rsidR="00A37E58">
        <w:rPr>
          <w:rFonts w:ascii="Avenir Next" w:hAnsi="Avenir Next" w:cs="Arial"/>
          <w:color w:val="7B7B7B" w:themeColor="accent3" w:themeShade="BF"/>
          <w:sz w:val="22"/>
          <w:szCs w:val="22"/>
          <w:lang w:val="en-GB"/>
        </w:rPr>
        <w:t xml:space="preserve"> has</w:t>
      </w:r>
      <w:r w:rsidR="00A37E58">
        <w:rPr>
          <w:rFonts w:ascii="Avenir Next" w:hAnsi="Avenir Next" w:cs="Arial"/>
          <w:color w:val="7B7B7B" w:themeColor="accent3" w:themeShade="BF"/>
          <w:sz w:val="22"/>
          <w:szCs w:val="22"/>
          <w:lang w:val="en-GB"/>
        </w:rPr>
        <w:t xml:space="preserve"> the establishment in Italy because is has the business continuity and stability in Italy. However, it is required to collect the information about its business in Italy</w:t>
      </w:r>
      <w:r w:rsidR="00571A54">
        <w:rPr>
          <w:rFonts w:ascii="Avenir Next" w:hAnsi="Avenir Next" w:cs="Arial"/>
          <w:color w:val="7B7B7B" w:themeColor="accent3" w:themeShade="BF"/>
          <w:sz w:val="22"/>
          <w:szCs w:val="22"/>
          <w:lang w:val="en-GB"/>
        </w:rPr>
        <w:t xml:space="preserve"> </w:t>
      </w:r>
      <w:r w:rsidR="00A37E58">
        <w:rPr>
          <w:rFonts w:ascii="Avenir Next" w:hAnsi="Avenir Next" w:cs="Arial"/>
          <w:color w:val="7B7B7B" w:themeColor="accent3" w:themeShade="BF"/>
          <w:sz w:val="22"/>
          <w:szCs w:val="22"/>
          <w:lang w:val="en-GB"/>
        </w:rPr>
        <w:t>and conduct further analysis about the satisfaction of the establishment.</w:t>
      </w:r>
      <w:bookmarkStart w:id="1" w:name="_GoBack"/>
      <w:bookmarkEnd w:id="1"/>
      <w:r w:rsidRPr="008E3C96">
        <w:rPr>
          <w:rFonts w:ascii="Avenir Next" w:hAnsi="Avenir Next" w:cs="Arial"/>
          <w:color w:val="7B7B7B" w:themeColor="accent3" w:themeShade="BF"/>
          <w:sz w:val="22"/>
          <w:szCs w:val="22"/>
          <w:lang w:val="en-GB"/>
        </w:rPr>
        <w:t>]</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D814D" w14:textId="77777777" w:rsidR="00C77247" w:rsidRDefault="00C77247" w:rsidP="00241B44">
      <w:r>
        <w:separator/>
      </w:r>
    </w:p>
  </w:endnote>
  <w:endnote w:type="continuationSeparator" w:id="0">
    <w:p w14:paraId="05078E3D" w14:textId="77777777" w:rsidR="00C77247" w:rsidRDefault="00C7724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venir Next">
    <w:altName w:val="Corbel"/>
    <w:charset w:val="00"/>
    <w:family w:val="swiss"/>
    <w:pitch w:val="variable"/>
    <w:sig w:usb0="8000002F" w:usb1="5000204A" w:usb2="00000000" w:usb3="00000000" w:csb0="0000009B" w:csb1="00000000"/>
  </w:font>
  <w:font w:name="Avenir Next Demi Bold">
    <w:altName w:val="Trebuchet MS"/>
    <w:charset w:val="00"/>
    <w:family w:val="swiss"/>
    <w:pitch w:val="variable"/>
    <w:sig w:usb0="8000002F" w:usb1="5000204A" w:usb2="00000000" w:usb3="00000000" w:csb0="0000009B"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C77247" w:rsidRPr="00FC7B47" w:rsidRDefault="00C77247"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C77247" w:rsidRPr="00FC7B47" w:rsidRDefault="00C77247"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venir Next" w:hAnsi="Avenir Next" w:cs="Arial"/>
        <w:sz w:val="22"/>
        <w:szCs w:val="22"/>
      </w:rPr>
      <w:id w:val="-1409602822"/>
      <w:docPartObj>
        <w:docPartGallery w:val="Page Numbers (Bottom of Page)"/>
        <w:docPartUnique/>
      </w:docPartObj>
    </w:sdtPr>
    <w:sdtEndPr>
      <w:rPr>
        <w:rStyle w:val="af1"/>
        <w:rFonts w:ascii="Arial" w:hAnsi="Arial"/>
        <w:sz w:val="18"/>
        <w:szCs w:val="18"/>
      </w:rPr>
    </w:sdtEndPr>
    <w:sdtContent>
      <w:p w14:paraId="0A05F8FD" w14:textId="55619234" w:rsidR="00C77247" w:rsidRPr="009B4976" w:rsidRDefault="00C77247" w:rsidP="00D509A5">
        <w:pPr>
          <w:pStyle w:val="af"/>
          <w:framePr w:wrap="none" w:vAnchor="text" w:hAnchor="margin" w:xAlign="right" w:y="1"/>
          <w:rPr>
            <w:rStyle w:val="af1"/>
            <w:rFonts w:ascii="Arial" w:hAnsi="Arial" w:cs="Arial"/>
            <w:sz w:val="18"/>
            <w:szCs w:val="18"/>
          </w:rPr>
        </w:pPr>
        <w:r w:rsidRPr="00E36039">
          <w:rPr>
            <w:rStyle w:val="af1"/>
            <w:rFonts w:ascii="Avenir Next" w:hAnsi="Avenir Next" w:cs="Arial"/>
            <w:sz w:val="22"/>
            <w:szCs w:val="22"/>
          </w:rPr>
          <w:t xml:space="preserve">Page </w:t>
        </w:r>
        <w:r w:rsidRPr="00E36039">
          <w:rPr>
            <w:rStyle w:val="af1"/>
            <w:rFonts w:ascii="Avenir Next" w:hAnsi="Avenir Next" w:cs="Arial"/>
            <w:sz w:val="22"/>
            <w:szCs w:val="22"/>
          </w:rPr>
          <w:fldChar w:fldCharType="begin"/>
        </w:r>
        <w:r w:rsidRPr="00E36039">
          <w:rPr>
            <w:rStyle w:val="af1"/>
            <w:rFonts w:ascii="Avenir Next" w:hAnsi="Avenir Next" w:cs="Arial"/>
            <w:sz w:val="22"/>
            <w:szCs w:val="22"/>
          </w:rPr>
          <w:instrText xml:space="preserve"> PAGE </w:instrText>
        </w:r>
        <w:r w:rsidRPr="00E36039">
          <w:rPr>
            <w:rStyle w:val="af1"/>
            <w:rFonts w:ascii="Avenir Next" w:hAnsi="Avenir Next" w:cs="Arial"/>
            <w:sz w:val="22"/>
            <w:szCs w:val="22"/>
          </w:rPr>
          <w:fldChar w:fldCharType="separate"/>
        </w:r>
        <w:r w:rsidR="00A37E58">
          <w:rPr>
            <w:rStyle w:val="af1"/>
            <w:rFonts w:ascii="Avenir Next" w:hAnsi="Avenir Next" w:cs="Arial"/>
            <w:noProof/>
            <w:sz w:val="22"/>
            <w:szCs w:val="22"/>
          </w:rPr>
          <w:t>10</w:t>
        </w:r>
        <w:r w:rsidRPr="00E36039">
          <w:rPr>
            <w:rStyle w:val="af1"/>
            <w:rFonts w:ascii="Avenir Next" w:hAnsi="Avenir Next" w:cs="Arial"/>
            <w:sz w:val="22"/>
            <w:szCs w:val="22"/>
          </w:rPr>
          <w:fldChar w:fldCharType="end"/>
        </w:r>
      </w:p>
    </w:sdtContent>
  </w:sdt>
  <w:p w14:paraId="30F05E79" w14:textId="2616AB09" w:rsidR="00C77247" w:rsidRPr="00E36039" w:rsidRDefault="00C77247" w:rsidP="009B4976">
    <w:pPr>
      <w:pStyle w:val="af"/>
      <w:ind w:right="360"/>
      <w:rPr>
        <w:rFonts w:ascii="Avenir Next" w:hAnsi="Avenir Next" w:cs="Arial"/>
        <w:sz w:val="22"/>
        <w:szCs w:val="22"/>
        <w:lang w:val="en-GB"/>
      </w:rPr>
    </w:pPr>
    <w:r w:rsidRPr="00E36039">
      <w:rPr>
        <w:rFonts w:ascii="Avenir Next" w:hAnsi="Avenir Next" w:cs="Arial"/>
        <w:sz w:val="22"/>
        <w:szCs w:val="22"/>
        <w:lang w:val="en-GB"/>
      </w:rPr>
      <w:t>studentID.assessment2B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9780A" w14:textId="77777777" w:rsidR="00C77247" w:rsidRDefault="00C77247" w:rsidP="00241B44">
      <w:r>
        <w:separator/>
      </w:r>
    </w:p>
  </w:footnote>
  <w:footnote w:type="continuationSeparator" w:id="0">
    <w:p w14:paraId="0585CE3A" w14:textId="77777777" w:rsidR="00C77247" w:rsidRDefault="00C7724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1"/>
  </w:num>
  <w:num w:numId="3">
    <w:abstractNumId w:val="15"/>
  </w:num>
  <w:num w:numId="4">
    <w:abstractNumId w:val="26"/>
  </w:num>
  <w:num w:numId="5">
    <w:abstractNumId w:val="20"/>
  </w:num>
  <w:num w:numId="6">
    <w:abstractNumId w:val="23"/>
  </w:num>
  <w:num w:numId="7">
    <w:abstractNumId w:val="6"/>
  </w:num>
  <w:num w:numId="8">
    <w:abstractNumId w:val="18"/>
  </w:num>
  <w:num w:numId="9">
    <w:abstractNumId w:val="17"/>
  </w:num>
  <w:num w:numId="10">
    <w:abstractNumId w:val="13"/>
  </w:num>
  <w:num w:numId="11">
    <w:abstractNumId w:val="19"/>
  </w:num>
  <w:num w:numId="12">
    <w:abstractNumId w:val="2"/>
  </w:num>
  <w:num w:numId="13">
    <w:abstractNumId w:val="10"/>
  </w:num>
  <w:num w:numId="14">
    <w:abstractNumId w:val="16"/>
  </w:num>
  <w:num w:numId="15">
    <w:abstractNumId w:val="14"/>
  </w:num>
  <w:num w:numId="16">
    <w:abstractNumId w:val="9"/>
  </w:num>
  <w:num w:numId="17">
    <w:abstractNumId w:val="12"/>
  </w:num>
  <w:num w:numId="18">
    <w:abstractNumId w:val="3"/>
  </w:num>
  <w:num w:numId="19">
    <w:abstractNumId w:val="0"/>
  </w:num>
  <w:num w:numId="20">
    <w:abstractNumId w:val="5"/>
  </w:num>
  <w:num w:numId="21">
    <w:abstractNumId w:val="0"/>
  </w:num>
  <w:num w:numId="22">
    <w:abstractNumId w:val="7"/>
  </w:num>
  <w:num w:numId="23">
    <w:abstractNumId w:val="22"/>
  </w:num>
  <w:num w:numId="24">
    <w:abstractNumId w:val="24"/>
  </w:num>
  <w:num w:numId="25">
    <w:abstractNumId w:val="4"/>
  </w:num>
  <w:num w:numId="26">
    <w:abstractNumId w:val="27"/>
  </w:num>
  <w:num w:numId="27">
    <w:abstractNumId w:val="8"/>
  </w:num>
  <w:num w:numId="28">
    <w:abstractNumId w:val="1"/>
  </w:num>
  <w:num w:numId="29">
    <w:abstractNumId w:val="11"/>
  </w:num>
  <w:num w:numId="3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720"/>
  <w:drawingGridHorizontalSpacing w:val="100"/>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146"/>
    <w:rsid w:val="00010BA0"/>
    <w:rsid w:val="0001344B"/>
    <w:rsid w:val="00016162"/>
    <w:rsid w:val="00020557"/>
    <w:rsid w:val="000250C7"/>
    <w:rsid w:val="00026F16"/>
    <w:rsid w:val="00037621"/>
    <w:rsid w:val="00041B32"/>
    <w:rsid w:val="00044D46"/>
    <w:rsid w:val="00045088"/>
    <w:rsid w:val="00045904"/>
    <w:rsid w:val="00054E15"/>
    <w:rsid w:val="00065166"/>
    <w:rsid w:val="00082609"/>
    <w:rsid w:val="000851CC"/>
    <w:rsid w:val="00087CD6"/>
    <w:rsid w:val="00093BE8"/>
    <w:rsid w:val="000964D7"/>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178DE"/>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1199"/>
    <w:rsid w:val="00284EBE"/>
    <w:rsid w:val="0029433F"/>
    <w:rsid w:val="00294829"/>
    <w:rsid w:val="0029690F"/>
    <w:rsid w:val="00297C8A"/>
    <w:rsid w:val="002A10A2"/>
    <w:rsid w:val="002A2A60"/>
    <w:rsid w:val="002A37BB"/>
    <w:rsid w:val="002B1C45"/>
    <w:rsid w:val="002B75CE"/>
    <w:rsid w:val="002C13C8"/>
    <w:rsid w:val="002C3547"/>
    <w:rsid w:val="002D0021"/>
    <w:rsid w:val="002D3473"/>
    <w:rsid w:val="002E25DB"/>
    <w:rsid w:val="002E2846"/>
    <w:rsid w:val="002E4CF1"/>
    <w:rsid w:val="002F1956"/>
    <w:rsid w:val="002F3440"/>
    <w:rsid w:val="002F75A3"/>
    <w:rsid w:val="00302D76"/>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66B0C"/>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1A54"/>
    <w:rsid w:val="00575B2D"/>
    <w:rsid w:val="005833D0"/>
    <w:rsid w:val="00583BFF"/>
    <w:rsid w:val="005846F3"/>
    <w:rsid w:val="0058622F"/>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56"/>
    <w:rsid w:val="006603F1"/>
    <w:rsid w:val="006639DB"/>
    <w:rsid w:val="006661EF"/>
    <w:rsid w:val="006723E9"/>
    <w:rsid w:val="00677AEB"/>
    <w:rsid w:val="00680EF2"/>
    <w:rsid w:val="00687A1D"/>
    <w:rsid w:val="00696ED8"/>
    <w:rsid w:val="00697C15"/>
    <w:rsid w:val="00697EA1"/>
    <w:rsid w:val="006A2646"/>
    <w:rsid w:val="006A6530"/>
    <w:rsid w:val="006B435A"/>
    <w:rsid w:val="006B4C64"/>
    <w:rsid w:val="006C4FAA"/>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364C5"/>
    <w:rsid w:val="00745D6F"/>
    <w:rsid w:val="00747F8A"/>
    <w:rsid w:val="007603F5"/>
    <w:rsid w:val="00764DB0"/>
    <w:rsid w:val="0076764D"/>
    <w:rsid w:val="0077498C"/>
    <w:rsid w:val="007772BD"/>
    <w:rsid w:val="007809BC"/>
    <w:rsid w:val="00782DF0"/>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0E7F"/>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62045"/>
    <w:rsid w:val="00967219"/>
    <w:rsid w:val="00971896"/>
    <w:rsid w:val="009722B8"/>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37E58"/>
    <w:rsid w:val="00A407EF"/>
    <w:rsid w:val="00A46B4C"/>
    <w:rsid w:val="00A50055"/>
    <w:rsid w:val="00A50570"/>
    <w:rsid w:val="00A5117B"/>
    <w:rsid w:val="00A54CB5"/>
    <w:rsid w:val="00A60074"/>
    <w:rsid w:val="00A620A6"/>
    <w:rsid w:val="00A62FDA"/>
    <w:rsid w:val="00A6627C"/>
    <w:rsid w:val="00A71019"/>
    <w:rsid w:val="00A7758E"/>
    <w:rsid w:val="00A81029"/>
    <w:rsid w:val="00A83E9F"/>
    <w:rsid w:val="00A96489"/>
    <w:rsid w:val="00AA55B5"/>
    <w:rsid w:val="00AA74F9"/>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155B"/>
    <w:rsid w:val="00B12499"/>
    <w:rsid w:val="00B12EF7"/>
    <w:rsid w:val="00B14819"/>
    <w:rsid w:val="00B15E2F"/>
    <w:rsid w:val="00B17AA9"/>
    <w:rsid w:val="00B235A6"/>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47"/>
    <w:rsid w:val="00C7729F"/>
    <w:rsid w:val="00C7736C"/>
    <w:rsid w:val="00C82D87"/>
    <w:rsid w:val="00C8712A"/>
    <w:rsid w:val="00C963D3"/>
    <w:rsid w:val="00CA7069"/>
    <w:rsid w:val="00CB1983"/>
    <w:rsid w:val="00CB2CBB"/>
    <w:rsid w:val="00CB30F1"/>
    <w:rsid w:val="00CB7CAC"/>
    <w:rsid w:val="00CC25B9"/>
    <w:rsid w:val="00CC5335"/>
    <w:rsid w:val="00CC5BA4"/>
    <w:rsid w:val="00CD4998"/>
    <w:rsid w:val="00CE1035"/>
    <w:rsid w:val="00CE4206"/>
    <w:rsid w:val="00CE6E50"/>
    <w:rsid w:val="00CF2819"/>
    <w:rsid w:val="00CF4F9D"/>
    <w:rsid w:val="00CF70DC"/>
    <w:rsid w:val="00D148DC"/>
    <w:rsid w:val="00D17FDC"/>
    <w:rsid w:val="00D21F62"/>
    <w:rsid w:val="00D26E26"/>
    <w:rsid w:val="00D428BE"/>
    <w:rsid w:val="00D43B3A"/>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A61BB"/>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2106"/>
    <w:rsid w:val="00DF75F8"/>
    <w:rsid w:val="00DF7A3A"/>
    <w:rsid w:val="00E00C00"/>
    <w:rsid w:val="00E03AF0"/>
    <w:rsid w:val="00E07C5A"/>
    <w:rsid w:val="00E106B9"/>
    <w:rsid w:val="00E15BA9"/>
    <w:rsid w:val="00E16A04"/>
    <w:rsid w:val="00E26E19"/>
    <w:rsid w:val="00E30C8A"/>
    <w:rsid w:val="00E31DF3"/>
    <w:rsid w:val="00E36039"/>
    <w:rsid w:val="00E450A4"/>
    <w:rsid w:val="00E450B0"/>
    <w:rsid w:val="00E506BE"/>
    <w:rsid w:val="00E55547"/>
    <w:rsid w:val="00E604A1"/>
    <w:rsid w:val="00E6302B"/>
    <w:rsid w:val="00E6452F"/>
    <w:rsid w:val="00E64F45"/>
    <w:rsid w:val="00E6658E"/>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E71AA"/>
    <w:rsid w:val="00EF090E"/>
    <w:rsid w:val="00EF3CA6"/>
    <w:rsid w:val="00F033DA"/>
    <w:rsid w:val="00F044AB"/>
    <w:rsid w:val="00F13FB1"/>
    <w:rsid w:val="00F27CD8"/>
    <w:rsid w:val="00F30351"/>
    <w:rsid w:val="00F3323E"/>
    <w:rsid w:val="00F341F4"/>
    <w:rsid w:val="00F34F9D"/>
    <w:rsid w:val="00F35CCE"/>
    <w:rsid w:val="00F35D75"/>
    <w:rsid w:val="00F5367F"/>
    <w:rsid w:val="00F5524B"/>
    <w:rsid w:val="00F60538"/>
    <w:rsid w:val="00F61DD2"/>
    <w:rsid w:val="00F66AFF"/>
    <w:rsid w:val="00F71433"/>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F8A"/>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6482">
      <w:bodyDiv w:val="1"/>
      <w:marLeft w:val="0"/>
      <w:marRight w:val="0"/>
      <w:marTop w:val="0"/>
      <w:marBottom w:val="0"/>
      <w:divBdr>
        <w:top w:val="none" w:sz="0" w:space="0" w:color="auto"/>
        <w:left w:val="none" w:sz="0" w:space="0" w:color="auto"/>
        <w:bottom w:val="none" w:sz="0" w:space="0" w:color="auto"/>
        <w:right w:val="none" w:sz="0" w:space="0" w:color="auto"/>
      </w:divBdr>
    </w:div>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39687847">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F9E3F-B48C-4A8D-946E-D2699CCE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10</Pages>
  <Words>3842</Words>
  <Characters>22285</Characters>
  <Application>Microsoft Office Word</Application>
  <DocSecurity>0</DocSecurity>
  <Lines>390</Lines>
  <Paragraphs>150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AMT</cp:lastModifiedBy>
  <cp:revision>24</cp:revision>
  <cp:lastPrinted>2019-08-27T05:42:00Z</cp:lastPrinted>
  <dcterms:created xsi:type="dcterms:W3CDTF">2022-06-13T14:47:00Z</dcterms:created>
  <dcterms:modified xsi:type="dcterms:W3CDTF">2023-01-04T12:09:00Z</dcterms:modified>
</cp:coreProperties>
</file>