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8A78C4" w:rsidRDefault="00CE0ECD" w:rsidP="00B77B19">
      <w:pPr>
        <w:pStyle w:val="AODocTxt"/>
        <w:spacing w:before="0" w:line="240" w:lineRule="auto"/>
        <w:rPr>
          <w:rFonts w:ascii="Avenir Next" w:hAnsi="Avenir Next"/>
        </w:rPr>
      </w:pPr>
      <w:r w:rsidRPr="008A78C4">
        <w:rPr>
          <w:rFonts w:ascii="Avenir Next" w:hAnsi="Avenir Next"/>
        </w:rPr>
        <w:t xml:space="preserve">Which of the following entities </w:t>
      </w:r>
      <w:r w:rsidRPr="008A78C4">
        <w:rPr>
          <w:rFonts w:ascii="Avenir Next Demi Bold" w:hAnsi="Avenir Next Demi Bold"/>
          <w:b/>
          <w:bCs/>
          <w:u w:val="single"/>
        </w:rPr>
        <w:t>does not</w:t>
      </w:r>
      <w:r w:rsidRPr="008A78C4">
        <w:rPr>
          <w:rFonts w:ascii="Avenir Next" w:hAnsi="Avenir Next"/>
        </w:rPr>
        <w:t xml:space="preserve"> satisfy the minimum presence requirement to be a debtor under any chapter of the Bankruptcy Code?</w:t>
      </w:r>
    </w:p>
    <w:p w14:paraId="3992EA0A" w14:textId="77777777" w:rsidR="00CE0ECD" w:rsidRPr="008A78C4" w:rsidRDefault="00CE0ECD" w:rsidP="00B77B19">
      <w:pPr>
        <w:pStyle w:val="AODocTxt"/>
        <w:spacing w:before="0" w:line="240" w:lineRule="auto"/>
        <w:rPr>
          <w:rFonts w:ascii="Avenir Next" w:hAnsi="Avenir Next"/>
        </w:rPr>
      </w:pPr>
    </w:p>
    <w:p w14:paraId="542947B1" w14:textId="17131201" w:rsidR="00CE0ECD" w:rsidRPr="008A78C4" w:rsidRDefault="00CE0ECD" w:rsidP="00B77B19">
      <w:pPr>
        <w:pStyle w:val="AODocTxt"/>
        <w:numPr>
          <w:ilvl w:val="0"/>
          <w:numId w:val="14"/>
        </w:numPr>
        <w:spacing w:before="0" w:line="240" w:lineRule="auto"/>
        <w:ind w:left="426"/>
        <w:rPr>
          <w:rFonts w:ascii="Avenir Next" w:hAnsi="Avenir Next"/>
        </w:rPr>
      </w:pPr>
      <w:r w:rsidRPr="008A78C4">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8A78C4" w:rsidRDefault="00CE0ECD" w:rsidP="00B77B19">
      <w:pPr>
        <w:pStyle w:val="AODocTxt"/>
        <w:numPr>
          <w:ilvl w:val="0"/>
          <w:numId w:val="14"/>
        </w:numPr>
        <w:spacing w:before="0" w:line="240" w:lineRule="auto"/>
        <w:ind w:left="426"/>
        <w:rPr>
          <w:rFonts w:ascii="Avenir Next" w:hAnsi="Avenir Next"/>
          <w:highlight w:val="yellow"/>
        </w:rPr>
      </w:pPr>
      <w:proofErr w:type="gramStart"/>
      <w:r w:rsidRPr="008A78C4">
        <w:rPr>
          <w:rFonts w:ascii="Avenir Next" w:hAnsi="Avenir Next"/>
          <w:highlight w:val="yellow"/>
        </w:rPr>
        <w:t>All of</w:t>
      </w:r>
      <w:proofErr w:type="gramEnd"/>
      <w:r w:rsidRPr="008A78C4">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9A5BAD">
        <w:rPr>
          <w:rFonts w:ascii="Avenir Next" w:hAnsi="Avenir Next"/>
          <w:highlight w:val="yellow"/>
        </w:rPr>
        <w:t>(b)</w:t>
      </w:r>
      <w:r w:rsidRPr="009A5BAD">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9A5BAD" w:rsidRDefault="00CE0ECD" w:rsidP="00097D56">
      <w:pPr>
        <w:pStyle w:val="AODocTxt"/>
        <w:numPr>
          <w:ilvl w:val="0"/>
          <w:numId w:val="16"/>
        </w:numPr>
        <w:spacing w:before="0" w:line="240" w:lineRule="auto"/>
        <w:ind w:left="426"/>
        <w:rPr>
          <w:rFonts w:ascii="Avenir Next" w:hAnsi="Avenir Next"/>
          <w:highlight w:val="yellow"/>
        </w:rPr>
      </w:pPr>
      <w:r w:rsidRPr="009A5BAD">
        <w:rPr>
          <w:rFonts w:ascii="Avenir Next" w:hAnsi="Avenir Next"/>
          <w:highlight w:val="yellow"/>
        </w:rPr>
        <w:t xml:space="preserve">A </w:t>
      </w:r>
      <w:r w:rsidR="00D06A30" w:rsidRPr="009A5BAD">
        <w:rPr>
          <w:rFonts w:ascii="Avenir Next" w:hAnsi="Avenir Next"/>
          <w:highlight w:val="yellow"/>
        </w:rPr>
        <w:t>10</w:t>
      </w:r>
      <w:r w:rsidRPr="009A5BAD">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9A5BAD" w:rsidRDefault="00CE0ECD" w:rsidP="00A82B32">
      <w:pPr>
        <w:pStyle w:val="AODocTxt"/>
        <w:numPr>
          <w:ilvl w:val="0"/>
          <w:numId w:val="18"/>
        </w:numPr>
        <w:spacing w:before="0" w:line="240" w:lineRule="auto"/>
        <w:ind w:left="426"/>
        <w:rPr>
          <w:rFonts w:ascii="Avenir Next" w:hAnsi="Avenir Next"/>
          <w:highlight w:val="yellow"/>
        </w:rPr>
      </w:pPr>
      <w:r w:rsidRPr="009A5BAD">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9A5BAD" w:rsidRDefault="00CE0ECD" w:rsidP="00E421C6">
      <w:pPr>
        <w:pStyle w:val="AODocTxt"/>
        <w:numPr>
          <w:ilvl w:val="0"/>
          <w:numId w:val="20"/>
        </w:numPr>
        <w:spacing w:before="0" w:line="240" w:lineRule="auto"/>
        <w:ind w:left="426"/>
        <w:rPr>
          <w:rFonts w:ascii="Avenir Next" w:hAnsi="Avenir Next"/>
          <w:highlight w:val="yellow"/>
        </w:rPr>
      </w:pPr>
      <w:r w:rsidRPr="009A5BA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9E3A54" w:rsidRDefault="00CE0ECD" w:rsidP="00E421C6">
      <w:pPr>
        <w:pStyle w:val="AODocTxt"/>
        <w:numPr>
          <w:ilvl w:val="0"/>
          <w:numId w:val="22"/>
        </w:numPr>
        <w:spacing w:before="0" w:line="240" w:lineRule="auto"/>
        <w:ind w:left="426"/>
        <w:rPr>
          <w:rFonts w:ascii="Avenir Next" w:hAnsi="Avenir Next"/>
          <w:highlight w:val="yellow"/>
        </w:rPr>
      </w:pPr>
      <w:r w:rsidRPr="009E3A54">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9E3A54" w:rsidRDefault="00CE0ECD" w:rsidP="000346E7">
      <w:pPr>
        <w:pStyle w:val="AODocTxt"/>
        <w:numPr>
          <w:ilvl w:val="0"/>
          <w:numId w:val="24"/>
        </w:numPr>
        <w:spacing w:before="0" w:line="240" w:lineRule="auto"/>
        <w:ind w:left="426"/>
        <w:rPr>
          <w:rFonts w:ascii="Avenir Next" w:hAnsi="Avenir Next"/>
          <w:highlight w:val="yellow"/>
        </w:rPr>
      </w:pPr>
      <w:proofErr w:type="gramStart"/>
      <w:r w:rsidRPr="009E3A54">
        <w:rPr>
          <w:rFonts w:ascii="Avenir Next" w:hAnsi="Avenir Next"/>
          <w:highlight w:val="yellow"/>
        </w:rPr>
        <w:t>All of</w:t>
      </w:r>
      <w:proofErr w:type="gramEnd"/>
      <w:r w:rsidRPr="009E3A54">
        <w:rPr>
          <w:rFonts w:ascii="Avenir Next" w:hAnsi="Avenir Next"/>
          <w:highlight w:val="yellow"/>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9E3A54" w:rsidRDefault="00CE0ECD" w:rsidP="004830F8">
      <w:pPr>
        <w:pStyle w:val="AODocTxt"/>
        <w:numPr>
          <w:ilvl w:val="0"/>
          <w:numId w:val="26"/>
        </w:numPr>
        <w:spacing w:before="0" w:line="240" w:lineRule="auto"/>
        <w:ind w:left="426"/>
        <w:rPr>
          <w:rFonts w:ascii="Avenir Next" w:hAnsi="Avenir Next"/>
          <w:highlight w:val="yellow"/>
        </w:rPr>
      </w:pPr>
      <w:r w:rsidRPr="009E3A54">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9E3A54" w:rsidRDefault="00CE0ECD" w:rsidP="004830F8">
      <w:pPr>
        <w:pStyle w:val="AODocTxt"/>
        <w:numPr>
          <w:ilvl w:val="0"/>
          <w:numId w:val="28"/>
        </w:numPr>
        <w:spacing w:before="0" w:line="240" w:lineRule="auto"/>
        <w:ind w:left="426"/>
        <w:rPr>
          <w:rFonts w:ascii="Avenir Next" w:hAnsi="Avenir Next"/>
          <w:highlight w:val="yellow"/>
        </w:rPr>
      </w:pPr>
      <w:r w:rsidRPr="009E3A54">
        <w:rPr>
          <w:rFonts w:ascii="Avenir Next" w:hAnsi="Avenir Next"/>
          <w:highlight w:val="yellow"/>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9E3A54" w:rsidRDefault="00CE0ECD" w:rsidP="00AA0280">
      <w:pPr>
        <w:pStyle w:val="AODocTxt"/>
        <w:numPr>
          <w:ilvl w:val="0"/>
          <w:numId w:val="30"/>
        </w:numPr>
        <w:spacing w:before="0" w:line="240" w:lineRule="auto"/>
        <w:ind w:left="426"/>
        <w:rPr>
          <w:rFonts w:ascii="Avenir Next" w:hAnsi="Avenir Next"/>
          <w:highlight w:val="yellow"/>
        </w:rPr>
      </w:pPr>
      <w:proofErr w:type="gramStart"/>
      <w:r w:rsidRPr="009E3A54">
        <w:rPr>
          <w:rFonts w:ascii="Avenir Next" w:hAnsi="Avenir Next"/>
          <w:highlight w:val="yellow"/>
        </w:rPr>
        <w:t>All of</w:t>
      </w:r>
      <w:proofErr w:type="gramEnd"/>
      <w:r w:rsidRPr="009E3A54">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B04C020" w14:textId="5F57686A" w:rsidR="00E41578" w:rsidRDefault="004C244D" w:rsidP="004C244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a right that permits a creditor that is simultaneously holding a claim against the debtor and owing money to the debtor to net out the obligations. This right is limited because it can improve the position of a creditor compared to another unsecured creditors. </w:t>
      </w:r>
    </w:p>
    <w:p w14:paraId="374D9B5A" w14:textId="77777777" w:rsidR="004C244D" w:rsidRPr="00323167" w:rsidRDefault="004C244D" w:rsidP="004C244D">
      <w:pPr>
        <w:jc w:val="both"/>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157F3C57" w:rsidR="00E41578" w:rsidRPr="00E41578" w:rsidRDefault="004C244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the Bankruptcy Code (Title 11 of the U.S. Code). Second, the Federal Rules of Bankruptcy Procedure (Title 11a of the U.S. Code). Also, for the determination of claims and the property of the debtor, is important to review the applicable non-bankruptcy law, such a State law</w:t>
      </w:r>
      <w:r w:rsidR="00F720BE">
        <w:rPr>
          <w:rFonts w:ascii="Avenir Next" w:hAnsi="Avenir Next" w:cs="Arial"/>
          <w:color w:val="7B7B7B" w:themeColor="accent3" w:themeShade="BF"/>
          <w:sz w:val="22"/>
          <w:szCs w:val="22"/>
          <w:lang w:val="en-GB"/>
        </w:rPr>
        <w:t xml:space="preserve">. </w:t>
      </w:r>
      <w:r w:rsidR="00B6447C">
        <w:rPr>
          <w:rFonts w:ascii="Avenir Next" w:hAnsi="Avenir Next" w:cs="Arial"/>
          <w:color w:val="7B7B7B" w:themeColor="accent3" w:themeShade="BF"/>
          <w:sz w:val="22"/>
          <w:szCs w:val="22"/>
          <w:lang w:val="en-GB"/>
        </w:rPr>
        <w:t xml:space="preserve">And for the requirements on the filing, is worth to review the local bankruptcy rules of the court of filing. </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4BDA27E5" w14:textId="3477C21E" w:rsidR="00614053" w:rsidRPr="00614053" w:rsidRDefault="00DF3DA6" w:rsidP="006140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is </w:t>
      </w:r>
      <w:r w:rsidR="00E6789A">
        <w:rPr>
          <w:rFonts w:ascii="Avenir Next" w:hAnsi="Avenir Next" w:cs="Arial"/>
          <w:color w:val="7B7B7B" w:themeColor="accent3" w:themeShade="BF"/>
          <w:sz w:val="22"/>
          <w:szCs w:val="22"/>
          <w:lang w:val="en-GB"/>
        </w:rPr>
        <w:t xml:space="preserve">a mechanism to ensure that all creditors are treated equally, based on the priority of their claims. </w:t>
      </w:r>
      <w:r w:rsidR="00614053">
        <w:rPr>
          <w:rFonts w:ascii="Avenir Next" w:hAnsi="Avenir Next" w:cs="Arial"/>
          <w:color w:val="7B7B7B" w:themeColor="accent3" w:themeShade="BF"/>
          <w:sz w:val="22"/>
          <w:szCs w:val="22"/>
          <w:lang w:val="en-GB"/>
        </w:rPr>
        <w:t xml:space="preserve">It requires </w:t>
      </w:r>
      <w:r w:rsidR="00614053" w:rsidRPr="00614053">
        <w:rPr>
          <w:rFonts w:ascii="Avenir Next" w:hAnsi="Avenir Next" w:cs="Arial"/>
          <w:color w:val="7B7B7B" w:themeColor="accent3" w:themeShade="BF"/>
          <w:sz w:val="22"/>
          <w:szCs w:val="22"/>
          <w:lang w:val="en-GB"/>
        </w:rPr>
        <w:t xml:space="preserve">that payment in full must be made to each category of claims </w:t>
      </w:r>
    </w:p>
    <w:p w14:paraId="1F6078B6" w14:textId="0B3968D7" w:rsidR="00E41578" w:rsidRPr="00E41578" w:rsidRDefault="00614053" w:rsidP="00614053">
      <w:pPr>
        <w:jc w:val="both"/>
        <w:rPr>
          <w:rFonts w:ascii="Avenir Next" w:hAnsi="Avenir Next" w:cs="Arial"/>
          <w:color w:val="7B7B7B" w:themeColor="accent3" w:themeShade="BF"/>
          <w:sz w:val="22"/>
          <w:szCs w:val="22"/>
          <w:lang w:val="en-GB"/>
        </w:rPr>
      </w:pPr>
      <w:r w:rsidRPr="00614053">
        <w:rPr>
          <w:rFonts w:ascii="Avenir Next" w:hAnsi="Avenir Next" w:cs="Arial"/>
          <w:color w:val="7B7B7B" w:themeColor="accent3" w:themeShade="BF"/>
          <w:sz w:val="22"/>
          <w:szCs w:val="22"/>
          <w:lang w:val="en-GB"/>
        </w:rPr>
        <w:t>before the next category receives anything.</w:t>
      </w:r>
      <w:r>
        <w:rPr>
          <w:rFonts w:ascii="Avenir Next" w:hAnsi="Avenir Next" w:cs="Arial"/>
          <w:color w:val="7B7B7B" w:themeColor="accent3" w:themeShade="BF"/>
          <w:sz w:val="22"/>
          <w:szCs w:val="22"/>
          <w:lang w:val="en-GB"/>
        </w:rPr>
        <w:t xml:space="preserve"> It can be deviated if the creditor consents.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B1C6266" w:rsidR="00E41578" w:rsidRPr="00E41578" w:rsidRDefault="00000E0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a type of post-petition financing </w:t>
      </w:r>
      <w:r w:rsidR="00EF3777">
        <w:rPr>
          <w:rFonts w:ascii="Avenir Next" w:hAnsi="Avenir Next" w:cs="Arial"/>
          <w:color w:val="7B7B7B" w:themeColor="accent3" w:themeShade="BF"/>
          <w:sz w:val="22"/>
          <w:szCs w:val="22"/>
          <w:lang w:val="en-GB"/>
        </w:rPr>
        <w:t>that the debtor can use if is unable to secure another type of financing (</w:t>
      </w:r>
      <w:r w:rsidR="00EF3777" w:rsidRPr="00EF3777">
        <w:rPr>
          <w:rFonts w:ascii="Avenir Next" w:hAnsi="Avenir Next" w:cs="Arial"/>
          <w:color w:val="7B7B7B" w:themeColor="accent3" w:themeShade="BF"/>
          <w:sz w:val="22"/>
          <w:szCs w:val="22"/>
          <w:lang w:val="en-GB"/>
        </w:rPr>
        <w:t>§ 364</w:t>
      </w:r>
      <w:r w:rsidR="00EF3777">
        <w:rPr>
          <w:rFonts w:ascii="Avenir Next" w:hAnsi="Avenir Next" w:cs="Arial"/>
          <w:color w:val="7B7B7B" w:themeColor="accent3" w:themeShade="BF"/>
          <w:sz w:val="22"/>
          <w:szCs w:val="22"/>
          <w:lang w:val="en-GB"/>
        </w:rPr>
        <w:t xml:space="preserve"> of the Bankruptcy Code establish an order for the debtor to obtaining credit). To opt for the priming lien, the debtor must demonstrate that is unable to obtain credit otherwise and </w:t>
      </w:r>
      <w:r w:rsidR="00EF3777">
        <w:rPr>
          <w:rFonts w:ascii="Avenir Next" w:hAnsi="Avenir Next" w:cs="Arial"/>
          <w:color w:val="7B7B7B" w:themeColor="accent3" w:themeShade="BF"/>
          <w:sz w:val="22"/>
          <w:szCs w:val="22"/>
          <w:lang w:val="en-GB"/>
        </w:rPr>
        <w:lastRenderedPageBreak/>
        <w:t>there is adequate protection of the interest of the holder of the lien on the property of the estate on which such senior or equal lien is proposed to be granted. The court authorize the priming lien after notice and hearing (</w:t>
      </w:r>
      <w:r w:rsidR="00EF3777" w:rsidRPr="00EF3777">
        <w:rPr>
          <w:rFonts w:ascii="Avenir Next" w:hAnsi="Avenir Next" w:cs="Arial"/>
          <w:color w:val="7B7B7B" w:themeColor="accent3" w:themeShade="BF"/>
          <w:sz w:val="22"/>
          <w:szCs w:val="22"/>
          <w:lang w:val="en-GB"/>
        </w:rPr>
        <w:t>§ 364</w:t>
      </w:r>
      <w:r w:rsidR="00EF3777">
        <w:rPr>
          <w:rFonts w:ascii="Avenir Next" w:hAnsi="Avenir Next" w:cs="Arial"/>
          <w:color w:val="7B7B7B" w:themeColor="accent3" w:themeShade="BF"/>
          <w:sz w:val="22"/>
          <w:szCs w:val="22"/>
          <w:lang w:val="en-GB"/>
        </w:rPr>
        <w:t>(d))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36657A5D" w14:textId="27184975" w:rsidR="00D109EC" w:rsidRPr="00D109EC" w:rsidRDefault="00D109EC" w:rsidP="00D109E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w:t>
      </w:r>
      <w:r w:rsidR="00CD0C39">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property made in a suspect period before the petition date. The property </w:t>
      </w:r>
      <w:r w:rsidRPr="00D109EC">
        <w:rPr>
          <w:rFonts w:ascii="Avenir Next" w:hAnsi="Avenir Next" w:cs="Arial"/>
          <w:color w:val="7B7B7B" w:themeColor="accent3" w:themeShade="BF"/>
          <w:sz w:val="22"/>
          <w:szCs w:val="22"/>
          <w:lang w:val="en-GB"/>
        </w:rPr>
        <w:t xml:space="preserve">must be returned to the estate if it exceeds the amount the recipient would have </w:t>
      </w:r>
    </w:p>
    <w:p w14:paraId="5DFD21C8" w14:textId="61A4E64C" w:rsidR="00D109EC" w:rsidRPr="00D109EC" w:rsidRDefault="00D109EC" w:rsidP="00D109EC">
      <w:pPr>
        <w:jc w:val="both"/>
        <w:rPr>
          <w:rFonts w:ascii="Avenir Next" w:hAnsi="Avenir Next" w:cs="Arial"/>
          <w:color w:val="7B7B7B" w:themeColor="accent3" w:themeShade="BF"/>
          <w:sz w:val="22"/>
          <w:szCs w:val="22"/>
          <w:lang w:val="en-GB"/>
        </w:rPr>
      </w:pPr>
      <w:r w:rsidRPr="00D109EC">
        <w:rPr>
          <w:rFonts w:ascii="Avenir Next" w:hAnsi="Avenir Next" w:cs="Arial"/>
          <w:color w:val="7B7B7B" w:themeColor="accent3" w:themeShade="BF"/>
          <w:sz w:val="22"/>
          <w:szCs w:val="22"/>
          <w:lang w:val="en-GB"/>
        </w:rPr>
        <w:t>received in a chapter 7 liquidation had the transfer not been made</w:t>
      </w:r>
      <w:r>
        <w:rPr>
          <w:rFonts w:ascii="Avenir Next" w:hAnsi="Avenir Next" w:cs="Arial"/>
          <w:color w:val="7B7B7B" w:themeColor="accent3" w:themeShade="BF"/>
          <w:sz w:val="22"/>
          <w:szCs w:val="22"/>
          <w:lang w:val="en-GB"/>
        </w:rPr>
        <w:t xml:space="preserve">. The elements that need to be proved are: (1) the transfer is of </w:t>
      </w:r>
      <w:proofErr w:type="gramStart"/>
      <w:r>
        <w:rPr>
          <w:rFonts w:ascii="Avenir Next" w:hAnsi="Avenir Next" w:cs="Arial"/>
          <w:color w:val="7B7B7B" w:themeColor="accent3" w:themeShade="BF"/>
          <w:sz w:val="22"/>
          <w:szCs w:val="22"/>
          <w:lang w:val="en-GB"/>
        </w:rPr>
        <w:t>an</w:t>
      </w:r>
      <w:proofErr w:type="gramEnd"/>
      <w:r>
        <w:rPr>
          <w:rFonts w:ascii="Avenir Next" w:hAnsi="Avenir Next" w:cs="Arial"/>
          <w:color w:val="7B7B7B" w:themeColor="accent3" w:themeShade="BF"/>
          <w:sz w:val="22"/>
          <w:szCs w:val="22"/>
          <w:lang w:val="en-GB"/>
        </w:rPr>
        <w:t xml:space="preserve"> property that the debtor had an interest. (2) The recipient of the transfer was a </w:t>
      </w:r>
      <w:proofErr w:type="gramStart"/>
      <w:r>
        <w:rPr>
          <w:rFonts w:ascii="Avenir Next" w:hAnsi="Avenir Next" w:cs="Arial"/>
          <w:color w:val="7B7B7B" w:themeColor="accent3" w:themeShade="BF"/>
          <w:sz w:val="22"/>
          <w:szCs w:val="22"/>
          <w:lang w:val="en-GB"/>
        </w:rPr>
        <w:t>creditor</w:t>
      </w:r>
      <w:proofErr w:type="gramEnd"/>
      <w:r>
        <w:rPr>
          <w:rFonts w:ascii="Avenir Next" w:hAnsi="Avenir Next" w:cs="Arial"/>
          <w:color w:val="7B7B7B" w:themeColor="accent3" w:themeShade="BF"/>
          <w:sz w:val="22"/>
          <w:szCs w:val="22"/>
          <w:lang w:val="en-GB"/>
        </w:rPr>
        <w:t xml:space="preserve"> or the transfer was made for the benefit of a creditor. (3) The transfer was</w:t>
      </w:r>
      <w:r w:rsidRPr="00D109E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made f</w:t>
      </w:r>
      <w:r w:rsidRPr="00D109EC">
        <w:rPr>
          <w:rFonts w:ascii="Avenir Next" w:hAnsi="Avenir Next" w:cs="Arial"/>
          <w:color w:val="7B7B7B" w:themeColor="accent3" w:themeShade="BF"/>
          <w:sz w:val="22"/>
          <w:szCs w:val="22"/>
          <w:lang w:val="en-GB"/>
        </w:rPr>
        <w:t xml:space="preserve">or or on account of an antecedent debt owed by the debtor before such transfer was </w:t>
      </w:r>
    </w:p>
    <w:p w14:paraId="7842B491" w14:textId="303ECA53" w:rsidR="00E41578" w:rsidRDefault="00D109EC" w:rsidP="00D109EC">
      <w:pPr>
        <w:jc w:val="both"/>
        <w:rPr>
          <w:rFonts w:ascii="Avenir Next" w:hAnsi="Avenir Next" w:cs="Arial"/>
          <w:color w:val="7B7B7B" w:themeColor="accent3" w:themeShade="BF"/>
          <w:sz w:val="22"/>
          <w:szCs w:val="22"/>
          <w:lang w:val="en-GB"/>
        </w:rPr>
      </w:pPr>
      <w:r w:rsidRPr="00D109EC">
        <w:rPr>
          <w:rFonts w:ascii="Avenir Next" w:hAnsi="Avenir Next" w:cs="Arial"/>
          <w:color w:val="7B7B7B" w:themeColor="accent3" w:themeShade="BF"/>
          <w:sz w:val="22"/>
          <w:szCs w:val="22"/>
          <w:lang w:val="en-GB"/>
        </w:rPr>
        <w:t>made</w:t>
      </w:r>
      <w:r>
        <w:rPr>
          <w:rFonts w:ascii="Avenir Next" w:hAnsi="Avenir Next" w:cs="Arial"/>
          <w:color w:val="7B7B7B" w:themeColor="accent3" w:themeShade="BF"/>
          <w:sz w:val="22"/>
          <w:szCs w:val="22"/>
          <w:lang w:val="en-GB"/>
        </w:rPr>
        <w:t xml:space="preserve">. (4) The transfer was made while the debtor was insolvent. (5) </w:t>
      </w:r>
      <w:r w:rsidR="00545D4C">
        <w:rPr>
          <w:rFonts w:ascii="Avenir Next" w:hAnsi="Avenir Next" w:cs="Arial"/>
          <w:color w:val="7B7B7B" w:themeColor="accent3" w:themeShade="BF"/>
          <w:sz w:val="22"/>
          <w:szCs w:val="22"/>
          <w:lang w:val="en-GB"/>
        </w:rPr>
        <w:t xml:space="preserve">The transfer was made during the suspect period (90 days prior to petition date for third parties and one year prior to petition date for insiders). (6) The transfer had enabled the creditor to receive more than it would have received in a chapter 7 liquidation. Last, on preferences there is no need to show any fault of either the debtor or the creditor.  </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76F5915" w:rsidR="00E41578" w:rsidRDefault="00A04B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general, a bankruptcy court may enter a final order only in core bankruptcy matters. In non-core matters, the jurisdiction is retained by the district court, but the district court may withdraw the reference of its jurisdiction to bankruptcy court. For example, core bankruptcy matters are </w:t>
      </w:r>
      <w:r w:rsidRPr="00A04B5D">
        <w:rPr>
          <w:rFonts w:ascii="Avenir Next" w:hAnsi="Avenir Next" w:cs="Arial"/>
          <w:color w:val="7B7B7B" w:themeColor="accent3" w:themeShade="BF"/>
          <w:sz w:val="22"/>
          <w:szCs w:val="22"/>
          <w:lang w:val="en-GB"/>
        </w:rPr>
        <w:t>matters concerning the administration of the estate</w:t>
      </w:r>
      <w:r>
        <w:rPr>
          <w:rFonts w:ascii="Avenir Next" w:hAnsi="Avenir Next" w:cs="Arial"/>
          <w:color w:val="7B7B7B" w:themeColor="accent3" w:themeShade="BF"/>
          <w:sz w:val="22"/>
          <w:szCs w:val="22"/>
          <w:lang w:val="en-GB"/>
        </w:rPr>
        <w:t xml:space="preserve">, </w:t>
      </w:r>
      <w:r w:rsidRPr="00A04B5D">
        <w:rPr>
          <w:rFonts w:ascii="Avenir Next" w:hAnsi="Avenir Next" w:cs="Arial"/>
          <w:color w:val="7B7B7B" w:themeColor="accent3" w:themeShade="BF"/>
          <w:sz w:val="22"/>
          <w:szCs w:val="22"/>
          <w:lang w:val="en-GB"/>
        </w:rPr>
        <w:t>orders in respect to obtaining credit</w:t>
      </w:r>
      <w:r>
        <w:rPr>
          <w:rFonts w:ascii="Avenir Next" w:hAnsi="Avenir Next" w:cs="Arial"/>
          <w:color w:val="7B7B7B" w:themeColor="accent3" w:themeShade="BF"/>
          <w:sz w:val="22"/>
          <w:szCs w:val="22"/>
          <w:lang w:val="en-GB"/>
        </w:rPr>
        <w:t xml:space="preserve"> and </w:t>
      </w:r>
      <w:r w:rsidRPr="00A04B5D">
        <w:rPr>
          <w:rFonts w:ascii="Avenir Next" w:hAnsi="Avenir Next" w:cs="Arial"/>
          <w:color w:val="7B7B7B" w:themeColor="accent3" w:themeShade="BF"/>
          <w:sz w:val="22"/>
          <w:szCs w:val="22"/>
          <w:lang w:val="en-GB"/>
        </w:rPr>
        <w:t>proceedings to determine, avoid, or recover preferences</w:t>
      </w:r>
      <w:r>
        <w:rPr>
          <w:rFonts w:ascii="Avenir Next" w:hAnsi="Avenir Next" w:cs="Arial"/>
          <w:color w:val="7B7B7B" w:themeColor="accent3" w:themeShade="BF"/>
          <w:sz w:val="22"/>
          <w:szCs w:val="22"/>
          <w:lang w:val="en-GB"/>
        </w:rPr>
        <w:t xml:space="preserve">. </w:t>
      </w:r>
    </w:p>
    <w:p w14:paraId="4094C2E9" w14:textId="26064621" w:rsidR="00A04B5D" w:rsidRDefault="00A04B5D" w:rsidP="00E41578">
      <w:pPr>
        <w:jc w:val="both"/>
        <w:rPr>
          <w:rFonts w:ascii="Avenir Next" w:hAnsi="Avenir Next" w:cs="Arial"/>
          <w:color w:val="7B7B7B" w:themeColor="accent3" w:themeShade="BF"/>
          <w:sz w:val="22"/>
          <w:szCs w:val="22"/>
          <w:lang w:val="en-GB"/>
        </w:rPr>
      </w:pPr>
    </w:p>
    <w:p w14:paraId="59BD1F87" w14:textId="3C0C6459" w:rsidR="00A04B5D" w:rsidRPr="00E41578" w:rsidRDefault="00A04B5D" w:rsidP="005A0BA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appeals, we need to distinct between final and interlocutory orders. Final orders issued by a bankruptcy court may be appealed as of right. Interlocutory orders may be appealed only with a leave of the appellate court. One exception are </w:t>
      </w:r>
      <w:r w:rsidRPr="00A04B5D">
        <w:rPr>
          <w:rFonts w:ascii="Avenir Next" w:hAnsi="Avenir Next" w:cs="Arial"/>
          <w:color w:val="7B7B7B" w:themeColor="accent3" w:themeShade="BF"/>
          <w:sz w:val="22"/>
          <w:szCs w:val="22"/>
          <w:lang w:val="en-GB"/>
        </w:rPr>
        <w:t>orders extending the period of exclusivity to propose a plan</w:t>
      </w:r>
      <w:r>
        <w:rPr>
          <w:rFonts w:ascii="Avenir Next" w:hAnsi="Avenir Next" w:cs="Arial"/>
          <w:color w:val="7B7B7B" w:themeColor="accent3" w:themeShade="BF"/>
          <w:sz w:val="22"/>
          <w:szCs w:val="22"/>
          <w:lang w:val="en-GB"/>
        </w:rPr>
        <w:t xml:space="preserve">, that </w:t>
      </w:r>
      <w:r w:rsidRPr="00A04B5D">
        <w:rPr>
          <w:rFonts w:ascii="Avenir Next" w:hAnsi="Avenir Next" w:cs="Arial"/>
          <w:color w:val="7B7B7B" w:themeColor="accent3" w:themeShade="BF"/>
          <w:sz w:val="22"/>
          <w:szCs w:val="22"/>
          <w:lang w:val="en-GB"/>
        </w:rPr>
        <w:t>are appealable as of right</w:t>
      </w:r>
      <w:r>
        <w:rPr>
          <w:rFonts w:ascii="Avenir Next" w:hAnsi="Avenir Next" w:cs="Arial"/>
          <w:color w:val="7B7B7B" w:themeColor="accent3" w:themeShade="BF"/>
          <w:sz w:val="22"/>
          <w:szCs w:val="22"/>
          <w:lang w:val="en-GB"/>
        </w:rPr>
        <w:t xml:space="preserve">. </w:t>
      </w:r>
      <w:r w:rsidR="005A0BA4">
        <w:rPr>
          <w:rFonts w:ascii="Avenir Next" w:hAnsi="Avenir Next" w:cs="Arial"/>
          <w:color w:val="7B7B7B" w:themeColor="accent3" w:themeShade="BF"/>
          <w:sz w:val="22"/>
          <w:szCs w:val="22"/>
          <w:lang w:val="en-GB"/>
        </w:rPr>
        <w:t>Orders are generally reviewed by the district court of the district in which the bankruptcy court is sit. In some circuits, orders are reviewed by a Bankruptcy Appellate Panel, convened from the judges of the bankruptcy courts within the circuit. About the standard for review non-final orders, i</w:t>
      </w:r>
      <w:r w:rsidR="005A0BA4" w:rsidRPr="005A0BA4">
        <w:rPr>
          <w:rFonts w:ascii="Avenir Next" w:hAnsi="Avenir Next" w:cs="Arial"/>
          <w:color w:val="7B7B7B" w:themeColor="accent3" w:themeShade="BF"/>
          <w:sz w:val="22"/>
          <w:szCs w:val="22"/>
          <w:lang w:val="en-GB"/>
        </w:rPr>
        <w:t>f the ruling was in a noncore proceeding or the bankruptcy court otherwise did not have authority to enter a final order, the district court or BAP reviews all findings of fact and conclusions of law to which a party has objected. The order of a district court or BAP is reviewed by a circuit court of appeal de novo as to conclusions of law and for abuse of discretion for findings of fact</w:t>
      </w:r>
      <w:r w:rsidR="005A0BA4">
        <w:rPr>
          <w:rFonts w:ascii="Avenir Next" w:hAnsi="Avenir Next" w:cs="Arial"/>
          <w:color w:val="7B7B7B" w:themeColor="accent3" w:themeShade="BF"/>
          <w:sz w:val="22"/>
          <w:szCs w:val="22"/>
          <w:lang w:val="en-GB"/>
        </w:rPr>
        <w: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8A2495F" w14:textId="7A0D5089" w:rsidR="00387EEC" w:rsidRDefault="00387EE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provisions that automatically apply upon recognition of a foreign main proceeding </w:t>
      </w:r>
      <w:proofErr w:type="gramStart"/>
      <w:r>
        <w:rPr>
          <w:rFonts w:ascii="Avenir Next" w:hAnsi="Avenir Next" w:cs="Arial"/>
          <w:color w:val="7B7B7B" w:themeColor="accent3" w:themeShade="BF"/>
          <w:sz w:val="22"/>
          <w:szCs w:val="22"/>
          <w:lang w:val="en-GB"/>
        </w:rPr>
        <w:t>are:</w:t>
      </w:r>
      <w:proofErr w:type="gramEnd"/>
      <w:r>
        <w:rPr>
          <w:rFonts w:ascii="Avenir Next" w:hAnsi="Avenir Next" w:cs="Arial"/>
          <w:color w:val="7B7B7B" w:themeColor="accent3" w:themeShade="BF"/>
          <w:sz w:val="22"/>
          <w:szCs w:val="22"/>
          <w:lang w:val="en-GB"/>
        </w:rPr>
        <w:t xml:space="preserve"> automatic stay; </w:t>
      </w:r>
      <w:r w:rsidRPr="00387EEC">
        <w:rPr>
          <w:rFonts w:ascii="Avenir Next" w:hAnsi="Avenir Next" w:cs="Arial"/>
          <w:color w:val="7B7B7B" w:themeColor="accent3" w:themeShade="BF"/>
          <w:sz w:val="22"/>
          <w:szCs w:val="22"/>
          <w:lang w:val="en-GB"/>
        </w:rPr>
        <w:t>operation of the debtor’s business in the ordinary course by the foreign representative</w:t>
      </w:r>
      <w:r>
        <w:rPr>
          <w:rFonts w:ascii="Avenir Next" w:hAnsi="Avenir Next" w:cs="Arial"/>
          <w:color w:val="7B7B7B" w:themeColor="accent3" w:themeShade="BF"/>
          <w:sz w:val="22"/>
          <w:szCs w:val="22"/>
          <w:lang w:val="en-GB"/>
        </w:rPr>
        <w:t xml:space="preserve">; </w:t>
      </w:r>
      <w:r w:rsidRPr="00387EEC">
        <w:rPr>
          <w:rFonts w:ascii="Avenir Next" w:hAnsi="Avenir Next" w:cs="Arial"/>
          <w:color w:val="7B7B7B" w:themeColor="accent3" w:themeShade="BF"/>
          <w:sz w:val="22"/>
          <w:szCs w:val="22"/>
          <w:lang w:val="en-GB"/>
        </w:rPr>
        <w:t>sale, transfer or use of property outside the ordinary course</w:t>
      </w:r>
      <w:r>
        <w:rPr>
          <w:rFonts w:ascii="Avenir Next" w:hAnsi="Avenir Next" w:cs="Arial"/>
          <w:color w:val="7B7B7B" w:themeColor="accent3" w:themeShade="BF"/>
          <w:sz w:val="22"/>
          <w:szCs w:val="22"/>
          <w:lang w:val="en-GB"/>
        </w:rPr>
        <w:t xml:space="preserve"> and </w:t>
      </w:r>
      <w:r w:rsidRPr="00387EEC">
        <w:rPr>
          <w:rFonts w:ascii="Avenir Next" w:hAnsi="Avenir Next" w:cs="Arial"/>
          <w:color w:val="7B7B7B" w:themeColor="accent3" w:themeShade="BF"/>
          <w:sz w:val="22"/>
          <w:szCs w:val="22"/>
          <w:lang w:val="en-GB"/>
        </w:rPr>
        <w:t>avoidance of post-petition transfers and post-petition perfection of security interests</w:t>
      </w:r>
      <w:r>
        <w:rPr>
          <w:rFonts w:ascii="Avenir Next" w:hAnsi="Avenir Next" w:cs="Arial"/>
          <w:color w:val="7B7B7B" w:themeColor="accent3" w:themeShade="BF"/>
          <w:sz w:val="22"/>
          <w:szCs w:val="22"/>
          <w:lang w:val="en-GB"/>
        </w:rPr>
        <w:t xml:space="preserve">. </w:t>
      </w:r>
    </w:p>
    <w:p w14:paraId="6BD79592" w14:textId="48920158" w:rsidR="00387EEC" w:rsidRDefault="00387EEC" w:rsidP="00E41578">
      <w:pPr>
        <w:jc w:val="both"/>
        <w:rPr>
          <w:rFonts w:ascii="Avenir Next" w:hAnsi="Avenir Next" w:cs="Arial"/>
          <w:color w:val="7B7B7B" w:themeColor="accent3" w:themeShade="BF"/>
          <w:sz w:val="22"/>
          <w:szCs w:val="22"/>
          <w:lang w:val="en-GB"/>
        </w:rPr>
      </w:pPr>
    </w:p>
    <w:p w14:paraId="244A57D3" w14:textId="592F055E" w:rsidR="00387EEC" w:rsidRPr="00E41578" w:rsidRDefault="00387EEC" w:rsidP="00205A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relief that may be granted on a discretionary basis, following recognition as either main or non-main proceeding</w:t>
      </w:r>
      <w:r w:rsidR="00205A87">
        <w:rPr>
          <w:rFonts w:ascii="Avenir Next" w:hAnsi="Avenir Next" w:cs="Arial"/>
          <w:color w:val="7B7B7B" w:themeColor="accent3" w:themeShade="BF"/>
          <w:sz w:val="22"/>
          <w:szCs w:val="22"/>
          <w:lang w:val="en-GB"/>
        </w:rPr>
        <w:t xml:space="preserve"> are: </w:t>
      </w:r>
      <w:r w:rsidR="00205A87" w:rsidRPr="00205A87">
        <w:rPr>
          <w:rFonts w:ascii="Avenir Next" w:hAnsi="Avenir Next" w:cs="Arial"/>
          <w:color w:val="7B7B7B" w:themeColor="accent3" w:themeShade="BF"/>
          <w:sz w:val="22"/>
          <w:szCs w:val="22"/>
          <w:lang w:val="en-GB"/>
        </w:rPr>
        <w:t>authorization of discovery regarding the debtor’s assets and affairs</w:t>
      </w:r>
      <w:r w:rsidR="00205A87">
        <w:rPr>
          <w:rFonts w:ascii="Avenir Next" w:hAnsi="Avenir Next" w:cs="Arial"/>
          <w:color w:val="7B7B7B" w:themeColor="accent3" w:themeShade="BF"/>
          <w:sz w:val="22"/>
          <w:szCs w:val="22"/>
          <w:lang w:val="en-GB"/>
        </w:rPr>
        <w:t xml:space="preserve">; </w:t>
      </w:r>
      <w:r w:rsidR="00205A87" w:rsidRPr="00205A87">
        <w:rPr>
          <w:rFonts w:ascii="Avenir Next" w:hAnsi="Avenir Next" w:cs="Arial"/>
          <w:color w:val="7B7B7B" w:themeColor="accent3" w:themeShade="BF"/>
          <w:sz w:val="22"/>
          <w:szCs w:val="22"/>
          <w:lang w:val="en-GB"/>
        </w:rPr>
        <w:t>entrusting administration of the debtor’s US assets to the foreign representative or other person</w:t>
      </w:r>
      <w:r w:rsidR="00205A87">
        <w:rPr>
          <w:rFonts w:ascii="Avenir Next" w:hAnsi="Avenir Next" w:cs="Arial"/>
          <w:color w:val="7B7B7B" w:themeColor="accent3" w:themeShade="BF"/>
          <w:sz w:val="22"/>
          <w:szCs w:val="22"/>
          <w:lang w:val="en-GB"/>
        </w:rPr>
        <w:t xml:space="preserve">; </w:t>
      </w:r>
      <w:r w:rsidR="00205A87" w:rsidRPr="00205A87">
        <w:rPr>
          <w:rFonts w:ascii="Avenir Next" w:hAnsi="Avenir Next" w:cs="Arial"/>
          <w:color w:val="7B7B7B" w:themeColor="accent3" w:themeShade="BF"/>
          <w:sz w:val="22"/>
          <w:szCs w:val="22"/>
          <w:lang w:val="en-GB"/>
        </w:rPr>
        <w:t>extension of provisional relief</w:t>
      </w:r>
      <w:r w:rsidR="00205A87">
        <w:rPr>
          <w:rFonts w:ascii="Avenir Next" w:hAnsi="Avenir Next" w:cs="Arial"/>
          <w:color w:val="7B7B7B" w:themeColor="accent3" w:themeShade="BF"/>
          <w:sz w:val="22"/>
          <w:szCs w:val="22"/>
          <w:lang w:val="en-GB"/>
        </w:rPr>
        <w:t xml:space="preserve"> and </w:t>
      </w:r>
      <w:r w:rsidR="00205A87" w:rsidRPr="00205A87">
        <w:rPr>
          <w:rFonts w:ascii="Avenir Next" w:hAnsi="Avenir Next" w:cs="Arial"/>
          <w:color w:val="7B7B7B" w:themeColor="accent3" w:themeShade="BF"/>
          <w:sz w:val="22"/>
          <w:szCs w:val="22"/>
          <w:lang w:val="en-GB"/>
        </w:rPr>
        <w:t>any other relief</w:t>
      </w:r>
      <w:r w:rsidR="00205A87">
        <w:rPr>
          <w:rFonts w:ascii="Avenir Next" w:hAnsi="Avenir Next" w:cs="Arial"/>
          <w:color w:val="7B7B7B" w:themeColor="accent3" w:themeShade="BF"/>
          <w:sz w:val="22"/>
          <w:szCs w:val="22"/>
          <w:lang w:val="en-GB"/>
        </w:rPr>
        <w:t xml:space="preserve"> </w:t>
      </w:r>
      <w:r w:rsidR="00205A87" w:rsidRPr="00205A87">
        <w:rPr>
          <w:rFonts w:ascii="Avenir Next" w:hAnsi="Avenir Next" w:cs="Arial"/>
          <w:color w:val="7B7B7B" w:themeColor="accent3" w:themeShade="BF"/>
          <w:sz w:val="22"/>
          <w:szCs w:val="22"/>
          <w:lang w:val="en-GB"/>
        </w:rPr>
        <w:t>necessary to effectuate the purposes of chapter 15 and to protect the assets of the debtor or the interests of creditors</w:t>
      </w:r>
      <w:r w:rsidR="00205A87">
        <w:rPr>
          <w:rFonts w:ascii="Avenir Next" w:hAnsi="Avenir Next" w:cs="Arial"/>
          <w:color w:val="7B7B7B" w:themeColor="accent3" w:themeShade="BF"/>
          <w:sz w:val="22"/>
          <w:szCs w:val="22"/>
          <w:lang w:val="en-GB"/>
        </w:rPr>
        <w:t xml:space="preserve"> (any additional relief according to </w:t>
      </w:r>
      <w:r w:rsidR="00205A87" w:rsidRPr="00205A87">
        <w:rPr>
          <w:rFonts w:ascii="Avenir Next" w:hAnsi="Avenir Next" w:cs="Arial"/>
          <w:color w:val="7B7B7B" w:themeColor="accent3" w:themeShade="BF"/>
          <w:sz w:val="22"/>
          <w:szCs w:val="22"/>
          <w:lang w:val="en-GB"/>
        </w:rPr>
        <w:t>§ 1521</w:t>
      </w:r>
      <w:r w:rsidR="00205A87">
        <w:rPr>
          <w:rFonts w:ascii="Avenir Next" w:hAnsi="Avenir Next" w:cs="Arial"/>
          <w:color w:val="7B7B7B" w:themeColor="accent3" w:themeShade="BF"/>
          <w:sz w:val="22"/>
          <w:szCs w:val="22"/>
          <w:lang w:val="en-GB"/>
        </w:rPr>
        <w:t>(a)(7)).</w:t>
      </w:r>
    </w:p>
    <w:p w14:paraId="3176A3F4" w14:textId="24A14C2A" w:rsidR="00E01803" w:rsidRPr="00205A87" w:rsidRDefault="00E01803" w:rsidP="000778B1">
      <w:pPr>
        <w:pStyle w:val="AODocTxt"/>
        <w:spacing w:before="0" w:line="240" w:lineRule="auto"/>
        <w:rPr>
          <w:rFonts w:ascii="Avenir Next" w:hAnsi="Avenir Next"/>
          <w:lang w:val="en-GB"/>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82D761F" w:rsidR="00E41578" w:rsidRPr="00E41578" w:rsidRDefault="005028C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of loyalty to the corporation’s best interest and a duty of care in educated decision-making. These duties are owed to the corporation and </w:t>
      </w:r>
      <w:proofErr w:type="gramStart"/>
      <w:r>
        <w:rPr>
          <w:rFonts w:ascii="Avenir Next" w:hAnsi="Avenir Next" w:cs="Arial"/>
          <w:color w:val="7B7B7B" w:themeColor="accent3" w:themeShade="BF"/>
          <w:sz w:val="22"/>
          <w:szCs w:val="22"/>
          <w:lang w:val="en-GB"/>
        </w:rPr>
        <w:t>it</w:t>
      </w:r>
      <w:proofErr w:type="gramEnd"/>
      <w:r>
        <w:rPr>
          <w:rFonts w:ascii="Avenir Next" w:hAnsi="Avenir Next" w:cs="Arial"/>
          <w:color w:val="7B7B7B" w:themeColor="accent3" w:themeShade="BF"/>
          <w:sz w:val="22"/>
          <w:szCs w:val="22"/>
          <w:lang w:val="en-GB"/>
        </w:rPr>
        <w:t xml:space="preserve"> shareholders, even if the corporation is insolvent. There is the business judgements rule that protects directors from liability for errors of judgement. Under this rule, the board of directors is presumed to have acted in good faith and on the basis on reasonable information. The presumption can be rebutted </w:t>
      </w:r>
      <w:r w:rsidR="007F1102">
        <w:rPr>
          <w:rFonts w:ascii="Avenir Next" w:hAnsi="Avenir Next" w:cs="Arial"/>
          <w:color w:val="7B7B7B" w:themeColor="accent3" w:themeShade="BF"/>
          <w:sz w:val="22"/>
          <w:szCs w:val="22"/>
          <w:lang w:val="en-GB"/>
        </w:rPr>
        <w:t xml:space="preserve">only by showing that </w:t>
      </w:r>
      <w:proofErr w:type="gramStart"/>
      <w:r w:rsidR="007F1102">
        <w:rPr>
          <w:rFonts w:ascii="Avenir Next" w:hAnsi="Avenir Next" w:cs="Arial"/>
          <w:color w:val="7B7B7B" w:themeColor="accent3" w:themeShade="BF"/>
          <w:sz w:val="22"/>
          <w:szCs w:val="22"/>
          <w:lang w:val="en-GB"/>
        </w:rPr>
        <w:t>a majority of</w:t>
      </w:r>
      <w:proofErr w:type="gramEnd"/>
      <w:r w:rsidR="007F1102">
        <w:rPr>
          <w:rFonts w:ascii="Avenir Next" w:hAnsi="Avenir Next" w:cs="Arial"/>
          <w:color w:val="7B7B7B" w:themeColor="accent3" w:themeShade="BF"/>
          <w:sz w:val="22"/>
          <w:szCs w:val="22"/>
          <w:lang w:val="en-GB"/>
        </w:rPr>
        <w:t xml:space="preserve"> the board were in fact not reasonably informed, did not honestly believe that their decision was in the corporation best interest or were not acting in good faith. </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620200F4" w:rsidR="00F03051" w:rsidRDefault="007F110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 needs to be:</w:t>
      </w:r>
    </w:p>
    <w:p w14:paraId="63BEE73B" w14:textId="12B49BB3" w:rsidR="007F1102" w:rsidRDefault="007F1102" w:rsidP="00F03051">
      <w:pPr>
        <w:jc w:val="both"/>
        <w:rPr>
          <w:rFonts w:ascii="Avenir Next" w:hAnsi="Avenir Next" w:cs="Arial"/>
          <w:color w:val="7B7B7B" w:themeColor="accent3" w:themeShade="BF"/>
          <w:sz w:val="22"/>
          <w:szCs w:val="22"/>
          <w:lang w:val="en-GB"/>
        </w:rPr>
      </w:pPr>
    </w:p>
    <w:p w14:paraId="35C5D80D" w14:textId="2CD009CF" w:rsidR="007F1102" w:rsidRDefault="007F1102" w:rsidP="007F1102">
      <w:pPr>
        <w:pStyle w:val="Prrafode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Non-contingent, that is, it doesn’t depend on the occurrence of a future event</w:t>
      </w:r>
    </w:p>
    <w:p w14:paraId="7BE86086" w14:textId="47CCD976" w:rsidR="007F1102" w:rsidRDefault="007F1102" w:rsidP="007F1102">
      <w:pPr>
        <w:pStyle w:val="Prrafodelista"/>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the subject of bona fide dispute as to liability or amount, that </w:t>
      </w:r>
      <w:r w:rsidRPr="007F1102">
        <w:rPr>
          <w:rFonts w:ascii="Avenir Next" w:hAnsi="Avenir Next" w:cs="Arial"/>
          <w:color w:val="7B7B7B" w:themeColor="accent3" w:themeShade="BF"/>
          <w:sz w:val="22"/>
          <w:szCs w:val="22"/>
          <w:lang w:val="en-GB"/>
        </w:rPr>
        <w:t>exists if there is an objectively reasonable basis for a dispute as a matter of fact or law</w:t>
      </w:r>
      <w:r>
        <w:rPr>
          <w:rFonts w:ascii="Avenir Next" w:hAnsi="Avenir Next" w:cs="Arial"/>
          <w:color w:val="7B7B7B" w:themeColor="accent3" w:themeShade="BF"/>
          <w:sz w:val="22"/>
          <w:szCs w:val="22"/>
          <w:lang w:val="en-GB"/>
        </w:rPr>
        <w:t>.</w:t>
      </w:r>
    </w:p>
    <w:p w14:paraId="18BF4C8D" w14:textId="0AD960FF" w:rsidR="007F1102" w:rsidRPr="007F1102" w:rsidRDefault="007F1102" w:rsidP="007F1102">
      <w:pPr>
        <w:pStyle w:val="Prrafodelista"/>
        <w:numPr>
          <w:ilvl w:val="0"/>
          <w:numId w:val="32"/>
        </w:numPr>
        <w:jc w:val="both"/>
        <w:rPr>
          <w:rFonts w:ascii="Avenir Next" w:hAnsi="Avenir Next" w:cs="Arial"/>
          <w:color w:val="7B7B7B" w:themeColor="accent3" w:themeShade="BF"/>
          <w:sz w:val="22"/>
          <w:szCs w:val="22"/>
          <w:lang w:val="en-GB"/>
        </w:rPr>
      </w:pPr>
      <w:r w:rsidRPr="007F1102">
        <w:rPr>
          <w:rFonts w:ascii="Avenir Next" w:hAnsi="Avenir Next" w:cs="Arial"/>
          <w:color w:val="7B7B7B" w:themeColor="accent3" w:themeShade="BF"/>
          <w:sz w:val="22"/>
          <w:szCs w:val="22"/>
          <w:lang w:val="en-GB"/>
        </w:rPr>
        <w:t xml:space="preserve">Unsecured or </w:t>
      </w:r>
      <w:proofErr w:type="spellStart"/>
      <w:r w:rsidRPr="007F1102">
        <w:rPr>
          <w:rFonts w:ascii="Avenir Next" w:hAnsi="Avenir Next" w:cs="Arial"/>
          <w:color w:val="7B7B7B" w:themeColor="accent3" w:themeShade="BF"/>
          <w:sz w:val="22"/>
          <w:szCs w:val="22"/>
          <w:lang w:val="en-GB"/>
        </w:rPr>
        <w:t>undersecured</w:t>
      </w:r>
      <w:proofErr w:type="spellEnd"/>
      <w:r w:rsidRPr="007F1102">
        <w:rPr>
          <w:rFonts w:ascii="Avenir Next" w:hAnsi="Avenir Next" w:cs="Arial"/>
          <w:color w:val="7B7B7B" w:themeColor="accent3" w:themeShade="BF"/>
          <w:sz w:val="22"/>
          <w:szCs w:val="22"/>
          <w:lang w:val="en-GB"/>
        </w:rPr>
        <w:t>, separately or in the aggregate with all other petitioning</w:t>
      </w:r>
      <w:r>
        <w:rPr>
          <w:rFonts w:ascii="Avenir Next" w:hAnsi="Avenir Next" w:cs="Arial"/>
          <w:color w:val="7B7B7B" w:themeColor="accent3" w:themeShade="BF"/>
          <w:sz w:val="22"/>
          <w:szCs w:val="22"/>
          <w:lang w:val="en-GB"/>
        </w:rPr>
        <w:t xml:space="preserve"> </w:t>
      </w:r>
      <w:r w:rsidRPr="007F1102">
        <w:rPr>
          <w:rFonts w:ascii="Avenir Next" w:hAnsi="Avenir Next" w:cs="Arial"/>
          <w:color w:val="7B7B7B" w:themeColor="accent3" w:themeShade="BF"/>
          <w:sz w:val="22"/>
          <w:szCs w:val="22"/>
          <w:lang w:val="en-GB"/>
        </w:rPr>
        <w:t>creditors’ claims, in the amount of at least USD 16,750</w:t>
      </w:r>
      <w:r>
        <w:rPr>
          <w:rFonts w:ascii="Avenir Next" w:hAnsi="Avenir Next" w:cs="Arial"/>
          <w:color w:val="7B7B7B" w:themeColor="accent3" w:themeShade="BF"/>
          <w:sz w:val="22"/>
          <w:szCs w:val="22"/>
          <w:lang w:val="en-GB"/>
        </w:rPr>
        <w:t xml:space="preserve"> (adjusted periodically by inflation)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47EE6BCF" w:rsidR="00F03051" w:rsidRDefault="00F75CC0" w:rsidP="00F75CC0">
      <w:pPr>
        <w:pStyle w:val="Prrafodelista"/>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DOJ investigation wouldn’t be affected by the filing of Chapter 11 petition, because one of the </w:t>
      </w:r>
      <w:proofErr w:type="gramStart"/>
      <w:r>
        <w:rPr>
          <w:rFonts w:ascii="Avenir Next" w:hAnsi="Avenir Next" w:cs="Arial"/>
          <w:color w:val="7B7B7B" w:themeColor="accent3" w:themeShade="BF"/>
          <w:sz w:val="22"/>
          <w:szCs w:val="22"/>
          <w:lang w:val="en-GB"/>
        </w:rPr>
        <w:t>exception</w:t>
      </w:r>
      <w:proofErr w:type="gramEnd"/>
      <w:r>
        <w:rPr>
          <w:rFonts w:ascii="Avenir Next" w:hAnsi="Avenir Next" w:cs="Arial"/>
          <w:color w:val="7B7B7B" w:themeColor="accent3" w:themeShade="BF"/>
          <w:sz w:val="22"/>
          <w:szCs w:val="22"/>
          <w:lang w:val="en-GB"/>
        </w:rPr>
        <w:t xml:space="preserve"> for the automatic stay are regulatory investigations. </w:t>
      </w:r>
    </w:p>
    <w:p w14:paraId="20AACA2E" w14:textId="183BD7A0" w:rsidR="00F75CC0" w:rsidRDefault="00B35AE1" w:rsidP="00F75CC0">
      <w:pPr>
        <w:pStyle w:val="Prrafodelista"/>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opening of the Chapter 11 gives Speculation Inc room to negotiate with the creditors, which includes the broker</w:t>
      </w:r>
      <w:r w:rsidR="009D1649">
        <w:rPr>
          <w:rFonts w:ascii="Avenir Next" w:hAnsi="Avenir Next" w:cs="Arial"/>
          <w:color w:val="7B7B7B" w:themeColor="accent3" w:themeShade="BF"/>
          <w:sz w:val="22"/>
          <w:szCs w:val="22"/>
          <w:lang w:val="en-GB"/>
        </w:rPr>
        <w:t xml:space="preserve"> and the loan default. </w:t>
      </w:r>
    </w:p>
    <w:p w14:paraId="4928F695" w14:textId="0762A78B" w:rsidR="00B35AE1" w:rsidRDefault="009D1649" w:rsidP="00F75CC0">
      <w:pPr>
        <w:pStyle w:val="Prrafodelista"/>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lease is a long-term contract, it would be an executory contract under Chapter 11. So, if Speculation Inc continues to occupy the office, it may be deemed to have assumed the contract. But in general, it has the choice to reject, assume or assume and assign the contract. </w:t>
      </w:r>
    </w:p>
    <w:p w14:paraId="4B60BB83" w14:textId="36D493DE" w:rsidR="009D1649" w:rsidRPr="00F75CC0" w:rsidRDefault="001152DA" w:rsidP="00F75CC0">
      <w:pPr>
        <w:pStyle w:val="Prrafodelista"/>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lawsuit would be stayed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Chapter 11 filing</w:t>
      </w:r>
      <w:r w:rsidR="0026091A">
        <w:rPr>
          <w:rFonts w:ascii="Avenir Next" w:hAnsi="Avenir Next" w:cs="Arial"/>
          <w:color w:val="7B7B7B" w:themeColor="accent3" w:themeShade="BF"/>
          <w:sz w:val="22"/>
          <w:szCs w:val="22"/>
          <w:lang w:val="en-GB"/>
        </w:rPr>
        <w:t xml:space="preserve">, unless the former employee requests a relief from the stay.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4CFB7915" w:rsidR="00F03051" w:rsidRPr="00E41578" w:rsidRDefault="001B31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English scheme of arrangement could be recognized as a foreign proceeding under Chapter 15. </w:t>
      </w:r>
      <w:r w:rsidR="006E57ED">
        <w:rPr>
          <w:rFonts w:ascii="Avenir Next" w:hAnsi="Avenir Next" w:cs="Arial"/>
          <w:color w:val="7B7B7B" w:themeColor="accent3" w:themeShade="BF"/>
          <w:sz w:val="22"/>
          <w:szCs w:val="22"/>
          <w:lang w:val="en-GB"/>
        </w:rPr>
        <w:t xml:space="preserve">As the </w:t>
      </w:r>
      <w:proofErr w:type="spellStart"/>
      <w:r w:rsidR="006E57ED">
        <w:rPr>
          <w:rFonts w:ascii="Avenir Next" w:hAnsi="Avenir Next" w:cs="Arial"/>
          <w:color w:val="7B7B7B" w:themeColor="accent3" w:themeShade="BF"/>
          <w:sz w:val="22"/>
          <w:szCs w:val="22"/>
          <w:lang w:val="en-GB"/>
        </w:rPr>
        <w:t>Center</w:t>
      </w:r>
      <w:proofErr w:type="spellEnd"/>
      <w:r w:rsidR="006E57ED">
        <w:rPr>
          <w:rFonts w:ascii="Avenir Next" w:hAnsi="Avenir Next" w:cs="Arial"/>
          <w:color w:val="7B7B7B" w:themeColor="accent3" w:themeShade="BF"/>
          <w:sz w:val="22"/>
          <w:szCs w:val="22"/>
          <w:lang w:val="en-GB"/>
        </w:rPr>
        <w:t xml:space="preserve"> </w:t>
      </w:r>
      <w:proofErr w:type="gramStart"/>
      <w:r w:rsidR="00D267D2">
        <w:rPr>
          <w:rFonts w:ascii="Avenir Next" w:hAnsi="Avenir Next" w:cs="Arial"/>
          <w:color w:val="7B7B7B" w:themeColor="accent3" w:themeShade="BF"/>
          <w:sz w:val="22"/>
          <w:szCs w:val="22"/>
          <w:lang w:val="en-GB"/>
        </w:rPr>
        <w:t>Of</w:t>
      </w:r>
      <w:proofErr w:type="gramEnd"/>
      <w:r w:rsidR="00D267D2">
        <w:rPr>
          <w:rFonts w:ascii="Avenir Next" w:hAnsi="Avenir Next" w:cs="Arial"/>
          <w:color w:val="7B7B7B" w:themeColor="accent3" w:themeShade="BF"/>
          <w:sz w:val="22"/>
          <w:szCs w:val="22"/>
          <w:lang w:val="en-GB"/>
        </w:rPr>
        <w:t xml:space="preserve"> M</w:t>
      </w:r>
      <w:r w:rsidR="006E57ED">
        <w:rPr>
          <w:rFonts w:ascii="Avenir Next" w:hAnsi="Avenir Next" w:cs="Arial"/>
          <w:color w:val="7B7B7B" w:themeColor="accent3" w:themeShade="BF"/>
          <w:sz w:val="22"/>
          <w:szCs w:val="22"/>
          <w:lang w:val="en-GB"/>
        </w:rPr>
        <w:t xml:space="preserve">ain </w:t>
      </w:r>
      <w:r w:rsidR="00D267D2">
        <w:rPr>
          <w:rFonts w:ascii="Avenir Next" w:hAnsi="Avenir Next" w:cs="Arial"/>
          <w:color w:val="7B7B7B" w:themeColor="accent3" w:themeShade="BF"/>
          <w:sz w:val="22"/>
          <w:szCs w:val="22"/>
          <w:lang w:val="en-GB"/>
        </w:rPr>
        <w:t>I</w:t>
      </w:r>
      <w:r w:rsidR="006E57ED">
        <w:rPr>
          <w:rFonts w:ascii="Avenir Next" w:hAnsi="Avenir Next" w:cs="Arial"/>
          <w:color w:val="7B7B7B" w:themeColor="accent3" w:themeShade="BF"/>
          <w:sz w:val="22"/>
          <w:szCs w:val="22"/>
          <w:lang w:val="en-GB"/>
        </w:rPr>
        <w:t xml:space="preserve">nterest (COMI) concept in Chapter 15 is broad, </w:t>
      </w:r>
      <w:r w:rsidR="0013488F">
        <w:rPr>
          <w:rFonts w:ascii="Avenir Next" w:hAnsi="Avenir Next" w:cs="Arial"/>
          <w:color w:val="7B7B7B" w:themeColor="accent3" w:themeShade="BF"/>
          <w:sz w:val="22"/>
          <w:szCs w:val="22"/>
          <w:lang w:val="en-GB"/>
        </w:rPr>
        <w:t xml:space="preserve">the recognition would be as main or non-main proceeding. It may be recognized as main proceeding as most creditors are in England, and the Eurobonds and loans are governed by English law (England as COMI). It may be recognized as a non-main proceeding in the light of Stella is headquartered in France, with management also carried in France (France as COMI). As the recognition of a main proceeding have more advantages than a non-main proceeding (relief available upon recognition), probably the interest of the foreign representative is to obtain the recognition as a foreign main proceeding. </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lastRenderedPageBreak/>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9C75F29" w:rsidR="00F03051" w:rsidRPr="00E41578" w:rsidRDefault="004A110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license agreement is a long-term contract and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pays monthly royalties to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it can be deemed an executory contract. However, for a complete answer, we need to know if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have obligations, as support or technical assistance. </w:t>
      </w:r>
    </w:p>
    <w:p w14:paraId="092CCA5C" w14:textId="186450DB" w:rsidR="00E01803" w:rsidRPr="004A1100" w:rsidRDefault="00E01803" w:rsidP="000778B1">
      <w:pPr>
        <w:pStyle w:val="AODocTxt"/>
        <w:spacing w:before="0" w:line="240" w:lineRule="auto"/>
        <w:rPr>
          <w:rFonts w:ascii="Avenir Next" w:hAnsi="Avenir Next"/>
          <w:lang w:val="en-GB"/>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24ECE0F6" w:rsidR="00F03051" w:rsidRPr="00E41578" w:rsidRDefault="004A110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Considering the license agreement as an executory contract,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transfer the license without the licensor consent, because the contract is governed by </w:t>
      </w:r>
      <w:proofErr w:type="spellStart"/>
      <w:r>
        <w:rPr>
          <w:rFonts w:ascii="Avenir Next" w:hAnsi="Avenir Next" w:cs="Arial"/>
          <w:color w:val="7B7B7B" w:themeColor="accent3" w:themeShade="BF"/>
          <w:sz w:val="22"/>
          <w:szCs w:val="22"/>
          <w:lang w:val="en-GB"/>
        </w:rPr>
        <w:t>sustantive</w:t>
      </w:r>
      <w:proofErr w:type="spellEnd"/>
      <w:r>
        <w:rPr>
          <w:rFonts w:ascii="Avenir Next" w:hAnsi="Avenir Next" w:cs="Arial"/>
          <w:color w:val="7B7B7B" w:themeColor="accent3" w:themeShade="BF"/>
          <w:sz w:val="22"/>
          <w:szCs w:val="22"/>
          <w:lang w:val="en-GB"/>
        </w:rPr>
        <w:t xml:space="preserve"> non-bankruptcy law (intellectual property law). </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64AA2D8E" w:rsidR="00F03051" w:rsidRPr="002006D3" w:rsidRDefault="004A1100" w:rsidP="00260B3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Generally, leases are executory contracts. </w:t>
      </w:r>
      <w:r w:rsidR="00260B3C">
        <w:rPr>
          <w:rFonts w:ascii="Avenir Next" w:hAnsi="Avenir Next" w:cs="Arial"/>
          <w:color w:val="7B7B7B" w:themeColor="accent3" w:themeShade="BF"/>
          <w:sz w:val="22"/>
          <w:szCs w:val="22"/>
          <w:lang w:val="en-GB"/>
        </w:rPr>
        <w:t xml:space="preserve">Also, according to </w:t>
      </w:r>
      <w:r w:rsidR="00260B3C" w:rsidRPr="00260B3C">
        <w:rPr>
          <w:rFonts w:ascii="Avenir Next" w:hAnsi="Avenir Next" w:cs="Arial"/>
          <w:color w:val="7B7B7B" w:themeColor="accent3" w:themeShade="BF"/>
          <w:sz w:val="22"/>
          <w:szCs w:val="22"/>
          <w:lang w:val="en-GB"/>
        </w:rPr>
        <w:t>§ 365</w:t>
      </w:r>
      <w:r w:rsidR="00260B3C">
        <w:rPr>
          <w:rFonts w:ascii="Avenir Next" w:hAnsi="Avenir Next" w:cs="Arial"/>
          <w:color w:val="7B7B7B" w:themeColor="accent3" w:themeShade="BF"/>
          <w:sz w:val="22"/>
          <w:szCs w:val="22"/>
          <w:lang w:val="en-GB"/>
        </w:rPr>
        <w:t xml:space="preserve"> (4)(a) of the Bankruptcy Code, </w:t>
      </w:r>
      <w:r w:rsidR="00260B3C" w:rsidRPr="00260B3C">
        <w:rPr>
          <w:rFonts w:ascii="Avenir Next" w:hAnsi="Avenir Next" w:cs="Arial"/>
          <w:i/>
          <w:iCs/>
          <w:color w:val="7B7B7B" w:themeColor="accent3" w:themeShade="BF"/>
          <w:sz w:val="22"/>
          <w:szCs w:val="22"/>
          <w:lang w:val="en-GB"/>
        </w:rPr>
        <w:t>“</w:t>
      </w:r>
      <w:r w:rsidR="00260B3C" w:rsidRPr="00260B3C">
        <w:rPr>
          <w:rFonts w:ascii="Avenir Next" w:hAnsi="Avenir Next" w:cs="Arial"/>
          <w:i/>
          <w:iCs/>
          <w:color w:val="7B7B7B" w:themeColor="accent3" w:themeShade="BF"/>
          <w:sz w:val="22"/>
          <w:szCs w:val="22"/>
          <w:lang w:val="en-GB"/>
        </w:rPr>
        <w:t xml:space="preserve">an unexpired lease of </w:t>
      </w:r>
      <w:proofErr w:type="spellStart"/>
      <w:r w:rsidR="00260B3C" w:rsidRPr="00260B3C">
        <w:rPr>
          <w:rFonts w:ascii="Avenir Next" w:hAnsi="Avenir Next" w:cs="Arial"/>
          <w:i/>
          <w:iCs/>
          <w:color w:val="7B7B7B" w:themeColor="accent3" w:themeShade="BF"/>
          <w:sz w:val="22"/>
          <w:szCs w:val="22"/>
          <w:lang w:val="en-GB"/>
        </w:rPr>
        <w:t>nonresidential</w:t>
      </w:r>
      <w:proofErr w:type="spellEnd"/>
      <w:r w:rsidR="00260B3C" w:rsidRPr="00260B3C">
        <w:rPr>
          <w:rFonts w:ascii="Avenir Next" w:hAnsi="Avenir Next" w:cs="Arial"/>
          <w:i/>
          <w:iCs/>
          <w:color w:val="7B7B7B" w:themeColor="accent3" w:themeShade="BF"/>
          <w:sz w:val="22"/>
          <w:szCs w:val="22"/>
          <w:lang w:val="en-GB"/>
        </w:rPr>
        <w:t xml:space="preserve"> real property under which the debtor is the lessee shall be deemed rejected, and the trustee shall immediately surrender that </w:t>
      </w:r>
      <w:proofErr w:type="spellStart"/>
      <w:r w:rsidR="00260B3C" w:rsidRPr="00260B3C">
        <w:rPr>
          <w:rFonts w:ascii="Avenir Next" w:hAnsi="Avenir Next" w:cs="Arial"/>
          <w:i/>
          <w:iCs/>
          <w:color w:val="7B7B7B" w:themeColor="accent3" w:themeShade="BF"/>
          <w:sz w:val="22"/>
          <w:szCs w:val="22"/>
          <w:lang w:val="en-GB"/>
        </w:rPr>
        <w:t>nonresidential</w:t>
      </w:r>
      <w:proofErr w:type="spellEnd"/>
      <w:r w:rsidR="00260B3C" w:rsidRPr="00260B3C">
        <w:rPr>
          <w:rFonts w:ascii="Avenir Next" w:hAnsi="Avenir Next" w:cs="Arial"/>
          <w:i/>
          <w:iCs/>
          <w:color w:val="7B7B7B" w:themeColor="accent3" w:themeShade="BF"/>
          <w:sz w:val="22"/>
          <w:szCs w:val="22"/>
          <w:lang w:val="en-GB"/>
        </w:rPr>
        <w:t xml:space="preserve"> real property to the lessor, if the trustee does not assume or reject the unexpired lease by the earlier of</w:t>
      </w:r>
      <w:r w:rsidR="00260B3C" w:rsidRPr="00260B3C">
        <w:rPr>
          <w:rFonts w:ascii="Avenir Next" w:hAnsi="Avenir Next" w:cs="Arial"/>
          <w:i/>
          <w:iCs/>
          <w:color w:val="7B7B7B" w:themeColor="accent3" w:themeShade="BF"/>
          <w:sz w:val="22"/>
          <w:szCs w:val="22"/>
          <w:lang w:val="en-GB"/>
        </w:rPr>
        <w:t xml:space="preserve"> </w:t>
      </w:r>
      <w:r w:rsidR="00260B3C" w:rsidRPr="00260B3C">
        <w:rPr>
          <w:rFonts w:ascii="Avenir Next" w:hAnsi="Avenir Next" w:cs="Arial"/>
          <w:i/>
          <w:iCs/>
          <w:color w:val="7B7B7B" w:themeColor="accent3" w:themeShade="BF"/>
          <w:sz w:val="22"/>
          <w:szCs w:val="22"/>
          <w:lang w:val="en-GB"/>
        </w:rPr>
        <w:t>(</w:t>
      </w:r>
      <w:proofErr w:type="spellStart"/>
      <w:r w:rsidR="00260B3C" w:rsidRPr="00260B3C">
        <w:rPr>
          <w:rFonts w:ascii="Avenir Next" w:hAnsi="Avenir Next" w:cs="Arial"/>
          <w:i/>
          <w:iCs/>
          <w:color w:val="7B7B7B" w:themeColor="accent3" w:themeShade="BF"/>
          <w:sz w:val="22"/>
          <w:szCs w:val="22"/>
          <w:lang w:val="en-GB"/>
        </w:rPr>
        <w:t>i</w:t>
      </w:r>
      <w:proofErr w:type="spellEnd"/>
      <w:r w:rsidR="00260B3C" w:rsidRPr="00260B3C">
        <w:rPr>
          <w:rFonts w:ascii="Avenir Next" w:hAnsi="Avenir Next" w:cs="Arial"/>
          <w:i/>
          <w:iCs/>
          <w:color w:val="7B7B7B" w:themeColor="accent3" w:themeShade="BF"/>
          <w:sz w:val="22"/>
          <w:szCs w:val="22"/>
          <w:lang w:val="en-GB"/>
        </w:rPr>
        <w:t>)the date that is 210 days after the date of the order for relief; or</w:t>
      </w:r>
      <w:r w:rsidR="00260B3C" w:rsidRPr="00260B3C">
        <w:rPr>
          <w:rFonts w:ascii="Avenir Next" w:hAnsi="Avenir Next" w:cs="Arial"/>
          <w:i/>
          <w:iCs/>
          <w:color w:val="7B7B7B" w:themeColor="accent3" w:themeShade="BF"/>
          <w:sz w:val="22"/>
          <w:szCs w:val="22"/>
          <w:lang w:val="en-GB"/>
        </w:rPr>
        <w:t xml:space="preserve"> </w:t>
      </w:r>
      <w:r w:rsidR="00260B3C" w:rsidRPr="00260B3C">
        <w:rPr>
          <w:rFonts w:ascii="Avenir Next" w:hAnsi="Avenir Next" w:cs="Arial"/>
          <w:i/>
          <w:iCs/>
          <w:color w:val="7B7B7B" w:themeColor="accent3" w:themeShade="BF"/>
          <w:sz w:val="22"/>
          <w:szCs w:val="22"/>
          <w:lang w:val="en-GB"/>
        </w:rPr>
        <w:t>(ii)the date of the entry of an order confirming a plan.</w:t>
      </w:r>
      <w:r w:rsidR="00260B3C" w:rsidRPr="00260B3C">
        <w:rPr>
          <w:rFonts w:ascii="Avenir Next" w:hAnsi="Avenir Next" w:cs="Arial"/>
          <w:i/>
          <w:iCs/>
          <w:color w:val="7B7B7B" w:themeColor="accent3" w:themeShade="BF"/>
          <w:sz w:val="22"/>
          <w:szCs w:val="22"/>
          <w:lang w:val="en-GB"/>
        </w:rPr>
        <w:t>”</w:t>
      </w:r>
      <w:r w:rsidR="00260B3C">
        <w:rPr>
          <w:rFonts w:ascii="Avenir Next" w:hAnsi="Avenir Next" w:cs="Arial"/>
          <w:i/>
          <w:iCs/>
          <w:color w:val="7B7B7B" w:themeColor="accent3" w:themeShade="BF"/>
          <w:sz w:val="22"/>
          <w:szCs w:val="22"/>
          <w:lang w:val="en-GB"/>
        </w:rPr>
        <w:t xml:space="preserve">. </w:t>
      </w:r>
      <w:r w:rsidR="002006D3">
        <w:rPr>
          <w:rFonts w:ascii="Avenir Next" w:hAnsi="Avenir Next" w:cs="Arial"/>
          <w:color w:val="7B7B7B" w:themeColor="accent3" w:themeShade="BF"/>
          <w:sz w:val="22"/>
          <w:szCs w:val="22"/>
          <w:lang w:val="en-GB"/>
        </w:rPr>
        <w:t xml:space="preserve">So, in general, lease contracts of </w:t>
      </w:r>
      <w:proofErr w:type="spellStart"/>
      <w:r w:rsidR="002006D3">
        <w:rPr>
          <w:rFonts w:ascii="Avenir Next" w:hAnsi="Avenir Next" w:cs="Arial"/>
          <w:color w:val="7B7B7B" w:themeColor="accent3" w:themeShade="BF"/>
          <w:sz w:val="22"/>
          <w:szCs w:val="22"/>
          <w:lang w:val="en-GB"/>
        </w:rPr>
        <w:t>nonresidential</w:t>
      </w:r>
      <w:proofErr w:type="spellEnd"/>
      <w:r w:rsidR="002006D3">
        <w:rPr>
          <w:rFonts w:ascii="Avenir Next" w:hAnsi="Avenir Next" w:cs="Arial"/>
          <w:color w:val="7B7B7B" w:themeColor="accent3" w:themeShade="BF"/>
          <w:sz w:val="22"/>
          <w:szCs w:val="22"/>
          <w:lang w:val="en-GB"/>
        </w:rPr>
        <w:t xml:space="preserve"> real property -as the factory- shall be deemed </w:t>
      </w:r>
      <w:r w:rsidR="003503B5">
        <w:rPr>
          <w:rFonts w:ascii="Avenir Next" w:hAnsi="Avenir Next" w:cs="Arial"/>
          <w:color w:val="7B7B7B" w:themeColor="accent3" w:themeShade="BF"/>
          <w:sz w:val="22"/>
          <w:szCs w:val="22"/>
          <w:lang w:val="en-GB"/>
        </w:rPr>
        <w:t>rejected and</w:t>
      </w:r>
      <w:r w:rsidR="002006D3">
        <w:rPr>
          <w:rFonts w:ascii="Avenir Next" w:hAnsi="Avenir Next" w:cs="Arial"/>
          <w:color w:val="7B7B7B" w:themeColor="accent3" w:themeShade="BF"/>
          <w:sz w:val="22"/>
          <w:szCs w:val="22"/>
          <w:lang w:val="en-GB"/>
        </w:rPr>
        <w:t xml:space="preserve"> cannot be transferred.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1365" w14:textId="77777777" w:rsidR="000D0BB4" w:rsidRDefault="000D0BB4" w:rsidP="00241B44">
      <w:r>
        <w:separator/>
      </w:r>
    </w:p>
  </w:endnote>
  <w:endnote w:type="continuationSeparator" w:id="0">
    <w:p w14:paraId="10119CA2" w14:textId="77777777" w:rsidR="000D0BB4" w:rsidRDefault="000D0B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71765DD2" w:rsidR="00241FA3" w:rsidRPr="00494B81" w:rsidRDefault="008A78C4" w:rsidP="009B4976">
    <w:pPr>
      <w:pStyle w:val="Piedepgina"/>
      <w:ind w:right="360"/>
      <w:rPr>
        <w:rFonts w:ascii="Avenir Next" w:hAnsi="Avenir Next" w:cs="Arial"/>
        <w:sz w:val="22"/>
        <w:szCs w:val="22"/>
        <w:lang w:val="en-GB"/>
      </w:rPr>
    </w:pPr>
    <w:r w:rsidRPr="008A78C4">
      <w:rPr>
        <w:rFonts w:ascii="Avenir Next" w:hAnsi="Avenir Next" w:cs="Arial"/>
        <w:sz w:val="22"/>
        <w:szCs w:val="22"/>
        <w:lang w:val="en-GB"/>
      </w:rPr>
      <w:t>202223-772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115D" w14:textId="77777777" w:rsidR="00246D8E" w:rsidRDefault="00246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90AB" w14:textId="77777777" w:rsidR="000D0BB4" w:rsidRDefault="000D0BB4" w:rsidP="00241B44">
      <w:r>
        <w:separator/>
      </w:r>
    </w:p>
  </w:footnote>
  <w:footnote w:type="continuationSeparator" w:id="0">
    <w:p w14:paraId="325C4F7C" w14:textId="77777777" w:rsidR="000D0BB4" w:rsidRDefault="000D0BB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7F2C" w14:textId="77777777" w:rsidR="00246D8E" w:rsidRDefault="00246D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861E" w14:textId="77777777" w:rsidR="00246D8E" w:rsidRDefault="00246D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DA9" w14:textId="77777777" w:rsidR="00246D8E" w:rsidRDefault="00246D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91669"/>
    <w:multiLevelType w:val="hybridMultilevel"/>
    <w:tmpl w:val="6F96452A"/>
    <w:lvl w:ilvl="0" w:tplc="6810AD14">
      <w:numFmt w:val="bullet"/>
      <w:lvlText w:val="-"/>
      <w:lvlJc w:val="left"/>
      <w:pPr>
        <w:ind w:left="720" w:hanging="360"/>
      </w:pPr>
      <w:rPr>
        <w:rFonts w:ascii="Avenir Next" w:eastAsia="Times New Roman" w:hAnsi="Avenir Next"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72260"/>
    <w:multiLevelType w:val="hybridMultilevel"/>
    <w:tmpl w:val="B84CB10C"/>
    <w:lvl w:ilvl="0" w:tplc="B204B8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132005">
    <w:abstractNumId w:val="23"/>
  </w:num>
  <w:num w:numId="2" w16cid:durableId="1938949027">
    <w:abstractNumId w:val="26"/>
  </w:num>
  <w:num w:numId="3" w16cid:durableId="388187843">
    <w:abstractNumId w:val="5"/>
  </w:num>
  <w:num w:numId="4" w16cid:durableId="1817378992">
    <w:abstractNumId w:val="9"/>
  </w:num>
  <w:num w:numId="5" w16cid:durableId="1193878712">
    <w:abstractNumId w:val="11"/>
  </w:num>
  <w:num w:numId="6" w16cid:durableId="2111197062">
    <w:abstractNumId w:val="29"/>
  </w:num>
  <w:num w:numId="7" w16cid:durableId="1281573656">
    <w:abstractNumId w:val="6"/>
  </w:num>
  <w:num w:numId="8" w16cid:durableId="1024214209">
    <w:abstractNumId w:val="31"/>
  </w:num>
  <w:num w:numId="9" w16cid:durableId="76757315">
    <w:abstractNumId w:val="12"/>
  </w:num>
  <w:num w:numId="10" w16cid:durableId="705567944">
    <w:abstractNumId w:val="25"/>
  </w:num>
  <w:num w:numId="11" w16cid:durableId="230315791">
    <w:abstractNumId w:val="14"/>
  </w:num>
  <w:num w:numId="12" w16cid:durableId="363748109">
    <w:abstractNumId w:val="21"/>
  </w:num>
  <w:num w:numId="13" w16cid:durableId="1024595951">
    <w:abstractNumId w:val="0"/>
  </w:num>
  <w:num w:numId="14" w16cid:durableId="976035355">
    <w:abstractNumId w:val="10"/>
  </w:num>
  <w:num w:numId="15" w16cid:durableId="1519272990">
    <w:abstractNumId w:val="17"/>
  </w:num>
  <w:num w:numId="16" w16cid:durableId="1444689154">
    <w:abstractNumId w:val="8"/>
  </w:num>
  <w:num w:numId="17" w16cid:durableId="787165357">
    <w:abstractNumId w:val="3"/>
  </w:num>
  <w:num w:numId="18" w16cid:durableId="671569249">
    <w:abstractNumId w:val="2"/>
  </w:num>
  <w:num w:numId="19" w16cid:durableId="1175263283">
    <w:abstractNumId w:val="27"/>
  </w:num>
  <w:num w:numId="20" w16cid:durableId="2085101197">
    <w:abstractNumId w:val="7"/>
  </w:num>
  <w:num w:numId="21" w16cid:durableId="972564836">
    <w:abstractNumId w:val="24"/>
  </w:num>
  <w:num w:numId="22" w16cid:durableId="1591812240">
    <w:abstractNumId w:val="32"/>
  </w:num>
  <w:num w:numId="23" w16cid:durableId="1971740911">
    <w:abstractNumId w:val="13"/>
  </w:num>
  <w:num w:numId="24" w16cid:durableId="1645889704">
    <w:abstractNumId w:val="28"/>
  </w:num>
  <w:num w:numId="25" w16cid:durableId="2066294774">
    <w:abstractNumId w:val="18"/>
  </w:num>
  <w:num w:numId="26" w16cid:durableId="840437203">
    <w:abstractNumId w:val="19"/>
  </w:num>
  <w:num w:numId="27" w16cid:durableId="1241135333">
    <w:abstractNumId w:val="15"/>
  </w:num>
  <w:num w:numId="28" w16cid:durableId="847134435">
    <w:abstractNumId w:val="30"/>
  </w:num>
  <w:num w:numId="29" w16cid:durableId="1456366506">
    <w:abstractNumId w:val="1"/>
  </w:num>
  <w:num w:numId="30" w16cid:durableId="1248511">
    <w:abstractNumId w:val="16"/>
  </w:num>
  <w:num w:numId="31" w16cid:durableId="1738243770">
    <w:abstractNumId w:val="20"/>
  </w:num>
  <w:num w:numId="32" w16cid:durableId="1695763879">
    <w:abstractNumId w:val="4"/>
  </w:num>
  <w:num w:numId="33" w16cid:durableId="214453884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E0A"/>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0BB4"/>
    <w:rsid w:val="000D55A8"/>
    <w:rsid w:val="000E4841"/>
    <w:rsid w:val="000F1677"/>
    <w:rsid w:val="000F3D6C"/>
    <w:rsid w:val="000F7FC2"/>
    <w:rsid w:val="00101707"/>
    <w:rsid w:val="00102CC9"/>
    <w:rsid w:val="0011473D"/>
    <w:rsid w:val="001152DA"/>
    <w:rsid w:val="00115C85"/>
    <w:rsid w:val="0012224B"/>
    <w:rsid w:val="00123855"/>
    <w:rsid w:val="00126A4D"/>
    <w:rsid w:val="001331A4"/>
    <w:rsid w:val="0013488F"/>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3153"/>
    <w:rsid w:val="001B5016"/>
    <w:rsid w:val="001C45FC"/>
    <w:rsid w:val="001D0469"/>
    <w:rsid w:val="001D4862"/>
    <w:rsid w:val="001E25B9"/>
    <w:rsid w:val="001E49E0"/>
    <w:rsid w:val="001E7B5A"/>
    <w:rsid w:val="001F7412"/>
    <w:rsid w:val="002006D3"/>
    <w:rsid w:val="00202C19"/>
    <w:rsid w:val="00202DFE"/>
    <w:rsid w:val="00205A87"/>
    <w:rsid w:val="0020725B"/>
    <w:rsid w:val="002110F1"/>
    <w:rsid w:val="00223917"/>
    <w:rsid w:val="0024116D"/>
    <w:rsid w:val="00241B44"/>
    <w:rsid w:val="00241FA3"/>
    <w:rsid w:val="00245EFB"/>
    <w:rsid w:val="00246D8E"/>
    <w:rsid w:val="0025386E"/>
    <w:rsid w:val="00256B74"/>
    <w:rsid w:val="0026091A"/>
    <w:rsid w:val="00260B3C"/>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503B5"/>
    <w:rsid w:val="00361A0A"/>
    <w:rsid w:val="00364836"/>
    <w:rsid w:val="0036565C"/>
    <w:rsid w:val="0036625E"/>
    <w:rsid w:val="0037465A"/>
    <w:rsid w:val="00382C98"/>
    <w:rsid w:val="0038411A"/>
    <w:rsid w:val="0038533C"/>
    <w:rsid w:val="00386568"/>
    <w:rsid w:val="00387EEC"/>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1100"/>
    <w:rsid w:val="004A57DD"/>
    <w:rsid w:val="004A7B51"/>
    <w:rsid w:val="004A7D71"/>
    <w:rsid w:val="004A7EF3"/>
    <w:rsid w:val="004B11FD"/>
    <w:rsid w:val="004B23A2"/>
    <w:rsid w:val="004C244D"/>
    <w:rsid w:val="004D1A5A"/>
    <w:rsid w:val="004D2FFF"/>
    <w:rsid w:val="004D3721"/>
    <w:rsid w:val="004D4255"/>
    <w:rsid w:val="004D64F9"/>
    <w:rsid w:val="004E3A6B"/>
    <w:rsid w:val="004E5AF5"/>
    <w:rsid w:val="004E622C"/>
    <w:rsid w:val="004F49B5"/>
    <w:rsid w:val="004F5FDF"/>
    <w:rsid w:val="004F7B99"/>
    <w:rsid w:val="005028C4"/>
    <w:rsid w:val="00515810"/>
    <w:rsid w:val="005177FE"/>
    <w:rsid w:val="0052263B"/>
    <w:rsid w:val="00524728"/>
    <w:rsid w:val="005331CA"/>
    <w:rsid w:val="00537424"/>
    <w:rsid w:val="00537970"/>
    <w:rsid w:val="00540E3A"/>
    <w:rsid w:val="00544127"/>
    <w:rsid w:val="00545D4C"/>
    <w:rsid w:val="005463A9"/>
    <w:rsid w:val="00553EB2"/>
    <w:rsid w:val="00560534"/>
    <w:rsid w:val="0056391B"/>
    <w:rsid w:val="005650E2"/>
    <w:rsid w:val="00567AD7"/>
    <w:rsid w:val="00575B2D"/>
    <w:rsid w:val="005833D0"/>
    <w:rsid w:val="00583D8E"/>
    <w:rsid w:val="005846F3"/>
    <w:rsid w:val="0058622F"/>
    <w:rsid w:val="00587019"/>
    <w:rsid w:val="00592F82"/>
    <w:rsid w:val="005A0BA4"/>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4053"/>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E57ED"/>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102"/>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A78C4"/>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871F7"/>
    <w:rsid w:val="00991428"/>
    <w:rsid w:val="00992676"/>
    <w:rsid w:val="009954B2"/>
    <w:rsid w:val="00996691"/>
    <w:rsid w:val="009A5BAD"/>
    <w:rsid w:val="009B0723"/>
    <w:rsid w:val="009B07AD"/>
    <w:rsid w:val="009B0883"/>
    <w:rsid w:val="009B15E2"/>
    <w:rsid w:val="009B366C"/>
    <w:rsid w:val="009B4976"/>
    <w:rsid w:val="009C0B8E"/>
    <w:rsid w:val="009C1BC8"/>
    <w:rsid w:val="009C2442"/>
    <w:rsid w:val="009D0811"/>
    <w:rsid w:val="009D0EE1"/>
    <w:rsid w:val="009D1649"/>
    <w:rsid w:val="009D5B73"/>
    <w:rsid w:val="009E2AEB"/>
    <w:rsid w:val="009E2E27"/>
    <w:rsid w:val="009E3A54"/>
    <w:rsid w:val="009E45DF"/>
    <w:rsid w:val="009E4DE3"/>
    <w:rsid w:val="009F275E"/>
    <w:rsid w:val="00A024E7"/>
    <w:rsid w:val="00A047EE"/>
    <w:rsid w:val="00A04B5D"/>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35AE1"/>
    <w:rsid w:val="00B44713"/>
    <w:rsid w:val="00B56103"/>
    <w:rsid w:val="00B6447C"/>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67BB9"/>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0C39"/>
    <w:rsid w:val="00CD4998"/>
    <w:rsid w:val="00CE0ECD"/>
    <w:rsid w:val="00CE1035"/>
    <w:rsid w:val="00CE6E50"/>
    <w:rsid w:val="00CF2819"/>
    <w:rsid w:val="00CF4F9D"/>
    <w:rsid w:val="00CF70DC"/>
    <w:rsid w:val="00D041E0"/>
    <w:rsid w:val="00D04AFE"/>
    <w:rsid w:val="00D06A30"/>
    <w:rsid w:val="00D109EC"/>
    <w:rsid w:val="00D14336"/>
    <w:rsid w:val="00D148DC"/>
    <w:rsid w:val="00D17FDC"/>
    <w:rsid w:val="00D21021"/>
    <w:rsid w:val="00D21D8C"/>
    <w:rsid w:val="00D267D2"/>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3DA6"/>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6789A"/>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6F9B"/>
    <w:rsid w:val="00ED738F"/>
    <w:rsid w:val="00ED74BC"/>
    <w:rsid w:val="00EE4971"/>
    <w:rsid w:val="00EF090E"/>
    <w:rsid w:val="00EF3777"/>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20BE"/>
    <w:rsid w:val="00F75CC0"/>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10</Pages>
  <Words>3488</Words>
  <Characters>19190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Morales</cp:lastModifiedBy>
  <cp:revision>23</cp:revision>
  <cp:lastPrinted>2019-08-27T05:42:00Z</cp:lastPrinted>
  <dcterms:created xsi:type="dcterms:W3CDTF">2022-07-01T09:50:00Z</dcterms:created>
  <dcterms:modified xsi:type="dcterms:W3CDTF">2023-02-28T01:50:00Z</dcterms:modified>
</cp:coreProperties>
</file>