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w:t>
      </w:r>
      <w:bookmarkStart w:id="0" w:name="_GoBack"/>
      <w:bookmarkEnd w:id="0"/>
      <w:r w:rsidRPr="006925C1">
        <w:rPr>
          <w:rFonts w:ascii="Avenir Next" w:hAnsi="Avenir Next" w:cs="Arial"/>
          <w:sz w:val="22"/>
          <w:szCs w:val="22"/>
          <w:lang w:val="en-GB"/>
        </w:rPr>
        <w:t xml:space="preserv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DB2EE9"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DB2EE9">
        <w:rPr>
          <w:rFonts w:ascii="Avenir Next" w:hAnsi="Avenir Next" w:cs="Arial"/>
          <w:sz w:val="22"/>
          <w:szCs w:val="22"/>
          <w:highlight w:val="yellow"/>
          <w:lang w:val="en-GB"/>
        </w:rPr>
        <w:t>w</w:t>
      </w:r>
      <w:r w:rsidR="00C91062" w:rsidRPr="00DB2EE9">
        <w:rPr>
          <w:rFonts w:ascii="Avenir Next" w:hAnsi="Avenir Next" w:cs="Arial"/>
          <w:sz w:val="22"/>
          <w:szCs w:val="22"/>
          <w:highlight w:val="yellow"/>
          <w:lang w:val="en-GB"/>
        </w:rPr>
        <w:t>ithin</w:t>
      </w:r>
      <w:proofErr w:type="gramEnd"/>
      <w:r w:rsidR="00C91062" w:rsidRPr="00DB2EE9">
        <w:rPr>
          <w:rFonts w:ascii="Avenir Next" w:hAnsi="Avenir Next" w:cs="Arial"/>
          <w:sz w:val="22"/>
          <w:szCs w:val="22"/>
          <w:highlight w:val="yellow"/>
          <w:lang w:val="en-GB"/>
        </w:rPr>
        <w:t xml:space="preserve"> 8 weeks of the commencement of the administration</w:t>
      </w:r>
      <w:r w:rsidR="00763348" w:rsidRPr="00DB2EE9">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o</w:t>
      </w:r>
      <w:r w:rsidR="00C91062" w:rsidRPr="006925C1">
        <w:rPr>
          <w:rFonts w:ascii="Avenir Next" w:hAnsi="Avenir Next" w:cs="Arial"/>
          <w:sz w:val="22"/>
          <w:szCs w:val="22"/>
          <w:lang w:val="en-GB"/>
        </w:rPr>
        <w:t>n</w:t>
      </w:r>
      <w:proofErr w:type="gramEnd"/>
      <w:r w:rsidR="00C91062" w:rsidRPr="006925C1">
        <w:rPr>
          <w:rFonts w:ascii="Avenir Next" w:hAnsi="Avenir Next" w:cs="Arial"/>
          <w:sz w:val="22"/>
          <w:szCs w:val="22"/>
          <w:lang w:val="en-GB"/>
        </w:rPr>
        <w:t xml:space="preserve">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DB2EE9" w:rsidRDefault="00E443D7" w:rsidP="00B04033">
      <w:pPr>
        <w:pStyle w:val="ListParagraph"/>
        <w:numPr>
          <w:ilvl w:val="0"/>
          <w:numId w:val="2"/>
        </w:numPr>
        <w:ind w:left="426"/>
        <w:jc w:val="both"/>
        <w:rPr>
          <w:rFonts w:ascii="Avenir Next" w:hAnsi="Avenir Next" w:cs="Arial"/>
          <w:sz w:val="22"/>
          <w:szCs w:val="22"/>
          <w:highlight w:val="yellow"/>
          <w:lang w:val="en-GB"/>
        </w:rPr>
      </w:pPr>
      <w:r w:rsidRPr="00DB2EE9">
        <w:rPr>
          <w:rFonts w:ascii="Avenir Next" w:hAnsi="Avenir Next" w:cs="Arial"/>
          <w:sz w:val="22"/>
          <w:szCs w:val="22"/>
          <w:highlight w:val="yellow"/>
          <w:lang w:val="en-GB"/>
        </w:rPr>
        <w:t>One year</w:t>
      </w:r>
      <w:r w:rsidR="00763348" w:rsidRPr="00DB2EE9">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FBF507B" w14:textId="77777777" w:rsidR="00450E54" w:rsidRDefault="00450E54" w:rsidP="00C55824">
      <w:pPr>
        <w:jc w:val="both"/>
        <w:rPr>
          <w:rFonts w:ascii="Avenir Next Demi Bold" w:hAnsi="Avenir Next Demi Bold" w:cs="Arial"/>
          <w:b/>
          <w:bCs/>
          <w:sz w:val="22"/>
          <w:szCs w:val="22"/>
        </w:rPr>
      </w:pPr>
    </w:p>
    <w:p w14:paraId="1D72C0D7" w14:textId="77777777" w:rsidR="00450E54" w:rsidRDefault="00450E54" w:rsidP="00C55824">
      <w:pPr>
        <w:jc w:val="both"/>
        <w:rPr>
          <w:rFonts w:ascii="Avenir Next Demi Bold" w:hAnsi="Avenir Next Demi Bold" w:cs="Arial"/>
          <w:b/>
          <w:bCs/>
          <w:sz w:val="22"/>
          <w:szCs w:val="22"/>
        </w:rPr>
      </w:pPr>
    </w:p>
    <w:p w14:paraId="788B3207" w14:textId="602F9BA4"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E0B25" w:rsidRDefault="00AE5B6F" w:rsidP="00B04033">
      <w:pPr>
        <w:pStyle w:val="ListParagraph"/>
        <w:numPr>
          <w:ilvl w:val="0"/>
          <w:numId w:val="3"/>
        </w:numPr>
        <w:ind w:left="426"/>
        <w:jc w:val="both"/>
        <w:rPr>
          <w:rFonts w:ascii="Avenir Next" w:hAnsi="Avenir Next" w:cs="Arial"/>
          <w:sz w:val="22"/>
          <w:szCs w:val="22"/>
          <w:highlight w:val="yellow"/>
          <w:lang w:val="en-GB"/>
        </w:rPr>
      </w:pPr>
      <w:r w:rsidRPr="006E0B25">
        <w:rPr>
          <w:rFonts w:ascii="Avenir Next" w:hAnsi="Avenir Next" w:cs="Arial"/>
          <w:sz w:val="22"/>
          <w:szCs w:val="22"/>
          <w:highlight w:val="yellow"/>
          <w:lang w:val="en-GB"/>
        </w:rPr>
        <w:t>T</w:t>
      </w:r>
      <w:r w:rsidR="008D1616" w:rsidRPr="006E0B25">
        <w:rPr>
          <w:rFonts w:ascii="Avenir Next" w:hAnsi="Avenir Next" w:cs="Arial"/>
          <w:sz w:val="22"/>
          <w:szCs w:val="22"/>
          <w:highlight w:val="yellow"/>
          <w:lang w:val="en-GB"/>
        </w:rPr>
        <w:t>he company is, or is likely to become, unable to pay their debts, as defined under s</w:t>
      </w:r>
      <w:r w:rsidR="00E833F4" w:rsidRPr="006E0B25">
        <w:rPr>
          <w:rFonts w:ascii="Avenir Next" w:hAnsi="Avenir Next" w:cs="Arial"/>
          <w:sz w:val="22"/>
          <w:szCs w:val="22"/>
          <w:highlight w:val="yellow"/>
          <w:lang w:val="en-GB"/>
        </w:rPr>
        <w:t>ection</w:t>
      </w:r>
      <w:r w:rsidR="008D1616" w:rsidRPr="006E0B25">
        <w:rPr>
          <w:rFonts w:ascii="Avenir Next" w:hAnsi="Avenir Next" w:cs="Arial"/>
          <w:sz w:val="22"/>
          <w:szCs w:val="22"/>
          <w:highlight w:val="yellow"/>
          <w:lang w:val="en-GB"/>
        </w:rPr>
        <w:t xml:space="preserve"> 123 of the Insolvency Act 1986</w:t>
      </w:r>
      <w:r w:rsidR="00763348" w:rsidRPr="006E0B2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6E0B25" w:rsidRDefault="00C91062" w:rsidP="00B04033">
      <w:pPr>
        <w:pStyle w:val="ListParagraph"/>
        <w:numPr>
          <w:ilvl w:val="0"/>
          <w:numId w:val="4"/>
        </w:numPr>
        <w:ind w:left="426"/>
        <w:jc w:val="both"/>
        <w:rPr>
          <w:rFonts w:ascii="Avenir Next" w:hAnsi="Avenir Next" w:cs="Arial"/>
          <w:sz w:val="22"/>
          <w:szCs w:val="22"/>
          <w:highlight w:val="yellow"/>
          <w:lang w:val="en-GB"/>
        </w:rPr>
      </w:pPr>
      <w:r w:rsidRPr="006E0B25">
        <w:rPr>
          <w:rFonts w:ascii="Avenir Next" w:hAnsi="Avenir Next" w:cs="Arial"/>
          <w:sz w:val="22"/>
          <w:szCs w:val="22"/>
          <w:highlight w:val="yellow"/>
          <w:lang w:val="en-GB"/>
        </w:rPr>
        <w:t>The purchaser</w:t>
      </w:r>
      <w:r w:rsidR="00763348" w:rsidRPr="006E0B25">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6E0B25" w:rsidRDefault="00BA1CFD" w:rsidP="00B04033">
      <w:pPr>
        <w:pStyle w:val="ListParagraph"/>
        <w:numPr>
          <w:ilvl w:val="0"/>
          <w:numId w:val="5"/>
        </w:numPr>
        <w:ind w:left="426"/>
        <w:jc w:val="both"/>
        <w:rPr>
          <w:rFonts w:ascii="Avenir Next" w:hAnsi="Avenir Next" w:cs="Arial"/>
          <w:sz w:val="22"/>
          <w:szCs w:val="22"/>
          <w:highlight w:val="yellow"/>
          <w:lang w:val="en-GB"/>
        </w:rPr>
      </w:pPr>
      <w:r w:rsidRPr="006E0B25">
        <w:rPr>
          <w:rFonts w:ascii="Avenir Next" w:hAnsi="Avenir Next" w:cs="Arial"/>
          <w:sz w:val="22"/>
          <w:szCs w:val="22"/>
          <w:highlight w:val="yellow"/>
          <w:lang w:val="en-GB"/>
        </w:rPr>
        <w:t>Administration</w:t>
      </w:r>
      <w:r w:rsidR="00763348" w:rsidRPr="006E0B2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6E0B25" w:rsidRDefault="001F3C98" w:rsidP="00B04033">
      <w:pPr>
        <w:pStyle w:val="ListParagraph"/>
        <w:numPr>
          <w:ilvl w:val="0"/>
          <w:numId w:val="6"/>
        </w:numPr>
        <w:ind w:left="426"/>
        <w:jc w:val="both"/>
        <w:rPr>
          <w:rFonts w:ascii="Avenir Next" w:hAnsi="Avenir Next" w:cs="Arial"/>
          <w:sz w:val="22"/>
          <w:szCs w:val="22"/>
          <w:highlight w:val="yellow"/>
          <w:lang w:val="en-GB"/>
        </w:rPr>
      </w:pPr>
      <w:r w:rsidRPr="006E0B25">
        <w:rPr>
          <w:rFonts w:ascii="Avenir Next" w:hAnsi="Avenir Next" w:cs="Arial"/>
          <w:sz w:val="22"/>
          <w:szCs w:val="22"/>
          <w:highlight w:val="yellow"/>
          <w:lang w:val="en-GB"/>
        </w:rPr>
        <w:t xml:space="preserve">GBP </w:t>
      </w:r>
      <w:r w:rsidR="00BA1CFD" w:rsidRPr="006E0B25">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6E0B25" w:rsidRDefault="00BA1CFD" w:rsidP="00B04033">
      <w:pPr>
        <w:pStyle w:val="ListParagraph"/>
        <w:numPr>
          <w:ilvl w:val="0"/>
          <w:numId w:val="7"/>
        </w:numPr>
        <w:ind w:left="426"/>
        <w:jc w:val="both"/>
        <w:rPr>
          <w:rFonts w:ascii="Avenir Next" w:hAnsi="Avenir Next" w:cs="Arial"/>
          <w:sz w:val="22"/>
          <w:szCs w:val="22"/>
          <w:highlight w:val="yellow"/>
          <w:lang w:val="en-GB"/>
        </w:rPr>
      </w:pPr>
      <w:r w:rsidRPr="006E0B25">
        <w:rPr>
          <w:rFonts w:ascii="Avenir Next" w:hAnsi="Avenir Next" w:cs="Arial"/>
          <w:sz w:val="22"/>
          <w:szCs w:val="22"/>
          <w:highlight w:val="yellow"/>
          <w:lang w:val="en-GB"/>
        </w:rPr>
        <w:t>Breach of fiduciary duty</w:t>
      </w:r>
      <w:r w:rsidR="00763348" w:rsidRPr="006E0B25">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D360D8" w:rsidRDefault="00876F56" w:rsidP="00B04033">
      <w:pPr>
        <w:pStyle w:val="ListParagraph"/>
        <w:numPr>
          <w:ilvl w:val="0"/>
          <w:numId w:val="8"/>
        </w:numPr>
        <w:ind w:left="426"/>
        <w:jc w:val="both"/>
        <w:rPr>
          <w:rFonts w:ascii="Avenir Next" w:hAnsi="Avenir Next" w:cs="Arial"/>
          <w:sz w:val="22"/>
          <w:szCs w:val="22"/>
          <w:highlight w:val="yellow"/>
          <w:lang w:val="en-GB"/>
        </w:rPr>
      </w:pPr>
      <w:r w:rsidRPr="00D360D8">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D360D8" w:rsidRDefault="00E833F4" w:rsidP="00B04033">
      <w:pPr>
        <w:pStyle w:val="ListParagraph"/>
        <w:numPr>
          <w:ilvl w:val="0"/>
          <w:numId w:val="9"/>
        </w:numPr>
        <w:ind w:left="426"/>
        <w:jc w:val="both"/>
        <w:rPr>
          <w:rFonts w:ascii="Avenir Next" w:hAnsi="Avenir Next" w:cs="Arial"/>
          <w:sz w:val="22"/>
          <w:szCs w:val="22"/>
          <w:highlight w:val="yellow"/>
          <w:lang w:val="en-GB"/>
        </w:rPr>
      </w:pPr>
      <w:r w:rsidRPr="00D360D8">
        <w:rPr>
          <w:rFonts w:ascii="Avenir Next" w:hAnsi="Avenir Next" w:cs="Arial"/>
          <w:sz w:val="22"/>
          <w:szCs w:val="22"/>
          <w:highlight w:val="yellow"/>
          <w:lang w:val="en-GB"/>
        </w:rPr>
        <w:t>A</w:t>
      </w:r>
      <w:r w:rsidR="000D10C6" w:rsidRPr="00D360D8">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C43A83" w:rsidRDefault="0020204E" w:rsidP="00B04033">
      <w:pPr>
        <w:pStyle w:val="ListParagraph"/>
        <w:numPr>
          <w:ilvl w:val="0"/>
          <w:numId w:val="10"/>
        </w:numPr>
        <w:ind w:left="426"/>
        <w:jc w:val="both"/>
        <w:rPr>
          <w:rFonts w:ascii="Avenir Next" w:hAnsi="Avenir Next" w:cs="Arial"/>
          <w:sz w:val="22"/>
          <w:szCs w:val="22"/>
          <w:highlight w:val="yellow"/>
          <w:lang w:val="en-GB"/>
        </w:rPr>
      </w:pPr>
      <w:r w:rsidRPr="00C43A83">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401D056B" w:rsidR="00AE5B6F" w:rsidRDefault="009F2A23" w:rsidP="00C43A83">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Where the company is being wound up, the official receiver, the liquidator, the administrator and (with leave of the court), any victim of the transaction may bring an action to attack transactions under s 423 of the Insolvency Act 1986. Where a victim is bound by a CVA, the supervisor of the CVA or any victim of the transaction may apply to attack the transaction. In any other case, a </w:t>
      </w:r>
      <w:r w:rsidR="00C46DC8">
        <w:rPr>
          <w:rFonts w:ascii="Arial" w:hAnsi="Arial" w:cs="Arial"/>
          <w:sz w:val="22"/>
          <w:szCs w:val="22"/>
          <w:lang w:val="en-GB"/>
        </w:rPr>
        <w:t>victim of the transaction may bring an action.</w:t>
      </w:r>
      <w:r>
        <w:rPr>
          <w:rFonts w:ascii="Arial" w:hAnsi="Arial" w:cs="Arial"/>
          <w:sz w:val="22"/>
          <w:szCs w:val="22"/>
          <w:lang w:val="en-GB"/>
        </w:rPr>
        <w:t xml:space="preserve">  </w:t>
      </w:r>
    </w:p>
    <w:p w14:paraId="04F78335" w14:textId="18C56B61" w:rsidR="00C43A83" w:rsidRDefault="00C43A83" w:rsidP="00C43A83">
      <w:pPr>
        <w:pStyle w:val="ListParagraph"/>
        <w:numPr>
          <w:ilvl w:val="0"/>
          <w:numId w:val="18"/>
        </w:numPr>
        <w:jc w:val="both"/>
        <w:rPr>
          <w:rFonts w:ascii="Arial" w:hAnsi="Arial" w:cs="Arial"/>
          <w:sz w:val="22"/>
          <w:szCs w:val="22"/>
          <w:lang w:val="en-GB"/>
        </w:rPr>
      </w:pPr>
      <w:r>
        <w:rPr>
          <w:rFonts w:ascii="Arial" w:hAnsi="Arial" w:cs="Arial"/>
          <w:sz w:val="22"/>
          <w:szCs w:val="22"/>
          <w:lang w:val="en-GB"/>
        </w:rPr>
        <w:t>The Secretary of State</w:t>
      </w:r>
      <w:r w:rsidR="00C46DC8">
        <w:rPr>
          <w:rFonts w:ascii="Arial" w:hAnsi="Arial" w:cs="Arial"/>
          <w:sz w:val="22"/>
          <w:szCs w:val="22"/>
          <w:lang w:val="en-GB"/>
        </w:rPr>
        <w:t>.</w:t>
      </w:r>
    </w:p>
    <w:p w14:paraId="55E63D87" w14:textId="38E1BC2D" w:rsidR="00C43A83" w:rsidRPr="009F2A23" w:rsidRDefault="009F2A23" w:rsidP="009F2A23">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The </w:t>
      </w:r>
      <w:r w:rsidR="00C46DC8">
        <w:rPr>
          <w:rFonts w:ascii="Arial" w:hAnsi="Arial" w:cs="Arial"/>
          <w:sz w:val="22"/>
          <w:szCs w:val="22"/>
          <w:lang w:val="en-GB"/>
        </w:rPr>
        <w:t>administrator.</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2227E7" w14:textId="77E6364F" w:rsidR="0045683E" w:rsidRDefault="00C46DC8" w:rsidP="00C46DC8">
      <w:pPr>
        <w:pStyle w:val="ListParagraph"/>
        <w:numPr>
          <w:ilvl w:val="0"/>
          <w:numId w:val="19"/>
        </w:numPr>
        <w:jc w:val="both"/>
        <w:rPr>
          <w:rFonts w:ascii="Arial" w:hAnsi="Arial" w:cs="Arial"/>
          <w:sz w:val="22"/>
          <w:szCs w:val="22"/>
        </w:rPr>
      </w:pPr>
      <w:r>
        <w:rPr>
          <w:rFonts w:ascii="Arial" w:hAnsi="Arial" w:cs="Arial"/>
          <w:sz w:val="22"/>
          <w:szCs w:val="22"/>
        </w:rPr>
        <w:t>The monitor’s remuneration or expenses;</w:t>
      </w:r>
    </w:p>
    <w:p w14:paraId="0DF948AA" w14:textId="103D758B" w:rsidR="00C46DC8" w:rsidRDefault="00C46DC8" w:rsidP="00C46DC8">
      <w:pPr>
        <w:pStyle w:val="ListParagraph"/>
        <w:numPr>
          <w:ilvl w:val="0"/>
          <w:numId w:val="19"/>
        </w:numPr>
        <w:jc w:val="both"/>
        <w:rPr>
          <w:rFonts w:ascii="Arial" w:hAnsi="Arial" w:cs="Arial"/>
          <w:sz w:val="22"/>
          <w:szCs w:val="22"/>
        </w:rPr>
      </w:pPr>
      <w:r>
        <w:rPr>
          <w:rFonts w:ascii="Arial" w:hAnsi="Arial" w:cs="Arial"/>
          <w:sz w:val="22"/>
          <w:szCs w:val="22"/>
        </w:rPr>
        <w:t>Goods or services supplied during the Moratorium;</w:t>
      </w:r>
    </w:p>
    <w:p w14:paraId="45B95C01" w14:textId="72FE5175" w:rsidR="00C46DC8" w:rsidRDefault="00C46DC8" w:rsidP="00C46DC8">
      <w:pPr>
        <w:pStyle w:val="ListParagraph"/>
        <w:numPr>
          <w:ilvl w:val="0"/>
          <w:numId w:val="19"/>
        </w:numPr>
        <w:jc w:val="both"/>
        <w:rPr>
          <w:rFonts w:ascii="Arial" w:hAnsi="Arial" w:cs="Arial"/>
          <w:sz w:val="22"/>
          <w:szCs w:val="22"/>
        </w:rPr>
      </w:pPr>
      <w:r>
        <w:rPr>
          <w:rFonts w:ascii="Arial" w:hAnsi="Arial" w:cs="Arial"/>
          <w:sz w:val="22"/>
          <w:szCs w:val="22"/>
        </w:rPr>
        <w:t>Rent in respect of a period during the Moratorium;</w:t>
      </w:r>
    </w:p>
    <w:p w14:paraId="2187E66C" w14:textId="46F34BD8" w:rsidR="00C46DC8" w:rsidRDefault="00C46DC8" w:rsidP="00C46DC8">
      <w:pPr>
        <w:pStyle w:val="ListParagraph"/>
        <w:numPr>
          <w:ilvl w:val="0"/>
          <w:numId w:val="19"/>
        </w:numPr>
        <w:jc w:val="both"/>
        <w:rPr>
          <w:rFonts w:ascii="Arial" w:hAnsi="Arial" w:cs="Arial"/>
          <w:sz w:val="22"/>
          <w:szCs w:val="22"/>
        </w:rPr>
      </w:pPr>
      <w:r>
        <w:rPr>
          <w:rFonts w:ascii="Arial" w:hAnsi="Arial" w:cs="Arial"/>
          <w:sz w:val="22"/>
          <w:szCs w:val="22"/>
        </w:rPr>
        <w:t>Wages or salary arising under a contract of employment; and</w:t>
      </w:r>
    </w:p>
    <w:p w14:paraId="70B4D37E" w14:textId="287CB9D9" w:rsidR="00C46DC8" w:rsidRDefault="00C46DC8" w:rsidP="00C46DC8">
      <w:pPr>
        <w:pStyle w:val="ListParagraph"/>
        <w:numPr>
          <w:ilvl w:val="0"/>
          <w:numId w:val="19"/>
        </w:numPr>
        <w:jc w:val="both"/>
        <w:rPr>
          <w:rFonts w:ascii="Arial" w:hAnsi="Arial" w:cs="Arial"/>
          <w:sz w:val="22"/>
          <w:szCs w:val="22"/>
        </w:rPr>
      </w:pPr>
      <w:r>
        <w:rPr>
          <w:rFonts w:ascii="Arial" w:hAnsi="Arial" w:cs="Arial"/>
          <w:sz w:val="22"/>
          <w:szCs w:val="22"/>
        </w:rPr>
        <w:t>Redundancy payments.</w:t>
      </w:r>
    </w:p>
    <w:p w14:paraId="679509EC" w14:textId="77777777" w:rsidR="00C46DC8" w:rsidRPr="006925C1" w:rsidRDefault="00C46DC8"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683D1369" w:rsidR="00EA3B38" w:rsidRDefault="0064326B" w:rsidP="004C6D46">
      <w:pPr>
        <w:ind w:left="720"/>
        <w:jc w:val="both"/>
        <w:rPr>
          <w:rFonts w:ascii="Arial" w:hAnsi="Arial" w:cs="Arial"/>
          <w:sz w:val="22"/>
          <w:szCs w:val="22"/>
        </w:rPr>
      </w:pPr>
      <w:r>
        <w:rPr>
          <w:rFonts w:ascii="Arial" w:hAnsi="Arial" w:cs="Arial"/>
          <w:sz w:val="22"/>
          <w:szCs w:val="22"/>
        </w:rPr>
        <w:t xml:space="preserve">Essential supplies or services may be necessary for administrator to continue operating a company. </w:t>
      </w:r>
      <w:r w:rsidRPr="0064326B">
        <w:rPr>
          <w:rFonts w:ascii="Arial" w:hAnsi="Arial" w:cs="Arial"/>
          <w:sz w:val="22"/>
          <w:szCs w:val="22"/>
        </w:rPr>
        <w:t xml:space="preserve">There are a number of </w:t>
      </w:r>
      <w:r>
        <w:rPr>
          <w:rFonts w:ascii="Arial" w:hAnsi="Arial" w:cs="Arial"/>
          <w:sz w:val="22"/>
          <w:szCs w:val="22"/>
        </w:rPr>
        <w:t>statutory exceptions which deem automatic termination (or ipso facto) clauses void which helps achieve this outcome.</w:t>
      </w:r>
    </w:p>
    <w:p w14:paraId="0A1E87C7" w14:textId="052BD63E" w:rsidR="0064326B" w:rsidRDefault="0064326B" w:rsidP="004C6D46">
      <w:pPr>
        <w:ind w:left="720"/>
        <w:jc w:val="both"/>
        <w:rPr>
          <w:rFonts w:ascii="Arial" w:hAnsi="Arial" w:cs="Arial"/>
          <w:sz w:val="22"/>
          <w:szCs w:val="22"/>
        </w:rPr>
      </w:pPr>
    </w:p>
    <w:p w14:paraId="6E368B63" w14:textId="1D80D661" w:rsidR="004C6D46" w:rsidRDefault="0064326B" w:rsidP="004C6D46">
      <w:pPr>
        <w:ind w:left="720"/>
        <w:jc w:val="both"/>
        <w:rPr>
          <w:rFonts w:ascii="Arial" w:hAnsi="Arial" w:cs="Arial"/>
          <w:sz w:val="22"/>
          <w:szCs w:val="22"/>
        </w:rPr>
      </w:pPr>
      <w:r>
        <w:rPr>
          <w:rFonts w:ascii="Arial" w:hAnsi="Arial" w:cs="Arial"/>
          <w:sz w:val="22"/>
          <w:szCs w:val="22"/>
        </w:rPr>
        <w:t xml:space="preserve">For example, section 233 of the Insolvency Act 1986 prevents suppliers from requiring payment of outstanding debts to secure a new or continued supply of gas, electricity, water and communication services. </w:t>
      </w:r>
      <w:r w:rsidR="004C6D46">
        <w:rPr>
          <w:rFonts w:ascii="Arial" w:hAnsi="Arial" w:cs="Arial"/>
          <w:sz w:val="22"/>
          <w:szCs w:val="22"/>
        </w:rPr>
        <w:t xml:space="preserve">Similarly, section 233B of the Act prevents termination of contracts by utility, communications and IT suppliers and all other suppliers (subject to a number of exceptions. </w:t>
      </w:r>
    </w:p>
    <w:p w14:paraId="27594E80" w14:textId="77777777" w:rsidR="004C6D46" w:rsidRDefault="004C6D46" w:rsidP="004C6D46">
      <w:pPr>
        <w:ind w:left="720"/>
        <w:jc w:val="both"/>
        <w:rPr>
          <w:rFonts w:ascii="Arial" w:hAnsi="Arial" w:cs="Arial"/>
          <w:sz w:val="22"/>
          <w:szCs w:val="22"/>
        </w:rPr>
      </w:pPr>
    </w:p>
    <w:p w14:paraId="65995A2B" w14:textId="04E9CF6A" w:rsidR="004C6D46" w:rsidRDefault="004C6D46" w:rsidP="004C6D46">
      <w:pPr>
        <w:ind w:left="720"/>
        <w:jc w:val="both"/>
        <w:rPr>
          <w:rFonts w:ascii="Arial" w:hAnsi="Arial" w:cs="Arial"/>
          <w:sz w:val="22"/>
          <w:szCs w:val="22"/>
        </w:rPr>
      </w:pPr>
      <w:r>
        <w:rPr>
          <w:rFonts w:ascii="Arial" w:hAnsi="Arial" w:cs="Arial"/>
          <w:sz w:val="22"/>
          <w:szCs w:val="22"/>
        </w:rPr>
        <w:t>However, under s 233B of the Act, a supplier may apply to the Court to terminate a contract. The Court must be satisfied that continuation of the contract would cause hardship to the supplier before granting permission to terminate it. Accordingly, a contract may be terminated against an administrator’s wishes in these circumstances.</w:t>
      </w:r>
    </w:p>
    <w:p w14:paraId="18C6C278" w14:textId="2CC6B284" w:rsidR="00C23C7D" w:rsidRDefault="00C23C7D" w:rsidP="004C6D46">
      <w:pPr>
        <w:ind w:left="720"/>
        <w:jc w:val="both"/>
        <w:rPr>
          <w:rFonts w:ascii="Arial" w:hAnsi="Arial" w:cs="Arial"/>
          <w:sz w:val="22"/>
          <w:szCs w:val="22"/>
        </w:rPr>
      </w:pPr>
    </w:p>
    <w:p w14:paraId="70BECF44" w14:textId="77777777" w:rsidR="0063381C" w:rsidRPr="00584AE5" w:rsidRDefault="0063381C" w:rsidP="002A37BB">
      <w:pPr>
        <w:jc w:val="both"/>
        <w:rPr>
          <w:rFonts w:ascii="Avenir Next" w:hAnsi="Avenir Next" w:cs="Arial"/>
          <w:sz w:val="22"/>
          <w:szCs w:val="22"/>
          <w:lang w:val="en-GB"/>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3F24675A" w:rsidR="00EA3B38" w:rsidRDefault="00EA4FAD" w:rsidP="001C46F3">
      <w:pPr>
        <w:ind w:left="720"/>
        <w:jc w:val="both"/>
        <w:rPr>
          <w:rFonts w:ascii="Arial" w:hAnsi="Arial" w:cs="Arial"/>
          <w:sz w:val="22"/>
          <w:szCs w:val="22"/>
        </w:rPr>
      </w:pPr>
      <w:r>
        <w:rPr>
          <w:rFonts w:ascii="Arial" w:hAnsi="Arial" w:cs="Arial"/>
          <w:sz w:val="22"/>
          <w:szCs w:val="22"/>
        </w:rPr>
        <w:t>The expenses of the winding up have first priority</w:t>
      </w:r>
      <w:r w:rsidR="001C46F3">
        <w:rPr>
          <w:rFonts w:ascii="Arial" w:hAnsi="Arial" w:cs="Arial"/>
          <w:sz w:val="22"/>
          <w:szCs w:val="22"/>
        </w:rPr>
        <w:t xml:space="preserve"> in a liquidation</w:t>
      </w:r>
      <w:r>
        <w:rPr>
          <w:rFonts w:ascii="Arial" w:hAnsi="Arial" w:cs="Arial"/>
          <w:sz w:val="22"/>
          <w:szCs w:val="22"/>
        </w:rPr>
        <w:t>.</w:t>
      </w:r>
      <w:r w:rsidR="001C46F3">
        <w:rPr>
          <w:rFonts w:ascii="Arial" w:hAnsi="Arial" w:cs="Arial"/>
          <w:sz w:val="22"/>
          <w:szCs w:val="22"/>
        </w:rPr>
        <w:t xml:space="preserve"> The nature of the rights enjoyed by each expense are</w:t>
      </w:r>
    </w:p>
    <w:p w14:paraId="6070034A" w14:textId="73FAFEBE" w:rsidR="00EA4FAD" w:rsidRDefault="00EA4FAD" w:rsidP="001C46F3">
      <w:pPr>
        <w:ind w:left="720"/>
        <w:jc w:val="both"/>
        <w:rPr>
          <w:rFonts w:ascii="Arial" w:hAnsi="Arial" w:cs="Arial"/>
          <w:sz w:val="22"/>
          <w:szCs w:val="22"/>
        </w:rPr>
      </w:pPr>
    </w:p>
    <w:p w14:paraId="7F0BAE10" w14:textId="5DE10005" w:rsidR="00EA4FAD" w:rsidRDefault="00EA4FAD" w:rsidP="001C46F3">
      <w:pPr>
        <w:ind w:left="720"/>
        <w:jc w:val="both"/>
        <w:rPr>
          <w:rFonts w:ascii="Arial" w:hAnsi="Arial" w:cs="Arial"/>
          <w:sz w:val="22"/>
          <w:szCs w:val="22"/>
        </w:rPr>
      </w:pPr>
      <w:r>
        <w:rPr>
          <w:rFonts w:ascii="Arial" w:hAnsi="Arial" w:cs="Arial"/>
          <w:sz w:val="22"/>
          <w:szCs w:val="22"/>
        </w:rPr>
        <w:t xml:space="preserve">Preferential creditors are next in line of priority. Preferential creditors </w:t>
      </w:r>
      <w:r w:rsidR="00BB16C8">
        <w:rPr>
          <w:rFonts w:ascii="Arial" w:hAnsi="Arial" w:cs="Arial"/>
          <w:sz w:val="22"/>
          <w:szCs w:val="22"/>
        </w:rPr>
        <w:t>are</w:t>
      </w:r>
      <w:r>
        <w:rPr>
          <w:rFonts w:ascii="Arial" w:hAnsi="Arial" w:cs="Arial"/>
          <w:sz w:val="22"/>
          <w:szCs w:val="22"/>
        </w:rPr>
        <w:t xml:space="preserve"> often comprised of limited claims of employees and certain taxation liabilities.</w:t>
      </w:r>
      <w:r w:rsidR="00BB16C8">
        <w:rPr>
          <w:rFonts w:ascii="Arial" w:hAnsi="Arial" w:cs="Arial"/>
          <w:sz w:val="22"/>
          <w:szCs w:val="22"/>
        </w:rPr>
        <w:t xml:space="preserve"> Within the class of preferential creditors, ordinary preferential debts will be paid before secondary preferential debts. Schedule 6 of the Act lists preferential debts and identifies those which are secondary preferential debt. Preferential debts are paid out of the company’s assets </w:t>
      </w:r>
      <w:proofErr w:type="spellStart"/>
      <w:r w:rsidR="00BB16C8">
        <w:rPr>
          <w:rFonts w:ascii="Arial" w:hAnsi="Arial" w:cs="Arial"/>
          <w:sz w:val="22"/>
          <w:szCs w:val="22"/>
        </w:rPr>
        <w:t>pari</w:t>
      </w:r>
      <w:proofErr w:type="spellEnd"/>
      <w:r w:rsidR="00BB16C8">
        <w:rPr>
          <w:rFonts w:ascii="Arial" w:hAnsi="Arial" w:cs="Arial"/>
          <w:sz w:val="22"/>
          <w:szCs w:val="22"/>
        </w:rPr>
        <w:t xml:space="preserve"> </w:t>
      </w:r>
      <w:proofErr w:type="spellStart"/>
      <w:r w:rsidR="00BB16C8">
        <w:rPr>
          <w:rFonts w:ascii="Arial" w:hAnsi="Arial" w:cs="Arial"/>
          <w:sz w:val="22"/>
          <w:szCs w:val="22"/>
        </w:rPr>
        <w:t>passu</w:t>
      </w:r>
      <w:proofErr w:type="spellEnd"/>
      <w:r w:rsidR="00BB16C8">
        <w:rPr>
          <w:rFonts w:ascii="Arial" w:hAnsi="Arial" w:cs="Arial"/>
          <w:sz w:val="22"/>
          <w:szCs w:val="22"/>
        </w:rPr>
        <w:t xml:space="preserve"> within their respective classes if there are inadequate assets to satisfy all amounts owing to preferential creditors. </w:t>
      </w:r>
    </w:p>
    <w:p w14:paraId="03840B94" w14:textId="3D45E4CE" w:rsidR="00BB16C8" w:rsidRDefault="00BB16C8" w:rsidP="001C46F3">
      <w:pPr>
        <w:ind w:left="720"/>
        <w:jc w:val="both"/>
        <w:rPr>
          <w:rFonts w:ascii="Arial" w:hAnsi="Arial" w:cs="Arial"/>
          <w:sz w:val="22"/>
          <w:szCs w:val="22"/>
        </w:rPr>
      </w:pPr>
    </w:p>
    <w:p w14:paraId="3D677D17" w14:textId="087203BE" w:rsidR="00BB16C8" w:rsidRDefault="00BB16C8" w:rsidP="001C46F3">
      <w:pPr>
        <w:ind w:left="720"/>
        <w:jc w:val="both"/>
        <w:rPr>
          <w:rFonts w:ascii="Arial" w:hAnsi="Arial" w:cs="Arial"/>
          <w:sz w:val="22"/>
          <w:szCs w:val="22"/>
        </w:rPr>
      </w:pPr>
      <w:r>
        <w:rPr>
          <w:rFonts w:ascii="Arial" w:hAnsi="Arial" w:cs="Arial"/>
          <w:sz w:val="22"/>
          <w:szCs w:val="22"/>
        </w:rPr>
        <w:t xml:space="preserve">Floating charge holders are paid after preferential debt holders. Unlike preferential debts, floating charge holders are paid in order of temporal priority with those that were created first being paid first. However, </w:t>
      </w:r>
      <w:r w:rsidR="006E2E26">
        <w:rPr>
          <w:rFonts w:ascii="Arial" w:hAnsi="Arial" w:cs="Arial"/>
          <w:sz w:val="22"/>
          <w:szCs w:val="22"/>
        </w:rPr>
        <w:t>section 156A of the Act requires that the liquidator retain a prescribed part of the company’s assets for unsecure creditors before any payment is made to floating charge holders. The prescribed part of the company’s assets will vary depending on the company’s net property (being the amount of property which would otherwise be available for the satisfaction of debts of floating charge holders (</w:t>
      </w:r>
      <w:proofErr w:type="spellStart"/>
      <w:r w:rsidR="006E2E26">
        <w:rPr>
          <w:rFonts w:ascii="Arial" w:hAnsi="Arial" w:cs="Arial"/>
          <w:sz w:val="22"/>
          <w:szCs w:val="22"/>
        </w:rPr>
        <w:t>ie</w:t>
      </w:r>
      <w:proofErr w:type="spellEnd"/>
      <w:r w:rsidR="006E2E26">
        <w:rPr>
          <w:rFonts w:ascii="Arial" w:hAnsi="Arial" w:cs="Arial"/>
          <w:sz w:val="22"/>
          <w:szCs w:val="22"/>
        </w:rPr>
        <w:t>, after liquidation expenses and preferential debts have been paid).</w:t>
      </w:r>
      <w:r w:rsidR="006E2E26" w:rsidRPr="006E2E26">
        <w:rPr>
          <w:rFonts w:ascii="Arial" w:hAnsi="Arial" w:cs="Arial"/>
          <w:sz w:val="22"/>
          <w:szCs w:val="22"/>
        </w:rPr>
        <w:t xml:space="preserve"> </w:t>
      </w:r>
      <w:r w:rsidR="006E2E26">
        <w:rPr>
          <w:rFonts w:ascii="Arial" w:hAnsi="Arial" w:cs="Arial"/>
          <w:sz w:val="22"/>
          <w:szCs w:val="22"/>
        </w:rPr>
        <w:t>Floating charge holders or any secured creditor with an outstanding unsecured balance owing</w:t>
      </w:r>
      <w:r w:rsidR="006E2E26">
        <w:rPr>
          <w:rFonts w:ascii="Arial" w:hAnsi="Arial" w:cs="Arial"/>
          <w:sz w:val="22"/>
          <w:szCs w:val="22"/>
        </w:rPr>
        <w:t xml:space="preserve"> are not entitled to a distribution of the prescribed part.</w:t>
      </w:r>
    </w:p>
    <w:p w14:paraId="205537B5" w14:textId="3294D9DA" w:rsidR="00BB16C8" w:rsidRDefault="00BB16C8" w:rsidP="001C46F3">
      <w:pPr>
        <w:ind w:left="720"/>
        <w:jc w:val="both"/>
        <w:rPr>
          <w:rFonts w:ascii="Arial" w:hAnsi="Arial" w:cs="Arial"/>
          <w:sz w:val="22"/>
          <w:szCs w:val="22"/>
        </w:rPr>
      </w:pPr>
    </w:p>
    <w:p w14:paraId="13764A61" w14:textId="36D9619F" w:rsidR="006E2E26" w:rsidRDefault="006E2E26" w:rsidP="001C46F3">
      <w:pPr>
        <w:ind w:left="720"/>
        <w:jc w:val="both"/>
        <w:rPr>
          <w:rFonts w:ascii="Arial" w:hAnsi="Arial" w:cs="Arial"/>
          <w:sz w:val="22"/>
          <w:szCs w:val="22"/>
        </w:rPr>
      </w:pPr>
      <w:r>
        <w:rPr>
          <w:rFonts w:ascii="Arial" w:hAnsi="Arial" w:cs="Arial"/>
          <w:sz w:val="22"/>
          <w:szCs w:val="22"/>
        </w:rPr>
        <w:t>Unsecured creditors are the last to be paid</w:t>
      </w:r>
      <w:r w:rsidR="00954989">
        <w:rPr>
          <w:rFonts w:ascii="Arial" w:hAnsi="Arial" w:cs="Arial"/>
          <w:sz w:val="22"/>
          <w:szCs w:val="22"/>
        </w:rPr>
        <w:t xml:space="preserve"> in a liquidation</w:t>
      </w:r>
      <w:r>
        <w:rPr>
          <w:rFonts w:ascii="Arial" w:hAnsi="Arial" w:cs="Arial"/>
          <w:sz w:val="22"/>
          <w:szCs w:val="22"/>
        </w:rPr>
        <w:t xml:space="preserve">. </w:t>
      </w:r>
      <w:r w:rsidR="001C46F3">
        <w:rPr>
          <w:rFonts w:ascii="Arial" w:hAnsi="Arial" w:cs="Arial"/>
          <w:sz w:val="22"/>
          <w:szCs w:val="22"/>
        </w:rPr>
        <w:t>The unsecured nature of the debts is reflective of the rights afforded to these creditors who are often left unpaid in liquidations.</w:t>
      </w:r>
    </w:p>
    <w:p w14:paraId="3B7A6468" w14:textId="57D76B80" w:rsidR="006E2E26" w:rsidRDefault="006E2E26" w:rsidP="001C46F3">
      <w:pPr>
        <w:ind w:left="720"/>
        <w:jc w:val="both"/>
        <w:rPr>
          <w:rFonts w:ascii="Arial" w:hAnsi="Arial" w:cs="Arial"/>
          <w:sz w:val="22"/>
          <w:szCs w:val="22"/>
        </w:rPr>
      </w:pPr>
    </w:p>
    <w:p w14:paraId="7E43E47D" w14:textId="791AB39F" w:rsidR="006E2E26" w:rsidRDefault="006E2E26" w:rsidP="001C46F3">
      <w:pPr>
        <w:ind w:left="720"/>
        <w:jc w:val="both"/>
        <w:rPr>
          <w:rFonts w:ascii="Arial" w:hAnsi="Arial" w:cs="Arial"/>
          <w:sz w:val="22"/>
          <w:szCs w:val="22"/>
        </w:rPr>
      </w:pPr>
      <w:r>
        <w:rPr>
          <w:rFonts w:ascii="Arial" w:hAnsi="Arial" w:cs="Arial"/>
          <w:sz w:val="22"/>
          <w:szCs w:val="22"/>
        </w:rPr>
        <w:t xml:space="preserve">If all outstanding </w:t>
      </w:r>
      <w:r w:rsidR="00954989">
        <w:rPr>
          <w:rFonts w:ascii="Arial" w:hAnsi="Arial" w:cs="Arial"/>
          <w:sz w:val="22"/>
          <w:szCs w:val="22"/>
        </w:rPr>
        <w:t xml:space="preserve">expenses and </w:t>
      </w:r>
      <w:r>
        <w:rPr>
          <w:rFonts w:ascii="Arial" w:hAnsi="Arial" w:cs="Arial"/>
          <w:sz w:val="22"/>
          <w:szCs w:val="22"/>
        </w:rPr>
        <w:t>debts are paid, any remaining assets of the company will be distributed to shareholders in accordance with the constitution (often in proportion to their respective shareholding).</w:t>
      </w:r>
    </w:p>
    <w:p w14:paraId="37FF21F9" w14:textId="1757B960" w:rsidR="001C46F3" w:rsidRDefault="001C46F3" w:rsidP="001C46F3">
      <w:pPr>
        <w:ind w:left="720"/>
        <w:jc w:val="both"/>
        <w:rPr>
          <w:rFonts w:ascii="Arial" w:hAnsi="Arial" w:cs="Arial"/>
          <w:sz w:val="22"/>
          <w:szCs w:val="22"/>
        </w:rPr>
      </w:pPr>
    </w:p>
    <w:p w14:paraId="1D4D2CF1" w14:textId="0A9DE52B" w:rsidR="001C46F3" w:rsidRDefault="001C46F3" w:rsidP="001C46F3">
      <w:pPr>
        <w:ind w:left="720"/>
        <w:jc w:val="both"/>
        <w:rPr>
          <w:rFonts w:ascii="Arial" w:hAnsi="Arial" w:cs="Arial"/>
          <w:sz w:val="22"/>
          <w:szCs w:val="22"/>
        </w:rPr>
      </w:pPr>
      <w:r>
        <w:rPr>
          <w:rFonts w:ascii="Arial" w:hAnsi="Arial" w:cs="Arial"/>
          <w:sz w:val="22"/>
          <w:szCs w:val="22"/>
        </w:rPr>
        <w:t xml:space="preserve">The priority of payments detailed above will change if the company had been subject to a Moratorium under Part A1 of the Act during the 12 week period prior to the commencement of liquidation if the company is not rescued and enters into liquidation. </w:t>
      </w:r>
      <w:r w:rsidR="0082764B">
        <w:rPr>
          <w:rFonts w:ascii="Arial" w:hAnsi="Arial" w:cs="Arial"/>
          <w:sz w:val="22"/>
          <w:szCs w:val="22"/>
        </w:rPr>
        <w:t xml:space="preserve">Specifically, certain unpaid pre-Moratorium or Moratorium debts as set out in section 174A of the Act are paid first, in place of the expenses of the liquidation (or, super priority). However, there are exceptions which prevent accelerated debt from obtaining super priority. </w:t>
      </w:r>
    </w:p>
    <w:p w14:paraId="2DEAF0F6" w14:textId="77777777" w:rsidR="001C46F3" w:rsidRDefault="001C46F3" w:rsidP="001C46F3">
      <w:pPr>
        <w:ind w:left="720"/>
        <w:jc w:val="both"/>
        <w:rPr>
          <w:rFonts w:ascii="Arial" w:hAnsi="Arial" w:cs="Arial"/>
          <w:sz w:val="22"/>
          <w:szCs w:val="22"/>
        </w:rPr>
      </w:pPr>
    </w:p>
    <w:p w14:paraId="4B601000" w14:textId="43963808" w:rsidR="00BB16C8" w:rsidRDefault="00BB16C8" w:rsidP="00EA4FAD">
      <w:pPr>
        <w:jc w:val="both"/>
        <w:rPr>
          <w:rFonts w:ascii="Arial" w:hAnsi="Arial" w:cs="Arial"/>
          <w:sz w:val="22"/>
          <w:szCs w:val="22"/>
        </w:rPr>
      </w:pPr>
    </w:p>
    <w:p w14:paraId="74F05D79" w14:textId="77777777" w:rsidR="00954989" w:rsidRDefault="00954989" w:rsidP="00EA4FAD">
      <w:pPr>
        <w:jc w:val="both"/>
        <w:rPr>
          <w:rFonts w:ascii="Arial" w:hAnsi="Arial" w:cs="Arial"/>
          <w:sz w:val="22"/>
          <w:szCs w:val="22"/>
        </w:rPr>
      </w:pPr>
    </w:p>
    <w:p w14:paraId="12668857" w14:textId="77777777" w:rsidR="00EA4FAD" w:rsidRDefault="00EA4FAD" w:rsidP="00EA4FAD">
      <w:pPr>
        <w:jc w:val="both"/>
        <w:rPr>
          <w:rFonts w:ascii="Arial" w:hAnsi="Arial" w:cs="Arial"/>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415F80EB" w14:textId="77777777" w:rsidR="00954989" w:rsidRDefault="00954989" w:rsidP="00087F21">
      <w:pPr>
        <w:jc w:val="both"/>
        <w:rPr>
          <w:rFonts w:ascii="Avenir Next Demi Bold" w:hAnsi="Avenir Next Demi Bold" w:cs="Arial"/>
          <w:b/>
          <w:bCs/>
          <w:sz w:val="22"/>
          <w:szCs w:val="22"/>
          <w:lang w:val="en-GB"/>
        </w:rPr>
      </w:pPr>
    </w:p>
    <w:p w14:paraId="55C402CC" w14:textId="687A92D2"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lastRenderedPageBreak/>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4EFDE99D" w:rsidR="00EA3B38" w:rsidRDefault="00A57CDC" w:rsidP="00A57CDC">
      <w:pPr>
        <w:ind w:left="720"/>
        <w:jc w:val="both"/>
        <w:rPr>
          <w:rFonts w:ascii="Arial" w:hAnsi="Arial" w:cs="Arial"/>
          <w:sz w:val="22"/>
          <w:szCs w:val="22"/>
        </w:rPr>
      </w:pPr>
      <w:r w:rsidRPr="00A57CDC">
        <w:rPr>
          <w:rFonts w:ascii="Arial" w:hAnsi="Arial" w:cs="Arial"/>
          <w:sz w:val="22"/>
          <w:szCs w:val="22"/>
        </w:rPr>
        <w:t xml:space="preserve">The </w:t>
      </w:r>
      <w:r>
        <w:rPr>
          <w:rFonts w:ascii="Arial" w:hAnsi="Arial" w:cs="Arial"/>
          <w:sz w:val="22"/>
          <w:szCs w:val="22"/>
        </w:rPr>
        <w:t xml:space="preserve">floating charge in favour of </w:t>
      </w:r>
      <w:proofErr w:type="spellStart"/>
      <w:r>
        <w:rPr>
          <w:rFonts w:ascii="Arial" w:hAnsi="Arial" w:cs="Arial"/>
          <w:sz w:val="22"/>
          <w:szCs w:val="22"/>
        </w:rPr>
        <w:t>Fretus</w:t>
      </w:r>
      <w:proofErr w:type="spellEnd"/>
      <w:r>
        <w:rPr>
          <w:rFonts w:ascii="Arial" w:hAnsi="Arial" w:cs="Arial"/>
          <w:sz w:val="22"/>
          <w:szCs w:val="22"/>
        </w:rPr>
        <w:t xml:space="preserve"> Bank plc was issued in February 2022, approximately eight months before the winding up order was issued on 14 October 2022.</w:t>
      </w:r>
    </w:p>
    <w:p w14:paraId="5DF48AAE" w14:textId="4C920C72" w:rsidR="00A57CDC" w:rsidRDefault="00A57CDC" w:rsidP="00A57CDC">
      <w:pPr>
        <w:ind w:left="720"/>
        <w:jc w:val="both"/>
        <w:rPr>
          <w:rFonts w:ascii="Arial" w:hAnsi="Arial" w:cs="Arial"/>
          <w:sz w:val="22"/>
          <w:szCs w:val="22"/>
        </w:rPr>
      </w:pPr>
    </w:p>
    <w:p w14:paraId="19F45539" w14:textId="74EFD545" w:rsidR="00A57CDC" w:rsidRDefault="00A57CDC" w:rsidP="00A57CDC">
      <w:pPr>
        <w:ind w:left="720"/>
        <w:jc w:val="both"/>
        <w:rPr>
          <w:rFonts w:ascii="Arial" w:hAnsi="Arial" w:cs="Arial"/>
          <w:sz w:val="22"/>
          <w:szCs w:val="22"/>
        </w:rPr>
      </w:pPr>
      <w:r>
        <w:rPr>
          <w:rFonts w:ascii="Arial" w:hAnsi="Arial" w:cs="Arial"/>
          <w:sz w:val="22"/>
          <w:szCs w:val="22"/>
        </w:rPr>
        <w:t>The relevant time for the</w:t>
      </w:r>
      <w:r w:rsidR="00D46E53">
        <w:rPr>
          <w:rFonts w:ascii="Arial" w:hAnsi="Arial" w:cs="Arial"/>
          <w:sz w:val="22"/>
          <w:szCs w:val="22"/>
        </w:rPr>
        <w:t xml:space="preserve"> avoidance of</w:t>
      </w:r>
      <w:r>
        <w:rPr>
          <w:rFonts w:ascii="Arial" w:hAnsi="Arial" w:cs="Arial"/>
          <w:sz w:val="22"/>
          <w:szCs w:val="22"/>
        </w:rPr>
        <w:t xml:space="preserve"> preferential transactions under s 239 of the Act </w:t>
      </w:r>
      <w:r w:rsidR="00D46E53">
        <w:rPr>
          <w:rFonts w:ascii="Arial" w:hAnsi="Arial" w:cs="Arial"/>
          <w:sz w:val="22"/>
          <w:szCs w:val="22"/>
        </w:rPr>
        <w:t>is</w:t>
      </w:r>
      <w:r>
        <w:rPr>
          <w:rFonts w:ascii="Arial" w:hAnsi="Arial" w:cs="Arial"/>
          <w:sz w:val="22"/>
          <w:szCs w:val="22"/>
        </w:rPr>
        <w:t xml:space="preserve"> six months prior to the onset of insolvency if made in favour of a person not connected to the company. Given </w:t>
      </w:r>
      <w:proofErr w:type="spellStart"/>
      <w:r>
        <w:rPr>
          <w:rFonts w:ascii="Arial" w:hAnsi="Arial" w:cs="Arial"/>
          <w:sz w:val="22"/>
          <w:szCs w:val="22"/>
        </w:rPr>
        <w:t>Fretus</w:t>
      </w:r>
      <w:proofErr w:type="spellEnd"/>
      <w:r>
        <w:rPr>
          <w:rFonts w:ascii="Arial" w:hAnsi="Arial" w:cs="Arial"/>
          <w:sz w:val="22"/>
          <w:szCs w:val="22"/>
        </w:rPr>
        <w:t xml:space="preserve"> b</w:t>
      </w:r>
      <w:r w:rsidR="00D46E53">
        <w:rPr>
          <w:rFonts w:ascii="Arial" w:hAnsi="Arial" w:cs="Arial"/>
          <w:sz w:val="22"/>
          <w:szCs w:val="22"/>
        </w:rPr>
        <w:t>ank is not a person connected to the company, s 239 is may not be invoked</w:t>
      </w:r>
      <w:r w:rsidR="00AD5BBD">
        <w:rPr>
          <w:rFonts w:ascii="Arial" w:hAnsi="Arial" w:cs="Arial"/>
          <w:sz w:val="22"/>
          <w:szCs w:val="22"/>
        </w:rPr>
        <w:t xml:space="preserve"> as the transaction was issued outside the six month period</w:t>
      </w:r>
      <w:r w:rsidR="00D46E53">
        <w:rPr>
          <w:rFonts w:ascii="Arial" w:hAnsi="Arial" w:cs="Arial"/>
          <w:sz w:val="22"/>
          <w:szCs w:val="22"/>
        </w:rPr>
        <w:t xml:space="preserve">. </w:t>
      </w:r>
    </w:p>
    <w:p w14:paraId="77972660" w14:textId="0D59C5EC" w:rsidR="00D46E53" w:rsidRDefault="00D46E53" w:rsidP="00A57CDC">
      <w:pPr>
        <w:ind w:left="720"/>
        <w:jc w:val="both"/>
        <w:rPr>
          <w:rFonts w:ascii="Arial" w:hAnsi="Arial" w:cs="Arial"/>
          <w:sz w:val="22"/>
          <w:szCs w:val="22"/>
        </w:rPr>
      </w:pPr>
    </w:p>
    <w:p w14:paraId="480AB83D" w14:textId="732EB86F" w:rsidR="00D46E53" w:rsidRDefault="00D46E53" w:rsidP="00A57CDC">
      <w:pPr>
        <w:ind w:left="720"/>
        <w:jc w:val="both"/>
        <w:rPr>
          <w:rFonts w:ascii="Arial" w:hAnsi="Arial" w:cs="Arial"/>
          <w:sz w:val="22"/>
          <w:szCs w:val="22"/>
        </w:rPr>
      </w:pPr>
      <w:r>
        <w:rPr>
          <w:rFonts w:ascii="Arial" w:hAnsi="Arial" w:cs="Arial"/>
          <w:sz w:val="22"/>
          <w:szCs w:val="22"/>
        </w:rPr>
        <w:t>However, s 245 of the Act permits the avoidance of floating charges issued in favour of persons not connected to the company within 12 months</w:t>
      </w:r>
      <w:r w:rsidR="00A44837">
        <w:rPr>
          <w:rFonts w:ascii="Arial" w:hAnsi="Arial" w:cs="Arial"/>
          <w:sz w:val="22"/>
          <w:szCs w:val="22"/>
        </w:rPr>
        <w:t xml:space="preserve"> prior to the onset of insolvency</w:t>
      </w:r>
      <w:r>
        <w:rPr>
          <w:rFonts w:ascii="Arial" w:hAnsi="Arial" w:cs="Arial"/>
          <w:sz w:val="22"/>
          <w:szCs w:val="22"/>
        </w:rPr>
        <w:t>, if, at the time of creation of the charge, the company was unable to pay its debts or became unable to do so as a result of the transaction.</w:t>
      </w:r>
      <w:r w:rsidR="00A44837">
        <w:rPr>
          <w:rFonts w:ascii="Arial" w:hAnsi="Arial" w:cs="Arial"/>
          <w:sz w:val="22"/>
          <w:szCs w:val="22"/>
        </w:rPr>
        <w:t xml:space="preserve"> Given the debenture issued to </w:t>
      </w:r>
      <w:proofErr w:type="spellStart"/>
      <w:r w:rsidR="00A44837">
        <w:rPr>
          <w:rFonts w:ascii="Arial" w:hAnsi="Arial" w:cs="Arial"/>
          <w:sz w:val="22"/>
          <w:szCs w:val="22"/>
        </w:rPr>
        <w:t>Fretus</w:t>
      </w:r>
      <w:proofErr w:type="spellEnd"/>
      <w:r w:rsidR="00A44837">
        <w:rPr>
          <w:rFonts w:ascii="Arial" w:hAnsi="Arial" w:cs="Arial"/>
          <w:sz w:val="22"/>
          <w:szCs w:val="22"/>
        </w:rPr>
        <w:t xml:space="preserve"> Bank plc contained a floating charge over the whole of the Company’s undertaking and was issued within 12 months of the</w:t>
      </w:r>
      <w:r w:rsidR="009F3579">
        <w:rPr>
          <w:rFonts w:ascii="Arial" w:hAnsi="Arial" w:cs="Arial"/>
          <w:sz w:val="22"/>
          <w:szCs w:val="22"/>
        </w:rPr>
        <w:t xml:space="preserve"> winding up order being made, s </w:t>
      </w:r>
      <w:r w:rsidR="00A44837">
        <w:rPr>
          <w:rFonts w:ascii="Arial" w:hAnsi="Arial" w:cs="Arial"/>
          <w:sz w:val="22"/>
          <w:szCs w:val="22"/>
        </w:rPr>
        <w:t>245 may have some application.</w:t>
      </w:r>
    </w:p>
    <w:p w14:paraId="5954CE07" w14:textId="5631FC4E" w:rsidR="00A44837" w:rsidRDefault="00A44837" w:rsidP="00A57CDC">
      <w:pPr>
        <w:ind w:left="720"/>
        <w:jc w:val="both"/>
        <w:rPr>
          <w:rFonts w:ascii="Arial" w:hAnsi="Arial" w:cs="Arial"/>
          <w:sz w:val="22"/>
          <w:szCs w:val="22"/>
        </w:rPr>
      </w:pPr>
    </w:p>
    <w:p w14:paraId="4AE04961" w14:textId="7395CAA0" w:rsidR="00A5697B" w:rsidRDefault="00A5697B" w:rsidP="00A57CDC">
      <w:pPr>
        <w:ind w:left="720"/>
        <w:jc w:val="both"/>
        <w:rPr>
          <w:rFonts w:ascii="Arial" w:hAnsi="Arial" w:cs="Arial"/>
          <w:sz w:val="22"/>
          <w:szCs w:val="22"/>
        </w:rPr>
      </w:pPr>
      <w:r>
        <w:rPr>
          <w:rFonts w:ascii="Arial" w:hAnsi="Arial" w:cs="Arial"/>
          <w:sz w:val="22"/>
          <w:szCs w:val="22"/>
        </w:rPr>
        <w:t xml:space="preserve">As noted, it is necessary to determine whether the floating charge was issued at a time </w:t>
      </w:r>
      <w:r>
        <w:rPr>
          <w:rFonts w:ascii="Arial" w:hAnsi="Arial" w:cs="Arial"/>
          <w:sz w:val="22"/>
          <w:szCs w:val="22"/>
        </w:rPr>
        <w:t xml:space="preserve">the company was unable to pay its debts </w:t>
      </w:r>
      <w:r w:rsidR="00CE420A">
        <w:rPr>
          <w:rFonts w:ascii="Arial" w:hAnsi="Arial" w:cs="Arial"/>
          <w:sz w:val="22"/>
          <w:szCs w:val="22"/>
        </w:rPr>
        <w:t xml:space="preserve">(as defined in s 123 of the Act) </w:t>
      </w:r>
      <w:r>
        <w:rPr>
          <w:rFonts w:ascii="Arial" w:hAnsi="Arial" w:cs="Arial"/>
          <w:sz w:val="22"/>
          <w:szCs w:val="22"/>
        </w:rPr>
        <w:t>or</w:t>
      </w:r>
      <w:r w:rsidR="00CE420A">
        <w:rPr>
          <w:rFonts w:ascii="Arial" w:hAnsi="Arial" w:cs="Arial"/>
          <w:sz w:val="22"/>
          <w:szCs w:val="22"/>
        </w:rPr>
        <w:t xml:space="preserve"> that the company</w:t>
      </w:r>
      <w:r>
        <w:rPr>
          <w:rFonts w:ascii="Arial" w:hAnsi="Arial" w:cs="Arial"/>
          <w:sz w:val="22"/>
          <w:szCs w:val="22"/>
        </w:rPr>
        <w:t xml:space="preserve"> became unable to do so as a result of the transaction</w:t>
      </w:r>
      <w:r>
        <w:rPr>
          <w:rFonts w:ascii="Arial" w:hAnsi="Arial" w:cs="Arial"/>
          <w:sz w:val="22"/>
          <w:szCs w:val="22"/>
        </w:rPr>
        <w:t>. The debenture was created under pressure and in order to prevent the bank</w:t>
      </w:r>
      <w:r w:rsidRPr="00A5697B">
        <w:rPr>
          <w:rFonts w:ascii="Arial" w:hAnsi="Arial" w:cs="Arial"/>
          <w:sz w:val="22"/>
          <w:szCs w:val="22"/>
        </w:rPr>
        <w:t xml:space="preserve"> from demanding repayment</w:t>
      </w:r>
      <w:r>
        <w:rPr>
          <w:rFonts w:ascii="Arial" w:hAnsi="Arial" w:cs="Arial"/>
          <w:sz w:val="22"/>
          <w:szCs w:val="22"/>
        </w:rPr>
        <w:t xml:space="preserve"> of its loans. Section 123(e) of the Act deals with cash flow insolvency and is interpreted by the court to include debts which will become due in the reasonably near future. In the circumstances of this case, it is likely that the company was unable to pay its debts </w:t>
      </w:r>
      <w:r>
        <w:rPr>
          <w:rFonts w:ascii="Arial" w:hAnsi="Arial" w:cs="Arial"/>
          <w:sz w:val="22"/>
          <w:szCs w:val="22"/>
        </w:rPr>
        <w:lastRenderedPageBreak/>
        <w:t>at the time that the debenture was created, such that</w:t>
      </w:r>
      <w:r w:rsidR="00CE420A">
        <w:rPr>
          <w:rFonts w:ascii="Arial" w:hAnsi="Arial" w:cs="Arial"/>
          <w:sz w:val="22"/>
          <w:szCs w:val="22"/>
        </w:rPr>
        <w:t xml:space="preserve"> the criteria of</w:t>
      </w:r>
      <w:r>
        <w:rPr>
          <w:rFonts w:ascii="Arial" w:hAnsi="Arial" w:cs="Arial"/>
          <w:sz w:val="22"/>
          <w:szCs w:val="22"/>
        </w:rPr>
        <w:t xml:space="preserve"> s</w:t>
      </w:r>
      <w:r w:rsidR="00CE420A">
        <w:rPr>
          <w:rFonts w:ascii="Arial" w:hAnsi="Arial" w:cs="Arial"/>
          <w:sz w:val="22"/>
          <w:szCs w:val="22"/>
        </w:rPr>
        <w:t xml:space="preserve"> 245 of the Act are met. </w:t>
      </w:r>
    </w:p>
    <w:p w14:paraId="548B49F8" w14:textId="678F9626" w:rsidR="00CE420A" w:rsidRDefault="00CE420A" w:rsidP="00A57CDC">
      <w:pPr>
        <w:ind w:left="720"/>
        <w:jc w:val="both"/>
        <w:rPr>
          <w:rFonts w:ascii="Arial" w:hAnsi="Arial" w:cs="Arial"/>
          <w:sz w:val="22"/>
          <w:szCs w:val="22"/>
        </w:rPr>
      </w:pPr>
    </w:p>
    <w:p w14:paraId="72822278" w14:textId="4EF51005" w:rsidR="00D46E53" w:rsidRDefault="00CE420A" w:rsidP="009F3579">
      <w:pPr>
        <w:ind w:left="720"/>
        <w:jc w:val="both"/>
        <w:rPr>
          <w:rFonts w:ascii="Arial" w:hAnsi="Arial" w:cs="Arial"/>
          <w:sz w:val="22"/>
          <w:szCs w:val="22"/>
        </w:rPr>
      </w:pPr>
      <w:r>
        <w:rPr>
          <w:rFonts w:ascii="Arial" w:hAnsi="Arial" w:cs="Arial"/>
          <w:sz w:val="22"/>
          <w:szCs w:val="22"/>
        </w:rPr>
        <w:t xml:space="preserve">It is necessary to consider whether the new consideration exceptions apply which would render the floating charge valid.  As the </w:t>
      </w:r>
      <w:r w:rsidR="009F3579">
        <w:rPr>
          <w:rFonts w:ascii="Arial" w:hAnsi="Arial" w:cs="Arial"/>
          <w:sz w:val="22"/>
          <w:szCs w:val="22"/>
        </w:rPr>
        <w:t>floating charge did not involve the provision of money paid or goods or services supplied as consideration by the bank as at the time of or after the creation of the charge, the first exception will not apply. Similarly, the value of the consideration provided by the bank did not consist of the discharge or reduction of debt at the same time or after the creation of the charge. Accordingly, neither of the new consideration exceptions apply.</w:t>
      </w:r>
    </w:p>
    <w:p w14:paraId="323DBD01" w14:textId="77777777" w:rsidR="00D46E53" w:rsidRDefault="00D46E53" w:rsidP="00A57CDC">
      <w:pPr>
        <w:ind w:left="720"/>
        <w:jc w:val="both"/>
        <w:rPr>
          <w:rFonts w:ascii="Arial" w:hAnsi="Arial" w:cs="Arial"/>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B9D1E82" w14:textId="610AE37F" w:rsidR="00754B75" w:rsidRDefault="00754B75" w:rsidP="00AD5BBD">
      <w:pPr>
        <w:ind w:left="720"/>
        <w:jc w:val="both"/>
        <w:rPr>
          <w:rFonts w:ascii="Arial" w:hAnsi="Arial" w:cs="Arial"/>
          <w:sz w:val="22"/>
          <w:szCs w:val="22"/>
          <w:u w:val="single"/>
        </w:rPr>
      </w:pPr>
      <w:r w:rsidRPr="00754B75">
        <w:rPr>
          <w:rFonts w:ascii="Arial" w:hAnsi="Arial" w:cs="Arial"/>
          <w:sz w:val="22"/>
          <w:szCs w:val="22"/>
          <w:u w:val="single"/>
        </w:rPr>
        <w:t>Section 238</w:t>
      </w:r>
    </w:p>
    <w:p w14:paraId="79C65A06" w14:textId="77777777" w:rsidR="00754B75" w:rsidRPr="00754B75" w:rsidRDefault="00754B75" w:rsidP="00AD5BBD">
      <w:pPr>
        <w:ind w:left="720"/>
        <w:jc w:val="both"/>
        <w:rPr>
          <w:rFonts w:ascii="Arial" w:hAnsi="Arial" w:cs="Arial"/>
          <w:sz w:val="22"/>
          <w:szCs w:val="22"/>
          <w:u w:val="single"/>
        </w:rPr>
      </w:pPr>
    </w:p>
    <w:p w14:paraId="2ED55418" w14:textId="73E1BCFF" w:rsidR="00CB72DD" w:rsidRDefault="00CB72DD" w:rsidP="00AD5BBD">
      <w:pPr>
        <w:ind w:left="720"/>
        <w:jc w:val="both"/>
        <w:rPr>
          <w:rFonts w:ascii="Arial" w:hAnsi="Arial" w:cs="Arial"/>
          <w:sz w:val="22"/>
          <w:szCs w:val="22"/>
        </w:rPr>
      </w:pPr>
      <w:r>
        <w:rPr>
          <w:rFonts w:ascii="Arial" w:hAnsi="Arial" w:cs="Arial"/>
          <w:sz w:val="22"/>
          <w:szCs w:val="22"/>
        </w:rPr>
        <w:t>The sale of the marble cutting machines may be attacked under s 238 of the Act as an undervalue transaction. In the circumstances, the liquidator may be able to show that the company entered into a transaction (sale of the cutting machines) with another person (Rita Perkins) which was at the date of the transaction, significantly less the value of the consideration provided. Given the machines were bought for GBP 25,000 and sold to Rita Perkins a year later, the value of the machines seems to be significantly greater than the consideration paid to the company.</w:t>
      </w:r>
    </w:p>
    <w:p w14:paraId="65845A41" w14:textId="793BACC3" w:rsidR="00CB72DD" w:rsidRDefault="00CB72DD" w:rsidP="00AD5BBD">
      <w:pPr>
        <w:ind w:left="720"/>
        <w:jc w:val="both"/>
        <w:rPr>
          <w:rFonts w:ascii="Arial" w:hAnsi="Arial" w:cs="Arial"/>
          <w:sz w:val="22"/>
          <w:szCs w:val="22"/>
        </w:rPr>
      </w:pPr>
    </w:p>
    <w:p w14:paraId="015F9F8B" w14:textId="2C4AA341" w:rsidR="00CB72DD" w:rsidRDefault="00754B75" w:rsidP="00AD5BBD">
      <w:pPr>
        <w:ind w:left="720"/>
        <w:jc w:val="both"/>
        <w:rPr>
          <w:rFonts w:ascii="Arial" w:hAnsi="Arial" w:cs="Arial"/>
          <w:sz w:val="22"/>
          <w:szCs w:val="22"/>
        </w:rPr>
      </w:pPr>
      <w:r>
        <w:rPr>
          <w:rFonts w:ascii="Arial" w:hAnsi="Arial" w:cs="Arial"/>
          <w:sz w:val="22"/>
          <w:szCs w:val="22"/>
        </w:rPr>
        <w:t xml:space="preserve">It is necessary to show that, as at the date of the transaction, </w:t>
      </w:r>
      <w:proofErr w:type="spellStart"/>
      <w:r>
        <w:rPr>
          <w:rFonts w:ascii="Arial" w:hAnsi="Arial" w:cs="Arial"/>
          <w:sz w:val="22"/>
          <w:szCs w:val="22"/>
        </w:rPr>
        <w:t>the</w:t>
      </w:r>
      <w:proofErr w:type="spellEnd"/>
      <w:r>
        <w:rPr>
          <w:rFonts w:ascii="Arial" w:hAnsi="Arial" w:cs="Arial"/>
          <w:sz w:val="22"/>
          <w:szCs w:val="22"/>
        </w:rPr>
        <w:t xml:space="preserve"> Company was unable to pay its debts as they fell due, or became unable to do so as a result of the transaction. </w:t>
      </w:r>
      <w:r w:rsidR="00CB72DD">
        <w:rPr>
          <w:rFonts w:ascii="Arial" w:hAnsi="Arial" w:cs="Arial"/>
          <w:sz w:val="22"/>
          <w:szCs w:val="22"/>
        </w:rPr>
        <w:t>As the sale was to a Rita Perkins, who is a connected person, it is presumed th</w:t>
      </w:r>
      <w:r>
        <w:rPr>
          <w:rFonts w:ascii="Arial" w:hAnsi="Arial" w:cs="Arial"/>
          <w:sz w:val="22"/>
          <w:szCs w:val="22"/>
        </w:rPr>
        <w:t>at the company was insolvent.</w:t>
      </w:r>
    </w:p>
    <w:p w14:paraId="4665C576" w14:textId="5338B058" w:rsidR="00754B75" w:rsidRDefault="00754B75" w:rsidP="00AD5BBD">
      <w:pPr>
        <w:ind w:left="720"/>
        <w:jc w:val="both"/>
        <w:rPr>
          <w:rFonts w:ascii="Arial" w:hAnsi="Arial" w:cs="Arial"/>
          <w:sz w:val="22"/>
          <w:szCs w:val="22"/>
        </w:rPr>
      </w:pPr>
    </w:p>
    <w:p w14:paraId="40D1F696" w14:textId="7589D861" w:rsidR="00754B75" w:rsidRDefault="00754B75" w:rsidP="00AD5BBD">
      <w:pPr>
        <w:ind w:left="720"/>
        <w:jc w:val="both"/>
        <w:rPr>
          <w:rFonts w:ascii="Arial" w:hAnsi="Arial" w:cs="Arial"/>
          <w:sz w:val="22"/>
          <w:szCs w:val="22"/>
        </w:rPr>
      </w:pPr>
      <w:r>
        <w:rPr>
          <w:rFonts w:ascii="Arial" w:hAnsi="Arial" w:cs="Arial"/>
          <w:sz w:val="22"/>
          <w:szCs w:val="22"/>
        </w:rPr>
        <w:t>It is also a requirement that the transaction took place at a relevant time, which is two years prior to the commencement of the liquidation. This temporal requirement is satisfied g</w:t>
      </w:r>
      <w:r>
        <w:rPr>
          <w:rFonts w:ascii="Arial" w:hAnsi="Arial" w:cs="Arial"/>
          <w:sz w:val="22"/>
          <w:szCs w:val="22"/>
        </w:rPr>
        <w:t>iven the sale occurred approximately three months before the winding up order was made</w:t>
      </w:r>
      <w:r>
        <w:rPr>
          <w:rFonts w:ascii="Arial" w:hAnsi="Arial" w:cs="Arial"/>
          <w:sz w:val="22"/>
          <w:szCs w:val="22"/>
        </w:rPr>
        <w:t xml:space="preserve">. </w:t>
      </w:r>
    </w:p>
    <w:p w14:paraId="322BFE4F" w14:textId="59774C07" w:rsidR="00CB72DD" w:rsidRDefault="00CB72DD" w:rsidP="00754B75">
      <w:pPr>
        <w:jc w:val="both"/>
        <w:rPr>
          <w:rFonts w:ascii="Arial" w:hAnsi="Arial" w:cs="Arial"/>
          <w:sz w:val="22"/>
          <w:szCs w:val="22"/>
        </w:rPr>
      </w:pPr>
    </w:p>
    <w:p w14:paraId="6FF6AEB8" w14:textId="54BDDEAD" w:rsidR="00754B75" w:rsidRPr="00754B75" w:rsidRDefault="00754B75" w:rsidP="00AD5BBD">
      <w:pPr>
        <w:ind w:left="720"/>
        <w:jc w:val="both"/>
        <w:rPr>
          <w:rFonts w:ascii="Arial" w:hAnsi="Arial" w:cs="Arial"/>
          <w:sz w:val="22"/>
          <w:szCs w:val="22"/>
          <w:u w:val="single"/>
        </w:rPr>
      </w:pPr>
      <w:r w:rsidRPr="00754B75">
        <w:rPr>
          <w:rFonts w:ascii="Arial" w:hAnsi="Arial" w:cs="Arial"/>
          <w:sz w:val="22"/>
          <w:szCs w:val="22"/>
          <w:u w:val="single"/>
        </w:rPr>
        <w:t>Section 239</w:t>
      </w:r>
    </w:p>
    <w:p w14:paraId="55B66AD8" w14:textId="77777777" w:rsidR="00754B75" w:rsidRDefault="00754B75" w:rsidP="00AD5BBD">
      <w:pPr>
        <w:ind w:left="720"/>
        <w:jc w:val="both"/>
        <w:rPr>
          <w:rFonts w:ascii="Arial" w:hAnsi="Arial" w:cs="Arial"/>
          <w:sz w:val="22"/>
          <w:szCs w:val="22"/>
        </w:rPr>
      </w:pPr>
    </w:p>
    <w:p w14:paraId="2F269357" w14:textId="6448BE39" w:rsidR="00847614" w:rsidRDefault="00AB6272" w:rsidP="00AD5BBD">
      <w:pPr>
        <w:ind w:left="720"/>
        <w:jc w:val="both"/>
        <w:rPr>
          <w:rFonts w:ascii="Arial" w:hAnsi="Arial" w:cs="Arial"/>
          <w:sz w:val="22"/>
          <w:szCs w:val="22"/>
        </w:rPr>
      </w:pPr>
      <w:r>
        <w:rPr>
          <w:rFonts w:ascii="Arial" w:hAnsi="Arial" w:cs="Arial"/>
          <w:sz w:val="22"/>
          <w:szCs w:val="22"/>
        </w:rPr>
        <w:t xml:space="preserve">The transaction may </w:t>
      </w:r>
      <w:r w:rsidR="00754B75">
        <w:rPr>
          <w:rFonts w:ascii="Arial" w:hAnsi="Arial" w:cs="Arial"/>
          <w:sz w:val="22"/>
          <w:szCs w:val="22"/>
        </w:rPr>
        <w:t xml:space="preserve">also </w:t>
      </w:r>
      <w:r>
        <w:rPr>
          <w:rFonts w:ascii="Arial" w:hAnsi="Arial" w:cs="Arial"/>
          <w:sz w:val="22"/>
          <w:szCs w:val="22"/>
        </w:rPr>
        <w:t xml:space="preserve">be preferential such that it a can be avoided under s 239 of the Act. </w:t>
      </w:r>
      <w:r w:rsidR="00847614">
        <w:rPr>
          <w:rFonts w:ascii="Arial" w:hAnsi="Arial" w:cs="Arial"/>
          <w:sz w:val="22"/>
          <w:szCs w:val="22"/>
        </w:rPr>
        <w:t xml:space="preserve">There are a number of requirements that must be satisfied in order to make a successful application under s 239. As Rita Perkins is a director of the company, and as such, is a connected person, Rita will have the evidential burden of proof when the requirements are considered by the court. </w:t>
      </w:r>
    </w:p>
    <w:p w14:paraId="4D9F3E71" w14:textId="3F83335D" w:rsidR="00AB6272" w:rsidRDefault="00AB6272" w:rsidP="00AD5BBD">
      <w:pPr>
        <w:ind w:left="720"/>
        <w:jc w:val="both"/>
        <w:rPr>
          <w:rFonts w:ascii="Arial" w:hAnsi="Arial" w:cs="Arial"/>
          <w:sz w:val="22"/>
          <w:szCs w:val="22"/>
        </w:rPr>
      </w:pPr>
    </w:p>
    <w:p w14:paraId="27565605" w14:textId="357D133D" w:rsidR="00AB6272" w:rsidRDefault="00AB6272" w:rsidP="00AD5BBD">
      <w:pPr>
        <w:ind w:left="720"/>
        <w:jc w:val="both"/>
        <w:rPr>
          <w:rFonts w:ascii="Arial" w:hAnsi="Arial" w:cs="Arial"/>
          <w:sz w:val="22"/>
          <w:szCs w:val="22"/>
        </w:rPr>
      </w:pPr>
      <w:r>
        <w:rPr>
          <w:rFonts w:ascii="Arial" w:hAnsi="Arial" w:cs="Arial"/>
          <w:sz w:val="22"/>
          <w:szCs w:val="22"/>
        </w:rPr>
        <w:t xml:space="preserve">In order to satisfy the first requirement of s 239, it is necessary to show that the preferred person was a creditor, surety, or guarantor for any of the company’s debts or liabilities at the time of the transaction. </w:t>
      </w:r>
      <w:r w:rsidR="00AB4931">
        <w:rPr>
          <w:rFonts w:ascii="Arial" w:hAnsi="Arial" w:cs="Arial"/>
          <w:sz w:val="22"/>
          <w:szCs w:val="22"/>
        </w:rPr>
        <w:t xml:space="preserve">Further information is required to determine whether </w:t>
      </w:r>
      <w:r w:rsidR="00AB4931" w:rsidRPr="00AB4931">
        <w:rPr>
          <w:rFonts w:ascii="Arial" w:hAnsi="Arial" w:cs="Arial"/>
          <w:sz w:val="22"/>
          <w:szCs w:val="22"/>
        </w:rPr>
        <w:t>Rita Perkins</w:t>
      </w:r>
      <w:r w:rsidR="00AB4931">
        <w:rPr>
          <w:rFonts w:ascii="Arial" w:hAnsi="Arial" w:cs="Arial"/>
          <w:sz w:val="22"/>
          <w:szCs w:val="22"/>
        </w:rPr>
        <w:t xml:space="preserve"> is a creditor, surety or guarantor</w:t>
      </w:r>
      <w:r w:rsidR="00F15D5B">
        <w:rPr>
          <w:rFonts w:ascii="Arial" w:hAnsi="Arial" w:cs="Arial"/>
          <w:sz w:val="22"/>
          <w:szCs w:val="22"/>
        </w:rPr>
        <w:t xml:space="preserve"> of the Company</w:t>
      </w:r>
      <w:r w:rsidR="00AB4931">
        <w:rPr>
          <w:rFonts w:ascii="Arial" w:hAnsi="Arial" w:cs="Arial"/>
          <w:sz w:val="22"/>
          <w:szCs w:val="22"/>
        </w:rPr>
        <w:t>.</w:t>
      </w:r>
    </w:p>
    <w:p w14:paraId="1A57E41A" w14:textId="619157C0" w:rsidR="00F15D5B" w:rsidRDefault="00F15D5B" w:rsidP="00AD5BBD">
      <w:pPr>
        <w:ind w:left="720"/>
        <w:jc w:val="both"/>
        <w:rPr>
          <w:rFonts w:ascii="Arial" w:hAnsi="Arial" w:cs="Arial"/>
          <w:sz w:val="22"/>
          <w:szCs w:val="22"/>
        </w:rPr>
      </w:pPr>
    </w:p>
    <w:p w14:paraId="1FE05437" w14:textId="7F26FADE" w:rsidR="00F15D5B" w:rsidRDefault="00F15D5B" w:rsidP="00AD5BBD">
      <w:pPr>
        <w:ind w:left="720"/>
        <w:jc w:val="both"/>
        <w:rPr>
          <w:rFonts w:ascii="Arial" w:hAnsi="Arial" w:cs="Arial"/>
          <w:sz w:val="22"/>
          <w:szCs w:val="22"/>
        </w:rPr>
      </w:pPr>
      <w:r>
        <w:rPr>
          <w:rFonts w:ascii="Arial" w:hAnsi="Arial" w:cs="Arial"/>
          <w:sz w:val="22"/>
          <w:szCs w:val="22"/>
        </w:rPr>
        <w:t>It is also necessary to show that the transaction had the effect of putting the person in a better position than the</w:t>
      </w:r>
      <w:r w:rsidR="00847614">
        <w:rPr>
          <w:rFonts w:ascii="Arial" w:hAnsi="Arial" w:cs="Arial"/>
          <w:sz w:val="22"/>
          <w:szCs w:val="22"/>
        </w:rPr>
        <w:t>y would have otherwise been in,</w:t>
      </w:r>
      <w:r>
        <w:rPr>
          <w:rFonts w:ascii="Arial" w:hAnsi="Arial" w:cs="Arial"/>
          <w:sz w:val="22"/>
          <w:szCs w:val="22"/>
        </w:rPr>
        <w:t xml:space="preserve"> </w:t>
      </w:r>
      <w:r w:rsidR="00847614">
        <w:rPr>
          <w:rFonts w:ascii="Arial" w:hAnsi="Arial" w:cs="Arial"/>
          <w:sz w:val="22"/>
          <w:szCs w:val="22"/>
        </w:rPr>
        <w:t>had the transaction not occurred. Given the t</w:t>
      </w:r>
      <w:r w:rsidR="009C4DEA">
        <w:rPr>
          <w:rFonts w:ascii="Arial" w:hAnsi="Arial" w:cs="Arial"/>
          <w:sz w:val="22"/>
          <w:szCs w:val="22"/>
        </w:rPr>
        <w:t>ransaction has the effect of placing assets outside of the company’s control, and into Rita Perkins’ possession, and that the cutting machines were sold at what is ostensibly undervalued, it is likely the court will determine that Rita Perkins has been preferred.</w:t>
      </w:r>
    </w:p>
    <w:p w14:paraId="245DD814" w14:textId="71573130" w:rsidR="00AB6272" w:rsidRDefault="00AB6272" w:rsidP="00AD5BBD">
      <w:pPr>
        <w:ind w:left="720"/>
        <w:jc w:val="both"/>
        <w:rPr>
          <w:rFonts w:ascii="Arial" w:hAnsi="Arial" w:cs="Arial"/>
          <w:sz w:val="22"/>
          <w:szCs w:val="22"/>
        </w:rPr>
      </w:pPr>
    </w:p>
    <w:p w14:paraId="3906F474" w14:textId="0B4A1C1F" w:rsidR="009C4DEA" w:rsidRDefault="009C4DEA" w:rsidP="00AD5BBD">
      <w:pPr>
        <w:ind w:left="720"/>
        <w:jc w:val="both"/>
        <w:rPr>
          <w:rFonts w:ascii="Arial" w:hAnsi="Arial" w:cs="Arial"/>
          <w:sz w:val="22"/>
          <w:szCs w:val="22"/>
        </w:rPr>
      </w:pPr>
      <w:r>
        <w:rPr>
          <w:rFonts w:ascii="Arial" w:hAnsi="Arial" w:cs="Arial"/>
          <w:sz w:val="22"/>
          <w:szCs w:val="22"/>
        </w:rPr>
        <w:t>The third requirement of s 239 is that the company was influenced by a desire to produce the effect referred to above in relation to Rita Perkins. D</w:t>
      </w:r>
      <w:r w:rsidR="00CB72DD">
        <w:rPr>
          <w:rFonts w:ascii="Arial" w:hAnsi="Arial" w:cs="Arial"/>
          <w:sz w:val="22"/>
          <w:szCs w:val="22"/>
        </w:rPr>
        <w:t>esire to prefer is a subjective concept. Further, as Rita Perkins is a connected person, there is a presumption that desire to prefer exists, unless proven to the contrary.</w:t>
      </w:r>
    </w:p>
    <w:p w14:paraId="73B33856" w14:textId="77777777" w:rsidR="00AB6272" w:rsidRDefault="00AB6272" w:rsidP="00AD5BBD">
      <w:pPr>
        <w:ind w:left="720"/>
        <w:jc w:val="both"/>
        <w:rPr>
          <w:rFonts w:ascii="Arial" w:hAnsi="Arial" w:cs="Arial"/>
          <w:sz w:val="22"/>
          <w:szCs w:val="22"/>
        </w:rPr>
      </w:pPr>
    </w:p>
    <w:p w14:paraId="07962D63" w14:textId="034D6803" w:rsidR="00EA3B38" w:rsidRDefault="00CB72DD" w:rsidP="00AD5BBD">
      <w:pPr>
        <w:ind w:left="720"/>
        <w:jc w:val="both"/>
        <w:rPr>
          <w:rFonts w:ascii="Arial" w:hAnsi="Arial" w:cs="Arial"/>
          <w:sz w:val="22"/>
          <w:szCs w:val="22"/>
        </w:rPr>
      </w:pPr>
      <w:r>
        <w:rPr>
          <w:rFonts w:ascii="Arial" w:hAnsi="Arial" w:cs="Arial"/>
          <w:sz w:val="22"/>
          <w:szCs w:val="22"/>
        </w:rPr>
        <w:t xml:space="preserve">The final requirement is that the preference was given at a relevant time. </w:t>
      </w:r>
      <w:r w:rsidR="00AD5BBD">
        <w:rPr>
          <w:rFonts w:ascii="Arial" w:hAnsi="Arial" w:cs="Arial"/>
          <w:sz w:val="22"/>
          <w:szCs w:val="22"/>
        </w:rPr>
        <w:t>As the sale of the marble cutting machines was made to a director of the company, being a connected person, t</w:t>
      </w:r>
      <w:r w:rsidR="00AD5BBD">
        <w:rPr>
          <w:rFonts w:ascii="Arial" w:hAnsi="Arial" w:cs="Arial"/>
          <w:sz w:val="22"/>
          <w:szCs w:val="22"/>
        </w:rPr>
        <w:t>he relevant time for the avoidance of preferential transactions under s 239 of the Act is</w:t>
      </w:r>
      <w:r w:rsidR="00AB6272">
        <w:rPr>
          <w:rFonts w:ascii="Arial" w:hAnsi="Arial" w:cs="Arial"/>
          <w:sz w:val="22"/>
          <w:szCs w:val="22"/>
        </w:rPr>
        <w:t xml:space="preserve"> two years in order to be actionable. Given the sale occurred approximately three months before the winding up order was made, the transaction is within the actionable period imposed by s 239.</w:t>
      </w:r>
    </w:p>
    <w:p w14:paraId="21968622" w14:textId="7F0361D8" w:rsidR="00AB6272" w:rsidRDefault="00AB6272" w:rsidP="00AD5BBD">
      <w:pPr>
        <w:ind w:left="720"/>
        <w:jc w:val="both"/>
        <w:rPr>
          <w:rFonts w:ascii="Arial" w:hAnsi="Arial" w:cs="Arial"/>
          <w:sz w:val="22"/>
          <w:szCs w:val="22"/>
        </w:rPr>
      </w:pP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1602D19A" w:rsidR="009452DF" w:rsidRDefault="008A4031" w:rsidP="008A4031">
      <w:pPr>
        <w:ind w:left="720"/>
        <w:jc w:val="both"/>
        <w:rPr>
          <w:rFonts w:ascii="Arial" w:hAnsi="Arial" w:cs="Arial"/>
          <w:sz w:val="22"/>
          <w:szCs w:val="22"/>
        </w:rPr>
      </w:pPr>
      <w:r w:rsidRPr="008A4031">
        <w:rPr>
          <w:rFonts w:ascii="Arial" w:hAnsi="Arial" w:cs="Arial"/>
          <w:sz w:val="22"/>
          <w:szCs w:val="22"/>
        </w:rPr>
        <w:t xml:space="preserve">The </w:t>
      </w:r>
      <w:r>
        <w:rPr>
          <w:rFonts w:ascii="Arial" w:hAnsi="Arial" w:cs="Arial"/>
          <w:sz w:val="22"/>
          <w:szCs w:val="22"/>
        </w:rPr>
        <w:t>payments to Hard and Fast Ltd might also be considered as preferential under s 239 of the Act. With respect to the four requirements detailed above:</w:t>
      </w:r>
    </w:p>
    <w:p w14:paraId="6E2DDCED" w14:textId="29D3B60E" w:rsidR="00AA1937" w:rsidRDefault="00AA1937" w:rsidP="00AA1937">
      <w:pPr>
        <w:pStyle w:val="ListParagraph"/>
        <w:ind w:left="1440"/>
        <w:jc w:val="both"/>
        <w:rPr>
          <w:rFonts w:ascii="Arial" w:hAnsi="Arial" w:cs="Arial"/>
          <w:sz w:val="22"/>
          <w:szCs w:val="22"/>
        </w:rPr>
      </w:pPr>
    </w:p>
    <w:p w14:paraId="052FB1A7" w14:textId="783EBEE1" w:rsidR="008A4031" w:rsidRDefault="00AA1937" w:rsidP="008A4031">
      <w:pPr>
        <w:pStyle w:val="ListParagraph"/>
        <w:numPr>
          <w:ilvl w:val="0"/>
          <w:numId w:val="21"/>
        </w:numPr>
        <w:jc w:val="both"/>
        <w:rPr>
          <w:rFonts w:ascii="Arial" w:hAnsi="Arial" w:cs="Arial"/>
          <w:sz w:val="22"/>
          <w:szCs w:val="22"/>
        </w:rPr>
      </w:pPr>
      <w:r>
        <w:rPr>
          <w:rFonts w:ascii="Arial" w:hAnsi="Arial" w:cs="Arial"/>
          <w:sz w:val="22"/>
          <w:szCs w:val="22"/>
        </w:rPr>
        <w:t>Hard and Fast Ltd was a creditor at the time of the transaction.</w:t>
      </w:r>
    </w:p>
    <w:p w14:paraId="5B3E7F28" w14:textId="2B7C6D54" w:rsidR="00AA1937" w:rsidRDefault="00AA1937" w:rsidP="008A4031">
      <w:pPr>
        <w:pStyle w:val="ListParagraph"/>
        <w:numPr>
          <w:ilvl w:val="0"/>
          <w:numId w:val="21"/>
        </w:numPr>
        <w:jc w:val="both"/>
        <w:rPr>
          <w:rFonts w:ascii="Arial" w:hAnsi="Arial" w:cs="Arial"/>
          <w:sz w:val="22"/>
          <w:szCs w:val="22"/>
        </w:rPr>
      </w:pPr>
      <w:r>
        <w:rPr>
          <w:rFonts w:ascii="Arial" w:hAnsi="Arial" w:cs="Arial"/>
          <w:sz w:val="22"/>
          <w:szCs w:val="22"/>
        </w:rPr>
        <w:t>The payments likely put Hard and Fast Ltd in a better place than it would have otherwise been in;</w:t>
      </w:r>
    </w:p>
    <w:p w14:paraId="5F7AF51F" w14:textId="6AADCDBC" w:rsidR="00AA1937" w:rsidRDefault="00AA1937" w:rsidP="008A4031">
      <w:pPr>
        <w:pStyle w:val="ListParagraph"/>
        <w:numPr>
          <w:ilvl w:val="0"/>
          <w:numId w:val="21"/>
        </w:numPr>
        <w:jc w:val="both"/>
        <w:rPr>
          <w:rFonts w:ascii="Arial" w:hAnsi="Arial" w:cs="Arial"/>
          <w:sz w:val="22"/>
          <w:szCs w:val="22"/>
        </w:rPr>
      </w:pPr>
      <w:r>
        <w:rPr>
          <w:rFonts w:ascii="Arial" w:hAnsi="Arial" w:cs="Arial"/>
          <w:sz w:val="22"/>
          <w:szCs w:val="22"/>
        </w:rPr>
        <w:t xml:space="preserve">The company may have been influenced by a desire to prefer Hard and Fast Ltd. However, proving desire, a subjective concept, may be difficult in circumstances where the Company deemed Hard and Fast </w:t>
      </w:r>
      <w:proofErr w:type="spellStart"/>
      <w:r>
        <w:rPr>
          <w:rFonts w:ascii="Arial" w:hAnsi="Arial" w:cs="Arial"/>
          <w:sz w:val="22"/>
          <w:szCs w:val="22"/>
        </w:rPr>
        <w:t>Ltd’s</w:t>
      </w:r>
      <w:proofErr w:type="spellEnd"/>
      <w:r>
        <w:rPr>
          <w:rFonts w:ascii="Arial" w:hAnsi="Arial" w:cs="Arial"/>
          <w:sz w:val="22"/>
          <w:szCs w:val="22"/>
        </w:rPr>
        <w:t xml:space="preserve"> supply of marble as essential. Parallels may be drawn with the case of Re MC Bacon Ltd [1990] BCC 78 where the court determined that dependence on bank support to continue trading was held to be motivated by a desire to avoid the calling in of the overdraft and continuation of trading by the company.</w:t>
      </w:r>
    </w:p>
    <w:p w14:paraId="28BA8342" w14:textId="68AA78DE" w:rsidR="00AA1937" w:rsidRPr="008A4031" w:rsidRDefault="00AA1937" w:rsidP="008A4031">
      <w:pPr>
        <w:pStyle w:val="ListParagraph"/>
        <w:numPr>
          <w:ilvl w:val="0"/>
          <w:numId w:val="21"/>
        </w:numPr>
        <w:jc w:val="both"/>
        <w:rPr>
          <w:rFonts w:ascii="Arial" w:hAnsi="Arial" w:cs="Arial"/>
          <w:sz w:val="22"/>
          <w:szCs w:val="22"/>
        </w:rPr>
      </w:pPr>
      <w:r>
        <w:rPr>
          <w:rFonts w:ascii="Arial" w:hAnsi="Arial" w:cs="Arial"/>
          <w:sz w:val="22"/>
          <w:szCs w:val="22"/>
        </w:rPr>
        <w:t xml:space="preserve">The preference was given at a relevant time, being within </w:t>
      </w:r>
      <w:r w:rsidR="007F4255">
        <w:rPr>
          <w:rFonts w:ascii="Arial" w:hAnsi="Arial" w:cs="Arial"/>
          <w:sz w:val="22"/>
          <w:szCs w:val="22"/>
        </w:rPr>
        <w:t xml:space="preserve">six months prior to the </w:t>
      </w:r>
      <w:r w:rsidR="003F5FCE">
        <w:rPr>
          <w:rFonts w:ascii="Arial" w:hAnsi="Arial" w:cs="Arial"/>
          <w:sz w:val="22"/>
          <w:szCs w:val="22"/>
        </w:rPr>
        <w:t>onset of insolvency</w:t>
      </w:r>
      <w:r w:rsidR="007F4255">
        <w:rPr>
          <w:rFonts w:ascii="Arial" w:hAnsi="Arial" w:cs="Arial"/>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7604D22D"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0874DF">
          <w:rPr>
            <w:rStyle w:val="PageNumber"/>
            <w:rFonts w:ascii="Avenir Next" w:hAnsi="Avenir Next" w:cs="Arial"/>
            <w:noProof/>
            <w:sz w:val="22"/>
            <w:szCs w:val="22"/>
          </w:rPr>
          <w:t>4</w:t>
        </w:r>
        <w:r w:rsidRPr="00A84235">
          <w:rPr>
            <w:rStyle w:val="PageNumber"/>
            <w:rFonts w:ascii="Avenir Next" w:hAnsi="Avenir Next" w:cs="Arial"/>
            <w:sz w:val="22"/>
            <w:szCs w:val="22"/>
          </w:rPr>
          <w:fldChar w:fldCharType="end"/>
        </w:r>
      </w:p>
    </w:sdtContent>
  </w:sdt>
  <w:p w14:paraId="30F05E79" w14:textId="2C0BECC5" w:rsidR="00241FA3" w:rsidRPr="00A84235" w:rsidRDefault="000874DF" w:rsidP="009B4976">
    <w:pPr>
      <w:pStyle w:val="Footer"/>
      <w:ind w:right="360"/>
      <w:rPr>
        <w:rFonts w:ascii="Avenir Next" w:hAnsi="Avenir Next" w:cs="Arial"/>
        <w:sz w:val="22"/>
        <w:szCs w:val="22"/>
        <w:lang w:val="en-GB"/>
      </w:rPr>
    </w:pPr>
    <w:r>
      <w:rPr>
        <w:rFonts w:ascii="Avenir Next" w:hAnsi="Avenir Next" w:cs="Arial"/>
        <w:sz w:val="22"/>
        <w:szCs w:val="22"/>
        <w:lang w:val="en-GB"/>
      </w:rPr>
      <w:t>202223-935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1B88"/>
    <w:multiLevelType w:val="hybridMultilevel"/>
    <w:tmpl w:val="B6DA6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B7C9A"/>
    <w:multiLevelType w:val="hybridMultilevel"/>
    <w:tmpl w:val="3FD2C9B0"/>
    <w:lvl w:ilvl="0" w:tplc="F84E6758">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D5703"/>
    <w:multiLevelType w:val="hybridMultilevel"/>
    <w:tmpl w:val="8CFE7F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210A7"/>
    <w:multiLevelType w:val="hybridMultilevel"/>
    <w:tmpl w:val="F40CF0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10"/>
  </w:num>
  <w:num w:numId="5">
    <w:abstractNumId w:val="13"/>
  </w:num>
  <w:num w:numId="6">
    <w:abstractNumId w:val="3"/>
  </w:num>
  <w:num w:numId="7">
    <w:abstractNumId w:val="14"/>
  </w:num>
  <w:num w:numId="8">
    <w:abstractNumId w:val="18"/>
  </w:num>
  <w:num w:numId="9">
    <w:abstractNumId w:val="11"/>
  </w:num>
  <w:num w:numId="10">
    <w:abstractNumId w:val="19"/>
  </w:num>
  <w:num w:numId="11">
    <w:abstractNumId w:val="8"/>
  </w:num>
  <w:num w:numId="12">
    <w:abstractNumId w:val="16"/>
  </w:num>
  <w:num w:numId="13">
    <w:abstractNumId w:val="12"/>
  </w:num>
  <w:num w:numId="14">
    <w:abstractNumId w:val="7"/>
  </w:num>
  <w:num w:numId="15">
    <w:abstractNumId w:val="15"/>
  </w:num>
  <w:num w:numId="16">
    <w:abstractNumId w:val="17"/>
  </w:num>
  <w:num w:numId="17">
    <w:abstractNumId w:val="9"/>
  </w:num>
  <w:num w:numId="18">
    <w:abstractNumId w:val="4"/>
  </w:num>
  <w:num w:numId="19">
    <w:abstractNumId w:val="1"/>
  </w:num>
  <w:num w:numId="20">
    <w:abstractNumId w:val="5"/>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4DF"/>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C46F3"/>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0FBF"/>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3F5FCE"/>
    <w:rsid w:val="00404329"/>
    <w:rsid w:val="00405DC1"/>
    <w:rsid w:val="00415F1F"/>
    <w:rsid w:val="0042108F"/>
    <w:rsid w:val="00430FED"/>
    <w:rsid w:val="00434A8C"/>
    <w:rsid w:val="00435114"/>
    <w:rsid w:val="00437297"/>
    <w:rsid w:val="00444284"/>
    <w:rsid w:val="00445CE6"/>
    <w:rsid w:val="00450E54"/>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6D46"/>
    <w:rsid w:val="004D1A5A"/>
    <w:rsid w:val="004D2FFF"/>
    <w:rsid w:val="004D3721"/>
    <w:rsid w:val="004D64F9"/>
    <w:rsid w:val="004E3A6B"/>
    <w:rsid w:val="004E622C"/>
    <w:rsid w:val="004F5FDF"/>
    <w:rsid w:val="005041BC"/>
    <w:rsid w:val="005177FE"/>
    <w:rsid w:val="00520242"/>
    <w:rsid w:val="0052263B"/>
    <w:rsid w:val="00524728"/>
    <w:rsid w:val="005331CA"/>
    <w:rsid w:val="005337B3"/>
    <w:rsid w:val="00537970"/>
    <w:rsid w:val="00540E3A"/>
    <w:rsid w:val="00544127"/>
    <w:rsid w:val="005463A9"/>
    <w:rsid w:val="00553EB2"/>
    <w:rsid w:val="00560534"/>
    <w:rsid w:val="0056391B"/>
    <w:rsid w:val="005650E2"/>
    <w:rsid w:val="00567AD7"/>
    <w:rsid w:val="00575B2D"/>
    <w:rsid w:val="005833D0"/>
    <w:rsid w:val="005846F3"/>
    <w:rsid w:val="00584AE5"/>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4326B"/>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B25"/>
    <w:rsid w:val="006E0D3B"/>
    <w:rsid w:val="006E2E26"/>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4B75"/>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4255"/>
    <w:rsid w:val="007F659B"/>
    <w:rsid w:val="00801AE5"/>
    <w:rsid w:val="0080441E"/>
    <w:rsid w:val="0080454E"/>
    <w:rsid w:val="00804C32"/>
    <w:rsid w:val="00806302"/>
    <w:rsid w:val="00807119"/>
    <w:rsid w:val="0082483F"/>
    <w:rsid w:val="0082764B"/>
    <w:rsid w:val="008279C0"/>
    <w:rsid w:val="00847614"/>
    <w:rsid w:val="00856B20"/>
    <w:rsid w:val="0086575F"/>
    <w:rsid w:val="00867701"/>
    <w:rsid w:val="00871C74"/>
    <w:rsid w:val="008723F3"/>
    <w:rsid w:val="00876F56"/>
    <w:rsid w:val="00881DE6"/>
    <w:rsid w:val="008837A6"/>
    <w:rsid w:val="0089145D"/>
    <w:rsid w:val="00891690"/>
    <w:rsid w:val="008A4031"/>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54989"/>
    <w:rsid w:val="00962045"/>
    <w:rsid w:val="00980E61"/>
    <w:rsid w:val="00991428"/>
    <w:rsid w:val="00992676"/>
    <w:rsid w:val="009954B2"/>
    <w:rsid w:val="00996691"/>
    <w:rsid w:val="009A3AB7"/>
    <w:rsid w:val="009B0723"/>
    <w:rsid w:val="009B07AD"/>
    <w:rsid w:val="009B0883"/>
    <w:rsid w:val="009B15E2"/>
    <w:rsid w:val="009B4976"/>
    <w:rsid w:val="009B6D3E"/>
    <w:rsid w:val="009C0B8E"/>
    <w:rsid w:val="009C1BC8"/>
    <w:rsid w:val="009C2442"/>
    <w:rsid w:val="009C4DEA"/>
    <w:rsid w:val="009D0811"/>
    <w:rsid w:val="009D0EE1"/>
    <w:rsid w:val="009D3AF0"/>
    <w:rsid w:val="009E2AEB"/>
    <w:rsid w:val="009E2E27"/>
    <w:rsid w:val="009E45DF"/>
    <w:rsid w:val="009E4DE3"/>
    <w:rsid w:val="009F275E"/>
    <w:rsid w:val="009F2A23"/>
    <w:rsid w:val="009F3579"/>
    <w:rsid w:val="009F69E6"/>
    <w:rsid w:val="00A047EE"/>
    <w:rsid w:val="00A2274A"/>
    <w:rsid w:val="00A235B7"/>
    <w:rsid w:val="00A27A7A"/>
    <w:rsid w:val="00A34ABE"/>
    <w:rsid w:val="00A407EF"/>
    <w:rsid w:val="00A44837"/>
    <w:rsid w:val="00A46B4C"/>
    <w:rsid w:val="00A5117B"/>
    <w:rsid w:val="00A5697B"/>
    <w:rsid w:val="00A56D34"/>
    <w:rsid w:val="00A57CDC"/>
    <w:rsid w:val="00A60074"/>
    <w:rsid w:val="00A6627C"/>
    <w:rsid w:val="00A71019"/>
    <w:rsid w:val="00A81029"/>
    <w:rsid w:val="00A84235"/>
    <w:rsid w:val="00A845F5"/>
    <w:rsid w:val="00A96489"/>
    <w:rsid w:val="00AA1937"/>
    <w:rsid w:val="00AA2435"/>
    <w:rsid w:val="00AB2425"/>
    <w:rsid w:val="00AB4931"/>
    <w:rsid w:val="00AB6272"/>
    <w:rsid w:val="00AB685C"/>
    <w:rsid w:val="00AB6C2D"/>
    <w:rsid w:val="00AC08F7"/>
    <w:rsid w:val="00AC317D"/>
    <w:rsid w:val="00AC3839"/>
    <w:rsid w:val="00AC7082"/>
    <w:rsid w:val="00AD4BE8"/>
    <w:rsid w:val="00AD5BBD"/>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B16C8"/>
    <w:rsid w:val="00BE4FF3"/>
    <w:rsid w:val="00BF2C93"/>
    <w:rsid w:val="00BF50F7"/>
    <w:rsid w:val="00C02F29"/>
    <w:rsid w:val="00C17718"/>
    <w:rsid w:val="00C20AFE"/>
    <w:rsid w:val="00C22A25"/>
    <w:rsid w:val="00C23C7D"/>
    <w:rsid w:val="00C305F5"/>
    <w:rsid w:val="00C35671"/>
    <w:rsid w:val="00C35ACC"/>
    <w:rsid w:val="00C35B77"/>
    <w:rsid w:val="00C376EB"/>
    <w:rsid w:val="00C43A83"/>
    <w:rsid w:val="00C46A92"/>
    <w:rsid w:val="00C46DC8"/>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2DD"/>
    <w:rsid w:val="00CB7CAC"/>
    <w:rsid w:val="00CC5335"/>
    <w:rsid w:val="00CC5BA4"/>
    <w:rsid w:val="00CD4998"/>
    <w:rsid w:val="00CE1035"/>
    <w:rsid w:val="00CE420A"/>
    <w:rsid w:val="00CE6E50"/>
    <w:rsid w:val="00CF2819"/>
    <w:rsid w:val="00CF4F9D"/>
    <w:rsid w:val="00CF70DC"/>
    <w:rsid w:val="00D01697"/>
    <w:rsid w:val="00D148DC"/>
    <w:rsid w:val="00D17FDC"/>
    <w:rsid w:val="00D21D8C"/>
    <w:rsid w:val="00D360D8"/>
    <w:rsid w:val="00D46E53"/>
    <w:rsid w:val="00D53719"/>
    <w:rsid w:val="00D63EFD"/>
    <w:rsid w:val="00D84752"/>
    <w:rsid w:val="00D86B3B"/>
    <w:rsid w:val="00D8748A"/>
    <w:rsid w:val="00D93196"/>
    <w:rsid w:val="00DA0DC0"/>
    <w:rsid w:val="00DB243C"/>
    <w:rsid w:val="00DB2EE9"/>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4FAD"/>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5D5B"/>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schemas.microsoft.com/office/infopath/2007/PartnerControls"/>
    <ds:schemaRef ds:uri="aa83e3e4-888c-4ce0-bc3e-c79df2587106"/>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BF936AF-4BFF-4BBD-9608-2037C9E4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Fraser, Luke</cp:lastModifiedBy>
  <cp:revision>3</cp:revision>
  <cp:lastPrinted>2019-08-27T05:42:00Z</cp:lastPrinted>
  <dcterms:created xsi:type="dcterms:W3CDTF">2023-02-28T00:33:00Z</dcterms:created>
  <dcterms:modified xsi:type="dcterms:W3CDTF">2023-02-28T00:33:00Z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