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8772F6">
        <w:rPr>
          <w:rFonts w:ascii="Avenir Next" w:hAnsi="Avenir Next"/>
          <w:highlight w:val="yellow"/>
        </w:rPr>
        <w:t>All of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8772F6">
        <w:rPr>
          <w:rFonts w:ascii="Avenir Next" w:hAnsi="Avenir Next"/>
          <w:highlight w:val="yellow"/>
        </w:rPr>
        <w:t>An environmental advocacy group that opposes ABC Corp’s 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8772F6">
        <w:rPr>
          <w:rFonts w:ascii="Avenir Next" w:hAnsi="Avenir Next"/>
          <w:highlight w:val="yellow"/>
        </w:rPr>
        <w:t>A lease on a manufacturing plant that contains a provision that requires landlord approval of any assignment</w:t>
      </w:r>
      <w:r w:rsidRPr="002C4932">
        <w:rPr>
          <w:rFonts w:ascii="Avenir Next" w:hAnsi="Avenir Next"/>
        </w:rPr>
        <w: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8772F6">
        <w:rPr>
          <w:rFonts w:ascii="Avenir Next" w:hAnsi="Avenir Next"/>
          <w:highlight w:val="yellow"/>
        </w:rPr>
        <w:t>The plan is not likely to be followed by liquidation</w:t>
      </w:r>
      <w:r w:rsidRPr="002C4932">
        <w:rPr>
          <w:rFonts w:ascii="Avenir Next" w:hAnsi="Avenir Next"/>
        </w:rPr>
        <w:t>.</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8772F6">
        <w:rPr>
          <w:rFonts w:ascii="Avenir Next" w:hAnsi="Avenir Next"/>
          <w:highlight w:val="yellow"/>
        </w:rPr>
        <w:t>If one insider creditor approves of the plan of reorganization, all other impaired classes may be crammed down</w:t>
      </w:r>
      <w:r w:rsidRPr="002C4932">
        <w:rPr>
          <w:rFonts w:ascii="Avenir Next" w:hAnsi="Avenir Next"/>
        </w:rPr>
        <w: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8772F6">
        <w:rPr>
          <w:rFonts w:ascii="Avenir Next" w:hAnsi="Avenir Next"/>
          <w:highlight w:val="yellow"/>
        </w:rPr>
        <w:t>In chapter 15 proceedings, a foreign court’s approval alone suffices for a 363 sale</w:t>
      </w:r>
      <w:r w:rsidRPr="002C4932">
        <w:rPr>
          <w:rFonts w:ascii="Avenir Next" w:hAnsi="Avenir Next"/>
        </w:rPr>
        <w:t>.</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8772F6">
        <w:rPr>
          <w:rFonts w:ascii="Avenir Next" w:hAnsi="Avenir Next"/>
          <w:highlight w:val="yellow"/>
        </w:rPr>
        <w:t>In addition to provisions in the Bankruptcy Code, the debtor or the trustee may invoke applicable state or foreign fraudulent conveyance laws</w:t>
      </w:r>
      <w:r w:rsidRPr="002C4932">
        <w:rPr>
          <w:rFonts w:ascii="Avenir Next" w:hAnsi="Avenir Next"/>
        </w:rPr>
        <w:t>.</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DC25E9">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DC25E9">
        <w:rPr>
          <w:rFonts w:ascii="Avenir Next" w:hAnsi="Avenir Next"/>
          <w:highlight w:val="yellow"/>
        </w:rPr>
        <w:t>If a creditor can show it extended credit on the basis of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are relevant factors in determining a debtor’s center of main interests (</w:t>
      </w:r>
      <w:proofErr w:type="spellStart"/>
      <w:r w:rsidRPr="00B77B19">
        <w:rPr>
          <w:rFonts w:ascii="Avenir Next" w:hAnsi="Avenir Next"/>
        </w:rPr>
        <w:t>COMI</w:t>
      </w:r>
      <w:proofErr w:type="spellEnd"/>
      <w:r w:rsidRPr="00B77B19">
        <w:rPr>
          <w:rFonts w:ascii="Avenir Next" w:hAnsi="Avenir Next"/>
        </w:rPr>
        <w:t xml:space="preserve">)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r w:rsidRPr="00DC25E9">
        <w:rPr>
          <w:rFonts w:ascii="Avenir Next" w:hAnsi="Avenir Next"/>
          <w:highlight w:val="yellow"/>
        </w:rPr>
        <w:t>All of the above</w:t>
      </w:r>
      <w:r w:rsidRPr="00346D83">
        <w:rPr>
          <w:rFonts w:ascii="Avenir Next" w:hAnsi="Avenir Next"/>
          <w:highlight w:val="yellow"/>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1EB387FE" w:rsidR="00E41578" w:rsidRPr="00E41578" w:rsidRDefault="008D0DE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occurs where a creditor is also indebted to the debtor, </w:t>
      </w:r>
      <w:r w:rsidR="00B75AB4">
        <w:rPr>
          <w:rFonts w:ascii="Avenir Next" w:hAnsi="Avenir Next" w:cs="Arial"/>
          <w:color w:val="7B7B7B" w:themeColor="accent3" w:themeShade="BF"/>
          <w:sz w:val="22"/>
          <w:szCs w:val="22"/>
          <w:lang w:val="en-GB"/>
        </w:rPr>
        <w:t xml:space="preserve">and therefore nets off the two positions to achieve a total net liability. Because setoff can artificially improve the position of one creditor over </w:t>
      </w:r>
      <w:r w:rsidR="0059552C">
        <w:rPr>
          <w:rFonts w:ascii="Avenir Next" w:hAnsi="Avenir Next" w:cs="Arial"/>
          <w:color w:val="7B7B7B" w:themeColor="accent3" w:themeShade="BF"/>
          <w:sz w:val="22"/>
          <w:szCs w:val="22"/>
          <w:lang w:val="en-GB"/>
        </w:rPr>
        <w:t xml:space="preserve">others in the same class (i.e. by having the obligation decreased by the full amount owing by the debtor rather than what the debtor would pay on an unsecured claim), it is not permitted in various instances.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20A8D85D" w:rsidR="00E41578" w:rsidRPr="00E41578" w:rsidRDefault="0059552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Bankruptcy Court filing, one should review the Federal Rules of Bankruptcy Procedure (also known as the Bankruptcy Rules), the Federal Rules of Civil Procedure, the relevant </w:t>
      </w:r>
      <w:r w:rsidR="001F6307">
        <w:rPr>
          <w:rFonts w:ascii="Avenir Next" w:hAnsi="Avenir Next" w:cs="Arial"/>
          <w:color w:val="7B7B7B" w:themeColor="accent3" w:themeShade="BF"/>
          <w:sz w:val="22"/>
          <w:szCs w:val="22"/>
          <w:lang w:val="en-GB"/>
        </w:rPr>
        <w:t xml:space="preserve">Bankruptcy </w:t>
      </w:r>
      <w:r>
        <w:rPr>
          <w:rFonts w:ascii="Avenir Next" w:hAnsi="Avenir Next" w:cs="Arial"/>
          <w:color w:val="7B7B7B" w:themeColor="accent3" w:themeShade="BF"/>
          <w:sz w:val="22"/>
          <w:szCs w:val="22"/>
          <w:lang w:val="en-GB"/>
        </w:rPr>
        <w:t xml:space="preserve">Court's local rules and the personal practices of the particular judge.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C2B2B9A" w:rsidR="00E41578" w:rsidRDefault="00CF779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requires that each category of claims in a chapter 7 bankruptcy must be paid in full before the next category in the </w:t>
      </w:r>
      <w:r w:rsidR="006A7EDF">
        <w:rPr>
          <w:rFonts w:ascii="Avenir Next" w:hAnsi="Avenir Next" w:cs="Arial"/>
          <w:color w:val="7B7B7B" w:themeColor="accent3" w:themeShade="BF"/>
          <w:sz w:val="22"/>
          <w:szCs w:val="22"/>
          <w:lang w:val="en-GB"/>
        </w:rPr>
        <w:t xml:space="preserve">statutory </w:t>
      </w:r>
      <w:r>
        <w:rPr>
          <w:rFonts w:ascii="Avenir Next" w:hAnsi="Avenir Next" w:cs="Arial"/>
          <w:color w:val="7B7B7B" w:themeColor="accent3" w:themeShade="BF"/>
          <w:sz w:val="22"/>
          <w:szCs w:val="22"/>
          <w:lang w:val="en-GB"/>
        </w:rPr>
        <w:t xml:space="preserve">waterfall can be paid. </w:t>
      </w:r>
    </w:p>
    <w:p w14:paraId="69B81E80" w14:textId="5776FF92" w:rsidR="00CF7793" w:rsidRDefault="00CF7793" w:rsidP="00E41578">
      <w:pPr>
        <w:jc w:val="both"/>
        <w:rPr>
          <w:rFonts w:ascii="Avenir Next" w:hAnsi="Avenir Next" w:cs="Arial"/>
          <w:color w:val="7B7B7B" w:themeColor="accent3" w:themeShade="BF"/>
          <w:sz w:val="22"/>
          <w:szCs w:val="22"/>
          <w:lang w:val="en-GB"/>
        </w:rPr>
      </w:pPr>
    </w:p>
    <w:p w14:paraId="0B377389" w14:textId="3E01C489" w:rsidR="00CF7793" w:rsidRPr="00E41578" w:rsidRDefault="00CF779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chapter 11 bankruptcy, the absolute priority rule means that a creditor cannot accept less than it would receive in a hypothetical chapter 7 bankruptcy over the debtor. It can, however, be deviated from by consent of the senior creditor, where payment of the funds in question to a junior class or creditor is necessary to have the reorganisation or liquidation plan approved.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5B18B362" w:rsidR="00E41578" w:rsidRPr="00E41578" w:rsidRDefault="006A7ED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a lien granted over an already-encumbered asset in the estate, where the priming lien (despite being later in time) ranks either senior to or equal to the pre-petition lien. This type of lien is used to secure DIP financing</w:t>
      </w:r>
      <w:r w:rsidR="000D57E6">
        <w:rPr>
          <w:rFonts w:ascii="Avenir Next" w:hAnsi="Avenir Next" w:cs="Arial"/>
          <w:color w:val="7B7B7B" w:themeColor="accent3" w:themeShade="BF"/>
          <w:sz w:val="22"/>
          <w:szCs w:val="22"/>
          <w:lang w:val="en-GB"/>
        </w:rPr>
        <w:t xml:space="preserve">, but is only available where (i) financing cannot be obtained on more favourable terms to the estate (e.g. unsecured lending or a junior-ranking lien) and where the debtor can show that the secured creditor who is being "primed" is adequately protected.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C1B758D" w:rsidR="00E41578" w:rsidRDefault="000D57E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out of the debtor's estate made during the relevant period (either 90 days for third parties, or one year for insiders) before the petition date. </w:t>
      </w:r>
    </w:p>
    <w:p w14:paraId="14794DD5" w14:textId="0CABB348" w:rsidR="000D57E6" w:rsidRDefault="000D57E6" w:rsidP="00E41578">
      <w:pPr>
        <w:jc w:val="both"/>
        <w:rPr>
          <w:rFonts w:ascii="Avenir Next" w:hAnsi="Avenir Next" w:cs="Arial"/>
          <w:color w:val="7B7B7B" w:themeColor="accent3" w:themeShade="BF"/>
          <w:sz w:val="22"/>
          <w:szCs w:val="22"/>
          <w:lang w:val="en-GB"/>
        </w:rPr>
      </w:pPr>
    </w:p>
    <w:p w14:paraId="1C1A2D73" w14:textId="4BBBCE5E" w:rsidR="000D57E6" w:rsidRDefault="000D57E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prove a preference, the following elements must be shown: (i) </w:t>
      </w:r>
      <w:r w:rsidR="00D61DEE">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transfer of the debtor's interest in property; (ii) the transfer is to or for the benefit of a creditor; (iii) the transfer is for or on account of prior (antecedent</w:t>
      </w:r>
      <w:r w:rsidR="00371495">
        <w:rPr>
          <w:rFonts w:ascii="Avenir Next" w:hAnsi="Avenir Next" w:cs="Arial"/>
          <w:color w:val="7B7B7B" w:themeColor="accent3" w:themeShade="BF"/>
          <w:sz w:val="22"/>
          <w:szCs w:val="22"/>
          <w:lang w:val="en-GB"/>
        </w:rPr>
        <w:t>/pre-existing</w:t>
      </w:r>
      <w:r>
        <w:rPr>
          <w:rFonts w:ascii="Avenir Next" w:hAnsi="Avenir Next" w:cs="Arial"/>
          <w:color w:val="7B7B7B" w:themeColor="accent3" w:themeShade="BF"/>
          <w:sz w:val="22"/>
          <w:szCs w:val="22"/>
          <w:lang w:val="en-GB"/>
        </w:rPr>
        <w:t>) debt owed by the debtor</w:t>
      </w:r>
      <w:r w:rsidR="00486E89">
        <w:rPr>
          <w:rFonts w:ascii="Avenir Next" w:hAnsi="Avenir Next" w:cs="Arial"/>
          <w:color w:val="7B7B7B" w:themeColor="accent3" w:themeShade="BF"/>
          <w:sz w:val="22"/>
          <w:szCs w:val="22"/>
          <w:lang w:val="en-GB"/>
        </w:rPr>
        <w:t>; (iv) the transfer is made while the debtor is insolvent</w:t>
      </w:r>
      <w:r w:rsidR="00415B15">
        <w:rPr>
          <w:rFonts w:ascii="Avenir Next" w:hAnsi="Avenir Next" w:cs="Arial"/>
          <w:color w:val="7B7B7B" w:themeColor="accent3" w:themeShade="BF"/>
          <w:sz w:val="22"/>
          <w:szCs w:val="22"/>
          <w:lang w:val="en-GB"/>
        </w:rPr>
        <w:t xml:space="preserve"> (which is rebuttably presumed in the 90 days prior to the petition date)</w:t>
      </w:r>
      <w:r w:rsidR="00486E89">
        <w:rPr>
          <w:rFonts w:ascii="Avenir Next" w:hAnsi="Avenir Next" w:cs="Arial"/>
          <w:color w:val="7B7B7B" w:themeColor="accent3" w:themeShade="BF"/>
          <w:sz w:val="22"/>
          <w:szCs w:val="22"/>
          <w:lang w:val="en-GB"/>
        </w:rPr>
        <w:t xml:space="preserve">; (v) the transfer is made during the "suspect period", which is 90 days </w:t>
      </w:r>
      <w:r w:rsidR="00415B15">
        <w:rPr>
          <w:rFonts w:ascii="Avenir Next" w:hAnsi="Avenir Next" w:cs="Arial"/>
          <w:color w:val="7B7B7B" w:themeColor="accent3" w:themeShade="BF"/>
          <w:sz w:val="22"/>
          <w:szCs w:val="22"/>
          <w:lang w:val="en-GB"/>
        </w:rPr>
        <w:t xml:space="preserve">before the petition date </w:t>
      </w:r>
      <w:r w:rsidR="00486E89">
        <w:rPr>
          <w:rFonts w:ascii="Avenir Next" w:hAnsi="Avenir Next" w:cs="Arial"/>
          <w:color w:val="7B7B7B" w:themeColor="accent3" w:themeShade="BF"/>
          <w:sz w:val="22"/>
          <w:szCs w:val="22"/>
          <w:lang w:val="en-GB"/>
        </w:rPr>
        <w:t xml:space="preserve">for transfers to third parties or one year for transfers to insiders; and (vi) as a result of the preference, the creditor received more than it would have in a chapter 7 liquidation, i.e. the creditor's position is improved by way of the transfer. </w:t>
      </w:r>
    </w:p>
    <w:p w14:paraId="404B504E" w14:textId="2454A4F7" w:rsidR="00371495" w:rsidRDefault="00371495" w:rsidP="00E41578">
      <w:pPr>
        <w:jc w:val="both"/>
        <w:rPr>
          <w:rFonts w:ascii="Avenir Next" w:hAnsi="Avenir Next" w:cs="Arial"/>
          <w:color w:val="7B7B7B" w:themeColor="accent3" w:themeShade="BF"/>
          <w:sz w:val="22"/>
          <w:szCs w:val="22"/>
          <w:lang w:val="en-GB"/>
        </w:rPr>
      </w:pPr>
    </w:p>
    <w:p w14:paraId="5E496F65" w14:textId="4C2B5207" w:rsidR="00371495" w:rsidRDefault="0037149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showing of fault by either party is not required, because the return of a preference is aimed at ensuring equality of creditors and preventing competition between creditors to obtain repayment form the debtor first.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47506FF6" w14:textId="6AC476DE" w:rsidR="000456CC" w:rsidRDefault="000456C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to 2011, the position was that the</w:t>
      </w:r>
      <w:r w:rsidR="00415B1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B</w:t>
      </w:r>
      <w:r w:rsidR="00415B15">
        <w:rPr>
          <w:rFonts w:ascii="Avenir Next" w:hAnsi="Avenir Next" w:cs="Arial"/>
          <w:color w:val="7B7B7B" w:themeColor="accent3" w:themeShade="BF"/>
          <w:sz w:val="22"/>
          <w:szCs w:val="22"/>
          <w:lang w:val="en-GB"/>
        </w:rPr>
        <w:t xml:space="preserve">ankruptcy Court </w:t>
      </w:r>
      <w:r>
        <w:rPr>
          <w:rFonts w:ascii="Avenir Next" w:hAnsi="Avenir Next" w:cs="Arial"/>
          <w:color w:val="7B7B7B" w:themeColor="accent3" w:themeShade="BF"/>
          <w:sz w:val="22"/>
          <w:szCs w:val="22"/>
          <w:lang w:val="en-GB"/>
        </w:rPr>
        <w:t>could</w:t>
      </w:r>
      <w:r w:rsidR="00A97904">
        <w:rPr>
          <w:rFonts w:ascii="Avenir Next" w:hAnsi="Avenir Next" w:cs="Arial"/>
          <w:color w:val="7B7B7B" w:themeColor="accent3" w:themeShade="BF"/>
          <w:sz w:val="22"/>
          <w:szCs w:val="22"/>
          <w:lang w:val="en-GB"/>
        </w:rPr>
        <w:t xml:space="preserve"> grant final orders in respect of core matters only. Core matters are defined</w:t>
      </w:r>
      <w:r w:rsidR="00415B15">
        <w:rPr>
          <w:rFonts w:ascii="Avenir Next" w:hAnsi="Avenir Next" w:cs="Arial"/>
          <w:color w:val="7B7B7B" w:themeColor="accent3" w:themeShade="BF"/>
          <w:sz w:val="22"/>
          <w:szCs w:val="22"/>
          <w:lang w:val="en-GB"/>
        </w:rPr>
        <w:t xml:space="preserve"> </w:t>
      </w:r>
      <w:r w:rsidR="00A97904">
        <w:rPr>
          <w:rFonts w:ascii="Avenir Next" w:hAnsi="Avenir Next" w:cs="Arial"/>
          <w:color w:val="7B7B7B" w:themeColor="accent3" w:themeShade="BF"/>
          <w:sz w:val="22"/>
          <w:szCs w:val="22"/>
          <w:lang w:val="en-GB"/>
        </w:rPr>
        <w:t xml:space="preserve">in the Bankruptcy Code and include matters such as the administration of the estate, proceedings relating to preferences, motions regarding the automatic stay, and confirmations of plans. </w:t>
      </w:r>
      <w:r>
        <w:rPr>
          <w:rFonts w:ascii="Avenir Next" w:hAnsi="Avenir Next" w:cs="Arial"/>
          <w:color w:val="7B7B7B" w:themeColor="accent3" w:themeShade="BF"/>
          <w:sz w:val="22"/>
          <w:szCs w:val="22"/>
          <w:lang w:val="en-GB"/>
        </w:rPr>
        <w:t>Bankruptcy Courts may not enter final orders in respect of non-core proceedings, although they may hear those proceedings and make proposed findings of fact and conclusions of law to the District Court where the non-core proceeding in question is "sufficiently related" to the main bankruptcy proceeding.</w:t>
      </w:r>
    </w:p>
    <w:p w14:paraId="0F96375A" w14:textId="77777777" w:rsidR="000456CC" w:rsidRDefault="000456CC" w:rsidP="00E41578">
      <w:pPr>
        <w:jc w:val="both"/>
        <w:rPr>
          <w:rFonts w:ascii="Avenir Next" w:hAnsi="Avenir Next" w:cs="Arial"/>
          <w:color w:val="7B7B7B" w:themeColor="accent3" w:themeShade="BF"/>
          <w:sz w:val="22"/>
          <w:szCs w:val="22"/>
          <w:lang w:val="en-GB"/>
        </w:rPr>
      </w:pPr>
    </w:p>
    <w:p w14:paraId="0F2F0A99" w14:textId="1E786754" w:rsidR="00E41578" w:rsidRDefault="000456C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00415B15">
        <w:rPr>
          <w:rFonts w:ascii="Avenir Next" w:hAnsi="Avenir Next" w:cs="Arial"/>
          <w:color w:val="7B7B7B" w:themeColor="accent3" w:themeShade="BF"/>
          <w:sz w:val="22"/>
          <w:szCs w:val="22"/>
          <w:lang w:val="en-GB"/>
        </w:rPr>
        <w:t xml:space="preserve">ollowing the Supreme Court ruling in </w:t>
      </w:r>
      <w:r w:rsidR="00415B15">
        <w:rPr>
          <w:rFonts w:ascii="Avenir Next" w:hAnsi="Avenir Next" w:cs="Arial"/>
          <w:i/>
          <w:iCs/>
          <w:color w:val="7B7B7B" w:themeColor="accent3" w:themeShade="BF"/>
          <w:sz w:val="22"/>
          <w:szCs w:val="22"/>
          <w:lang w:val="en-GB"/>
        </w:rPr>
        <w:t>Stern v Marshall</w:t>
      </w:r>
      <w:r>
        <w:rPr>
          <w:rFonts w:ascii="Avenir Next" w:hAnsi="Avenir Next" w:cs="Arial"/>
          <w:color w:val="7B7B7B" w:themeColor="accent3" w:themeShade="BF"/>
          <w:sz w:val="22"/>
          <w:szCs w:val="22"/>
          <w:lang w:val="en-GB"/>
        </w:rPr>
        <w:t xml:space="preserve">, the position is somewhat more complex: in that decision, the Supreme Court held </w:t>
      </w:r>
      <w:r w:rsidR="00C427B5">
        <w:rPr>
          <w:rFonts w:ascii="Avenir Next" w:hAnsi="Avenir Next" w:cs="Arial"/>
          <w:color w:val="7B7B7B" w:themeColor="accent3" w:themeShade="BF"/>
          <w:sz w:val="22"/>
          <w:szCs w:val="22"/>
          <w:lang w:val="en-GB"/>
        </w:rPr>
        <w:t xml:space="preserve">that even in the case of core issues the Bankruptcy Court cannot issue a final order in respect of a state law claim. The Bankruptcy Rules and subsequent Court decisions mean that the position is now that the Bankruptcy Court can issue final orders in respect of core </w:t>
      </w:r>
      <w:r w:rsidR="00C427B5">
        <w:rPr>
          <w:rFonts w:ascii="Avenir Next" w:hAnsi="Avenir Next" w:cs="Arial"/>
          <w:color w:val="7B7B7B" w:themeColor="accent3" w:themeShade="BF"/>
          <w:sz w:val="22"/>
          <w:szCs w:val="22"/>
          <w:lang w:val="en-GB"/>
        </w:rPr>
        <w:lastRenderedPageBreak/>
        <w:t xml:space="preserve">matters only by way of report and recommendation to the District Court (as is the case for non-core matters) or where the parties consent to final relief being granted. </w:t>
      </w:r>
    </w:p>
    <w:p w14:paraId="0C20C075" w14:textId="5F841228" w:rsidR="00C427B5" w:rsidRDefault="00C427B5" w:rsidP="00E41578">
      <w:pPr>
        <w:jc w:val="both"/>
        <w:rPr>
          <w:rFonts w:ascii="Avenir Next" w:hAnsi="Avenir Next" w:cs="Arial"/>
          <w:color w:val="7B7B7B" w:themeColor="accent3" w:themeShade="BF"/>
          <w:sz w:val="22"/>
          <w:szCs w:val="22"/>
          <w:lang w:val="en-GB"/>
        </w:rPr>
      </w:pPr>
    </w:p>
    <w:p w14:paraId="58F44730" w14:textId="77777777" w:rsidR="007F6A09" w:rsidRDefault="00C427B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from bankruptcy court matters are heard by either the District Court for the district in which the Bankruptcy Court sits or, in the First, Sixth, Eighth, Ninth and Tenth Circuits, by way of a Bankruptcy Appellate Panel or BAP, consisting of judges form the bankruptcy courts within that circuit.</w:t>
      </w:r>
    </w:p>
    <w:p w14:paraId="1523E8DD" w14:textId="77777777" w:rsidR="007F6A09" w:rsidRDefault="007F6A09" w:rsidP="00E41578">
      <w:pPr>
        <w:jc w:val="both"/>
        <w:rPr>
          <w:rFonts w:ascii="Avenir Next" w:hAnsi="Avenir Next" w:cs="Arial"/>
          <w:color w:val="7B7B7B" w:themeColor="accent3" w:themeShade="BF"/>
          <w:sz w:val="22"/>
          <w:szCs w:val="22"/>
          <w:lang w:val="en-GB"/>
        </w:rPr>
      </w:pPr>
    </w:p>
    <w:p w14:paraId="68B97793" w14:textId="787BF0D4" w:rsidR="00C427B5" w:rsidRDefault="007F6A0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Non-final orders are reviewed by way of consideration of both the facts and the law </w:t>
      </w:r>
      <w:r>
        <w:rPr>
          <w:rFonts w:ascii="Avenir Next" w:hAnsi="Avenir Next" w:cs="Arial"/>
          <w:i/>
          <w:iCs/>
          <w:color w:val="7B7B7B" w:themeColor="accent3" w:themeShade="BF"/>
          <w:sz w:val="22"/>
          <w:szCs w:val="22"/>
          <w:lang w:val="en-GB"/>
        </w:rPr>
        <w:t xml:space="preserve">de novo </w:t>
      </w:r>
      <w:r>
        <w:rPr>
          <w:rFonts w:ascii="Avenir Next" w:hAnsi="Avenir Next" w:cs="Arial"/>
          <w:color w:val="7B7B7B" w:themeColor="accent3" w:themeShade="BF"/>
          <w:sz w:val="22"/>
          <w:szCs w:val="22"/>
          <w:lang w:val="en-GB"/>
        </w:rPr>
        <w:t xml:space="preserve">by the District Court or BAP as appropriate. </w:t>
      </w:r>
      <w:r w:rsidR="00C427B5">
        <w:rPr>
          <w:rFonts w:ascii="Avenir Next" w:hAnsi="Avenir Next" w:cs="Arial"/>
          <w:color w:val="7B7B7B" w:themeColor="accent3" w:themeShade="BF"/>
          <w:sz w:val="22"/>
          <w:szCs w:val="22"/>
          <w:lang w:val="en-GB"/>
        </w:rPr>
        <w:t xml:space="preserve"> </w:t>
      </w:r>
    </w:p>
    <w:p w14:paraId="07F7B597" w14:textId="77777777" w:rsidR="00C427B5" w:rsidRPr="00415B15" w:rsidRDefault="00C427B5" w:rsidP="00E41578">
      <w:pPr>
        <w:jc w:val="both"/>
        <w:rPr>
          <w:rFonts w:ascii="Avenir Next" w:hAnsi="Avenir Next" w:cs="Arial"/>
          <w:color w:val="7B7B7B" w:themeColor="accent3" w:themeShade="BF"/>
          <w:sz w:val="22"/>
          <w:szCs w:val="22"/>
          <w:lang w:val="en-GB"/>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10A7416E" w:rsidR="00E41578" w:rsidRDefault="00D60E9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foreign main proceeding is recognised pursuant to Chapter 15,</w:t>
      </w:r>
      <w:r w:rsidR="007C503C">
        <w:rPr>
          <w:rFonts w:ascii="Avenir Next" w:hAnsi="Avenir Next" w:cs="Arial"/>
          <w:color w:val="7B7B7B" w:themeColor="accent3" w:themeShade="BF"/>
          <w:sz w:val="22"/>
          <w:szCs w:val="22"/>
          <w:lang w:val="en-GB"/>
        </w:rPr>
        <w:t xml:space="preserve"> the following provisions automatically apply to the debtor's property within the US: (i) the automatic stay, (ii) the ability of the foreign representative to operate the debtor's business in the ordinary course, (iii) the avoidance of post-petition transfers and perfections of security interests, and (iv) the ability of the foreign representative to </w:t>
      </w:r>
      <w:r w:rsidR="005E2EA7">
        <w:rPr>
          <w:rFonts w:ascii="Avenir Next" w:hAnsi="Avenir Next" w:cs="Arial"/>
          <w:color w:val="7B7B7B" w:themeColor="accent3" w:themeShade="BF"/>
          <w:sz w:val="22"/>
          <w:szCs w:val="22"/>
          <w:lang w:val="en-GB"/>
        </w:rPr>
        <w:t xml:space="preserve">sell, transfer or use the debtor's property outside of the ordinary course of its business. </w:t>
      </w:r>
    </w:p>
    <w:p w14:paraId="7B85C637" w14:textId="56122118" w:rsidR="005E2EA7" w:rsidRDefault="005E2EA7" w:rsidP="00E41578">
      <w:pPr>
        <w:jc w:val="both"/>
        <w:rPr>
          <w:rFonts w:ascii="Avenir Next" w:hAnsi="Avenir Next" w:cs="Arial"/>
          <w:color w:val="7B7B7B" w:themeColor="accent3" w:themeShade="BF"/>
          <w:sz w:val="22"/>
          <w:szCs w:val="22"/>
          <w:lang w:val="en-GB"/>
        </w:rPr>
      </w:pPr>
    </w:p>
    <w:p w14:paraId="108C6BF7" w14:textId="4C442466" w:rsidR="005E2EA7" w:rsidRDefault="005E2EA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foreign non-main proceedings, any of the above can also be made applicable at the Court's discretion on application by the foreign representative. </w:t>
      </w:r>
    </w:p>
    <w:p w14:paraId="6D3545F4" w14:textId="2FC986DF" w:rsidR="007A4EBF" w:rsidRDefault="007A4EBF" w:rsidP="00E41578">
      <w:pPr>
        <w:jc w:val="both"/>
        <w:rPr>
          <w:rFonts w:ascii="Avenir Next" w:hAnsi="Avenir Next" w:cs="Arial"/>
          <w:color w:val="7B7B7B" w:themeColor="accent3" w:themeShade="BF"/>
          <w:sz w:val="22"/>
          <w:szCs w:val="22"/>
          <w:lang w:val="en-GB"/>
        </w:rPr>
      </w:pPr>
    </w:p>
    <w:p w14:paraId="6147DBC5" w14:textId="2DAC164D" w:rsidR="007A4EBF" w:rsidRDefault="007A4E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both foreign main and non-main proceedings, the foreign representative gains the right to intervene in federal or state court action in which the debtor is a party, when the proceeding is recognised. </w:t>
      </w:r>
    </w:p>
    <w:p w14:paraId="03852FB8" w14:textId="2784513B" w:rsidR="005E2EA7" w:rsidRDefault="005E2EA7" w:rsidP="00E41578">
      <w:pPr>
        <w:jc w:val="both"/>
        <w:rPr>
          <w:rFonts w:ascii="Avenir Next" w:hAnsi="Avenir Next" w:cs="Arial"/>
          <w:color w:val="7B7B7B" w:themeColor="accent3" w:themeShade="BF"/>
          <w:sz w:val="22"/>
          <w:szCs w:val="22"/>
          <w:lang w:val="en-GB"/>
        </w:rPr>
      </w:pPr>
    </w:p>
    <w:p w14:paraId="1A2CFE6E" w14:textId="7F979B92" w:rsidR="005E2EA7" w:rsidRPr="00E41578" w:rsidRDefault="005E2EA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both main and non-main proceedings, the Court can also grant discretionary relief relating to (i) authorisation of discovery concerning the debtor's assets and affairs, (ii)  entitling the foreign representative or another person to administer the debtor's US assets, (iii) extending any of the provisional relief granted upon filing of the petition, or (iv) another other relief necessary to give effect to Chapter 15 and protect the debtor's assets or creditors' interests. </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13BE58A" w:rsidR="00E41578" w:rsidRDefault="007A4E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of a Delaware corporation owe a fiduciary duty </w:t>
      </w:r>
      <w:r w:rsidR="003D7875">
        <w:rPr>
          <w:rFonts w:ascii="Avenir Next" w:hAnsi="Avenir Next" w:cs="Arial"/>
          <w:color w:val="7B7B7B" w:themeColor="accent3" w:themeShade="BF"/>
          <w:sz w:val="22"/>
          <w:szCs w:val="22"/>
          <w:lang w:val="en-GB"/>
        </w:rPr>
        <w:t xml:space="preserve">of loyalty to the corporation's best interests, as well as a duty of care in educated decision-making. </w:t>
      </w:r>
    </w:p>
    <w:p w14:paraId="41E1A351" w14:textId="08433F82" w:rsidR="003D7875" w:rsidRDefault="003D7875" w:rsidP="00E41578">
      <w:pPr>
        <w:jc w:val="both"/>
        <w:rPr>
          <w:rFonts w:ascii="Avenir Next" w:hAnsi="Avenir Next" w:cs="Arial"/>
          <w:color w:val="7B7B7B" w:themeColor="accent3" w:themeShade="BF"/>
          <w:sz w:val="22"/>
          <w:szCs w:val="22"/>
          <w:lang w:val="en-GB"/>
        </w:rPr>
      </w:pPr>
    </w:p>
    <w:p w14:paraId="16E812FB" w14:textId="01FB2283" w:rsidR="003D7875" w:rsidRDefault="003D787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duties are owed to the corporation itself and its shareholders, and not to the creditors even when the corporation is actually or potentially insolvent. This is different f</w:t>
      </w:r>
      <w:r w:rsidR="00346402">
        <w:rPr>
          <w:rFonts w:ascii="Avenir Next" w:hAnsi="Avenir Next" w:cs="Arial"/>
          <w:color w:val="7B7B7B" w:themeColor="accent3" w:themeShade="BF"/>
          <w:sz w:val="22"/>
          <w:szCs w:val="22"/>
          <w:lang w:val="en-GB"/>
        </w:rPr>
        <w:t>ro</w:t>
      </w:r>
      <w:r>
        <w:rPr>
          <w:rFonts w:ascii="Avenir Next" w:hAnsi="Avenir Next" w:cs="Arial"/>
          <w:color w:val="7B7B7B" w:themeColor="accent3" w:themeShade="BF"/>
          <w:sz w:val="22"/>
          <w:szCs w:val="22"/>
          <w:lang w:val="en-GB"/>
        </w:rPr>
        <w:t>m many other common-law jurisdictions where the directors' duties are owed to creditors when the company is insolvent</w:t>
      </w:r>
      <w:r w:rsidR="00346402">
        <w:rPr>
          <w:rFonts w:ascii="Avenir Next" w:hAnsi="Avenir Next" w:cs="Arial"/>
          <w:color w:val="7B7B7B" w:themeColor="accent3" w:themeShade="BF"/>
          <w:sz w:val="22"/>
          <w:szCs w:val="22"/>
          <w:lang w:val="en-GB"/>
        </w:rPr>
        <w:t xml:space="preserve"> or of dubious solvency</w:t>
      </w:r>
      <w:r>
        <w:rPr>
          <w:rFonts w:ascii="Avenir Next" w:hAnsi="Avenir Next" w:cs="Arial"/>
          <w:color w:val="7B7B7B" w:themeColor="accent3" w:themeShade="BF"/>
          <w:sz w:val="22"/>
          <w:szCs w:val="22"/>
          <w:lang w:val="en-GB"/>
        </w:rPr>
        <w:t xml:space="preserve">. </w:t>
      </w:r>
    </w:p>
    <w:p w14:paraId="154A4F58" w14:textId="5ED2A488" w:rsidR="00346402" w:rsidRDefault="00346402" w:rsidP="00E41578">
      <w:pPr>
        <w:jc w:val="both"/>
        <w:rPr>
          <w:rFonts w:ascii="Avenir Next" w:hAnsi="Avenir Next" w:cs="Arial"/>
          <w:color w:val="7B7B7B" w:themeColor="accent3" w:themeShade="BF"/>
          <w:sz w:val="22"/>
          <w:szCs w:val="22"/>
          <w:lang w:val="en-GB"/>
        </w:rPr>
      </w:pPr>
    </w:p>
    <w:p w14:paraId="51FECCC6" w14:textId="053A1A20" w:rsidR="00346402" w:rsidRPr="00E41578" w:rsidRDefault="003464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enjoy protection pursuant to the "business judgment rule", which states that the directors </w:t>
      </w:r>
      <w:r w:rsidR="00541AE9">
        <w:rPr>
          <w:rFonts w:ascii="Avenir Next" w:hAnsi="Avenir Next" w:cs="Arial"/>
          <w:color w:val="7B7B7B" w:themeColor="accent3" w:themeShade="BF"/>
          <w:sz w:val="22"/>
          <w:szCs w:val="22"/>
          <w:lang w:val="en-GB"/>
        </w:rPr>
        <w:t xml:space="preserve">as a whole (i.e. the board) </w:t>
      </w:r>
      <w:r>
        <w:rPr>
          <w:rFonts w:ascii="Avenir Next" w:hAnsi="Avenir Next" w:cs="Arial"/>
          <w:color w:val="7B7B7B" w:themeColor="accent3" w:themeShade="BF"/>
          <w:sz w:val="22"/>
          <w:szCs w:val="22"/>
          <w:lang w:val="en-GB"/>
        </w:rPr>
        <w:t xml:space="preserve">are presumed to have acted in good faith and on the basis of reasonable information in making business decisions. </w:t>
      </w:r>
      <w:r w:rsidR="00541AE9">
        <w:rPr>
          <w:rFonts w:ascii="Avenir Next" w:hAnsi="Avenir Next" w:cs="Arial"/>
          <w:color w:val="7B7B7B" w:themeColor="accent3" w:themeShade="BF"/>
          <w:sz w:val="22"/>
          <w:szCs w:val="22"/>
          <w:lang w:val="en-GB"/>
        </w:rPr>
        <w:t xml:space="preserve">It should be noted that the business judgment rule does not apply where the board approved transactions in respect of which the majority of the board is not disinterested and independent. It also does not apply where a controlling shareholder is involved in both sides of the particular transaction.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F974E5E" w:rsidR="00F03051" w:rsidRDefault="008D13A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for a creditor to qualify as a petitioning creditor in an involuntary bankruptcy proceeding, its claim must meet all of the following requirements. </w:t>
      </w:r>
    </w:p>
    <w:p w14:paraId="2AA646BD" w14:textId="47F48B4A" w:rsidR="008D13A4" w:rsidRDefault="008D13A4" w:rsidP="00F03051">
      <w:pPr>
        <w:jc w:val="both"/>
        <w:rPr>
          <w:rFonts w:ascii="Avenir Next" w:hAnsi="Avenir Next" w:cs="Arial"/>
          <w:color w:val="7B7B7B" w:themeColor="accent3" w:themeShade="BF"/>
          <w:sz w:val="22"/>
          <w:szCs w:val="22"/>
          <w:lang w:val="en-GB"/>
        </w:rPr>
      </w:pPr>
    </w:p>
    <w:p w14:paraId="68EB2E26" w14:textId="50B3EF08" w:rsidR="008D13A4" w:rsidRDefault="008D13A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the claim must be non-contingent. This means that the claim is not subject to the occurrence of a specified event e.g. the breach of an obligation by a third party (as is usually the case for claims against guarantors). However, a claim that is "continent" only on the passage of time (that is, an unmatured b</w:t>
      </w:r>
      <w:r w:rsidR="003B36B1">
        <w:rPr>
          <w:rFonts w:ascii="Avenir Next" w:hAnsi="Avenir Next" w:cs="Arial"/>
          <w:color w:val="7B7B7B" w:themeColor="accent3" w:themeShade="BF"/>
          <w:sz w:val="22"/>
          <w:szCs w:val="22"/>
          <w:lang w:val="en-GB"/>
        </w:rPr>
        <w:t>ut otherwise non-contingent claim) is regarded as non-contingent provided that the only outstanding requirement is the effluxion of time.</w:t>
      </w:r>
    </w:p>
    <w:p w14:paraId="4067A645" w14:textId="63628725" w:rsidR="003B36B1" w:rsidRDefault="003B36B1" w:rsidP="00F03051">
      <w:pPr>
        <w:jc w:val="both"/>
        <w:rPr>
          <w:rFonts w:ascii="Avenir Next" w:hAnsi="Avenir Next" w:cs="Arial"/>
          <w:color w:val="7B7B7B" w:themeColor="accent3" w:themeShade="BF"/>
          <w:sz w:val="22"/>
          <w:szCs w:val="22"/>
          <w:lang w:val="en-GB"/>
        </w:rPr>
      </w:pPr>
    </w:p>
    <w:p w14:paraId="55E78DBA" w14:textId="3796FDC4" w:rsidR="003B36B1" w:rsidRDefault="003B36B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claim must not be the subject of a </w:t>
      </w:r>
      <w:r>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as to liability or quantum. This requirement would not be met (i.e. there would be a </w:t>
      </w:r>
      <w:r w:rsidRPr="003B36B1">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where there is an objectively reasonable basis to dispute the claim either inf act or in law. A subjective belief is insufficient for this purpose. If a claim is disputed in part, the undisputed part does not count towards the monetary threshold; however, </w:t>
      </w:r>
      <w:r w:rsidR="00BB39FB">
        <w:rPr>
          <w:rFonts w:ascii="Avenir Next" w:hAnsi="Avenir Next" w:cs="Arial"/>
          <w:color w:val="7B7B7B" w:themeColor="accent3" w:themeShade="BF"/>
          <w:sz w:val="22"/>
          <w:szCs w:val="22"/>
          <w:lang w:val="en-GB"/>
        </w:rPr>
        <w:t xml:space="preserve">one creditor can of course hold disputed and undisputed claims and a dispute about one claim would not automatically mean a dispute about all claims.  </w:t>
      </w:r>
    </w:p>
    <w:p w14:paraId="36921C80" w14:textId="1E5C1B3E" w:rsidR="00BB39FB" w:rsidRDefault="00BB39FB" w:rsidP="00F03051">
      <w:pPr>
        <w:jc w:val="both"/>
        <w:rPr>
          <w:rFonts w:ascii="Avenir Next" w:hAnsi="Avenir Next" w:cs="Arial"/>
          <w:color w:val="7B7B7B" w:themeColor="accent3" w:themeShade="BF"/>
          <w:sz w:val="22"/>
          <w:szCs w:val="22"/>
          <w:lang w:val="en-GB"/>
        </w:rPr>
      </w:pPr>
    </w:p>
    <w:p w14:paraId="4E8DCA9A" w14:textId="3B5BF539" w:rsidR="00BB39FB" w:rsidRPr="003B36B1" w:rsidRDefault="00BB39F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the claim must be either unsecured entirely, or under-secured, in the specified sum. This can be alone, or in aggregate with other claims held by other petitioning creditors. The sum is current US$16,750, and is adjusted periodically based on inflation.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ECB1778" w:rsidR="00F03051" w:rsidRDefault="007540D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filing of a Chapter 11 petition would bring into effect an automatic stay in respect of various types of proceedings, aimed at allowing the debtor breathing space to either liquidate or reorganise its business. However, the automatic stay is subject to several exceptions. </w:t>
      </w:r>
    </w:p>
    <w:p w14:paraId="79DFB356" w14:textId="1B4CBF28" w:rsidR="007540D9" w:rsidRDefault="007540D9" w:rsidP="00F03051">
      <w:pPr>
        <w:jc w:val="both"/>
        <w:rPr>
          <w:rFonts w:ascii="Avenir Next" w:hAnsi="Avenir Next" w:cs="Arial"/>
          <w:color w:val="7B7B7B" w:themeColor="accent3" w:themeShade="BF"/>
          <w:sz w:val="22"/>
          <w:szCs w:val="22"/>
          <w:lang w:val="en-GB"/>
        </w:rPr>
      </w:pPr>
    </w:p>
    <w:p w14:paraId="1196CA3B" w14:textId="28D49B4F" w:rsidR="007540D9" w:rsidRDefault="007540D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DOJ investigation, as a regulatory investigation, is specifically excluded from the ambit</w:t>
      </w:r>
      <w:r w:rsidR="000A67B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of the automatic stay pursuant to 11 USC </w:t>
      </w:r>
      <w:r>
        <w:rPr>
          <w:rFonts w:ascii="Calibri" w:hAnsi="Calibri" w:cs="Calibri"/>
          <w:color w:val="7B7B7B" w:themeColor="accent3" w:themeShade="BF"/>
          <w:sz w:val="22"/>
          <w:szCs w:val="22"/>
          <w:lang w:val="en-GB"/>
        </w:rPr>
        <w:t>§</w:t>
      </w:r>
      <w:r>
        <w:rPr>
          <w:rFonts w:ascii="Avenir Next" w:hAnsi="Avenir Next" w:cs="Arial"/>
          <w:color w:val="7B7B7B" w:themeColor="accent3" w:themeShade="BF"/>
          <w:sz w:val="22"/>
          <w:szCs w:val="22"/>
          <w:lang w:val="en-GB"/>
        </w:rPr>
        <w:t>362.</w:t>
      </w:r>
      <w:r w:rsidR="000A67BA">
        <w:rPr>
          <w:rFonts w:ascii="Avenir Next" w:hAnsi="Avenir Next" w:cs="Arial"/>
          <w:color w:val="7B7B7B" w:themeColor="accent3" w:themeShade="BF"/>
          <w:sz w:val="22"/>
          <w:szCs w:val="22"/>
          <w:lang w:val="en-GB"/>
        </w:rPr>
        <w:t xml:space="preserve"> Accordingly, the DOJ is entitled to continue its investigation after the filing of a Chapter 11 petition. </w:t>
      </w:r>
    </w:p>
    <w:p w14:paraId="6D785A72" w14:textId="77777777" w:rsidR="000A67BA" w:rsidRDefault="000A67BA" w:rsidP="00F03051">
      <w:pPr>
        <w:jc w:val="both"/>
        <w:rPr>
          <w:rFonts w:ascii="Avenir Next" w:hAnsi="Avenir Next" w:cs="Arial"/>
          <w:color w:val="7B7B7B" w:themeColor="accent3" w:themeShade="BF"/>
          <w:sz w:val="22"/>
          <w:szCs w:val="22"/>
          <w:lang w:val="en-GB"/>
        </w:rPr>
      </w:pPr>
    </w:p>
    <w:p w14:paraId="6A4E2AE2" w14:textId="7B0A29EA" w:rsidR="007540D9" w:rsidRDefault="000A67B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bank's position in respect of the margin loan default would depend on the type of relief it seeks. To the extent that it sought to commence an ordinary civil suit against </w:t>
      </w:r>
      <w:r w:rsidR="008F4F76">
        <w:rPr>
          <w:rFonts w:ascii="Avenir Next" w:hAnsi="Avenir Next" w:cs="Arial"/>
          <w:color w:val="7B7B7B" w:themeColor="accent3" w:themeShade="BF"/>
          <w:sz w:val="22"/>
          <w:szCs w:val="22"/>
          <w:lang w:val="en-GB"/>
        </w:rPr>
        <w:t xml:space="preserve">Speculation Inc. for sums owed under the loan, that would be stayed by virtue of the automatic stay. However, should the bank elect to exercise its rights in respect of the collateral (share) it holds, then it is free to do so as the exercise of rights under a security contract is specifically excluded from the ambit of the stay (again, pursuant to 11 USC </w:t>
      </w:r>
      <w:r w:rsidR="008F4F76">
        <w:rPr>
          <w:rFonts w:ascii="Calibri" w:hAnsi="Calibri" w:cs="Calibri"/>
          <w:color w:val="7B7B7B" w:themeColor="accent3" w:themeShade="BF"/>
          <w:sz w:val="22"/>
          <w:szCs w:val="22"/>
          <w:lang w:val="en-GB"/>
        </w:rPr>
        <w:t>§</w:t>
      </w:r>
      <w:r w:rsidR="008F4F76">
        <w:rPr>
          <w:rFonts w:ascii="Avenir Next" w:hAnsi="Avenir Next" w:cs="Arial"/>
          <w:color w:val="7B7B7B" w:themeColor="accent3" w:themeShade="BF"/>
          <w:sz w:val="22"/>
          <w:szCs w:val="22"/>
          <w:lang w:val="en-GB"/>
        </w:rPr>
        <w:t xml:space="preserve">362). </w:t>
      </w:r>
    </w:p>
    <w:p w14:paraId="4FF6EEA5" w14:textId="4F2E0B6E" w:rsidR="008F4F76" w:rsidRDefault="008F4F76" w:rsidP="00F03051">
      <w:pPr>
        <w:jc w:val="both"/>
        <w:rPr>
          <w:rFonts w:ascii="Avenir Next" w:hAnsi="Avenir Next" w:cs="Arial"/>
          <w:color w:val="7B7B7B" w:themeColor="accent3" w:themeShade="BF"/>
          <w:sz w:val="22"/>
          <w:szCs w:val="22"/>
          <w:lang w:val="en-GB"/>
        </w:rPr>
      </w:pPr>
    </w:p>
    <w:p w14:paraId="2BA36FB7" w14:textId="0EBBE729" w:rsidR="008F4F76" w:rsidRDefault="008F4F7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the delinquent lease, the position will also depend on the specific circumstances: given that the lease is non-residential in nature, if its term has expired then the lessor is free to continue proceedings to evict Speculation Inc., as evictions of this nature are excluded from the stay. However, if the term has not expired (such that the lease constitutes an executory contract in Speculation Inc's estate), the lessor will not be entitled to sue for back rent or other sums owed by virtue of the sta</w:t>
      </w:r>
      <w:r w:rsidR="00421554">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w:t>
      </w:r>
    </w:p>
    <w:p w14:paraId="599FCE75" w14:textId="62C0520B" w:rsidR="00421554" w:rsidRDefault="00421554" w:rsidP="00F03051">
      <w:pPr>
        <w:jc w:val="both"/>
        <w:rPr>
          <w:rFonts w:ascii="Avenir Next" w:hAnsi="Avenir Next" w:cs="Arial"/>
          <w:color w:val="7B7B7B" w:themeColor="accent3" w:themeShade="BF"/>
          <w:sz w:val="22"/>
          <w:szCs w:val="22"/>
          <w:lang w:val="en-GB"/>
        </w:rPr>
      </w:pPr>
    </w:p>
    <w:p w14:paraId="07184D49" w14:textId="54649B59" w:rsidR="00421554" w:rsidRPr="00E41578" w:rsidRDefault="0042155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in relation to the discrimination lawsuit</w:t>
      </w:r>
      <w:r w:rsidR="00552705">
        <w:rPr>
          <w:rFonts w:ascii="Avenir Next" w:hAnsi="Avenir Next" w:cs="Arial"/>
          <w:color w:val="7B7B7B" w:themeColor="accent3" w:themeShade="BF"/>
          <w:sz w:val="22"/>
          <w:szCs w:val="22"/>
          <w:lang w:val="en-GB"/>
        </w:rPr>
        <w:t xml:space="preserve">, employees are afforded no special exceptions form the automatic stay, so the employee's claim would be stayed from the moment of filing of the Chapter 11 petition.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6F0E2556" w:rsidR="00F03051" w:rsidRDefault="007867C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Chapter 15, a foreign proceeding is defined as </w:t>
      </w:r>
      <w:r w:rsidR="00EF268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a collective judicial or administrative proceeding in a foreign country,… under a law relating to insolvency or adjustment of debt in which proceeding the assets </w:t>
      </w:r>
      <w:r w:rsidR="00EF2682">
        <w:rPr>
          <w:rFonts w:ascii="Avenir Next" w:hAnsi="Avenir Next" w:cs="Arial"/>
          <w:color w:val="7B7B7B" w:themeColor="accent3" w:themeShade="BF"/>
          <w:sz w:val="22"/>
          <w:szCs w:val="22"/>
          <w:lang w:val="en-GB"/>
        </w:rPr>
        <w:t>and affairs of the debtor are subject to control or supervision by a foreign court, for the purposes of reorganization or liquidation". A scheme of arrangement at English law, as a collective proceeding before the English High Court under UK insolvency law aimed at restructuring the debt of the debtor, meets these elements and accordingly t</w:t>
      </w:r>
      <w:r w:rsidR="00FB2119">
        <w:rPr>
          <w:rFonts w:ascii="Avenir Next" w:hAnsi="Avenir Next" w:cs="Arial"/>
          <w:color w:val="7B7B7B" w:themeColor="accent3" w:themeShade="BF"/>
          <w:sz w:val="22"/>
          <w:szCs w:val="22"/>
          <w:lang w:val="en-GB"/>
        </w:rPr>
        <w:t xml:space="preserve">he scheme of arrangement </w:t>
      </w:r>
      <w:r>
        <w:rPr>
          <w:rFonts w:ascii="Avenir Next" w:hAnsi="Avenir Next" w:cs="Arial"/>
          <w:color w:val="7B7B7B" w:themeColor="accent3" w:themeShade="BF"/>
          <w:sz w:val="22"/>
          <w:szCs w:val="22"/>
          <w:lang w:val="en-GB"/>
        </w:rPr>
        <w:t>would be recognised as a foreign proceeding pursuant to Chapter 15</w:t>
      </w:r>
      <w:r w:rsidR="00EF2682">
        <w:rPr>
          <w:rFonts w:ascii="Avenir Next" w:hAnsi="Avenir Next" w:cs="Arial"/>
          <w:color w:val="7B7B7B" w:themeColor="accent3" w:themeShade="BF"/>
          <w:sz w:val="22"/>
          <w:szCs w:val="22"/>
          <w:lang w:val="en-GB"/>
        </w:rPr>
        <w:t>.</w:t>
      </w:r>
    </w:p>
    <w:p w14:paraId="0CBB3F78" w14:textId="067E8F60" w:rsidR="00EF2682" w:rsidRDefault="00EF2682" w:rsidP="00F03051">
      <w:pPr>
        <w:jc w:val="both"/>
        <w:rPr>
          <w:rFonts w:ascii="Avenir Next" w:hAnsi="Avenir Next" w:cs="Arial"/>
          <w:color w:val="7B7B7B" w:themeColor="accent3" w:themeShade="BF"/>
          <w:sz w:val="22"/>
          <w:szCs w:val="22"/>
          <w:lang w:val="en-GB"/>
        </w:rPr>
      </w:pPr>
    </w:p>
    <w:p w14:paraId="404F12DE" w14:textId="275FD7C4" w:rsidR="00EF2682" w:rsidRDefault="00EF268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determination of whether the scheme of arrangement is a foreign main or foreign non-main proceeding will depend on Stella's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if Stella's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is England, the scheme of arrangement will be a foreign main proceeding since it is commenced in Stella's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jurisdiction. If however, Stella's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is not England, then the scheme of arrangement is a foreign non-main proceeding. </w:t>
      </w:r>
    </w:p>
    <w:p w14:paraId="22E53852" w14:textId="4EAE6B85" w:rsidR="00EF2682" w:rsidRDefault="00EF2682" w:rsidP="00F03051">
      <w:pPr>
        <w:jc w:val="both"/>
        <w:rPr>
          <w:rFonts w:ascii="Avenir Next" w:hAnsi="Avenir Next" w:cs="Arial"/>
          <w:color w:val="7B7B7B" w:themeColor="accent3" w:themeShade="BF"/>
          <w:sz w:val="22"/>
          <w:szCs w:val="22"/>
          <w:lang w:val="en-GB"/>
        </w:rPr>
      </w:pPr>
    </w:p>
    <w:p w14:paraId="145F9CF8" w14:textId="4D5C6F17" w:rsidR="00EF2682" w:rsidRDefault="00EF268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debtor's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is presumed to be its place of incorporation, and accordingly Stella's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will be presumed to be France. However, this presumption is rebuttable taking into account the location of its headquarters, its management, its primary assets, its majority creditors and the jurisdiction whose law will apply to most disputes. </w:t>
      </w:r>
    </w:p>
    <w:p w14:paraId="6E1EAFC0" w14:textId="2A495642" w:rsidR="00911B52" w:rsidRDefault="00911B52" w:rsidP="00F03051">
      <w:pPr>
        <w:jc w:val="both"/>
        <w:rPr>
          <w:rFonts w:ascii="Avenir Next" w:hAnsi="Avenir Next" w:cs="Arial"/>
          <w:color w:val="7B7B7B" w:themeColor="accent3" w:themeShade="BF"/>
          <w:sz w:val="22"/>
          <w:szCs w:val="22"/>
          <w:lang w:val="en-GB"/>
        </w:rPr>
      </w:pPr>
    </w:p>
    <w:p w14:paraId="5A7EDF0B" w14:textId="16FCFAE2" w:rsidR="00911B52" w:rsidRDefault="00911B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Stella's headquarters are in Paris (which supports its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being France), but its creditors (the Bank and Eurobond issuer) are based in England and English law applies to its debt. however, given there may be other claims arising in Italy (where its main operations are) or elsewhere in Europe (where it sells its products), this is not the only area in which claims could arise. </w:t>
      </w:r>
    </w:p>
    <w:p w14:paraId="023177AA" w14:textId="3EC853C7" w:rsidR="00911B52" w:rsidRDefault="00911B52" w:rsidP="00F03051">
      <w:pPr>
        <w:jc w:val="both"/>
        <w:rPr>
          <w:rFonts w:ascii="Avenir Next" w:hAnsi="Avenir Next" w:cs="Arial"/>
          <w:color w:val="7B7B7B" w:themeColor="accent3" w:themeShade="BF"/>
          <w:sz w:val="22"/>
          <w:szCs w:val="22"/>
          <w:lang w:val="en-GB"/>
        </w:rPr>
      </w:pPr>
    </w:p>
    <w:p w14:paraId="2642DAC7" w14:textId="20CBAE1A" w:rsidR="00911B52" w:rsidRDefault="00911B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light of the evidence as a whole, there is unlikely to be sufficient evidence to rebut the presumption that France is its </w:t>
      </w:r>
      <w:proofErr w:type="spellStart"/>
      <w:r>
        <w:rPr>
          <w:rFonts w:ascii="Avenir Next" w:hAnsi="Avenir Next" w:cs="Arial"/>
          <w:color w:val="7B7B7B" w:themeColor="accent3" w:themeShade="BF"/>
          <w:sz w:val="22"/>
          <w:szCs w:val="22"/>
          <w:lang w:val="en-GB"/>
        </w:rPr>
        <w:t>COMI</w:t>
      </w:r>
      <w:proofErr w:type="spellEnd"/>
      <w:r>
        <w:rPr>
          <w:rFonts w:ascii="Avenir Next" w:hAnsi="Avenir Next" w:cs="Arial"/>
          <w:color w:val="7B7B7B" w:themeColor="accent3" w:themeShade="BF"/>
          <w:sz w:val="22"/>
          <w:szCs w:val="22"/>
          <w:lang w:val="en-GB"/>
        </w:rPr>
        <w:t xml:space="preserve">, meaning the scheme of arrangement would stand to be a foreign non-main proceeding. </w:t>
      </w:r>
    </w:p>
    <w:p w14:paraId="3C6C2683" w14:textId="1C0E47C8" w:rsidR="00911B52" w:rsidRDefault="00911B52" w:rsidP="00F03051">
      <w:pPr>
        <w:jc w:val="both"/>
        <w:rPr>
          <w:rFonts w:ascii="Avenir Next" w:hAnsi="Avenir Next" w:cs="Arial"/>
          <w:color w:val="7B7B7B" w:themeColor="accent3" w:themeShade="BF"/>
          <w:sz w:val="22"/>
          <w:szCs w:val="22"/>
          <w:lang w:val="en-GB"/>
        </w:rPr>
      </w:pPr>
    </w:p>
    <w:p w14:paraId="6AE4957A" w14:textId="01CA5A86" w:rsidR="00911B52" w:rsidRPr="00E41578" w:rsidRDefault="00911B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be a foreign non-main proceeding, the debtor must have an establishment in the relevant country, meaning that it conducts non-transitory economic activity there. Securing finance and selling products are non-transitory economic activities, so Stella plainly has an establishment in England, allowing the English proceedings to be</w:t>
      </w:r>
      <w:r w:rsidR="007E4F6B">
        <w:rPr>
          <w:rFonts w:ascii="Avenir Next" w:hAnsi="Avenir Next" w:cs="Arial"/>
          <w:color w:val="7B7B7B" w:themeColor="accent3" w:themeShade="BF"/>
          <w:sz w:val="22"/>
          <w:szCs w:val="22"/>
          <w:lang w:val="en-GB"/>
        </w:rPr>
        <w:t xml:space="preserve"> recognised as</w:t>
      </w:r>
      <w:r>
        <w:rPr>
          <w:rFonts w:ascii="Avenir Next" w:hAnsi="Avenir Next" w:cs="Arial"/>
          <w:color w:val="7B7B7B" w:themeColor="accent3" w:themeShade="BF"/>
          <w:sz w:val="22"/>
          <w:szCs w:val="22"/>
          <w:lang w:val="en-GB"/>
        </w:rPr>
        <w:t xml:space="preserve"> foreign non-main proceedings pursuant to Chapter 15</w:t>
      </w:r>
      <w:r w:rsidR="00346D83">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8CD74C1" w:rsidR="00F03051" w:rsidRPr="00E41578" w:rsidRDefault="002F4D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an executory contract, because there are material un-performed obligations on both sides.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3C88A53C" w:rsidR="00F03051" w:rsidRPr="00E41578" w:rsidRDefault="005D6A8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Despite the fact that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is an executory contract (which would usually entitled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as debtor to transfer it pursuant to a 363 sale without consent), licenses involving patents and trademarks enjoy special protection pursuant to the Bankruptcy Code. Thus,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would not be able to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without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 This is because the no-</w:t>
      </w:r>
      <w:proofErr w:type="spellStart"/>
      <w:r>
        <w:rPr>
          <w:rFonts w:ascii="Avenir Next" w:hAnsi="Avenir Next" w:cs="Arial"/>
          <w:color w:val="7B7B7B" w:themeColor="accent3" w:themeShade="BF"/>
          <w:sz w:val="22"/>
          <w:szCs w:val="22"/>
          <w:lang w:val="en-GB"/>
        </w:rPr>
        <w:t>bankruptyc</w:t>
      </w:r>
      <w:proofErr w:type="spellEnd"/>
      <w:r>
        <w:rPr>
          <w:rFonts w:ascii="Avenir Next" w:hAnsi="Avenir Next" w:cs="Arial"/>
          <w:color w:val="7B7B7B" w:themeColor="accent3" w:themeShade="BF"/>
          <w:sz w:val="22"/>
          <w:szCs w:val="22"/>
          <w:lang w:val="en-GB"/>
        </w:rPr>
        <w:t xml:space="preserve"> law relevant to patents provides that a party </w:t>
      </w:r>
      <w:proofErr w:type="spellStart"/>
      <w:r>
        <w:rPr>
          <w:rFonts w:ascii="Avenir Next" w:hAnsi="Avenir Next" w:cs="Arial"/>
          <w:color w:val="7B7B7B" w:themeColor="accent3" w:themeShade="BF"/>
          <w:sz w:val="22"/>
          <w:szCs w:val="22"/>
          <w:lang w:val="en-GB"/>
        </w:rPr>
        <w:t>canont</w:t>
      </w:r>
      <w:proofErr w:type="spellEnd"/>
      <w:r>
        <w:rPr>
          <w:rFonts w:ascii="Avenir Next" w:hAnsi="Avenir Next" w:cs="Arial"/>
          <w:color w:val="7B7B7B" w:themeColor="accent3" w:themeShade="BF"/>
          <w:sz w:val="22"/>
          <w:szCs w:val="22"/>
          <w:lang w:val="en-GB"/>
        </w:rPr>
        <w:t xml:space="preserve"> be compelled to accept performance by a transferee.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2420FC7" w:rsidR="00F03051" w:rsidRPr="00E41578" w:rsidRDefault="002F4D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lease </w:t>
      </w:r>
      <w:r w:rsidR="00660756">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an executory contract given that there are material non-performed obligations on both sides. Thus, despite the anti-assignment provision in  </w:t>
      </w:r>
      <w:r w:rsidR="00660756">
        <w:rPr>
          <w:rFonts w:ascii="Avenir Next" w:hAnsi="Avenir Next" w:cs="Arial"/>
          <w:color w:val="7B7B7B" w:themeColor="accent3" w:themeShade="BF"/>
          <w:sz w:val="22"/>
          <w:szCs w:val="22"/>
          <w:lang w:val="en-GB"/>
        </w:rPr>
        <w:t xml:space="preserve">the lease, </w:t>
      </w:r>
      <w:proofErr w:type="spellStart"/>
      <w:r w:rsidR="00660756">
        <w:rPr>
          <w:rFonts w:ascii="Avenir Next" w:hAnsi="Avenir Next" w:cs="Arial"/>
          <w:color w:val="7B7B7B" w:themeColor="accent3" w:themeShade="BF"/>
          <w:sz w:val="22"/>
          <w:szCs w:val="22"/>
          <w:lang w:val="en-GB"/>
        </w:rPr>
        <w:t>GameMart</w:t>
      </w:r>
      <w:proofErr w:type="spellEnd"/>
      <w:r w:rsidR="00660756">
        <w:rPr>
          <w:rFonts w:ascii="Avenir Next" w:hAnsi="Avenir Next" w:cs="Arial"/>
          <w:color w:val="7B7B7B" w:themeColor="accent3" w:themeShade="BF"/>
          <w:sz w:val="22"/>
          <w:szCs w:val="22"/>
          <w:lang w:val="en-GB"/>
        </w:rPr>
        <w:t xml:space="preserve"> is free to elect to assume and assign the lease, and can do so without Land Corp's consent as lessor. </w:t>
      </w:r>
      <w:r w:rsidR="007F6657">
        <w:rPr>
          <w:rFonts w:ascii="Avenir Next" w:hAnsi="Avenir Next" w:cs="Arial"/>
          <w:color w:val="7B7B7B" w:themeColor="accent3" w:themeShade="BF"/>
          <w:sz w:val="22"/>
          <w:szCs w:val="22"/>
          <w:lang w:val="en-GB"/>
        </w:rPr>
        <w:t xml:space="preserve">There are on special provisions relative to the assignment of leases in this regard like there are for, for example intellectual property.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D587DA3" w:rsidR="00241FA3" w:rsidRPr="00494B81" w:rsidRDefault="00DB0616" w:rsidP="009B4976">
    <w:pPr>
      <w:pStyle w:val="Footer"/>
      <w:ind w:right="360"/>
      <w:rPr>
        <w:rFonts w:ascii="Avenir Next" w:hAnsi="Avenir Next" w:cs="Arial"/>
        <w:sz w:val="22"/>
        <w:szCs w:val="22"/>
        <w:lang w:val="en-GB"/>
      </w:rPr>
    </w:pPr>
    <w:r>
      <w:rPr>
        <w:rFonts w:ascii="Avenir Next" w:hAnsi="Avenir Next" w:cs="Arial"/>
        <w:sz w:val="22"/>
        <w:szCs w:val="22"/>
        <w:lang w:val="en-GB"/>
      </w:rPr>
      <w:t>202223-908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309770">
    <w:abstractNumId w:val="21"/>
  </w:num>
  <w:num w:numId="2" w16cid:durableId="1832982854">
    <w:abstractNumId w:val="24"/>
  </w:num>
  <w:num w:numId="3" w16cid:durableId="1926762269">
    <w:abstractNumId w:val="4"/>
  </w:num>
  <w:num w:numId="4" w16cid:durableId="1679040151">
    <w:abstractNumId w:val="8"/>
  </w:num>
  <w:num w:numId="5" w16cid:durableId="2057855393">
    <w:abstractNumId w:val="10"/>
  </w:num>
  <w:num w:numId="6" w16cid:durableId="1900748041">
    <w:abstractNumId w:val="27"/>
  </w:num>
  <w:num w:numId="7" w16cid:durableId="1324360622">
    <w:abstractNumId w:val="5"/>
  </w:num>
  <w:num w:numId="8" w16cid:durableId="1247617494">
    <w:abstractNumId w:val="29"/>
  </w:num>
  <w:num w:numId="9" w16cid:durableId="1552881022">
    <w:abstractNumId w:val="11"/>
  </w:num>
  <w:num w:numId="10" w16cid:durableId="961032015">
    <w:abstractNumId w:val="23"/>
  </w:num>
  <w:num w:numId="11" w16cid:durableId="2126073103">
    <w:abstractNumId w:val="13"/>
  </w:num>
  <w:num w:numId="12" w16cid:durableId="618222101">
    <w:abstractNumId w:val="20"/>
  </w:num>
  <w:num w:numId="13" w16cid:durableId="210313380">
    <w:abstractNumId w:val="0"/>
  </w:num>
  <w:num w:numId="14" w16cid:durableId="1342777442">
    <w:abstractNumId w:val="9"/>
  </w:num>
  <w:num w:numId="15" w16cid:durableId="459499831">
    <w:abstractNumId w:val="16"/>
  </w:num>
  <w:num w:numId="16" w16cid:durableId="298339954">
    <w:abstractNumId w:val="7"/>
  </w:num>
  <w:num w:numId="17" w16cid:durableId="1512377987">
    <w:abstractNumId w:val="3"/>
  </w:num>
  <w:num w:numId="18" w16cid:durableId="213928635">
    <w:abstractNumId w:val="2"/>
  </w:num>
  <w:num w:numId="19" w16cid:durableId="1366980787">
    <w:abstractNumId w:val="25"/>
  </w:num>
  <w:num w:numId="20" w16cid:durableId="1968126137">
    <w:abstractNumId w:val="6"/>
  </w:num>
  <w:num w:numId="21" w16cid:durableId="2110082720">
    <w:abstractNumId w:val="22"/>
  </w:num>
  <w:num w:numId="22" w16cid:durableId="156699429">
    <w:abstractNumId w:val="30"/>
  </w:num>
  <w:num w:numId="23" w16cid:durableId="1933733332">
    <w:abstractNumId w:val="12"/>
  </w:num>
  <w:num w:numId="24" w16cid:durableId="1723360764">
    <w:abstractNumId w:val="26"/>
  </w:num>
  <w:num w:numId="25" w16cid:durableId="56755786">
    <w:abstractNumId w:val="17"/>
  </w:num>
  <w:num w:numId="26" w16cid:durableId="548301014">
    <w:abstractNumId w:val="18"/>
  </w:num>
  <w:num w:numId="27" w16cid:durableId="1208104829">
    <w:abstractNumId w:val="14"/>
  </w:num>
  <w:num w:numId="28" w16cid:durableId="1384401682">
    <w:abstractNumId w:val="28"/>
  </w:num>
  <w:num w:numId="29" w16cid:durableId="1707607218">
    <w:abstractNumId w:val="1"/>
  </w:num>
  <w:num w:numId="30" w16cid:durableId="34235245">
    <w:abstractNumId w:val="15"/>
  </w:num>
  <w:num w:numId="31" w16cid:durableId="17265358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0557"/>
    <w:rsid w:val="00021FC2"/>
    <w:rsid w:val="00022E00"/>
    <w:rsid w:val="000250C7"/>
    <w:rsid w:val="00026F16"/>
    <w:rsid w:val="000346E7"/>
    <w:rsid w:val="00037621"/>
    <w:rsid w:val="00037671"/>
    <w:rsid w:val="00042C87"/>
    <w:rsid w:val="00044D46"/>
    <w:rsid w:val="00045088"/>
    <w:rsid w:val="000456CC"/>
    <w:rsid w:val="00045904"/>
    <w:rsid w:val="000502FD"/>
    <w:rsid w:val="00065166"/>
    <w:rsid w:val="000778B1"/>
    <w:rsid w:val="00082609"/>
    <w:rsid w:val="000851CC"/>
    <w:rsid w:val="00093BE8"/>
    <w:rsid w:val="00097B45"/>
    <w:rsid w:val="00097D56"/>
    <w:rsid w:val="000A407B"/>
    <w:rsid w:val="000A636A"/>
    <w:rsid w:val="000A67BA"/>
    <w:rsid w:val="000A68ED"/>
    <w:rsid w:val="000A7A3D"/>
    <w:rsid w:val="000B5FF1"/>
    <w:rsid w:val="000B609F"/>
    <w:rsid w:val="000C4C5B"/>
    <w:rsid w:val="000D55A8"/>
    <w:rsid w:val="000D57E6"/>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6307"/>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4D53"/>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46402"/>
    <w:rsid w:val="00346D83"/>
    <w:rsid w:val="003502EB"/>
    <w:rsid w:val="00361A0A"/>
    <w:rsid w:val="00364836"/>
    <w:rsid w:val="0036565C"/>
    <w:rsid w:val="0036625E"/>
    <w:rsid w:val="00371495"/>
    <w:rsid w:val="0037465A"/>
    <w:rsid w:val="00382C98"/>
    <w:rsid w:val="0038411A"/>
    <w:rsid w:val="0038533C"/>
    <w:rsid w:val="00386568"/>
    <w:rsid w:val="00390B57"/>
    <w:rsid w:val="003948D5"/>
    <w:rsid w:val="00396821"/>
    <w:rsid w:val="00397D3A"/>
    <w:rsid w:val="003A051E"/>
    <w:rsid w:val="003A5537"/>
    <w:rsid w:val="003A75F4"/>
    <w:rsid w:val="003B170F"/>
    <w:rsid w:val="003B36B1"/>
    <w:rsid w:val="003B3C5F"/>
    <w:rsid w:val="003B7184"/>
    <w:rsid w:val="003C3388"/>
    <w:rsid w:val="003C4471"/>
    <w:rsid w:val="003C53FE"/>
    <w:rsid w:val="003D0A6D"/>
    <w:rsid w:val="003D7875"/>
    <w:rsid w:val="003E0B16"/>
    <w:rsid w:val="003E67D1"/>
    <w:rsid w:val="00404329"/>
    <w:rsid w:val="00405B63"/>
    <w:rsid w:val="00405DC1"/>
    <w:rsid w:val="00415B15"/>
    <w:rsid w:val="00415F1F"/>
    <w:rsid w:val="0042108F"/>
    <w:rsid w:val="00421554"/>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86E89"/>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1AE9"/>
    <w:rsid w:val="00544127"/>
    <w:rsid w:val="005463A9"/>
    <w:rsid w:val="00552705"/>
    <w:rsid w:val="00553EB2"/>
    <w:rsid w:val="00560534"/>
    <w:rsid w:val="0056391B"/>
    <w:rsid w:val="005650E2"/>
    <w:rsid w:val="00567AD7"/>
    <w:rsid w:val="00575B2D"/>
    <w:rsid w:val="005833D0"/>
    <w:rsid w:val="00583D8E"/>
    <w:rsid w:val="005846F3"/>
    <w:rsid w:val="0058622F"/>
    <w:rsid w:val="00587019"/>
    <w:rsid w:val="00592F82"/>
    <w:rsid w:val="0059552C"/>
    <w:rsid w:val="005A0CCA"/>
    <w:rsid w:val="005A6FF2"/>
    <w:rsid w:val="005A726D"/>
    <w:rsid w:val="005B67AC"/>
    <w:rsid w:val="005B79F4"/>
    <w:rsid w:val="005D1293"/>
    <w:rsid w:val="005D43E0"/>
    <w:rsid w:val="005D58A3"/>
    <w:rsid w:val="005D6642"/>
    <w:rsid w:val="005D6A8C"/>
    <w:rsid w:val="005E1B79"/>
    <w:rsid w:val="005E2EA7"/>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0756"/>
    <w:rsid w:val="006639DB"/>
    <w:rsid w:val="006661EF"/>
    <w:rsid w:val="00677AEB"/>
    <w:rsid w:val="00680EF2"/>
    <w:rsid w:val="00687A1D"/>
    <w:rsid w:val="00697EA1"/>
    <w:rsid w:val="006A2646"/>
    <w:rsid w:val="006A6530"/>
    <w:rsid w:val="006A7EDF"/>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40D9"/>
    <w:rsid w:val="007603F5"/>
    <w:rsid w:val="00764DB0"/>
    <w:rsid w:val="0076764D"/>
    <w:rsid w:val="0077498C"/>
    <w:rsid w:val="00777C53"/>
    <w:rsid w:val="007809BC"/>
    <w:rsid w:val="00784128"/>
    <w:rsid w:val="007867C0"/>
    <w:rsid w:val="00787BCC"/>
    <w:rsid w:val="00793173"/>
    <w:rsid w:val="007A2A33"/>
    <w:rsid w:val="007A4EBF"/>
    <w:rsid w:val="007B0809"/>
    <w:rsid w:val="007B5C89"/>
    <w:rsid w:val="007C1FCC"/>
    <w:rsid w:val="007C503C"/>
    <w:rsid w:val="007C6201"/>
    <w:rsid w:val="007D0192"/>
    <w:rsid w:val="007D7C92"/>
    <w:rsid w:val="007E1154"/>
    <w:rsid w:val="007E4F6B"/>
    <w:rsid w:val="007E6BA4"/>
    <w:rsid w:val="007F12AB"/>
    <w:rsid w:val="007F41F8"/>
    <w:rsid w:val="007F659B"/>
    <w:rsid w:val="007F6657"/>
    <w:rsid w:val="007F6A09"/>
    <w:rsid w:val="0080454E"/>
    <w:rsid w:val="00804C32"/>
    <w:rsid w:val="00805305"/>
    <w:rsid w:val="00806302"/>
    <w:rsid w:val="00807119"/>
    <w:rsid w:val="0082483F"/>
    <w:rsid w:val="008279C0"/>
    <w:rsid w:val="00834F92"/>
    <w:rsid w:val="008723F3"/>
    <w:rsid w:val="008772F6"/>
    <w:rsid w:val="00881DE6"/>
    <w:rsid w:val="008837A6"/>
    <w:rsid w:val="0089145D"/>
    <w:rsid w:val="00892DDD"/>
    <w:rsid w:val="00895EF1"/>
    <w:rsid w:val="008A4DF2"/>
    <w:rsid w:val="008A6CFE"/>
    <w:rsid w:val="008A771D"/>
    <w:rsid w:val="008B4F15"/>
    <w:rsid w:val="008B5333"/>
    <w:rsid w:val="008B6223"/>
    <w:rsid w:val="008C66E0"/>
    <w:rsid w:val="008D0DEC"/>
    <w:rsid w:val="008D13A4"/>
    <w:rsid w:val="008E3339"/>
    <w:rsid w:val="008F20FC"/>
    <w:rsid w:val="008F4F76"/>
    <w:rsid w:val="008F5FFE"/>
    <w:rsid w:val="00902FA7"/>
    <w:rsid w:val="00905A43"/>
    <w:rsid w:val="00911B52"/>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4D70"/>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97904"/>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5AB4"/>
    <w:rsid w:val="00B77B19"/>
    <w:rsid w:val="00B77F46"/>
    <w:rsid w:val="00B82586"/>
    <w:rsid w:val="00B829A3"/>
    <w:rsid w:val="00B86DB1"/>
    <w:rsid w:val="00B87869"/>
    <w:rsid w:val="00B9639B"/>
    <w:rsid w:val="00BB0F2B"/>
    <w:rsid w:val="00BB39FB"/>
    <w:rsid w:val="00BD4A58"/>
    <w:rsid w:val="00BD7337"/>
    <w:rsid w:val="00BE4FF3"/>
    <w:rsid w:val="00BF50F7"/>
    <w:rsid w:val="00C02F29"/>
    <w:rsid w:val="00C05A9F"/>
    <w:rsid w:val="00C20AFE"/>
    <w:rsid w:val="00C22A25"/>
    <w:rsid w:val="00C35671"/>
    <w:rsid w:val="00C35B77"/>
    <w:rsid w:val="00C362AA"/>
    <w:rsid w:val="00C376EB"/>
    <w:rsid w:val="00C427B5"/>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CF7793"/>
    <w:rsid w:val="00D041E0"/>
    <w:rsid w:val="00D04AFE"/>
    <w:rsid w:val="00D06A30"/>
    <w:rsid w:val="00D14336"/>
    <w:rsid w:val="00D148DC"/>
    <w:rsid w:val="00D17FDC"/>
    <w:rsid w:val="00D21021"/>
    <w:rsid w:val="00D21D8C"/>
    <w:rsid w:val="00D316F2"/>
    <w:rsid w:val="00D34584"/>
    <w:rsid w:val="00D53719"/>
    <w:rsid w:val="00D60E97"/>
    <w:rsid w:val="00D61CC1"/>
    <w:rsid w:val="00D61DEE"/>
    <w:rsid w:val="00D63EFD"/>
    <w:rsid w:val="00D84752"/>
    <w:rsid w:val="00D86B3B"/>
    <w:rsid w:val="00D8748A"/>
    <w:rsid w:val="00D93196"/>
    <w:rsid w:val="00D9565D"/>
    <w:rsid w:val="00DA0DC0"/>
    <w:rsid w:val="00DA1D45"/>
    <w:rsid w:val="00DB0616"/>
    <w:rsid w:val="00DB243C"/>
    <w:rsid w:val="00DB482A"/>
    <w:rsid w:val="00DB50FB"/>
    <w:rsid w:val="00DB56F2"/>
    <w:rsid w:val="00DB6EF5"/>
    <w:rsid w:val="00DC25E9"/>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2682"/>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2119"/>
    <w:rsid w:val="00FB7FBD"/>
    <w:rsid w:val="00FC374A"/>
    <w:rsid w:val="00FC43EC"/>
    <w:rsid w:val="00FC7AC7"/>
    <w:rsid w:val="00FC7B47"/>
    <w:rsid w:val="00FD035C"/>
    <w:rsid w:val="00FD1A35"/>
    <w:rsid w:val="00FD2EA4"/>
    <w:rsid w:val="00FD36C5"/>
    <w:rsid w:val="00FD6310"/>
    <w:rsid w:val="00FD7C7B"/>
    <w:rsid w:val="00FD7CA1"/>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Bailey</cp:lastModifiedBy>
  <cp:revision>27</cp:revision>
  <cp:lastPrinted>2019-08-27T05:42:00Z</cp:lastPrinted>
  <dcterms:created xsi:type="dcterms:W3CDTF">2023-02-24T16:18:00Z</dcterms:created>
  <dcterms:modified xsi:type="dcterms:W3CDTF">2023-02-27T22:36:00Z</dcterms:modified>
</cp:coreProperties>
</file>