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CB07FD" w:rsidRDefault="00CE0ECD" w:rsidP="00B77B19">
      <w:pPr>
        <w:pStyle w:val="AODocTxt"/>
        <w:numPr>
          <w:ilvl w:val="0"/>
          <w:numId w:val="14"/>
        </w:numPr>
        <w:spacing w:before="0" w:line="240" w:lineRule="auto"/>
        <w:ind w:left="426"/>
        <w:rPr>
          <w:rFonts w:ascii="Avenir Next" w:hAnsi="Avenir Next"/>
          <w:highlight w:val="yellow"/>
        </w:rPr>
      </w:pPr>
      <w:r w:rsidRPr="00CB07FD">
        <w:rPr>
          <w:rFonts w:ascii="Avenir Next" w:hAnsi="Avenir Next"/>
          <w:highlight w:val="yellow"/>
        </w:rPr>
        <w:t>All of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CB07FD">
        <w:rPr>
          <w:rFonts w:ascii="Avenir Next" w:hAnsi="Avenir Next"/>
          <w:highlight w:val="yellow"/>
        </w:rPr>
        <w:t>(b)</w:t>
      </w:r>
      <w:r w:rsidRPr="00CB07FD">
        <w:rPr>
          <w:rFonts w:ascii="Avenir Next" w:hAnsi="Avenir Next"/>
          <w:highlight w:val="yellow"/>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CB07FD" w:rsidRDefault="00CE0ECD" w:rsidP="00097D56">
      <w:pPr>
        <w:pStyle w:val="AODocTxt"/>
        <w:numPr>
          <w:ilvl w:val="0"/>
          <w:numId w:val="16"/>
        </w:numPr>
        <w:spacing w:before="0" w:line="240" w:lineRule="auto"/>
        <w:ind w:left="426"/>
        <w:rPr>
          <w:rFonts w:ascii="Avenir Next" w:hAnsi="Avenir Next"/>
          <w:highlight w:val="yellow"/>
        </w:rPr>
      </w:pPr>
      <w:r w:rsidRPr="00CB07FD">
        <w:rPr>
          <w:rFonts w:ascii="Avenir Next" w:hAnsi="Avenir Next"/>
          <w:highlight w:val="yellow"/>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2C4932" w:rsidRDefault="00CE0ECD" w:rsidP="00A82B32">
      <w:pPr>
        <w:pStyle w:val="AODocTxt"/>
        <w:numPr>
          <w:ilvl w:val="0"/>
          <w:numId w:val="18"/>
        </w:numPr>
        <w:spacing w:before="0" w:line="240" w:lineRule="auto"/>
        <w:ind w:left="426"/>
        <w:rPr>
          <w:rFonts w:ascii="Avenir Next" w:hAnsi="Avenir Next"/>
        </w:rPr>
      </w:pPr>
      <w:r w:rsidRPr="002C4932">
        <w:rPr>
          <w:rFonts w:ascii="Avenir Next" w:hAnsi="Avenir Next"/>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of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Pr="004F42B8" w:rsidRDefault="00CE0ECD" w:rsidP="00A82B32">
      <w:pPr>
        <w:pStyle w:val="AODocTxt"/>
        <w:numPr>
          <w:ilvl w:val="0"/>
          <w:numId w:val="18"/>
        </w:numPr>
        <w:spacing w:before="0" w:line="240" w:lineRule="auto"/>
        <w:ind w:left="426"/>
        <w:rPr>
          <w:rFonts w:ascii="Avenir Next" w:hAnsi="Avenir Next"/>
          <w:highlight w:val="yellow"/>
        </w:rPr>
      </w:pPr>
      <w:r w:rsidRPr="004F42B8">
        <w:rPr>
          <w:rFonts w:ascii="Avenir Next" w:hAnsi="Avenir Next"/>
          <w:highlight w:val="yellow"/>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DE54A7" w:rsidRDefault="00CE0ECD" w:rsidP="00E421C6">
      <w:pPr>
        <w:pStyle w:val="AODocTxt"/>
        <w:numPr>
          <w:ilvl w:val="0"/>
          <w:numId w:val="20"/>
        </w:numPr>
        <w:spacing w:before="0" w:line="240" w:lineRule="auto"/>
        <w:ind w:left="426"/>
        <w:rPr>
          <w:rFonts w:ascii="Avenir Next" w:hAnsi="Avenir Next"/>
          <w:highlight w:val="yellow"/>
        </w:rPr>
      </w:pPr>
      <w:r w:rsidRPr="00DE54A7">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The debtor in possession must establish that the transaction is in the best interests of the estate as a whole.</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DE54A7" w:rsidRDefault="00CE0ECD" w:rsidP="00E421C6">
      <w:pPr>
        <w:pStyle w:val="AODocTxt"/>
        <w:numPr>
          <w:ilvl w:val="0"/>
          <w:numId w:val="22"/>
        </w:numPr>
        <w:spacing w:before="0" w:line="240" w:lineRule="auto"/>
        <w:ind w:left="426"/>
        <w:rPr>
          <w:rFonts w:ascii="Avenir Next" w:hAnsi="Avenir Next"/>
          <w:highlight w:val="yellow"/>
        </w:rPr>
      </w:pPr>
      <w:r w:rsidRPr="00DE54A7">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062516" w:rsidRDefault="00CE0ECD" w:rsidP="000346E7">
      <w:pPr>
        <w:pStyle w:val="AODocTxt"/>
        <w:numPr>
          <w:ilvl w:val="0"/>
          <w:numId w:val="24"/>
        </w:numPr>
        <w:spacing w:before="0" w:line="240" w:lineRule="auto"/>
        <w:ind w:left="426"/>
        <w:rPr>
          <w:rFonts w:ascii="Avenir Next" w:hAnsi="Avenir Next"/>
          <w:highlight w:val="yellow"/>
        </w:rPr>
      </w:pPr>
      <w:r w:rsidRPr="00062516">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All of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6670B8" w:rsidRDefault="00CE0ECD" w:rsidP="004830F8">
      <w:pPr>
        <w:pStyle w:val="AODocTxt"/>
        <w:numPr>
          <w:ilvl w:val="0"/>
          <w:numId w:val="26"/>
        </w:numPr>
        <w:spacing w:before="0" w:line="240" w:lineRule="auto"/>
        <w:ind w:left="426"/>
        <w:rPr>
          <w:rFonts w:ascii="Avenir Next" w:hAnsi="Avenir Next"/>
          <w:highlight w:val="yellow"/>
        </w:rPr>
      </w:pPr>
      <w:r w:rsidRPr="006670B8">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6670B8" w:rsidRDefault="00CE0ECD" w:rsidP="004830F8">
      <w:pPr>
        <w:pStyle w:val="AODocTxt"/>
        <w:numPr>
          <w:ilvl w:val="0"/>
          <w:numId w:val="28"/>
        </w:numPr>
        <w:spacing w:before="0" w:line="240" w:lineRule="auto"/>
        <w:ind w:left="426"/>
        <w:rPr>
          <w:rFonts w:ascii="Avenir Next" w:hAnsi="Avenir Next"/>
          <w:highlight w:val="yellow"/>
        </w:rPr>
      </w:pPr>
      <w:r w:rsidRPr="006670B8">
        <w:rPr>
          <w:rFonts w:ascii="Avenir Next" w:hAnsi="Avenir Next"/>
          <w:highlight w:val="yellow"/>
        </w:rPr>
        <w:t>If a creditor can show it extended credit on the basis of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the majority of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6670B8" w:rsidRDefault="00CE0ECD" w:rsidP="00AA0280">
      <w:pPr>
        <w:pStyle w:val="AODocTxt"/>
        <w:numPr>
          <w:ilvl w:val="0"/>
          <w:numId w:val="30"/>
        </w:numPr>
        <w:spacing w:before="0" w:line="240" w:lineRule="auto"/>
        <w:ind w:left="426"/>
        <w:rPr>
          <w:rFonts w:ascii="Avenir Next" w:hAnsi="Avenir Next"/>
          <w:highlight w:val="yellow"/>
        </w:rPr>
      </w:pPr>
      <w:r w:rsidRPr="006670B8">
        <w:rPr>
          <w:rFonts w:ascii="Avenir Next" w:hAnsi="Avenir Next"/>
          <w:highlight w:val="yellow"/>
        </w:rPr>
        <w:t>All of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639F9C37" w14:textId="49280F75" w:rsidR="00011D1A" w:rsidRDefault="00654951" w:rsidP="00E41578">
      <w:pPr>
        <w:jc w:val="both"/>
      </w:pPr>
      <w:r>
        <w:rPr>
          <w:rFonts w:ascii="Avenir Next" w:hAnsi="Avenir Next" w:cs="Arial"/>
          <w:color w:val="7B7B7B" w:themeColor="accent3" w:themeShade="BF"/>
          <w:sz w:val="22"/>
          <w:szCs w:val="22"/>
          <w:lang w:val="en-GB"/>
        </w:rPr>
        <w:t xml:space="preserve">Setoff allows a creditor </w:t>
      </w:r>
      <w:r w:rsidR="009D1082">
        <w:rPr>
          <w:rFonts w:ascii="Avenir Next" w:hAnsi="Avenir Next" w:cs="Arial"/>
          <w:color w:val="7B7B7B" w:themeColor="accent3" w:themeShade="BF"/>
          <w:sz w:val="22"/>
          <w:szCs w:val="22"/>
          <w:lang w:val="en-GB"/>
        </w:rPr>
        <w:t>who has</w:t>
      </w:r>
      <w:r>
        <w:rPr>
          <w:rFonts w:ascii="Avenir Next" w:hAnsi="Avenir Next" w:cs="Arial"/>
          <w:color w:val="7B7B7B" w:themeColor="accent3" w:themeShade="BF"/>
          <w:sz w:val="22"/>
          <w:szCs w:val="22"/>
          <w:lang w:val="en-GB"/>
        </w:rPr>
        <w:t xml:space="preserve"> a claim against a debtor </w:t>
      </w:r>
      <w:r w:rsidR="009D1082">
        <w:rPr>
          <w:rFonts w:ascii="Avenir Next" w:hAnsi="Avenir Next" w:cs="Arial"/>
          <w:color w:val="7B7B7B" w:themeColor="accent3" w:themeShade="BF"/>
          <w:sz w:val="22"/>
          <w:szCs w:val="22"/>
          <w:lang w:val="en-GB"/>
        </w:rPr>
        <w:t>and owes</w:t>
      </w:r>
      <w:r>
        <w:rPr>
          <w:rFonts w:ascii="Avenir Next" w:hAnsi="Avenir Next" w:cs="Arial"/>
          <w:color w:val="7B7B7B" w:themeColor="accent3" w:themeShade="BF"/>
          <w:sz w:val="22"/>
          <w:szCs w:val="22"/>
          <w:lang w:val="en-GB"/>
        </w:rPr>
        <w:t xml:space="preserve"> money to that debtor to “net out” those obligations. </w:t>
      </w:r>
      <w:r w:rsidR="001400A1">
        <w:rPr>
          <w:rFonts w:ascii="Avenir Next" w:hAnsi="Avenir Next" w:cs="Arial"/>
          <w:color w:val="7B7B7B" w:themeColor="accent3" w:themeShade="BF"/>
          <w:sz w:val="22"/>
          <w:szCs w:val="22"/>
        </w:rPr>
        <w:t>P</w:t>
      </w:r>
      <w:proofErr w:type="spellStart"/>
      <w:r w:rsidR="00EE0DE6">
        <w:rPr>
          <w:rFonts w:ascii="Avenir Next" w:hAnsi="Avenir Next" w:cs="Arial"/>
          <w:color w:val="7B7B7B" w:themeColor="accent3" w:themeShade="BF"/>
          <w:sz w:val="22"/>
          <w:szCs w:val="22"/>
          <w:lang w:val="en-GB"/>
        </w:rPr>
        <w:t>ursuant</w:t>
      </w:r>
      <w:proofErr w:type="spellEnd"/>
      <w:r w:rsidR="00EE0DE6">
        <w:rPr>
          <w:rFonts w:ascii="Avenir Next" w:hAnsi="Avenir Next" w:cs="Arial"/>
          <w:color w:val="7B7B7B" w:themeColor="accent3" w:themeShade="BF"/>
          <w:sz w:val="22"/>
          <w:szCs w:val="22"/>
          <w:lang w:val="en-GB"/>
        </w:rPr>
        <w:t xml:space="preserve"> to</w:t>
      </w:r>
      <w:r w:rsidR="00A23394">
        <w:rPr>
          <w:rFonts w:ascii="Avenir Next" w:hAnsi="Avenir Next" w:cs="Arial"/>
          <w:color w:val="7B7B7B" w:themeColor="accent3" w:themeShade="BF"/>
          <w:sz w:val="22"/>
          <w:szCs w:val="22"/>
          <w:lang w:val="en-GB"/>
        </w:rPr>
        <w:t xml:space="preserve"> section 362(a) of the Bankruptcy Code, the </w:t>
      </w:r>
      <w:r w:rsidR="00327560">
        <w:rPr>
          <w:rFonts w:ascii="Avenir Next" w:hAnsi="Avenir Next" w:cs="Arial"/>
          <w:color w:val="7B7B7B" w:themeColor="accent3" w:themeShade="BF"/>
          <w:sz w:val="22"/>
          <w:szCs w:val="22"/>
          <w:lang w:val="en-GB"/>
        </w:rPr>
        <w:t xml:space="preserve">automatic </w:t>
      </w:r>
      <w:r w:rsidR="00A23394">
        <w:rPr>
          <w:rFonts w:ascii="Avenir Next" w:hAnsi="Avenir Next" w:cs="Arial"/>
          <w:color w:val="7B7B7B" w:themeColor="accent3" w:themeShade="BF"/>
          <w:sz w:val="22"/>
          <w:szCs w:val="22"/>
          <w:lang w:val="en-GB"/>
        </w:rPr>
        <w:t xml:space="preserve">stay also applies to the setoff </w:t>
      </w:r>
      <w:r w:rsidR="002A5B69">
        <w:rPr>
          <w:rFonts w:ascii="Avenir Next" w:hAnsi="Avenir Next" w:cs="Arial"/>
          <w:color w:val="7B7B7B" w:themeColor="accent3" w:themeShade="BF"/>
          <w:sz w:val="22"/>
          <w:szCs w:val="22"/>
          <w:lang w:val="en-GB"/>
        </w:rPr>
        <w:t>between</w:t>
      </w:r>
      <w:r w:rsidR="00A23394">
        <w:rPr>
          <w:rFonts w:ascii="Avenir Next" w:hAnsi="Avenir Next" w:cs="Arial"/>
          <w:color w:val="7B7B7B" w:themeColor="accent3" w:themeShade="BF"/>
          <w:sz w:val="22"/>
          <w:szCs w:val="22"/>
          <w:lang w:val="en-GB"/>
        </w:rPr>
        <w:t xml:space="preserve"> any debt arising prior to the opening of proceedings </w:t>
      </w:r>
      <w:r w:rsidR="002A5B69">
        <w:rPr>
          <w:rFonts w:ascii="Avenir Next" w:hAnsi="Avenir Next" w:cs="Arial"/>
          <w:color w:val="7B7B7B" w:themeColor="accent3" w:themeShade="BF"/>
          <w:sz w:val="22"/>
          <w:szCs w:val="22"/>
          <w:lang w:val="en-GB"/>
        </w:rPr>
        <w:t>and</w:t>
      </w:r>
      <w:r w:rsidR="00A23394">
        <w:rPr>
          <w:rFonts w:ascii="Avenir Next" w:hAnsi="Avenir Next" w:cs="Arial"/>
          <w:color w:val="7B7B7B" w:themeColor="accent3" w:themeShade="BF"/>
          <w:sz w:val="22"/>
          <w:szCs w:val="22"/>
          <w:lang w:val="en-GB"/>
        </w:rPr>
        <w:t xml:space="preserve"> any pre-petition claim of the debto</w:t>
      </w:r>
      <w:r w:rsidR="00CB50EF">
        <w:rPr>
          <w:rFonts w:ascii="Avenir Next" w:hAnsi="Avenir Next" w:cs="Arial"/>
          <w:color w:val="7B7B7B" w:themeColor="accent3" w:themeShade="BF"/>
          <w:sz w:val="22"/>
          <w:szCs w:val="22"/>
          <w:lang w:val="en-GB"/>
        </w:rPr>
        <w:t>r.</w:t>
      </w:r>
      <w:r w:rsidR="001400A1">
        <w:rPr>
          <w:rFonts w:ascii="Avenir Next" w:hAnsi="Avenir Next" w:cs="Arial"/>
          <w:color w:val="7B7B7B" w:themeColor="accent3" w:themeShade="BF"/>
          <w:sz w:val="22"/>
          <w:szCs w:val="22"/>
          <w:lang w:val="en-GB"/>
        </w:rPr>
        <w:t xml:space="preserve"> </w:t>
      </w:r>
      <w:r w:rsidR="006471A2">
        <w:rPr>
          <w:rFonts w:ascii="Avenir Next" w:hAnsi="Avenir Next" w:cs="Arial"/>
          <w:color w:val="7B7B7B" w:themeColor="accent3" w:themeShade="BF"/>
          <w:sz w:val="22"/>
          <w:szCs w:val="22"/>
          <w:lang w:val="en-GB"/>
        </w:rPr>
        <w:t xml:space="preserve">Except for specific transactions, </w:t>
      </w:r>
      <w:r w:rsidR="00327560">
        <w:rPr>
          <w:rFonts w:ascii="Avenir Next" w:hAnsi="Avenir Next" w:cs="Arial"/>
          <w:color w:val="7B7B7B" w:themeColor="accent3" w:themeShade="BF"/>
          <w:sz w:val="22"/>
          <w:szCs w:val="22"/>
          <w:lang w:val="en-GB"/>
        </w:rPr>
        <w:t xml:space="preserve">pursuing </w:t>
      </w:r>
      <w:r w:rsidR="006471A2">
        <w:rPr>
          <w:rFonts w:ascii="Avenir Next" w:hAnsi="Avenir Next" w:cs="Arial"/>
          <w:color w:val="7B7B7B" w:themeColor="accent3" w:themeShade="BF"/>
          <w:sz w:val="22"/>
          <w:szCs w:val="22"/>
          <w:lang w:val="en-GB"/>
        </w:rPr>
        <w:t>s</w:t>
      </w:r>
      <w:r w:rsidR="001400A1">
        <w:rPr>
          <w:rFonts w:ascii="Avenir Next" w:hAnsi="Avenir Next" w:cs="Arial"/>
          <w:color w:val="7B7B7B" w:themeColor="accent3" w:themeShade="BF"/>
          <w:sz w:val="22"/>
          <w:szCs w:val="22"/>
          <w:lang w:val="en-GB"/>
        </w:rPr>
        <w:t xml:space="preserve">etoff rights </w:t>
      </w:r>
      <w:r w:rsidR="00327560">
        <w:rPr>
          <w:rFonts w:ascii="Avenir Next" w:hAnsi="Avenir Next" w:cs="Arial"/>
          <w:color w:val="7B7B7B" w:themeColor="accent3" w:themeShade="BF"/>
          <w:sz w:val="22"/>
          <w:szCs w:val="22"/>
          <w:lang w:val="en-GB"/>
        </w:rPr>
        <w:t>is</w:t>
      </w:r>
      <w:r w:rsidR="001400A1">
        <w:rPr>
          <w:rFonts w:ascii="Avenir Next" w:hAnsi="Avenir Next" w:cs="Arial"/>
          <w:color w:val="7B7B7B" w:themeColor="accent3" w:themeShade="BF"/>
          <w:sz w:val="22"/>
          <w:szCs w:val="22"/>
          <w:lang w:val="en-GB"/>
        </w:rPr>
        <w:t xml:space="preserve"> not allowed </w:t>
      </w:r>
      <w:r w:rsidR="006471A2">
        <w:rPr>
          <w:rFonts w:ascii="Avenir Next" w:hAnsi="Avenir Next" w:cs="Arial"/>
          <w:color w:val="7B7B7B" w:themeColor="accent3" w:themeShade="BF"/>
          <w:sz w:val="22"/>
          <w:szCs w:val="22"/>
          <w:lang w:val="en-GB"/>
        </w:rPr>
        <w:t>in several contexts</w:t>
      </w:r>
      <w:r w:rsidR="00D22BA6">
        <w:rPr>
          <w:rFonts w:ascii="Avenir Next" w:hAnsi="Avenir Next" w:cs="Arial"/>
          <w:color w:val="7B7B7B" w:themeColor="accent3" w:themeShade="BF"/>
          <w:sz w:val="22"/>
          <w:szCs w:val="22"/>
          <w:lang w:val="en-GB"/>
        </w:rPr>
        <w:t xml:space="preserve">. </w:t>
      </w:r>
      <w:r w:rsidR="003C419A">
        <w:rPr>
          <w:rFonts w:ascii="Avenir Next" w:hAnsi="Avenir Next" w:cs="Arial"/>
          <w:color w:val="7B7B7B" w:themeColor="accent3" w:themeShade="BF"/>
          <w:sz w:val="22"/>
          <w:szCs w:val="22"/>
          <w:lang w:val="en-GB"/>
        </w:rPr>
        <w:t>T</w:t>
      </w:r>
      <w:r w:rsidR="00B871D1">
        <w:rPr>
          <w:rFonts w:ascii="Avenir Next" w:hAnsi="Avenir Next" w:cs="Arial"/>
          <w:color w:val="7B7B7B" w:themeColor="accent3" w:themeShade="BF"/>
          <w:sz w:val="22"/>
          <w:szCs w:val="22"/>
          <w:lang w:val="en-GB"/>
        </w:rPr>
        <w:t xml:space="preserve">his is </w:t>
      </w:r>
      <w:r w:rsidR="00327560">
        <w:rPr>
          <w:rFonts w:ascii="Avenir Next" w:hAnsi="Avenir Next" w:cs="Arial"/>
          <w:color w:val="7B7B7B" w:themeColor="accent3" w:themeShade="BF"/>
          <w:sz w:val="22"/>
          <w:szCs w:val="22"/>
          <w:lang w:val="en-GB"/>
        </w:rPr>
        <w:t>because</w:t>
      </w:r>
      <w:r w:rsidR="00B871D1">
        <w:rPr>
          <w:rFonts w:ascii="Avenir Next" w:hAnsi="Avenir Next" w:cs="Arial"/>
          <w:color w:val="7B7B7B" w:themeColor="accent3" w:themeShade="BF"/>
          <w:sz w:val="22"/>
          <w:szCs w:val="22"/>
          <w:lang w:val="en-GB"/>
        </w:rPr>
        <w:t xml:space="preserve"> the exercise of </w:t>
      </w:r>
      <w:r w:rsidR="00327560">
        <w:rPr>
          <w:rFonts w:ascii="Avenir Next" w:hAnsi="Avenir Next" w:cs="Arial"/>
          <w:color w:val="7B7B7B" w:themeColor="accent3" w:themeShade="BF"/>
          <w:sz w:val="22"/>
          <w:szCs w:val="22"/>
          <w:lang w:val="en-GB"/>
        </w:rPr>
        <w:t>such</w:t>
      </w:r>
      <w:r w:rsidR="00B871D1">
        <w:rPr>
          <w:rFonts w:ascii="Avenir Next" w:hAnsi="Avenir Next" w:cs="Arial"/>
          <w:color w:val="7B7B7B" w:themeColor="accent3" w:themeShade="BF"/>
          <w:sz w:val="22"/>
          <w:szCs w:val="22"/>
          <w:lang w:val="en-GB"/>
        </w:rPr>
        <w:t xml:space="preserve"> rights can improve the creditor’s position </w:t>
      </w:r>
      <w:r w:rsidR="00361A9C">
        <w:rPr>
          <w:rFonts w:ascii="Avenir Next" w:hAnsi="Avenir Next" w:cs="Arial"/>
          <w:color w:val="7B7B7B" w:themeColor="accent3" w:themeShade="BF"/>
          <w:sz w:val="22"/>
          <w:szCs w:val="22"/>
          <w:lang w:val="en-GB"/>
        </w:rPr>
        <w:t>when compared to other unsecured creditors not owed money by the debtor</w:t>
      </w:r>
      <w:r w:rsidR="00C90B24">
        <w:rPr>
          <w:rFonts w:ascii="Avenir Next" w:hAnsi="Avenir Next" w:cs="Arial"/>
          <w:color w:val="7B7B7B" w:themeColor="accent3" w:themeShade="BF"/>
          <w:sz w:val="22"/>
          <w:szCs w:val="22"/>
          <w:lang w:val="en-GB"/>
        </w:rPr>
        <w:t xml:space="preserve">. </w:t>
      </w:r>
      <w:r w:rsidR="00261819">
        <w:rPr>
          <w:rFonts w:ascii="Avenir Next" w:hAnsi="Avenir Next" w:cs="Arial"/>
          <w:color w:val="7B7B7B" w:themeColor="accent3" w:themeShade="BF"/>
          <w:sz w:val="22"/>
          <w:szCs w:val="22"/>
          <w:lang w:val="en-GB"/>
        </w:rPr>
        <w:t xml:space="preserve">It reduces </w:t>
      </w:r>
      <w:r w:rsidR="00327560">
        <w:rPr>
          <w:rFonts w:ascii="Avenir Next" w:hAnsi="Avenir Next" w:cs="Arial"/>
          <w:color w:val="7B7B7B" w:themeColor="accent3" w:themeShade="BF"/>
          <w:sz w:val="22"/>
          <w:szCs w:val="22"/>
          <w:lang w:val="en-GB"/>
        </w:rPr>
        <w:t xml:space="preserve">the </w:t>
      </w:r>
      <w:r w:rsidR="002A5B69">
        <w:rPr>
          <w:rFonts w:ascii="Avenir Next" w:hAnsi="Avenir Next" w:cs="Arial"/>
          <w:color w:val="7B7B7B" w:themeColor="accent3" w:themeShade="BF"/>
          <w:sz w:val="22"/>
          <w:szCs w:val="22"/>
          <w:lang w:val="en-GB"/>
        </w:rPr>
        <w:t>creditor’s</w:t>
      </w:r>
      <w:r w:rsidR="00261819">
        <w:rPr>
          <w:rFonts w:ascii="Avenir Next" w:hAnsi="Avenir Next" w:cs="Arial"/>
          <w:color w:val="7B7B7B" w:themeColor="accent3" w:themeShade="BF"/>
          <w:sz w:val="22"/>
          <w:szCs w:val="22"/>
          <w:lang w:val="en-GB"/>
        </w:rPr>
        <w:t xml:space="preserve"> obligation towards the estate by the full amount owed by </w:t>
      </w:r>
      <w:r w:rsidR="002E03AE">
        <w:rPr>
          <w:rFonts w:ascii="Avenir Next" w:hAnsi="Avenir Next" w:cs="Arial"/>
          <w:color w:val="7B7B7B" w:themeColor="accent3" w:themeShade="BF"/>
          <w:sz w:val="22"/>
          <w:szCs w:val="22"/>
          <w:lang w:val="en-GB"/>
        </w:rPr>
        <w:t>the debtor</w:t>
      </w:r>
      <w:r w:rsidR="00261819">
        <w:rPr>
          <w:rFonts w:ascii="Avenir Next" w:hAnsi="Avenir Next" w:cs="Arial"/>
          <w:color w:val="7B7B7B" w:themeColor="accent3" w:themeShade="BF"/>
          <w:sz w:val="22"/>
          <w:szCs w:val="22"/>
          <w:lang w:val="en-GB"/>
        </w:rPr>
        <w:t xml:space="preserve"> </w:t>
      </w:r>
      <w:r w:rsidR="002E03AE">
        <w:rPr>
          <w:rFonts w:ascii="Avenir Next" w:hAnsi="Avenir Next" w:cs="Arial"/>
          <w:color w:val="7B7B7B" w:themeColor="accent3" w:themeShade="BF"/>
          <w:sz w:val="22"/>
          <w:szCs w:val="22"/>
          <w:lang w:val="en-GB"/>
        </w:rPr>
        <w:t>as compared to</w:t>
      </w:r>
      <w:r w:rsidR="00261819">
        <w:rPr>
          <w:rFonts w:ascii="Avenir Next" w:hAnsi="Avenir Next" w:cs="Arial"/>
          <w:color w:val="7B7B7B" w:themeColor="accent3" w:themeShade="BF"/>
          <w:sz w:val="22"/>
          <w:szCs w:val="22"/>
          <w:lang w:val="en-GB"/>
        </w:rPr>
        <w:t xml:space="preserve"> the </w:t>
      </w:r>
      <w:r w:rsidR="00AF53EB">
        <w:rPr>
          <w:rFonts w:ascii="Avenir Next" w:hAnsi="Avenir Next" w:cs="Arial"/>
          <w:color w:val="7B7B7B" w:themeColor="accent3" w:themeShade="BF"/>
          <w:sz w:val="22"/>
          <w:szCs w:val="22"/>
          <w:lang w:val="en-GB"/>
        </w:rPr>
        <w:t>lower</w:t>
      </w:r>
      <w:r w:rsidR="00261819">
        <w:rPr>
          <w:rFonts w:ascii="Avenir Next" w:hAnsi="Avenir Next" w:cs="Arial"/>
          <w:color w:val="7B7B7B" w:themeColor="accent3" w:themeShade="BF"/>
          <w:sz w:val="22"/>
          <w:szCs w:val="22"/>
          <w:lang w:val="en-GB"/>
        </w:rPr>
        <w:t xml:space="preserve"> amount that </w:t>
      </w:r>
      <w:r w:rsidR="002E03AE">
        <w:rPr>
          <w:rFonts w:ascii="Avenir Next" w:hAnsi="Avenir Next" w:cs="Arial"/>
          <w:color w:val="7B7B7B" w:themeColor="accent3" w:themeShade="BF"/>
          <w:sz w:val="22"/>
          <w:szCs w:val="22"/>
          <w:lang w:val="en-GB"/>
        </w:rPr>
        <w:t>the latter</w:t>
      </w:r>
      <w:r w:rsidR="00261819">
        <w:rPr>
          <w:rFonts w:ascii="Avenir Next" w:hAnsi="Avenir Next" w:cs="Arial"/>
          <w:color w:val="7B7B7B" w:themeColor="accent3" w:themeShade="BF"/>
          <w:sz w:val="22"/>
          <w:szCs w:val="22"/>
          <w:lang w:val="en-GB"/>
        </w:rPr>
        <w:t xml:space="preserve"> would pay for the unsecured claim.</w:t>
      </w:r>
      <w:r w:rsidR="00C80D1C">
        <w:rPr>
          <w:rFonts w:ascii="Avenir Next" w:hAnsi="Avenir Next" w:cs="Arial"/>
          <w:color w:val="7B7B7B" w:themeColor="accent3" w:themeShade="BF"/>
          <w:sz w:val="22"/>
          <w:szCs w:val="22"/>
          <w:lang w:val="en-GB"/>
        </w:rPr>
        <w:t xml:space="preserve"> S</w:t>
      </w:r>
      <w:r w:rsidR="000454B0">
        <w:rPr>
          <w:rFonts w:ascii="Avenir Next" w:hAnsi="Avenir Next" w:cs="Arial"/>
          <w:color w:val="7B7B7B" w:themeColor="accent3" w:themeShade="BF"/>
          <w:sz w:val="22"/>
          <w:szCs w:val="22"/>
          <w:lang w:val="en-GB"/>
        </w:rPr>
        <w:t xml:space="preserve">etoff rights are not permitted </w:t>
      </w:r>
      <w:r w:rsidR="00C80D1C">
        <w:rPr>
          <w:rFonts w:ascii="Avenir Next" w:hAnsi="Avenir Next" w:cs="Arial"/>
          <w:color w:val="7B7B7B" w:themeColor="accent3" w:themeShade="BF"/>
          <w:sz w:val="22"/>
          <w:szCs w:val="22"/>
          <w:lang w:val="en-GB"/>
        </w:rPr>
        <w:t>in</w:t>
      </w:r>
      <w:r w:rsidR="000454B0">
        <w:rPr>
          <w:rFonts w:ascii="Avenir Next" w:hAnsi="Avenir Next" w:cs="Arial"/>
          <w:color w:val="7B7B7B" w:themeColor="accent3" w:themeShade="BF"/>
          <w:sz w:val="22"/>
          <w:szCs w:val="22"/>
          <w:lang w:val="en-GB"/>
        </w:rPr>
        <w:t xml:space="preserve"> the following</w:t>
      </w:r>
      <w:r w:rsidR="00C80D1C" w:rsidRPr="00C80D1C">
        <w:rPr>
          <w:rFonts w:ascii="Avenir Next" w:hAnsi="Avenir Next" w:cs="Arial"/>
          <w:color w:val="7B7B7B" w:themeColor="accent3" w:themeShade="BF"/>
          <w:sz w:val="22"/>
          <w:szCs w:val="22"/>
          <w:lang w:val="en-GB"/>
        </w:rPr>
        <w:t xml:space="preserve"> </w:t>
      </w:r>
      <w:r w:rsidR="00C80D1C">
        <w:rPr>
          <w:rFonts w:ascii="Avenir Next" w:hAnsi="Avenir Next" w:cs="Arial"/>
          <w:color w:val="7B7B7B" w:themeColor="accent3" w:themeShade="BF"/>
          <w:sz w:val="22"/>
          <w:szCs w:val="22"/>
          <w:lang w:val="en-GB"/>
        </w:rPr>
        <w:t>situations</w:t>
      </w:r>
      <w:r w:rsidR="00BC5B7A">
        <w:rPr>
          <w:rFonts w:ascii="Avenir Next" w:hAnsi="Avenir Next" w:cs="Arial"/>
          <w:color w:val="7B7B7B" w:themeColor="accent3" w:themeShade="BF"/>
          <w:sz w:val="22"/>
          <w:szCs w:val="22"/>
          <w:lang w:val="en-GB"/>
        </w:rPr>
        <w:t xml:space="preserve">: the claim of the creditor is disallowed, the creditor’s claim </w:t>
      </w:r>
      <w:r w:rsidR="00C80D1C">
        <w:rPr>
          <w:rFonts w:ascii="Avenir Next" w:hAnsi="Avenir Next" w:cs="Arial"/>
          <w:color w:val="7B7B7B" w:themeColor="accent3" w:themeShade="BF"/>
          <w:sz w:val="22"/>
          <w:szCs w:val="22"/>
          <w:lang w:val="en-GB"/>
        </w:rPr>
        <w:t>was</w:t>
      </w:r>
      <w:r w:rsidR="00BC5B7A">
        <w:rPr>
          <w:rFonts w:ascii="Avenir Next" w:hAnsi="Avenir Next" w:cs="Arial"/>
          <w:color w:val="7B7B7B" w:themeColor="accent3" w:themeShade="BF"/>
          <w:sz w:val="22"/>
          <w:szCs w:val="22"/>
          <w:lang w:val="en-GB"/>
        </w:rPr>
        <w:t xml:space="preserve"> </w:t>
      </w:r>
      <w:r w:rsidR="00C80D1C">
        <w:rPr>
          <w:rFonts w:ascii="Avenir Next" w:hAnsi="Avenir Next" w:cs="Arial"/>
          <w:color w:val="7B7B7B" w:themeColor="accent3" w:themeShade="BF"/>
          <w:sz w:val="22"/>
          <w:szCs w:val="22"/>
          <w:lang w:val="en-GB"/>
        </w:rPr>
        <w:t>acquired</w:t>
      </w:r>
      <w:r w:rsidR="00B5429C">
        <w:rPr>
          <w:rFonts w:ascii="Avenir Next" w:hAnsi="Avenir Next" w:cs="Arial"/>
          <w:color w:val="7B7B7B" w:themeColor="accent3" w:themeShade="BF"/>
          <w:sz w:val="22"/>
          <w:szCs w:val="22"/>
          <w:lang w:val="en-GB"/>
        </w:rPr>
        <w:t xml:space="preserve"> after the </w:t>
      </w:r>
      <w:r w:rsidR="00566D6C">
        <w:rPr>
          <w:rFonts w:ascii="Avenir Next" w:hAnsi="Avenir Next" w:cs="Arial"/>
          <w:color w:val="7B7B7B" w:themeColor="accent3" w:themeShade="BF"/>
          <w:sz w:val="22"/>
          <w:szCs w:val="22"/>
          <w:lang w:val="en-GB"/>
        </w:rPr>
        <w:t>filing of the petition</w:t>
      </w:r>
      <w:r w:rsidR="00B5429C">
        <w:rPr>
          <w:rFonts w:ascii="Avenir Next" w:hAnsi="Avenir Next" w:cs="Arial"/>
          <w:color w:val="7B7B7B" w:themeColor="accent3" w:themeShade="BF"/>
          <w:sz w:val="22"/>
          <w:szCs w:val="22"/>
          <w:lang w:val="en-GB"/>
        </w:rPr>
        <w:t xml:space="preserve"> or in the 90 days before the filing </w:t>
      </w:r>
      <w:r w:rsidR="003D5EFB">
        <w:rPr>
          <w:rFonts w:ascii="Avenir Next" w:hAnsi="Avenir Next" w:cs="Arial"/>
          <w:color w:val="7B7B7B" w:themeColor="accent3" w:themeShade="BF"/>
          <w:sz w:val="22"/>
          <w:szCs w:val="22"/>
          <w:lang w:val="en-GB"/>
        </w:rPr>
        <w:t xml:space="preserve">when the debtor was insolvent, </w:t>
      </w:r>
      <w:r w:rsidR="008339E5">
        <w:rPr>
          <w:rFonts w:ascii="Avenir Next" w:hAnsi="Avenir Next" w:cs="Arial"/>
          <w:color w:val="7B7B7B" w:themeColor="accent3" w:themeShade="BF"/>
          <w:sz w:val="22"/>
          <w:szCs w:val="22"/>
          <w:lang w:val="en-GB"/>
        </w:rPr>
        <w:t xml:space="preserve">the creditor’s obligation </w:t>
      </w:r>
      <w:r w:rsidR="00466442">
        <w:rPr>
          <w:rFonts w:ascii="Avenir Next" w:hAnsi="Avenir Next" w:cs="Arial"/>
          <w:color w:val="7B7B7B" w:themeColor="accent3" w:themeShade="BF"/>
          <w:sz w:val="22"/>
          <w:szCs w:val="22"/>
          <w:lang w:val="en-GB"/>
        </w:rPr>
        <w:t>arises</w:t>
      </w:r>
      <w:r w:rsidR="008339E5">
        <w:rPr>
          <w:rFonts w:ascii="Avenir Next" w:hAnsi="Avenir Next" w:cs="Arial"/>
          <w:color w:val="7B7B7B" w:themeColor="accent3" w:themeShade="BF"/>
          <w:sz w:val="22"/>
          <w:szCs w:val="22"/>
          <w:lang w:val="en-GB"/>
        </w:rPr>
        <w:t xml:space="preserve"> in the 90 days before the filing of the petition when the debtor was insolvent with the scope of </w:t>
      </w:r>
      <w:r w:rsidR="000A0AFF">
        <w:rPr>
          <w:rFonts w:ascii="Avenir Next" w:hAnsi="Avenir Next" w:cs="Arial"/>
          <w:color w:val="7B7B7B" w:themeColor="accent3" w:themeShade="BF"/>
          <w:sz w:val="22"/>
          <w:szCs w:val="22"/>
          <w:lang w:val="en-GB"/>
        </w:rPr>
        <w:t>pursuing setoff rights</w:t>
      </w:r>
      <w:r w:rsidR="00466442">
        <w:rPr>
          <w:rFonts w:ascii="Avenir Next" w:hAnsi="Avenir Next" w:cs="Arial"/>
          <w:color w:val="7B7B7B" w:themeColor="accent3" w:themeShade="BF"/>
          <w:sz w:val="22"/>
          <w:szCs w:val="22"/>
          <w:lang w:val="en-GB"/>
        </w:rPr>
        <w:t xml:space="preserve">, and </w:t>
      </w:r>
      <w:r w:rsidR="00FB2968">
        <w:rPr>
          <w:rFonts w:ascii="Avenir Next" w:hAnsi="Avenir Next" w:cs="Arial"/>
          <w:color w:val="7B7B7B" w:themeColor="accent3" w:themeShade="BF"/>
          <w:sz w:val="22"/>
          <w:szCs w:val="22"/>
          <w:lang w:val="en-GB"/>
        </w:rPr>
        <w:t xml:space="preserve">the creditor’s position is enhanced </w:t>
      </w:r>
      <w:r w:rsidR="00E42B79">
        <w:rPr>
          <w:rFonts w:ascii="Avenir Next" w:hAnsi="Avenir Next" w:cs="Arial"/>
          <w:color w:val="7B7B7B" w:themeColor="accent3" w:themeShade="BF"/>
          <w:sz w:val="22"/>
          <w:szCs w:val="22"/>
          <w:lang w:val="en-GB"/>
        </w:rPr>
        <w:t xml:space="preserve">via setoff as compared to the position of the same creditor </w:t>
      </w:r>
      <w:r w:rsidR="000A7DBA">
        <w:rPr>
          <w:rFonts w:ascii="Avenir Next" w:hAnsi="Avenir Next" w:cs="Arial"/>
          <w:color w:val="7B7B7B" w:themeColor="accent3" w:themeShade="BF"/>
          <w:sz w:val="22"/>
          <w:szCs w:val="22"/>
          <w:lang w:val="en-GB"/>
        </w:rPr>
        <w:t xml:space="preserve">had the </w:t>
      </w:r>
      <w:r w:rsidR="00E42B79">
        <w:rPr>
          <w:rFonts w:ascii="Avenir Next" w:hAnsi="Avenir Next" w:cs="Arial"/>
          <w:color w:val="7B7B7B" w:themeColor="accent3" w:themeShade="BF"/>
          <w:sz w:val="22"/>
          <w:szCs w:val="22"/>
          <w:lang w:val="en-GB"/>
        </w:rPr>
        <w:t>setoff been exercised 90 days before the petition.</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16B233C2" w14:textId="5074053F" w:rsidR="00E41578" w:rsidRPr="00E41578" w:rsidRDefault="00225013"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When preparing a filing for a bankruptcy </w:t>
      </w:r>
      <w:r w:rsidR="009A46D0">
        <w:rPr>
          <w:rFonts w:ascii="Avenir Next" w:hAnsi="Avenir Next" w:cs="Arial"/>
          <w:color w:val="7B7B7B" w:themeColor="accent3" w:themeShade="BF"/>
          <w:sz w:val="22"/>
          <w:szCs w:val="22"/>
          <w:lang w:val="en-GB"/>
        </w:rPr>
        <w:t xml:space="preserve">court </w:t>
      </w:r>
      <w:r w:rsidR="001318FD">
        <w:rPr>
          <w:rFonts w:ascii="Avenir Next" w:hAnsi="Avenir Next" w:cs="Arial"/>
          <w:color w:val="7B7B7B" w:themeColor="accent3" w:themeShade="BF"/>
          <w:sz w:val="22"/>
          <w:szCs w:val="22"/>
          <w:lang w:val="en-GB"/>
        </w:rPr>
        <w:t>the following rules should be reviewed: the Fed</w:t>
      </w:r>
      <w:r w:rsidR="005A13B9">
        <w:rPr>
          <w:rFonts w:ascii="Avenir Next" w:hAnsi="Avenir Next" w:cs="Arial"/>
          <w:color w:val="7B7B7B" w:themeColor="accent3" w:themeShade="BF"/>
          <w:sz w:val="22"/>
          <w:szCs w:val="22"/>
          <w:lang w:val="en-GB"/>
        </w:rPr>
        <w:t>e</w:t>
      </w:r>
      <w:r w:rsidR="001318FD">
        <w:rPr>
          <w:rFonts w:ascii="Avenir Next" w:hAnsi="Avenir Next" w:cs="Arial"/>
          <w:color w:val="7B7B7B" w:themeColor="accent3" w:themeShade="BF"/>
          <w:sz w:val="22"/>
          <w:szCs w:val="22"/>
          <w:lang w:val="en-GB"/>
        </w:rPr>
        <w:t xml:space="preserve">ral Rules of Bankruptcy Procedure (i.e. “the Bankruptcy Rules”), </w:t>
      </w:r>
      <w:r w:rsidR="005A13B9">
        <w:rPr>
          <w:rFonts w:ascii="Avenir Next" w:hAnsi="Avenir Next" w:cs="Arial"/>
          <w:color w:val="7B7B7B" w:themeColor="accent3" w:themeShade="BF"/>
          <w:sz w:val="22"/>
          <w:szCs w:val="22"/>
          <w:lang w:val="en-GB"/>
        </w:rPr>
        <w:t>the Federal Rules of Civil Procedure</w:t>
      </w:r>
      <w:r w:rsidR="00284164">
        <w:rPr>
          <w:rFonts w:ascii="Avenir Next" w:hAnsi="Avenir Next" w:cs="Arial"/>
          <w:color w:val="7B7B7B" w:themeColor="accent3" w:themeShade="BF"/>
          <w:sz w:val="22"/>
          <w:szCs w:val="22"/>
          <w:lang w:val="en-GB"/>
        </w:rPr>
        <w:t xml:space="preserve">, the local rules </w:t>
      </w:r>
      <w:r w:rsidR="00BB3DDF">
        <w:rPr>
          <w:rFonts w:ascii="Avenir Next" w:hAnsi="Avenir Next" w:cs="Arial"/>
          <w:color w:val="7B7B7B" w:themeColor="accent3" w:themeShade="BF"/>
          <w:sz w:val="22"/>
          <w:szCs w:val="22"/>
          <w:lang w:val="en-GB"/>
        </w:rPr>
        <w:t>applying to</w:t>
      </w:r>
      <w:r w:rsidR="00284164">
        <w:rPr>
          <w:rFonts w:ascii="Avenir Next" w:hAnsi="Avenir Next" w:cs="Arial"/>
          <w:color w:val="7B7B7B" w:themeColor="accent3" w:themeShade="BF"/>
          <w:sz w:val="22"/>
          <w:szCs w:val="22"/>
          <w:lang w:val="en-GB"/>
        </w:rPr>
        <w:t xml:space="preserve"> </w:t>
      </w:r>
      <w:r w:rsidR="00847040">
        <w:rPr>
          <w:rFonts w:ascii="Avenir Next" w:hAnsi="Avenir Next" w:cs="Arial"/>
          <w:color w:val="7B7B7B" w:themeColor="accent3" w:themeShade="BF"/>
          <w:sz w:val="22"/>
          <w:szCs w:val="22"/>
          <w:lang w:val="en-GB"/>
        </w:rPr>
        <w:t>the relevant</w:t>
      </w:r>
      <w:r w:rsidR="000A33CD">
        <w:rPr>
          <w:rFonts w:ascii="Avenir Next" w:hAnsi="Avenir Next" w:cs="Arial"/>
          <w:color w:val="7B7B7B" w:themeColor="accent3" w:themeShade="BF"/>
          <w:sz w:val="22"/>
          <w:szCs w:val="22"/>
          <w:lang w:val="en-GB"/>
        </w:rPr>
        <w:t xml:space="preserve"> bankruptcy court as well as the personal practices</w:t>
      </w:r>
      <w:r w:rsidR="00847040">
        <w:rPr>
          <w:rFonts w:ascii="Avenir Next" w:hAnsi="Avenir Next" w:cs="Arial"/>
          <w:color w:val="7B7B7B" w:themeColor="accent3" w:themeShade="BF"/>
          <w:sz w:val="22"/>
          <w:szCs w:val="22"/>
          <w:lang w:val="en-GB"/>
        </w:rPr>
        <w:t xml:space="preserve"> of the judge concerned</w:t>
      </w:r>
      <w:r w:rsidR="007B3A6C">
        <w:rPr>
          <w:rFonts w:ascii="Avenir Next" w:hAnsi="Avenir Next" w:cs="Arial"/>
          <w:color w:val="7B7B7B" w:themeColor="accent3" w:themeShade="BF"/>
          <w:sz w:val="22"/>
          <w:szCs w:val="22"/>
          <w:lang w:val="en-GB"/>
        </w:rPr>
        <w:t xml:space="preserve">. </w:t>
      </w:r>
      <w:r w:rsidR="0001237B">
        <w:rPr>
          <w:rFonts w:ascii="Avenir Next" w:hAnsi="Avenir Next" w:cs="Arial"/>
          <w:color w:val="7B7B7B" w:themeColor="accent3" w:themeShade="BF"/>
          <w:sz w:val="22"/>
          <w:szCs w:val="22"/>
          <w:lang w:val="en-GB"/>
        </w:rPr>
        <w:t xml:space="preserve">It might be useful to contact a local practitioner in case of unwritten rules </w:t>
      </w:r>
      <w:r w:rsidR="005E5F8E">
        <w:rPr>
          <w:rFonts w:ascii="Avenir Next" w:hAnsi="Avenir Next" w:cs="Arial"/>
          <w:color w:val="7B7B7B" w:themeColor="accent3" w:themeShade="BF"/>
          <w:sz w:val="22"/>
          <w:szCs w:val="22"/>
          <w:lang w:val="en-GB"/>
        </w:rPr>
        <w:t xml:space="preserve">and practices </w:t>
      </w:r>
      <w:r w:rsidR="0001237B">
        <w:rPr>
          <w:rFonts w:ascii="Avenir Next" w:hAnsi="Avenir Next" w:cs="Arial"/>
          <w:color w:val="7B7B7B" w:themeColor="accent3" w:themeShade="BF"/>
          <w:sz w:val="22"/>
          <w:szCs w:val="22"/>
          <w:lang w:val="en-GB"/>
        </w:rPr>
        <w:t>within the local context</w:t>
      </w:r>
      <w:r w:rsidR="005E5F8E">
        <w:rPr>
          <w:rFonts w:ascii="Avenir Next" w:hAnsi="Avenir Next" w:cs="Arial"/>
          <w:color w:val="7B7B7B" w:themeColor="accent3" w:themeShade="BF"/>
          <w:sz w:val="22"/>
          <w:szCs w:val="22"/>
          <w:lang w:val="en-GB"/>
        </w:rPr>
        <w:t xml:space="preserve">. </w:t>
      </w:r>
      <w:r w:rsidR="000F1F9F">
        <w:rPr>
          <w:rFonts w:ascii="Avenir Next" w:hAnsi="Avenir Next" w:cs="Arial"/>
          <w:color w:val="7B7B7B" w:themeColor="accent3" w:themeShade="BF"/>
          <w:sz w:val="22"/>
          <w:szCs w:val="22"/>
          <w:lang w:val="en-GB"/>
        </w:rPr>
        <w:t>Generally speaking</w:t>
      </w:r>
      <w:r w:rsidR="00B13C98">
        <w:rPr>
          <w:rFonts w:ascii="Avenir Next" w:hAnsi="Avenir Next" w:cs="Arial"/>
          <w:color w:val="7B7B7B" w:themeColor="accent3" w:themeShade="BF"/>
          <w:sz w:val="22"/>
          <w:szCs w:val="22"/>
          <w:lang w:val="en-GB"/>
        </w:rPr>
        <w:t xml:space="preserve">, a review of applicable foreign law, non-bankruptcy law and </w:t>
      </w:r>
      <w:r w:rsidR="00FE5AA0">
        <w:rPr>
          <w:rFonts w:ascii="Avenir Next" w:hAnsi="Avenir Next" w:cs="Arial"/>
          <w:color w:val="7B7B7B" w:themeColor="accent3" w:themeShade="BF"/>
          <w:sz w:val="22"/>
          <w:szCs w:val="22"/>
          <w:lang w:val="en-GB"/>
        </w:rPr>
        <w:t xml:space="preserve">relevant </w:t>
      </w:r>
      <w:r w:rsidR="00B13C98">
        <w:rPr>
          <w:rFonts w:ascii="Avenir Next" w:hAnsi="Avenir Next" w:cs="Arial"/>
          <w:color w:val="7B7B7B" w:themeColor="accent3" w:themeShade="BF"/>
          <w:sz w:val="22"/>
          <w:szCs w:val="22"/>
          <w:lang w:val="en-GB"/>
        </w:rPr>
        <w:t xml:space="preserve">case law might </w:t>
      </w:r>
      <w:r w:rsidR="00BB3DDF">
        <w:rPr>
          <w:rFonts w:ascii="Avenir Next" w:hAnsi="Avenir Next" w:cs="Arial"/>
          <w:color w:val="7B7B7B" w:themeColor="accent3" w:themeShade="BF"/>
          <w:sz w:val="22"/>
          <w:szCs w:val="22"/>
          <w:lang w:val="en-GB"/>
        </w:rPr>
        <w:t xml:space="preserve">be </w:t>
      </w:r>
      <w:r w:rsidR="008837AA">
        <w:rPr>
          <w:rFonts w:ascii="Avenir Next" w:hAnsi="Avenir Next" w:cs="Arial"/>
          <w:color w:val="7B7B7B" w:themeColor="accent3" w:themeShade="BF"/>
          <w:sz w:val="22"/>
          <w:szCs w:val="22"/>
          <w:lang w:val="en-GB"/>
        </w:rPr>
        <w:t>of assistance</w:t>
      </w:r>
      <w:r w:rsidR="000F1F9F">
        <w:rPr>
          <w:rFonts w:ascii="Avenir Next" w:hAnsi="Avenir Next" w:cs="Arial"/>
          <w:color w:val="7B7B7B" w:themeColor="accent3" w:themeShade="BF"/>
          <w:sz w:val="22"/>
          <w:szCs w:val="22"/>
          <w:lang w:val="en-GB"/>
        </w:rPr>
        <w:t xml:space="preserve"> for the proceeding itself</w:t>
      </w:r>
      <w:r w:rsidR="00B13C98">
        <w:rPr>
          <w:rFonts w:ascii="Avenir Next" w:hAnsi="Avenir Next" w:cs="Arial"/>
          <w:color w:val="7B7B7B" w:themeColor="accent3" w:themeShade="BF"/>
          <w:sz w:val="22"/>
          <w:szCs w:val="22"/>
          <w:lang w:val="en-GB"/>
        </w:rPr>
        <w:t>.</w:t>
      </w:r>
    </w:p>
    <w:p w14:paraId="4EC1CD7D" w14:textId="401B9F6F" w:rsidR="00622C36" w:rsidRDefault="00622C36" w:rsidP="00622C36">
      <w:pPr>
        <w:pStyle w:val="AODocTxt"/>
        <w:spacing w:before="0" w:line="240" w:lineRule="auto"/>
        <w:rPr>
          <w:rFonts w:ascii="Avenir Next" w:hAnsi="Avenir Next"/>
        </w:rPr>
      </w:pP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FA4440"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28A59170" w14:textId="58539465" w:rsidR="00214282" w:rsidRDefault="007F11F9"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In accordance with the</w:t>
      </w:r>
      <w:r w:rsidR="00347411">
        <w:rPr>
          <w:rFonts w:ascii="Avenir Next" w:hAnsi="Avenir Next" w:cs="Arial"/>
          <w:color w:val="7B7B7B" w:themeColor="accent3" w:themeShade="BF"/>
          <w:sz w:val="22"/>
          <w:szCs w:val="22"/>
          <w:lang w:val="en-GB"/>
        </w:rPr>
        <w:t xml:space="preserve"> absolute priority ru</w:t>
      </w:r>
      <w:r w:rsidR="0049789C">
        <w:rPr>
          <w:rFonts w:ascii="Avenir Next" w:hAnsi="Avenir Next" w:cs="Arial"/>
          <w:color w:val="7B7B7B" w:themeColor="accent3" w:themeShade="BF"/>
          <w:sz w:val="22"/>
          <w:szCs w:val="22"/>
          <w:lang w:val="en-GB"/>
        </w:rPr>
        <w:t>le</w:t>
      </w:r>
      <w:r>
        <w:rPr>
          <w:rFonts w:ascii="Avenir Next" w:hAnsi="Avenir Next" w:cs="Arial"/>
          <w:color w:val="7B7B7B" w:themeColor="accent3" w:themeShade="BF"/>
          <w:sz w:val="22"/>
          <w:szCs w:val="22"/>
          <w:lang w:val="en-GB"/>
        </w:rPr>
        <w:t>,</w:t>
      </w:r>
      <w:r w:rsidR="009D4075">
        <w:rPr>
          <w:rFonts w:ascii="Avenir Next" w:hAnsi="Avenir Next" w:cs="Arial"/>
          <w:color w:val="7B7B7B" w:themeColor="accent3" w:themeShade="BF"/>
          <w:sz w:val="22"/>
          <w:szCs w:val="22"/>
          <w:lang w:val="en-GB"/>
        </w:rPr>
        <w:t xml:space="preserve"> no creditor or class of creditors may acquire les</w:t>
      </w:r>
      <w:r w:rsidR="00F77DC2">
        <w:rPr>
          <w:rFonts w:ascii="Avenir Next" w:hAnsi="Avenir Next" w:cs="Arial"/>
          <w:color w:val="7B7B7B" w:themeColor="accent3" w:themeShade="BF"/>
          <w:sz w:val="22"/>
          <w:szCs w:val="22"/>
          <w:lang w:val="en-GB"/>
        </w:rPr>
        <w:t>s under a reorganization plan than it would under a liquidation pursuant to Chapter 7 of the US Bankruptcy Code</w:t>
      </w:r>
      <w:r>
        <w:rPr>
          <w:rFonts w:ascii="Avenir Next" w:hAnsi="Avenir Next" w:cs="Arial"/>
          <w:color w:val="7B7B7B" w:themeColor="accent3" w:themeShade="BF"/>
          <w:sz w:val="22"/>
          <w:szCs w:val="22"/>
          <w:lang w:val="en-GB"/>
        </w:rPr>
        <w:t>. In those liquidation proceedings</w:t>
      </w:r>
      <w:r w:rsidR="00F77DC2">
        <w:rPr>
          <w:rFonts w:ascii="Avenir Next" w:hAnsi="Avenir Next" w:cs="Arial"/>
          <w:color w:val="7B7B7B" w:themeColor="accent3" w:themeShade="BF"/>
          <w:sz w:val="22"/>
          <w:szCs w:val="22"/>
          <w:lang w:val="en-GB"/>
        </w:rPr>
        <w:t xml:space="preserve"> </w:t>
      </w:r>
      <w:r w:rsidR="00F77DC2" w:rsidRPr="00B316F2">
        <w:rPr>
          <w:rFonts w:ascii="Avenir Next" w:hAnsi="Avenir Next" w:cs="Arial"/>
          <w:color w:val="7B7B7B" w:themeColor="accent3" w:themeShade="BF"/>
          <w:sz w:val="22"/>
          <w:szCs w:val="22"/>
          <w:lang w:val="en-GB"/>
        </w:rPr>
        <w:t xml:space="preserve">the claims would be </w:t>
      </w:r>
      <w:r w:rsidR="00B316F2" w:rsidRPr="00B316F2">
        <w:rPr>
          <w:rFonts w:ascii="Avenir Next" w:hAnsi="Avenir Next" w:cs="Arial"/>
          <w:color w:val="7B7B7B" w:themeColor="accent3" w:themeShade="BF"/>
          <w:sz w:val="22"/>
          <w:szCs w:val="22"/>
          <w:lang w:val="en-GB"/>
        </w:rPr>
        <w:t>satisfied in</w:t>
      </w:r>
      <w:r w:rsidR="00F77DC2" w:rsidRPr="00B316F2">
        <w:rPr>
          <w:rFonts w:ascii="Avenir Next" w:hAnsi="Avenir Next" w:cs="Arial"/>
          <w:color w:val="7B7B7B" w:themeColor="accent3" w:themeShade="BF"/>
          <w:sz w:val="22"/>
          <w:szCs w:val="22"/>
          <w:lang w:val="en-GB"/>
        </w:rPr>
        <w:t xml:space="preserve"> accord</w:t>
      </w:r>
      <w:r w:rsidR="00B316F2" w:rsidRPr="00B316F2">
        <w:rPr>
          <w:rFonts w:ascii="Avenir Next" w:hAnsi="Avenir Next" w:cs="Arial"/>
          <w:color w:val="7B7B7B" w:themeColor="accent3" w:themeShade="BF"/>
          <w:sz w:val="22"/>
          <w:szCs w:val="22"/>
          <w:lang w:val="en-GB"/>
        </w:rPr>
        <w:t>ance</w:t>
      </w:r>
      <w:r w:rsidR="00F77DC2" w:rsidRPr="00B316F2">
        <w:rPr>
          <w:rFonts w:ascii="Avenir Next" w:hAnsi="Avenir Next" w:cs="Arial"/>
          <w:color w:val="7B7B7B" w:themeColor="accent3" w:themeShade="BF"/>
          <w:sz w:val="22"/>
          <w:szCs w:val="22"/>
          <w:lang w:val="en-GB"/>
        </w:rPr>
        <w:t xml:space="preserve"> </w:t>
      </w:r>
      <w:r w:rsidR="00B316F2" w:rsidRPr="00B316F2">
        <w:rPr>
          <w:rFonts w:ascii="Avenir Next" w:hAnsi="Avenir Next" w:cs="Arial"/>
          <w:color w:val="7B7B7B" w:themeColor="accent3" w:themeShade="BF"/>
          <w:sz w:val="22"/>
          <w:szCs w:val="22"/>
          <w:lang w:val="en-GB"/>
        </w:rPr>
        <w:t>with</w:t>
      </w:r>
      <w:r w:rsidR="00F77DC2" w:rsidRPr="00B316F2">
        <w:rPr>
          <w:rFonts w:ascii="Avenir Next" w:hAnsi="Avenir Next" w:cs="Arial"/>
          <w:color w:val="7B7B7B" w:themeColor="accent3" w:themeShade="BF"/>
          <w:sz w:val="22"/>
          <w:szCs w:val="22"/>
          <w:lang w:val="en-GB"/>
        </w:rPr>
        <w:t xml:space="preserve"> </w:t>
      </w:r>
      <w:r w:rsidR="00B316F2" w:rsidRPr="00B316F2">
        <w:rPr>
          <w:rFonts w:ascii="Avenir Next" w:hAnsi="Avenir Next" w:cs="Arial"/>
          <w:color w:val="7B7B7B" w:themeColor="accent3" w:themeShade="BF"/>
          <w:sz w:val="22"/>
          <w:szCs w:val="22"/>
          <w:lang w:val="en-GB"/>
        </w:rPr>
        <w:t>the</w:t>
      </w:r>
      <w:r w:rsidR="00F77DC2" w:rsidRPr="00B316F2">
        <w:rPr>
          <w:rFonts w:ascii="Avenir Next" w:hAnsi="Avenir Next" w:cs="Arial"/>
          <w:color w:val="7B7B7B" w:themeColor="accent3" w:themeShade="BF"/>
          <w:sz w:val="22"/>
          <w:szCs w:val="22"/>
          <w:lang w:val="en-GB"/>
        </w:rPr>
        <w:t xml:space="preserve"> priorities</w:t>
      </w:r>
      <w:r w:rsidR="00B316F2" w:rsidRPr="00B316F2">
        <w:rPr>
          <w:rFonts w:ascii="Avenir Next" w:hAnsi="Avenir Next" w:cs="Arial"/>
          <w:color w:val="7B7B7B" w:themeColor="accent3" w:themeShade="BF"/>
          <w:sz w:val="22"/>
          <w:szCs w:val="22"/>
          <w:lang w:val="en-GB"/>
        </w:rPr>
        <w:t xml:space="preserve"> required by law</w:t>
      </w:r>
      <w:r w:rsidR="00F77DC2" w:rsidRPr="00B316F2">
        <w:rPr>
          <w:rFonts w:ascii="Avenir Next" w:hAnsi="Avenir Next" w:cs="Arial"/>
          <w:color w:val="7B7B7B" w:themeColor="accent3" w:themeShade="BF"/>
          <w:sz w:val="22"/>
          <w:szCs w:val="22"/>
          <w:lang w:val="en-GB"/>
        </w:rPr>
        <w:t xml:space="preserve"> without the affected creditor</w:t>
      </w:r>
      <w:r w:rsidR="00B316F2" w:rsidRPr="00B316F2">
        <w:rPr>
          <w:rFonts w:ascii="Avenir Next" w:hAnsi="Avenir Next" w:cs="Arial"/>
          <w:color w:val="7B7B7B" w:themeColor="accent3" w:themeShade="BF"/>
          <w:sz w:val="22"/>
          <w:szCs w:val="22"/>
          <w:lang w:val="en-GB"/>
        </w:rPr>
        <w:t>’s</w:t>
      </w:r>
      <w:r w:rsidR="00B316F2">
        <w:rPr>
          <w:rFonts w:ascii="Avenir Next" w:hAnsi="Avenir Next" w:cs="Arial"/>
          <w:color w:val="7B7B7B" w:themeColor="accent3" w:themeShade="BF"/>
          <w:sz w:val="22"/>
          <w:szCs w:val="22"/>
          <w:lang w:val="en-GB"/>
        </w:rPr>
        <w:t xml:space="preserve"> consent</w:t>
      </w:r>
      <w:r w:rsidR="00F77DC2">
        <w:rPr>
          <w:rFonts w:ascii="Avenir Next" w:hAnsi="Avenir Next" w:cs="Arial"/>
          <w:color w:val="7B7B7B" w:themeColor="accent3" w:themeShade="BF"/>
          <w:sz w:val="22"/>
          <w:szCs w:val="22"/>
          <w:lang w:val="en-GB"/>
        </w:rPr>
        <w:t xml:space="preserve">. </w:t>
      </w:r>
      <w:r w:rsidR="002904C5">
        <w:rPr>
          <w:rFonts w:ascii="Avenir Next" w:hAnsi="Avenir Next" w:cs="Arial"/>
          <w:color w:val="7B7B7B" w:themeColor="accent3" w:themeShade="BF"/>
          <w:sz w:val="22"/>
          <w:szCs w:val="22"/>
          <w:lang w:val="en-GB"/>
        </w:rPr>
        <w:t>Specifically i</w:t>
      </w:r>
      <w:r w:rsidR="00DF742D">
        <w:rPr>
          <w:rFonts w:ascii="Avenir Next" w:hAnsi="Avenir Next" w:cs="Arial"/>
          <w:color w:val="7B7B7B" w:themeColor="accent3" w:themeShade="BF"/>
          <w:sz w:val="22"/>
          <w:szCs w:val="22"/>
          <w:lang w:val="en-GB"/>
        </w:rPr>
        <w:t xml:space="preserve">n the context of distribution of assets in a Chapter 7 liquidation, the absolute priority rule requires the payment in full of a certain category of claims before the subsequent category receives any payment. Therefore, in a Chapter 7 procedure, statutory priorities should be followed without the possibility of any deviation. </w:t>
      </w:r>
      <w:r>
        <w:rPr>
          <w:rFonts w:ascii="Avenir Next" w:hAnsi="Avenir Next" w:cs="Arial"/>
          <w:color w:val="7B7B7B" w:themeColor="accent3" w:themeShade="BF"/>
          <w:sz w:val="22"/>
          <w:szCs w:val="22"/>
          <w:lang w:val="en-GB"/>
        </w:rPr>
        <w:t xml:space="preserve">Nevertheless, </w:t>
      </w:r>
      <w:r w:rsidR="00DF742D">
        <w:rPr>
          <w:rFonts w:ascii="Avenir Next" w:hAnsi="Avenir Next" w:cs="Arial"/>
          <w:color w:val="7B7B7B" w:themeColor="accent3" w:themeShade="BF"/>
          <w:sz w:val="22"/>
          <w:szCs w:val="22"/>
          <w:lang w:val="en-GB"/>
        </w:rPr>
        <w:t>deviation is possible in a Chapter 11 reorganization proceeding subject to affected creditors’ consent. I</w:t>
      </w:r>
      <w:r>
        <w:rPr>
          <w:rFonts w:ascii="Avenir Next" w:hAnsi="Avenir Next" w:cs="Arial"/>
          <w:color w:val="7B7B7B" w:themeColor="accent3" w:themeShade="BF"/>
          <w:sz w:val="22"/>
          <w:szCs w:val="22"/>
          <w:lang w:val="en-GB"/>
        </w:rPr>
        <w:t>n</w:t>
      </w:r>
      <w:r w:rsidR="00F2252D">
        <w:rPr>
          <w:rFonts w:ascii="Avenir Next" w:hAnsi="Avenir Next" w:cs="Arial"/>
          <w:color w:val="7B7B7B" w:themeColor="accent3" w:themeShade="BF"/>
          <w:sz w:val="22"/>
          <w:szCs w:val="22"/>
          <w:lang w:val="en-GB"/>
        </w:rPr>
        <w:t xml:space="preserve"> a </w:t>
      </w:r>
      <w:r w:rsidR="004066C5">
        <w:rPr>
          <w:rFonts w:ascii="Avenir Next" w:hAnsi="Avenir Next" w:cs="Arial"/>
          <w:color w:val="7B7B7B" w:themeColor="accent3" w:themeShade="BF"/>
          <w:sz w:val="22"/>
          <w:szCs w:val="22"/>
          <w:lang w:val="en-GB"/>
        </w:rPr>
        <w:t>C</w:t>
      </w:r>
      <w:r w:rsidR="00F2252D">
        <w:rPr>
          <w:rFonts w:ascii="Avenir Next" w:hAnsi="Avenir Next" w:cs="Arial"/>
          <w:color w:val="7B7B7B" w:themeColor="accent3" w:themeShade="BF"/>
          <w:sz w:val="22"/>
          <w:szCs w:val="22"/>
          <w:lang w:val="en-GB"/>
        </w:rPr>
        <w:t xml:space="preserve">hapter 11 reorganization plan it is possible that a </w:t>
      </w:r>
      <w:r w:rsidR="002158D9">
        <w:rPr>
          <w:rFonts w:ascii="Avenir Next" w:hAnsi="Avenir Next" w:cs="Arial"/>
          <w:color w:val="7B7B7B" w:themeColor="accent3" w:themeShade="BF"/>
          <w:sz w:val="22"/>
          <w:szCs w:val="22"/>
          <w:lang w:val="en-GB"/>
        </w:rPr>
        <w:t>“</w:t>
      </w:r>
      <w:r w:rsidR="00F2252D">
        <w:rPr>
          <w:rFonts w:ascii="Avenir Next" w:hAnsi="Avenir Next" w:cs="Arial"/>
          <w:color w:val="7B7B7B" w:themeColor="accent3" w:themeShade="BF"/>
          <w:sz w:val="22"/>
          <w:szCs w:val="22"/>
          <w:lang w:val="en-GB"/>
        </w:rPr>
        <w:t>more senior creditor</w:t>
      </w:r>
      <w:r w:rsidR="002158D9">
        <w:rPr>
          <w:rFonts w:ascii="Avenir Next" w:hAnsi="Avenir Next" w:cs="Arial"/>
          <w:color w:val="7B7B7B" w:themeColor="accent3" w:themeShade="BF"/>
          <w:sz w:val="22"/>
          <w:szCs w:val="22"/>
          <w:lang w:val="en-GB"/>
        </w:rPr>
        <w:t>”</w:t>
      </w:r>
      <w:r w:rsidR="00F2252D">
        <w:rPr>
          <w:rFonts w:ascii="Avenir Next" w:hAnsi="Avenir Next" w:cs="Arial"/>
          <w:color w:val="7B7B7B" w:themeColor="accent3" w:themeShade="BF"/>
          <w:sz w:val="22"/>
          <w:szCs w:val="22"/>
          <w:lang w:val="en-GB"/>
        </w:rPr>
        <w:t xml:space="preserve"> agrees with </w:t>
      </w:r>
      <w:r>
        <w:rPr>
          <w:rFonts w:ascii="Avenir Next" w:hAnsi="Avenir Next" w:cs="Arial"/>
          <w:color w:val="7B7B7B" w:themeColor="accent3" w:themeShade="BF"/>
          <w:sz w:val="22"/>
          <w:szCs w:val="22"/>
          <w:lang w:val="en-GB"/>
        </w:rPr>
        <w:t>obtaining</w:t>
      </w:r>
      <w:r w:rsidR="00F2252D">
        <w:rPr>
          <w:rFonts w:ascii="Avenir Next" w:hAnsi="Avenir Next" w:cs="Arial"/>
          <w:color w:val="7B7B7B" w:themeColor="accent3" w:themeShade="BF"/>
          <w:sz w:val="22"/>
          <w:szCs w:val="22"/>
          <w:lang w:val="en-GB"/>
        </w:rPr>
        <w:t xml:space="preserve"> less than the absolute priority rule would </w:t>
      </w:r>
      <w:r>
        <w:rPr>
          <w:rFonts w:ascii="Avenir Next" w:hAnsi="Avenir Next" w:cs="Arial"/>
          <w:color w:val="7B7B7B" w:themeColor="accent3" w:themeShade="BF"/>
          <w:sz w:val="22"/>
          <w:szCs w:val="22"/>
          <w:lang w:val="en-GB"/>
        </w:rPr>
        <w:t>demand</w:t>
      </w:r>
      <w:r w:rsidR="002158D9">
        <w:rPr>
          <w:rFonts w:ascii="Avenir Next" w:hAnsi="Avenir Next" w:cs="Arial"/>
          <w:color w:val="7B7B7B" w:themeColor="accent3" w:themeShade="BF"/>
          <w:sz w:val="22"/>
          <w:szCs w:val="22"/>
          <w:lang w:val="en-GB"/>
        </w:rPr>
        <w:t xml:space="preserve">. This is </w:t>
      </w:r>
      <w:r w:rsidR="00FD4C7E">
        <w:rPr>
          <w:rFonts w:ascii="Avenir Next" w:hAnsi="Avenir Next" w:cs="Arial"/>
          <w:color w:val="7B7B7B" w:themeColor="accent3" w:themeShade="BF"/>
          <w:sz w:val="22"/>
          <w:szCs w:val="22"/>
        </w:rPr>
        <w:t>possible</w:t>
      </w:r>
      <w:r w:rsidR="00F2252D">
        <w:rPr>
          <w:rFonts w:ascii="Avenir Next" w:hAnsi="Avenir Next" w:cs="Arial"/>
          <w:color w:val="7B7B7B" w:themeColor="accent3" w:themeShade="BF"/>
          <w:sz w:val="22"/>
          <w:szCs w:val="22"/>
          <w:lang w:val="en-GB"/>
        </w:rPr>
        <w:t xml:space="preserve"> in cas</w:t>
      </w:r>
      <w:r w:rsidR="002158D9">
        <w:rPr>
          <w:rFonts w:ascii="Avenir Next" w:hAnsi="Avenir Next" w:cs="Arial"/>
          <w:color w:val="7B7B7B" w:themeColor="accent3" w:themeShade="BF"/>
          <w:sz w:val="22"/>
          <w:szCs w:val="22"/>
          <w:lang w:val="en-GB"/>
        </w:rPr>
        <w:t xml:space="preserve">e funds should be distributed to lower priority creditors </w:t>
      </w:r>
      <w:r>
        <w:rPr>
          <w:rFonts w:ascii="Avenir Next" w:hAnsi="Avenir Next" w:cs="Arial"/>
          <w:color w:val="7B7B7B" w:themeColor="accent3" w:themeShade="BF"/>
          <w:sz w:val="22"/>
          <w:szCs w:val="22"/>
          <w:lang w:val="en-GB"/>
        </w:rPr>
        <w:t>in order</w:t>
      </w:r>
      <w:r w:rsidR="002158D9">
        <w:rPr>
          <w:rFonts w:ascii="Avenir Next" w:hAnsi="Avenir Next" w:cs="Arial"/>
          <w:color w:val="7B7B7B" w:themeColor="accent3" w:themeShade="BF"/>
          <w:sz w:val="22"/>
          <w:szCs w:val="22"/>
          <w:lang w:val="en-GB"/>
        </w:rPr>
        <w:t xml:space="preserve"> to secure their approval of the plan.</w:t>
      </w:r>
    </w:p>
    <w:p w14:paraId="2F5EA6D4" w14:textId="77777777" w:rsidR="00214282" w:rsidRDefault="00214282" w:rsidP="00E41578">
      <w:pPr>
        <w:jc w:val="both"/>
        <w:rPr>
          <w:rFonts w:ascii="Avenir Next" w:hAnsi="Avenir Next" w:cs="Arial"/>
          <w:color w:val="7B7B7B" w:themeColor="accent3" w:themeShade="BF"/>
          <w:sz w:val="22"/>
          <w:szCs w:val="22"/>
          <w:lang w:val="en-GB"/>
        </w:rPr>
      </w:pPr>
    </w:p>
    <w:p w14:paraId="07268811" w14:textId="1B81A28E" w:rsidR="009C13AF" w:rsidRPr="00E41578" w:rsidRDefault="00AD2D15"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w:t>
      </w:r>
      <w:r w:rsidR="00FD4C7E">
        <w:rPr>
          <w:rFonts w:ascii="Avenir Next" w:hAnsi="Avenir Next" w:cs="Arial"/>
          <w:color w:val="7B7B7B" w:themeColor="accent3" w:themeShade="BF"/>
          <w:sz w:val="22"/>
          <w:szCs w:val="22"/>
          <w:lang w:val="en-GB"/>
        </w:rPr>
        <w:t>addition</w:t>
      </w:r>
      <w:r>
        <w:rPr>
          <w:rFonts w:ascii="Avenir Next" w:hAnsi="Avenir Next" w:cs="Arial"/>
          <w:color w:val="7B7B7B" w:themeColor="accent3" w:themeShade="BF"/>
          <w:sz w:val="22"/>
          <w:szCs w:val="22"/>
          <w:lang w:val="en-GB"/>
        </w:rPr>
        <w:t xml:space="preserve">, </w:t>
      </w:r>
      <w:r w:rsidR="00E976B8">
        <w:rPr>
          <w:rFonts w:ascii="Avenir Next" w:hAnsi="Avenir Next" w:cs="Arial"/>
          <w:color w:val="7B7B7B" w:themeColor="accent3" w:themeShade="BF"/>
          <w:sz w:val="22"/>
          <w:szCs w:val="22"/>
          <w:lang w:val="en-GB"/>
        </w:rPr>
        <w:t xml:space="preserve">certain employee expenses </w:t>
      </w:r>
      <w:r w:rsidR="00D16514">
        <w:rPr>
          <w:rFonts w:ascii="Avenir Next" w:hAnsi="Avenir Next" w:cs="Arial"/>
          <w:color w:val="7B7B7B" w:themeColor="accent3" w:themeShade="BF"/>
          <w:sz w:val="22"/>
          <w:szCs w:val="22"/>
          <w:lang w:val="en-GB"/>
        </w:rPr>
        <w:t>(mainly, unpaid salaries and contr</w:t>
      </w:r>
      <w:r w:rsidR="00B64BE5">
        <w:rPr>
          <w:rFonts w:ascii="Avenir Next" w:hAnsi="Avenir Next" w:cs="Arial"/>
          <w:color w:val="7B7B7B" w:themeColor="accent3" w:themeShade="BF"/>
          <w:sz w:val="22"/>
          <w:szCs w:val="22"/>
          <w:lang w:val="en-GB"/>
        </w:rPr>
        <w:t xml:space="preserve">ibutions </w:t>
      </w:r>
      <w:r w:rsidR="00A21D1A">
        <w:rPr>
          <w:rFonts w:ascii="Avenir Next" w:hAnsi="Avenir Next" w:cs="Arial"/>
          <w:color w:val="7B7B7B" w:themeColor="accent3" w:themeShade="BF"/>
          <w:sz w:val="22"/>
          <w:szCs w:val="22"/>
        </w:rPr>
        <w:t>regarding employee benefit</w:t>
      </w:r>
      <w:r w:rsidR="00013EDA">
        <w:rPr>
          <w:rFonts w:ascii="Avenir Next" w:hAnsi="Avenir Next" w:cs="Arial"/>
          <w:color w:val="7B7B7B" w:themeColor="accent3" w:themeShade="BF"/>
          <w:sz w:val="22"/>
          <w:szCs w:val="22"/>
        </w:rPr>
        <w:t xml:space="preserve"> plans of 180 days before the date of the petition or cessation of business operation</w:t>
      </w:r>
      <w:r w:rsidR="00A21D1A">
        <w:rPr>
          <w:rFonts w:ascii="Avenir Next" w:hAnsi="Avenir Next" w:cs="Arial"/>
          <w:color w:val="7B7B7B" w:themeColor="accent3" w:themeShade="BF"/>
          <w:sz w:val="22"/>
          <w:szCs w:val="22"/>
        </w:rPr>
        <w:t xml:space="preserve">) </w:t>
      </w:r>
      <w:r w:rsidR="007038D9">
        <w:rPr>
          <w:rFonts w:ascii="Avenir Next" w:hAnsi="Avenir Next" w:cs="Arial"/>
          <w:color w:val="7B7B7B" w:themeColor="accent3" w:themeShade="BF"/>
          <w:sz w:val="22"/>
          <w:szCs w:val="22"/>
          <w:lang w:val="en-GB"/>
        </w:rPr>
        <w:t>retain</w:t>
      </w:r>
      <w:r w:rsidR="00E976B8">
        <w:rPr>
          <w:rFonts w:ascii="Avenir Next" w:hAnsi="Avenir Next" w:cs="Arial"/>
          <w:color w:val="7B7B7B" w:themeColor="accent3" w:themeShade="BF"/>
          <w:sz w:val="22"/>
          <w:szCs w:val="22"/>
          <w:lang w:val="en-GB"/>
        </w:rPr>
        <w:t xml:space="preserve"> administrative pri</w:t>
      </w:r>
      <w:r w:rsidR="002E6774">
        <w:rPr>
          <w:rFonts w:ascii="Avenir Next" w:hAnsi="Avenir Next" w:cs="Arial"/>
          <w:color w:val="7B7B7B" w:themeColor="accent3" w:themeShade="BF"/>
          <w:sz w:val="22"/>
          <w:szCs w:val="22"/>
          <w:lang w:val="en-GB"/>
        </w:rPr>
        <w:t>orit</w:t>
      </w:r>
      <w:r w:rsidR="00C33776">
        <w:rPr>
          <w:rFonts w:ascii="Avenir Next" w:hAnsi="Avenir Next" w:cs="Arial"/>
          <w:color w:val="7B7B7B" w:themeColor="accent3" w:themeShade="BF"/>
          <w:sz w:val="22"/>
          <w:szCs w:val="22"/>
          <w:lang w:val="en-GB"/>
        </w:rPr>
        <w:t xml:space="preserve">y </w:t>
      </w:r>
      <w:r w:rsidR="007038D9">
        <w:rPr>
          <w:rFonts w:ascii="Avenir Next" w:hAnsi="Avenir Next" w:cs="Arial"/>
          <w:color w:val="7B7B7B" w:themeColor="accent3" w:themeShade="BF"/>
          <w:sz w:val="22"/>
          <w:szCs w:val="22"/>
          <w:lang w:val="en-GB"/>
        </w:rPr>
        <w:t xml:space="preserve">in a </w:t>
      </w:r>
      <w:r w:rsidR="004066C5">
        <w:rPr>
          <w:rFonts w:ascii="Avenir Next" w:hAnsi="Avenir Next" w:cs="Arial"/>
          <w:color w:val="7B7B7B" w:themeColor="accent3" w:themeShade="BF"/>
          <w:sz w:val="22"/>
          <w:szCs w:val="22"/>
          <w:lang w:val="en-GB"/>
        </w:rPr>
        <w:t>C</w:t>
      </w:r>
      <w:r w:rsidR="007038D9">
        <w:rPr>
          <w:rFonts w:ascii="Avenir Next" w:hAnsi="Avenir Next" w:cs="Arial"/>
          <w:color w:val="7B7B7B" w:themeColor="accent3" w:themeShade="BF"/>
          <w:sz w:val="22"/>
          <w:szCs w:val="22"/>
          <w:lang w:val="en-GB"/>
        </w:rPr>
        <w:t xml:space="preserve">hapter 7 liquidation. </w:t>
      </w:r>
      <w:r w:rsidR="00B4411A">
        <w:rPr>
          <w:rFonts w:ascii="Avenir Next" w:hAnsi="Avenir Next" w:cs="Arial"/>
          <w:color w:val="7B7B7B" w:themeColor="accent3" w:themeShade="BF"/>
          <w:sz w:val="22"/>
          <w:szCs w:val="22"/>
          <w:lang w:val="en-GB"/>
        </w:rPr>
        <w:t>U</w:t>
      </w:r>
      <w:r w:rsidR="007038D9">
        <w:rPr>
          <w:rFonts w:ascii="Avenir Next" w:hAnsi="Avenir Next" w:cs="Arial"/>
          <w:color w:val="7B7B7B" w:themeColor="accent3" w:themeShade="BF"/>
          <w:sz w:val="22"/>
          <w:szCs w:val="22"/>
          <w:lang w:val="en-GB"/>
        </w:rPr>
        <w:t>nder the absolute priority rule</w:t>
      </w:r>
      <w:r w:rsidR="00FD4C7E">
        <w:rPr>
          <w:rFonts w:ascii="Avenir Next" w:hAnsi="Avenir Next" w:cs="Arial"/>
          <w:color w:val="7B7B7B" w:themeColor="accent3" w:themeShade="BF"/>
          <w:sz w:val="22"/>
          <w:szCs w:val="22"/>
          <w:lang w:val="en-GB"/>
        </w:rPr>
        <w:t>,</w:t>
      </w:r>
      <w:r w:rsidR="007038D9">
        <w:rPr>
          <w:rFonts w:ascii="Avenir Next" w:hAnsi="Avenir Next" w:cs="Arial"/>
          <w:color w:val="7B7B7B" w:themeColor="accent3" w:themeShade="BF"/>
          <w:sz w:val="22"/>
          <w:szCs w:val="22"/>
          <w:lang w:val="en-GB"/>
        </w:rPr>
        <w:t xml:space="preserve"> those expe</w:t>
      </w:r>
      <w:r w:rsidR="00876713">
        <w:rPr>
          <w:rFonts w:ascii="Avenir Next" w:hAnsi="Avenir Next" w:cs="Arial"/>
          <w:color w:val="7B7B7B" w:themeColor="accent3" w:themeShade="BF"/>
          <w:sz w:val="22"/>
          <w:szCs w:val="22"/>
          <w:lang w:val="en-GB"/>
        </w:rPr>
        <w:t>nse</w:t>
      </w:r>
      <w:r w:rsidR="00B4411A">
        <w:rPr>
          <w:rFonts w:ascii="Avenir Next" w:hAnsi="Avenir Next" w:cs="Arial"/>
          <w:color w:val="7B7B7B" w:themeColor="accent3" w:themeShade="BF"/>
          <w:sz w:val="22"/>
          <w:szCs w:val="22"/>
          <w:lang w:val="en-GB"/>
        </w:rPr>
        <w:t xml:space="preserve">s </w:t>
      </w:r>
      <w:r w:rsidR="00685FB4">
        <w:rPr>
          <w:rFonts w:ascii="Avenir Next" w:hAnsi="Avenir Next" w:cs="Arial"/>
          <w:color w:val="7B7B7B" w:themeColor="accent3" w:themeShade="BF"/>
          <w:sz w:val="22"/>
          <w:szCs w:val="22"/>
          <w:lang w:val="en-GB"/>
        </w:rPr>
        <w:t xml:space="preserve">cannot be treated less favourably in a plan than </w:t>
      </w:r>
      <w:r w:rsidR="00B92485">
        <w:rPr>
          <w:rFonts w:ascii="Avenir Next" w:hAnsi="Avenir Next" w:cs="Arial"/>
          <w:color w:val="7B7B7B" w:themeColor="accent3" w:themeShade="BF"/>
          <w:sz w:val="22"/>
          <w:szCs w:val="22"/>
          <w:lang w:val="en-GB"/>
        </w:rPr>
        <w:t>they</w:t>
      </w:r>
      <w:r w:rsidR="00685FB4">
        <w:rPr>
          <w:rFonts w:ascii="Avenir Next" w:hAnsi="Avenir Next" w:cs="Arial"/>
          <w:color w:val="7B7B7B" w:themeColor="accent3" w:themeShade="BF"/>
          <w:sz w:val="22"/>
          <w:szCs w:val="22"/>
          <w:lang w:val="en-GB"/>
        </w:rPr>
        <w:t xml:space="preserve"> would </w:t>
      </w:r>
      <w:r w:rsidR="00B92485">
        <w:rPr>
          <w:rFonts w:ascii="Avenir Next" w:hAnsi="Avenir Next" w:cs="Arial"/>
          <w:color w:val="7B7B7B" w:themeColor="accent3" w:themeShade="BF"/>
          <w:sz w:val="22"/>
          <w:szCs w:val="22"/>
          <w:lang w:val="en-GB"/>
        </w:rPr>
        <w:t>be</w:t>
      </w:r>
      <w:r w:rsidR="00685FB4">
        <w:rPr>
          <w:rFonts w:ascii="Avenir Next" w:hAnsi="Avenir Next" w:cs="Arial"/>
          <w:color w:val="7B7B7B" w:themeColor="accent3" w:themeShade="BF"/>
          <w:sz w:val="22"/>
          <w:szCs w:val="22"/>
          <w:lang w:val="en-GB"/>
        </w:rPr>
        <w:t xml:space="preserve"> </w:t>
      </w:r>
      <w:r w:rsidR="00B92485">
        <w:rPr>
          <w:rFonts w:ascii="Avenir Next" w:hAnsi="Avenir Next" w:cs="Arial"/>
          <w:color w:val="7B7B7B" w:themeColor="accent3" w:themeShade="BF"/>
          <w:sz w:val="22"/>
          <w:szCs w:val="22"/>
          <w:lang w:val="en-GB"/>
        </w:rPr>
        <w:t xml:space="preserve">treated </w:t>
      </w:r>
      <w:r w:rsidR="00685FB4">
        <w:rPr>
          <w:rFonts w:ascii="Avenir Next" w:hAnsi="Avenir Next" w:cs="Arial"/>
          <w:color w:val="7B7B7B" w:themeColor="accent3" w:themeShade="BF"/>
          <w:sz w:val="22"/>
          <w:szCs w:val="22"/>
          <w:lang w:val="en-GB"/>
        </w:rPr>
        <w:t xml:space="preserve">in a </w:t>
      </w:r>
      <w:r w:rsidR="004066C5">
        <w:rPr>
          <w:rFonts w:ascii="Avenir Next" w:hAnsi="Avenir Next" w:cs="Arial"/>
          <w:color w:val="7B7B7B" w:themeColor="accent3" w:themeShade="BF"/>
          <w:sz w:val="22"/>
          <w:szCs w:val="22"/>
          <w:lang w:val="en-GB"/>
        </w:rPr>
        <w:t>C</w:t>
      </w:r>
      <w:r w:rsidR="00685FB4">
        <w:rPr>
          <w:rFonts w:ascii="Avenir Next" w:hAnsi="Avenir Next" w:cs="Arial"/>
          <w:color w:val="7B7B7B" w:themeColor="accent3" w:themeShade="BF"/>
          <w:sz w:val="22"/>
          <w:szCs w:val="22"/>
          <w:lang w:val="en-GB"/>
        </w:rPr>
        <w:t>hapter 7</w:t>
      </w:r>
      <w:r w:rsidR="00BA603D">
        <w:rPr>
          <w:rFonts w:ascii="Avenir Next" w:hAnsi="Avenir Next" w:cs="Arial"/>
          <w:color w:val="7B7B7B" w:themeColor="accent3" w:themeShade="BF"/>
          <w:sz w:val="22"/>
          <w:szCs w:val="22"/>
          <w:lang w:val="en-GB"/>
        </w:rPr>
        <w:t xml:space="preserve"> proceeding</w:t>
      </w:r>
      <w:r w:rsidR="00273D7D">
        <w:rPr>
          <w:rFonts w:ascii="Avenir Next" w:hAnsi="Avenir Next" w:cs="Arial"/>
          <w:color w:val="7B7B7B" w:themeColor="accent3" w:themeShade="BF"/>
          <w:sz w:val="22"/>
          <w:szCs w:val="22"/>
          <w:lang w:val="en-GB"/>
        </w:rPr>
        <w:t>,</w:t>
      </w:r>
      <w:r w:rsidR="00E95726">
        <w:rPr>
          <w:rFonts w:ascii="Avenir Next" w:hAnsi="Avenir Next" w:cs="Arial"/>
          <w:color w:val="7B7B7B" w:themeColor="accent3" w:themeShade="BF"/>
          <w:sz w:val="22"/>
          <w:szCs w:val="22"/>
          <w:lang w:val="en-GB"/>
        </w:rPr>
        <w:t xml:space="preserve"> </w:t>
      </w:r>
      <w:r w:rsidR="00273D7D">
        <w:rPr>
          <w:rFonts w:ascii="Avenir Next" w:hAnsi="Avenir Next" w:cs="Arial"/>
          <w:color w:val="7B7B7B" w:themeColor="accent3" w:themeShade="BF"/>
          <w:sz w:val="22"/>
          <w:szCs w:val="22"/>
          <w:lang w:val="en-GB"/>
        </w:rPr>
        <w:t>unless consent is given</w:t>
      </w:r>
      <w:r w:rsidR="00FD4C7E">
        <w:rPr>
          <w:rFonts w:ascii="Avenir Next" w:hAnsi="Avenir Next" w:cs="Arial"/>
          <w:color w:val="7B7B7B" w:themeColor="accent3" w:themeShade="BF"/>
          <w:sz w:val="22"/>
          <w:szCs w:val="22"/>
          <w:lang w:val="en-GB"/>
        </w:rPr>
        <w:t xml:space="preserve"> by the employees</w:t>
      </w:r>
      <w:r w:rsidR="00AD5190">
        <w:rPr>
          <w:rFonts w:ascii="Avenir Next" w:hAnsi="Avenir Next" w:cs="Arial"/>
          <w:color w:val="7B7B7B" w:themeColor="accent3" w:themeShade="BF"/>
          <w:sz w:val="22"/>
          <w:szCs w:val="22"/>
          <w:lang w:val="en-GB"/>
        </w:rPr>
        <w:t xml:space="preserve">. </w:t>
      </w:r>
      <w:r w:rsidR="009C18E2">
        <w:rPr>
          <w:rFonts w:ascii="Avenir Next" w:hAnsi="Avenir Next" w:cs="Arial"/>
          <w:color w:val="7B7B7B" w:themeColor="accent3" w:themeShade="BF"/>
          <w:sz w:val="22"/>
          <w:szCs w:val="22"/>
          <w:lang w:val="en-GB"/>
        </w:rPr>
        <w:t xml:space="preserve">It is important to note that in a </w:t>
      </w:r>
      <w:r w:rsidR="00630641">
        <w:rPr>
          <w:rFonts w:ascii="Avenir Next" w:hAnsi="Avenir Next" w:cs="Arial"/>
          <w:color w:val="7B7B7B" w:themeColor="accent3" w:themeShade="BF"/>
          <w:sz w:val="22"/>
          <w:szCs w:val="22"/>
          <w:lang w:val="en-GB"/>
        </w:rPr>
        <w:t>“</w:t>
      </w:r>
      <w:r w:rsidR="004066C5">
        <w:rPr>
          <w:rFonts w:ascii="Avenir Next" w:hAnsi="Avenir Next" w:cs="Arial"/>
          <w:color w:val="7B7B7B" w:themeColor="accent3" w:themeShade="BF"/>
          <w:sz w:val="22"/>
          <w:szCs w:val="22"/>
          <w:lang w:val="en-GB"/>
        </w:rPr>
        <w:t>C</w:t>
      </w:r>
      <w:r w:rsidR="00EE5A4D">
        <w:rPr>
          <w:rFonts w:ascii="Avenir Next" w:hAnsi="Avenir Next" w:cs="Arial"/>
          <w:color w:val="7B7B7B" w:themeColor="accent3" w:themeShade="BF"/>
          <w:sz w:val="22"/>
          <w:szCs w:val="22"/>
          <w:lang w:val="en-GB"/>
        </w:rPr>
        <w:t>hapter 11</w:t>
      </w:r>
      <w:r w:rsidR="00630641">
        <w:rPr>
          <w:rFonts w:ascii="Avenir Next" w:hAnsi="Avenir Next" w:cs="Arial"/>
          <w:color w:val="7B7B7B" w:themeColor="accent3" w:themeShade="BF"/>
          <w:sz w:val="22"/>
          <w:szCs w:val="22"/>
          <w:lang w:val="en-GB"/>
        </w:rPr>
        <w:t>-</w:t>
      </w:r>
      <w:r w:rsidR="009C18E2">
        <w:rPr>
          <w:rFonts w:ascii="Avenir Next" w:hAnsi="Avenir Next" w:cs="Arial"/>
          <w:color w:val="7B7B7B" w:themeColor="accent3" w:themeShade="BF"/>
          <w:sz w:val="22"/>
          <w:szCs w:val="22"/>
          <w:lang w:val="en-GB"/>
        </w:rPr>
        <w:t>subchapter V</w:t>
      </w:r>
      <w:r w:rsidR="00630641">
        <w:rPr>
          <w:rFonts w:ascii="Avenir Next" w:hAnsi="Avenir Next" w:cs="Arial"/>
          <w:color w:val="7B7B7B" w:themeColor="accent3" w:themeShade="BF"/>
          <w:sz w:val="22"/>
          <w:szCs w:val="22"/>
          <w:lang w:val="en-GB"/>
        </w:rPr>
        <w:t>”</w:t>
      </w:r>
      <w:r w:rsidR="009C18E2">
        <w:rPr>
          <w:rFonts w:ascii="Avenir Next" w:hAnsi="Avenir Next" w:cs="Arial"/>
          <w:color w:val="7B7B7B" w:themeColor="accent3" w:themeShade="BF"/>
          <w:sz w:val="22"/>
          <w:szCs w:val="22"/>
          <w:lang w:val="en-GB"/>
        </w:rPr>
        <w:t xml:space="preserve"> </w:t>
      </w:r>
      <w:r w:rsidR="007474A2">
        <w:rPr>
          <w:rFonts w:ascii="Avenir Next" w:hAnsi="Avenir Next" w:cs="Arial"/>
          <w:color w:val="7B7B7B" w:themeColor="accent3" w:themeShade="BF"/>
          <w:sz w:val="22"/>
          <w:szCs w:val="22"/>
          <w:lang w:val="en-GB"/>
        </w:rPr>
        <w:t>reorganization plan</w:t>
      </w:r>
      <w:r w:rsidR="009C18E2">
        <w:rPr>
          <w:rFonts w:ascii="Avenir Next" w:hAnsi="Avenir Next" w:cs="Arial"/>
          <w:color w:val="7B7B7B" w:themeColor="accent3" w:themeShade="BF"/>
          <w:sz w:val="22"/>
          <w:szCs w:val="22"/>
          <w:lang w:val="en-GB"/>
        </w:rPr>
        <w:t xml:space="preserve"> (in the context of the 2019 Small Business Reorganization Act</w:t>
      </w:r>
      <w:r w:rsidR="00A12463">
        <w:rPr>
          <w:rFonts w:ascii="Avenir Next" w:hAnsi="Avenir Next" w:cs="Arial"/>
          <w:color w:val="7B7B7B" w:themeColor="accent3" w:themeShade="BF"/>
          <w:sz w:val="22"/>
          <w:szCs w:val="22"/>
          <w:lang w:val="en-GB"/>
        </w:rPr>
        <w:t xml:space="preserve">) </w:t>
      </w:r>
      <w:r w:rsidR="007474A2">
        <w:rPr>
          <w:rFonts w:ascii="Avenir Next" w:hAnsi="Avenir Next" w:cs="Arial"/>
          <w:color w:val="7B7B7B" w:themeColor="accent3" w:themeShade="BF"/>
          <w:sz w:val="22"/>
          <w:szCs w:val="22"/>
          <w:lang w:val="en-GB"/>
        </w:rPr>
        <w:t>the absolute priority rule doesn’t apply</w:t>
      </w:r>
      <w:r w:rsidR="00897F8D">
        <w:rPr>
          <w:rFonts w:ascii="Avenir Next" w:hAnsi="Avenir Next" w:cs="Arial"/>
          <w:color w:val="7B7B7B" w:themeColor="accent3" w:themeShade="BF"/>
          <w:sz w:val="22"/>
          <w:szCs w:val="22"/>
          <w:lang w:val="en-GB"/>
        </w:rPr>
        <w:t>,</w:t>
      </w:r>
      <w:r w:rsidR="007474A2">
        <w:rPr>
          <w:rFonts w:ascii="Avenir Next" w:hAnsi="Avenir Next" w:cs="Arial"/>
          <w:color w:val="7B7B7B" w:themeColor="accent3" w:themeShade="BF"/>
          <w:sz w:val="22"/>
          <w:szCs w:val="22"/>
          <w:lang w:val="en-GB"/>
        </w:rPr>
        <w:t xml:space="preserve"> </w:t>
      </w:r>
      <w:r w:rsidR="009C13AF" w:rsidRPr="009C13AF">
        <w:rPr>
          <w:rFonts w:ascii="Avenir Next" w:hAnsi="Avenir Next" w:cs="Arial"/>
          <w:color w:val="7B7B7B" w:themeColor="accent3" w:themeShade="BF"/>
          <w:sz w:val="22"/>
          <w:szCs w:val="22"/>
          <w:lang w:val="en-GB"/>
        </w:rPr>
        <w:t xml:space="preserve">thus allowing the </w:t>
      </w:r>
      <w:r w:rsidR="009C13AF">
        <w:rPr>
          <w:rFonts w:ascii="Avenir Next" w:hAnsi="Avenir Next" w:cs="Arial"/>
          <w:color w:val="7B7B7B" w:themeColor="accent3" w:themeShade="BF"/>
          <w:sz w:val="22"/>
          <w:szCs w:val="22"/>
          <w:lang w:val="en-GB"/>
        </w:rPr>
        <w:t>debtor</w:t>
      </w:r>
      <w:r w:rsidR="009C13AF" w:rsidRPr="009C13AF">
        <w:rPr>
          <w:rFonts w:ascii="Avenir Next" w:hAnsi="Avenir Next" w:cs="Arial"/>
          <w:color w:val="7B7B7B" w:themeColor="accent3" w:themeShade="BF"/>
          <w:sz w:val="22"/>
          <w:szCs w:val="22"/>
          <w:lang w:val="en-GB"/>
        </w:rPr>
        <w:t xml:space="preserve"> to </w:t>
      </w:r>
      <w:r w:rsidR="00897F8D">
        <w:rPr>
          <w:rFonts w:ascii="Avenir Next" w:hAnsi="Avenir Next" w:cs="Arial"/>
          <w:color w:val="7B7B7B" w:themeColor="accent3" w:themeShade="BF"/>
          <w:sz w:val="22"/>
          <w:szCs w:val="22"/>
          <w:lang w:val="en-GB"/>
        </w:rPr>
        <w:t>preserve</w:t>
      </w:r>
      <w:r w:rsidR="009C13AF" w:rsidRPr="009C13AF">
        <w:rPr>
          <w:rFonts w:ascii="Avenir Next" w:hAnsi="Avenir Next" w:cs="Arial"/>
          <w:color w:val="7B7B7B" w:themeColor="accent3" w:themeShade="BF"/>
          <w:sz w:val="22"/>
          <w:szCs w:val="22"/>
          <w:lang w:val="en-GB"/>
        </w:rPr>
        <w:t xml:space="preserve"> </w:t>
      </w:r>
      <w:r w:rsidR="009E36F2">
        <w:rPr>
          <w:rFonts w:ascii="Avenir Next" w:hAnsi="Avenir Next" w:cs="Arial"/>
          <w:color w:val="7B7B7B" w:themeColor="accent3" w:themeShade="BF"/>
          <w:sz w:val="22"/>
          <w:szCs w:val="22"/>
          <w:lang w:val="en-GB"/>
        </w:rPr>
        <w:t>its equity</w:t>
      </w:r>
      <w:r w:rsidR="009C13AF" w:rsidRPr="009C13AF">
        <w:rPr>
          <w:rFonts w:ascii="Avenir Next" w:hAnsi="Avenir Next" w:cs="Arial"/>
          <w:color w:val="7B7B7B" w:themeColor="accent3" w:themeShade="BF"/>
          <w:sz w:val="22"/>
          <w:szCs w:val="22"/>
          <w:lang w:val="en-GB"/>
        </w:rPr>
        <w:t xml:space="preserve"> in the reorgani</w:t>
      </w:r>
      <w:r w:rsidR="00DB4899">
        <w:rPr>
          <w:rFonts w:ascii="Avenir Next" w:hAnsi="Avenir Next" w:cs="Arial"/>
          <w:color w:val="7B7B7B" w:themeColor="accent3" w:themeShade="BF"/>
          <w:sz w:val="22"/>
          <w:szCs w:val="22"/>
          <w:lang w:val="en-GB"/>
        </w:rPr>
        <w:t>z</w:t>
      </w:r>
      <w:r w:rsidR="009C13AF" w:rsidRPr="009C13AF">
        <w:rPr>
          <w:rFonts w:ascii="Avenir Next" w:hAnsi="Avenir Next" w:cs="Arial"/>
          <w:color w:val="7B7B7B" w:themeColor="accent3" w:themeShade="BF"/>
          <w:sz w:val="22"/>
          <w:szCs w:val="22"/>
          <w:lang w:val="en-GB"/>
        </w:rPr>
        <w:t xml:space="preserve">ed business </w:t>
      </w:r>
      <w:r w:rsidR="009E36F2">
        <w:rPr>
          <w:rFonts w:ascii="Avenir Next" w:hAnsi="Avenir Next" w:cs="Arial"/>
          <w:color w:val="7B7B7B" w:themeColor="accent3" w:themeShade="BF"/>
          <w:sz w:val="22"/>
          <w:szCs w:val="22"/>
          <w:lang w:val="en-GB"/>
        </w:rPr>
        <w:t>while not</w:t>
      </w:r>
      <w:r w:rsidR="009C13AF" w:rsidRPr="009C13AF">
        <w:rPr>
          <w:rFonts w:ascii="Avenir Next" w:hAnsi="Avenir Next" w:cs="Arial"/>
          <w:color w:val="7B7B7B" w:themeColor="accent3" w:themeShade="BF"/>
          <w:sz w:val="22"/>
          <w:szCs w:val="22"/>
          <w:lang w:val="en-GB"/>
        </w:rPr>
        <w:t xml:space="preserve"> paying all creditors in full</w:t>
      </w:r>
      <w:r w:rsidR="008E7AE2">
        <w:rPr>
          <w:rFonts w:ascii="Avenir Next" w:hAnsi="Avenir Next" w:cs="Arial"/>
          <w:color w:val="7B7B7B" w:themeColor="accent3" w:themeShade="BF"/>
          <w:sz w:val="22"/>
          <w:szCs w:val="22"/>
          <w:lang w:val="en-GB"/>
        </w:rPr>
        <w:t>.</w:t>
      </w:r>
      <w:r w:rsidR="00623572">
        <w:rPr>
          <w:rFonts w:ascii="Avenir Next" w:hAnsi="Avenir Next" w:cs="Arial"/>
          <w:color w:val="7B7B7B" w:themeColor="accent3" w:themeShade="BF"/>
          <w:sz w:val="22"/>
          <w:szCs w:val="22"/>
          <w:lang w:val="en-GB"/>
        </w:rPr>
        <w:t xml:space="preserve"> Of course, for the confirmation of a </w:t>
      </w:r>
      <w:r w:rsidR="000942E2">
        <w:rPr>
          <w:rFonts w:ascii="Avenir Next" w:hAnsi="Avenir Next" w:cs="Arial"/>
          <w:color w:val="7B7B7B" w:themeColor="accent3" w:themeShade="BF"/>
          <w:sz w:val="22"/>
          <w:szCs w:val="22"/>
          <w:lang w:val="en-GB"/>
        </w:rPr>
        <w:t xml:space="preserve">cramdown </w:t>
      </w:r>
      <w:r w:rsidR="00623572">
        <w:rPr>
          <w:rFonts w:ascii="Avenir Next" w:hAnsi="Avenir Next" w:cs="Arial"/>
          <w:color w:val="7B7B7B" w:themeColor="accent3" w:themeShade="BF"/>
          <w:sz w:val="22"/>
          <w:szCs w:val="22"/>
          <w:lang w:val="en-GB"/>
        </w:rPr>
        <w:t xml:space="preserve">plan, </w:t>
      </w:r>
      <w:r w:rsidR="00B42FE3">
        <w:rPr>
          <w:rFonts w:ascii="Avenir Next" w:hAnsi="Avenir Next" w:cs="Arial"/>
          <w:color w:val="7B7B7B" w:themeColor="accent3" w:themeShade="BF"/>
          <w:sz w:val="22"/>
          <w:szCs w:val="22"/>
          <w:lang w:val="en-GB"/>
        </w:rPr>
        <w:t xml:space="preserve">all estimated disposable income should be used </w:t>
      </w:r>
      <w:r w:rsidR="004D5339">
        <w:rPr>
          <w:rFonts w:ascii="Avenir Next" w:hAnsi="Avenir Next" w:cs="Arial"/>
          <w:color w:val="7B7B7B" w:themeColor="accent3" w:themeShade="BF"/>
          <w:sz w:val="22"/>
          <w:szCs w:val="22"/>
          <w:lang w:val="en-GB"/>
        </w:rPr>
        <w:t xml:space="preserve">within a period of three to </w:t>
      </w:r>
      <w:r w:rsidR="007F67F6">
        <w:rPr>
          <w:rFonts w:ascii="Avenir Next" w:hAnsi="Avenir Next" w:cs="Arial"/>
          <w:color w:val="7B7B7B" w:themeColor="accent3" w:themeShade="BF"/>
          <w:sz w:val="22"/>
          <w:szCs w:val="22"/>
          <w:lang w:val="en-GB"/>
        </w:rPr>
        <w:t>five</w:t>
      </w:r>
      <w:r w:rsidR="004D5339">
        <w:rPr>
          <w:rFonts w:ascii="Avenir Next" w:hAnsi="Avenir Next" w:cs="Arial"/>
          <w:color w:val="7B7B7B" w:themeColor="accent3" w:themeShade="BF"/>
          <w:sz w:val="22"/>
          <w:szCs w:val="22"/>
          <w:lang w:val="en-GB"/>
        </w:rPr>
        <w:t xml:space="preserve"> years </w:t>
      </w:r>
      <w:r w:rsidR="00636731">
        <w:rPr>
          <w:rFonts w:ascii="Avenir Next" w:hAnsi="Avenir Next" w:cs="Arial"/>
          <w:color w:val="7B7B7B" w:themeColor="accent3" w:themeShade="BF"/>
          <w:sz w:val="22"/>
          <w:szCs w:val="22"/>
          <w:lang w:val="en-GB"/>
        </w:rPr>
        <w:t xml:space="preserve">so </w:t>
      </w:r>
      <w:r w:rsidR="00B42FE3">
        <w:rPr>
          <w:rFonts w:ascii="Avenir Next" w:hAnsi="Avenir Next" w:cs="Arial"/>
          <w:color w:val="7B7B7B" w:themeColor="accent3" w:themeShade="BF"/>
          <w:sz w:val="22"/>
          <w:szCs w:val="22"/>
          <w:lang w:val="en-GB"/>
        </w:rPr>
        <w:t>to make payments under th</w:t>
      </w:r>
      <w:r w:rsidR="004D5339">
        <w:rPr>
          <w:rFonts w:ascii="Avenir Next" w:hAnsi="Avenir Next" w:cs="Arial"/>
          <w:color w:val="7B7B7B" w:themeColor="accent3" w:themeShade="BF"/>
          <w:sz w:val="22"/>
          <w:szCs w:val="22"/>
          <w:lang w:val="en-GB"/>
        </w:rPr>
        <w:t>at</w:t>
      </w:r>
      <w:r w:rsidR="00B42FE3">
        <w:rPr>
          <w:rFonts w:ascii="Avenir Next" w:hAnsi="Avenir Next" w:cs="Arial"/>
          <w:color w:val="7B7B7B" w:themeColor="accent3" w:themeShade="BF"/>
          <w:sz w:val="22"/>
          <w:szCs w:val="22"/>
          <w:lang w:val="en-GB"/>
        </w:rPr>
        <w:t xml:space="preserve"> plan</w:t>
      </w:r>
      <w:r w:rsidR="00AE6AED">
        <w:rPr>
          <w:rFonts w:ascii="Avenir Next" w:hAnsi="Avenir Next" w:cs="Arial"/>
          <w:color w:val="7B7B7B" w:themeColor="accent3" w:themeShade="BF"/>
          <w:sz w:val="22"/>
          <w:szCs w:val="22"/>
          <w:lang w:val="en-GB"/>
        </w:rPr>
        <w:t>.</w:t>
      </w:r>
    </w:p>
    <w:p w14:paraId="53E1720C" w14:textId="53039929" w:rsidR="003A5537" w:rsidRDefault="003A5537" w:rsidP="00622C36">
      <w:pPr>
        <w:pStyle w:val="AODocTxt"/>
        <w:spacing w:before="0" w:line="240" w:lineRule="auto"/>
        <w:rPr>
          <w:rFonts w:ascii="Avenir Next" w:hAnsi="Avenir Next"/>
        </w:rPr>
      </w:pP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3B82BAA0" w14:textId="6A0CD7A1" w:rsidR="003A5537" w:rsidRDefault="00AC5B33" w:rsidP="00912DA1">
      <w:pPr>
        <w:jc w:val="both"/>
        <w:rPr>
          <w:rFonts w:ascii="Avenir Next" w:hAnsi="Avenir Next"/>
        </w:rPr>
      </w:pPr>
      <w:r>
        <w:rPr>
          <w:rFonts w:ascii="Avenir Next" w:hAnsi="Avenir Next" w:cs="Arial"/>
          <w:color w:val="7B7B7B" w:themeColor="accent3" w:themeShade="BF"/>
          <w:sz w:val="22"/>
          <w:szCs w:val="22"/>
          <w:lang w:val="en-GB"/>
        </w:rPr>
        <w:t>With respect to</w:t>
      </w:r>
      <w:r w:rsidR="000074AD">
        <w:rPr>
          <w:rFonts w:ascii="Avenir Next" w:hAnsi="Avenir Next" w:cs="Arial"/>
          <w:color w:val="7B7B7B" w:themeColor="accent3" w:themeShade="BF"/>
          <w:sz w:val="22"/>
          <w:szCs w:val="22"/>
          <w:lang w:val="en-GB"/>
        </w:rPr>
        <w:t xml:space="preserve"> post-commencement financing of a debtor in </w:t>
      </w:r>
      <w:r w:rsidR="004066C5">
        <w:rPr>
          <w:rFonts w:ascii="Avenir Next" w:hAnsi="Avenir Next" w:cs="Arial"/>
          <w:color w:val="7B7B7B" w:themeColor="accent3" w:themeShade="BF"/>
          <w:sz w:val="22"/>
          <w:szCs w:val="22"/>
          <w:lang w:val="en-GB"/>
        </w:rPr>
        <w:t>C</w:t>
      </w:r>
      <w:r w:rsidR="000074AD">
        <w:rPr>
          <w:rFonts w:ascii="Avenir Next" w:hAnsi="Avenir Next" w:cs="Arial"/>
          <w:color w:val="7B7B7B" w:themeColor="accent3" w:themeShade="BF"/>
          <w:sz w:val="22"/>
          <w:szCs w:val="22"/>
          <w:lang w:val="en-GB"/>
        </w:rPr>
        <w:t xml:space="preserve">hapter 11 proceedings, </w:t>
      </w:r>
      <w:r>
        <w:rPr>
          <w:rFonts w:ascii="Avenir Next" w:hAnsi="Avenir Next" w:cs="Arial"/>
          <w:color w:val="7B7B7B" w:themeColor="accent3" w:themeShade="BF"/>
          <w:sz w:val="22"/>
          <w:szCs w:val="22"/>
          <w:lang w:val="en-GB"/>
        </w:rPr>
        <w:t>it is possible</w:t>
      </w:r>
      <w:r w:rsidR="00C0164A">
        <w:rPr>
          <w:rFonts w:ascii="Avenir Next" w:hAnsi="Avenir Next" w:cs="Arial"/>
          <w:color w:val="7B7B7B" w:themeColor="accent3" w:themeShade="BF"/>
          <w:sz w:val="22"/>
          <w:szCs w:val="22"/>
          <w:lang w:val="en-GB"/>
        </w:rPr>
        <w:t xml:space="preserve"> for the court to grant</w:t>
      </w:r>
      <w:r w:rsidR="004F76EF">
        <w:rPr>
          <w:rFonts w:ascii="Avenir Next" w:hAnsi="Avenir Next" w:cs="Arial"/>
          <w:color w:val="7B7B7B" w:themeColor="accent3" w:themeShade="BF"/>
          <w:sz w:val="22"/>
          <w:szCs w:val="22"/>
          <w:lang w:val="en-GB"/>
        </w:rPr>
        <w:t>,</w:t>
      </w:r>
      <w:r w:rsidR="00C0164A">
        <w:rPr>
          <w:rFonts w:ascii="Avenir Next" w:hAnsi="Avenir Next" w:cs="Arial"/>
          <w:color w:val="7B7B7B" w:themeColor="accent3" w:themeShade="BF"/>
          <w:sz w:val="22"/>
          <w:szCs w:val="22"/>
          <w:lang w:val="en-GB"/>
        </w:rPr>
        <w:t xml:space="preserve"> </w:t>
      </w:r>
      <w:r w:rsidR="005722A3">
        <w:rPr>
          <w:rFonts w:ascii="Avenir Next" w:hAnsi="Avenir Next" w:cs="Arial"/>
          <w:color w:val="7B7B7B" w:themeColor="accent3" w:themeShade="BF"/>
          <w:sz w:val="22"/>
          <w:szCs w:val="22"/>
          <w:lang w:val="en-GB"/>
        </w:rPr>
        <w:t>inter alia</w:t>
      </w:r>
      <w:r w:rsidR="004F76EF">
        <w:rPr>
          <w:rFonts w:ascii="Avenir Next" w:hAnsi="Avenir Next" w:cs="Arial"/>
          <w:color w:val="7B7B7B" w:themeColor="accent3" w:themeShade="BF"/>
          <w:sz w:val="22"/>
          <w:szCs w:val="22"/>
          <w:lang w:val="en-GB"/>
        </w:rPr>
        <w:t xml:space="preserve">, </w:t>
      </w:r>
      <w:r w:rsidR="00C0164A">
        <w:rPr>
          <w:rFonts w:ascii="Avenir Next" w:hAnsi="Avenir Next" w:cs="Arial"/>
          <w:color w:val="7B7B7B" w:themeColor="accent3" w:themeShade="BF"/>
          <w:sz w:val="22"/>
          <w:szCs w:val="22"/>
          <w:lang w:val="en-GB"/>
        </w:rPr>
        <w:t>a priming lie</w:t>
      </w:r>
      <w:r w:rsidR="002863F6">
        <w:rPr>
          <w:rFonts w:ascii="Avenir Next" w:hAnsi="Avenir Next" w:cs="Arial"/>
          <w:color w:val="7B7B7B" w:themeColor="accent3" w:themeShade="BF"/>
          <w:sz w:val="22"/>
          <w:szCs w:val="22"/>
          <w:lang w:val="en-GB"/>
        </w:rPr>
        <w:t>n</w:t>
      </w:r>
      <w:r w:rsidR="0032045D">
        <w:rPr>
          <w:rFonts w:ascii="Avenir Next" w:hAnsi="Avenir Next" w:cs="Arial"/>
          <w:color w:val="7B7B7B" w:themeColor="accent3" w:themeShade="BF"/>
          <w:sz w:val="22"/>
          <w:szCs w:val="22"/>
          <w:lang w:val="en-GB"/>
        </w:rPr>
        <w:t>.</w:t>
      </w:r>
      <w:r w:rsidR="00D67AF5">
        <w:rPr>
          <w:rFonts w:ascii="Avenir Next" w:hAnsi="Avenir Next" w:cs="Arial"/>
          <w:color w:val="7B7B7B" w:themeColor="accent3" w:themeShade="BF"/>
          <w:sz w:val="22"/>
          <w:szCs w:val="22"/>
          <w:lang w:val="en-GB"/>
        </w:rPr>
        <w:t xml:space="preserve"> </w:t>
      </w:r>
      <w:r w:rsidR="005C1509">
        <w:rPr>
          <w:rFonts w:ascii="Avenir Next" w:hAnsi="Avenir Next" w:cs="Arial"/>
          <w:color w:val="7B7B7B" w:themeColor="accent3" w:themeShade="BF"/>
          <w:sz w:val="22"/>
          <w:szCs w:val="22"/>
          <w:lang w:val="en-GB"/>
        </w:rPr>
        <w:t>The primin</w:t>
      </w:r>
      <w:r w:rsidR="00103317">
        <w:rPr>
          <w:rFonts w:ascii="Avenir Next" w:hAnsi="Avenir Next" w:cs="Arial"/>
          <w:color w:val="7B7B7B" w:themeColor="accent3" w:themeShade="BF"/>
          <w:sz w:val="22"/>
          <w:szCs w:val="22"/>
          <w:lang w:val="en-GB"/>
        </w:rPr>
        <w:t xml:space="preserve">g lien </w:t>
      </w:r>
      <w:r w:rsidR="00894AFB">
        <w:rPr>
          <w:rFonts w:ascii="Avenir Next" w:hAnsi="Avenir Next" w:cs="Arial"/>
          <w:color w:val="7B7B7B" w:themeColor="accent3" w:themeShade="BF"/>
          <w:sz w:val="22"/>
          <w:szCs w:val="22"/>
          <w:lang w:val="en-GB"/>
        </w:rPr>
        <w:t>should be</w:t>
      </w:r>
      <w:r w:rsidR="00E22071">
        <w:rPr>
          <w:rFonts w:ascii="Avenir Next" w:hAnsi="Avenir Next" w:cs="Arial"/>
          <w:color w:val="7B7B7B" w:themeColor="accent3" w:themeShade="BF"/>
          <w:sz w:val="22"/>
          <w:szCs w:val="22"/>
          <w:lang w:val="en-GB"/>
        </w:rPr>
        <w:t xml:space="preserve"> superior or eq</w:t>
      </w:r>
      <w:r w:rsidR="00894AFB">
        <w:rPr>
          <w:rFonts w:ascii="Avenir Next" w:hAnsi="Avenir Next" w:cs="Arial"/>
          <w:color w:val="7B7B7B" w:themeColor="accent3" w:themeShade="BF"/>
          <w:sz w:val="22"/>
          <w:szCs w:val="22"/>
          <w:lang w:val="en-GB"/>
        </w:rPr>
        <w:t>uivalent</w:t>
      </w:r>
      <w:r w:rsidR="008C15CE">
        <w:rPr>
          <w:rFonts w:ascii="Avenir Next" w:hAnsi="Avenir Next" w:cs="Arial"/>
          <w:color w:val="7B7B7B" w:themeColor="accent3" w:themeShade="BF"/>
          <w:sz w:val="22"/>
          <w:szCs w:val="22"/>
          <w:lang w:val="en-GB"/>
        </w:rPr>
        <w:t xml:space="preserve"> to a pre-petition lien over property of the estate in order to guarantee post-commencement financing</w:t>
      </w:r>
      <w:r w:rsidR="006F5AEB">
        <w:rPr>
          <w:rFonts w:ascii="Avenir Next" w:hAnsi="Avenir Next" w:cs="Arial"/>
          <w:color w:val="7B7B7B" w:themeColor="accent3" w:themeShade="BF"/>
          <w:sz w:val="22"/>
          <w:szCs w:val="22"/>
          <w:lang w:val="en-GB"/>
        </w:rPr>
        <w:t>.</w:t>
      </w:r>
      <w:r w:rsidR="004F76EF">
        <w:rPr>
          <w:rFonts w:ascii="Avenir Next" w:hAnsi="Avenir Next" w:cs="Arial"/>
          <w:color w:val="7B7B7B" w:themeColor="accent3" w:themeShade="BF"/>
          <w:sz w:val="22"/>
          <w:szCs w:val="22"/>
          <w:lang w:val="en-GB"/>
        </w:rPr>
        <w:t xml:space="preserve"> </w:t>
      </w:r>
      <w:r w:rsidR="001F6DDA">
        <w:rPr>
          <w:rFonts w:ascii="Avenir Next" w:hAnsi="Avenir Next" w:cs="Arial"/>
          <w:color w:val="7B7B7B" w:themeColor="accent3" w:themeShade="BF"/>
          <w:sz w:val="22"/>
          <w:szCs w:val="22"/>
        </w:rPr>
        <w:t xml:space="preserve">The secured creditor’s priority is being </w:t>
      </w:r>
      <w:r w:rsidR="00850958">
        <w:rPr>
          <w:rFonts w:ascii="Avenir Next" w:hAnsi="Avenir Next" w:cs="Arial"/>
          <w:color w:val="7B7B7B" w:themeColor="accent3" w:themeShade="BF"/>
          <w:sz w:val="22"/>
          <w:szCs w:val="22"/>
        </w:rPr>
        <w:t>superseded</w:t>
      </w:r>
      <w:r w:rsidR="001F6DDA">
        <w:rPr>
          <w:rFonts w:ascii="Avenir Next" w:hAnsi="Avenir Next" w:cs="Arial"/>
          <w:color w:val="7B7B7B" w:themeColor="accent3" w:themeShade="BF"/>
          <w:sz w:val="22"/>
          <w:szCs w:val="22"/>
        </w:rPr>
        <w:t xml:space="preserve"> by another creditor</w:t>
      </w:r>
      <w:r w:rsidR="00CA16F7">
        <w:rPr>
          <w:rFonts w:ascii="Avenir Next" w:hAnsi="Avenir Next" w:cs="Arial"/>
          <w:color w:val="7B7B7B" w:themeColor="accent3" w:themeShade="BF"/>
          <w:sz w:val="22"/>
          <w:szCs w:val="22"/>
        </w:rPr>
        <w:t>’s priority status</w:t>
      </w:r>
      <w:r w:rsidR="001F6DDA">
        <w:rPr>
          <w:rFonts w:ascii="Avenir Next" w:hAnsi="Avenir Next" w:cs="Arial"/>
          <w:color w:val="7B7B7B" w:themeColor="accent3" w:themeShade="BF"/>
          <w:sz w:val="22"/>
          <w:szCs w:val="22"/>
        </w:rPr>
        <w:t xml:space="preserve"> and</w:t>
      </w:r>
      <w:r w:rsidR="00CA16F7">
        <w:rPr>
          <w:rFonts w:ascii="Avenir Next" w:hAnsi="Avenir Next" w:cs="Arial"/>
          <w:color w:val="7B7B7B" w:themeColor="accent3" w:themeShade="BF"/>
          <w:sz w:val="22"/>
          <w:szCs w:val="22"/>
        </w:rPr>
        <w:t>,</w:t>
      </w:r>
      <w:r w:rsidR="001F6DDA">
        <w:rPr>
          <w:rFonts w:ascii="Avenir Next" w:hAnsi="Avenir Next" w:cs="Arial"/>
          <w:color w:val="7B7B7B" w:themeColor="accent3" w:themeShade="BF"/>
          <w:sz w:val="22"/>
          <w:szCs w:val="22"/>
        </w:rPr>
        <w:t xml:space="preserve"> </w:t>
      </w:r>
      <w:r w:rsidR="00CA16F7">
        <w:rPr>
          <w:rFonts w:ascii="Avenir Next" w:hAnsi="Avenir Next" w:cs="Arial"/>
          <w:color w:val="7B7B7B" w:themeColor="accent3" w:themeShade="BF"/>
          <w:sz w:val="22"/>
          <w:szCs w:val="22"/>
        </w:rPr>
        <w:t>therefore,</w:t>
      </w:r>
      <w:r w:rsidR="001F6DDA">
        <w:rPr>
          <w:rFonts w:ascii="Avenir Next" w:hAnsi="Avenir Next" w:cs="Arial"/>
          <w:color w:val="7B7B7B" w:themeColor="accent3" w:themeShade="BF"/>
          <w:sz w:val="22"/>
          <w:szCs w:val="22"/>
        </w:rPr>
        <w:t xml:space="preserve"> the debtor must show that </w:t>
      </w:r>
      <w:r w:rsidR="00BF66E3">
        <w:rPr>
          <w:rFonts w:ascii="Avenir Next" w:hAnsi="Avenir Next" w:cs="Arial"/>
          <w:color w:val="7B7B7B" w:themeColor="accent3" w:themeShade="BF"/>
          <w:sz w:val="22"/>
          <w:szCs w:val="22"/>
        </w:rPr>
        <w:t>the secured creditor’s</w:t>
      </w:r>
      <w:r w:rsidR="001F6DDA">
        <w:rPr>
          <w:rFonts w:ascii="Avenir Next" w:hAnsi="Avenir Next" w:cs="Arial"/>
          <w:color w:val="7B7B7B" w:themeColor="accent3" w:themeShade="BF"/>
          <w:sz w:val="22"/>
          <w:szCs w:val="22"/>
        </w:rPr>
        <w:t xml:space="preserve"> interest is adequately protected</w:t>
      </w:r>
      <w:r w:rsidR="00CA16F7">
        <w:rPr>
          <w:rFonts w:ascii="Avenir Next" w:hAnsi="Avenir Next" w:cs="Arial"/>
          <w:color w:val="7B7B7B" w:themeColor="accent3" w:themeShade="BF"/>
          <w:sz w:val="22"/>
          <w:szCs w:val="22"/>
        </w:rPr>
        <w:t xml:space="preserve"> as well. </w:t>
      </w:r>
      <w:r w:rsidR="00542322">
        <w:rPr>
          <w:rFonts w:ascii="Avenir Next" w:hAnsi="Avenir Next" w:cs="Arial"/>
          <w:color w:val="7B7B7B" w:themeColor="accent3" w:themeShade="BF"/>
          <w:sz w:val="22"/>
          <w:szCs w:val="22"/>
        </w:rPr>
        <w:t>Because of the nature of the risk of being “primed”, creditors frequ</w:t>
      </w:r>
      <w:r w:rsidR="00983214">
        <w:rPr>
          <w:rFonts w:ascii="Avenir Next" w:hAnsi="Avenir Next" w:cs="Arial"/>
          <w:color w:val="7B7B7B" w:themeColor="accent3" w:themeShade="BF"/>
          <w:sz w:val="22"/>
          <w:szCs w:val="22"/>
        </w:rPr>
        <w:t>e</w:t>
      </w:r>
      <w:r w:rsidR="00E02836">
        <w:rPr>
          <w:rFonts w:ascii="Avenir Next" w:hAnsi="Avenir Next" w:cs="Arial"/>
          <w:color w:val="7B7B7B" w:themeColor="accent3" w:themeShade="BF"/>
          <w:sz w:val="22"/>
          <w:szCs w:val="22"/>
        </w:rPr>
        <w:t xml:space="preserve">ntly </w:t>
      </w:r>
      <w:r w:rsidR="004F761E">
        <w:rPr>
          <w:rFonts w:ascii="Avenir Next" w:hAnsi="Avenir Next" w:cs="Arial"/>
          <w:color w:val="7B7B7B" w:themeColor="accent3" w:themeShade="BF"/>
          <w:sz w:val="22"/>
          <w:szCs w:val="22"/>
        </w:rPr>
        <w:t>choose to continue granting credit</w:t>
      </w:r>
      <w:r w:rsidR="00B52F99">
        <w:rPr>
          <w:rFonts w:ascii="Avenir Next" w:hAnsi="Avenir Next" w:cs="Arial"/>
          <w:color w:val="7B7B7B" w:themeColor="accent3" w:themeShade="BF"/>
          <w:sz w:val="22"/>
          <w:szCs w:val="22"/>
        </w:rPr>
        <w:t xml:space="preserve"> to the debtor</w:t>
      </w:r>
      <w:r w:rsidR="004F761E">
        <w:rPr>
          <w:rFonts w:ascii="Avenir Next" w:hAnsi="Avenir Next" w:cs="Arial"/>
          <w:color w:val="7B7B7B" w:themeColor="accent3" w:themeShade="BF"/>
          <w:sz w:val="22"/>
          <w:szCs w:val="22"/>
        </w:rPr>
        <w:t>.</w:t>
      </w: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What is a preference? What are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7842B491" w14:textId="6262D88C" w:rsidR="00E41578" w:rsidRDefault="009C3E14"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Preferences are regulated by Section 547 of the Bankruptcy Code (Title 11, U.S. Code). </w:t>
      </w:r>
      <w:r w:rsidR="00C068AB">
        <w:rPr>
          <w:rFonts w:ascii="Avenir Next" w:hAnsi="Avenir Next" w:cs="Arial"/>
          <w:color w:val="7B7B7B" w:themeColor="accent3" w:themeShade="BF"/>
          <w:sz w:val="22"/>
          <w:szCs w:val="22"/>
          <w:lang w:val="en-GB"/>
        </w:rPr>
        <w:t xml:space="preserve">If </w:t>
      </w:r>
      <w:r w:rsidR="00373000">
        <w:rPr>
          <w:rFonts w:ascii="Avenir Next" w:hAnsi="Avenir Next" w:cs="Arial"/>
          <w:color w:val="7B7B7B" w:themeColor="accent3" w:themeShade="BF"/>
          <w:sz w:val="22"/>
          <w:szCs w:val="22"/>
          <w:lang w:val="en-GB"/>
        </w:rPr>
        <w:t xml:space="preserve">a transfer of property occurs during the </w:t>
      </w:r>
      <w:r w:rsidR="004D2E5B">
        <w:rPr>
          <w:rFonts w:ascii="Avenir Next" w:hAnsi="Avenir Next" w:cs="Arial"/>
          <w:color w:val="7B7B7B" w:themeColor="accent3" w:themeShade="BF"/>
          <w:sz w:val="22"/>
          <w:szCs w:val="22"/>
          <w:lang w:val="en-GB"/>
        </w:rPr>
        <w:t>period prior</w:t>
      </w:r>
      <w:r w:rsidR="00373000">
        <w:rPr>
          <w:rFonts w:ascii="Avenir Next" w:hAnsi="Avenir Next" w:cs="Arial"/>
          <w:color w:val="7B7B7B" w:themeColor="accent3" w:themeShade="BF"/>
          <w:sz w:val="22"/>
          <w:szCs w:val="22"/>
          <w:lang w:val="en-GB"/>
        </w:rPr>
        <w:t xml:space="preserve"> to the filing of the petition</w:t>
      </w:r>
      <w:r w:rsidR="004D2E5B">
        <w:rPr>
          <w:rFonts w:ascii="Avenir Next" w:hAnsi="Avenir Next" w:cs="Arial"/>
          <w:color w:val="7B7B7B" w:themeColor="accent3" w:themeShade="BF"/>
          <w:sz w:val="22"/>
          <w:szCs w:val="22"/>
          <w:lang w:val="en-GB"/>
        </w:rPr>
        <w:t xml:space="preserve">, </w:t>
      </w:r>
      <w:r w:rsidR="005A044C">
        <w:rPr>
          <w:rFonts w:ascii="Avenir Next" w:hAnsi="Avenir Next" w:cs="Arial"/>
          <w:color w:val="7B7B7B" w:themeColor="accent3" w:themeShade="BF"/>
          <w:sz w:val="22"/>
          <w:szCs w:val="22"/>
          <w:lang w:val="en-GB"/>
        </w:rPr>
        <w:t xml:space="preserve">that transfer is considered a “preference” that should be </w:t>
      </w:r>
      <w:r w:rsidR="002F145F">
        <w:rPr>
          <w:rFonts w:ascii="Avenir Next" w:hAnsi="Avenir Next" w:cs="Arial"/>
          <w:color w:val="7B7B7B" w:themeColor="accent3" w:themeShade="BF"/>
          <w:sz w:val="22"/>
          <w:szCs w:val="22"/>
          <w:lang w:val="en-GB"/>
        </w:rPr>
        <w:t>returned</w:t>
      </w:r>
      <w:r w:rsidR="005A044C">
        <w:rPr>
          <w:rFonts w:ascii="Avenir Next" w:hAnsi="Avenir Next" w:cs="Arial"/>
          <w:color w:val="7B7B7B" w:themeColor="accent3" w:themeShade="BF"/>
          <w:sz w:val="22"/>
          <w:szCs w:val="22"/>
          <w:lang w:val="en-GB"/>
        </w:rPr>
        <w:t xml:space="preserve"> to the insolvency estate. </w:t>
      </w:r>
      <w:r w:rsidR="007A25AF">
        <w:rPr>
          <w:rFonts w:ascii="Avenir Next" w:hAnsi="Avenir Next" w:cs="Arial"/>
          <w:color w:val="7B7B7B" w:themeColor="accent3" w:themeShade="BF"/>
          <w:sz w:val="22"/>
          <w:szCs w:val="22"/>
          <w:lang w:val="en-GB"/>
        </w:rPr>
        <w:t>T</w:t>
      </w:r>
      <w:r w:rsidR="00404595">
        <w:rPr>
          <w:rFonts w:ascii="Avenir Next" w:hAnsi="Avenir Next" w:cs="Arial"/>
          <w:color w:val="7B7B7B" w:themeColor="accent3" w:themeShade="BF"/>
          <w:sz w:val="22"/>
          <w:szCs w:val="22"/>
          <w:lang w:val="en-GB"/>
        </w:rPr>
        <w:t xml:space="preserve">he transfer should </w:t>
      </w:r>
      <w:r w:rsidR="003512D5">
        <w:rPr>
          <w:rFonts w:ascii="Avenir Next" w:hAnsi="Avenir Next" w:cs="Arial"/>
          <w:color w:val="7B7B7B" w:themeColor="accent3" w:themeShade="BF"/>
          <w:sz w:val="22"/>
          <w:szCs w:val="22"/>
          <w:lang w:val="en-GB"/>
        </w:rPr>
        <w:t xml:space="preserve">be greater </w:t>
      </w:r>
      <w:r w:rsidR="00A358F6">
        <w:rPr>
          <w:rFonts w:ascii="Avenir Next" w:hAnsi="Avenir Next" w:cs="Arial"/>
          <w:color w:val="7B7B7B" w:themeColor="accent3" w:themeShade="BF"/>
          <w:sz w:val="22"/>
          <w:szCs w:val="22"/>
          <w:lang w:val="en-GB"/>
        </w:rPr>
        <w:t xml:space="preserve">in value </w:t>
      </w:r>
      <w:r w:rsidR="003512D5">
        <w:rPr>
          <w:rFonts w:ascii="Avenir Next" w:hAnsi="Avenir Next" w:cs="Arial"/>
          <w:color w:val="7B7B7B" w:themeColor="accent3" w:themeShade="BF"/>
          <w:sz w:val="22"/>
          <w:szCs w:val="22"/>
          <w:lang w:val="en-GB"/>
        </w:rPr>
        <w:t>than</w:t>
      </w:r>
      <w:r w:rsidR="00DD6B7A">
        <w:rPr>
          <w:rFonts w:ascii="Avenir Next" w:hAnsi="Avenir Next" w:cs="Arial"/>
          <w:color w:val="7B7B7B" w:themeColor="accent3" w:themeShade="BF"/>
          <w:sz w:val="22"/>
          <w:szCs w:val="22"/>
          <w:lang w:val="en-GB"/>
        </w:rPr>
        <w:t xml:space="preserve"> </w:t>
      </w:r>
      <w:r w:rsidR="00A358F6">
        <w:rPr>
          <w:rFonts w:ascii="Avenir Next" w:hAnsi="Avenir Next" w:cs="Arial"/>
          <w:color w:val="7B7B7B" w:themeColor="accent3" w:themeShade="BF"/>
          <w:sz w:val="22"/>
          <w:szCs w:val="22"/>
          <w:lang w:val="en-GB"/>
        </w:rPr>
        <w:t xml:space="preserve">the amount acquired by the recipient in a </w:t>
      </w:r>
      <w:r w:rsidR="007A25AF">
        <w:rPr>
          <w:rFonts w:ascii="Avenir Next" w:hAnsi="Avenir Next" w:cs="Arial"/>
          <w:color w:val="7B7B7B" w:themeColor="accent3" w:themeShade="BF"/>
          <w:sz w:val="22"/>
          <w:szCs w:val="22"/>
          <w:lang w:val="en-GB"/>
        </w:rPr>
        <w:t xml:space="preserve">hypothetical </w:t>
      </w:r>
      <w:r w:rsidR="004066C5">
        <w:rPr>
          <w:rFonts w:ascii="Avenir Next" w:hAnsi="Avenir Next" w:cs="Arial"/>
          <w:color w:val="7B7B7B" w:themeColor="accent3" w:themeShade="BF"/>
          <w:sz w:val="22"/>
          <w:szCs w:val="22"/>
          <w:lang w:val="en-GB"/>
        </w:rPr>
        <w:t>C</w:t>
      </w:r>
      <w:r w:rsidR="00A358F6">
        <w:rPr>
          <w:rFonts w:ascii="Avenir Next" w:hAnsi="Avenir Next" w:cs="Arial"/>
          <w:color w:val="7B7B7B" w:themeColor="accent3" w:themeShade="BF"/>
          <w:sz w:val="22"/>
          <w:szCs w:val="22"/>
          <w:lang w:val="en-GB"/>
        </w:rPr>
        <w:t xml:space="preserve">hapter 7 liquidation proceeding. </w:t>
      </w:r>
      <w:r w:rsidR="00DE3970">
        <w:rPr>
          <w:rFonts w:ascii="Avenir Next" w:hAnsi="Avenir Next" w:cs="Arial"/>
          <w:color w:val="7B7B7B" w:themeColor="accent3" w:themeShade="BF"/>
          <w:sz w:val="22"/>
          <w:szCs w:val="22"/>
          <w:lang w:val="en-GB"/>
        </w:rPr>
        <w:t>The inherent scope of preference avoidance</w:t>
      </w:r>
      <w:r w:rsidR="0027392E">
        <w:rPr>
          <w:rFonts w:ascii="Avenir Next" w:hAnsi="Avenir Next" w:cs="Arial"/>
          <w:color w:val="7B7B7B" w:themeColor="accent3" w:themeShade="BF"/>
          <w:sz w:val="22"/>
          <w:szCs w:val="22"/>
          <w:lang w:val="en-GB"/>
        </w:rPr>
        <w:t xml:space="preserve"> provision</w:t>
      </w:r>
      <w:r w:rsidR="001029FD">
        <w:rPr>
          <w:rFonts w:ascii="Avenir Next" w:hAnsi="Avenir Next" w:cs="Arial"/>
          <w:color w:val="7B7B7B" w:themeColor="accent3" w:themeShade="BF"/>
          <w:sz w:val="22"/>
          <w:szCs w:val="22"/>
          <w:lang w:val="en-GB"/>
        </w:rPr>
        <w:t xml:space="preserve">s </w:t>
      </w:r>
      <w:r w:rsidR="007F17F8">
        <w:rPr>
          <w:rFonts w:ascii="Avenir Next" w:hAnsi="Avenir Next" w:cs="Arial"/>
          <w:color w:val="7B7B7B" w:themeColor="accent3" w:themeShade="BF"/>
          <w:sz w:val="22"/>
          <w:szCs w:val="22"/>
          <w:lang w:val="en-GB"/>
        </w:rPr>
        <w:t xml:space="preserve">is to treat in the same </w:t>
      </w:r>
      <w:r w:rsidR="004D3245">
        <w:rPr>
          <w:rFonts w:ascii="Avenir Next" w:hAnsi="Avenir Next" w:cs="Arial"/>
          <w:color w:val="7B7B7B" w:themeColor="accent3" w:themeShade="BF"/>
          <w:sz w:val="22"/>
          <w:szCs w:val="22"/>
          <w:lang w:val="en-GB"/>
        </w:rPr>
        <w:t>manner creditors who are in a comparable position</w:t>
      </w:r>
      <w:r w:rsidR="008665A4">
        <w:rPr>
          <w:rFonts w:ascii="Avenir Next" w:hAnsi="Avenir Next" w:cs="Arial"/>
          <w:color w:val="7B7B7B" w:themeColor="accent3" w:themeShade="BF"/>
          <w:sz w:val="22"/>
          <w:szCs w:val="22"/>
          <w:lang w:val="en-GB"/>
        </w:rPr>
        <w:t>. In addition, it</w:t>
      </w:r>
      <w:r w:rsidR="008D6E8F">
        <w:rPr>
          <w:rFonts w:ascii="Avenir Next" w:hAnsi="Avenir Next" w:cs="Arial"/>
          <w:color w:val="7B7B7B" w:themeColor="accent3" w:themeShade="BF"/>
          <w:sz w:val="22"/>
          <w:szCs w:val="22"/>
          <w:lang w:val="en-GB"/>
        </w:rPr>
        <w:t xml:space="preserve"> </w:t>
      </w:r>
      <w:r w:rsidR="007C545C">
        <w:rPr>
          <w:rFonts w:ascii="Avenir Next" w:hAnsi="Avenir Next" w:cs="Arial"/>
          <w:color w:val="7B7B7B" w:themeColor="accent3" w:themeShade="BF"/>
          <w:sz w:val="22"/>
          <w:szCs w:val="22"/>
          <w:lang w:val="en-GB"/>
        </w:rPr>
        <w:t>discourages</w:t>
      </w:r>
      <w:r w:rsidR="00A63764">
        <w:rPr>
          <w:rFonts w:ascii="Avenir Next" w:hAnsi="Avenir Next" w:cs="Arial"/>
          <w:color w:val="7B7B7B" w:themeColor="accent3" w:themeShade="BF"/>
          <w:sz w:val="22"/>
          <w:szCs w:val="22"/>
          <w:lang w:val="en-GB"/>
        </w:rPr>
        <w:t xml:space="preserve"> </w:t>
      </w:r>
      <w:r w:rsidR="005D7864">
        <w:rPr>
          <w:rFonts w:ascii="Avenir Next" w:hAnsi="Avenir Next" w:cs="Arial"/>
          <w:color w:val="7B7B7B" w:themeColor="accent3" w:themeShade="BF"/>
          <w:sz w:val="22"/>
          <w:szCs w:val="22"/>
          <w:lang w:val="en-GB"/>
        </w:rPr>
        <w:t>instances</w:t>
      </w:r>
      <w:r w:rsidR="00A63764">
        <w:rPr>
          <w:rFonts w:ascii="Avenir Next" w:hAnsi="Avenir Next" w:cs="Arial"/>
          <w:color w:val="7B7B7B" w:themeColor="accent3" w:themeShade="BF"/>
          <w:sz w:val="22"/>
          <w:szCs w:val="22"/>
          <w:lang w:val="en-GB"/>
        </w:rPr>
        <w:t xml:space="preserve"> of “creditors’ race” </w:t>
      </w:r>
      <w:r w:rsidR="007A25AF">
        <w:rPr>
          <w:rFonts w:ascii="Avenir Next" w:hAnsi="Avenir Next" w:cs="Arial"/>
          <w:color w:val="7B7B7B" w:themeColor="accent3" w:themeShade="BF"/>
          <w:sz w:val="22"/>
          <w:szCs w:val="22"/>
          <w:lang w:val="en-GB"/>
        </w:rPr>
        <w:t>to recover money</w:t>
      </w:r>
      <w:r w:rsidR="00A63764">
        <w:rPr>
          <w:rFonts w:ascii="Avenir Next" w:hAnsi="Avenir Next" w:cs="Arial"/>
          <w:color w:val="7B7B7B" w:themeColor="accent3" w:themeShade="BF"/>
          <w:sz w:val="22"/>
          <w:szCs w:val="22"/>
          <w:lang w:val="en-GB"/>
        </w:rPr>
        <w:t xml:space="preserve"> from the debtor</w:t>
      </w:r>
      <w:r w:rsidR="005D7864">
        <w:rPr>
          <w:rFonts w:ascii="Avenir Next" w:hAnsi="Avenir Next" w:cs="Arial"/>
          <w:color w:val="7B7B7B" w:themeColor="accent3" w:themeShade="BF"/>
          <w:sz w:val="22"/>
          <w:szCs w:val="22"/>
          <w:lang w:val="en-GB"/>
        </w:rPr>
        <w:t xml:space="preserve">. </w:t>
      </w:r>
      <w:r w:rsidR="00982E1A">
        <w:rPr>
          <w:rFonts w:ascii="Avenir Next" w:hAnsi="Avenir Next" w:cs="Arial"/>
          <w:color w:val="7B7B7B" w:themeColor="accent3" w:themeShade="BF"/>
          <w:sz w:val="22"/>
          <w:szCs w:val="22"/>
          <w:lang w:val="en-GB"/>
        </w:rPr>
        <w:t xml:space="preserve">The recipient of the transferred amount that has been avoided receives an unsecured </w:t>
      </w:r>
      <w:r w:rsidR="00ED2ED3">
        <w:rPr>
          <w:rFonts w:ascii="Avenir Next" w:hAnsi="Avenir Next" w:cs="Arial"/>
          <w:color w:val="7B7B7B" w:themeColor="accent3" w:themeShade="BF"/>
          <w:sz w:val="22"/>
          <w:szCs w:val="22"/>
          <w:lang w:val="en-GB"/>
        </w:rPr>
        <w:t>claim</w:t>
      </w:r>
      <w:r w:rsidR="000F76CB">
        <w:rPr>
          <w:rFonts w:ascii="Avenir Next" w:hAnsi="Avenir Next" w:cs="Arial"/>
          <w:color w:val="7B7B7B" w:themeColor="accent3" w:themeShade="BF"/>
          <w:sz w:val="22"/>
          <w:szCs w:val="22"/>
          <w:lang w:val="en-GB"/>
        </w:rPr>
        <w:t>.</w:t>
      </w:r>
    </w:p>
    <w:p w14:paraId="72911146" w14:textId="4250AD7B" w:rsidR="005B45AC" w:rsidRDefault="005B45AC" w:rsidP="00E41578">
      <w:pPr>
        <w:jc w:val="both"/>
        <w:rPr>
          <w:rFonts w:ascii="Avenir Next" w:hAnsi="Avenir Next" w:cs="Arial"/>
          <w:color w:val="7B7B7B" w:themeColor="accent3" w:themeShade="BF"/>
          <w:sz w:val="22"/>
          <w:szCs w:val="22"/>
          <w:lang w:val="en-GB"/>
        </w:rPr>
      </w:pPr>
    </w:p>
    <w:p w14:paraId="2C1C15AF" w14:textId="1CB5B3E4" w:rsidR="005B45AC" w:rsidRPr="00E65EEF" w:rsidRDefault="007821A5" w:rsidP="00E415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lastRenderedPageBreak/>
        <w:t xml:space="preserve">In order to establish </w:t>
      </w:r>
      <w:r w:rsidR="00F56818">
        <w:rPr>
          <w:rFonts w:ascii="Avenir Next" w:hAnsi="Avenir Next" w:cs="Arial"/>
          <w:color w:val="7B7B7B" w:themeColor="accent3" w:themeShade="BF"/>
          <w:sz w:val="22"/>
          <w:szCs w:val="22"/>
        </w:rPr>
        <w:t xml:space="preserve">a </w:t>
      </w:r>
      <w:r>
        <w:rPr>
          <w:rFonts w:ascii="Avenir Next" w:hAnsi="Avenir Next" w:cs="Arial"/>
          <w:color w:val="7B7B7B" w:themeColor="accent3" w:themeShade="BF"/>
          <w:sz w:val="22"/>
          <w:szCs w:val="22"/>
        </w:rPr>
        <w:t xml:space="preserve">preference certain elements shall be present. First of all, </w:t>
      </w:r>
      <w:r w:rsidR="00BD4799">
        <w:rPr>
          <w:rFonts w:ascii="Avenir Next" w:hAnsi="Avenir Next" w:cs="Arial"/>
          <w:color w:val="7B7B7B" w:themeColor="accent3" w:themeShade="BF"/>
          <w:sz w:val="22"/>
          <w:szCs w:val="22"/>
        </w:rPr>
        <w:t>it should be a transfer concerning a</w:t>
      </w:r>
      <w:r w:rsidR="009967A4">
        <w:rPr>
          <w:rFonts w:ascii="Avenir Next" w:hAnsi="Avenir Next" w:cs="Arial"/>
          <w:color w:val="7B7B7B" w:themeColor="accent3" w:themeShade="BF"/>
          <w:sz w:val="22"/>
          <w:szCs w:val="22"/>
        </w:rPr>
        <w:t xml:space="preserve"> debtor’s </w:t>
      </w:r>
      <w:r w:rsidR="00BD4799">
        <w:rPr>
          <w:rFonts w:ascii="Avenir Next" w:hAnsi="Avenir Next" w:cs="Arial"/>
          <w:color w:val="7B7B7B" w:themeColor="accent3" w:themeShade="BF"/>
          <w:sz w:val="22"/>
          <w:szCs w:val="22"/>
        </w:rPr>
        <w:t>interest in the property</w:t>
      </w:r>
      <w:r w:rsidR="006F2EB2">
        <w:rPr>
          <w:rFonts w:ascii="Avenir Next" w:hAnsi="Avenir Next" w:cs="Arial"/>
          <w:color w:val="7B7B7B" w:themeColor="accent3" w:themeShade="BF"/>
          <w:sz w:val="22"/>
          <w:szCs w:val="22"/>
        </w:rPr>
        <w:t xml:space="preserve"> such as funds, assets or interest in property</w:t>
      </w:r>
      <w:r w:rsidR="00BD4799">
        <w:rPr>
          <w:rFonts w:ascii="Avenir Next" w:hAnsi="Avenir Next" w:cs="Arial"/>
          <w:color w:val="7B7B7B" w:themeColor="accent3" w:themeShade="BF"/>
          <w:sz w:val="22"/>
          <w:szCs w:val="22"/>
        </w:rPr>
        <w:t>. If the debtor does not have an interest in th</w:t>
      </w:r>
      <w:r w:rsidR="00957B5D">
        <w:rPr>
          <w:rFonts w:ascii="Avenir Next" w:hAnsi="Avenir Next" w:cs="Arial"/>
          <w:color w:val="7B7B7B" w:themeColor="accent3" w:themeShade="BF"/>
          <w:sz w:val="22"/>
          <w:szCs w:val="22"/>
        </w:rPr>
        <w:t>e</w:t>
      </w:r>
      <w:r w:rsidR="00BD4799">
        <w:rPr>
          <w:rFonts w:ascii="Avenir Next" w:hAnsi="Avenir Next" w:cs="Arial"/>
          <w:color w:val="7B7B7B" w:themeColor="accent3" w:themeShade="BF"/>
          <w:sz w:val="22"/>
          <w:szCs w:val="22"/>
        </w:rPr>
        <w:t xml:space="preserve"> property then this is not considered a preference</w:t>
      </w:r>
      <w:r w:rsidR="002D7F16">
        <w:rPr>
          <w:rFonts w:ascii="Avenir Next" w:hAnsi="Avenir Next" w:cs="Arial"/>
          <w:color w:val="7B7B7B" w:themeColor="accent3" w:themeShade="BF"/>
          <w:sz w:val="22"/>
          <w:szCs w:val="22"/>
        </w:rPr>
        <w:t xml:space="preserve"> </w:t>
      </w:r>
      <w:r w:rsidR="009967A4">
        <w:rPr>
          <w:rFonts w:ascii="Avenir Next" w:hAnsi="Avenir Next" w:cs="Arial"/>
          <w:color w:val="7B7B7B" w:themeColor="accent3" w:themeShade="BF"/>
          <w:sz w:val="22"/>
          <w:szCs w:val="22"/>
        </w:rPr>
        <w:t>(</w:t>
      </w:r>
      <w:r w:rsidR="002D7F16">
        <w:rPr>
          <w:rFonts w:ascii="Avenir Next" w:hAnsi="Avenir Next" w:cs="Arial"/>
          <w:color w:val="7B7B7B" w:themeColor="accent3" w:themeShade="BF"/>
          <w:sz w:val="22"/>
          <w:szCs w:val="22"/>
        </w:rPr>
        <w:t xml:space="preserve">e.g. where the debtor holds </w:t>
      </w:r>
      <w:r w:rsidR="00F3219B">
        <w:rPr>
          <w:rFonts w:ascii="Avenir Next" w:hAnsi="Avenir Next" w:cs="Arial"/>
          <w:color w:val="7B7B7B" w:themeColor="accent3" w:themeShade="BF"/>
          <w:sz w:val="22"/>
          <w:szCs w:val="22"/>
        </w:rPr>
        <w:t>an asset</w:t>
      </w:r>
      <w:r w:rsidR="002D7F16">
        <w:rPr>
          <w:rFonts w:ascii="Avenir Next" w:hAnsi="Avenir Next" w:cs="Arial"/>
          <w:color w:val="7B7B7B" w:themeColor="accent3" w:themeShade="BF"/>
          <w:sz w:val="22"/>
          <w:szCs w:val="22"/>
        </w:rPr>
        <w:t xml:space="preserve"> as an ‘agent’ </w:t>
      </w:r>
      <w:r w:rsidR="00220698">
        <w:rPr>
          <w:rFonts w:ascii="Avenir Next" w:hAnsi="Avenir Next" w:cs="Arial"/>
          <w:color w:val="7B7B7B" w:themeColor="accent3" w:themeShade="BF"/>
          <w:sz w:val="22"/>
          <w:szCs w:val="22"/>
        </w:rPr>
        <w:t>on behalf of</w:t>
      </w:r>
      <w:r w:rsidR="002D7F16">
        <w:rPr>
          <w:rFonts w:ascii="Avenir Next" w:hAnsi="Avenir Next" w:cs="Arial"/>
          <w:color w:val="7B7B7B" w:themeColor="accent3" w:themeShade="BF"/>
          <w:sz w:val="22"/>
          <w:szCs w:val="22"/>
        </w:rPr>
        <w:t xml:space="preserve"> another person). </w:t>
      </w:r>
      <w:r w:rsidR="00D9126A">
        <w:rPr>
          <w:rFonts w:ascii="Avenir Next" w:hAnsi="Avenir Next" w:cs="Arial"/>
          <w:color w:val="7B7B7B" w:themeColor="accent3" w:themeShade="BF"/>
          <w:sz w:val="22"/>
          <w:szCs w:val="22"/>
        </w:rPr>
        <w:t>Secondly</w:t>
      </w:r>
      <w:r w:rsidR="006F2EB2">
        <w:rPr>
          <w:rFonts w:ascii="Avenir Next" w:hAnsi="Avenir Next" w:cs="Arial"/>
          <w:color w:val="7B7B7B" w:themeColor="accent3" w:themeShade="BF"/>
          <w:sz w:val="22"/>
          <w:szCs w:val="22"/>
        </w:rPr>
        <w:t xml:space="preserve">, </w:t>
      </w:r>
      <w:r w:rsidR="00DE3C18">
        <w:rPr>
          <w:rFonts w:ascii="Avenir Next" w:hAnsi="Avenir Next" w:cs="Arial"/>
          <w:color w:val="7B7B7B" w:themeColor="accent3" w:themeShade="BF"/>
          <w:sz w:val="22"/>
          <w:szCs w:val="22"/>
        </w:rPr>
        <w:t xml:space="preserve">the transfer should </w:t>
      </w:r>
      <w:r w:rsidR="00220698">
        <w:rPr>
          <w:rFonts w:ascii="Avenir Next" w:hAnsi="Avenir Next" w:cs="Arial"/>
          <w:color w:val="7B7B7B" w:themeColor="accent3" w:themeShade="BF"/>
          <w:sz w:val="22"/>
          <w:szCs w:val="22"/>
        </w:rPr>
        <w:t xml:space="preserve">specifically </w:t>
      </w:r>
      <w:r w:rsidR="00DE3C18">
        <w:rPr>
          <w:rFonts w:ascii="Avenir Next" w:hAnsi="Avenir Next" w:cs="Arial"/>
          <w:color w:val="7B7B7B" w:themeColor="accent3" w:themeShade="BF"/>
          <w:sz w:val="22"/>
          <w:szCs w:val="22"/>
        </w:rPr>
        <w:t xml:space="preserve">benefit the </w:t>
      </w:r>
      <w:r w:rsidR="005C449E">
        <w:rPr>
          <w:rFonts w:ascii="Avenir Next" w:hAnsi="Avenir Next" w:cs="Arial"/>
          <w:color w:val="7B7B7B" w:themeColor="accent3" w:themeShade="BF"/>
          <w:sz w:val="22"/>
          <w:szCs w:val="22"/>
        </w:rPr>
        <w:t>creditor</w:t>
      </w:r>
      <w:r w:rsidR="00DE3C18">
        <w:rPr>
          <w:rFonts w:ascii="Avenir Next" w:hAnsi="Avenir Next" w:cs="Arial"/>
          <w:color w:val="7B7B7B" w:themeColor="accent3" w:themeShade="BF"/>
          <w:sz w:val="22"/>
          <w:szCs w:val="22"/>
        </w:rPr>
        <w:t xml:space="preserve">. </w:t>
      </w:r>
      <w:r w:rsidR="00220698">
        <w:rPr>
          <w:rFonts w:ascii="Avenir Next" w:hAnsi="Avenir Next" w:cs="Arial"/>
          <w:color w:val="7B7B7B" w:themeColor="accent3" w:themeShade="BF"/>
          <w:sz w:val="22"/>
          <w:szCs w:val="22"/>
        </w:rPr>
        <w:t xml:space="preserve">If </w:t>
      </w:r>
      <w:r w:rsidR="005C449E">
        <w:rPr>
          <w:rFonts w:ascii="Avenir Next" w:hAnsi="Avenir Next" w:cs="Arial"/>
          <w:color w:val="7B7B7B" w:themeColor="accent3" w:themeShade="BF"/>
          <w:sz w:val="22"/>
          <w:szCs w:val="22"/>
        </w:rPr>
        <w:t>the recipient does not act as a creditor of the debtor then</w:t>
      </w:r>
      <w:r w:rsidR="005C3FF5">
        <w:rPr>
          <w:rFonts w:ascii="Avenir Next" w:hAnsi="Avenir Next" w:cs="Arial"/>
          <w:color w:val="7B7B7B" w:themeColor="accent3" w:themeShade="BF"/>
          <w:sz w:val="22"/>
          <w:szCs w:val="22"/>
        </w:rPr>
        <w:t xml:space="preserve"> the transfer </w:t>
      </w:r>
      <w:r w:rsidR="00220698">
        <w:rPr>
          <w:rFonts w:ascii="Avenir Next" w:hAnsi="Avenir Next" w:cs="Arial"/>
          <w:color w:val="7B7B7B" w:themeColor="accent3" w:themeShade="BF"/>
          <w:sz w:val="22"/>
          <w:szCs w:val="22"/>
        </w:rPr>
        <w:t>can</w:t>
      </w:r>
      <w:r w:rsidR="005C3FF5">
        <w:rPr>
          <w:rFonts w:ascii="Avenir Next" w:hAnsi="Avenir Next" w:cs="Arial"/>
          <w:color w:val="7B7B7B" w:themeColor="accent3" w:themeShade="BF"/>
          <w:sz w:val="22"/>
          <w:szCs w:val="22"/>
        </w:rPr>
        <w:t xml:space="preserve">not </w:t>
      </w:r>
      <w:r w:rsidR="00220698">
        <w:rPr>
          <w:rFonts w:ascii="Avenir Next" w:hAnsi="Avenir Next" w:cs="Arial"/>
          <w:color w:val="7B7B7B" w:themeColor="accent3" w:themeShade="BF"/>
          <w:sz w:val="22"/>
          <w:szCs w:val="22"/>
        </w:rPr>
        <w:t>be characterized as</w:t>
      </w:r>
      <w:r w:rsidR="005C3FF5">
        <w:rPr>
          <w:rFonts w:ascii="Avenir Next" w:hAnsi="Avenir Next" w:cs="Arial"/>
          <w:color w:val="7B7B7B" w:themeColor="accent3" w:themeShade="BF"/>
          <w:sz w:val="22"/>
          <w:szCs w:val="22"/>
        </w:rPr>
        <w:t xml:space="preserve"> preference. Rather,</w:t>
      </w:r>
      <w:r w:rsidR="005C449E">
        <w:rPr>
          <w:rFonts w:ascii="Avenir Next" w:hAnsi="Avenir Next" w:cs="Arial"/>
          <w:color w:val="7B7B7B" w:themeColor="accent3" w:themeShade="BF"/>
          <w:sz w:val="22"/>
          <w:szCs w:val="22"/>
        </w:rPr>
        <w:t xml:space="preserve"> fraudulent conveyance provisions may apply</w:t>
      </w:r>
      <w:r w:rsidR="005C3FF5">
        <w:rPr>
          <w:rFonts w:ascii="Avenir Next" w:hAnsi="Avenir Next" w:cs="Arial"/>
          <w:color w:val="7B7B7B" w:themeColor="accent3" w:themeShade="BF"/>
          <w:sz w:val="22"/>
          <w:szCs w:val="22"/>
        </w:rPr>
        <w:t xml:space="preserve"> for th</w:t>
      </w:r>
      <w:r w:rsidR="00220698">
        <w:rPr>
          <w:rFonts w:ascii="Avenir Next" w:hAnsi="Avenir Next" w:cs="Arial"/>
          <w:color w:val="7B7B7B" w:themeColor="accent3" w:themeShade="BF"/>
          <w:sz w:val="22"/>
          <w:szCs w:val="22"/>
        </w:rPr>
        <w:t>is</w:t>
      </w:r>
      <w:r w:rsidR="005C3FF5">
        <w:rPr>
          <w:rFonts w:ascii="Avenir Next" w:hAnsi="Avenir Next" w:cs="Arial"/>
          <w:color w:val="7B7B7B" w:themeColor="accent3" w:themeShade="BF"/>
          <w:sz w:val="22"/>
          <w:szCs w:val="22"/>
        </w:rPr>
        <w:t xml:space="preserve"> recovery</w:t>
      </w:r>
      <w:r w:rsidR="005C449E">
        <w:rPr>
          <w:rFonts w:ascii="Avenir Next" w:hAnsi="Avenir Next" w:cs="Arial"/>
          <w:color w:val="7B7B7B" w:themeColor="accent3" w:themeShade="BF"/>
          <w:sz w:val="22"/>
          <w:szCs w:val="22"/>
        </w:rPr>
        <w:t xml:space="preserve">. </w:t>
      </w:r>
      <w:r w:rsidR="005C3FF5">
        <w:rPr>
          <w:rFonts w:ascii="Avenir Next" w:hAnsi="Avenir Next" w:cs="Arial"/>
          <w:color w:val="7B7B7B" w:themeColor="accent3" w:themeShade="BF"/>
          <w:sz w:val="22"/>
          <w:szCs w:val="22"/>
        </w:rPr>
        <w:t xml:space="preserve">Thirdly, </w:t>
      </w:r>
      <w:r w:rsidR="005521C0">
        <w:rPr>
          <w:rFonts w:ascii="Avenir Next" w:hAnsi="Avenir Next" w:cs="Arial"/>
          <w:color w:val="7B7B7B" w:themeColor="accent3" w:themeShade="BF"/>
          <w:sz w:val="22"/>
          <w:szCs w:val="22"/>
        </w:rPr>
        <w:t xml:space="preserve">the transfer should </w:t>
      </w:r>
      <w:r w:rsidR="003A66AC">
        <w:rPr>
          <w:rFonts w:ascii="Avenir Next" w:hAnsi="Avenir Next" w:cs="Arial"/>
          <w:color w:val="7B7B7B" w:themeColor="accent3" w:themeShade="BF"/>
          <w:sz w:val="22"/>
          <w:szCs w:val="22"/>
        </w:rPr>
        <w:t>be linked</w:t>
      </w:r>
      <w:r w:rsidR="005521C0">
        <w:rPr>
          <w:rFonts w:ascii="Avenir Next" w:hAnsi="Avenir Next" w:cs="Arial"/>
          <w:color w:val="7B7B7B" w:themeColor="accent3" w:themeShade="BF"/>
          <w:sz w:val="22"/>
          <w:szCs w:val="22"/>
        </w:rPr>
        <w:t xml:space="preserve"> to an already existing debt. </w:t>
      </w:r>
      <w:r w:rsidR="00280409">
        <w:rPr>
          <w:rFonts w:ascii="Avenir Next" w:hAnsi="Avenir Next" w:cs="Arial"/>
          <w:color w:val="7B7B7B" w:themeColor="accent3" w:themeShade="BF"/>
          <w:sz w:val="22"/>
          <w:szCs w:val="22"/>
        </w:rPr>
        <w:t xml:space="preserve">Therefore, </w:t>
      </w:r>
      <w:r w:rsidR="00DB4354">
        <w:rPr>
          <w:rFonts w:ascii="Avenir Next" w:hAnsi="Avenir Next" w:cs="Arial"/>
          <w:color w:val="7B7B7B" w:themeColor="accent3" w:themeShade="BF"/>
          <w:sz w:val="22"/>
          <w:szCs w:val="22"/>
        </w:rPr>
        <w:t>any ‘contemporaneous exchange of value’ (</w:t>
      </w:r>
      <w:r w:rsidR="00656208">
        <w:rPr>
          <w:rFonts w:ascii="Avenir Next" w:hAnsi="Avenir Next" w:cs="Arial"/>
          <w:i/>
          <w:iCs/>
          <w:color w:val="7B7B7B" w:themeColor="accent3" w:themeShade="BF"/>
          <w:sz w:val="22"/>
          <w:szCs w:val="22"/>
        </w:rPr>
        <w:t xml:space="preserve">see </w:t>
      </w:r>
      <w:r w:rsidR="00656208">
        <w:rPr>
          <w:rFonts w:ascii="Avenir Next" w:hAnsi="Avenir Next" w:cs="Arial"/>
          <w:color w:val="7B7B7B" w:themeColor="accent3" w:themeShade="BF"/>
          <w:sz w:val="22"/>
          <w:szCs w:val="22"/>
        </w:rPr>
        <w:t xml:space="preserve"> 11  USC, </w:t>
      </w:r>
      <w:r w:rsidR="00656208" w:rsidRPr="00656208">
        <w:rPr>
          <w:rFonts w:ascii="Avenir Next" w:hAnsi="Avenir Next" w:cs="Arial"/>
          <w:color w:val="7B7B7B" w:themeColor="accent3" w:themeShade="BF"/>
          <w:sz w:val="22"/>
          <w:szCs w:val="22"/>
        </w:rPr>
        <w:t>§</w:t>
      </w:r>
      <w:r w:rsidR="00656208">
        <w:rPr>
          <w:rFonts w:ascii="Avenir Next" w:hAnsi="Avenir Next" w:cs="Arial"/>
          <w:color w:val="7B7B7B" w:themeColor="accent3" w:themeShade="BF"/>
          <w:sz w:val="22"/>
          <w:szCs w:val="22"/>
        </w:rPr>
        <w:t xml:space="preserve"> 547(c)(1))</w:t>
      </w:r>
      <w:r w:rsidR="00BC57F5">
        <w:rPr>
          <w:rFonts w:ascii="Avenir Next" w:hAnsi="Avenir Next" w:cs="Arial"/>
          <w:color w:val="7B7B7B" w:themeColor="accent3" w:themeShade="BF"/>
          <w:sz w:val="22"/>
          <w:szCs w:val="22"/>
        </w:rPr>
        <w:t xml:space="preserve"> and any sort of prepayment regarding goods and services</w:t>
      </w:r>
      <w:r w:rsidR="00656208">
        <w:rPr>
          <w:rFonts w:ascii="Avenir Next" w:hAnsi="Avenir Next" w:cs="Arial"/>
          <w:color w:val="7B7B7B" w:themeColor="accent3" w:themeShade="BF"/>
          <w:sz w:val="22"/>
          <w:szCs w:val="22"/>
        </w:rPr>
        <w:t xml:space="preserve"> </w:t>
      </w:r>
      <w:r w:rsidR="00BC57F5">
        <w:rPr>
          <w:rFonts w:ascii="Avenir Next" w:hAnsi="Avenir Next" w:cs="Arial"/>
          <w:color w:val="7B7B7B" w:themeColor="accent3" w:themeShade="BF"/>
          <w:sz w:val="22"/>
          <w:szCs w:val="22"/>
        </w:rPr>
        <w:t>are not preferences.</w:t>
      </w:r>
      <w:r w:rsidR="001F6BF8">
        <w:rPr>
          <w:rFonts w:ascii="Avenir Next" w:hAnsi="Avenir Next" w:cs="Arial"/>
          <w:color w:val="7B7B7B" w:themeColor="accent3" w:themeShade="BF"/>
          <w:sz w:val="22"/>
          <w:szCs w:val="22"/>
        </w:rPr>
        <w:t xml:space="preserve"> It is important to underscore the utility of </w:t>
      </w:r>
      <w:r w:rsidR="008D44A0">
        <w:rPr>
          <w:rFonts w:ascii="Avenir Next" w:hAnsi="Avenir Next" w:cs="Arial"/>
          <w:color w:val="7B7B7B" w:themeColor="accent3" w:themeShade="BF"/>
          <w:sz w:val="22"/>
          <w:szCs w:val="22"/>
        </w:rPr>
        <w:t>examining</w:t>
      </w:r>
      <w:r w:rsidR="001F6BF8">
        <w:rPr>
          <w:rFonts w:ascii="Avenir Next" w:hAnsi="Avenir Next" w:cs="Arial"/>
          <w:color w:val="7B7B7B" w:themeColor="accent3" w:themeShade="BF"/>
          <w:sz w:val="22"/>
          <w:szCs w:val="22"/>
        </w:rPr>
        <w:t xml:space="preserve"> non-bankruptcy law to assess the timing of </w:t>
      </w:r>
      <w:r w:rsidR="008D44A0">
        <w:rPr>
          <w:rFonts w:ascii="Avenir Next" w:hAnsi="Avenir Next" w:cs="Arial"/>
          <w:color w:val="7B7B7B" w:themeColor="accent3" w:themeShade="BF"/>
          <w:sz w:val="22"/>
          <w:szCs w:val="22"/>
        </w:rPr>
        <w:t xml:space="preserve">both </w:t>
      </w:r>
      <w:r w:rsidR="001F6BF8">
        <w:rPr>
          <w:rFonts w:ascii="Avenir Next" w:hAnsi="Avenir Next" w:cs="Arial"/>
          <w:color w:val="7B7B7B" w:themeColor="accent3" w:themeShade="BF"/>
          <w:sz w:val="22"/>
          <w:szCs w:val="22"/>
        </w:rPr>
        <w:t>the debt and the transfer</w:t>
      </w:r>
      <w:r w:rsidR="00FB21EE">
        <w:rPr>
          <w:rFonts w:ascii="Avenir Next" w:hAnsi="Avenir Next" w:cs="Arial"/>
          <w:color w:val="7B7B7B" w:themeColor="accent3" w:themeShade="BF"/>
          <w:sz w:val="22"/>
          <w:szCs w:val="22"/>
        </w:rPr>
        <w:t xml:space="preserve">. </w:t>
      </w:r>
      <w:r w:rsidR="00DE27E5">
        <w:rPr>
          <w:rFonts w:ascii="Avenir Next" w:hAnsi="Avenir Next" w:cs="Arial"/>
          <w:color w:val="7B7B7B" w:themeColor="accent3" w:themeShade="BF"/>
          <w:sz w:val="22"/>
          <w:szCs w:val="22"/>
        </w:rPr>
        <w:t xml:space="preserve">In case of a security interest, </w:t>
      </w:r>
      <w:r w:rsidR="002B1513">
        <w:rPr>
          <w:rFonts w:ascii="Avenir Next" w:hAnsi="Avenir Next" w:cs="Arial"/>
          <w:color w:val="7B7B7B" w:themeColor="accent3" w:themeShade="BF"/>
          <w:sz w:val="22"/>
          <w:szCs w:val="22"/>
        </w:rPr>
        <w:t xml:space="preserve">the date of the transfer is deemed to be the date of its perfection. </w:t>
      </w:r>
      <w:r w:rsidR="004244B8">
        <w:rPr>
          <w:rFonts w:ascii="Avenir Next" w:hAnsi="Avenir Next" w:cs="Arial"/>
          <w:color w:val="7B7B7B" w:themeColor="accent3" w:themeShade="BF"/>
          <w:sz w:val="22"/>
          <w:szCs w:val="22"/>
        </w:rPr>
        <w:t>Thi</w:t>
      </w:r>
      <w:r w:rsidR="00196463">
        <w:rPr>
          <w:rFonts w:ascii="Avenir Next" w:hAnsi="Avenir Next" w:cs="Arial"/>
          <w:color w:val="7B7B7B" w:themeColor="accent3" w:themeShade="BF"/>
          <w:sz w:val="22"/>
          <w:szCs w:val="22"/>
        </w:rPr>
        <w:t xml:space="preserve">s </w:t>
      </w:r>
      <w:r w:rsidR="004244B8">
        <w:rPr>
          <w:rFonts w:ascii="Avenir Next" w:hAnsi="Avenir Next" w:cs="Arial"/>
          <w:color w:val="7B7B7B" w:themeColor="accent3" w:themeShade="BF"/>
          <w:sz w:val="22"/>
          <w:szCs w:val="22"/>
        </w:rPr>
        <w:t xml:space="preserve">is true if that perfection happened at least 30 days </w:t>
      </w:r>
      <w:r w:rsidR="00092135">
        <w:rPr>
          <w:rFonts w:ascii="Avenir Next" w:hAnsi="Avenir Next" w:cs="Arial"/>
          <w:color w:val="7B7B7B" w:themeColor="accent3" w:themeShade="BF"/>
          <w:sz w:val="22"/>
          <w:szCs w:val="22"/>
        </w:rPr>
        <w:t>following</w:t>
      </w:r>
      <w:r w:rsidR="004244B8">
        <w:rPr>
          <w:rFonts w:ascii="Avenir Next" w:hAnsi="Avenir Next" w:cs="Arial"/>
          <w:color w:val="7B7B7B" w:themeColor="accent3" w:themeShade="BF"/>
          <w:sz w:val="22"/>
          <w:szCs w:val="22"/>
        </w:rPr>
        <w:t xml:space="preserve"> effectiveness of the transfer between the parties</w:t>
      </w:r>
      <w:r w:rsidR="003A66AC">
        <w:rPr>
          <w:rFonts w:ascii="Avenir Next" w:hAnsi="Avenir Next" w:cs="Arial"/>
          <w:color w:val="7B7B7B" w:themeColor="accent3" w:themeShade="BF"/>
          <w:sz w:val="22"/>
          <w:szCs w:val="22"/>
        </w:rPr>
        <w:t xml:space="preserve"> (</w:t>
      </w:r>
      <w:r w:rsidR="003A66AC">
        <w:rPr>
          <w:rFonts w:ascii="Avenir Next" w:hAnsi="Avenir Next" w:cs="Arial"/>
          <w:i/>
          <w:iCs/>
          <w:color w:val="7B7B7B" w:themeColor="accent3" w:themeShade="BF"/>
          <w:sz w:val="22"/>
          <w:szCs w:val="22"/>
        </w:rPr>
        <w:t xml:space="preserve">see </w:t>
      </w:r>
      <w:r w:rsidR="003A66AC">
        <w:rPr>
          <w:rFonts w:ascii="Avenir Next" w:hAnsi="Avenir Next" w:cs="Arial"/>
          <w:color w:val="7B7B7B" w:themeColor="accent3" w:themeShade="BF"/>
          <w:sz w:val="22"/>
          <w:szCs w:val="22"/>
        </w:rPr>
        <w:t xml:space="preserve">11 USC, </w:t>
      </w:r>
      <w:r w:rsidR="003A66AC" w:rsidRPr="003A66AC">
        <w:rPr>
          <w:rFonts w:ascii="Avenir Next" w:hAnsi="Avenir Next" w:cs="Arial"/>
          <w:color w:val="7B7B7B" w:themeColor="accent3" w:themeShade="BF"/>
          <w:sz w:val="22"/>
          <w:szCs w:val="22"/>
        </w:rPr>
        <w:t>§5</w:t>
      </w:r>
      <w:r w:rsidR="003A66AC">
        <w:rPr>
          <w:rFonts w:ascii="Avenir Next" w:hAnsi="Avenir Next" w:cs="Arial"/>
          <w:color w:val="7B7B7B" w:themeColor="accent3" w:themeShade="BF"/>
          <w:sz w:val="22"/>
          <w:szCs w:val="22"/>
        </w:rPr>
        <w:t>47(e))</w:t>
      </w:r>
      <w:r w:rsidR="00CA483B">
        <w:rPr>
          <w:rFonts w:ascii="Avenir Next" w:hAnsi="Avenir Next" w:cs="Arial"/>
          <w:color w:val="7B7B7B" w:themeColor="accent3" w:themeShade="BF"/>
          <w:sz w:val="22"/>
          <w:szCs w:val="22"/>
        </w:rPr>
        <w:t>.</w:t>
      </w:r>
      <w:r w:rsidR="00196463">
        <w:rPr>
          <w:rFonts w:ascii="Avenir Next" w:hAnsi="Avenir Next" w:cs="Arial"/>
          <w:color w:val="7B7B7B" w:themeColor="accent3" w:themeShade="BF"/>
          <w:sz w:val="22"/>
          <w:szCs w:val="22"/>
        </w:rPr>
        <w:t xml:space="preserve"> </w:t>
      </w:r>
      <w:r w:rsidR="00BB7109">
        <w:rPr>
          <w:rFonts w:ascii="Avenir Next" w:hAnsi="Avenir Next" w:cs="Arial"/>
          <w:color w:val="7B7B7B" w:themeColor="accent3" w:themeShade="BF"/>
          <w:sz w:val="22"/>
          <w:szCs w:val="22"/>
        </w:rPr>
        <w:t xml:space="preserve">However, </w:t>
      </w:r>
      <w:r w:rsidR="00A84065">
        <w:rPr>
          <w:rFonts w:ascii="Avenir Next" w:hAnsi="Avenir Next" w:cs="Arial"/>
          <w:color w:val="7B7B7B" w:themeColor="accent3" w:themeShade="BF"/>
          <w:sz w:val="22"/>
          <w:szCs w:val="22"/>
        </w:rPr>
        <w:t>if perfection is delayed</w:t>
      </w:r>
      <w:r w:rsidR="008E788C">
        <w:rPr>
          <w:rFonts w:ascii="Avenir Next" w:hAnsi="Avenir Next" w:cs="Arial"/>
          <w:color w:val="7B7B7B" w:themeColor="accent3" w:themeShade="BF"/>
          <w:sz w:val="22"/>
          <w:szCs w:val="22"/>
        </w:rPr>
        <w:t>,</w:t>
      </w:r>
      <w:r w:rsidR="00A84065">
        <w:rPr>
          <w:rFonts w:ascii="Avenir Next" w:hAnsi="Avenir Next" w:cs="Arial"/>
          <w:color w:val="7B7B7B" w:themeColor="accent3" w:themeShade="BF"/>
          <w:sz w:val="22"/>
          <w:szCs w:val="22"/>
        </w:rPr>
        <w:t xml:space="preserve"> it is possible for the transfer to be considered </w:t>
      </w:r>
      <w:r w:rsidR="0054028A">
        <w:rPr>
          <w:rFonts w:ascii="Avenir Next" w:hAnsi="Avenir Next" w:cs="Arial"/>
          <w:color w:val="7B7B7B" w:themeColor="accent3" w:themeShade="BF"/>
          <w:sz w:val="22"/>
          <w:szCs w:val="22"/>
        </w:rPr>
        <w:t xml:space="preserve">not contemporaneous </w:t>
      </w:r>
      <w:r w:rsidR="003A66AC">
        <w:rPr>
          <w:rFonts w:ascii="Avenir Next" w:hAnsi="Avenir Next" w:cs="Arial"/>
          <w:color w:val="7B7B7B" w:themeColor="accent3" w:themeShade="BF"/>
          <w:sz w:val="22"/>
          <w:szCs w:val="22"/>
        </w:rPr>
        <w:t>and</w:t>
      </w:r>
      <w:r w:rsidR="0054028A">
        <w:rPr>
          <w:rFonts w:ascii="Avenir Next" w:hAnsi="Avenir Next" w:cs="Arial"/>
          <w:color w:val="7B7B7B" w:themeColor="accent3" w:themeShade="BF"/>
          <w:sz w:val="22"/>
          <w:szCs w:val="22"/>
        </w:rPr>
        <w:t xml:space="preserve"> </w:t>
      </w:r>
      <w:r w:rsidR="00184B2C">
        <w:rPr>
          <w:rFonts w:ascii="Avenir Next" w:hAnsi="Avenir Next" w:cs="Arial"/>
          <w:color w:val="7B7B7B" w:themeColor="accent3" w:themeShade="BF"/>
          <w:sz w:val="22"/>
          <w:szCs w:val="22"/>
        </w:rPr>
        <w:t xml:space="preserve">thus </w:t>
      </w:r>
      <w:r w:rsidR="0054028A">
        <w:rPr>
          <w:rFonts w:ascii="Avenir Next" w:hAnsi="Avenir Next" w:cs="Arial"/>
          <w:color w:val="7B7B7B" w:themeColor="accent3" w:themeShade="BF"/>
          <w:sz w:val="22"/>
          <w:szCs w:val="22"/>
        </w:rPr>
        <w:t xml:space="preserve">the date of the transfer </w:t>
      </w:r>
      <w:r w:rsidR="00184B2C">
        <w:rPr>
          <w:rFonts w:ascii="Avenir Next" w:hAnsi="Avenir Next" w:cs="Arial"/>
          <w:color w:val="7B7B7B" w:themeColor="accent3" w:themeShade="BF"/>
          <w:sz w:val="22"/>
          <w:szCs w:val="22"/>
        </w:rPr>
        <w:t xml:space="preserve">may be postponed </w:t>
      </w:r>
      <w:r w:rsidR="0054028A">
        <w:rPr>
          <w:rFonts w:ascii="Avenir Next" w:hAnsi="Avenir Next" w:cs="Arial"/>
          <w:color w:val="7B7B7B" w:themeColor="accent3" w:themeShade="BF"/>
          <w:sz w:val="22"/>
          <w:szCs w:val="22"/>
        </w:rPr>
        <w:t xml:space="preserve">to the </w:t>
      </w:r>
      <w:r w:rsidR="000708A1">
        <w:rPr>
          <w:rFonts w:ascii="Avenir Next" w:hAnsi="Avenir Next" w:cs="Arial"/>
          <w:color w:val="7B7B7B" w:themeColor="accent3" w:themeShade="BF"/>
          <w:sz w:val="22"/>
          <w:szCs w:val="22"/>
        </w:rPr>
        <w:t>preference</w:t>
      </w:r>
      <w:r w:rsidR="0054028A">
        <w:rPr>
          <w:rFonts w:ascii="Avenir Next" w:hAnsi="Avenir Next" w:cs="Arial"/>
          <w:color w:val="7B7B7B" w:themeColor="accent3" w:themeShade="BF"/>
          <w:sz w:val="22"/>
          <w:szCs w:val="22"/>
        </w:rPr>
        <w:t xml:space="preserve"> period.</w:t>
      </w:r>
      <w:r w:rsidR="002E5E3E">
        <w:rPr>
          <w:rFonts w:ascii="Avenir Next" w:hAnsi="Avenir Next" w:cs="Arial"/>
          <w:color w:val="7B7B7B" w:themeColor="accent3" w:themeShade="BF"/>
          <w:sz w:val="22"/>
          <w:szCs w:val="22"/>
        </w:rPr>
        <w:t xml:space="preserve"> </w:t>
      </w:r>
      <w:r w:rsidR="00B25627">
        <w:rPr>
          <w:rFonts w:ascii="Avenir Next" w:hAnsi="Avenir Next" w:cs="Arial"/>
          <w:color w:val="7B7B7B" w:themeColor="accent3" w:themeShade="BF"/>
          <w:sz w:val="22"/>
          <w:szCs w:val="22"/>
        </w:rPr>
        <w:t>Moreover, the</w:t>
      </w:r>
      <w:r w:rsidR="00AF03E2">
        <w:rPr>
          <w:rFonts w:ascii="Avenir Next" w:hAnsi="Avenir Next" w:cs="Arial"/>
          <w:color w:val="7B7B7B" w:themeColor="accent3" w:themeShade="BF"/>
          <w:sz w:val="22"/>
          <w:szCs w:val="22"/>
        </w:rPr>
        <w:t xml:space="preserve"> filing of any plenary petition </w:t>
      </w:r>
      <w:r w:rsidR="00B25627">
        <w:rPr>
          <w:rFonts w:ascii="Avenir Next" w:hAnsi="Avenir Next" w:cs="Arial"/>
          <w:color w:val="7B7B7B" w:themeColor="accent3" w:themeShade="BF"/>
          <w:sz w:val="22"/>
          <w:szCs w:val="22"/>
        </w:rPr>
        <w:t>will stay any perfection of a security interest re</w:t>
      </w:r>
      <w:r w:rsidR="00DC64D2">
        <w:rPr>
          <w:rFonts w:ascii="Avenir Next" w:hAnsi="Avenir Next" w:cs="Arial"/>
          <w:color w:val="7B7B7B" w:themeColor="accent3" w:themeShade="BF"/>
          <w:sz w:val="22"/>
          <w:szCs w:val="22"/>
        </w:rPr>
        <w:t>n</w:t>
      </w:r>
      <w:r w:rsidR="00B25627">
        <w:rPr>
          <w:rFonts w:ascii="Avenir Next" w:hAnsi="Avenir Next" w:cs="Arial"/>
          <w:color w:val="7B7B7B" w:themeColor="accent3" w:themeShade="BF"/>
          <w:sz w:val="22"/>
          <w:szCs w:val="22"/>
        </w:rPr>
        <w:t>dering it unenforceable</w:t>
      </w:r>
      <w:r w:rsidR="00DC64D2">
        <w:rPr>
          <w:rFonts w:ascii="Avenir Next" w:hAnsi="Avenir Next" w:cs="Arial"/>
          <w:color w:val="7B7B7B" w:themeColor="accent3" w:themeShade="BF"/>
          <w:sz w:val="22"/>
          <w:szCs w:val="22"/>
        </w:rPr>
        <w:t xml:space="preserve">. </w:t>
      </w:r>
      <w:r w:rsidR="0038425B">
        <w:rPr>
          <w:rFonts w:ascii="Avenir Next" w:hAnsi="Avenir Next" w:cs="Arial"/>
          <w:color w:val="7B7B7B" w:themeColor="accent3" w:themeShade="BF"/>
          <w:sz w:val="22"/>
          <w:szCs w:val="22"/>
        </w:rPr>
        <w:t>Fourthly</w:t>
      </w:r>
      <w:r w:rsidR="00341601">
        <w:rPr>
          <w:rFonts w:ascii="Avenir Next" w:hAnsi="Avenir Next" w:cs="Arial"/>
          <w:color w:val="7B7B7B" w:themeColor="accent3" w:themeShade="BF"/>
          <w:sz w:val="22"/>
          <w:szCs w:val="22"/>
        </w:rPr>
        <w:t xml:space="preserve">, </w:t>
      </w:r>
      <w:r w:rsidR="00840199">
        <w:rPr>
          <w:rFonts w:ascii="Avenir Next" w:hAnsi="Avenir Next" w:cs="Arial"/>
          <w:color w:val="7B7B7B" w:themeColor="accent3" w:themeShade="BF"/>
          <w:sz w:val="22"/>
          <w:szCs w:val="22"/>
        </w:rPr>
        <w:t xml:space="preserve">the transfer should </w:t>
      </w:r>
      <w:r w:rsidR="002173E5">
        <w:rPr>
          <w:rFonts w:ascii="Avenir Next" w:hAnsi="Avenir Next" w:cs="Arial"/>
          <w:color w:val="7B7B7B" w:themeColor="accent3" w:themeShade="BF"/>
          <w:sz w:val="22"/>
          <w:szCs w:val="22"/>
        </w:rPr>
        <w:t>occur</w:t>
      </w:r>
      <w:r w:rsidR="00840199">
        <w:rPr>
          <w:rFonts w:ascii="Avenir Next" w:hAnsi="Avenir Next" w:cs="Arial"/>
          <w:color w:val="7B7B7B" w:themeColor="accent3" w:themeShade="BF"/>
          <w:sz w:val="22"/>
          <w:szCs w:val="22"/>
        </w:rPr>
        <w:t xml:space="preserve"> during insolvency of the debtor</w:t>
      </w:r>
      <w:r w:rsidR="00E32160">
        <w:rPr>
          <w:rFonts w:ascii="Avenir Next" w:hAnsi="Avenir Next" w:cs="Arial"/>
          <w:color w:val="7B7B7B" w:themeColor="accent3" w:themeShade="BF"/>
          <w:sz w:val="22"/>
          <w:szCs w:val="22"/>
        </w:rPr>
        <w:t>.</w:t>
      </w:r>
      <w:r w:rsidR="00D16A9E">
        <w:rPr>
          <w:rFonts w:ascii="Avenir Next" w:hAnsi="Avenir Next" w:cs="Arial"/>
          <w:color w:val="7B7B7B" w:themeColor="accent3" w:themeShade="BF"/>
          <w:sz w:val="22"/>
          <w:szCs w:val="22"/>
        </w:rPr>
        <w:t xml:space="preserve"> </w:t>
      </w:r>
      <w:r w:rsidR="002173E5">
        <w:rPr>
          <w:rFonts w:ascii="Avenir Next" w:hAnsi="Avenir Next" w:cs="Arial"/>
          <w:color w:val="7B7B7B" w:themeColor="accent3" w:themeShade="BF"/>
          <w:sz w:val="22"/>
          <w:szCs w:val="22"/>
        </w:rPr>
        <w:t>During the n</w:t>
      </w:r>
      <w:r w:rsidR="00D16A9E">
        <w:rPr>
          <w:rFonts w:ascii="Avenir Next" w:hAnsi="Avenir Next" w:cs="Arial"/>
          <w:color w:val="7B7B7B" w:themeColor="accent3" w:themeShade="BF"/>
          <w:sz w:val="22"/>
          <w:szCs w:val="22"/>
        </w:rPr>
        <w:t xml:space="preserve">inety days before the petition date the debtor is </w:t>
      </w:r>
      <w:r w:rsidR="004C32AC">
        <w:rPr>
          <w:rFonts w:ascii="Avenir Next" w:hAnsi="Avenir Next" w:cs="Arial"/>
          <w:color w:val="7B7B7B" w:themeColor="accent3" w:themeShade="BF"/>
          <w:sz w:val="22"/>
          <w:szCs w:val="22"/>
        </w:rPr>
        <w:t>presumed</w:t>
      </w:r>
      <w:r w:rsidR="00D16A9E">
        <w:rPr>
          <w:rFonts w:ascii="Avenir Next" w:hAnsi="Avenir Next" w:cs="Arial"/>
          <w:color w:val="7B7B7B" w:themeColor="accent3" w:themeShade="BF"/>
          <w:sz w:val="22"/>
          <w:szCs w:val="22"/>
        </w:rPr>
        <w:t xml:space="preserve"> insolve</w:t>
      </w:r>
      <w:r w:rsidR="004C32AC">
        <w:rPr>
          <w:rFonts w:ascii="Avenir Next" w:hAnsi="Avenir Next" w:cs="Arial"/>
          <w:color w:val="7B7B7B" w:themeColor="accent3" w:themeShade="BF"/>
          <w:sz w:val="22"/>
          <w:szCs w:val="22"/>
        </w:rPr>
        <w:t>nt</w:t>
      </w:r>
      <w:r w:rsidR="00A47A2F">
        <w:rPr>
          <w:rFonts w:ascii="Avenir Next" w:hAnsi="Avenir Next" w:cs="Arial"/>
          <w:color w:val="7B7B7B" w:themeColor="accent3" w:themeShade="BF"/>
          <w:sz w:val="22"/>
          <w:szCs w:val="22"/>
        </w:rPr>
        <w:t xml:space="preserve">, a presumption </w:t>
      </w:r>
      <w:r w:rsidR="002173E5">
        <w:rPr>
          <w:rFonts w:ascii="Avenir Next" w:hAnsi="Avenir Next" w:cs="Arial"/>
          <w:color w:val="7B7B7B" w:themeColor="accent3" w:themeShade="BF"/>
          <w:sz w:val="22"/>
          <w:szCs w:val="22"/>
        </w:rPr>
        <w:t xml:space="preserve">that is </w:t>
      </w:r>
      <w:r w:rsidR="00A47A2F">
        <w:rPr>
          <w:rFonts w:ascii="Avenir Next" w:hAnsi="Avenir Next" w:cs="Arial"/>
          <w:color w:val="7B7B7B" w:themeColor="accent3" w:themeShade="BF"/>
          <w:sz w:val="22"/>
          <w:szCs w:val="22"/>
        </w:rPr>
        <w:t>rebuttable b</w:t>
      </w:r>
      <w:r w:rsidR="005D0132">
        <w:rPr>
          <w:rFonts w:ascii="Avenir Next" w:hAnsi="Avenir Next" w:cs="Arial"/>
          <w:color w:val="7B7B7B" w:themeColor="accent3" w:themeShade="BF"/>
          <w:sz w:val="22"/>
          <w:szCs w:val="22"/>
        </w:rPr>
        <w:t>y evidence brought by a creditor</w:t>
      </w:r>
      <w:r w:rsidR="00826D88">
        <w:rPr>
          <w:rFonts w:ascii="Avenir Next" w:hAnsi="Avenir Next" w:cs="Arial"/>
          <w:color w:val="7B7B7B" w:themeColor="accent3" w:themeShade="BF"/>
          <w:sz w:val="22"/>
          <w:szCs w:val="22"/>
        </w:rPr>
        <w:t xml:space="preserve">. </w:t>
      </w:r>
      <w:r w:rsidR="00C773A1">
        <w:rPr>
          <w:rFonts w:ascii="Avenir Next" w:hAnsi="Avenir Next" w:cs="Arial"/>
          <w:color w:val="7B7B7B" w:themeColor="accent3" w:themeShade="BF"/>
          <w:sz w:val="22"/>
          <w:szCs w:val="22"/>
        </w:rPr>
        <w:t>T</w:t>
      </w:r>
      <w:r w:rsidR="00C773A1" w:rsidRPr="00C773A1">
        <w:rPr>
          <w:rFonts w:ascii="Avenir Next" w:hAnsi="Avenir Next" w:cs="Arial"/>
          <w:color w:val="7B7B7B" w:themeColor="accent3" w:themeShade="BF"/>
          <w:sz w:val="22"/>
          <w:szCs w:val="22"/>
        </w:rPr>
        <w:t xml:space="preserve">he </w:t>
      </w:r>
      <w:r w:rsidR="00C773A1">
        <w:rPr>
          <w:rFonts w:ascii="Avenir Next" w:hAnsi="Avenir Next" w:cs="Arial"/>
          <w:color w:val="7B7B7B" w:themeColor="accent3" w:themeShade="BF"/>
          <w:sz w:val="22"/>
          <w:szCs w:val="22"/>
        </w:rPr>
        <w:t>ultimate</w:t>
      </w:r>
      <w:r w:rsidR="00C773A1" w:rsidRPr="00C773A1">
        <w:rPr>
          <w:rFonts w:ascii="Avenir Next" w:hAnsi="Avenir Next" w:cs="Arial"/>
          <w:color w:val="7B7B7B" w:themeColor="accent3" w:themeShade="BF"/>
          <w:sz w:val="22"/>
          <w:szCs w:val="22"/>
        </w:rPr>
        <w:t xml:space="preserve"> burden of proving</w:t>
      </w:r>
      <w:r w:rsidR="00043974">
        <w:rPr>
          <w:rFonts w:ascii="Avenir Next" w:hAnsi="Avenir Next" w:cs="Arial"/>
          <w:color w:val="7B7B7B" w:themeColor="accent3" w:themeShade="BF"/>
          <w:sz w:val="22"/>
          <w:szCs w:val="22"/>
        </w:rPr>
        <w:t>,</w:t>
      </w:r>
      <w:r w:rsidR="00043974" w:rsidRPr="00043974">
        <w:rPr>
          <w:rFonts w:ascii="Avenir Next" w:hAnsi="Avenir Next" w:cs="Arial"/>
          <w:color w:val="7B7B7B" w:themeColor="accent3" w:themeShade="BF"/>
          <w:sz w:val="22"/>
          <w:szCs w:val="22"/>
        </w:rPr>
        <w:t xml:space="preserve"> on the basis of the balance sheet test</w:t>
      </w:r>
      <w:r w:rsidR="00043974">
        <w:rPr>
          <w:rFonts w:ascii="Avenir Next" w:hAnsi="Avenir Next" w:cs="Arial"/>
          <w:color w:val="7B7B7B" w:themeColor="accent3" w:themeShade="BF"/>
          <w:sz w:val="22"/>
          <w:szCs w:val="22"/>
        </w:rPr>
        <w:t>,</w:t>
      </w:r>
      <w:r w:rsidR="00043974" w:rsidRPr="00043974">
        <w:rPr>
          <w:rFonts w:ascii="Avenir Next" w:hAnsi="Avenir Next" w:cs="Arial"/>
          <w:color w:val="7B7B7B" w:themeColor="accent3" w:themeShade="BF"/>
          <w:sz w:val="22"/>
          <w:szCs w:val="22"/>
        </w:rPr>
        <w:t xml:space="preserve"> </w:t>
      </w:r>
      <w:r w:rsidR="00043974">
        <w:rPr>
          <w:rFonts w:ascii="Avenir Next" w:hAnsi="Avenir Next" w:cs="Arial"/>
          <w:color w:val="7B7B7B" w:themeColor="accent3" w:themeShade="BF"/>
          <w:sz w:val="22"/>
          <w:szCs w:val="22"/>
        </w:rPr>
        <w:t xml:space="preserve"> that</w:t>
      </w:r>
      <w:r w:rsidR="00C773A1" w:rsidRPr="00C773A1">
        <w:rPr>
          <w:rFonts w:ascii="Avenir Next" w:hAnsi="Avenir Next" w:cs="Arial"/>
          <w:color w:val="7B7B7B" w:themeColor="accent3" w:themeShade="BF"/>
          <w:sz w:val="22"/>
          <w:szCs w:val="22"/>
        </w:rPr>
        <w:t xml:space="preserve"> </w:t>
      </w:r>
      <w:r w:rsidR="00043974" w:rsidRPr="00043974">
        <w:rPr>
          <w:rFonts w:ascii="Avenir Next" w:hAnsi="Avenir Next" w:cs="Arial"/>
          <w:color w:val="7B7B7B" w:themeColor="accent3" w:themeShade="BF"/>
          <w:sz w:val="22"/>
          <w:szCs w:val="22"/>
        </w:rPr>
        <w:t>the debtor was insolvent when the transfer was made</w:t>
      </w:r>
      <w:r w:rsidR="00043974">
        <w:rPr>
          <w:rFonts w:ascii="Avenir Next" w:hAnsi="Avenir Next" w:cs="Arial"/>
          <w:color w:val="7B7B7B" w:themeColor="accent3" w:themeShade="BF"/>
          <w:sz w:val="22"/>
          <w:szCs w:val="22"/>
        </w:rPr>
        <w:t xml:space="preserve"> </w:t>
      </w:r>
      <w:r w:rsidR="00043974" w:rsidRPr="00043974">
        <w:rPr>
          <w:rFonts w:ascii="Avenir Next" w:hAnsi="Avenir Next" w:cs="Arial"/>
          <w:color w:val="7B7B7B" w:themeColor="accent3" w:themeShade="BF"/>
          <w:sz w:val="22"/>
          <w:szCs w:val="22"/>
        </w:rPr>
        <w:t>is on the debtor or the trustee</w:t>
      </w:r>
      <w:r w:rsidR="00C773A1">
        <w:rPr>
          <w:rFonts w:ascii="Avenir Next" w:hAnsi="Avenir Next" w:cs="Arial"/>
          <w:color w:val="7B7B7B" w:themeColor="accent3" w:themeShade="BF"/>
          <w:sz w:val="22"/>
          <w:szCs w:val="22"/>
        </w:rPr>
        <w:t xml:space="preserve">. </w:t>
      </w:r>
      <w:r w:rsidR="00AD096C" w:rsidRPr="00AD096C">
        <w:rPr>
          <w:rFonts w:ascii="Avenir Next" w:hAnsi="Avenir Next" w:cs="Arial"/>
          <w:color w:val="7B7B7B" w:themeColor="accent3" w:themeShade="BF"/>
          <w:sz w:val="22"/>
          <w:szCs w:val="22"/>
        </w:rPr>
        <w:t xml:space="preserve">Another element to establish </w:t>
      </w:r>
      <w:r w:rsidR="00D15F2E">
        <w:rPr>
          <w:rFonts w:ascii="Avenir Next" w:hAnsi="Avenir Next" w:cs="Arial"/>
          <w:color w:val="7B7B7B" w:themeColor="accent3" w:themeShade="BF"/>
          <w:sz w:val="22"/>
          <w:szCs w:val="22"/>
        </w:rPr>
        <w:t>a</w:t>
      </w:r>
      <w:r w:rsidR="00AD096C" w:rsidRPr="00AD096C">
        <w:rPr>
          <w:rFonts w:ascii="Avenir Next" w:hAnsi="Avenir Next" w:cs="Arial"/>
          <w:color w:val="7B7B7B" w:themeColor="accent3" w:themeShade="BF"/>
          <w:sz w:val="22"/>
          <w:szCs w:val="22"/>
        </w:rPr>
        <w:t xml:space="preserve"> preference is that the transfer should have taken place during the suspect period</w:t>
      </w:r>
      <w:r w:rsidR="00823ECF">
        <w:rPr>
          <w:rFonts w:ascii="Avenir Next" w:hAnsi="Avenir Next" w:cs="Arial"/>
          <w:color w:val="7B7B7B" w:themeColor="accent3" w:themeShade="BF"/>
          <w:sz w:val="22"/>
          <w:szCs w:val="22"/>
        </w:rPr>
        <w:t xml:space="preserve">. </w:t>
      </w:r>
      <w:r w:rsidR="00447ACF">
        <w:rPr>
          <w:rFonts w:ascii="Avenir Next" w:hAnsi="Avenir Next" w:cs="Arial"/>
          <w:color w:val="7B7B7B" w:themeColor="accent3" w:themeShade="BF"/>
          <w:sz w:val="22"/>
          <w:szCs w:val="22"/>
        </w:rPr>
        <w:t xml:space="preserve">The suspect period for transfers </w:t>
      </w:r>
      <w:r w:rsidR="00AD096C">
        <w:rPr>
          <w:rFonts w:ascii="Avenir Next" w:hAnsi="Avenir Next" w:cs="Arial"/>
          <w:color w:val="7B7B7B" w:themeColor="accent3" w:themeShade="BF"/>
          <w:sz w:val="22"/>
          <w:szCs w:val="22"/>
        </w:rPr>
        <w:t>involving</w:t>
      </w:r>
      <w:r w:rsidR="00447ACF">
        <w:rPr>
          <w:rFonts w:ascii="Avenir Next" w:hAnsi="Avenir Next" w:cs="Arial"/>
          <w:color w:val="7B7B7B" w:themeColor="accent3" w:themeShade="BF"/>
          <w:sz w:val="22"/>
          <w:szCs w:val="22"/>
        </w:rPr>
        <w:t xml:space="preserve"> third-parties is calculated </w:t>
      </w:r>
      <w:r w:rsidR="00AD096C">
        <w:rPr>
          <w:rFonts w:ascii="Avenir Next" w:hAnsi="Avenir Next" w:cs="Arial"/>
          <w:color w:val="7B7B7B" w:themeColor="accent3" w:themeShade="BF"/>
          <w:sz w:val="22"/>
          <w:szCs w:val="22"/>
        </w:rPr>
        <w:t>at</w:t>
      </w:r>
      <w:r w:rsidR="00447ACF">
        <w:rPr>
          <w:rFonts w:ascii="Avenir Next" w:hAnsi="Avenir Next" w:cs="Arial"/>
          <w:color w:val="7B7B7B" w:themeColor="accent3" w:themeShade="BF"/>
          <w:sz w:val="22"/>
          <w:szCs w:val="22"/>
        </w:rPr>
        <w:t xml:space="preserve"> 90 days before the petition </w:t>
      </w:r>
      <w:r w:rsidR="00AD096C">
        <w:rPr>
          <w:rFonts w:ascii="Avenir Next" w:hAnsi="Avenir Next" w:cs="Arial"/>
          <w:color w:val="7B7B7B" w:themeColor="accent3" w:themeShade="BF"/>
          <w:sz w:val="22"/>
          <w:szCs w:val="22"/>
        </w:rPr>
        <w:t>d</w:t>
      </w:r>
      <w:r w:rsidR="00447ACF">
        <w:rPr>
          <w:rFonts w:ascii="Avenir Next" w:hAnsi="Avenir Next" w:cs="Arial"/>
          <w:color w:val="7B7B7B" w:themeColor="accent3" w:themeShade="BF"/>
          <w:sz w:val="22"/>
          <w:szCs w:val="22"/>
        </w:rPr>
        <w:t>ate</w:t>
      </w:r>
      <w:r w:rsidR="00AD096C">
        <w:rPr>
          <w:rFonts w:ascii="Avenir Next" w:hAnsi="Avenir Next" w:cs="Arial"/>
          <w:color w:val="7B7B7B" w:themeColor="accent3" w:themeShade="BF"/>
          <w:sz w:val="22"/>
          <w:szCs w:val="22"/>
        </w:rPr>
        <w:t>,</w:t>
      </w:r>
      <w:r w:rsidR="00447ACF">
        <w:rPr>
          <w:rFonts w:ascii="Avenir Next" w:hAnsi="Avenir Next" w:cs="Arial"/>
          <w:color w:val="7B7B7B" w:themeColor="accent3" w:themeShade="BF"/>
          <w:sz w:val="22"/>
          <w:szCs w:val="22"/>
        </w:rPr>
        <w:t xml:space="preserve"> while the suspect period </w:t>
      </w:r>
      <w:r w:rsidR="00AD096C">
        <w:rPr>
          <w:rFonts w:ascii="Avenir Next" w:hAnsi="Avenir Next" w:cs="Arial"/>
          <w:color w:val="7B7B7B" w:themeColor="accent3" w:themeShade="BF"/>
          <w:sz w:val="22"/>
          <w:szCs w:val="22"/>
        </w:rPr>
        <w:t>involving</w:t>
      </w:r>
      <w:r w:rsidR="00447ACF">
        <w:rPr>
          <w:rFonts w:ascii="Avenir Next" w:hAnsi="Avenir Next" w:cs="Arial"/>
          <w:color w:val="7B7B7B" w:themeColor="accent3" w:themeShade="BF"/>
          <w:sz w:val="22"/>
          <w:szCs w:val="22"/>
        </w:rPr>
        <w:t xml:space="preserve"> insiders is calculated </w:t>
      </w:r>
      <w:r w:rsidR="00AD096C">
        <w:rPr>
          <w:rFonts w:ascii="Avenir Next" w:hAnsi="Avenir Next" w:cs="Arial"/>
          <w:color w:val="7B7B7B" w:themeColor="accent3" w:themeShade="BF"/>
          <w:sz w:val="22"/>
          <w:szCs w:val="22"/>
        </w:rPr>
        <w:t>at</w:t>
      </w:r>
      <w:r w:rsidR="00447ACF">
        <w:rPr>
          <w:rFonts w:ascii="Avenir Next" w:hAnsi="Avenir Next" w:cs="Arial"/>
          <w:color w:val="7B7B7B" w:themeColor="accent3" w:themeShade="BF"/>
          <w:sz w:val="22"/>
          <w:szCs w:val="22"/>
        </w:rPr>
        <w:t xml:space="preserve"> one year before the petition date. </w:t>
      </w:r>
      <w:r w:rsidR="00AA25C7">
        <w:rPr>
          <w:rFonts w:ascii="Avenir Next" w:hAnsi="Avenir Next" w:cs="Arial"/>
          <w:color w:val="7B7B7B" w:themeColor="accent3" w:themeShade="BF"/>
          <w:sz w:val="22"/>
          <w:szCs w:val="22"/>
        </w:rPr>
        <w:t>Of course, no presumption of insolvency is established for the period between one year and 91 d</w:t>
      </w:r>
      <w:r w:rsidR="00DC5FE5">
        <w:rPr>
          <w:rFonts w:ascii="Avenir Next" w:hAnsi="Avenir Next" w:cs="Arial"/>
          <w:color w:val="7B7B7B" w:themeColor="accent3" w:themeShade="BF"/>
          <w:sz w:val="22"/>
          <w:szCs w:val="22"/>
        </w:rPr>
        <w:t>a</w:t>
      </w:r>
      <w:r w:rsidR="00AA25C7">
        <w:rPr>
          <w:rFonts w:ascii="Avenir Next" w:hAnsi="Avenir Next" w:cs="Arial"/>
          <w:color w:val="7B7B7B" w:themeColor="accent3" w:themeShade="BF"/>
          <w:sz w:val="22"/>
          <w:szCs w:val="22"/>
        </w:rPr>
        <w:t xml:space="preserve">ys before the petition. </w:t>
      </w:r>
      <w:r w:rsidR="005A6EAB">
        <w:rPr>
          <w:rFonts w:ascii="Avenir Next" w:hAnsi="Avenir Next" w:cs="Arial"/>
          <w:color w:val="7B7B7B" w:themeColor="accent3" w:themeShade="BF"/>
          <w:sz w:val="22"/>
          <w:szCs w:val="22"/>
        </w:rPr>
        <w:t xml:space="preserve">Lastly, </w:t>
      </w:r>
      <w:r w:rsidR="00DC5FE5">
        <w:rPr>
          <w:rFonts w:ascii="Avenir Next" w:hAnsi="Avenir Next" w:cs="Arial"/>
          <w:color w:val="7B7B7B" w:themeColor="accent3" w:themeShade="BF"/>
          <w:sz w:val="22"/>
          <w:szCs w:val="22"/>
        </w:rPr>
        <w:t>the transfer should allow the creditor to improve its status</w:t>
      </w:r>
      <w:r w:rsidR="00B1355B" w:rsidRPr="00E65EEF">
        <w:rPr>
          <w:rFonts w:ascii="Avenir Next" w:hAnsi="Avenir Next" w:cs="Arial"/>
          <w:color w:val="7B7B7B" w:themeColor="accent3" w:themeShade="BF"/>
          <w:sz w:val="22"/>
          <w:szCs w:val="22"/>
        </w:rPr>
        <w:t>,</w:t>
      </w:r>
      <w:r w:rsidR="00DC5FE5">
        <w:rPr>
          <w:rFonts w:ascii="Avenir Next" w:hAnsi="Avenir Next" w:cs="Arial"/>
          <w:color w:val="7B7B7B" w:themeColor="accent3" w:themeShade="BF"/>
          <w:sz w:val="22"/>
          <w:szCs w:val="22"/>
        </w:rPr>
        <w:t xml:space="preserve"> </w:t>
      </w:r>
      <w:r w:rsidR="009B42E5">
        <w:rPr>
          <w:rFonts w:ascii="Avenir Next" w:hAnsi="Avenir Next" w:cs="Arial"/>
          <w:color w:val="7B7B7B" w:themeColor="accent3" w:themeShade="BF"/>
          <w:sz w:val="22"/>
          <w:szCs w:val="22"/>
        </w:rPr>
        <w:t xml:space="preserve">something that can be shown when </w:t>
      </w:r>
      <w:r w:rsidR="00DC5FE5">
        <w:rPr>
          <w:rFonts w:ascii="Avenir Next" w:hAnsi="Avenir Next" w:cs="Arial"/>
          <w:color w:val="7B7B7B" w:themeColor="accent3" w:themeShade="BF"/>
          <w:sz w:val="22"/>
          <w:szCs w:val="22"/>
        </w:rPr>
        <w:t xml:space="preserve">comparing its position with a hypothetical </w:t>
      </w:r>
      <w:r w:rsidR="004066C5">
        <w:rPr>
          <w:rFonts w:ascii="Avenir Next" w:hAnsi="Avenir Next" w:cs="Arial"/>
          <w:color w:val="7B7B7B" w:themeColor="accent3" w:themeShade="BF"/>
          <w:sz w:val="22"/>
          <w:szCs w:val="22"/>
        </w:rPr>
        <w:t>C</w:t>
      </w:r>
      <w:r w:rsidR="00DC5FE5">
        <w:rPr>
          <w:rFonts w:ascii="Avenir Next" w:hAnsi="Avenir Next" w:cs="Arial"/>
          <w:color w:val="7B7B7B" w:themeColor="accent3" w:themeShade="BF"/>
          <w:sz w:val="22"/>
          <w:szCs w:val="22"/>
        </w:rPr>
        <w:t>hapter 7 liquidation in which the transfer does not take place.</w:t>
      </w:r>
    </w:p>
    <w:p w14:paraId="5CF3760C" w14:textId="77777777" w:rsidR="00DC5FE5" w:rsidRPr="00656208" w:rsidRDefault="00DC5FE5" w:rsidP="00E41578">
      <w:pPr>
        <w:jc w:val="both"/>
        <w:rPr>
          <w:rFonts w:ascii="Avenir Next" w:hAnsi="Avenir Next" w:cs="Arial"/>
          <w:color w:val="7B7B7B" w:themeColor="accent3" w:themeShade="BF"/>
          <w:sz w:val="22"/>
          <w:szCs w:val="22"/>
        </w:rPr>
      </w:pPr>
    </w:p>
    <w:p w14:paraId="08119BB0" w14:textId="369BD1FB" w:rsidR="00E544E2" w:rsidRDefault="00191D02"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Moreover, </w:t>
      </w:r>
      <w:r w:rsidR="00150DB3" w:rsidRPr="00150DB3">
        <w:rPr>
          <w:rFonts w:ascii="Avenir Next" w:hAnsi="Avenir Next" w:cs="Arial"/>
          <w:color w:val="7B7B7B" w:themeColor="accent3" w:themeShade="BF"/>
          <w:sz w:val="22"/>
          <w:szCs w:val="22"/>
          <w:lang w:val="en-GB"/>
        </w:rPr>
        <w:t>there is no requirement for proof of fault on the part of either the debtor or the beneficiary</w:t>
      </w:r>
      <w:r>
        <w:rPr>
          <w:rFonts w:ascii="Avenir Next" w:hAnsi="Avenir Next" w:cs="Arial"/>
          <w:color w:val="7B7B7B" w:themeColor="accent3" w:themeShade="BF"/>
          <w:sz w:val="22"/>
          <w:szCs w:val="22"/>
          <w:lang w:val="en-GB"/>
        </w:rPr>
        <w:t xml:space="preserve">. </w:t>
      </w:r>
      <w:r w:rsidR="00AF3FC7">
        <w:rPr>
          <w:rFonts w:ascii="Avenir Next" w:hAnsi="Avenir Next" w:cs="Arial"/>
          <w:color w:val="7B7B7B" w:themeColor="accent3" w:themeShade="BF"/>
          <w:sz w:val="22"/>
          <w:szCs w:val="22"/>
          <w:lang w:val="en-GB"/>
        </w:rPr>
        <w:t>Indeed, the recipient, except for eventually prejudgment interest, is only obliged to return the property</w:t>
      </w:r>
      <w:r w:rsidR="00CF689C">
        <w:rPr>
          <w:rFonts w:ascii="Avenir Next" w:hAnsi="Avenir Next" w:cs="Arial"/>
          <w:color w:val="7B7B7B" w:themeColor="accent3" w:themeShade="BF"/>
          <w:sz w:val="22"/>
          <w:szCs w:val="22"/>
          <w:lang w:val="en-GB"/>
        </w:rPr>
        <w:t xml:space="preserve"> transferred</w:t>
      </w:r>
      <w:r w:rsidR="00D27A1D">
        <w:rPr>
          <w:rFonts w:ascii="Avenir Next" w:hAnsi="Avenir Next" w:cs="Arial"/>
          <w:color w:val="7B7B7B" w:themeColor="accent3" w:themeShade="BF"/>
          <w:sz w:val="22"/>
          <w:szCs w:val="22"/>
          <w:lang w:val="en-GB"/>
        </w:rPr>
        <w:t>.</w:t>
      </w:r>
    </w:p>
    <w:p w14:paraId="122A97D6" w14:textId="070FBA86" w:rsidR="00E41578" w:rsidRDefault="00E41578" w:rsidP="00E41578">
      <w:pPr>
        <w:jc w:val="both"/>
        <w:rPr>
          <w:rFonts w:ascii="Avenir Next" w:hAnsi="Avenir Next" w:cs="Arial"/>
          <w:color w:val="7B7B7B" w:themeColor="accent3" w:themeShade="BF"/>
          <w:sz w:val="22"/>
          <w:szCs w:val="22"/>
          <w:lang w:val="en-GB"/>
        </w:rPr>
      </w:pP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6CB2F111" w14:textId="0EDF179F" w:rsidR="00A562C8"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22690C5D" w14:textId="77777777" w:rsidR="00C52977" w:rsidRDefault="00C52977" w:rsidP="000778B1">
      <w:pPr>
        <w:pStyle w:val="AODocTxt"/>
        <w:spacing w:before="0" w:line="240" w:lineRule="auto"/>
        <w:rPr>
          <w:rFonts w:ascii="Avenir Next" w:hAnsi="Avenir Next"/>
        </w:rPr>
      </w:pPr>
    </w:p>
    <w:p w14:paraId="078DAD9F" w14:textId="5F32CCBC" w:rsidR="00BA3932" w:rsidRDefault="00C16C2F" w:rsidP="008522B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After the US Supreme Court abolished the provisions relating to juri</w:t>
      </w:r>
      <w:r w:rsidR="004D5863">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d</w:t>
      </w:r>
      <w:r w:rsidR="004D5863">
        <w:rPr>
          <w:rFonts w:ascii="Avenir Next" w:hAnsi="Avenir Next" w:cs="Arial"/>
          <w:color w:val="7B7B7B" w:themeColor="accent3" w:themeShade="BF"/>
          <w:sz w:val="22"/>
          <w:szCs w:val="22"/>
          <w:lang w:val="en-GB"/>
        </w:rPr>
        <w:t>i</w:t>
      </w:r>
      <w:r>
        <w:rPr>
          <w:rFonts w:ascii="Avenir Next" w:hAnsi="Avenir Next" w:cs="Arial"/>
          <w:color w:val="7B7B7B" w:themeColor="accent3" w:themeShade="BF"/>
          <w:sz w:val="22"/>
          <w:szCs w:val="22"/>
          <w:lang w:val="en-GB"/>
        </w:rPr>
        <w:t xml:space="preserve">ction within the 1978 Bankruptcy Code, </w:t>
      </w:r>
      <w:r w:rsidR="003865C7">
        <w:rPr>
          <w:rFonts w:ascii="Avenir Next" w:hAnsi="Avenir Next" w:cs="Arial"/>
          <w:color w:val="7B7B7B" w:themeColor="accent3" w:themeShade="BF"/>
          <w:sz w:val="22"/>
          <w:szCs w:val="22"/>
          <w:lang w:val="en-GB"/>
        </w:rPr>
        <w:t xml:space="preserve">new provisions were enacted on those matters. </w:t>
      </w:r>
      <w:r w:rsidR="00824D0B">
        <w:rPr>
          <w:rFonts w:ascii="Avenir Next" w:hAnsi="Avenir Next" w:cs="Arial"/>
          <w:color w:val="7B7B7B" w:themeColor="accent3" w:themeShade="BF"/>
          <w:sz w:val="22"/>
          <w:szCs w:val="22"/>
          <w:lang w:val="en-GB"/>
        </w:rPr>
        <w:t>Those provisions grant jurisdiction over bankruptcy procee</w:t>
      </w:r>
      <w:r w:rsidR="004D5863">
        <w:rPr>
          <w:rFonts w:ascii="Avenir Next" w:hAnsi="Avenir Next" w:cs="Arial"/>
          <w:color w:val="7B7B7B" w:themeColor="accent3" w:themeShade="BF"/>
          <w:sz w:val="22"/>
          <w:szCs w:val="22"/>
          <w:lang w:val="en-GB"/>
        </w:rPr>
        <w:t>d</w:t>
      </w:r>
      <w:r w:rsidR="00824D0B">
        <w:rPr>
          <w:rFonts w:ascii="Avenir Next" w:hAnsi="Avenir Next" w:cs="Arial"/>
          <w:color w:val="7B7B7B" w:themeColor="accent3" w:themeShade="BF"/>
          <w:sz w:val="22"/>
          <w:szCs w:val="22"/>
          <w:lang w:val="en-GB"/>
        </w:rPr>
        <w:t>ings to district courts and allow the latter to refer bankruptcy proceedings to their district’s bankruptcy court</w:t>
      </w:r>
      <w:r w:rsidR="00DC00EF">
        <w:rPr>
          <w:rFonts w:ascii="Avenir Next" w:hAnsi="Avenir Next" w:cs="Arial"/>
          <w:color w:val="7B7B7B" w:themeColor="accent3" w:themeShade="BF"/>
          <w:sz w:val="22"/>
          <w:szCs w:val="22"/>
          <w:lang w:val="en-GB"/>
        </w:rPr>
        <w:t>s</w:t>
      </w:r>
      <w:r w:rsidR="00824D0B">
        <w:rPr>
          <w:rFonts w:ascii="Avenir Next" w:hAnsi="Avenir Next" w:cs="Arial"/>
          <w:color w:val="7B7B7B" w:themeColor="accent3" w:themeShade="BF"/>
          <w:sz w:val="22"/>
          <w:szCs w:val="22"/>
          <w:lang w:val="en-GB"/>
        </w:rPr>
        <w:t>.</w:t>
      </w:r>
    </w:p>
    <w:p w14:paraId="0009EDEC" w14:textId="77777777" w:rsidR="00BA3932" w:rsidRDefault="00BA3932" w:rsidP="008522B9">
      <w:pPr>
        <w:jc w:val="both"/>
        <w:rPr>
          <w:rFonts w:ascii="Avenir Next" w:hAnsi="Avenir Next" w:cs="Arial"/>
          <w:color w:val="7B7B7B" w:themeColor="accent3" w:themeShade="BF"/>
          <w:sz w:val="22"/>
          <w:szCs w:val="22"/>
          <w:lang w:val="en-GB"/>
        </w:rPr>
      </w:pPr>
    </w:p>
    <w:p w14:paraId="581AAEF6" w14:textId="21394A80" w:rsidR="008548E8" w:rsidRDefault="003A5A1B" w:rsidP="008522B9">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lang w:val="en-GB"/>
        </w:rPr>
        <w:t xml:space="preserve">This referral statute </w:t>
      </w:r>
      <w:r w:rsidR="0056331D">
        <w:rPr>
          <w:rFonts w:ascii="Avenir Next" w:hAnsi="Avenir Next" w:cs="Arial"/>
          <w:color w:val="7B7B7B" w:themeColor="accent3" w:themeShade="BF"/>
          <w:sz w:val="22"/>
          <w:szCs w:val="22"/>
          <w:lang w:val="en-GB"/>
        </w:rPr>
        <w:t>distinguishes among core and non-core issues. Bankruptcy judges are allowed to hear and determine core matters</w:t>
      </w:r>
      <w:r w:rsidR="00EA439E">
        <w:rPr>
          <w:rFonts w:ascii="Avenir Next" w:hAnsi="Avenir Next" w:cs="Arial"/>
          <w:color w:val="7B7B7B" w:themeColor="accent3" w:themeShade="BF"/>
          <w:sz w:val="22"/>
          <w:szCs w:val="22"/>
          <w:lang w:val="en-GB"/>
        </w:rPr>
        <w:t xml:space="preserve"> only.</w:t>
      </w:r>
      <w:r w:rsidR="003D7AE0">
        <w:rPr>
          <w:rFonts w:ascii="Avenir Next" w:hAnsi="Avenir Next" w:cs="Arial"/>
          <w:color w:val="7B7B7B" w:themeColor="accent3" w:themeShade="BF"/>
          <w:sz w:val="22"/>
          <w:szCs w:val="22"/>
          <w:lang w:val="en-GB"/>
        </w:rPr>
        <w:t xml:space="preserve"> </w:t>
      </w:r>
      <w:r w:rsidR="007B7145">
        <w:rPr>
          <w:rFonts w:ascii="Avenir Next" w:hAnsi="Avenir Next" w:cs="Arial"/>
          <w:color w:val="7B7B7B" w:themeColor="accent3" w:themeShade="BF"/>
          <w:sz w:val="22"/>
          <w:szCs w:val="22"/>
          <w:lang w:val="en-GB"/>
        </w:rPr>
        <w:t>Section 157 (</w:t>
      </w:r>
      <w:r w:rsidR="00302D9D">
        <w:rPr>
          <w:rFonts w:ascii="Avenir Next" w:hAnsi="Avenir Next" w:cs="Arial"/>
          <w:i/>
          <w:iCs/>
          <w:color w:val="7B7B7B" w:themeColor="accent3" w:themeShade="BF"/>
          <w:sz w:val="22"/>
          <w:szCs w:val="22"/>
        </w:rPr>
        <w:t xml:space="preserve">see </w:t>
      </w:r>
      <w:r w:rsidR="003D7AE0">
        <w:rPr>
          <w:rFonts w:ascii="Avenir Next" w:hAnsi="Avenir Next" w:cs="Arial"/>
          <w:color w:val="7B7B7B" w:themeColor="accent3" w:themeShade="BF"/>
          <w:sz w:val="22"/>
          <w:szCs w:val="22"/>
          <w:lang w:val="en-GB"/>
        </w:rPr>
        <w:t>11 USC</w:t>
      </w:r>
      <w:r w:rsidR="00302D9D" w:rsidRPr="00302D9D">
        <w:rPr>
          <w:rFonts w:ascii="Avenir Next" w:hAnsi="Avenir Next" w:cs="Arial"/>
          <w:color w:val="7B7B7B" w:themeColor="accent3" w:themeShade="BF"/>
          <w:sz w:val="22"/>
          <w:szCs w:val="22"/>
        </w:rPr>
        <w:t>,</w:t>
      </w:r>
      <w:r w:rsidR="003D7AE0">
        <w:rPr>
          <w:rFonts w:ascii="Avenir Next" w:hAnsi="Avenir Next" w:cs="Arial"/>
          <w:color w:val="7B7B7B" w:themeColor="accent3" w:themeShade="BF"/>
          <w:sz w:val="22"/>
          <w:szCs w:val="22"/>
          <w:lang w:val="en-GB"/>
        </w:rPr>
        <w:t xml:space="preserve"> </w:t>
      </w:r>
      <w:r w:rsidR="003D7AE0" w:rsidRPr="007B7145">
        <w:rPr>
          <w:rFonts w:ascii="Avenir Next" w:hAnsi="Avenir Next" w:cs="Arial"/>
          <w:color w:val="7B7B7B" w:themeColor="accent3" w:themeShade="BF"/>
          <w:sz w:val="22"/>
          <w:szCs w:val="22"/>
        </w:rPr>
        <w:t>§15</w:t>
      </w:r>
      <w:r w:rsidR="00FA49CD" w:rsidRPr="007B7145">
        <w:rPr>
          <w:rFonts w:ascii="Avenir Next" w:hAnsi="Avenir Next" w:cs="Arial"/>
          <w:color w:val="7B7B7B" w:themeColor="accent3" w:themeShade="BF"/>
          <w:sz w:val="22"/>
          <w:szCs w:val="22"/>
        </w:rPr>
        <w:t>7</w:t>
      </w:r>
      <w:r w:rsidR="007B7145" w:rsidRPr="007B7145">
        <w:rPr>
          <w:rFonts w:ascii="Avenir Next" w:hAnsi="Avenir Next" w:cs="Arial"/>
          <w:color w:val="7B7B7B" w:themeColor="accent3" w:themeShade="BF"/>
          <w:sz w:val="22"/>
          <w:szCs w:val="22"/>
        </w:rPr>
        <w:t xml:space="preserve">) comprises a non-exhaustive list </w:t>
      </w:r>
      <w:r w:rsidR="005E38EA">
        <w:rPr>
          <w:rFonts w:ascii="Avenir Next" w:hAnsi="Avenir Next" w:cs="Arial"/>
          <w:color w:val="7B7B7B" w:themeColor="accent3" w:themeShade="BF"/>
          <w:sz w:val="22"/>
          <w:szCs w:val="22"/>
        </w:rPr>
        <w:t>with respect to</w:t>
      </w:r>
      <w:r w:rsidR="007B7145" w:rsidRPr="007B7145">
        <w:rPr>
          <w:rFonts w:ascii="Avenir Next" w:hAnsi="Avenir Next" w:cs="Arial"/>
          <w:color w:val="7B7B7B" w:themeColor="accent3" w:themeShade="BF"/>
          <w:sz w:val="22"/>
          <w:szCs w:val="22"/>
        </w:rPr>
        <w:t xml:space="preserve"> core pr</w:t>
      </w:r>
      <w:r w:rsidR="007B7145">
        <w:rPr>
          <w:rFonts w:ascii="Avenir Next" w:hAnsi="Avenir Next" w:cs="Arial"/>
          <w:color w:val="7B7B7B" w:themeColor="accent3" w:themeShade="BF"/>
          <w:sz w:val="22"/>
          <w:szCs w:val="22"/>
        </w:rPr>
        <w:t>oceedings</w:t>
      </w:r>
      <w:r w:rsidR="00C3401F">
        <w:rPr>
          <w:rFonts w:ascii="Avenir Next" w:hAnsi="Avenir Next" w:cs="Arial"/>
          <w:color w:val="7B7B7B" w:themeColor="accent3" w:themeShade="BF"/>
          <w:sz w:val="22"/>
          <w:szCs w:val="22"/>
        </w:rPr>
        <w:t xml:space="preserve">. </w:t>
      </w:r>
      <w:r w:rsidR="00A06144">
        <w:rPr>
          <w:rFonts w:ascii="Avenir Next" w:hAnsi="Avenir Next" w:cs="Arial"/>
          <w:color w:val="7B7B7B" w:themeColor="accent3" w:themeShade="BF"/>
          <w:sz w:val="22"/>
          <w:szCs w:val="22"/>
        </w:rPr>
        <w:t>Concerning non-core matters</w:t>
      </w:r>
      <w:r w:rsidR="00263C59">
        <w:rPr>
          <w:rFonts w:ascii="Avenir Next" w:hAnsi="Avenir Next" w:cs="Arial"/>
          <w:color w:val="7B7B7B" w:themeColor="accent3" w:themeShade="BF"/>
          <w:sz w:val="22"/>
          <w:szCs w:val="22"/>
        </w:rPr>
        <w:t>,</w:t>
      </w:r>
      <w:r w:rsidR="00A06144">
        <w:rPr>
          <w:rFonts w:ascii="Avenir Next" w:hAnsi="Avenir Next" w:cs="Arial"/>
          <w:color w:val="7B7B7B" w:themeColor="accent3" w:themeShade="BF"/>
          <w:sz w:val="22"/>
          <w:szCs w:val="22"/>
        </w:rPr>
        <w:t xml:space="preserve"> th</w:t>
      </w:r>
      <w:r w:rsidR="00263C59">
        <w:rPr>
          <w:rFonts w:ascii="Avenir Next" w:hAnsi="Avenir Next" w:cs="Arial"/>
          <w:color w:val="7B7B7B" w:themeColor="accent3" w:themeShade="BF"/>
          <w:sz w:val="22"/>
          <w:szCs w:val="22"/>
        </w:rPr>
        <w:t>e</w:t>
      </w:r>
      <w:r w:rsidR="00A06144">
        <w:rPr>
          <w:rFonts w:ascii="Avenir Next" w:hAnsi="Avenir Next" w:cs="Arial"/>
          <w:color w:val="7B7B7B" w:themeColor="accent3" w:themeShade="BF"/>
          <w:sz w:val="22"/>
          <w:szCs w:val="22"/>
        </w:rPr>
        <w:t>se can be heard by the bankruptcy court. The bankruptcy court</w:t>
      </w:r>
      <w:r w:rsidR="00263C59">
        <w:rPr>
          <w:rFonts w:ascii="Avenir Next" w:hAnsi="Avenir Next" w:cs="Arial"/>
          <w:color w:val="7B7B7B" w:themeColor="accent3" w:themeShade="BF"/>
          <w:sz w:val="22"/>
          <w:szCs w:val="22"/>
        </w:rPr>
        <w:t>, however,</w:t>
      </w:r>
      <w:r w:rsidR="00A06144">
        <w:rPr>
          <w:rFonts w:ascii="Avenir Next" w:hAnsi="Avenir Next" w:cs="Arial"/>
          <w:color w:val="7B7B7B" w:themeColor="accent3" w:themeShade="BF"/>
          <w:sz w:val="22"/>
          <w:szCs w:val="22"/>
        </w:rPr>
        <w:t xml:space="preserve"> has to be satisfied that those proceedings are </w:t>
      </w:r>
      <w:r w:rsidR="005E38EA">
        <w:rPr>
          <w:rFonts w:ascii="Avenir Next" w:hAnsi="Avenir Next" w:cs="Arial"/>
          <w:color w:val="7B7B7B" w:themeColor="accent3" w:themeShade="BF"/>
          <w:sz w:val="22"/>
          <w:szCs w:val="22"/>
        </w:rPr>
        <w:t>appropriately</w:t>
      </w:r>
      <w:r w:rsidR="00A06144">
        <w:rPr>
          <w:rFonts w:ascii="Avenir Next" w:hAnsi="Avenir Next" w:cs="Arial"/>
          <w:color w:val="7B7B7B" w:themeColor="accent3" w:themeShade="BF"/>
          <w:sz w:val="22"/>
          <w:szCs w:val="22"/>
        </w:rPr>
        <w:t xml:space="preserve"> linked to a bankruptcy proceeding. The bankruptcy court is</w:t>
      </w:r>
      <w:r w:rsidR="003555D7">
        <w:rPr>
          <w:rFonts w:ascii="Avenir Next" w:hAnsi="Avenir Next" w:cs="Arial"/>
          <w:color w:val="7B7B7B" w:themeColor="accent3" w:themeShade="BF"/>
          <w:sz w:val="22"/>
          <w:szCs w:val="22"/>
        </w:rPr>
        <w:t>,</w:t>
      </w:r>
      <w:r w:rsidR="00A06144">
        <w:rPr>
          <w:rFonts w:ascii="Avenir Next" w:hAnsi="Avenir Next" w:cs="Arial"/>
          <w:color w:val="7B7B7B" w:themeColor="accent3" w:themeShade="BF"/>
          <w:sz w:val="22"/>
          <w:szCs w:val="22"/>
        </w:rPr>
        <w:t xml:space="preserve"> in </w:t>
      </w:r>
      <w:r w:rsidR="00263C59">
        <w:rPr>
          <w:rFonts w:ascii="Avenir Next" w:hAnsi="Avenir Next" w:cs="Arial"/>
          <w:color w:val="7B7B7B" w:themeColor="accent3" w:themeShade="BF"/>
          <w:sz w:val="22"/>
          <w:szCs w:val="22"/>
        </w:rPr>
        <w:t>this</w:t>
      </w:r>
      <w:r w:rsidR="00A06144">
        <w:rPr>
          <w:rFonts w:ascii="Avenir Next" w:hAnsi="Avenir Next" w:cs="Arial"/>
          <w:color w:val="7B7B7B" w:themeColor="accent3" w:themeShade="BF"/>
          <w:sz w:val="22"/>
          <w:szCs w:val="22"/>
        </w:rPr>
        <w:t xml:space="preserve"> case</w:t>
      </w:r>
      <w:r w:rsidR="003555D7">
        <w:rPr>
          <w:rFonts w:ascii="Avenir Next" w:hAnsi="Avenir Next" w:cs="Arial"/>
          <w:color w:val="7B7B7B" w:themeColor="accent3" w:themeShade="BF"/>
          <w:sz w:val="22"/>
          <w:szCs w:val="22"/>
        </w:rPr>
        <w:t>,</w:t>
      </w:r>
      <w:r w:rsidR="00A06144">
        <w:rPr>
          <w:rFonts w:ascii="Avenir Next" w:hAnsi="Avenir Next" w:cs="Arial"/>
          <w:color w:val="7B7B7B" w:themeColor="accent3" w:themeShade="BF"/>
          <w:sz w:val="22"/>
          <w:szCs w:val="22"/>
        </w:rPr>
        <w:t xml:space="preserve"> not allowed to </w:t>
      </w:r>
      <w:r w:rsidR="00037CE3">
        <w:rPr>
          <w:rFonts w:ascii="Avenir Next" w:hAnsi="Avenir Next" w:cs="Arial"/>
          <w:color w:val="7B7B7B" w:themeColor="accent3" w:themeShade="BF"/>
          <w:sz w:val="22"/>
          <w:szCs w:val="22"/>
        </w:rPr>
        <w:t>make a final decision</w:t>
      </w:r>
      <w:r w:rsidR="0027047F">
        <w:rPr>
          <w:rFonts w:ascii="Avenir Next" w:hAnsi="Avenir Next" w:cs="Arial"/>
          <w:color w:val="7B7B7B" w:themeColor="accent3" w:themeShade="BF"/>
          <w:sz w:val="22"/>
          <w:szCs w:val="22"/>
        </w:rPr>
        <w:t xml:space="preserve">. </w:t>
      </w:r>
      <w:r w:rsidR="004D521B">
        <w:rPr>
          <w:rFonts w:ascii="Avenir Next" w:hAnsi="Avenir Next" w:cs="Arial"/>
          <w:color w:val="7B7B7B" w:themeColor="accent3" w:themeShade="BF"/>
          <w:sz w:val="22"/>
          <w:szCs w:val="22"/>
        </w:rPr>
        <w:t xml:space="preserve">Rather, </w:t>
      </w:r>
      <w:r w:rsidR="00B51DAB">
        <w:rPr>
          <w:rFonts w:ascii="Avenir Next" w:hAnsi="Avenir Next" w:cs="Arial"/>
          <w:color w:val="7B7B7B" w:themeColor="accent3" w:themeShade="BF"/>
          <w:sz w:val="22"/>
          <w:szCs w:val="22"/>
        </w:rPr>
        <w:t>for a final decision to be</w:t>
      </w:r>
      <w:r w:rsidR="004C07CC">
        <w:rPr>
          <w:rFonts w:ascii="Avenir Next" w:hAnsi="Avenir Next" w:cs="Arial"/>
          <w:color w:val="7B7B7B" w:themeColor="accent3" w:themeShade="BF"/>
          <w:sz w:val="22"/>
          <w:szCs w:val="22"/>
        </w:rPr>
        <w:t xml:space="preserve"> taken by the district court, </w:t>
      </w:r>
      <w:r w:rsidR="004D521B">
        <w:rPr>
          <w:rFonts w:ascii="Avenir Next" w:hAnsi="Avenir Next" w:cs="Arial"/>
          <w:color w:val="7B7B7B" w:themeColor="accent3" w:themeShade="BF"/>
          <w:sz w:val="22"/>
          <w:szCs w:val="22"/>
        </w:rPr>
        <w:t xml:space="preserve">factual findings and conclusions of law </w:t>
      </w:r>
      <w:r w:rsidR="004C07CC">
        <w:rPr>
          <w:rFonts w:ascii="Avenir Next" w:hAnsi="Avenir Next" w:cs="Arial"/>
          <w:color w:val="7B7B7B" w:themeColor="accent3" w:themeShade="BF"/>
          <w:sz w:val="22"/>
          <w:szCs w:val="22"/>
        </w:rPr>
        <w:t>should be</w:t>
      </w:r>
      <w:r w:rsidR="004D521B">
        <w:rPr>
          <w:rFonts w:ascii="Avenir Next" w:hAnsi="Avenir Next" w:cs="Arial"/>
          <w:color w:val="7B7B7B" w:themeColor="accent3" w:themeShade="BF"/>
          <w:sz w:val="22"/>
          <w:szCs w:val="22"/>
        </w:rPr>
        <w:t xml:space="preserve"> submitted by the bankruptcy court to the district court in which objections by parties are </w:t>
      </w:r>
      <w:r w:rsidR="005E38EA">
        <w:rPr>
          <w:rFonts w:ascii="Avenir Next" w:hAnsi="Avenir Next" w:cs="Arial"/>
          <w:color w:val="7B7B7B" w:themeColor="accent3" w:themeShade="BF"/>
          <w:sz w:val="22"/>
          <w:szCs w:val="22"/>
        </w:rPr>
        <w:t>permitted</w:t>
      </w:r>
      <w:r w:rsidR="00DF12B5">
        <w:rPr>
          <w:rFonts w:ascii="Avenir Next" w:hAnsi="Avenir Next" w:cs="Arial"/>
          <w:color w:val="7B7B7B" w:themeColor="accent3" w:themeShade="BF"/>
          <w:sz w:val="22"/>
          <w:szCs w:val="22"/>
        </w:rPr>
        <w:t>.</w:t>
      </w:r>
    </w:p>
    <w:p w14:paraId="12ECCB6E" w14:textId="77777777" w:rsidR="008548E8" w:rsidRDefault="008548E8" w:rsidP="008522B9">
      <w:pPr>
        <w:jc w:val="both"/>
        <w:rPr>
          <w:rFonts w:ascii="Avenir Next" w:hAnsi="Avenir Next" w:cs="Arial"/>
          <w:color w:val="7B7B7B" w:themeColor="accent3" w:themeShade="BF"/>
          <w:sz w:val="22"/>
          <w:szCs w:val="22"/>
        </w:rPr>
      </w:pPr>
    </w:p>
    <w:p w14:paraId="5F9DAEAC" w14:textId="1E1ED060" w:rsidR="00B85B52" w:rsidRPr="00026E60" w:rsidRDefault="005D267F" w:rsidP="008522B9">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It is, nonetheless, important to </w:t>
      </w:r>
      <w:r w:rsidR="00A55BF6">
        <w:rPr>
          <w:rFonts w:ascii="Avenir Next" w:hAnsi="Avenir Next" w:cs="Arial"/>
          <w:color w:val="7B7B7B" w:themeColor="accent3" w:themeShade="BF"/>
          <w:sz w:val="22"/>
          <w:szCs w:val="22"/>
        </w:rPr>
        <w:t>examine</w:t>
      </w:r>
      <w:r>
        <w:rPr>
          <w:rFonts w:ascii="Avenir Next" w:hAnsi="Avenir Next" w:cs="Arial"/>
          <w:color w:val="7B7B7B" w:themeColor="accent3" w:themeShade="BF"/>
          <w:sz w:val="22"/>
          <w:szCs w:val="22"/>
        </w:rPr>
        <w:t xml:space="preserve"> </w:t>
      </w:r>
      <w:r w:rsidR="004E6D21">
        <w:rPr>
          <w:rFonts w:ascii="Avenir Next" w:hAnsi="Avenir Next" w:cs="Arial"/>
          <w:color w:val="7B7B7B" w:themeColor="accent3" w:themeShade="BF"/>
          <w:sz w:val="22"/>
          <w:szCs w:val="22"/>
        </w:rPr>
        <w:t>US case law on this matter. For instance, i</w:t>
      </w:r>
      <w:r>
        <w:rPr>
          <w:rFonts w:ascii="Avenir Next" w:hAnsi="Avenir Next" w:cs="Arial"/>
          <w:color w:val="7B7B7B" w:themeColor="accent3" w:themeShade="BF"/>
          <w:sz w:val="22"/>
          <w:szCs w:val="22"/>
        </w:rPr>
        <w:t xml:space="preserve">n </w:t>
      </w:r>
      <w:r w:rsidR="004E6D21">
        <w:rPr>
          <w:rFonts w:ascii="Avenir Next" w:hAnsi="Avenir Next" w:cs="Arial"/>
          <w:color w:val="7B7B7B" w:themeColor="accent3" w:themeShade="BF"/>
          <w:sz w:val="22"/>
          <w:szCs w:val="22"/>
        </w:rPr>
        <w:t xml:space="preserve">the </w:t>
      </w:r>
      <w:r w:rsidR="004E6D21" w:rsidRPr="005D267F">
        <w:rPr>
          <w:rFonts w:ascii="Avenir Next" w:hAnsi="Avenir Next" w:cs="Arial"/>
          <w:i/>
          <w:iCs/>
          <w:color w:val="7B7B7B" w:themeColor="accent3" w:themeShade="BF"/>
          <w:sz w:val="22"/>
          <w:szCs w:val="22"/>
        </w:rPr>
        <w:t>Stern v Marshall</w:t>
      </w:r>
      <w:r w:rsidR="004E6D21">
        <w:rPr>
          <w:rFonts w:ascii="Avenir Next" w:hAnsi="Avenir Next" w:cs="Arial"/>
          <w:color w:val="7B7B7B" w:themeColor="accent3" w:themeShade="BF"/>
          <w:sz w:val="22"/>
          <w:szCs w:val="22"/>
        </w:rPr>
        <w:t xml:space="preserve"> case</w:t>
      </w:r>
      <w:r w:rsidR="005E38EA">
        <w:rPr>
          <w:rFonts w:ascii="Avenir Next" w:hAnsi="Avenir Next" w:cs="Arial"/>
          <w:color w:val="7B7B7B" w:themeColor="accent3" w:themeShade="BF"/>
          <w:sz w:val="22"/>
          <w:szCs w:val="22"/>
        </w:rPr>
        <w:t xml:space="preserve"> (</w:t>
      </w:r>
      <w:r w:rsidR="007E513A">
        <w:rPr>
          <w:rFonts w:ascii="Avenir Next" w:hAnsi="Avenir Next" w:cs="Arial"/>
          <w:color w:val="7B7B7B" w:themeColor="accent3" w:themeShade="BF"/>
          <w:sz w:val="22"/>
          <w:szCs w:val="22"/>
        </w:rPr>
        <w:t>564 US 462 (2011))</w:t>
      </w:r>
      <w:r>
        <w:rPr>
          <w:rFonts w:ascii="Avenir Next" w:hAnsi="Avenir Next" w:cs="Arial"/>
          <w:color w:val="7B7B7B" w:themeColor="accent3" w:themeShade="BF"/>
          <w:sz w:val="22"/>
          <w:szCs w:val="22"/>
        </w:rPr>
        <w:t xml:space="preserve">, the US Supreme Court held that final orders pursuant to core matters of a bankruptcy court cannot be issued </w:t>
      </w:r>
      <w:r w:rsidR="00FE5E40">
        <w:rPr>
          <w:rFonts w:ascii="Avenir Next" w:hAnsi="Avenir Next" w:cs="Arial"/>
          <w:color w:val="7B7B7B" w:themeColor="accent3" w:themeShade="BF"/>
          <w:sz w:val="22"/>
          <w:szCs w:val="22"/>
        </w:rPr>
        <w:t>encroaching</w:t>
      </w:r>
      <w:r w:rsidR="00866598">
        <w:rPr>
          <w:rFonts w:ascii="Avenir Next" w:hAnsi="Avenir Next" w:cs="Arial"/>
          <w:color w:val="7B7B7B" w:themeColor="accent3" w:themeShade="BF"/>
          <w:sz w:val="22"/>
          <w:szCs w:val="22"/>
        </w:rPr>
        <w:t xml:space="preserve"> on</w:t>
      </w:r>
      <w:r>
        <w:rPr>
          <w:rFonts w:ascii="Avenir Next" w:hAnsi="Avenir Next" w:cs="Arial"/>
          <w:color w:val="7B7B7B" w:themeColor="accent3" w:themeShade="BF"/>
          <w:sz w:val="22"/>
          <w:szCs w:val="22"/>
        </w:rPr>
        <w:t xml:space="preserve"> Article III jurisdiction</w:t>
      </w:r>
      <w:r w:rsidR="00E977E4">
        <w:rPr>
          <w:rFonts w:ascii="Avenir Next" w:hAnsi="Avenir Next" w:cs="Arial"/>
          <w:color w:val="7B7B7B" w:themeColor="accent3" w:themeShade="BF"/>
          <w:sz w:val="22"/>
          <w:szCs w:val="22"/>
        </w:rPr>
        <w:t xml:space="preserve">. </w:t>
      </w:r>
      <w:r w:rsidR="00026E60">
        <w:rPr>
          <w:rFonts w:ascii="Avenir Next" w:hAnsi="Avenir Next" w:cs="Arial"/>
          <w:color w:val="7B7B7B" w:themeColor="accent3" w:themeShade="BF"/>
          <w:sz w:val="22"/>
          <w:szCs w:val="22"/>
        </w:rPr>
        <w:t>Further legislative and jurisdictional guidance</w:t>
      </w:r>
      <w:r w:rsidR="00A55BF6">
        <w:rPr>
          <w:rFonts w:ascii="Avenir Next" w:hAnsi="Avenir Next" w:cs="Arial"/>
          <w:color w:val="7B7B7B" w:themeColor="accent3" w:themeShade="BF"/>
          <w:sz w:val="22"/>
          <w:szCs w:val="22"/>
        </w:rPr>
        <w:t xml:space="preserve"> shed light</w:t>
      </w:r>
      <w:r w:rsidR="005E38EA">
        <w:rPr>
          <w:rFonts w:ascii="Avenir Next" w:hAnsi="Avenir Next" w:cs="Arial"/>
          <w:color w:val="7B7B7B" w:themeColor="accent3" w:themeShade="BF"/>
          <w:sz w:val="22"/>
          <w:szCs w:val="22"/>
        </w:rPr>
        <w:t xml:space="preserve"> </w:t>
      </w:r>
      <w:r w:rsidR="00A55BF6">
        <w:rPr>
          <w:rFonts w:ascii="Avenir Next" w:hAnsi="Avenir Next" w:cs="Arial"/>
          <w:color w:val="7B7B7B" w:themeColor="accent3" w:themeShade="BF"/>
          <w:sz w:val="22"/>
          <w:szCs w:val="22"/>
        </w:rPr>
        <w:t xml:space="preserve">to the already ambiguous environment of </w:t>
      </w:r>
      <w:r w:rsidR="00090C72">
        <w:rPr>
          <w:rFonts w:ascii="Avenir Next" w:hAnsi="Avenir Next" w:cs="Arial"/>
          <w:color w:val="7B7B7B" w:themeColor="accent3" w:themeShade="BF"/>
          <w:sz w:val="22"/>
          <w:szCs w:val="22"/>
        </w:rPr>
        <w:t>bankruptcy</w:t>
      </w:r>
      <w:r w:rsidR="00A55BF6">
        <w:rPr>
          <w:rFonts w:ascii="Avenir Next" w:hAnsi="Avenir Next" w:cs="Arial"/>
          <w:color w:val="7B7B7B" w:themeColor="accent3" w:themeShade="BF"/>
          <w:sz w:val="22"/>
          <w:szCs w:val="22"/>
        </w:rPr>
        <w:t xml:space="preserve"> court jurisdiction</w:t>
      </w:r>
      <w:r w:rsidR="00090C72">
        <w:rPr>
          <w:rFonts w:ascii="Avenir Next" w:hAnsi="Avenir Next" w:cs="Arial"/>
          <w:color w:val="7B7B7B" w:themeColor="accent3" w:themeShade="BF"/>
          <w:sz w:val="22"/>
          <w:szCs w:val="22"/>
        </w:rPr>
        <w:t>.</w:t>
      </w:r>
      <w:r w:rsidR="00026E60">
        <w:rPr>
          <w:rFonts w:ascii="Avenir Next" w:hAnsi="Avenir Next" w:cs="Arial"/>
          <w:color w:val="7B7B7B" w:themeColor="accent3" w:themeShade="BF"/>
          <w:sz w:val="22"/>
          <w:szCs w:val="22"/>
        </w:rPr>
        <w:t xml:space="preserve"> </w:t>
      </w:r>
      <w:r w:rsidR="001D0A36">
        <w:rPr>
          <w:rFonts w:ascii="Avenir Next" w:hAnsi="Avenir Next" w:cs="Arial"/>
          <w:color w:val="7B7B7B" w:themeColor="accent3" w:themeShade="BF"/>
          <w:sz w:val="22"/>
          <w:szCs w:val="22"/>
        </w:rPr>
        <w:t>I</w:t>
      </w:r>
      <w:r w:rsidR="009D31AE">
        <w:rPr>
          <w:rFonts w:ascii="Avenir Next" w:hAnsi="Avenir Next" w:cs="Arial"/>
          <w:color w:val="7B7B7B" w:themeColor="accent3" w:themeShade="BF"/>
          <w:sz w:val="22"/>
          <w:szCs w:val="22"/>
        </w:rPr>
        <w:t>t is</w:t>
      </w:r>
      <w:r w:rsidR="00026E60">
        <w:rPr>
          <w:rFonts w:ascii="Avenir Next" w:hAnsi="Avenir Next" w:cs="Arial"/>
          <w:color w:val="7B7B7B" w:themeColor="accent3" w:themeShade="BF"/>
          <w:sz w:val="22"/>
          <w:szCs w:val="22"/>
        </w:rPr>
        <w:t>, for instance,</w:t>
      </w:r>
      <w:r w:rsidR="009D31AE">
        <w:rPr>
          <w:rFonts w:ascii="Avenir Next" w:hAnsi="Avenir Next" w:cs="Arial"/>
          <w:color w:val="7B7B7B" w:themeColor="accent3" w:themeShade="BF"/>
          <w:sz w:val="22"/>
          <w:szCs w:val="22"/>
        </w:rPr>
        <w:t xml:space="preserve"> </w:t>
      </w:r>
      <w:r w:rsidR="001D0A36">
        <w:rPr>
          <w:rFonts w:ascii="Avenir Next" w:hAnsi="Avenir Next" w:cs="Arial"/>
          <w:color w:val="7B7B7B" w:themeColor="accent3" w:themeShade="BF"/>
          <w:sz w:val="22"/>
          <w:szCs w:val="22"/>
        </w:rPr>
        <w:t xml:space="preserve">also </w:t>
      </w:r>
      <w:r w:rsidR="009D31AE">
        <w:rPr>
          <w:rFonts w:ascii="Avenir Next" w:hAnsi="Avenir Next" w:cs="Arial"/>
          <w:color w:val="7B7B7B" w:themeColor="accent3" w:themeShade="BF"/>
          <w:sz w:val="22"/>
          <w:szCs w:val="22"/>
        </w:rPr>
        <w:t xml:space="preserve">possible for a bankruptcy court to </w:t>
      </w:r>
      <w:r w:rsidR="00DE464B">
        <w:rPr>
          <w:rFonts w:ascii="Avenir Next" w:hAnsi="Avenir Next" w:cs="Arial"/>
          <w:color w:val="7B7B7B" w:themeColor="accent3" w:themeShade="BF"/>
          <w:sz w:val="22"/>
          <w:szCs w:val="22"/>
        </w:rPr>
        <w:t>exercise the delegated power of the district court to issue</w:t>
      </w:r>
      <w:r w:rsidR="009D31AE">
        <w:rPr>
          <w:rFonts w:ascii="Avenir Next" w:hAnsi="Avenir Next" w:cs="Arial"/>
          <w:color w:val="7B7B7B" w:themeColor="accent3" w:themeShade="BF"/>
          <w:sz w:val="22"/>
          <w:szCs w:val="22"/>
        </w:rPr>
        <w:t xml:space="preserve"> a final order </w:t>
      </w:r>
      <w:r w:rsidR="00960D53">
        <w:rPr>
          <w:rFonts w:ascii="Avenir Next" w:hAnsi="Avenir Next" w:cs="Arial"/>
          <w:color w:val="7B7B7B" w:themeColor="accent3" w:themeShade="BF"/>
          <w:sz w:val="22"/>
          <w:szCs w:val="22"/>
        </w:rPr>
        <w:t>regarding</w:t>
      </w:r>
      <w:r w:rsidR="009D31AE">
        <w:rPr>
          <w:rFonts w:ascii="Avenir Next" w:hAnsi="Avenir Next" w:cs="Arial"/>
          <w:color w:val="7B7B7B" w:themeColor="accent3" w:themeShade="BF"/>
          <w:sz w:val="22"/>
          <w:szCs w:val="22"/>
        </w:rPr>
        <w:t xml:space="preserve"> a motion contesting the validity of a petition opening a bankruptcy proceeding</w:t>
      </w:r>
      <w:r w:rsidR="00162E2C">
        <w:rPr>
          <w:rFonts w:ascii="Avenir Next" w:hAnsi="Avenir Next" w:cs="Arial"/>
          <w:color w:val="7B7B7B" w:themeColor="accent3" w:themeShade="BF"/>
          <w:sz w:val="22"/>
          <w:szCs w:val="22"/>
        </w:rPr>
        <w:t xml:space="preserve"> (as the district court has exclusive jurisdiction to </w:t>
      </w:r>
      <w:r w:rsidR="00E74E77">
        <w:rPr>
          <w:rFonts w:ascii="Avenir Next" w:hAnsi="Avenir Next" w:cs="Arial"/>
          <w:color w:val="7B7B7B" w:themeColor="accent3" w:themeShade="BF"/>
          <w:sz w:val="22"/>
          <w:szCs w:val="22"/>
        </w:rPr>
        <w:t xml:space="preserve">adjudicate a petition </w:t>
      </w:r>
      <w:r w:rsidR="00162E2C">
        <w:rPr>
          <w:rFonts w:ascii="Avenir Next" w:hAnsi="Avenir Next" w:cs="Arial"/>
          <w:color w:val="7B7B7B" w:themeColor="accent3" w:themeShade="BF"/>
          <w:sz w:val="22"/>
          <w:szCs w:val="22"/>
        </w:rPr>
        <w:t>open</w:t>
      </w:r>
      <w:r w:rsidR="00E74E77">
        <w:rPr>
          <w:rFonts w:ascii="Avenir Next" w:hAnsi="Avenir Next" w:cs="Arial"/>
          <w:color w:val="7B7B7B" w:themeColor="accent3" w:themeShade="BF"/>
          <w:sz w:val="22"/>
          <w:szCs w:val="22"/>
        </w:rPr>
        <w:t>ing</w:t>
      </w:r>
      <w:r w:rsidR="00162E2C">
        <w:rPr>
          <w:rFonts w:ascii="Avenir Next" w:hAnsi="Avenir Next" w:cs="Arial"/>
          <w:color w:val="7B7B7B" w:themeColor="accent3" w:themeShade="BF"/>
          <w:sz w:val="22"/>
          <w:szCs w:val="22"/>
        </w:rPr>
        <w:t xml:space="preserve"> those proceedings)</w:t>
      </w:r>
      <w:r w:rsidR="005646F8">
        <w:rPr>
          <w:rFonts w:ascii="Avenir Next" w:hAnsi="Avenir Next" w:cs="Arial"/>
          <w:color w:val="7B7B7B" w:themeColor="accent3" w:themeShade="BF"/>
          <w:sz w:val="22"/>
          <w:szCs w:val="22"/>
        </w:rPr>
        <w:t xml:space="preserve">. </w:t>
      </w:r>
      <w:r w:rsidR="004B322A">
        <w:rPr>
          <w:rFonts w:ascii="Avenir Next" w:hAnsi="Avenir Next" w:cs="Arial"/>
          <w:color w:val="7B7B7B" w:themeColor="accent3" w:themeShade="BF"/>
          <w:sz w:val="22"/>
          <w:szCs w:val="22"/>
        </w:rPr>
        <w:t>In</w:t>
      </w:r>
      <w:r w:rsidR="002F020E">
        <w:rPr>
          <w:rFonts w:ascii="Avenir Next" w:hAnsi="Avenir Next" w:cs="Arial"/>
          <w:color w:val="7B7B7B" w:themeColor="accent3" w:themeShade="BF"/>
          <w:sz w:val="22"/>
          <w:szCs w:val="22"/>
        </w:rPr>
        <w:t xml:space="preserve"> </w:t>
      </w:r>
      <w:r w:rsidR="002F020E" w:rsidRPr="00674FBC">
        <w:rPr>
          <w:rFonts w:ascii="Avenir Next" w:hAnsi="Avenir Next" w:cs="Arial"/>
          <w:i/>
          <w:iCs/>
          <w:color w:val="7B7B7B" w:themeColor="accent3" w:themeShade="BF"/>
          <w:sz w:val="22"/>
          <w:szCs w:val="22"/>
        </w:rPr>
        <w:t>Executive Benefits Ins</w:t>
      </w:r>
      <w:r w:rsidR="00674FBC">
        <w:rPr>
          <w:rFonts w:ascii="Avenir Next" w:hAnsi="Avenir Next" w:cs="Arial"/>
          <w:i/>
          <w:iCs/>
          <w:color w:val="7B7B7B" w:themeColor="accent3" w:themeShade="BF"/>
          <w:sz w:val="22"/>
          <w:szCs w:val="22"/>
        </w:rPr>
        <w:t>.</w:t>
      </w:r>
      <w:r w:rsidR="002F020E" w:rsidRPr="00674FBC">
        <w:rPr>
          <w:rFonts w:ascii="Avenir Next" w:hAnsi="Avenir Next" w:cs="Arial"/>
          <w:i/>
          <w:iCs/>
          <w:color w:val="7B7B7B" w:themeColor="accent3" w:themeShade="BF"/>
          <w:sz w:val="22"/>
          <w:szCs w:val="22"/>
        </w:rPr>
        <w:t xml:space="preserve"> Agency v. Atkinson</w:t>
      </w:r>
      <w:r w:rsidR="002F020E">
        <w:rPr>
          <w:rFonts w:ascii="Avenir Next" w:hAnsi="Avenir Next" w:cs="Arial"/>
          <w:color w:val="7B7B7B" w:themeColor="accent3" w:themeShade="BF"/>
          <w:sz w:val="22"/>
          <w:szCs w:val="22"/>
        </w:rPr>
        <w:t xml:space="preserve"> (134 S</w:t>
      </w:r>
      <w:r w:rsidR="00674FBC">
        <w:rPr>
          <w:rFonts w:ascii="Avenir Next" w:hAnsi="Avenir Next" w:cs="Arial"/>
          <w:color w:val="7B7B7B" w:themeColor="accent3" w:themeShade="BF"/>
          <w:sz w:val="22"/>
          <w:szCs w:val="22"/>
        </w:rPr>
        <w:t>.</w:t>
      </w:r>
      <w:r w:rsidR="002F020E">
        <w:rPr>
          <w:rFonts w:ascii="Avenir Next" w:hAnsi="Avenir Next" w:cs="Arial"/>
          <w:color w:val="7B7B7B" w:themeColor="accent3" w:themeShade="BF"/>
          <w:sz w:val="22"/>
          <w:szCs w:val="22"/>
        </w:rPr>
        <w:t xml:space="preserve"> Ct. 2165 (2014))</w:t>
      </w:r>
      <w:r w:rsidR="004B322A">
        <w:rPr>
          <w:rFonts w:ascii="Avenir Next" w:hAnsi="Avenir Next" w:cs="Arial"/>
          <w:color w:val="7B7B7B" w:themeColor="accent3" w:themeShade="BF"/>
          <w:sz w:val="22"/>
          <w:szCs w:val="22"/>
        </w:rPr>
        <w:t xml:space="preserve">, the US Supreme Court </w:t>
      </w:r>
      <w:r w:rsidR="00381EA1">
        <w:rPr>
          <w:rFonts w:ascii="Avenir Next" w:hAnsi="Avenir Next" w:cs="Arial"/>
          <w:color w:val="7B7B7B" w:themeColor="accent3" w:themeShade="BF"/>
          <w:sz w:val="22"/>
          <w:szCs w:val="22"/>
        </w:rPr>
        <w:t>stated the possibility for bankruptcy judges to issue recommendation and a report to be reviewed by the district court determining a core proceeding over which bankruptcy judges lack constitutional authority.</w:t>
      </w:r>
      <w:r w:rsidR="002F020E">
        <w:rPr>
          <w:rFonts w:ascii="Avenir Next" w:hAnsi="Avenir Next" w:cs="Arial"/>
          <w:color w:val="7B7B7B" w:themeColor="accent3" w:themeShade="BF"/>
          <w:sz w:val="22"/>
          <w:szCs w:val="22"/>
        </w:rPr>
        <w:t xml:space="preserve"> In</w:t>
      </w:r>
      <w:r w:rsidR="00381EA1">
        <w:rPr>
          <w:rFonts w:ascii="Avenir Next" w:hAnsi="Avenir Next" w:cs="Arial"/>
          <w:color w:val="7B7B7B" w:themeColor="accent3" w:themeShade="BF"/>
          <w:sz w:val="22"/>
          <w:szCs w:val="22"/>
        </w:rPr>
        <w:t xml:space="preserve"> </w:t>
      </w:r>
      <w:r w:rsidR="002F020E" w:rsidRPr="004B322A">
        <w:rPr>
          <w:rFonts w:ascii="Avenir Next" w:hAnsi="Avenir Next" w:cs="Arial"/>
          <w:i/>
          <w:iCs/>
          <w:color w:val="7B7B7B" w:themeColor="accent3" w:themeShade="BF"/>
          <w:sz w:val="22"/>
          <w:szCs w:val="22"/>
        </w:rPr>
        <w:t xml:space="preserve">Wellness International Network, Ltd. </w:t>
      </w:r>
      <w:r w:rsidR="00674FBC">
        <w:rPr>
          <w:rFonts w:ascii="Avenir Next" w:hAnsi="Avenir Next" w:cs="Arial"/>
          <w:i/>
          <w:iCs/>
          <w:color w:val="7B7B7B" w:themeColor="accent3" w:themeShade="BF"/>
          <w:sz w:val="22"/>
          <w:szCs w:val="22"/>
        </w:rPr>
        <w:t>v</w:t>
      </w:r>
      <w:r w:rsidR="002F020E" w:rsidRPr="004B322A">
        <w:rPr>
          <w:rFonts w:ascii="Avenir Next" w:hAnsi="Avenir Next" w:cs="Arial"/>
          <w:i/>
          <w:iCs/>
          <w:color w:val="7B7B7B" w:themeColor="accent3" w:themeShade="BF"/>
          <w:sz w:val="22"/>
          <w:szCs w:val="22"/>
        </w:rPr>
        <w:t>. Sharif</w:t>
      </w:r>
      <w:r w:rsidR="002F020E">
        <w:rPr>
          <w:rFonts w:ascii="Avenir Next" w:hAnsi="Avenir Next" w:cs="Arial"/>
          <w:color w:val="7B7B7B" w:themeColor="accent3" w:themeShade="BF"/>
          <w:sz w:val="22"/>
          <w:szCs w:val="22"/>
        </w:rPr>
        <w:t xml:space="preserve"> (135 S</w:t>
      </w:r>
      <w:r w:rsidR="00674FBC">
        <w:rPr>
          <w:rFonts w:ascii="Avenir Next" w:hAnsi="Avenir Next" w:cs="Arial"/>
          <w:color w:val="7B7B7B" w:themeColor="accent3" w:themeShade="BF"/>
          <w:sz w:val="22"/>
          <w:szCs w:val="22"/>
        </w:rPr>
        <w:t>.</w:t>
      </w:r>
      <w:r w:rsidR="002F020E">
        <w:rPr>
          <w:rFonts w:ascii="Avenir Next" w:hAnsi="Avenir Next" w:cs="Arial"/>
          <w:color w:val="7B7B7B" w:themeColor="accent3" w:themeShade="BF"/>
          <w:sz w:val="22"/>
          <w:szCs w:val="22"/>
        </w:rPr>
        <w:t xml:space="preserve"> Ct</w:t>
      </w:r>
      <w:r w:rsidR="00674FBC">
        <w:rPr>
          <w:rFonts w:ascii="Avenir Next" w:hAnsi="Avenir Next" w:cs="Arial"/>
          <w:color w:val="7B7B7B" w:themeColor="accent3" w:themeShade="BF"/>
          <w:sz w:val="22"/>
          <w:szCs w:val="22"/>
        </w:rPr>
        <w:t>.</w:t>
      </w:r>
      <w:r w:rsidR="002F020E">
        <w:rPr>
          <w:rFonts w:ascii="Avenir Next" w:hAnsi="Avenir Next" w:cs="Arial"/>
          <w:color w:val="7B7B7B" w:themeColor="accent3" w:themeShade="BF"/>
          <w:sz w:val="22"/>
          <w:szCs w:val="22"/>
        </w:rPr>
        <w:t xml:space="preserve"> 1932 (2015)),</w:t>
      </w:r>
      <w:r w:rsidR="00674FBC">
        <w:rPr>
          <w:rFonts w:ascii="Avenir Next" w:hAnsi="Avenir Next" w:cs="Arial"/>
          <w:color w:val="7B7B7B" w:themeColor="accent3" w:themeShade="BF"/>
          <w:sz w:val="22"/>
          <w:szCs w:val="22"/>
        </w:rPr>
        <w:t xml:space="preserve"> the US Supreme Court held that bankruptcy judges may issue final orders with parties’ consent</w:t>
      </w:r>
      <w:r w:rsidR="005E081A">
        <w:rPr>
          <w:rFonts w:ascii="Avenir Next" w:hAnsi="Avenir Next" w:cs="Arial"/>
          <w:color w:val="7B7B7B" w:themeColor="accent3" w:themeShade="BF"/>
          <w:sz w:val="22"/>
          <w:szCs w:val="22"/>
        </w:rPr>
        <w:t xml:space="preserve">. </w:t>
      </w:r>
      <w:r w:rsidR="00801300">
        <w:rPr>
          <w:rFonts w:ascii="Avenir Next" w:hAnsi="Avenir Next" w:cs="Arial"/>
          <w:color w:val="7B7B7B" w:themeColor="accent3" w:themeShade="BF"/>
          <w:sz w:val="22"/>
          <w:szCs w:val="22"/>
        </w:rPr>
        <w:t>Nowadays, the Bankruptcy Rules require from</w:t>
      </w:r>
      <w:r w:rsidR="00264754">
        <w:rPr>
          <w:rFonts w:ascii="Avenir Next" w:hAnsi="Avenir Next" w:cs="Arial"/>
          <w:color w:val="7B7B7B" w:themeColor="accent3" w:themeShade="BF"/>
          <w:sz w:val="22"/>
          <w:szCs w:val="22"/>
        </w:rPr>
        <w:t xml:space="preserve"> </w:t>
      </w:r>
      <w:r w:rsidR="00264754" w:rsidRPr="00264754">
        <w:rPr>
          <w:rFonts w:ascii="Avenir Next" w:hAnsi="Avenir Next" w:cs="Arial"/>
          <w:color w:val="7B7B7B" w:themeColor="accent3" w:themeShade="BF"/>
          <w:sz w:val="22"/>
          <w:szCs w:val="22"/>
        </w:rPr>
        <w:t>the parties to indicate in the</w:t>
      </w:r>
      <w:r w:rsidR="00264754">
        <w:rPr>
          <w:rFonts w:ascii="Avenir Next" w:hAnsi="Avenir Next" w:cs="Arial"/>
          <w:color w:val="7B7B7B" w:themeColor="accent3" w:themeShade="BF"/>
          <w:sz w:val="22"/>
          <w:szCs w:val="22"/>
        </w:rPr>
        <w:t xml:space="preserve">ir pleadings </w:t>
      </w:r>
      <w:r w:rsidR="00264754" w:rsidRPr="00264754">
        <w:rPr>
          <w:rFonts w:ascii="Avenir Next" w:hAnsi="Avenir Next" w:cs="Arial"/>
          <w:color w:val="7B7B7B" w:themeColor="accent3" w:themeShade="BF"/>
          <w:sz w:val="22"/>
          <w:szCs w:val="22"/>
        </w:rPr>
        <w:t>whether they consent to the bankruptcy court issuing a final order or judgment</w:t>
      </w:r>
      <w:r w:rsidR="00B53ADF">
        <w:rPr>
          <w:rFonts w:ascii="Avenir Next" w:hAnsi="Avenir Next" w:cs="Arial"/>
          <w:color w:val="7B7B7B" w:themeColor="accent3" w:themeShade="BF"/>
          <w:sz w:val="22"/>
          <w:szCs w:val="22"/>
        </w:rPr>
        <w:t xml:space="preserve"> (</w:t>
      </w:r>
      <w:r w:rsidR="00B53ADF">
        <w:rPr>
          <w:rFonts w:ascii="Avenir Next" w:hAnsi="Avenir Next" w:cs="Arial"/>
          <w:i/>
          <w:iCs/>
          <w:color w:val="7B7B7B" w:themeColor="accent3" w:themeShade="BF"/>
          <w:sz w:val="22"/>
          <w:szCs w:val="22"/>
        </w:rPr>
        <w:t xml:space="preserve">see </w:t>
      </w:r>
      <w:r w:rsidR="00B53ADF">
        <w:rPr>
          <w:rFonts w:ascii="Avenir Next" w:hAnsi="Avenir Next" w:cs="Arial"/>
          <w:color w:val="7B7B7B" w:themeColor="accent3" w:themeShade="BF"/>
          <w:sz w:val="22"/>
          <w:szCs w:val="22"/>
        </w:rPr>
        <w:t xml:space="preserve">Fed. R. </w:t>
      </w:r>
      <w:proofErr w:type="spellStart"/>
      <w:r w:rsidR="00B53ADF">
        <w:rPr>
          <w:rFonts w:ascii="Avenir Next" w:hAnsi="Avenir Next" w:cs="Arial"/>
          <w:color w:val="7B7B7B" w:themeColor="accent3" w:themeShade="BF"/>
          <w:sz w:val="22"/>
          <w:szCs w:val="22"/>
        </w:rPr>
        <w:t>Bankr</w:t>
      </w:r>
      <w:proofErr w:type="spellEnd"/>
      <w:r w:rsidR="00B53ADF">
        <w:rPr>
          <w:rFonts w:ascii="Avenir Next" w:hAnsi="Avenir Next" w:cs="Arial"/>
          <w:color w:val="7B7B7B" w:themeColor="accent3" w:themeShade="BF"/>
          <w:sz w:val="22"/>
          <w:szCs w:val="22"/>
        </w:rPr>
        <w:t>. P. 7008).</w:t>
      </w:r>
      <w:r w:rsidR="00465F7E">
        <w:rPr>
          <w:rFonts w:ascii="Avenir Next" w:hAnsi="Avenir Next" w:cs="Arial"/>
          <w:color w:val="7B7B7B" w:themeColor="accent3" w:themeShade="BF"/>
          <w:sz w:val="22"/>
          <w:szCs w:val="22"/>
        </w:rPr>
        <w:t xml:space="preserve"> </w:t>
      </w:r>
      <w:r w:rsidR="00EA5B9D">
        <w:rPr>
          <w:rFonts w:ascii="Avenir Next" w:hAnsi="Avenir Next" w:cs="Arial"/>
          <w:color w:val="7B7B7B" w:themeColor="accent3" w:themeShade="BF"/>
          <w:sz w:val="22"/>
          <w:szCs w:val="22"/>
        </w:rPr>
        <w:t xml:space="preserve">In addition, </w:t>
      </w:r>
      <w:r w:rsidR="00100E84">
        <w:rPr>
          <w:rFonts w:ascii="Avenir Next" w:hAnsi="Avenir Next" w:cs="Arial"/>
          <w:color w:val="7B7B7B" w:themeColor="accent3" w:themeShade="BF"/>
          <w:sz w:val="22"/>
          <w:szCs w:val="22"/>
        </w:rPr>
        <w:t>F</w:t>
      </w:r>
      <w:r w:rsidR="00465F7E">
        <w:rPr>
          <w:rFonts w:ascii="Avenir Next" w:hAnsi="Avenir Next" w:cs="Arial"/>
          <w:color w:val="7B7B7B" w:themeColor="accent3" w:themeShade="BF"/>
          <w:sz w:val="22"/>
          <w:szCs w:val="22"/>
        </w:rPr>
        <w:t>ederal Rule 8018.1 (</w:t>
      </w:r>
      <w:r w:rsidR="00465F7E">
        <w:rPr>
          <w:rFonts w:ascii="Avenir Next" w:hAnsi="Avenir Next" w:cs="Arial"/>
          <w:i/>
          <w:iCs/>
          <w:color w:val="7B7B7B" w:themeColor="accent3" w:themeShade="BF"/>
          <w:sz w:val="22"/>
          <w:szCs w:val="22"/>
        </w:rPr>
        <w:t xml:space="preserve">see </w:t>
      </w:r>
      <w:r w:rsidR="00465F7E">
        <w:rPr>
          <w:rFonts w:ascii="Avenir Next" w:hAnsi="Avenir Next" w:cs="Arial"/>
          <w:color w:val="7B7B7B" w:themeColor="accent3" w:themeShade="BF"/>
          <w:sz w:val="22"/>
          <w:szCs w:val="22"/>
        </w:rPr>
        <w:t xml:space="preserve">Fed. R. </w:t>
      </w:r>
      <w:proofErr w:type="spellStart"/>
      <w:r w:rsidR="00465F7E">
        <w:rPr>
          <w:rFonts w:ascii="Avenir Next" w:hAnsi="Avenir Next" w:cs="Arial"/>
          <w:color w:val="7B7B7B" w:themeColor="accent3" w:themeShade="BF"/>
          <w:sz w:val="22"/>
          <w:szCs w:val="22"/>
        </w:rPr>
        <w:t>Bankr</w:t>
      </w:r>
      <w:proofErr w:type="spellEnd"/>
      <w:r w:rsidR="00465F7E">
        <w:rPr>
          <w:rFonts w:ascii="Avenir Next" w:hAnsi="Avenir Next" w:cs="Arial"/>
          <w:color w:val="7B7B7B" w:themeColor="accent3" w:themeShade="BF"/>
          <w:sz w:val="22"/>
          <w:szCs w:val="22"/>
        </w:rPr>
        <w:t>. P. 8018.1) stipulates that “</w:t>
      </w:r>
      <w:r w:rsidR="00C57451">
        <w:rPr>
          <w:rFonts w:ascii="Avenir Next" w:hAnsi="Avenir Next" w:cs="Arial"/>
          <w:color w:val="7B7B7B" w:themeColor="accent3" w:themeShade="BF"/>
          <w:sz w:val="22"/>
          <w:szCs w:val="22"/>
        </w:rPr>
        <w:t>[</w:t>
      </w:r>
      <w:proofErr w:type="spellStart"/>
      <w:r w:rsidR="00C57451">
        <w:rPr>
          <w:rFonts w:ascii="Avenir Next" w:hAnsi="Avenir Next" w:cs="Arial"/>
          <w:color w:val="7B7B7B" w:themeColor="accent3" w:themeShade="BF"/>
          <w:sz w:val="22"/>
          <w:szCs w:val="22"/>
        </w:rPr>
        <w:t>i</w:t>
      </w:r>
      <w:proofErr w:type="spellEnd"/>
      <w:r w:rsidR="00C57451">
        <w:rPr>
          <w:rFonts w:ascii="Avenir Next" w:hAnsi="Avenir Next" w:cs="Arial"/>
          <w:color w:val="7B7B7B" w:themeColor="accent3" w:themeShade="BF"/>
          <w:sz w:val="22"/>
          <w:szCs w:val="22"/>
        </w:rPr>
        <w:t>]</w:t>
      </w:r>
      <w:r w:rsidR="00465F7E" w:rsidRPr="00465F7E">
        <w:rPr>
          <w:rFonts w:ascii="Avenir Next" w:hAnsi="Avenir Next" w:cs="Arial"/>
          <w:color w:val="7B7B7B" w:themeColor="accent3" w:themeShade="BF"/>
          <w:sz w:val="22"/>
          <w:szCs w:val="22"/>
        </w:rPr>
        <w:t>f on appeal, a district court determines that the bankruptcy court did not have the power under Article III of the Constitution to enter the judgment, order, or decree appealed from, the district court may treat it as a proposed findings of fact and conclusions of law</w:t>
      </w:r>
      <w:r w:rsidR="00465F7E">
        <w:rPr>
          <w:rFonts w:ascii="Avenir Next" w:hAnsi="Avenir Next" w:cs="Arial"/>
          <w:color w:val="7B7B7B" w:themeColor="accent3" w:themeShade="BF"/>
          <w:sz w:val="22"/>
          <w:szCs w:val="22"/>
        </w:rPr>
        <w:t>”.</w:t>
      </w:r>
    </w:p>
    <w:p w14:paraId="6E5DC642" w14:textId="3F42F498" w:rsidR="00B85B52" w:rsidRDefault="00B85B52" w:rsidP="008522B9">
      <w:pPr>
        <w:jc w:val="both"/>
        <w:rPr>
          <w:rFonts w:ascii="Avenir Next" w:hAnsi="Avenir Next" w:cs="Arial"/>
          <w:color w:val="7B7B7B" w:themeColor="accent3" w:themeShade="BF"/>
          <w:sz w:val="22"/>
          <w:szCs w:val="22"/>
          <w:lang w:val="en-GB"/>
        </w:rPr>
      </w:pPr>
    </w:p>
    <w:p w14:paraId="05C6B9AD" w14:textId="1664B493" w:rsidR="004043FA" w:rsidRPr="00A16ADE" w:rsidRDefault="00684D49" w:rsidP="008522B9">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lang w:val="en-GB"/>
        </w:rPr>
        <w:t xml:space="preserve">The district court hears appeals from bankruptcy court orders. </w:t>
      </w:r>
      <w:r w:rsidR="009336A1">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pecific circuits</w:t>
      </w:r>
      <w:r w:rsidR="009336A1">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however, </w:t>
      </w:r>
      <w:r w:rsidR="009336A1">
        <w:rPr>
          <w:rFonts w:ascii="Avenir Next" w:hAnsi="Avenir Next" w:cs="Arial"/>
          <w:color w:val="7B7B7B" w:themeColor="accent3" w:themeShade="BF"/>
          <w:sz w:val="22"/>
          <w:szCs w:val="22"/>
          <w:lang w:val="en-GB"/>
        </w:rPr>
        <w:t>(namely the First, Sixth, Eigh</w:t>
      </w:r>
      <w:r w:rsidR="00A22D64">
        <w:rPr>
          <w:rFonts w:ascii="Avenir Next" w:hAnsi="Avenir Next" w:cs="Arial"/>
          <w:color w:val="7B7B7B" w:themeColor="accent3" w:themeShade="BF"/>
          <w:sz w:val="22"/>
          <w:szCs w:val="22"/>
          <w:lang w:val="en-GB"/>
        </w:rPr>
        <w:t>th</w:t>
      </w:r>
      <w:r w:rsidR="009336A1">
        <w:rPr>
          <w:rFonts w:ascii="Avenir Next" w:hAnsi="Avenir Next" w:cs="Arial"/>
          <w:color w:val="7B7B7B" w:themeColor="accent3" w:themeShade="BF"/>
          <w:sz w:val="22"/>
          <w:szCs w:val="22"/>
          <w:lang w:val="en-GB"/>
        </w:rPr>
        <w:t>, N</w:t>
      </w:r>
      <w:r w:rsidR="00A22D64">
        <w:rPr>
          <w:rFonts w:ascii="Avenir Next" w:hAnsi="Avenir Next" w:cs="Arial"/>
          <w:color w:val="7B7B7B" w:themeColor="accent3" w:themeShade="BF"/>
          <w:sz w:val="22"/>
          <w:szCs w:val="22"/>
          <w:lang w:val="en-GB"/>
        </w:rPr>
        <w:t>in</w:t>
      </w:r>
      <w:r w:rsidR="009336A1">
        <w:rPr>
          <w:rFonts w:ascii="Avenir Next" w:hAnsi="Avenir Next" w:cs="Arial"/>
          <w:color w:val="7B7B7B" w:themeColor="accent3" w:themeShade="BF"/>
          <w:sz w:val="22"/>
          <w:szCs w:val="22"/>
          <w:lang w:val="en-GB"/>
        </w:rPr>
        <w:t xml:space="preserve">th and Tenth) </w:t>
      </w:r>
      <w:r>
        <w:rPr>
          <w:rFonts w:ascii="Avenir Next" w:hAnsi="Avenir Next" w:cs="Arial"/>
          <w:color w:val="7B7B7B" w:themeColor="accent3" w:themeShade="BF"/>
          <w:sz w:val="22"/>
          <w:szCs w:val="22"/>
          <w:lang w:val="en-GB"/>
        </w:rPr>
        <w:t>have chosen</w:t>
      </w:r>
      <w:r w:rsidR="005843FE">
        <w:rPr>
          <w:rFonts w:ascii="Avenir Next" w:hAnsi="Avenir Next" w:cs="Arial"/>
          <w:color w:val="7B7B7B" w:themeColor="accent3" w:themeShade="BF"/>
          <w:sz w:val="22"/>
          <w:szCs w:val="22"/>
          <w:lang w:val="en-GB"/>
        </w:rPr>
        <w:t xml:space="preserve"> (</w:t>
      </w:r>
      <w:r w:rsidR="00283FC2">
        <w:rPr>
          <w:rFonts w:ascii="Avenir Next" w:hAnsi="Avenir Next" w:cs="Arial"/>
          <w:i/>
          <w:iCs/>
          <w:color w:val="7B7B7B" w:themeColor="accent3" w:themeShade="BF"/>
          <w:sz w:val="22"/>
          <w:szCs w:val="22"/>
          <w:lang w:val="en-GB"/>
        </w:rPr>
        <w:t>see</w:t>
      </w:r>
      <w:r>
        <w:rPr>
          <w:rFonts w:ascii="Avenir Next" w:hAnsi="Avenir Next" w:cs="Arial"/>
          <w:color w:val="7B7B7B" w:themeColor="accent3" w:themeShade="BF"/>
          <w:sz w:val="22"/>
          <w:szCs w:val="22"/>
          <w:lang w:val="en-GB"/>
        </w:rPr>
        <w:t xml:space="preserve"> 28 USC, </w:t>
      </w:r>
      <w:r w:rsidRPr="00684D49">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rPr>
        <w:t>158</w:t>
      </w:r>
      <w:r w:rsidR="00A22D64">
        <w:rPr>
          <w:rFonts w:ascii="Avenir Next" w:hAnsi="Avenir Next" w:cs="Arial"/>
          <w:color w:val="7B7B7B" w:themeColor="accent3" w:themeShade="BF"/>
          <w:sz w:val="22"/>
          <w:szCs w:val="22"/>
        </w:rPr>
        <w:t>(d)</w:t>
      </w:r>
      <w:r w:rsidR="005843FE">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rPr>
        <w:t xml:space="preserve"> to </w:t>
      </w:r>
      <w:r w:rsidR="00A669B3">
        <w:rPr>
          <w:rFonts w:ascii="Avenir Next" w:hAnsi="Avenir Next" w:cs="Arial"/>
          <w:color w:val="7B7B7B" w:themeColor="accent3" w:themeShade="BF"/>
          <w:sz w:val="22"/>
          <w:szCs w:val="22"/>
        </w:rPr>
        <w:t>develop</w:t>
      </w:r>
      <w:r>
        <w:rPr>
          <w:rFonts w:ascii="Avenir Next" w:hAnsi="Avenir Next" w:cs="Arial"/>
          <w:color w:val="7B7B7B" w:themeColor="accent3" w:themeShade="BF"/>
          <w:sz w:val="22"/>
          <w:szCs w:val="22"/>
        </w:rPr>
        <w:t xml:space="preserve"> Bankr</w:t>
      </w:r>
      <w:r w:rsidR="00A22D64">
        <w:rPr>
          <w:rFonts w:ascii="Avenir Next" w:hAnsi="Avenir Next" w:cs="Arial"/>
          <w:color w:val="7B7B7B" w:themeColor="accent3" w:themeShade="BF"/>
          <w:sz w:val="22"/>
          <w:szCs w:val="22"/>
        </w:rPr>
        <w:t>u</w:t>
      </w:r>
      <w:r>
        <w:rPr>
          <w:rFonts w:ascii="Avenir Next" w:hAnsi="Avenir Next" w:cs="Arial"/>
          <w:color w:val="7B7B7B" w:themeColor="accent3" w:themeShade="BF"/>
          <w:sz w:val="22"/>
          <w:szCs w:val="22"/>
        </w:rPr>
        <w:t>ptcy Appellate Panels</w:t>
      </w:r>
      <w:r w:rsidR="00A811A1">
        <w:rPr>
          <w:rFonts w:ascii="Avenir Next" w:hAnsi="Avenir Next" w:cs="Arial"/>
          <w:color w:val="7B7B7B" w:themeColor="accent3" w:themeShade="BF"/>
          <w:sz w:val="22"/>
          <w:szCs w:val="22"/>
        </w:rPr>
        <w:t xml:space="preserve"> (BAPs)</w:t>
      </w:r>
      <w:r>
        <w:rPr>
          <w:rFonts w:ascii="Avenir Next" w:hAnsi="Avenir Next" w:cs="Arial"/>
          <w:color w:val="7B7B7B" w:themeColor="accent3" w:themeShade="BF"/>
          <w:sz w:val="22"/>
          <w:szCs w:val="22"/>
        </w:rPr>
        <w:t xml:space="preserve">. </w:t>
      </w:r>
      <w:r w:rsidR="00FC7A1B">
        <w:rPr>
          <w:rFonts w:ascii="Avenir Next" w:hAnsi="Avenir Next" w:cs="Arial"/>
          <w:color w:val="7B7B7B" w:themeColor="accent3" w:themeShade="BF"/>
          <w:sz w:val="22"/>
          <w:szCs w:val="22"/>
        </w:rPr>
        <w:t>Th</w:t>
      </w:r>
      <w:r w:rsidR="004E30E2">
        <w:rPr>
          <w:rFonts w:ascii="Avenir Next" w:hAnsi="Avenir Next" w:cs="Arial"/>
          <w:color w:val="7B7B7B" w:themeColor="accent3" w:themeShade="BF"/>
          <w:sz w:val="22"/>
          <w:szCs w:val="22"/>
        </w:rPr>
        <w:t>e</w:t>
      </w:r>
      <w:r w:rsidR="00FC7A1B">
        <w:rPr>
          <w:rFonts w:ascii="Avenir Next" w:hAnsi="Avenir Next" w:cs="Arial"/>
          <w:color w:val="7B7B7B" w:themeColor="accent3" w:themeShade="BF"/>
          <w:sz w:val="22"/>
          <w:szCs w:val="22"/>
        </w:rPr>
        <w:t>se BAPs</w:t>
      </w:r>
      <w:r w:rsidR="00AB1DFA">
        <w:rPr>
          <w:rFonts w:ascii="Avenir Next" w:hAnsi="Avenir Next" w:cs="Arial"/>
          <w:color w:val="7B7B7B" w:themeColor="accent3" w:themeShade="BF"/>
          <w:sz w:val="22"/>
          <w:szCs w:val="22"/>
        </w:rPr>
        <w:t>,</w:t>
      </w:r>
      <w:r w:rsidR="004E30E2">
        <w:rPr>
          <w:rFonts w:ascii="Avenir Next" w:hAnsi="Avenir Next" w:cs="Arial"/>
          <w:color w:val="7B7B7B" w:themeColor="accent3" w:themeShade="BF"/>
          <w:sz w:val="22"/>
          <w:szCs w:val="22"/>
        </w:rPr>
        <w:t xml:space="preserve"> whose </w:t>
      </w:r>
      <w:r w:rsidR="00AB1DFA">
        <w:rPr>
          <w:rFonts w:ascii="Avenir Next" w:hAnsi="Avenir Next" w:cs="Arial"/>
          <w:color w:val="7B7B7B" w:themeColor="accent3" w:themeShade="BF"/>
          <w:sz w:val="22"/>
          <w:szCs w:val="22"/>
        </w:rPr>
        <w:t>composition</w:t>
      </w:r>
      <w:r w:rsidR="004E30E2">
        <w:rPr>
          <w:rFonts w:ascii="Avenir Next" w:hAnsi="Avenir Next" w:cs="Arial"/>
          <w:color w:val="7B7B7B" w:themeColor="accent3" w:themeShade="BF"/>
          <w:sz w:val="22"/>
          <w:szCs w:val="22"/>
        </w:rPr>
        <w:t xml:space="preserve"> is established </w:t>
      </w:r>
      <w:r w:rsidR="00AB1DFA">
        <w:rPr>
          <w:rFonts w:ascii="Avenir Next" w:hAnsi="Avenir Next" w:cs="Arial"/>
          <w:color w:val="7B7B7B" w:themeColor="accent3" w:themeShade="BF"/>
          <w:sz w:val="22"/>
          <w:szCs w:val="22"/>
        </w:rPr>
        <w:t>by</w:t>
      </w:r>
      <w:r w:rsidR="004E30E2">
        <w:rPr>
          <w:rFonts w:ascii="Avenir Next" w:hAnsi="Avenir Next" w:cs="Arial"/>
          <w:color w:val="7B7B7B" w:themeColor="accent3" w:themeShade="BF"/>
          <w:sz w:val="22"/>
          <w:szCs w:val="22"/>
        </w:rPr>
        <w:t xml:space="preserve"> the circuit’s judges of the bankruptcy courts</w:t>
      </w:r>
      <w:r w:rsidR="00AB1DFA">
        <w:rPr>
          <w:rFonts w:ascii="Avenir Next" w:hAnsi="Avenir Next" w:cs="Arial"/>
          <w:color w:val="7B7B7B" w:themeColor="accent3" w:themeShade="BF"/>
          <w:sz w:val="22"/>
          <w:szCs w:val="22"/>
        </w:rPr>
        <w:t>,</w:t>
      </w:r>
      <w:r w:rsidR="004E30E2">
        <w:rPr>
          <w:rFonts w:ascii="Avenir Next" w:hAnsi="Avenir Next" w:cs="Arial"/>
          <w:color w:val="7B7B7B" w:themeColor="accent3" w:themeShade="BF"/>
          <w:sz w:val="22"/>
          <w:szCs w:val="22"/>
        </w:rPr>
        <w:t xml:space="preserve"> </w:t>
      </w:r>
      <w:r w:rsidR="00BD460E">
        <w:rPr>
          <w:rFonts w:ascii="Avenir Next" w:hAnsi="Avenir Next" w:cs="Arial"/>
          <w:color w:val="7B7B7B" w:themeColor="accent3" w:themeShade="BF"/>
          <w:sz w:val="22"/>
          <w:szCs w:val="22"/>
        </w:rPr>
        <w:t>deal with</w:t>
      </w:r>
      <w:r w:rsidR="00FC7A1B">
        <w:rPr>
          <w:rFonts w:ascii="Avenir Next" w:hAnsi="Avenir Next" w:cs="Arial"/>
          <w:color w:val="7B7B7B" w:themeColor="accent3" w:themeShade="BF"/>
          <w:sz w:val="22"/>
          <w:szCs w:val="22"/>
        </w:rPr>
        <w:t xml:space="preserve"> bankruptcy appeals. </w:t>
      </w:r>
      <w:r w:rsidR="00247412">
        <w:rPr>
          <w:rFonts w:ascii="Avenir Next" w:hAnsi="Avenir Next" w:cs="Arial"/>
          <w:color w:val="7B7B7B" w:themeColor="accent3" w:themeShade="BF"/>
          <w:sz w:val="22"/>
          <w:szCs w:val="22"/>
        </w:rPr>
        <w:t xml:space="preserve">Nevertheless, </w:t>
      </w:r>
      <w:r w:rsidR="00AB1DFA">
        <w:rPr>
          <w:rFonts w:ascii="Avenir Next" w:hAnsi="Avenir Next" w:cs="Arial"/>
          <w:color w:val="7B7B7B" w:themeColor="accent3" w:themeShade="BF"/>
          <w:sz w:val="22"/>
          <w:szCs w:val="22"/>
        </w:rPr>
        <w:t>in</w:t>
      </w:r>
      <w:r w:rsidR="00B72B81">
        <w:rPr>
          <w:rFonts w:ascii="Avenir Next" w:hAnsi="Avenir Next" w:cs="Arial"/>
          <w:color w:val="7B7B7B" w:themeColor="accent3" w:themeShade="BF"/>
          <w:sz w:val="22"/>
          <w:szCs w:val="22"/>
        </w:rPr>
        <w:t xml:space="preserve"> those circuits, a party may request </w:t>
      </w:r>
      <w:r w:rsidR="00702823">
        <w:rPr>
          <w:rFonts w:ascii="Avenir Next" w:hAnsi="Avenir Next" w:cs="Arial"/>
          <w:color w:val="7B7B7B" w:themeColor="accent3" w:themeShade="BF"/>
          <w:sz w:val="22"/>
          <w:szCs w:val="22"/>
        </w:rPr>
        <w:t xml:space="preserve">that </w:t>
      </w:r>
      <w:r w:rsidR="00BD460E">
        <w:rPr>
          <w:rFonts w:ascii="Avenir Next" w:hAnsi="Avenir Next" w:cs="Arial"/>
          <w:color w:val="7B7B7B" w:themeColor="accent3" w:themeShade="BF"/>
          <w:sz w:val="22"/>
          <w:szCs w:val="22"/>
        </w:rPr>
        <w:t xml:space="preserve">the district court hears </w:t>
      </w:r>
      <w:r w:rsidR="00DC7074">
        <w:rPr>
          <w:rFonts w:ascii="Avenir Next" w:hAnsi="Avenir Next" w:cs="Arial"/>
          <w:color w:val="7B7B7B" w:themeColor="accent3" w:themeShade="BF"/>
          <w:sz w:val="22"/>
          <w:szCs w:val="22"/>
        </w:rPr>
        <w:t>the appeal</w:t>
      </w:r>
      <w:r w:rsidR="00247412">
        <w:rPr>
          <w:rFonts w:ascii="Avenir Next" w:hAnsi="Avenir Next" w:cs="Arial"/>
          <w:color w:val="7B7B7B" w:themeColor="accent3" w:themeShade="BF"/>
          <w:sz w:val="22"/>
          <w:szCs w:val="22"/>
        </w:rPr>
        <w:t xml:space="preserve">. </w:t>
      </w:r>
      <w:r w:rsidR="00A806EF">
        <w:rPr>
          <w:rFonts w:ascii="Avenir Next" w:hAnsi="Avenir Next" w:cs="Arial"/>
          <w:color w:val="7B7B7B" w:themeColor="accent3" w:themeShade="BF"/>
          <w:sz w:val="22"/>
          <w:szCs w:val="22"/>
        </w:rPr>
        <w:t xml:space="preserve">Orders from a district court or BAP may be heard by the appeal circuit court. It is </w:t>
      </w:r>
      <w:r w:rsidR="00A669B3">
        <w:rPr>
          <w:rFonts w:ascii="Avenir Next" w:hAnsi="Avenir Next" w:cs="Arial"/>
          <w:color w:val="7B7B7B" w:themeColor="accent3" w:themeShade="BF"/>
          <w:sz w:val="22"/>
          <w:szCs w:val="22"/>
        </w:rPr>
        <w:t xml:space="preserve">also </w:t>
      </w:r>
      <w:r w:rsidR="00A806EF">
        <w:rPr>
          <w:rFonts w:ascii="Avenir Next" w:hAnsi="Avenir Next" w:cs="Arial"/>
          <w:color w:val="7B7B7B" w:themeColor="accent3" w:themeShade="BF"/>
          <w:sz w:val="22"/>
          <w:szCs w:val="22"/>
        </w:rPr>
        <w:t>possible that an appeal fro</w:t>
      </w:r>
      <w:r w:rsidR="00A22D64">
        <w:rPr>
          <w:rFonts w:ascii="Avenir Next" w:hAnsi="Avenir Next" w:cs="Arial"/>
          <w:color w:val="7B7B7B" w:themeColor="accent3" w:themeShade="BF"/>
          <w:sz w:val="22"/>
          <w:szCs w:val="22"/>
        </w:rPr>
        <w:t>m</w:t>
      </w:r>
      <w:r w:rsidR="00A806EF">
        <w:rPr>
          <w:rFonts w:ascii="Avenir Next" w:hAnsi="Avenir Next" w:cs="Arial"/>
          <w:color w:val="7B7B7B" w:themeColor="accent3" w:themeShade="BF"/>
          <w:sz w:val="22"/>
          <w:szCs w:val="22"/>
        </w:rPr>
        <w:t xml:space="preserve"> a bankruptcy </w:t>
      </w:r>
      <w:r w:rsidR="00A22D64">
        <w:rPr>
          <w:rFonts w:ascii="Avenir Next" w:hAnsi="Avenir Next" w:cs="Arial"/>
          <w:color w:val="7B7B7B" w:themeColor="accent3" w:themeShade="BF"/>
          <w:sz w:val="22"/>
          <w:szCs w:val="22"/>
        </w:rPr>
        <w:t>c</w:t>
      </w:r>
      <w:r w:rsidR="00A806EF">
        <w:rPr>
          <w:rFonts w:ascii="Avenir Next" w:hAnsi="Avenir Next" w:cs="Arial"/>
          <w:color w:val="7B7B7B" w:themeColor="accent3" w:themeShade="BF"/>
          <w:sz w:val="22"/>
          <w:szCs w:val="22"/>
        </w:rPr>
        <w:t xml:space="preserve">ourt reaches directly the appeal court. </w:t>
      </w:r>
      <w:r w:rsidR="008522B9">
        <w:rPr>
          <w:rFonts w:ascii="Avenir Next" w:hAnsi="Avenir Next" w:cs="Arial"/>
          <w:color w:val="7B7B7B" w:themeColor="accent3" w:themeShade="BF"/>
          <w:sz w:val="22"/>
          <w:szCs w:val="22"/>
        </w:rPr>
        <w:t xml:space="preserve">The </w:t>
      </w:r>
      <w:r w:rsidR="00020A7C">
        <w:rPr>
          <w:rFonts w:ascii="Avenir Next" w:hAnsi="Avenir Next" w:cs="Arial"/>
          <w:color w:val="7B7B7B" w:themeColor="accent3" w:themeShade="BF"/>
          <w:sz w:val="22"/>
          <w:szCs w:val="22"/>
        </w:rPr>
        <w:t xml:space="preserve">district court </w:t>
      </w:r>
      <w:r w:rsidR="008522B9">
        <w:rPr>
          <w:rFonts w:ascii="Avenir Next" w:hAnsi="Avenir Next" w:cs="Arial"/>
          <w:color w:val="7B7B7B" w:themeColor="accent3" w:themeShade="BF"/>
          <w:sz w:val="22"/>
          <w:szCs w:val="22"/>
        </w:rPr>
        <w:t>o</w:t>
      </w:r>
      <w:r w:rsidR="00020A7C">
        <w:rPr>
          <w:rFonts w:ascii="Avenir Next" w:hAnsi="Avenir Next" w:cs="Arial"/>
          <w:color w:val="7B7B7B" w:themeColor="accent3" w:themeShade="BF"/>
          <w:sz w:val="22"/>
          <w:szCs w:val="22"/>
        </w:rPr>
        <w:t>r</w:t>
      </w:r>
      <w:r w:rsidR="008522B9">
        <w:rPr>
          <w:rFonts w:ascii="Avenir Next" w:hAnsi="Avenir Next" w:cs="Arial"/>
          <w:color w:val="7B7B7B" w:themeColor="accent3" w:themeShade="BF"/>
          <w:sz w:val="22"/>
          <w:szCs w:val="22"/>
        </w:rPr>
        <w:t xml:space="preserve"> </w:t>
      </w:r>
      <w:r w:rsidR="00020A7C">
        <w:rPr>
          <w:rFonts w:ascii="Avenir Next" w:hAnsi="Avenir Next" w:cs="Arial"/>
          <w:color w:val="7B7B7B" w:themeColor="accent3" w:themeShade="BF"/>
          <w:sz w:val="22"/>
          <w:szCs w:val="22"/>
        </w:rPr>
        <w:t xml:space="preserve">bankruptcy court </w:t>
      </w:r>
      <w:r w:rsidR="008522B9">
        <w:rPr>
          <w:rFonts w:ascii="Avenir Next" w:hAnsi="Avenir Next" w:cs="Arial"/>
          <w:color w:val="7B7B7B" w:themeColor="accent3" w:themeShade="BF"/>
          <w:sz w:val="22"/>
          <w:szCs w:val="22"/>
        </w:rPr>
        <w:t>should certify that “</w:t>
      </w:r>
      <w:proofErr w:type="spellStart"/>
      <w:r w:rsidR="008522B9" w:rsidRPr="008522B9">
        <w:rPr>
          <w:rFonts w:ascii="Avenir Next" w:hAnsi="Avenir Next" w:cs="Arial"/>
          <w:color w:val="7B7B7B" w:themeColor="accent3" w:themeShade="BF"/>
          <w:sz w:val="22"/>
          <w:szCs w:val="22"/>
        </w:rPr>
        <w:t>i</w:t>
      </w:r>
      <w:proofErr w:type="spellEnd"/>
      <w:r w:rsidR="008522B9" w:rsidRPr="008522B9">
        <w:rPr>
          <w:rFonts w:ascii="Avenir Next" w:hAnsi="Avenir Next" w:cs="Arial"/>
          <w:color w:val="7B7B7B" w:themeColor="accent3" w:themeShade="BF"/>
          <w:sz w:val="22"/>
          <w:szCs w:val="22"/>
        </w:rPr>
        <w:t>)</w:t>
      </w:r>
      <w:r w:rsidR="00A16ADE">
        <w:rPr>
          <w:rFonts w:ascii="Avenir Next" w:hAnsi="Avenir Next" w:cs="Arial"/>
          <w:color w:val="7B7B7B" w:themeColor="accent3" w:themeShade="BF"/>
          <w:sz w:val="22"/>
          <w:szCs w:val="22"/>
        </w:rPr>
        <w:t xml:space="preserve"> </w:t>
      </w:r>
      <w:r w:rsidR="008522B9" w:rsidRPr="008522B9">
        <w:rPr>
          <w:rFonts w:ascii="Avenir Next" w:hAnsi="Avenir Next" w:cs="Arial"/>
          <w:color w:val="7B7B7B" w:themeColor="accent3" w:themeShade="BF"/>
          <w:sz w:val="22"/>
          <w:szCs w:val="22"/>
        </w:rPr>
        <w:t>the judgment, order, or decree involves a question of law as to which there is no controlling decision of the court of appeals for the circuit or of the Supreme Court of the United States, or involves a matter of public importance;</w:t>
      </w:r>
      <w:r w:rsidR="00A22D64">
        <w:rPr>
          <w:rFonts w:ascii="Avenir Next" w:hAnsi="Avenir Next" w:cs="Arial"/>
          <w:color w:val="7B7B7B" w:themeColor="accent3" w:themeShade="BF"/>
          <w:sz w:val="22"/>
          <w:szCs w:val="22"/>
        </w:rPr>
        <w:t xml:space="preserve"> </w:t>
      </w:r>
      <w:r w:rsidR="008522B9" w:rsidRPr="008522B9">
        <w:rPr>
          <w:rFonts w:ascii="Avenir Next" w:hAnsi="Avenir Next" w:cs="Arial"/>
          <w:color w:val="7B7B7B" w:themeColor="accent3" w:themeShade="BF"/>
          <w:sz w:val="22"/>
          <w:szCs w:val="22"/>
        </w:rPr>
        <w:t>(ii)</w:t>
      </w:r>
      <w:r w:rsidR="00A16ADE">
        <w:rPr>
          <w:rFonts w:ascii="Avenir Next" w:hAnsi="Avenir Next" w:cs="Arial"/>
          <w:color w:val="7B7B7B" w:themeColor="accent3" w:themeShade="BF"/>
          <w:sz w:val="22"/>
          <w:szCs w:val="22"/>
        </w:rPr>
        <w:t xml:space="preserve"> </w:t>
      </w:r>
      <w:r w:rsidR="008522B9" w:rsidRPr="008522B9">
        <w:rPr>
          <w:rFonts w:ascii="Avenir Next" w:hAnsi="Avenir Next" w:cs="Arial"/>
          <w:color w:val="7B7B7B" w:themeColor="accent3" w:themeShade="BF"/>
          <w:sz w:val="22"/>
          <w:szCs w:val="22"/>
        </w:rPr>
        <w:t>the judgment, order, or decree involves a question of law requiring resolution of conflicting decisions; or</w:t>
      </w:r>
      <w:r w:rsidR="00A16ADE">
        <w:rPr>
          <w:rFonts w:ascii="Avenir Next" w:hAnsi="Avenir Next" w:cs="Arial"/>
          <w:color w:val="7B7B7B" w:themeColor="accent3" w:themeShade="BF"/>
          <w:sz w:val="22"/>
          <w:szCs w:val="22"/>
        </w:rPr>
        <w:t xml:space="preserve"> </w:t>
      </w:r>
      <w:r w:rsidR="008522B9" w:rsidRPr="008522B9">
        <w:rPr>
          <w:rFonts w:ascii="Avenir Next" w:hAnsi="Avenir Next" w:cs="Arial"/>
          <w:color w:val="7B7B7B" w:themeColor="accent3" w:themeShade="BF"/>
          <w:sz w:val="22"/>
          <w:szCs w:val="22"/>
        </w:rPr>
        <w:t>(iii)</w:t>
      </w:r>
      <w:r w:rsidR="00A16ADE">
        <w:rPr>
          <w:rFonts w:ascii="Avenir Next" w:hAnsi="Avenir Next" w:cs="Arial"/>
          <w:color w:val="7B7B7B" w:themeColor="accent3" w:themeShade="BF"/>
          <w:sz w:val="22"/>
          <w:szCs w:val="22"/>
        </w:rPr>
        <w:t xml:space="preserve"> </w:t>
      </w:r>
      <w:r w:rsidR="008522B9" w:rsidRPr="008522B9">
        <w:rPr>
          <w:rFonts w:ascii="Avenir Next" w:hAnsi="Avenir Next" w:cs="Arial"/>
          <w:color w:val="7B7B7B" w:themeColor="accent3" w:themeShade="BF"/>
          <w:sz w:val="22"/>
          <w:szCs w:val="22"/>
        </w:rPr>
        <w:t>an immediate appeal from the judgment, order, or decree may materially advance the progress of the case or proceeding in which the appeal is taken</w:t>
      </w:r>
      <w:r w:rsidR="008522B9">
        <w:rPr>
          <w:rFonts w:ascii="Avenir Next" w:hAnsi="Avenir Next" w:cs="Arial"/>
          <w:color w:val="7B7B7B" w:themeColor="accent3" w:themeShade="BF"/>
          <w:sz w:val="22"/>
          <w:szCs w:val="22"/>
        </w:rPr>
        <w:t>” (</w:t>
      </w:r>
      <w:r w:rsidR="008522B9">
        <w:rPr>
          <w:rFonts w:ascii="Avenir Next" w:hAnsi="Avenir Next" w:cs="Arial"/>
          <w:i/>
          <w:iCs/>
          <w:color w:val="7B7B7B" w:themeColor="accent3" w:themeShade="BF"/>
          <w:sz w:val="22"/>
          <w:szCs w:val="22"/>
        </w:rPr>
        <w:t>see</w:t>
      </w:r>
      <w:r w:rsidR="008522B9">
        <w:rPr>
          <w:rFonts w:ascii="Avenir Next" w:hAnsi="Avenir Next" w:cs="Arial"/>
          <w:color w:val="7B7B7B" w:themeColor="accent3" w:themeShade="BF"/>
          <w:sz w:val="22"/>
          <w:szCs w:val="22"/>
        </w:rPr>
        <w:t xml:space="preserve"> 28 USC, </w:t>
      </w:r>
      <w:r w:rsidR="008522B9" w:rsidRPr="008522B9">
        <w:rPr>
          <w:rFonts w:ascii="Avenir Next" w:hAnsi="Avenir Next" w:cs="Arial"/>
          <w:color w:val="7B7B7B" w:themeColor="accent3" w:themeShade="BF"/>
          <w:sz w:val="22"/>
          <w:szCs w:val="22"/>
        </w:rPr>
        <w:t>§</w:t>
      </w:r>
      <w:r w:rsidR="008522B9">
        <w:rPr>
          <w:rFonts w:ascii="Avenir Next" w:hAnsi="Avenir Next" w:cs="Arial"/>
          <w:color w:val="7B7B7B" w:themeColor="accent3" w:themeShade="BF"/>
          <w:sz w:val="22"/>
          <w:szCs w:val="22"/>
        </w:rPr>
        <w:t xml:space="preserve"> 158</w:t>
      </w:r>
      <w:r w:rsidR="00A16ADE">
        <w:rPr>
          <w:rFonts w:ascii="Avenir Next" w:hAnsi="Avenir Next" w:cs="Arial"/>
          <w:color w:val="7B7B7B" w:themeColor="accent3" w:themeShade="BF"/>
          <w:sz w:val="22"/>
          <w:szCs w:val="22"/>
        </w:rPr>
        <w:t xml:space="preserve">(d)). The court of appeals may or may not authorize the direct appeal of </w:t>
      </w:r>
      <w:r w:rsidR="00043BAF">
        <w:rPr>
          <w:rFonts w:ascii="Avenir Next" w:hAnsi="Avenir Next" w:cs="Arial"/>
          <w:color w:val="7B7B7B" w:themeColor="accent3" w:themeShade="BF"/>
          <w:sz w:val="22"/>
          <w:szCs w:val="22"/>
        </w:rPr>
        <w:t>a case so certified.</w:t>
      </w:r>
    </w:p>
    <w:p w14:paraId="5B1F77D1" w14:textId="77777777" w:rsidR="009336A1" w:rsidRPr="00684D49" w:rsidRDefault="009336A1" w:rsidP="00E41578">
      <w:pPr>
        <w:jc w:val="both"/>
        <w:rPr>
          <w:rFonts w:ascii="Avenir Next" w:hAnsi="Avenir Next" w:cs="Arial"/>
          <w:color w:val="7B7B7B" w:themeColor="accent3" w:themeShade="BF"/>
          <w:sz w:val="22"/>
          <w:szCs w:val="22"/>
        </w:rPr>
      </w:pPr>
    </w:p>
    <w:p w14:paraId="0F2F0A99" w14:textId="30EAF475" w:rsidR="00E41578" w:rsidRPr="00E41578" w:rsidRDefault="003D7B3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With respect to t</w:t>
      </w:r>
      <w:r w:rsidR="00D14135">
        <w:rPr>
          <w:rFonts w:ascii="Avenir Next" w:hAnsi="Avenir Next" w:cs="Arial"/>
          <w:color w:val="7B7B7B" w:themeColor="accent3" w:themeShade="BF"/>
          <w:sz w:val="22"/>
          <w:szCs w:val="22"/>
          <w:lang w:val="en-GB"/>
        </w:rPr>
        <w:t>he standard of review for n</w:t>
      </w:r>
      <w:r w:rsidR="006B7798">
        <w:rPr>
          <w:rFonts w:ascii="Avenir Next" w:hAnsi="Avenir Next" w:cs="Arial"/>
          <w:color w:val="7B7B7B" w:themeColor="accent3" w:themeShade="BF"/>
          <w:sz w:val="22"/>
          <w:szCs w:val="22"/>
          <w:lang w:val="en-GB"/>
        </w:rPr>
        <w:t>on-final orders</w:t>
      </w:r>
      <w:r>
        <w:rPr>
          <w:rFonts w:ascii="Avenir Next" w:hAnsi="Avenir Next" w:cs="Arial"/>
          <w:color w:val="7B7B7B" w:themeColor="accent3" w:themeShade="BF"/>
          <w:sz w:val="22"/>
          <w:szCs w:val="22"/>
          <w:lang w:val="en-GB"/>
        </w:rPr>
        <w:t>, the ruling may be linked to noncore proceedings or simply the lack of authority of a bankruptcy court</w:t>
      </w:r>
      <w:r w:rsidR="00861C37">
        <w:rPr>
          <w:rFonts w:ascii="Avenir Next" w:hAnsi="Avenir Next" w:cs="Arial"/>
          <w:color w:val="7B7B7B" w:themeColor="accent3" w:themeShade="BF"/>
          <w:sz w:val="22"/>
          <w:szCs w:val="22"/>
          <w:lang w:val="en-GB"/>
        </w:rPr>
        <w:t xml:space="preserve"> to enter a final order. </w:t>
      </w:r>
      <w:r w:rsidR="00746543">
        <w:rPr>
          <w:rFonts w:ascii="Avenir Next" w:hAnsi="Avenir Next" w:cs="Arial"/>
          <w:color w:val="7B7B7B" w:themeColor="accent3" w:themeShade="BF"/>
          <w:sz w:val="22"/>
          <w:szCs w:val="22"/>
          <w:lang w:val="en-GB"/>
        </w:rPr>
        <w:t xml:space="preserve">In this case, </w:t>
      </w:r>
      <w:r w:rsidR="008F2C0B">
        <w:rPr>
          <w:rFonts w:ascii="Avenir Next" w:hAnsi="Avenir Next" w:cs="Arial"/>
          <w:color w:val="7B7B7B" w:themeColor="accent3" w:themeShade="BF"/>
          <w:sz w:val="22"/>
          <w:szCs w:val="22"/>
          <w:lang w:val="en-GB"/>
        </w:rPr>
        <w:t xml:space="preserve">either the </w:t>
      </w:r>
      <w:r w:rsidR="00CE66CA">
        <w:rPr>
          <w:rFonts w:ascii="Avenir Next" w:hAnsi="Avenir Next" w:cs="Arial"/>
          <w:color w:val="7B7B7B" w:themeColor="accent3" w:themeShade="BF"/>
          <w:sz w:val="22"/>
          <w:szCs w:val="22"/>
          <w:lang w:val="en-GB"/>
        </w:rPr>
        <w:t>B</w:t>
      </w:r>
      <w:r w:rsidR="008F2C0B">
        <w:rPr>
          <w:rFonts w:ascii="Avenir Next" w:hAnsi="Avenir Next" w:cs="Arial"/>
          <w:color w:val="7B7B7B" w:themeColor="accent3" w:themeShade="BF"/>
          <w:sz w:val="22"/>
          <w:szCs w:val="22"/>
          <w:lang w:val="en-GB"/>
        </w:rPr>
        <w:t xml:space="preserve">ankruptcy Appellate Panel (i.e. the ‘BAP’) </w:t>
      </w:r>
      <w:r w:rsidR="00CE66CA">
        <w:rPr>
          <w:rFonts w:ascii="Avenir Next" w:hAnsi="Avenir Next" w:cs="Arial"/>
          <w:color w:val="7B7B7B" w:themeColor="accent3" w:themeShade="BF"/>
          <w:sz w:val="22"/>
          <w:szCs w:val="22"/>
          <w:lang w:val="en-GB"/>
        </w:rPr>
        <w:t>or the district court reviews from the beginning findings of fact and conclusions of law to which a party has expressed objections</w:t>
      </w:r>
      <w:r w:rsidR="00503A0A">
        <w:rPr>
          <w:rFonts w:ascii="Avenir Next" w:hAnsi="Avenir Next" w:cs="Arial"/>
          <w:color w:val="7B7B7B" w:themeColor="accent3" w:themeShade="BF"/>
          <w:sz w:val="22"/>
          <w:szCs w:val="22"/>
          <w:lang w:val="en-GB"/>
        </w:rPr>
        <w:t>.</w:t>
      </w:r>
      <w:r w:rsidR="003D2FA0">
        <w:rPr>
          <w:rFonts w:ascii="Avenir Next" w:hAnsi="Avenir Next" w:cs="Arial"/>
          <w:color w:val="7B7B7B" w:themeColor="accent3" w:themeShade="BF"/>
          <w:sz w:val="22"/>
          <w:szCs w:val="22"/>
          <w:lang w:val="en-GB"/>
        </w:rPr>
        <w:t xml:space="preserve"> An appeal circuit court reviews the district court</w:t>
      </w:r>
      <w:r w:rsidR="00A7232A">
        <w:rPr>
          <w:rFonts w:ascii="Avenir Next" w:hAnsi="Avenir Next" w:cs="Arial"/>
          <w:color w:val="7B7B7B" w:themeColor="accent3" w:themeShade="BF"/>
          <w:sz w:val="22"/>
          <w:szCs w:val="22"/>
          <w:lang w:val="en-GB"/>
        </w:rPr>
        <w:t>’s</w:t>
      </w:r>
      <w:r w:rsidR="003D2FA0">
        <w:rPr>
          <w:rFonts w:ascii="Avenir Next" w:hAnsi="Avenir Next" w:cs="Arial"/>
          <w:color w:val="7B7B7B" w:themeColor="accent3" w:themeShade="BF"/>
          <w:sz w:val="22"/>
          <w:szCs w:val="22"/>
          <w:lang w:val="en-GB"/>
        </w:rPr>
        <w:t xml:space="preserve"> or the BAP’s order from the beginning concerning con</w:t>
      </w:r>
      <w:r w:rsidR="00FB4CA3">
        <w:rPr>
          <w:rFonts w:ascii="Avenir Next" w:hAnsi="Avenir Next" w:cs="Arial"/>
          <w:color w:val="7B7B7B" w:themeColor="accent3" w:themeShade="BF"/>
          <w:sz w:val="22"/>
          <w:szCs w:val="22"/>
          <w:lang w:val="en-GB"/>
        </w:rPr>
        <w:t>c</w:t>
      </w:r>
      <w:r w:rsidR="003D2FA0">
        <w:rPr>
          <w:rFonts w:ascii="Avenir Next" w:hAnsi="Avenir Next" w:cs="Arial"/>
          <w:color w:val="7B7B7B" w:themeColor="accent3" w:themeShade="BF"/>
          <w:sz w:val="22"/>
          <w:szCs w:val="22"/>
          <w:lang w:val="en-GB"/>
        </w:rPr>
        <w:t>lusions of law and abu</w:t>
      </w:r>
      <w:r w:rsidR="00280513">
        <w:rPr>
          <w:rFonts w:ascii="Avenir Next" w:hAnsi="Avenir Next" w:cs="Arial"/>
          <w:color w:val="7B7B7B" w:themeColor="accent3" w:themeShade="BF"/>
          <w:sz w:val="22"/>
          <w:szCs w:val="22"/>
          <w:lang w:val="en-GB"/>
        </w:rPr>
        <w:t>s</w:t>
      </w:r>
      <w:r w:rsidR="003D2FA0">
        <w:rPr>
          <w:rFonts w:ascii="Avenir Next" w:hAnsi="Avenir Next" w:cs="Arial"/>
          <w:color w:val="7B7B7B" w:themeColor="accent3" w:themeShade="BF"/>
          <w:sz w:val="22"/>
          <w:szCs w:val="22"/>
          <w:lang w:val="en-GB"/>
        </w:rPr>
        <w:t>e of discretion with respect to factual findings.</w:t>
      </w:r>
    </w:p>
    <w:p w14:paraId="37B4DE3A" w14:textId="1AB63B0B" w:rsidR="00E01803" w:rsidRDefault="00E01803" w:rsidP="000778B1">
      <w:pPr>
        <w:pStyle w:val="AODocTxt"/>
        <w:spacing w:before="0" w:line="240" w:lineRule="auto"/>
        <w:rPr>
          <w:rFonts w:ascii="Avenir Next" w:hAnsi="Avenir Next"/>
        </w:rPr>
      </w:pP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711A9A60" w14:textId="3B3C0F01" w:rsidR="00E41578" w:rsidRPr="001665F3" w:rsidRDefault="008315F4" w:rsidP="000260F1">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lang w:val="en-GB"/>
        </w:rPr>
        <w:t xml:space="preserve">Upon recognition of a foreign main proceeding, specific provisions of the US Bankruptcy Code apply to the debtor’s assets </w:t>
      </w:r>
      <w:r w:rsidR="001424E9">
        <w:rPr>
          <w:rFonts w:ascii="Avenir Next" w:hAnsi="Avenir Next" w:cs="Arial"/>
          <w:color w:val="7B7B7B" w:themeColor="accent3" w:themeShade="BF"/>
          <w:sz w:val="22"/>
          <w:szCs w:val="22"/>
          <w:lang w:val="en-GB"/>
        </w:rPr>
        <w:t xml:space="preserve">that are </w:t>
      </w:r>
      <w:r>
        <w:rPr>
          <w:rFonts w:ascii="Avenir Next" w:hAnsi="Avenir Next" w:cs="Arial"/>
          <w:color w:val="7B7B7B" w:themeColor="accent3" w:themeShade="BF"/>
          <w:sz w:val="22"/>
          <w:szCs w:val="22"/>
          <w:lang w:val="en-GB"/>
        </w:rPr>
        <w:t xml:space="preserve">situated in the territorial jurisdiction of the United States. </w:t>
      </w:r>
      <w:r w:rsidR="00AC5EE2">
        <w:rPr>
          <w:rFonts w:ascii="Avenir Next" w:hAnsi="Avenir Next" w:cs="Arial"/>
          <w:color w:val="7B7B7B" w:themeColor="accent3" w:themeShade="BF"/>
          <w:sz w:val="22"/>
          <w:szCs w:val="22"/>
          <w:lang w:val="en-GB"/>
        </w:rPr>
        <w:t>First of all, s</w:t>
      </w:r>
      <w:r w:rsidR="008F3CFE">
        <w:rPr>
          <w:rFonts w:ascii="Avenir Next" w:hAnsi="Avenir Next" w:cs="Arial"/>
          <w:color w:val="7B7B7B" w:themeColor="accent3" w:themeShade="BF"/>
          <w:sz w:val="22"/>
          <w:szCs w:val="22"/>
          <w:lang w:val="en-GB"/>
        </w:rPr>
        <w:t xml:space="preserve">ubsection 1520(a) </w:t>
      </w:r>
      <w:r w:rsidR="001E7C9D">
        <w:rPr>
          <w:rFonts w:ascii="Avenir Next" w:hAnsi="Avenir Next" w:cs="Arial"/>
          <w:color w:val="7B7B7B" w:themeColor="accent3" w:themeShade="BF"/>
          <w:sz w:val="22"/>
          <w:szCs w:val="22"/>
          <w:lang w:val="en-GB"/>
        </w:rPr>
        <w:t>(</w:t>
      </w:r>
      <w:r w:rsidR="001E7C9D">
        <w:rPr>
          <w:rFonts w:ascii="Avenir Next" w:hAnsi="Avenir Next" w:cs="Arial"/>
          <w:i/>
          <w:iCs/>
          <w:color w:val="7B7B7B" w:themeColor="accent3" w:themeShade="BF"/>
          <w:sz w:val="22"/>
          <w:szCs w:val="22"/>
          <w:lang w:val="en-GB"/>
        </w:rPr>
        <w:t xml:space="preserve">see </w:t>
      </w:r>
      <w:r w:rsidR="001E7C9D">
        <w:rPr>
          <w:rFonts w:ascii="Avenir Next" w:hAnsi="Avenir Next" w:cs="Arial"/>
          <w:color w:val="7B7B7B" w:themeColor="accent3" w:themeShade="BF"/>
          <w:sz w:val="22"/>
          <w:szCs w:val="22"/>
          <w:lang w:val="en-GB"/>
        </w:rPr>
        <w:t>11 USC, § 1520</w:t>
      </w:r>
      <w:r w:rsidR="009577A1">
        <w:rPr>
          <w:rFonts w:ascii="Avenir Next" w:hAnsi="Avenir Next" w:cs="Arial"/>
          <w:color w:val="7B7B7B" w:themeColor="accent3" w:themeShade="BF"/>
          <w:sz w:val="22"/>
          <w:szCs w:val="22"/>
          <w:lang w:val="en-GB"/>
        </w:rPr>
        <w:t>(a)</w:t>
      </w:r>
      <w:r w:rsidR="00180D9E">
        <w:rPr>
          <w:rFonts w:ascii="Avenir Next" w:hAnsi="Avenir Next" w:cs="Arial"/>
          <w:color w:val="7B7B7B" w:themeColor="accent3" w:themeShade="BF"/>
          <w:sz w:val="22"/>
          <w:szCs w:val="22"/>
          <w:lang w:val="en-GB"/>
        </w:rPr>
        <w:t xml:space="preserve">) </w:t>
      </w:r>
      <w:r w:rsidR="00863562">
        <w:rPr>
          <w:rFonts w:ascii="Avenir Next" w:hAnsi="Avenir Next" w:cs="Arial"/>
          <w:color w:val="7B7B7B" w:themeColor="accent3" w:themeShade="BF"/>
          <w:sz w:val="22"/>
          <w:szCs w:val="22"/>
          <w:lang w:val="en-GB"/>
        </w:rPr>
        <w:t>cross-refers</w:t>
      </w:r>
      <w:r w:rsidR="008F3CFE">
        <w:rPr>
          <w:rFonts w:ascii="Avenir Next" w:hAnsi="Avenir Next" w:cs="Arial"/>
          <w:color w:val="7B7B7B" w:themeColor="accent3" w:themeShade="BF"/>
          <w:sz w:val="22"/>
          <w:szCs w:val="22"/>
          <w:lang w:val="en-GB"/>
        </w:rPr>
        <w:t xml:space="preserve"> to </w:t>
      </w:r>
      <w:r w:rsidR="00180D9E">
        <w:rPr>
          <w:rFonts w:ascii="Avenir Next" w:hAnsi="Avenir Next" w:cs="Arial"/>
          <w:color w:val="7B7B7B" w:themeColor="accent3" w:themeShade="BF"/>
          <w:sz w:val="22"/>
          <w:szCs w:val="22"/>
          <w:lang w:val="en-GB"/>
        </w:rPr>
        <w:t xml:space="preserve">section 361 on adequate protection and </w:t>
      </w:r>
      <w:r w:rsidR="00582FDD">
        <w:rPr>
          <w:rFonts w:ascii="Avenir Next" w:hAnsi="Avenir Next" w:cs="Arial"/>
          <w:color w:val="7B7B7B" w:themeColor="accent3" w:themeShade="BF"/>
          <w:sz w:val="22"/>
          <w:szCs w:val="22"/>
          <w:lang w:val="en-GB"/>
        </w:rPr>
        <w:lastRenderedPageBreak/>
        <w:t xml:space="preserve">section </w:t>
      </w:r>
      <w:r w:rsidR="00180D9E">
        <w:rPr>
          <w:rFonts w:ascii="Avenir Next" w:hAnsi="Avenir Next" w:cs="Arial"/>
          <w:color w:val="7B7B7B" w:themeColor="accent3" w:themeShade="BF"/>
          <w:sz w:val="22"/>
          <w:szCs w:val="22"/>
          <w:lang w:val="en-GB"/>
        </w:rPr>
        <w:t xml:space="preserve">362 </w:t>
      </w:r>
      <w:r w:rsidR="00582FDD">
        <w:rPr>
          <w:rFonts w:ascii="Avenir Next" w:hAnsi="Avenir Next" w:cs="Arial"/>
          <w:color w:val="7B7B7B" w:themeColor="accent3" w:themeShade="BF"/>
          <w:sz w:val="22"/>
          <w:szCs w:val="22"/>
          <w:lang w:val="en-GB"/>
        </w:rPr>
        <w:t>on</w:t>
      </w:r>
      <w:r w:rsidR="00180D9E">
        <w:rPr>
          <w:rFonts w:ascii="Avenir Next" w:hAnsi="Avenir Next" w:cs="Arial"/>
          <w:color w:val="7B7B7B" w:themeColor="accent3" w:themeShade="BF"/>
          <w:sz w:val="22"/>
          <w:szCs w:val="22"/>
          <w:lang w:val="en-GB"/>
        </w:rPr>
        <w:t xml:space="preserve"> the automatic stay</w:t>
      </w:r>
      <w:r w:rsidR="00D51294">
        <w:rPr>
          <w:rFonts w:ascii="Avenir Next" w:hAnsi="Avenir Next" w:cs="Arial"/>
          <w:color w:val="7B7B7B" w:themeColor="accent3" w:themeShade="BF"/>
          <w:sz w:val="22"/>
          <w:szCs w:val="22"/>
          <w:lang w:val="en-GB"/>
        </w:rPr>
        <w:t xml:space="preserve">. </w:t>
      </w:r>
      <w:r w:rsidR="005036E6">
        <w:rPr>
          <w:rFonts w:ascii="Avenir Next" w:hAnsi="Avenir Next" w:cs="Arial"/>
          <w:color w:val="7B7B7B" w:themeColor="accent3" w:themeShade="BF"/>
          <w:sz w:val="22"/>
          <w:szCs w:val="22"/>
          <w:lang w:val="en-GB"/>
        </w:rPr>
        <w:t>It is important to note that “</w:t>
      </w:r>
      <w:r w:rsidR="005036E6" w:rsidRPr="005036E6">
        <w:rPr>
          <w:rFonts w:ascii="Avenir Next" w:hAnsi="Avenir Next" w:cs="Arial"/>
          <w:color w:val="7B7B7B" w:themeColor="accent3" w:themeShade="BF"/>
          <w:sz w:val="22"/>
          <w:szCs w:val="22"/>
          <w:lang w:val="en-GB"/>
        </w:rPr>
        <w:t>the right of a foreign representative or an entity to file a petition commencing a case under this title or the right of any party to file claims or take other proper actions in such a case</w:t>
      </w:r>
      <w:r w:rsidR="005036E6">
        <w:rPr>
          <w:rFonts w:ascii="Avenir Next" w:hAnsi="Avenir Next" w:cs="Arial"/>
          <w:color w:val="7B7B7B" w:themeColor="accent3" w:themeShade="BF"/>
          <w:sz w:val="22"/>
          <w:szCs w:val="22"/>
          <w:lang w:val="en-GB"/>
        </w:rPr>
        <w:t xml:space="preserve">” is </w:t>
      </w:r>
      <w:r w:rsidR="008F3CFE">
        <w:rPr>
          <w:rFonts w:ascii="Avenir Next" w:hAnsi="Avenir Next" w:cs="Arial"/>
          <w:color w:val="7B7B7B" w:themeColor="accent3" w:themeShade="BF"/>
          <w:sz w:val="22"/>
          <w:szCs w:val="22"/>
          <w:lang w:val="en-GB"/>
        </w:rPr>
        <w:t>in any event</w:t>
      </w:r>
      <w:r w:rsidR="00752541">
        <w:rPr>
          <w:rFonts w:ascii="Avenir Next" w:hAnsi="Avenir Next" w:cs="Arial"/>
          <w:color w:val="7B7B7B" w:themeColor="accent3" w:themeShade="BF"/>
          <w:sz w:val="22"/>
          <w:szCs w:val="22"/>
          <w:lang w:val="en-GB"/>
        </w:rPr>
        <w:t xml:space="preserve"> permitted</w:t>
      </w:r>
      <w:r w:rsidR="00AB26E0">
        <w:rPr>
          <w:rFonts w:ascii="Avenir Next" w:hAnsi="Avenir Next" w:cs="Arial"/>
          <w:color w:val="7B7B7B" w:themeColor="accent3" w:themeShade="BF"/>
          <w:sz w:val="22"/>
          <w:szCs w:val="22"/>
          <w:lang w:val="en-GB"/>
        </w:rPr>
        <w:t xml:space="preserve"> (</w:t>
      </w:r>
      <w:r w:rsidR="00AB26E0">
        <w:rPr>
          <w:rFonts w:ascii="Avenir Next" w:hAnsi="Avenir Next" w:cs="Arial"/>
          <w:i/>
          <w:iCs/>
          <w:color w:val="7B7B7B" w:themeColor="accent3" w:themeShade="BF"/>
          <w:sz w:val="22"/>
          <w:szCs w:val="22"/>
          <w:lang w:val="en-GB"/>
        </w:rPr>
        <w:t xml:space="preserve">see </w:t>
      </w:r>
      <w:r w:rsidR="00AB26E0">
        <w:rPr>
          <w:rFonts w:ascii="Avenir Next" w:hAnsi="Avenir Next" w:cs="Arial"/>
          <w:color w:val="7B7B7B" w:themeColor="accent3" w:themeShade="BF"/>
          <w:sz w:val="22"/>
          <w:szCs w:val="22"/>
          <w:lang w:val="en-GB"/>
        </w:rPr>
        <w:t xml:space="preserve">11 USC, </w:t>
      </w:r>
      <w:r w:rsidR="00AB26E0" w:rsidRPr="00AB26E0">
        <w:rPr>
          <w:rFonts w:ascii="Avenir Next" w:hAnsi="Avenir Next" w:cs="Arial"/>
          <w:color w:val="7B7B7B" w:themeColor="accent3" w:themeShade="BF"/>
          <w:sz w:val="22"/>
          <w:szCs w:val="22"/>
        </w:rPr>
        <w:t>§</w:t>
      </w:r>
      <w:r w:rsidR="00AB26E0">
        <w:rPr>
          <w:rFonts w:ascii="Avenir Next" w:hAnsi="Avenir Next" w:cs="Arial"/>
          <w:color w:val="7B7B7B" w:themeColor="accent3" w:themeShade="BF"/>
          <w:sz w:val="22"/>
          <w:szCs w:val="22"/>
        </w:rPr>
        <w:t xml:space="preserve"> 1520</w:t>
      </w:r>
      <w:r w:rsidR="00B24DB9">
        <w:rPr>
          <w:rFonts w:ascii="Avenir Next" w:hAnsi="Avenir Next" w:cs="Arial"/>
          <w:color w:val="7B7B7B" w:themeColor="accent3" w:themeShade="BF"/>
          <w:sz w:val="22"/>
          <w:szCs w:val="22"/>
        </w:rPr>
        <w:t>(c)</w:t>
      </w:r>
      <w:r w:rsidR="00AB26E0">
        <w:rPr>
          <w:rFonts w:ascii="Avenir Next" w:hAnsi="Avenir Next" w:cs="Arial"/>
          <w:color w:val="7B7B7B" w:themeColor="accent3" w:themeShade="BF"/>
          <w:sz w:val="22"/>
          <w:szCs w:val="22"/>
        </w:rPr>
        <w:t>)</w:t>
      </w:r>
      <w:r w:rsidR="009D1A14">
        <w:rPr>
          <w:rFonts w:ascii="Avenir Next" w:hAnsi="Avenir Next" w:cs="Arial"/>
          <w:color w:val="7B7B7B" w:themeColor="accent3" w:themeShade="BF"/>
          <w:sz w:val="22"/>
          <w:szCs w:val="22"/>
        </w:rPr>
        <w:t>.</w:t>
      </w:r>
      <w:r w:rsidR="00B24DB9">
        <w:rPr>
          <w:rFonts w:ascii="Avenir Next" w:hAnsi="Avenir Next" w:cs="Arial"/>
          <w:color w:val="7B7B7B" w:themeColor="accent3" w:themeShade="BF"/>
          <w:sz w:val="22"/>
          <w:szCs w:val="22"/>
        </w:rPr>
        <w:t xml:space="preserve"> </w:t>
      </w:r>
      <w:r w:rsidR="00622039">
        <w:rPr>
          <w:rFonts w:ascii="Avenir Next" w:hAnsi="Avenir Next" w:cs="Arial"/>
          <w:color w:val="7B7B7B" w:themeColor="accent3" w:themeShade="BF"/>
          <w:sz w:val="22"/>
          <w:szCs w:val="22"/>
        </w:rPr>
        <w:t xml:space="preserve">Secondly, </w:t>
      </w:r>
      <w:r w:rsidR="00597E2A">
        <w:rPr>
          <w:rFonts w:ascii="Avenir Next" w:hAnsi="Avenir Next" w:cs="Arial"/>
          <w:color w:val="7B7B7B" w:themeColor="accent3" w:themeShade="BF"/>
          <w:sz w:val="22"/>
          <w:szCs w:val="22"/>
        </w:rPr>
        <w:t xml:space="preserve">unless otherwise decided by the court, </w:t>
      </w:r>
      <w:r w:rsidR="0054716C">
        <w:rPr>
          <w:rFonts w:ascii="Avenir Next" w:hAnsi="Avenir Next" w:cs="Arial"/>
          <w:color w:val="7B7B7B" w:themeColor="accent3" w:themeShade="BF"/>
          <w:sz w:val="22"/>
          <w:szCs w:val="22"/>
        </w:rPr>
        <w:t xml:space="preserve">the foreign representative is entitled to </w:t>
      </w:r>
      <w:r w:rsidR="000260F1">
        <w:rPr>
          <w:rFonts w:ascii="Avenir Next" w:hAnsi="Avenir Next" w:cs="Arial"/>
          <w:color w:val="7B7B7B" w:themeColor="accent3" w:themeShade="BF"/>
          <w:sz w:val="22"/>
          <w:szCs w:val="22"/>
        </w:rPr>
        <w:t>operate in the ordinary course the business of the debtor</w:t>
      </w:r>
      <w:r w:rsidR="009577A1">
        <w:rPr>
          <w:rFonts w:ascii="Avenir Next" w:hAnsi="Avenir Next" w:cs="Arial"/>
          <w:color w:val="7B7B7B" w:themeColor="accent3" w:themeShade="BF"/>
          <w:sz w:val="22"/>
          <w:szCs w:val="22"/>
        </w:rPr>
        <w:t xml:space="preserve"> </w:t>
      </w:r>
      <w:r w:rsidR="009577A1">
        <w:rPr>
          <w:rFonts w:ascii="Avenir Next" w:hAnsi="Avenir Next" w:cs="Arial"/>
          <w:color w:val="7B7B7B" w:themeColor="accent3" w:themeShade="BF"/>
          <w:sz w:val="22"/>
          <w:szCs w:val="22"/>
          <w:lang w:val="en-GB"/>
        </w:rPr>
        <w:t>(</w:t>
      </w:r>
      <w:r w:rsidR="009577A1">
        <w:rPr>
          <w:rFonts w:ascii="Avenir Next" w:hAnsi="Avenir Next" w:cs="Arial"/>
          <w:i/>
          <w:iCs/>
          <w:color w:val="7B7B7B" w:themeColor="accent3" w:themeShade="BF"/>
          <w:sz w:val="22"/>
          <w:szCs w:val="22"/>
          <w:lang w:val="en-GB"/>
        </w:rPr>
        <w:t xml:space="preserve">see </w:t>
      </w:r>
      <w:r w:rsidR="009577A1">
        <w:rPr>
          <w:rFonts w:ascii="Avenir Next" w:hAnsi="Avenir Next" w:cs="Arial"/>
          <w:color w:val="7B7B7B" w:themeColor="accent3" w:themeShade="BF"/>
          <w:sz w:val="22"/>
          <w:szCs w:val="22"/>
          <w:lang w:val="en-GB"/>
        </w:rPr>
        <w:t xml:space="preserve">11 USC, </w:t>
      </w:r>
      <w:r w:rsidR="009577A1" w:rsidRPr="00AB26E0">
        <w:rPr>
          <w:rFonts w:ascii="Avenir Next" w:hAnsi="Avenir Next" w:cs="Arial"/>
          <w:color w:val="7B7B7B" w:themeColor="accent3" w:themeShade="BF"/>
          <w:sz w:val="22"/>
          <w:szCs w:val="22"/>
        </w:rPr>
        <w:t>§</w:t>
      </w:r>
      <w:r w:rsidR="009577A1">
        <w:rPr>
          <w:rFonts w:ascii="Avenir Next" w:hAnsi="Avenir Next" w:cs="Arial"/>
          <w:color w:val="7B7B7B" w:themeColor="accent3" w:themeShade="BF"/>
          <w:sz w:val="22"/>
          <w:szCs w:val="22"/>
        </w:rPr>
        <w:t xml:space="preserve"> 1520(a)(3))</w:t>
      </w:r>
      <w:r w:rsidR="000260F1">
        <w:rPr>
          <w:rFonts w:ascii="Avenir Next" w:hAnsi="Avenir Next" w:cs="Arial"/>
          <w:color w:val="7B7B7B" w:themeColor="accent3" w:themeShade="BF"/>
          <w:sz w:val="22"/>
          <w:szCs w:val="22"/>
        </w:rPr>
        <w:t>.</w:t>
      </w:r>
      <w:r w:rsidR="009577A1">
        <w:rPr>
          <w:rFonts w:ascii="Avenir Next" w:hAnsi="Avenir Next" w:cs="Arial"/>
          <w:color w:val="7B7B7B" w:themeColor="accent3" w:themeShade="BF"/>
          <w:sz w:val="22"/>
          <w:szCs w:val="22"/>
        </w:rPr>
        <w:t xml:space="preserve"> </w:t>
      </w:r>
      <w:r w:rsidR="00AC5EE2">
        <w:rPr>
          <w:rFonts w:ascii="Avenir Next" w:hAnsi="Avenir Next" w:cs="Arial"/>
          <w:color w:val="7B7B7B" w:themeColor="accent3" w:themeShade="BF"/>
          <w:sz w:val="22"/>
          <w:szCs w:val="22"/>
        </w:rPr>
        <w:t>T</w:t>
      </w:r>
      <w:r w:rsidR="000260F1">
        <w:rPr>
          <w:rFonts w:ascii="Avenir Next" w:hAnsi="Avenir Next" w:cs="Arial"/>
          <w:color w:val="7B7B7B" w:themeColor="accent3" w:themeShade="BF"/>
          <w:sz w:val="22"/>
          <w:szCs w:val="22"/>
        </w:rPr>
        <w:t>he foreign representative</w:t>
      </w:r>
      <w:r w:rsidR="00597E2A">
        <w:rPr>
          <w:rFonts w:ascii="Avenir Next" w:hAnsi="Avenir Next" w:cs="Arial"/>
          <w:color w:val="7B7B7B" w:themeColor="accent3" w:themeShade="BF"/>
          <w:sz w:val="22"/>
          <w:szCs w:val="22"/>
        </w:rPr>
        <w:t xml:space="preserve">, unless otherwise decided by the court, </w:t>
      </w:r>
      <w:r w:rsidR="000260F1">
        <w:rPr>
          <w:rFonts w:ascii="Avenir Next" w:hAnsi="Avenir Next" w:cs="Arial"/>
          <w:color w:val="7B7B7B" w:themeColor="accent3" w:themeShade="BF"/>
          <w:sz w:val="22"/>
          <w:szCs w:val="22"/>
        </w:rPr>
        <w:t>is vested with the rights and powers of a US trustee</w:t>
      </w:r>
      <w:r w:rsidR="00B16D4B">
        <w:rPr>
          <w:rFonts w:ascii="Avenir Next" w:hAnsi="Avenir Next" w:cs="Arial"/>
          <w:color w:val="7B7B7B" w:themeColor="accent3" w:themeShade="BF"/>
          <w:sz w:val="22"/>
          <w:szCs w:val="22"/>
        </w:rPr>
        <w:t xml:space="preserve"> for matters</w:t>
      </w:r>
      <w:r w:rsidR="000260F1">
        <w:rPr>
          <w:rFonts w:ascii="Avenir Next" w:hAnsi="Avenir Next" w:cs="Arial"/>
          <w:color w:val="7B7B7B" w:themeColor="accent3" w:themeShade="BF"/>
          <w:sz w:val="22"/>
          <w:szCs w:val="22"/>
        </w:rPr>
        <w:t xml:space="preserve"> </w:t>
      </w:r>
      <w:r w:rsidR="00AC5EE2">
        <w:rPr>
          <w:rFonts w:ascii="Avenir Next" w:hAnsi="Avenir Next" w:cs="Arial"/>
          <w:color w:val="7B7B7B" w:themeColor="accent3" w:themeShade="BF"/>
          <w:sz w:val="22"/>
          <w:szCs w:val="22"/>
        </w:rPr>
        <w:t>relating</w:t>
      </w:r>
      <w:r w:rsidR="00B16D4B">
        <w:rPr>
          <w:rFonts w:ascii="Avenir Next" w:hAnsi="Avenir Next" w:cs="Arial"/>
          <w:color w:val="7B7B7B" w:themeColor="accent3" w:themeShade="BF"/>
          <w:sz w:val="22"/>
          <w:szCs w:val="22"/>
        </w:rPr>
        <w:t xml:space="preserve"> to</w:t>
      </w:r>
      <w:r w:rsidR="000260F1">
        <w:rPr>
          <w:rFonts w:ascii="Avenir Next" w:hAnsi="Avenir Next" w:cs="Arial"/>
          <w:color w:val="7B7B7B" w:themeColor="accent3" w:themeShade="BF"/>
          <w:sz w:val="22"/>
          <w:szCs w:val="22"/>
        </w:rPr>
        <w:t xml:space="preserve"> sections 363</w:t>
      </w:r>
      <w:r w:rsidR="00DA2280">
        <w:rPr>
          <w:rFonts w:ascii="Avenir Next" w:hAnsi="Avenir Next" w:cs="Arial"/>
          <w:color w:val="7B7B7B" w:themeColor="accent3" w:themeShade="BF"/>
          <w:sz w:val="22"/>
          <w:szCs w:val="22"/>
        </w:rPr>
        <w:t>,</w:t>
      </w:r>
      <w:r w:rsidR="000260F1">
        <w:rPr>
          <w:rFonts w:ascii="Avenir Next" w:hAnsi="Avenir Next" w:cs="Arial"/>
          <w:color w:val="7B7B7B" w:themeColor="accent3" w:themeShade="BF"/>
          <w:sz w:val="22"/>
          <w:szCs w:val="22"/>
        </w:rPr>
        <w:t xml:space="preserve"> </w:t>
      </w:r>
      <w:r w:rsidR="00B16D4B">
        <w:rPr>
          <w:rFonts w:ascii="Avenir Next" w:hAnsi="Avenir Next" w:cs="Arial"/>
          <w:color w:val="7B7B7B" w:themeColor="accent3" w:themeShade="BF"/>
          <w:sz w:val="22"/>
          <w:szCs w:val="22"/>
        </w:rPr>
        <w:t xml:space="preserve">regarding the </w:t>
      </w:r>
      <w:r w:rsidR="00392227">
        <w:rPr>
          <w:rFonts w:ascii="Avenir Next" w:hAnsi="Avenir Next" w:cs="Arial"/>
          <w:color w:val="7B7B7B" w:themeColor="accent3" w:themeShade="BF"/>
          <w:sz w:val="22"/>
          <w:szCs w:val="22"/>
        </w:rPr>
        <w:t>‘</w:t>
      </w:r>
      <w:r w:rsidR="00B16D4B">
        <w:rPr>
          <w:rFonts w:ascii="Avenir Next" w:hAnsi="Avenir Next" w:cs="Arial"/>
          <w:color w:val="7B7B7B" w:themeColor="accent3" w:themeShade="BF"/>
          <w:sz w:val="22"/>
          <w:szCs w:val="22"/>
        </w:rPr>
        <w:t>u</w:t>
      </w:r>
      <w:r w:rsidR="000260F1" w:rsidRPr="000260F1">
        <w:rPr>
          <w:rFonts w:ascii="Avenir Next" w:hAnsi="Avenir Next" w:cs="Arial"/>
          <w:color w:val="7B7B7B" w:themeColor="accent3" w:themeShade="BF"/>
          <w:sz w:val="22"/>
          <w:szCs w:val="22"/>
        </w:rPr>
        <w:t>se, sale, or lease of propert</w:t>
      </w:r>
      <w:r w:rsidR="000260F1">
        <w:rPr>
          <w:rFonts w:ascii="Avenir Next" w:hAnsi="Avenir Next" w:cs="Arial"/>
          <w:color w:val="7B7B7B" w:themeColor="accent3" w:themeShade="BF"/>
          <w:sz w:val="22"/>
          <w:szCs w:val="22"/>
        </w:rPr>
        <w:t>y</w:t>
      </w:r>
      <w:r w:rsidR="00392227">
        <w:rPr>
          <w:rFonts w:ascii="Avenir Next" w:hAnsi="Avenir Next" w:cs="Arial"/>
          <w:color w:val="7B7B7B" w:themeColor="accent3" w:themeShade="BF"/>
          <w:sz w:val="22"/>
          <w:szCs w:val="22"/>
        </w:rPr>
        <w:t>’</w:t>
      </w:r>
      <w:r w:rsidR="00DA2280">
        <w:rPr>
          <w:rFonts w:ascii="Avenir Next" w:hAnsi="Avenir Next" w:cs="Arial"/>
          <w:color w:val="7B7B7B" w:themeColor="accent3" w:themeShade="BF"/>
          <w:sz w:val="22"/>
          <w:szCs w:val="22"/>
        </w:rPr>
        <w:t>,</w:t>
      </w:r>
      <w:r w:rsidR="000260F1">
        <w:rPr>
          <w:rFonts w:ascii="Avenir Next" w:hAnsi="Avenir Next" w:cs="Arial"/>
          <w:color w:val="7B7B7B" w:themeColor="accent3" w:themeShade="BF"/>
          <w:sz w:val="22"/>
          <w:szCs w:val="22"/>
        </w:rPr>
        <w:t xml:space="preserve"> and 552</w:t>
      </w:r>
      <w:r w:rsidR="00DA2280">
        <w:rPr>
          <w:rFonts w:ascii="Avenir Next" w:hAnsi="Avenir Next" w:cs="Arial"/>
          <w:color w:val="7B7B7B" w:themeColor="accent3" w:themeShade="BF"/>
          <w:sz w:val="22"/>
          <w:szCs w:val="22"/>
        </w:rPr>
        <w:t>,</w:t>
      </w:r>
      <w:r w:rsidR="000260F1">
        <w:rPr>
          <w:rFonts w:ascii="Avenir Next" w:hAnsi="Avenir Next" w:cs="Arial"/>
          <w:color w:val="7B7B7B" w:themeColor="accent3" w:themeShade="BF"/>
          <w:sz w:val="22"/>
          <w:szCs w:val="22"/>
        </w:rPr>
        <w:t xml:space="preserve"> </w:t>
      </w:r>
      <w:r w:rsidR="00B16D4B">
        <w:rPr>
          <w:rFonts w:ascii="Avenir Next" w:hAnsi="Avenir Next" w:cs="Arial"/>
          <w:color w:val="7B7B7B" w:themeColor="accent3" w:themeShade="BF"/>
          <w:sz w:val="22"/>
          <w:szCs w:val="22"/>
        </w:rPr>
        <w:t xml:space="preserve">regarding the </w:t>
      </w:r>
      <w:r w:rsidR="00392227">
        <w:rPr>
          <w:rFonts w:ascii="Avenir Next" w:hAnsi="Avenir Next" w:cs="Arial"/>
          <w:color w:val="7B7B7B" w:themeColor="accent3" w:themeShade="BF"/>
          <w:sz w:val="22"/>
          <w:szCs w:val="22"/>
        </w:rPr>
        <w:t>‘</w:t>
      </w:r>
      <w:proofErr w:type="spellStart"/>
      <w:r w:rsidR="00B16D4B">
        <w:rPr>
          <w:rFonts w:ascii="Avenir Next" w:hAnsi="Avenir Next" w:cs="Arial"/>
          <w:color w:val="7B7B7B" w:themeColor="accent3" w:themeShade="BF"/>
          <w:sz w:val="22"/>
          <w:szCs w:val="22"/>
        </w:rPr>
        <w:t>p</w:t>
      </w:r>
      <w:r w:rsidR="000260F1" w:rsidRPr="000260F1">
        <w:rPr>
          <w:rFonts w:ascii="Avenir Next" w:hAnsi="Avenir Next" w:cs="Arial"/>
          <w:color w:val="7B7B7B" w:themeColor="accent3" w:themeShade="BF"/>
          <w:sz w:val="22"/>
          <w:szCs w:val="22"/>
        </w:rPr>
        <w:t>ostpetition</w:t>
      </w:r>
      <w:proofErr w:type="spellEnd"/>
      <w:r w:rsidR="000260F1" w:rsidRPr="000260F1">
        <w:rPr>
          <w:rFonts w:ascii="Avenir Next" w:hAnsi="Avenir Next" w:cs="Arial"/>
          <w:color w:val="7B7B7B" w:themeColor="accent3" w:themeShade="BF"/>
          <w:sz w:val="22"/>
          <w:szCs w:val="22"/>
        </w:rPr>
        <w:t xml:space="preserve"> effect of security interest</w:t>
      </w:r>
      <w:r w:rsidR="00392227">
        <w:rPr>
          <w:rFonts w:ascii="Avenir Next" w:hAnsi="Avenir Next" w:cs="Arial"/>
          <w:color w:val="7B7B7B" w:themeColor="accent3" w:themeShade="BF"/>
          <w:sz w:val="22"/>
          <w:szCs w:val="22"/>
        </w:rPr>
        <w:t>’</w:t>
      </w:r>
      <w:r w:rsidR="008C7867">
        <w:rPr>
          <w:rFonts w:ascii="Avenir Next" w:hAnsi="Avenir Next" w:cs="Arial"/>
          <w:color w:val="7B7B7B" w:themeColor="accent3" w:themeShade="BF"/>
          <w:sz w:val="22"/>
          <w:szCs w:val="22"/>
        </w:rPr>
        <w:t xml:space="preserve">. </w:t>
      </w:r>
      <w:r w:rsidR="00895C32">
        <w:rPr>
          <w:rFonts w:ascii="Avenir Next" w:hAnsi="Avenir Next" w:cs="Arial"/>
          <w:color w:val="7B7B7B" w:themeColor="accent3" w:themeShade="BF"/>
          <w:sz w:val="22"/>
          <w:szCs w:val="22"/>
        </w:rPr>
        <w:t xml:space="preserve">Indeed, </w:t>
      </w:r>
      <w:r w:rsidR="00895C32" w:rsidRPr="00DA2280">
        <w:rPr>
          <w:rFonts w:ascii="Avenir Next" w:hAnsi="Avenir Next" w:cs="Arial"/>
          <w:color w:val="7B7B7B" w:themeColor="accent3" w:themeShade="BF"/>
          <w:sz w:val="22"/>
          <w:szCs w:val="22"/>
        </w:rPr>
        <w:t xml:space="preserve">pursuant to section 552, avoidance </w:t>
      </w:r>
      <w:r w:rsidR="00E57C44">
        <w:rPr>
          <w:rFonts w:ascii="Avenir Next" w:hAnsi="Avenir Next" w:cs="Arial"/>
          <w:color w:val="7B7B7B" w:themeColor="accent3" w:themeShade="BF"/>
          <w:sz w:val="22"/>
          <w:szCs w:val="22"/>
        </w:rPr>
        <w:t>may be sought in respect of the</w:t>
      </w:r>
      <w:r w:rsidR="00895C32" w:rsidRPr="00DA2280">
        <w:rPr>
          <w:rFonts w:ascii="Avenir Next" w:hAnsi="Avenir Next" w:cs="Arial"/>
          <w:color w:val="7B7B7B" w:themeColor="accent3" w:themeShade="BF"/>
          <w:sz w:val="22"/>
          <w:szCs w:val="22"/>
        </w:rPr>
        <w:t xml:space="preserve"> perfection of a security interest</w:t>
      </w:r>
      <w:r w:rsidR="005257EE">
        <w:rPr>
          <w:rFonts w:ascii="Avenir Next" w:hAnsi="Avenir Next" w:cs="Arial"/>
          <w:color w:val="7B7B7B" w:themeColor="accent3" w:themeShade="BF"/>
          <w:sz w:val="22"/>
          <w:szCs w:val="22"/>
        </w:rPr>
        <w:t xml:space="preserve"> in the</w:t>
      </w:r>
      <w:r w:rsidR="005257EE" w:rsidRPr="00DA2280">
        <w:rPr>
          <w:rFonts w:ascii="Avenir Next" w:hAnsi="Avenir Next" w:cs="Arial"/>
          <w:color w:val="7B7B7B" w:themeColor="accent3" w:themeShade="BF"/>
          <w:sz w:val="22"/>
          <w:szCs w:val="22"/>
        </w:rPr>
        <w:t xml:space="preserve"> debtor’s property </w:t>
      </w:r>
      <w:r w:rsidR="00C06815" w:rsidRPr="00DA2280">
        <w:rPr>
          <w:rFonts w:ascii="Avenir Next" w:hAnsi="Avenir Next" w:cs="Arial"/>
          <w:color w:val="7B7B7B" w:themeColor="accent3" w:themeShade="BF"/>
          <w:sz w:val="22"/>
          <w:szCs w:val="22"/>
        </w:rPr>
        <w:t>after the petition dat</w:t>
      </w:r>
      <w:r w:rsidR="00C06815">
        <w:rPr>
          <w:rFonts w:ascii="Avenir Next" w:hAnsi="Avenir Next" w:cs="Arial"/>
          <w:color w:val="7B7B7B" w:themeColor="accent3" w:themeShade="BF"/>
          <w:sz w:val="22"/>
          <w:szCs w:val="22"/>
        </w:rPr>
        <w:t>e</w:t>
      </w:r>
      <w:r w:rsidR="00895C32">
        <w:rPr>
          <w:rFonts w:ascii="Avenir Next" w:hAnsi="Avenir Next" w:cs="Arial"/>
          <w:color w:val="7B7B7B" w:themeColor="accent3" w:themeShade="BF"/>
          <w:sz w:val="22"/>
          <w:szCs w:val="22"/>
        </w:rPr>
        <w:t>. Moreover, transfers that took place after the petition date can also be avoided</w:t>
      </w:r>
      <w:r w:rsidR="00735CDC">
        <w:rPr>
          <w:rFonts w:ascii="Avenir Next" w:hAnsi="Avenir Next" w:cs="Arial"/>
          <w:color w:val="7B7B7B" w:themeColor="accent3" w:themeShade="BF"/>
          <w:sz w:val="22"/>
          <w:szCs w:val="22"/>
        </w:rPr>
        <w:t xml:space="preserve"> pursuant to </w:t>
      </w:r>
      <w:r w:rsidR="00735CDC" w:rsidRPr="00735CDC">
        <w:rPr>
          <w:rFonts w:ascii="Avenir Next" w:hAnsi="Avenir Next" w:cs="Arial"/>
          <w:color w:val="7B7B7B" w:themeColor="accent3" w:themeShade="BF"/>
          <w:sz w:val="22"/>
          <w:szCs w:val="22"/>
        </w:rPr>
        <w:t>11 U.S.</w:t>
      </w:r>
      <w:r w:rsidR="00735CDC">
        <w:rPr>
          <w:rFonts w:ascii="Avenir Next" w:hAnsi="Avenir Next" w:cs="Arial"/>
          <w:color w:val="7B7B7B" w:themeColor="accent3" w:themeShade="BF"/>
          <w:sz w:val="22"/>
          <w:szCs w:val="22"/>
        </w:rPr>
        <w:t>C.</w:t>
      </w:r>
      <w:r w:rsidR="00735CDC" w:rsidRPr="00735CDC">
        <w:rPr>
          <w:rFonts w:ascii="Avenir Next" w:hAnsi="Avenir Next" w:cs="Arial"/>
          <w:color w:val="7B7B7B" w:themeColor="accent3" w:themeShade="BF"/>
          <w:sz w:val="22"/>
          <w:szCs w:val="22"/>
        </w:rPr>
        <w:t xml:space="preserve"> § 549</w:t>
      </w:r>
      <w:r w:rsidR="00895C32">
        <w:rPr>
          <w:rFonts w:ascii="Avenir Next" w:hAnsi="Avenir Next" w:cs="Arial"/>
          <w:color w:val="7B7B7B" w:themeColor="accent3" w:themeShade="BF"/>
          <w:sz w:val="22"/>
          <w:szCs w:val="22"/>
        </w:rPr>
        <w:t xml:space="preserve">. </w:t>
      </w:r>
      <w:r w:rsidR="007947E1">
        <w:rPr>
          <w:rFonts w:ascii="Avenir Next" w:hAnsi="Avenir Next" w:cs="Arial"/>
          <w:color w:val="7B7B7B" w:themeColor="accent3" w:themeShade="BF"/>
          <w:sz w:val="22"/>
          <w:szCs w:val="22"/>
        </w:rPr>
        <w:t>In accordance with section 363, t</w:t>
      </w:r>
      <w:r w:rsidR="00A82B18">
        <w:rPr>
          <w:rFonts w:ascii="Avenir Next" w:hAnsi="Avenir Next" w:cs="Arial"/>
          <w:color w:val="7B7B7B" w:themeColor="accent3" w:themeShade="BF"/>
          <w:sz w:val="22"/>
          <w:szCs w:val="22"/>
        </w:rPr>
        <w:t xml:space="preserve">he </w:t>
      </w:r>
      <w:r w:rsidR="00B87030">
        <w:rPr>
          <w:rFonts w:ascii="Avenir Next" w:hAnsi="Avenir Next" w:cs="Arial"/>
          <w:color w:val="7B7B7B" w:themeColor="accent3" w:themeShade="BF"/>
          <w:sz w:val="22"/>
          <w:szCs w:val="22"/>
        </w:rPr>
        <w:t xml:space="preserve">foreign representative may </w:t>
      </w:r>
      <w:r w:rsidR="007F42C3">
        <w:rPr>
          <w:rFonts w:ascii="Avenir Next" w:hAnsi="Avenir Next" w:cs="Arial"/>
          <w:color w:val="7B7B7B" w:themeColor="accent3" w:themeShade="BF"/>
          <w:sz w:val="22"/>
          <w:szCs w:val="22"/>
        </w:rPr>
        <w:t>sell</w:t>
      </w:r>
      <w:r w:rsidR="00A82B18">
        <w:rPr>
          <w:rFonts w:ascii="Avenir Next" w:hAnsi="Avenir Next" w:cs="Arial"/>
          <w:color w:val="7B7B7B" w:themeColor="accent3" w:themeShade="BF"/>
          <w:sz w:val="22"/>
          <w:szCs w:val="22"/>
        </w:rPr>
        <w:t xml:space="preserve">, use </w:t>
      </w:r>
      <w:r w:rsidR="00B87030">
        <w:rPr>
          <w:rFonts w:ascii="Avenir Next" w:hAnsi="Avenir Next" w:cs="Arial"/>
          <w:color w:val="7B7B7B" w:themeColor="accent3" w:themeShade="BF"/>
          <w:sz w:val="22"/>
          <w:szCs w:val="22"/>
        </w:rPr>
        <w:t>or</w:t>
      </w:r>
      <w:r w:rsidR="00A82B18">
        <w:rPr>
          <w:rFonts w:ascii="Avenir Next" w:hAnsi="Avenir Next" w:cs="Arial"/>
          <w:color w:val="7B7B7B" w:themeColor="accent3" w:themeShade="BF"/>
          <w:sz w:val="22"/>
          <w:szCs w:val="22"/>
        </w:rPr>
        <w:t xml:space="preserve"> transfer debtor’s property outside the ordinary course of business.</w:t>
      </w:r>
      <w:r w:rsidR="003A5488">
        <w:rPr>
          <w:rFonts w:ascii="Avenir Next" w:hAnsi="Avenir Next" w:cs="Arial"/>
          <w:color w:val="7B7B7B" w:themeColor="accent3" w:themeShade="BF"/>
          <w:sz w:val="22"/>
          <w:szCs w:val="22"/>
        </w:rPr>
        <w:t xml:space="preserve"> In addition, “upon </w:t>
      </w:r>
      <w:r w:rsidR="003A5488" w:rsidRPr="003A5488">
        <w:rPr>
          <w:rFonts w:ascii="Avenir Next" w:hAnsi="Avenir Next" w:cs="Arial"/>
          <w:color w:val="7B7B7B" w:themeColor="accent3" w:themeShade="BF"/>
          <w:sz w:val="22"/>
          <w:szCs w:val="22"/>
        </w:rPr>
        <w:t>recognition of a foreign proceeding, the foreign representative may intervene in any proceedings in a State or Federal court in the United States in which the debtor is a party</w:t>
      </w:r>
      <w:r w:rsidR="003A5488">
        <w:rPr>
          <w:rFonts w:ascii="Avenir Next" w:hAnsi="Avenir Next" w:cs="Arial"/>
          <w:color w:val="7B7B7B" w:themeColor="accent3" w:themeShade="BF"/>
          <w:sz w:val="22"/>
          <w:szCs w:val="22"/>
        </w:rPr>
        <w:t xml:space="preserve">” (11 USC, </w:t>
      </w:r>
      <w:r w:rsidR="003A5488" w:rsidRPr="003A5488">
        <w:rPr>
          <w:rFonts w:ascii="Avenir Next" w:hAnsi="Avenir Next" w:cs="Arial"/>
          <w:color w:val="7B7B7B" w:themeColor="accent3" w:themeShade="BF"/>
          <w:sz w:val="22"/>
          <w:szCs w:val="22"/>
        </w:rPr>
        <w:t xml:space="preserve">§ </w:t>
      </w:r>
      <w:r w:rsidR="003A5488">
        <w:rPr>
          <w:rFonts w:ascii="Avenir Next" w:hAnsi="Avenir Next" w:cs="Arial"/>
          <w:color w:val="7B7B7B" w:themeColor="accent3" w:themeShade="BF"/>
          <w:sz w:val="22"/>
          <w:szCs w:val="22"/>
        </w:rPr>
        <w:t>1524)</w:t>
      </w:r>
      <w:r w:rsidR="009D078C">
        <w:rPr>
          <w:rFonts w:ascii="Avenir Next" w:hAnsi="Avenir Next" w:cs="Arial"/>
          <w:color w:val="7B7B7B" w:themeColor="accent3" w:themeShade="BF"/>
          <w:sz w:val="22"/>
          <w:szCs w:val="22"/>
        </w:rPr>
        <w:t>.</w:t>
      </w:r>
    </w:p>
    <w:p w14:paraId="4A46A9C9" w14:textId="703A3A2B" w:rsidR="00D66AB1" w:rsidRDefault="00D66AB1" w:rsidP="00180D9E">
      <w:pPr>
        <w:jc w:val="both"/>
        <w:rPr>
          <w:rFonts w:ascii="Avenir Next" w:hAnsi="Avenir Next" w:cs="Arial"/>
          <w:color w:val="7B7B7B" w:themeColor="accent3" w:themeShade="BF"/>
          <w:sz w:val="22"/>
          <w:szCs w:val="22"/>
        </w:rPr>
      </w:pPr>
    </w:p>
    <w:p w14:paraId="2E2FFFD8" w14:textId="5157DEC4" w:rsidR="00324473" w:rsidRDefault="00DD1E50" w:rsidP="004F2543">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All the aforementioned circumstances </w:t>
      </w:r>
      <w:r w:rsidR="008C7867">
        <w:rPr>
          <w:rFonts w:ascii="Avenir Next" w:hAnsi="Avenir Next" w:cs="Arial"/>
          <w:color w:val="7B7B7B" w:themeColor="accent3" w:themeShade="BF"/>
          <w:sz w:val="22"/>
          <w:szCs w:val="22"/>
        </w:rPr>
        <w:t>linked to</w:t>
      </w:r>
      <w:r>
        <w:rPr>
          <w:rFonts w:ascii="Avenir Next" w:hAnsi="Avenir Next" w:cs="Arial"/>
          <w:color w:val="7B7B7B" w:themeColor="accent3" w:themeShade="BF"/>
          <w:sz w:val="22"/>
          <w:szCs w:val="22"/>
        </w:rPr>
        <w:t xml:space="preserve"> a foreign main proceeding may</w:t>
      </w:r>
      <w:r w:rsidR="00C00775">
        <w:rPr>
          <w:rFonts w:ascii="Avenir Next" w:hAnsi="Avenir Next" w:cs="Arial"/>
          <w:color w:val="7B7B7B" w:themeColor="accent3" w:themeShade="BF"/>
          <w:sz w:val="22"/>
          <w:szCs w:val="22"/>
        </w:rPr>
        <w:t xml:space="preserve"> also </w:t>
      </w:r>
      <w:r>
        <w:rPr>
          <w:rFonts w:ascii="Avenir Next" w:hAnsi="Avenir Next" w:cs="Arial"/>
          <w:color w:val="7B7B7B" w:themeColor="accent3" w:themeShade="BF"/>
          <w:sz w:val="22"/>
          <w:szCs w:val="22"/>
        </w:rPr>
        <w:t>be</w:t>
      </w:r>
      <w:r w:rsidR="001665F3">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a</w:t>
      </w:r>
      <w:r w:rsidR="001665F3">
        <w:rPr>
          <w:rFonts w:ascii="Avenir Next" w:hAnsi="Avenir Next" w:cs="Arial"/>
          <w:color w:val="7B7B7B" w:themeColor="accent3" w:themeShade="BF"/>
          <w:sz w:val="22"/>
          <w:szCs w:val="22"/>
        </w:rPr>
        <w:t>vailable</w:t>
      </w:r>
      <w:r w:rsidR="002E1C42">
        <w:rPr>
          <w:rFonts w:ascii="Avenir Next" w:hAnsi="Avenir Next" w:cs="Arial"/>
          <w:color w:val="7B7B7B" w:themeColor="accent3" w:themeShade="BF"/>
          <w:sz w:val="22"/>
          <w:szCs w:val="22"/>
        </w:rPr>
        <w:t xml:space="preserve"> </w:t>
      </w:r>
      <w:r w:rsidR="001665F3">
        <w:rPr>
          <w:rFonts w:ascii="Avenir Next" w:hAnsi="Avenir Next" w:cs="Arial"/>
          <w:color w:val="7B7B7B" w:themeColor="accent3" w:themeShade="BF"/>
          <w:sz w:val="22"/>
          <w:szCs w:val="22"/>
        </w:rPr>
        <w:t>in the context of a foreign non-main proceeding</w:t>
      </w:r>
      <w:r>
        <w:rPr>
          <w:rFonts w:ascii="Avenir Next" w:hAnsi="Avenir Next" w:cs="Arial"/>
          <w:color w:val="7B7B7B" w:themeColor="accent3" w:themeShade="BF"/>
          <w:sz w:val="22"/>
          <w:szCs w:val="22"/>
        </w:rPr>
        <w:t xml:space="preserve"> on the basis of discretionary relief</w:t>
      </w:r>
      <w:r w:rsidR="002849FC">
        <w:rPr>
          <w:rFonts w:ascii="Avenir Next" w:hAnsi="Avenir Next" w:cs="Arial"/>
          <w:color w:val="7B7B7B" w:themeColor="accent3" w:themeShade="BF"/>
          <w:sz w:val="22"/>
          <w:szCs w:val="22"/>
        </w:rPr>
        <w:t xml:space="preserve">. </w:t>
      </w:r>
      <w:r w:rsidR="002E3095">
        <w:rPr>
          <w:rFonts w:ascii="Avenir Next" w:hAnsi="Avenir Next" w:cs="Arial"/>
          <w:color w:val="7B7B7B" w:themeColor="accent3" w:themeShade="BF"/>
          <w:sz w:val="22"/>
          <w:szCs w:val="22"/>
        </w:rPr>
        <w:t>U</w:t>
      </w:r>
      <w:r w:rsidR="004C14CA">
        <w:rPr>
          <w:rFonts w:ascii="Avenir Next" w:hAnsi="Avenir Next" w:cs="Arial"/>
          <w:color w:val="7B7B7B" w:themeColor="accent3" w:themeShade="BF"/>
          <w:sz w:val="22"/>
          <w:szCs w:val="22"/>
        </w:rPr>
        <w:t>pon rec</w:t>
      </w:r>
      <w:r>
        <w:rPr>
          <w:rFonts w:ascii="Avenir Next" w:hAnsi="Avenir Next" w:cs="Arial"/>
          <w:color w:val="7B7B7B" w:themeColor="accent3" w:themeShade="BF"/>
          <w:sz w:val="22"/>
          <w:szCs w:val="22"/>
        </w:rPr>
        <w:t>o</w:t>
      </w:r>
      <w:r w:rsidR="004C14CA">
        <w:rPr>
          <w:rFonts w:ascii="Avenir Next" w:hAnsi="Avenir Next" w:cs="Arial"/>
          <w:color w:val="7B7B7B" w:themeColor="accent3" w:themeShade="BF"/>
          <w:sz w:val="22"/>
          <w:szCs w:val="22"/>
        </w:rPr>
        <w:t>gnition of either a main or non-main foreign proceeding</w:t>
      </w:r>
      <w:r w:rsidR="00C00775">
        <w:rPr>
          <w:rFonts w:ascii="Avenir Next" w:hAnsi="Avenir Next" w:cs="Arial"/>
          <w:color w:val="7B7B7B" w:themeColor="accent3" w:themeShade="BF"/>
          <w:sz w:val="22"/>
          <w:szCs w:val="22"/>
        </w:rPr>
        <w:t>,</w:t>
      </w:r>
      <w:r w:rsidR="004C14CA">
        <w:rPr>
          <w:rFonts w:ascii="Avenir Next" w:hAnsi="Avenir Next" w:cs="Arial"/>
          <w:color w:val="7B7B7B" w:themeColor="accent3" w:themeShade="BF"/>
          <w:sz w:val="22"/>
          <w:szCs w:val="22"/>
        </w:rPr>
        <w:t xml:space="preserve"> discretionary relief may also be granted </w:t>
      </w:r>
      <w:r>
        <w:rPr>
          <w:rFonts w:ascii="Avenir Next" w:hAnsi="Avenir Next" w:cs="Arial"/>
          <w:color w:val="7B7B7B" w:themeColor="accent3" w:themeShade="BF"/>
          <w:sz w:val="22"/>
          <w:szCs w:val="22"/>
        </w:rPr>
        <w:t>if it</w:t>
      </w:r>
      <w:r w:rsidR="004C14CA">
        <w:rPr>
          <w:rFonts w:ascii="Avenir Next" w:hAnsi="Avenir Next" w:cs="Arial"/>
          <w:color w:val="7B7B7B" w:themeColor="accent3" w:themeShade="BF"/>
          <w:sz w:val="22"/>
          <w:szCs w:val="22"/>
        </w:rPr>
        <w:t xml:space="preserve"> refers to the following </w:t>
      </w:r>
      <w:r>
        <w:rPr>
          <w:rFonts w:ascii="Avenir Next" w:hAnsi="Avenir Next" w:cs="Arial"/>
          <w:color w:val="7B7B7B" w:themeColor="accent3" w:themeShade="BF"/>
          <w:sz w:val="22"/>
          <w:szCs w:val="22"/>
        </w:rPr>
        <w:t xml:space="preserve">specific </w:t>
      </w:r>
      <w:r w:rsidR="004C14CA">
        <w:rPr>
          <w:rFonts w:ascii="Avenir Next" w:hAnsi="Avenir Next" w:cs="Arial"/>
          <w:color w:val="7B7B7B" w:themeColor="accent3" w:themeShade="BF"/>
          <w:sz w:val="22"/>
          <w:szCs w:val="22"/>
        </w:rPr>
        <w:t>measures</w:t>
      </w:r>
      <w:r w:rsidR="00CC5E85">
        <w:rPr>
          <w:rFonts w:ascii="Avenir Next" w:hAnsi="Avenir Next" w:cs="Arial"/>
          <w:color w:val="7B7B7B" w:themeColor="accent3" w:themeShade="BF"/>
          <w:sz w:val="22"/>
          <w:szCs w:val="22"/>
        </w:rPr>
        <w:t xml:space="preserve"> (</w:t>
      </w:r>
      <w:r w:rsidR="00CC5E85">
        <w:rPr>
          <w:rFonts w:ascii="Avenir Next" w:hAnsi="Avenir Next" w:cs="Arial"/>
          <w:i/>
          <w:iCs/>
          <w:color w:val="7B7B7B" w:themeColor="accent3" w:themeShade="BF"/>
          <w:sz w:val="22"/>
          <w:szCs w:val="22"/>
        </w:rPr>
        <w:t xml:space="preserve">see </w:t>
      </w:r>
      <w:r w:rsidR="00CC5E85">
        <w:rPr>
          <w:rFonts w:ascii="Avenir Next" w:hAnsi="Avenir Next" w:cs="Arial"/>
          <w:color w:val="7B7B7B" w:themeColor="accent3" w:themeShade="BF"/>
          <w:sz w:val="22"/>
          <w:szCs w:val="22"/>
        </w:rPr>
        <w:t xml:space="preserve">11 USC, </w:t>
      </w:r>
      <w:r w:rsidR="00CC5E85" w:rsidRPr="00CC5E85">
        <w:rPr>
          <w:rFonts w:ascii="Avenir Next" w:hAnsi="Avenir Next" w:cs="Arial"/>
          <w:color w:val="7B7B7B" w:themeColor="accent3" w:themeShade="BF"/>
          <w:sz w:val="22"/>
          <w:szCs w:val="22"/>
        </w:rPr>
        <w:t>§</w:t>
      </w:r>
      <w:r w:rsidR="00CC5E85">
        <w:rPr>
          <w:rFonts w:ascii="Avenir Next" w:hAnsi="Avenir Next" w:cs="Arial"/>
          <w:color w:val="7B7B7B" w:themeColor="accent3" w:themeShade="BF"/>
          <w:sz w:val="22"/>
          <w:szCs w:val="22"/>
        </w:rPr>
        <w:t>1521)</w:t>
      </w:r>
      <w:r w:rsidR="004C14CA">
        <w:rPr>
          <w:rFonts w:ascii="Avenir Next" w:hAnsi="Avenir Next" w:cs="Arial"/>
          <w:color w:val="7B7B7B" w:themeColor="accent3" w:themeShade="BF"/>
          <w:sz w:val="22"/>
          <w:szCs w:val="22"/>
        </w:rPr>
        <w:t>.</w:t>
      </w:r>
      <w:r w:rsidR="002257BE">
        <w:rPr>
          <w:rFonts w:ascii="Avenir Next" w:hAnsi="Avenir Next" w:cs="Arial"/>
          <w:color w:val="7B7B7B" w:themeColor="accent3" w:themeShade="BF"/>
          <w:sz w:val="22"/>
          <w:szCs w:val="22"/>
        </w:rPr>
        <w:t xml:space="preserve"> Firstly, </w:t>
      </w:r>
      <w:r w:rsidR="00CC5E85">
        <w:rPr>
          <w:rFonts w:ascii="Avenir Next" w:hAnsi="Avenir Next" w:cs="Arial"/>
          <w:color w:val="7B7B7B" w:themeColor="accent3" w:themeShade="BF"/>
          <w:sz w:val="22"/>
          <w:szCs w:val="22"/>
        </w:rPr>
        <w:t xml:space="preserve">discretionary relief may </w:t>
      </w:r>
      <w:r w:rsidR="009B3952">
        <w:rPr>
          <w:rFonts w:ascii="Avenir Next" w:hAnsi="Avenir Next" w:cs="Arial"/>
          <w:color w:val="7B7B7B" w:themeColor="accent3" w:themeShade="BF"/>
          <w:sz w:val="22"/>
          <w:szCs w:val="22"/>
        </w:rPr>
        <w:t>relate to</w:t>
      </w:r>
      <w:r w:rsidR="00CC5E85">
        <w:rPr>
          <w:rFonts w:ascii="Avenir Next" w:hAnsi="Avenir Next" w:cs="Arial"/>
          <w:color w:val="7B7B7B" w:themeColor="accent3" w:themeShade="BF"/>
          <w:sz w:val="22"/>
          <w:szCs w:val="22"/>
        </w:rPr>
        <w:t xml:space="preserve"> authorizing </w:t>
      </w:r>
      <w:r w:rsidR="009B3952">
        <w:rPr>
          <w:rFonts w:ascii="Avenir Next" w:hAnsi="Avenir Next" w:cs="Arial"/>
          <w:color w:val="7B7B7B" w:themeColor="accent3" w:themeShade="BF"/>
          <w:sz w:val="22"/>
          <w:szCs w:val="22"/>
        </w:rPr>
        <w:t>the</w:t>
      </w:r>
      <w:r w:rsidR="00CC5E85">
        <w:rPr>
          <w:rFonts w:ascii="Avenir Next" w:hAnsi="Avenir Next" w:cs="Arial"/>
          <w:color w:val="7B7B7B" w:themeColor="accent3" w:themeShade="BF"/>
          <w:sz w:val="22"/>
          <w:szCs w:val="22"/>
        </w:rPr>
        <w:t xml:space="preserve"> discovery </w:t>
      </w:r>
      <w:r w:rsidR="006C7649">
        <w:rPr>
          <w:rFonts w:ascii="Avenir Next" w:hAnsi="Avenir Next" w:cs="Arial"/>
          <w:color w:val="7B7B7B" w:themeColor="accent3" w:themeShade="BF"/>
          <w:sz w:val="22"/>
          <w:szCs w:val="22"/>
        </w:rPr>
        <w:t>of</w:t>
      </w:r>
      <w:r w:rsidR="00CC5E85">
        <w:rPr>
          <w:rFonts w:ascii="Avenir Next" w:hAnsi="Avenir Next" w:cs="Arial"/>
          <w:color w:val="7B7B7B" w:themeColor="accent3" w:themeShade="BF"/>
          <w:sz w:val="22"/>
          <w:szCs w:val="22"/>
        </w:rPr>
        <w:t xml:space="preserve"> the </w:t>
      </w:r>
      <w:r w:rsidR="006C7649">
        <w:rPr>
          <w:rFonts w:ascii="Avenir Next" w:hAnsi="Avenir Next" w:cs="Arial"/>
          <w:color w:val="7B7B7B" w:themeColor="accent3" w:themeShade="BF"/>
          <w:sz w:val="22"/>
          <w:szCs w:val="22"/>
        </w:rPr>
        <w:t xml:space="preserve">debtor’s </w:t>
      </w:r>
      <w:r w:rsidR="00CC5E85">
        <w:rPr>
          <w:rFonts w:ascii="Avenir Next" w:hAnsi="Avenir Next" w:cs="Arial"/>
          <w:color w:val="7B7B7B" w:themeColor="accent3" w:themeShade="BF"/>
          <w:sz w:val="22"/>
          <w:szCs w:val="22"/>
        </w:rPr>
        <w:t xml:space="preserve">property and affairs </w:t>
      </w:r>
      <w:r w:rsidR="00324473">
        <w:rPr>
          <w:rFonts w:ascii="Avenir Next" w:hAnsi="Avenir Next" w:cs="Arial"/>
          <w:color w:val="7B7B7B" w:themeColor="accent3" w:themeShade="BF"/>
          <w:sz w:val="22"/>
          <w:szCs w:val="22"/>
        </w:rPr>
        <w:t xml:space="preserve">(“ […] </w:t>
      </w:r>
      <w:r w:rsidR="00324473" w:rsidRPr="00A162E5">
        <w:rPr>
          <w:rFonts w:ascii="Avenir Next" w:hAnsi="Avenir Next" w:cs="Arial"/>
          <w:color w:val="7B7B7B" w:themeColor="accent3" w:themeShade="BF"/>
          <w:sz w:val="22"/>
          <w:szCs w:val="22"/>
        </w:rPr>
        <w:t>providing for the examination of witnesses, the taking of evidence or the delivery of information concerning the debtor’s assets, affairs, rights, obligations or liabilities</w:t>
      </w:r>
      <w:r w:rsidR="00324473">
        <w:rPr>
          <w:rFonts w:ascii="Avenir Next" w:hAnsi="Avenir Next" w:cs="Arial"/>
          <w:color w:val="7B7B7B" w:themeColor="accent3" w:themeShade="BF"/>
          <w:sz w:val="22"/>
          <w:szCs w:val="22"/>
        </w:rPr>
        <w:t xml:space="preserve">” […], </w:t>
      </w:r>
      <w:r w:rsidR="00324473">
        <w:rPr>
          <w:rFonts w:ascii="Avenir Next" w:hAnsi="Avenir Next" w:cs="Arial"/>
          <w:i/>
          <w:iCs/>
          <w:color w:val="7B7B7B" w:themeColor="accent3" w:themeShade="BF"/>
          <w:sz w:val="22"/>
          <w:szCs w:val="22"/>
        </w:rPr>
        <w:t xml:space="preserve">see </w:t>
      </w:r>
      <w:r w:rsidR="00324473">
        <w:rPr>
          <w:rFonts w:ascii="Avenir Next" w:hAnsi="Avenir Next" w:cs="Arial"/>
          <w:color w:val="7B7B7B" w:themeColor="accent3" w:themeShade="BF"/>
          <w:sz w:val="22"/>
          <w:szCs w:val="22"/>
        </w:rPr>
        <w:t xml:space="preserve">11 USC, </w:t>
      </w:r>
      <w:r w:rsidR="00324473" w:rsidRPr="00CC5E85">
        <w:rPr>
          <w:rFonts w:ascii="Avenir Next" w:hAnsi="Avenir Next" w:cs="Arial"/>
          <w:color w:val="7B7B7B" w:themeColor="accent3" w:themeShade="BF"/>
          <w:sz w:val="22"/>
          <w:szCs w:val="22"/>
        </w:rPr>
        <w:t>§</w:t>
      </w:r>
      <w:r w:rsidR="00324473">
        <w:rPr>
          <w:rFonts w:ascii="Avenir Next" w:hAnsi="Avenir Next" w:cs="Arial"/>
          <w:color w:val="7B7B7B" w:themeColor="accent3" w:themeShade="BF"/>
          <w:sz w:val="22"/>
          <w:szCs w:val="22"/>
        </w:rPr>
        <w:t>1521(a))</w:t>
      </w:r>
      <w:r w:rsidR="00CC5E85">
        <w:rPr>
          <w:rFonts w:ascii="Avenir Next" w:hAnsi="Avenir Next" w:cs="Arial"/>
          <w:color w:val="7B7B7B" w:themeColor="accent3" w:themeShade="BF"/>
          <w:sz w:val="22"/>
          <w:szCs w:val="22"/>
        </w:rPr>
        <w:t>. Secondly, relief may concern entrusting the administration of the debtor’s assets</w:t>
      </w:r>
      <w:r w:rsidR="00D0044F">
        <w:rPr>
          <w:rFonts w:ascii="Avenir Next" w:hAnsi="Avenir Next" w:cs="Arial"/>
          <w:color w:val="7B7B7B" w:themeColor="accent3" w:themeShade="BF"/>
          <w:sz w:val="22"/>
          <w:szCs w:val="22"/>
        </w:rPr>
        <w:t>,</w:t>
      </w:r>
      <w:r w:rsidR="00CC5E85">
        <w:rPr>
          <w:rFonts w:ascii="Avenir Next" w:hAnsi="Avenir Next" w:cs="Arial"/>
          <w:color w:val="7B7B7B" w:themeColor="accent3" w:themeShade="BF"/>
          <w:sz w:val="22"/>
          <w:szCs w:val="22"/>
        </w:rPr>
        <w:t xml:space="preserve"> that are situated in the United States</w:t>
      </w:r>
      <w:r w:rsidR="00D0044F">
        <w:rPr>
          <w:rFonts w:ascii="Avenir Next" w:hAnsi="Avenir Next" w:cs="Arial"/>
          <w:color w:val="7B7B7B" w:themeColor="accent3" w:themeShade="BF"/>
          <w:sz w:val="22"/>
          <w:szCs w:val="22"/>
        </w:rPr>
        <w:t>,</w:t>
      </w:r>
      <w:r w:rsidR="00CC5E85">
        <w:rPr>
          <w:rFonts w:ascii="Avenir Next" w:hAnsi="Avenir Next" w:cs="Arial"/>
          <w:color w:val="7B7B7B" w:themeColor="accent3" w:themeShade="BF"/>
          <w:sz w:val="22"/>
          <w:szCs w:val="22"/>
        </w:rPr>
        <w:t xml:space="preserve"> to the foreign representative or another person</w:t>
      </w:r>
      <w:r w:rsidR="00EF54B2">
        <w:rPr>
          <w:rFonts w:ascii="Avenir Next" w:hAnsi="Avenir Next" w:cs="Arial"/>
          <w:color w:val="7B7B7B" w:themeColor="accent3" w:themeShade="BF"/>
          <w:sz w:val="22"/>
          <w:szCs w:val="22"/>
        </w:rPr>
        <w:t>,</w:t>
      </w:r>
      <w:r w:rsidR="00324473">
        <w:rPr>
          <w:rFonts w:ascii="Avenir Next" w:hAnsi="Avenir Next" w:cs="Arial"/>
          <w:color w:val="7B7B7B" w:themeColor="accent3" w:themeShade="BF"/>
          <w:sz w:val="22"/>
          <w:szCs w:val="22"/>
        </w:rPr>
        <w:t xml:space="preserve"> “</w:t>
      </w:r>
      <w:r w:rsidR="00324473" w:rsidRPr="00324473">
        <w:rPr>
          <w:rFonts w:ascii="Avenir Next" w:hAnsi="Avenir Next" w:cs="Arial"/>
          <w:color w:val="7B7B7B" w:themeColor="accent3" w:themeShade="BF"/>
          <w:sz w:val="22"/>
          <w:szCs w:val="22"/>
        </w:rPr>
        <w:t>provided that the court is satisfied that the interests of creditors in the United States are sufficiently protected</w:t>
      </w:r>
      <w:r w:rsidR="00324473">
        <w:rPr>
          <w:rFonts w:ascii="Avenir Next" w:hAnsi="Avenir Next" w:cs="Arial"/>
          <w:color w:val="7B7B7B" w:themeColor="accent3" w:themeShade="BF"/>
          <w:sz w:val="22"/>
          <w:szCs w:val="22"/>
        </w:rPr>
        <w:t>” (</w:t>
      </w:r>
      <w:r w:rsidR="00324473">
        <w:rPr>
          <w:rFonts w:ascii="Avenir Next" w:hAnsi="Avenir Next" w:cs="Arial"/>
          <w:i/>
          <w:iCs/>
          <w:color w:val="7B7B7B" w:themeColor="accent3" w:themeShade="BF"/>
          <w:sz w:val="22"/>
          <w:szCs w:val="22"/>
        </w:rPr>
        <w:t xml:space="preserve">see </w:t>
      </w:r>
      <w:r w:rsidR="00324473">
        <w:rPr>
          <w:rFonts w:ascii="Avenir Next" w:hAnsi="Avenir Next" w:cs="Arial"/>
          <w:color w:val="7B7B7B" w:themeColor="accent3" w:themeShade="BF"/>
          <w:sz w:val="22"/>
          <w:szCs w:val="22"/>
        </w:rPr>
        <w:t xml:space="preserve">11 USC, </w:t>
      </w:r>
      <w:r w:rsidR="00324473" w:rsidRPr="00324473">
        <w:rPr>
          <w:rFonts w:ascii="Avenir Next" w:hAnsi="Avenir Next" w:cs="Arial"/>
          <w:color w:val="7B7B7B" w:themeColor="accent3" w:themeShade="BF"/>
          <w:sz w:val="22"/>
          <w:szCs w:val="22"/>
        </w:rPr>
        <w:t xml:space="preserve">§ </w:t>
      </w:r>
      <w:r w:rsidR="00324473">
        <w:rPr>
          <w:rFonts w:ascii="Avenir Next" w:hAnsi="Avenir Next" w:cs="Arial"/>
          <w:color w:val="7B7B7B" w:themeColor="accent3" w:themeShade="BF"/>
          <w:sz w:val="22"/>
          <w:szCs w:val="22"/>
        </w:rPr>
        <w:t>1521(b))</w:t>
      </w:r>
      <w:r w:rsidR="00CC5E85">
        <w:rPr>
          <w:rFonts w:ascii="Avenir Next" w:hAnsi="Avenir Next" w:cs="Arial"/>
          <w:color w:val="7B7B7B" w:themeColor="accent3" w:themeShade="BF"/>
          <w:sz w:val="22"/>
          <w:szCs w:val="22"/>
        </w:rPr>
        <w:t xml:space="preserve">. </w:t>
      </w:r>
      <w:r w:rsidR="00BA31C6">
        <w:rPr>
          <w:rFonts w:ascii="Avenir Next" w:hAnsi="Avenir Next" w:cs="Arial"/>
          <w:color w:val="7B7B7B" w:themeColor="accent3" w:themeShade="BF"/>
          <w:sz w:val="22"/>
          <w:szCs w:val="22"/>
        </w:rPr>
        <w:t xml:space="preserve">Thirdly, relief may also refer to any extension of relief already granted in accordance with </w:t>
      </w:r>
      <w:r w:rsidR="00BA31C6" w:rsidRPr="00BA31C6">
        <w:rPr>
          <w:rFonts w:ascii="Avenir Next" w:hAnsi="Avenir Next" w:cs="Arial"/>
          <w:color w:val="7B7B7B" w:themeColor="accent3" w:themeShade="BF"/>
          <w:sz w:val="22"/>
          <w:szCs w:val="22"/>
        </w:rPr>
        <w:t>section 1519(a)</w:t>
      </w:r>
      <w:r w:rsidR="00BA31C6">
        <w:rPr>
          <w:rFonts w:ascii="Avenir Next" w:hAnsi="Avenir Next" w:cs="Arial"/>
          <w:color w:val="7B7B7B" w:themeColor="accent3" w:themeShade="BF"/>
          <w:sz w:val="22"/>
          <w:szCs w:val="22"/>
        </w:rPr>
        <w:t xml:space="preserve"> on an interim (provisional) basis.</w:t>
      </w:r>
      <w:r w:rsidR="0017668D">
        <w:rPr>
          <w:rFonts w:ascii="Avenir Next" w:hAnsi="Avenir Next" w:cs="Arial"/>
          <w:color w:val="7B7B7B" w:themeColor="accent3" w:themeShade="BF"/>
          <w:sz w:val="22"/>
          <w:szCs w:val="22"/>
        </w:rPr>
        <w:t xml:space="preserve"> </w:t>
      </w:r>
      <w:r w:rsidR="00A162E5">
        <w:rPr>
          <w:rFonts w:ascii="Avenir Next" w:hAnsi="Avenir Next" w:cs="Arial"/>
          <w:color w:val="7B7B7B" w:themeColor="accent3" w:themeShade="BF"/>
          <w:sz w:val="22"/>
          <w:szCs w:val="22"/>
        </w:rPr>
        <w:t xml:space="preserve">Lastly, relief on a discretionary basis may </w:t>
      </w:r>
      <w:r w:rsidR="00455738">
        <w:rPr>
          <w:rFonts w:ascii="Avenir Next" w:hAnsi="Avenir Next" w:cs="Arial"/>
          <w:color w:val="7B7B7B" w:themeColor="accent3" w:themeShade="BF"/>
          <w:sz w:val="22"/>
          <w:szCs w:val="22"/>
        </w:rPr>
        <w:t>concern</w:t>
      </w:r>
      <w:r w:rsidR="0017668D">
        <w:rPr>
          <w:rFonts w:ascii="Avenir Next" w:hAnsi="Avenir Next" w:cs="Arial"/>
          <w:color w:val="7B7B7B" w:themeColor="accent3" w:themeShade="BF"/>
          <w:sz w:val="22"/>
          <w:szCs w:val="22"/>
        </w:rPr>
        <w:t xml:space="preserve"> </w:t>
      </w:r>
      <w:r w:rsidR="00175B92">
        <w:rPr>
          <w:rFonts w:ascii="Avenir Next" w:hAnsi="Avenir Next" w:cs="Arial"/>
          <w:color w:val="7B7B7B" w:themeColor="accent3" w:themeShade="BF"/>
          <w:sz w:val="22"/>
          <w:szCs w:val="22"/>
        </w:rPr>
        <w:t xml:space="preserve">any relief necessary and available to a US trustee and especially one that would fulfill the scope of a </w:t>
      </w:r>
      <w:r w:rsidR="004066C5">
        <w:rPr>
          <w:rFonts w:ascii="Avenir Next" w:hAnsi="Avenir Next" w:cs="Arial"/>
          <w:color w:val="7B7B7B" w:themeColor="accent3" w:themeShade="BF"/>
          <w:sz w:val="22"/>
          <w:szCs w:val="22"/>
        </w:rPr>
        <w:t>C</w:t>
      </w:r>
      <w:r w:rsidR="00175B92">
        <w:rPr>
          <w:rFonts w:ascii="Avenir Next" w:hAnsi="Avenir Next" w:cs="Arial"/>
          <w:color w:val="7B7B7B" w:themeColor="accent3" w:themeShade="BF"/>
          <w:sz w:val="22"/>
          <w:szCs w:val="22"/>
        </w:rPr>
        <w:t>hapter 15 proceeding while preserving the interest</w:t>
      </w:r>
      <w:r w:rsidR="009A7B05">
        <w:rPr>
          <w:rFonts w:ascii="Avenir Next" w:hAnsi="Avenir Next" w:cs="Arial"/>
          <w:color w:val="7B7B7B" w:themeColor="accent3" w:themeShade="BF"/>
          <w:sz w:val="22"/>
          <w:szCs w:val="22"/>
        </w:rPr>
        <w:t>s</w:t>
      </w:r>
      <w:r w:rsidR="00175B92">
        <w:rPr>
          <w:rFonts w:ascii="Avenir Next" w:hAnsi="Avenir Next" w:cs="Arial"/>
          <w:color w:val="7B7B7B" w:themeColor="accent3" w:themeShade="BF"/>
          <w:sz w:val="22"/>
          <w:szCs w:val="22"/>
        </w:rPr>
        <w:t xml:space="preserve"> of creditors and the assets</w:t>
      </w:r>
      <w:r w:rsidR="008D1B30">
        <w:rPr>
          <w:rFonts w:ascii="Avenir Next" w:hAnsi="Avenir Next" w:cs="Arial"/>
          <w:color w:val="7B7B7B" w:themeColor="accent3" w:themeShade="BF"/>
          <w:sz w:val="22"/>
          <w:szCs w:val="22"/>
        </w:rPr>
        <w:t xml:space="preserve"> of the debtor</w:t>
      </w:r>
      <w:r w:rsidR="00175B92">
        <w:rPr>
          <w:rFonts w:ascii="Avenir Next" w:hAnsi="Avenir Next" w:cs="Arial"/>
          <w:color w:val="7B7B7B" w:themeColor="accent3" w:themeShade="BF"/>
          <w:sz w:val="22"/>
          <w:szCs w:val="22"/>
        </w:rPr>
        <w:t>.</w:t>
      </w:r>
      <w:r w:rsidR="009A7B05">
        <w:rPr>
          <w:rFonts w:ascii="Avenir Next" w:hAnsi="Avenir Next" w:cs="Arial"/>
          <w:color w:val="7B7B7B" w:themeColor="accent3" w:themeShade="BF"/>
          <w:sz w:val="22"/>
          <w:szCs w:val="22"/>
        </w:rPr>
        <w:t xml:space="preserve"> For </w:t>
      </w:r>
      <w:r w:rsidR="00457AC8">
        <w:rPr>
          <w:rFonts w:ascii="Avenir Next" w:hAnsi="Avenir Next" w:cs="Arial"/>
          <w:color w:val="7B7B7B" w:themeColor="accent3" w:themeShade="BF"/>
          <w:sz w:val="22"/>
          <w:szCs w:val="22"/>
        </w:rPr>
        <w:t xml:space="preserve">the purpose of granting </w:t>
      </w:r>
      <w:r w:rsidR="009A7B05">
        <w:rPr>
          <w:rFonts w:ascii="Avenir Next" w:hAnsi="Avenir Next" w:cs="Arial"/>
          <w:color w:val="7B7B7B" w:themeColor="accent3" w:themeShade="BF"/>
          <w:sz w:val="22"/>
          <w:szCs w:val="22"/>
        </w:rPr>
        <w:t xml:space="preserve">additional assistance, it might be useful to </w:t>
      </w:r>
      <w:r w:rsidR="00457AC8">
        <w:rPr>
          <w:rFonts w:ascii="Avenir Next" w:hAnsi="Avenir Next" w:cs="Arial"/>
          <w:color w:val="7B7B7B" w:themeColor="accent3" w:themeShade="BF"/>
          <w:sz w:val="22"/>
          <w:szCs w:val="22"/>
        </w:rPr>
        <w:t xml:space="preserve">also </w:t>
      </w:r>
      <w:r w:rsidR="009A7B05">
        <w:rPr>
          <w:rFonts w:ascii="Avenir Next" w:hAnsi="Avenir Next" w:cs="Arial"/>
          <w:color w:val="7B7B7B" w:themeColor="accent3" w:themeShade="BF"/>
          <w:sz w:val="22"/>
          <w:szCs w:val="22"/>
        </w:rPr>
        <w:t xml:space="preserve">examine section 1507(b) in which </w:t>
      </w:r>
      <w:r w:rsidR="00457AC8">
        <w:rPr>
          <w:rFonts w:ascii="Avenir Next" w:hAnsi="Avenir Next" w:cs="Arial"/>
          <w:color w:val="7B7B7B" w:themeColor="accent3" w:themeShade="BF"/>
          <w:sz w:val="22"/>
          <w:szCs w:val="22"/>
        </w:rPr>
        <w:t>specific</w:t>
      </w:r>
      <w:r w:rsidR="009A7B05">
        <w:rPr>
          <w:rFonts w:ascii="Avenir Next" w:hAnsi="Avenir Next" w:cs="Arial"/>
          <w:color w:val="7B7B7B" w:themeColor="accent3" w:themeShade="BF"/>
          <w:sz w:val="22"/>
          <w:szCs w:val="22"/>
        </w:rPr>
        <w:t xml:space="preserve"> factors are</w:t>
      </w:r>
      <w:r w:rsidR="00EF64CE">
        <w:rPr>
          <w:rFonts w:ascii="Avenir Next" w:hAnsi="Avenir Next" w:cs="Arial"/>
          <w:color w:val="7B7B7B" w:themeColor="accent3" w:themeShade="BF"/>
          <w:sz w:val="22"/>
          <w:szCs w:val="22"/>
        </w:rPr>
        <w:t xml:space="preserve"> </w:t>
      </w:r>
      <w:r w:rsidR="009A7B05">
        <w:rPr>
          <w:rFonts w:ascii="Avenir Next" w:hAnsi="Avenir Next" w:cs="Arial"/>
          <w:color w:val="7B7B7B" w:themeColor="accent3" w:themeShade="BF"/>
          <w:sz w:val="22"/>
          <w:szCs w:val="22"/>
        </w:rPr>
        <w:t xml:space="preserve">listed alongside the </w:t>
      </w:r>
      <w:r w:rsidR="004F2543">
        <w:rPr>
          <w:rFonts w:ascii="Avenir Next" w:hAnsi="Avenir Next" w:cs="Arial"/>
          <w:color w:val="7B7B7B" w:themeColor="accent3" w:themeShade="BF"/>
          <w:sz w:val="22"/>
          <w:szCs w:val="22"/>
        </w:rPr>
        <w:t>principles</w:t>
      </w:r>
      <w:r w:rsidR="009A7B05">
        <w:rPr>
          <w:rFonts w:ascii="Avenir Next" w:hAnsi="Avenir Next" w:cs="Arial"/>
          <w:color w:val="7B7B7B" w:themeColor="accent3" w:themeShade="BF"/>
          <w:sz w:val="22"/>
          <w:szCs w:val="22"/>
        </w:rPr>
        <w:t xml:space="preserve"> of comity. </w:t>
      </w:r>
      <w:r w:rsidR="008B1010">
        <w:rPr>
          <w:rFonts w:ascii="Avenir Next" w:hAnsi="Avenir Next" w:cs="Arial"/>
          <w:color w:val="7B7B7B" w:themeColor="accent3" w:themeShade="BF"/>
          <w:sz w:val="22"/>
          <w:szCs w:val="22"/>
        </w:rPr>
        <w:t>Pursuant to section 152</w:t>
      </w:r>
      <w:r w:rsidR="00EF6155">
        <w:rPr>
          <w:rFonts w:ascii="Avenir Next" w:hAnsi="Avenir Next" w:cs="Arial"/>
          <w:color w:val="7B7B7B" w:themeColor="accent3" w:themeShade="BF"/>
          <w:sz w:val="22"/>
          <w:szCs w:val="22"/>
        </w:rPr>
        <w:t>1</w:t>
      </w:r>
      <w:r w:rsidR="008B1010">
        <w:rPr>
          <w:rFonts w:ascii="Avenir Next" w:hAnsi="Avenir Next" w:cs="Arial"/>
          <w:color w:val="7B7B7B" w:themeColor="accent3" w:themeShade="BF"/>
          <w:sz w:val="22"/>
          <w:szCs w:val="22"/>
        </w:rPr>
        <w:t xml:space="preserve">(c), </w:t>
      </w:r>
      <w:r w:rsidR="003B6C3D">
        <w:rPr>
          <w:rFonts w:ascii="Avenir Next" w:hAnsi="Avenir Next" w:cs="Arial"/>
          <w:color w:val="7B7B7B" w:themeColor="accent3" w:themeShade="BF"/>
          <w:sz w:val="22"/>
          <w:szCs w:val="22"/>
        </w:rPr>
        <w:t>with respect to discretionary relief of a non-main proceeding</w:t>
      </w:r>
      <w:r w:rsidR="00767DCE">
        <w:rPr>
          <w:rFonts w:ascii="Avenir Next" w:hAnsi="Avenir Next" w:cs="Arial"/>
          <w:color w:val="7B7B7B" w:themeColor="accent3" w:themeShade="BF"/>
          <w:sz w:val="22"/>
          <w:szCs w:val="22"/>
        </w:rPr>
        <w:t>,</w:t>
      </w:r>
      <w:r w:rsidR="003B6C3D">
        <w:rPr>
          <w:rFonts w:ascii="Avenir Next" w:hAnsi="Avenir Next" w:cs="Arial"/>
          <w:color w:val="7B7B7B" w:themeColor="accent3" w:themeShade="BF"/>
          <w:sz w:val="22"/>
          <w:szCs w:val="22"/>
        </w:rPr>
        <w:t xml:space="preserve"> the bankruptcy court must be satisfied </w:t>
      </w:r>
      <w:r w:rsidR="00EF64CE" w:rsidRPr="00EF64CE">
        <w:rPr>
          <w:rFonts w:ascii="Avenir Next" w:hAnsi="Avenir Next" w:cs="Arial"/>
          <w:color w:val="7B7B7B" w:themeColor="accent3" w:themeShade="BF"/>
          <w:sz w:val="22"/>
          <w:szCs w:val="22"/>
        </w:rPr>
        <w:t xml:space="preserve">as to the appropriateness of the </w:t>
      </w:r>
      <w:r w:rsidR="00EF64CE">
        <w:rPr>
          <w:rFonts w:ascii="Avenir Next" w:hAnsi="Avenir Next" w:cs="Arial"/>
          <w:color w:val="7B7B7B" w:themeColor="accent3" w:themeShade="BF"/>
          <w:sz w:val="22"/>
          <w:szCs w:val="22"/>
        </w:rPr>
        <w:t>administration</w:t>
      </w:r>
      <w:r w:rsidR="00EF64CE" w:rsidRPr="00EF64CE">
        <w:rPr>
          <w:rFonts w:ascii="Avenir Next" w:hAnsi="Avenir Next" w:cs="Arial"/>
          <w:color w:val="7B7B7B" w:themeColor="accent3" w:themeShade="BF"/>
          <w:sz w:val="22"/>
          <w:szCs w:val="22"/>
        </w:rPr>
        <w:t xml:space="preserve"> of assets located in the United States by the foreign non-main proceeding</w:t>
      </w:r>
      <w:r w:rsidR="003B6C3D">
        <w:rPr>
          <w:rFonts w:ascii="Avenir Next" w:hAnsi="Avenir Next" w:cs="Arial"/>
          <w:color w:val="7B7B7B" w:themeColor="accent3" w:themeShade="BF"/>
          <w:sz w:val="22"/>
          <w:szCs w:val="22"/>
        </w:rPr>
        <w:t xml:space="preserve">. </w:t>
      </w:r>
      <w:r w:rsidR="004F11A6">
        <w:rPr>
          <w:rFonts w:ascii="Avenir Next" w:hAnsi="Avenir Next" w:cs="Arial"/>
          <w:color w:val="7B7B7B" w:themeColor="accent3" w:themeShade="BF"/>
          <w:sz w:val="22"/>
          <w:szCs w:val="22"/>
        </w:rPr>
        <w:t>Moreover</w:t>
      </w:r>
      <w:r w:rsidR="0067404C">
        <w:rPr>
          <w:rFonts w:ascii="Avenir Next" w:hAnsi="Avenir Next" w:cs="Arial"/>
          <w:color w:val="7B7B7B" w:themeColor="accent3" w:themeShade="BF"/>
          <w:sz w:val="22"/>
          <w:szCs w:val="22"/>
        </w:rPr>
        <w:t xml:space="preserve">, </w:t>
      </w:r>
      <w:r w:rsidR="00C14547" w:rsidRPr="00C14547">
        <w:rPr>
          <w:rFonts w:ascii="Avenir Next" w:hAnsi="Avenir Next" w:cs="Arial"/>
          <w:color w:val="7B7B7B" w:themeColor="accent3" w:themeShade="BF"/>
          <w:sz w:val="22"/>
          <w:szCs w:val="22"/>
        </w:rPr>
        <w:t>there is a significant difference in the level of protection afforded in foreign main proceeding</w:t>
      </w:r>
      <w:r w:rsidR="00C14547">
        <w:rPr>
          <w:rFonts w:ascii="Avenir Next" w:hAnsi="Avenir Next" w:cs="Arial"/>
          <w:color w:val="7B7B7B" w:themeColor="accent3" w:themeShade="BF"/>
          <w:sz w:val="22"/>
          <w:szCs w:val="22"/>
        </w:rPr>
        <w:t>s</w:t>
      </w:r>
      <w:r w:rsidR="00C14547" w:rsidRPr="00C14547">
        <w:rPr>
          <w:rFonts w:ascii="Avenir Next" w:hAnsi="Avenir Next" w:cs="Arial"/>
          <w:color w:val="7B7B7B" w:themeColor="accent3" w:themeShade="BF"/>
          <w:sz w:val="22"/>
          <w:szCs w:val="22"/>
        </w:rPr>
        <w:t xml:space="preserve"> compared to that of foreign non-main proceedings, which appears to be lower</w:t>
      </w:r>
      <w:r w:rsidR="006A6D3C">
        <w:rPr>
          <w:rFonts w:ascii="Avenir Next" w:hAnsi="Avenir Next" w:cs="Arial"/>
          <w:color w:val="7B7B7B" w:themeColor="accent3" w:themeShade="BF"/>
          <w:sz w:val="22"/>
          <w:szCs w:val="22"/>
        </w:rPr>
        <w:t xml:space="preserve">. </w:t>
      </w:r>
      <w:r w:rsidR="004F11A6">
        <w:rPr>
          <w:rFonts w:ascii="Avenir Next" w:hAnsi="Avenir Next" w:cs="Arial"/>
          <w:color w:val="7B7B7B" w:themeColor="accent3" w:themeShade="BF"/>
          <w:sz w:val="22"/>
          <w:szCs w:val="22"/>
        </w:rPr>
        <w:t>In fact, s</w:t>
      </w:r>
      <w:r w:rsidR="009F486E">
        <w:rPr>
          <w:rFonts w:ascii="Avenir Next" w:hAnsi="Avenir Next" w:cs="Arial"/>
          <w:color w:val="7B7B7B" w:themeColor="accent3" w:themeShade="BF"/>
          <w:sz w:val="22"/>
          <w:szCs w:val="22"/>
        </w:rPr>
        <w:t xml:space="preserve">ection 1522 </w:t>
      </w:r>
      <w:r w:rsidR="00E83AB4">
        <w:rPr>
          <w:rFonts w:ascii="Avenir Next" w:hAnsi="Avenir Next" w:cs="Arial"/>
          <w:color w:val="7B7B7B" w:themeColor="accent3" w:themeShade="BF"/>
          <w:sz w:val="22"/>
          <w:szCs w:val="22"/>
        </w:rPr>
        <w:t>enables the bankruptcy court to discontinue discretionary relief granted upon request of an interested party</w:t>
      </w:r>
      <w:r w:rsidR="00917DD3">
        <w:rPr>
          <w:rFonts w:ascii="Avenir Next" w:hAnsi="Avenir Next" w:cs="Arial"/>
          <w:color w:val="7B7B7B" w:themeColor="accent3" w:themeShade="BF"/>
          <w:sz w:val="22"/>
          <w:szCs w:val="22"/>
        </w:rPr>
        <w:t xml:space="preserve"> and to “</w:t>
      </w:r>
      <w:r w:rsidR="00917DD3" w:rsidRPr="00917DD3">
        <w:rPr>
          <w:rFonts w:ascii="Avenir Next" w:hAnsi="Avenir Next" w:cs="Arial"/>
          <w:color w:val="7B7B7B" w:themeColor="accent3" w:themeShade="BF"/>
          <w:sz w:val="22"/>
          <w:szCs w:val="22"/>
        </w:rPr>
        <w:t>subject relief granted under section 1519 or 1521, or the operation of the debtor’s business under section 1520(a)(3), to conditions it considers appropriate, including the giving of security or the filing of a bond</w:t>
      </w:r>
      <w:r w:rsidR="00917DD3">
        <w:rPr>
          <w:rFonts w:ascii="Avenir Next" w:hAnsi="Avenir Next" w:cs="Arial"/>
          <w:color w:val="7B7B7B" w:themeColor="accent3" w:themeShade="BF"/>
          <w:sz w:val="22"/>
          <w:szCs w:val="22"/>
        </w:rPr>
        <w:t>” (</w:t>
      </w:r>
      <w:r w:rsidR="00917DD3">
        <w:rPr>
          <w:rFonts w:ascii="Avenir Next" w:hAnsi="Avenir Next" w:cs="Arial"/>
          <w:i/>
          <w:iCs/>
          <w:color w:val="7B7B7B" w:themeColor="accent3" w:themeShade="BF"/>
          <w:sz w:val="22"/>
          <w:szCs w:val="22"/>
        </w:rPr>
        <w:t xml:space="preserve">see </w:t>
      </w:r>
      <w:r w:rsidR="00917DD3">
        <w:rPr>
          <w:rFonts w:ascii="Avenir Next" w:hAnsi="Avenir Next" w:cs="Arial"/>
          <w:color w:val="7B7B7B" w:themeColor="accent3" w:themeShade="BF"/>
          <w:sz w:val="22"/>
          <w:szCs w:val="22"/>
        </w:rPr>
        <w:t xml:space="preserve">11 USC, </w:t>
      </w:r>
      <w:r w:rsidR="00917DD3" w:rsidRPr="00917DD3">
        <w:rPr>
          <w:rFonts w:ascii="Avenir Next" w:hAnsi="Avenir Next" w:cs="Arial"/>
          <w:color w:val="7B7B7B" w:themeColor="accent3" w:themeShade="BF"/>
          <w:sz w:val="22"/>
          <w:szCs w:val="22"/>
        </w:rPr>
        <w:t>§</w:t>
      </w:r>
      <w:r w:rsidR="00917DD3">
        <w:rPr>
          <w:rFonts w:ascii="Avenir Next" w:hAnsi="Avenir Next" w:cs="Arial"/>
          <w:color w:val="7B7B7B" w:themeColor="accent3" w:themeShade="BF"/>
          <w:sz w:val="22"/>
          <w:szCs w:val="22"/>
        </w:rPr>
        <w:t xml:space="preserve"> 1522).</w:t>
      </w:r>
    </w:p>
    <w:p w14:paraId="2E178CB2" w14:textId="77777777" w:rsidR="004F2543" w:rsidRPr="004F2543" w:rsidRDefault="004F2543" w:rsidP="004F2543">
      <w:pPr>
        <w:jc w:val="both"/>
        <w:rPr>
          <w:rFonts w:ascii="Avenir Next" w:hAnsi="Avenir Next" w:cs="Arial"/>
          <w:color w:val="7B7B7B" w:themeColor="accent3" w:themeShade="BF"/>
          <w:sz w:val="22"/>
          <w:szCs w:val="22"/>
        </w:rPr>
      </w:pP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What duties do directors owe to a Delaware corporation in the ordinary course of business? To whom are these duties owed when the corporation is potentially or actually insolvent?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600BCF7E" w14:textId="28A4A2FE" w:rsidR="00073506" w:rsidRPr="00073506" w:rsidRDefault="00073506" w:rsidP="00073506">
      <w:pPr>
        <w:jc w:val="both"/>
        <w:rPr>
          <w:rFonts w:ascii="Avenir Next" w:hAnsi="Avenir Next" w:cs="Arial"/>
          <w:color w:val="7B7B7B" w:themeColor="accent3" w:themeShade="BF"/>
          <w:sz w:val="22"/>
          <w:szCs w:val="22"/>
          <w:lang w:val="en-GB"/>
        </w:rPr>
      </w:pPr>
      <w:r w:rsidRPr="00073506">
        <w:rPr>
          <w:rFonts w:ascii="Avenir Next" w:hAnsi="Avenir Next" w:cs="Arial"/>
          <w:color w:val="7B7B7B" w:themeColor="accent3" w:themeShade="BF"/>
          <w:sz w:val="22"/>
          <w:szCs w:val="22"/>
          <w:lang w:val="en-GB"/>
        </w:rPr>
        <w:t xml:space="preserve">In the context of a company incorporated in Delaware, the issue of </w:t>
      </w:r>
      <w:r w:rsidR="00CA5A4A">
        <w:rPr>
          <w:rFonts w:ascii="Avenir Next" w:hAnsi="Avenir Next" w:cs="Arial"/>
          <w:color w:val="7B7B7B" w:themeColor="accent3" w:themeShade="BF"/>
          <w:sz w:val="22"/>
          <w:szCs w:val="22"/>
          <w:lang w:val="en-GB"/>
        </w:rPr>
        <w:t xml:space="preserve">a </w:t>
      </w:r>
      <w:r w:rsidRPr="00073506">
        <w:rPr>
          <w:rFonts w:ascii="Avenir Next" w:hAnsi="Avenir Next" w:cs="Arial"/>
          <w:color w:val="7B7B7B" w:themeColor="accent3" w:themeShade="BF"/>
          <w:sz w:val="22"/>
          <w:szCs w:val="22"/>
          <w:lang w:val="en-GB"/>
        </w:rPr>
        <w:t xml:space="preserve">director's liability should </w:t>
      </w:r>
      <w:r w:rsidR="00CA5A4A">
        <w:rPr>
          <w:rFonts w:ascii="Avenir Next" w:hAnsi="Avenir Next" w:cs="Arial"/>
          <w:color w:val="7B7B7B" w:themeColor="accent3" w:themeShade="BF"/>
          <w:sz w:val="22"/>
          <w:szCs w:val="22"/>
          <w:lang w:val="en-GB"/>
        </w:rPr>
        <w:t xml:space="preserve">be </w:t>
      </w:r>
      <w:r w:rsidRPr="00073506">
        <w:rPr>
          <w:rFonts w:ascii="Avenir Next" w:hAnsi="Avenir Next" w:cs="Arial"/>
          <w:color w:val="7B7B7B" w:themeColor="accent3" w:themeShade="BF"/>
          <w:sz w:val="22"/>
          <w:szCs w:val="22"/>
          <w:lang w:val="en-GB"/>
        </w:rPr>
        <w:t xml:space="preserve">assessed </w:t>
      </w:r>
      <w:r w:rsidR="00EE1EB0">
        <w:rPr>
          <w:rFonts w:ascii="Avenir Next" w:hAnsi="Avenir Next" w:cs="Arial"/>
          <w:color w:val="7B7B7B" w:themeColor="accent3" w:themeShade="BF"/>
          <w:sz w:val="22"/>
          <w:szCs w:val="22"/>
          <w:lang w:val="en-GB"/>
        </w:rPr>
        <w:t>in light of</w:t>
      </w:r>
      <w:r w:rsidRPr="00073506">
        <w:rPr>
          <w:rFonts w:ascii="Avenir Next" w:hAnsi="Avenir Next" w:cs="Arial"/>
          <w:color w:val="7B7B7B" w:themeColor="accent3" w:themeShade="BF"/>
          <w:sz w:val="22"/>
          <w:szCs w:val="22"/>
          <w:lang w:val="en-GB"/>
        </w:rPr>
        <w:t xml:space="preserve"> the </w:t>
      </w:r>
      <w:r w:rsidR="00EE1EB0">
        <w:rPr>
          <w:rFonts w:ascii="Avenir Next" w:hAnsi="Avenir Next" w:cs="Arial"/>
          <w:color w:val="7B7B7B" w:themeColor="accent3" w:themeShade="BF"/>
          <w:sz w:val="22"/>
          <w:szCs w:val="22"/>
          <w:lang w:val="en-GB"/>
        </w:rPr>
        <w:t>relevant</w:t>
      </w:r>
      <w:r w:rsidRPr="00073506">
        <w:rPr>
          <w:rFonts w:ascii="Avenir Next" w:hAnsi="Avenir Next" w:cs="Arial"/>
          <w:color w:val="7B7B7B" w:themeColor="accent3" w:themeShade="BF"/>
          <w:sz w:val="22"/>
          <w:szCs w:val="22"/>
          <w:lang w:val="en-GB"/>
        </w:rPr>
        <w:t xml:space="preserve"> state law of the state of incorporation (Delaware). It is important to note that </w:t>
      </w:r>
      <w:r w:rsidR="00874E34" w:rsidRPr="00874E34">
        <w:rPr>
          <w:rFonts w:ascii="Avenir Next" w:hAnsi="Avenir Next" w:cs="Arial"/>
          <w:color w:val="7B7B7B" w:themeColor="accent3" w:themeShade="BF"/>
          <w:sz w:val="22"/>
          <w:szCs w:val="22"/>
          <w:lang w:val="en-GB"/>
        </w:rPr>
        <w:t>Delaware is considered an important jurisdiction in the territory of the United States with respect to corporate law</w:t>
      </w:r>
      <w:r w:rsidRPr="00073506">
        <w:rPr>
          <w:rFonts w:ascii="Avenir Next" w:hAnsi="Avenir Next" w:cs="Arial"/>
          <w:color w:val="7B7B7B" w:themeColor="accent3" w:themeShade="BF"/>
          <w:sz w:val="22"/>
          <w:szCs w:val="22"/>
          <w:lang w:val="en-GB"/>
        </w:rPr>
        <w:t xml:space="preserve">. Several US jurisdictions have been influenced by the law of Delaware for </w:t>
      </w:r>
      <w:r w:rsidRPr="00073506">
        <w:rPr>
          <w:rFonts w:ascii="Avenir Next" w:hAnsi="Avenir Next" w:cs="Arial"/>
          <w:color w:val="7B7B7B" w:themeColor="accent3" w:themeShade="BF"/>
          <w:sz w:val="22"/>
          <w:szCs w:val="22"/>
          <w:lang w:val="en-GB"/>
        </w:rPr>
        <w:lastRenderedPageBreak/>
        <w:t xml:space="preserve">their corporate laws. During the ordinary course of business, directors, first of all, have a 'fiduciary duty of loyalty' in connection with the best interests of the corporation. Secondly, they owe a duty of care in </w:t>
      </w:r>
      <w:r w:rsidR="002E2805">
        <w:rPr>
          <w:rFonts w:ascii="Avenir Next" w:hAnsi="Avenir Next" w:cs="Arial"/>
          <w:color w:val="7B7B7B" w:themeColor="accent3" w:themeShade="BF"/>
          <w:sz w:val="22"/>
          <w:szCs w:val="22"/>
          <w:lang w:val="en-GB"/>
        </w:rPr>
        <w:t xml:space="preserve">the context of </w:t>
      </w:r>
      <w:r w:rsidR="0057517C">
        <w:rPr>
          <w:rFonts w:ascii="Avenir Next" w:hAnsi="Avenir Next" w:cs="Arial"/>
          <w:color w:val="7B7B7B" w:themeColor="accent3" w:themeShade="BF"/>
          <w:sz w:val="22"/>
          <w:szCs w:val="22"/>
          <w:lang w:val="en-GB"/>
        </w:rPr>
        <w:t xml:space="preserve">proper </w:t>
      </w:r>
      <w:r w:rsidR="002E2805">
        <w:rPr>
          <w:rFonts w:ascii="Avenir Next" w:hAnsi="Avenir Next" w:cs="Arial"/>
          <w:color w:val="7B7B7B" w:themeColor="accent3" w:themeShade="BF"/>
          <w:sz w:val="22"/>
          <w:szCs w:val="22"/>
          <w:lang w:val="en-GB"/>
        </w:rPr>
        <w:t>decision-making</w:t>
      </w:r>
      <w:r w:rsidRPr="00073506">
        <w:rPr>
          <w:rFonts w:ascii="Avenir Next" w:hAnsi="Avenir Next" w:cs="Arial"/>
          <w:color w:val="7B7B7B" w:themeColor="accent3" w:themeShade="BF"/>
          <w:sz w:val="22"/>
          <w:szCs w:val="22"/>
          <w:lang w:val="en-GB"/>
        </w:rPr>
        <w:t>.</w:t>
      </w:r>
    </w:p>
    <w:p w14:paraId="4023F98D" w14:textId="77777777" w:rsidR="00073506" w:rsidRPr="00073506" w:rsidRDefault="00073506" w:rsidP="00073506">
      <w:pPr>
        <w:jc w:val="both"/>
        <w:rPr>
          <w:rFonts w:ascii="Avenir Next" w:hAnsi="Avenir Next" w:cs="Arial"/>
          <w:color w:val="7B7B7B" w:themeColor="accent3" w:themeShade="BF"/>
          <w:sz w:val="22"/>
          <w:szCs w:val="22"/>
          <w:lang w:val="en-GB"/>
        </w:rPr>
      </w:pPr>
    </w:p>
    <w:p w14:paraId="3F297BD3" w14:textId="2BC6C96B" w:rsidR="00073506" w:rsidRPr="00073506" w:rsidRDefault="00073506" w:rsidP="00073506">
      <w:pPr>
        <w:jc w:val="both"/>
        <w:rPr>
          <w:rFonts w:ascii="Avenir Next" w:hAnsi="Avenir Next" w:cs="Arial"/>
          <w:color w:val="7B7B7B" w:themeColor="accent3" w:themeShade="BF"/>
          <w:sz w:val="22"/>
          <w:szCs w:val="22"/>
          <w:lang w:val="en-GB"/>
        </w:rPr>
      </w:pPr>
      <w:r w:rsidRPr="00073506">
        <w:rPr>
          <w:rFonts w:ascii="Avenir Next" w:hAnsi="Avenir Next" w:cs="Arial"/>
          <w:color w:val="7B7B7B" w:themeColor="accent3" w:themeShade="BF"/>
          <w:sz w:val="22"/>
          <w:szCs w:val="22"/>
          <w:lang w:val="en-GB"/>
        </w:rPr>
        <w:t xml:space="preserve">The foregoing duties concern directors </w:t>
      </w:r>
      <w:r w:rsidR="003B4392" w:rsidRPr="003B4392">
        <w:rPr>
          <w:rFonts w:ascii="Avenir Next" w:hAnsi="Avenir Next" w:cs="Arial"/>
          <w:color w:val="7B7B7B" w:themeColor="accent3" w:themeShade="BF"/>
          <w:sz w:val="22"/>
          <w:szCs w:val="22"/>
          <w:lang w:val="en-GB"/>
        </w:rPr>
        <w:t>vis-à-vis</w:t>
      </w:r>
      <w:r w:rsidR="003B4392">
        <w:rPr>
          <w:rFonts w:ascii="Avenir Next" w:hAnsi="Avenir Next" w:cs="Arial"/>
          <w:color w:val="7B7B7B" w:themeColor="accent3" w:themeShade="BF"/>
          <w:sz w:val="22"/>
          <w:szCs w:val="22"/>
          <w:lang w:val="en-GB"/>
        </w:rPr>
        <w:t xml:space="preserve"> </w:t>
      </w:r>
      <w:r w:rsidRPr="00073506">
        <w:rPr>
          <w:rFonts w:ascii="Avenir Next" w:hAnsi="Avenir Next" w:cs="Arial"/>
          <w:color w:val="7B7B7B" w:themeColor="accent3" w:themeShade="BF"/>
          <w:sz w:val="22"/>
          <w:szCs w:val="22"/>
          <w:lang w:val="en-GB"/>
        </w:rPr>
        <w:t xml:space="preserve">the corporation and its shareholders. These duties are not owed to creditors even if the debtor is </w:t>
      </w:r>
      <w:r w:rsidR="00A65B61">
        <w:rPr>
          <w:rFonts w:ascii="Avenir Next" w:hAnsi="Avenir Next" w:cs="Arial"/>
          <w:color w:val="7B7B7B" w:themeColor="accent3" w:themeShade="BF"/>
          <w:sz w:val="22"/>
          <w:szCs w:val="22"/>
          <w:lang w:val="en-GB"/>
        </w:rPr>
        <w:t>o</w:t>
      </w:r>
      <w:r w:rsidRPr="00073506">
        <w:rPr>
          <w:rFonts w:ascii="Avenir Next" w:hAnsi="Avenir Next" w:cs="Arial"/>
          <w:color w:val="7B7B7B" w:themeColor="accent3" w:themeShade="BF"/>
          <w:sz w:val="22"/>
          <w:szCs w:val="22"/>
          <w:lang w:val="en-GB"/>
        </w:rPr>
        <w:t xml:space="preserve">n the brink of insolvency ('potentially insolvent') and the shareholders are likely to receive nothing. A notable case, </w:t>
      </w:r>
      <w:r w:rsidRPr="00073506">
        <w:rPr>
          <w:rFonts w:ascii="Avenir Next" w:hAnsi="Avenir Next" w:cs="Arial"/>
          <w:i/>
          <w:iCs/>
          <w:color w:val="7B7B7B" w:themeColor="accent3" w:themeShade="BF"/>
          <w:sz w:val="22"/>
          <w:szCs w:val="22"/>
          <w:lang w:val="en-GB"/>
        </w:rPr>
        <w:t xml:space="preserve">North Am Catholic Educational Programming Foundation, Inc v </w:t>
      </w:r>
      <w:proofErr w:type="spellStart"/>
      <w:r w:rsidRPr="00073506">
        <w:rPr>
          <w:rFonts w:ascii="Avenir Next" w:hAnsi="Avenir Next" w:cs="Arial"/>
          <w:i/>
          <w:iCs/>
          <w:color w:val="7B7B7B" w:themeColor="accent3" w:themeShade="BF"/>
          <w:sz w:val="22"/>
          <w:szCs w:val="22"/>
          <w:lang w:val="en-GB"/>
        </w:rPr>
        <w:t>Gheewalla</w:t>
      </w:r>
      <w:proofErr w:type="spellEnd"/>
      <w:r w:rsidRPr="00073506">
        <w:rPr>
          <w:rFonts w:ascii="Avenir Next" w:hAnsi="Avenir Next" w:cs="Arial"/>
          <w:color w:val="7B7B7B" w:themeColor="accent3" w:themeShade="BF"/>
          <w:sz w:val="22"/>
          <w:szCs w:val="22"/>
          <w:lang w:val="en-GB"/>
        </w:rPr>
        <w:t xml:space="preserve"> (930 A.2d 92, 103 (Del 2007)), issued by the Delaware Supreme Court</w:t>
      </w:r>
      <w:r w:rsidR="00580B73">
        <w:rPr>
          <w:rFonts w:ascii="Avenir Next" w:hAnsi="Avenir Next" w:cs="Arial"/>
          <w:color w:val="7B7B7B" w:themeColor="accent3" w:themeShade="BF"/>
          <w:sz w:val="22"/>
          <w:szCs w:val="22"/>
          <w:lang w:val="en-GB"/>
        </w:rPr>
        <w:t>,</w:t>
      </w:r>
      <w:r w:rsidRPr="00073506">
        <w:rPr>
          <w:rFonts w:ascii="Avenir Next" w:hAnsi="Avenir Next" w:cs="Arial"/>
          <w:color w:val="7B7B7B" w:themeColor="accent3" w:themeShade="BF"/>
          <w:sz w:val="22"/>
          <w:szCs w:val="22"/>
          <w:lang w:val="en-GB"/>
        </w:rPr>
        <w:t xml:space="preserve"> emphasized that creditors do not have the right to "assert direct claims for a breach of fiduciary duty against corporate directors", either when the company is in "the zone of insolvency" or </w:t>
      </w:r>
      <w:r w:rsidR="00580B73">
        <w:rPr>
          <w:rFonts w:ascii="Avenir Next" w:hAnsi="Avenir Next" w:cs="Arial"/>
          <w:color w:val="7B7B7B" w:themeColor="accent3" w:themeShade="BF"/>
          <w:sz w:val="22"/>
          <w:szCs w:val="22"/>
          <w:lang w:val="en-GB"/>
        </w:rPr>
        <w:t xml:space="preserve">when it is </w:t>
      </w:r>
      <w:r w:rsidRPr="00073506">
        <w:rPr>
          <w:rFonts w:ascii="Avenir Next" w:hAnsi="Avenir Next" w:cs="Arial"/>
          <w:color w:val="7B7B7B" w:themeColor="accent3" w:themeShade="BF"/>
          <w:sz w:val="22"/>
          <w:szCs w:val="22"/>
          <w:lang w:val="en-GB"/>
        </w:rPr>
        <w:t xml:space="preserve">"actually insolvent". </w:t>
      </w:r>
      <w:r w:rsidR="00B90AAF">
        <w:rPr>
          <w:rFonts w:ascii="Avenir Next" w:hAnsi="Avenir Next" w:cs="Arial"/>
          <w:color w:val="7B7B7B" w:themeColor="accent3" w:themeShade="BF"/>
          <w:sz w:val="22"/>
          <w:szCs w:val="22"/>
          <w:lang w:val="en-GB"/>
        </w:rPr>
        <w:t>Accordingly,</w:t>
      </w:r>
      <w:r w:rsidRPr="00073506">
        <w:rPr>
          <w:rFonts w:ascii="Avenir Next" w:hAnsi="Avenir Next" w:cs="Arial"/>
          <w:color w:val="7B7B7B" w:themeColor="accent3" w:themeShade="BF"/>
          <w:sz w:val="22"/>
          <w:szCs w:val="22"/>
          <w:lang w:val="en-GB"/>
        </w:rPr>
        <w:t xml:space="preserve"> one cannot find </w:t>
      </w:r>
      <w:r w:rsidR="00365CD9">
        <w:rPr>
          <w:rFonts w:ascii="Avenir Next" w:hAnsi="Avenir Next" w:cs="Arial"/>
          <w:color w:val="7B7B7B" w:themeColor="accent3" w:themeShade="BF"/>
          <w:sz w:val="22"/>
          <w:szCs w:val="22"/>
          <w:lang w:val="en-GB"/>
        </w:rPr>
        <w:t>in</w:t>
      </w:r>
      <w:r w:rsidRPr="00073506">
        <w:rPr>
          <w:rFonts w:ascii="Avenir Next" w:hAnsi="Avenir Next" w:cs="Arial"/>
          <w:color w:val="7B7B7B" w:themeColor="accent3" w:themeShade="BF"/>
          <w:sz w:val="22"/>
          <w:szCs w:val="22"/>
          <w:lang w:val="en-GB"/>
        </w:rPr>
        <w:t xml:space="preserve"> US law </w:t>
      </w:r>
      <w:r w:rsidR="00B90AAF">
        <w:rPr>
          <w:rFonts w:ascii="Avenir Next" w:hAnsi="Avenir Next" w:cs="Arial"/>
          <w:color w:val="7B7B7B" w:themeColor="accent3" w:themeShade="BF"/>
          <w:sz w:val="22"/>
          <w:szCs w:val="22"/>
          <w:lang w:val="en-GB"/>
        </w:rPr>
        <w:t xml:space="preserve">the </w:t>
      </w:r>
      <w:r w:rsidR="00883891" w:rsidRPr="00073506">
        <w:rPr>
          <w:rFonts w:ascii="Avenir Next" w:hAnsi="Avenir Next" w:cs="Arial"/>
          <w:color w:val="7B7B7B" w:themeColor="accent3" w:themeShade="BF"/>
          <w:sz w:val="22"/>
          <w:szCs w:val="22"/>
          <w:lang w:val="en-GB"/>
        </w:rPr>
        <w:t xml:space="preserve">concepts </w:t>
      </w:r>
      <w:r w:rsidR="00883891">
        <w:rPr>
          <w:rFonts w:ascii="Avenir Next" w:hAnsi="Avenir Next" w:cs="Arial"/>
          <w:color w:val="7B7B7B" w:themeColor="accent3" w:themeShade="BF"/>
          <w:sz w:val="22"/>
          <w:szCs w:val="22"/>
          <w:lang w:val="en-GB"/>
        </w:rPr>
        <w:t xml:space="preserve">of </w:t>
      </w:r>
      <w:r w:rsidRPr="00073506">
        <w:rPr>
          <w:rFonts w:ascii="Avenir Next" w:hAnsi="Avenir Next" w:cs="Arial"/>
          <w:color w:val="7B7B7B" w:themeColor="accent3" w:themeShade="BF"/>
          <w:sz w:val="22"/>
          <w:szCs w:val="22"/>
          <w:lang w:val="en-GB"/>
        </w:rPr>
        <w:t xml:space="preserve">"wrongful trading" or "deepening insolvency" (see </w:t>
      </w:r>
      <w:proofErr w:type="spellStart"/>
      <w:r w:rsidRPr="00073506">
        <w:rPr>
          <w:rFonts w:ascii="Avenir Next" w:hAnsi="Avenir Next" w:cs="Arial"/>
          <w:i/>
          <w:iCs/>
          <w:color w:val="7B7B7B" w:themeColor="accent3" w:themeShade="BF"/>
          <w:sz w:val="22"/>
          <w:szCs w:val="22"/>
          <w:lang w:val="en-GB"/>
        </w:rPr>
        <w:t>Trenwick</w:t>
      </w:r>
      <w:proofErr w:type="spellEnd"/>
      <w:r w:rsidRPr="00073506">
        <w:rPr>
          <w:rFonts w:ascii="Avenir Next" w:hAnsi="Avenir Next" w:cs="Arial"/>
          <w:i/>
          <w:iCs/>
          <w:color w:val="7B7B7B" w:themeColor="accent3" w:themeShade="BF"/>
          <w:sz w:val="22"/>
          <w:szCs w:val="22"/>
          <w:lang w:val="en-GB"/>
        </w:rPr>
        <w:t xml:space="preserve"> Am Litig Trust v Ernst &amp; Young, LLP</w:t>
      </w:r>
      <w:r w:rsidRPr="00073506">
        <w:rPr>
          <w:rFonts w:ascii="Avenir Next" w:hAnsi="Avenir Next" w:cs="Arial"/>
          <w:color w:val="7B7B7B" w:themeColor="accent3" w:themeShade="BF"/>
          <w:sz w:val="22"/>
          <w:szCs w:val="22"/>
          <w:lang w:val="en-GB"/>
        </w:rPr>
        <w:t>, 906 A.2d 168 (Del Ch 2006)).</w:t>
      </w:r>
    </w:p>
    <w:p w14:paraId="3580332E" w14:textId="77777777" w:rsidR="00073506" w:rsidRPr="00073506" w:rsidRDefault="00073506" w:rsidP="00073506">
      <w:pPr>
        <w:jc w:val="both"/>
        <w:rPr>
          <w:rFonts w:ascii="Avenir Next" w:hAnsi="Avenir Next" w:cs="Arial"/>
          <w:color w:val="7B7B7B" w:themeColor="accent3" w:themeShade="BF"/>
          <w:sz w:val="22"/>
          <w:szCs w:val="22"/>
          <w:lang w:val="en-GB"/>
        </w:rPr>
      </w:pPr>
    </w:p>
    <w:p w14:paraId="417344D2" w14:textId="1F3C1BC8" w:rsidR="00E41578" w:rsidRPr="00E41578" w:rsidRDefault="00073506" w:rsidP="00073506">
      <w:pPr>
        <w:jc w:val="both"/>
        <w:rPr>
          <w:rFonts w:ascii="Avenir Next" w:hAnsi="Avenir Next" w:cs="Arial"/>
          <w:color w:val="7B7B7B" w:themeColor="accent3" w:themeShade="BF"/>
          <w:sz w:val="22"/>
          <w:szCs w:val="22"/>
          <w:lang w:val="en-GB"/>
        </w:rPr>
      </w:pPr>
      <w:r w:rsidRPr="00073506">
        <w:rPr>
          <w:rFonts w:ascii="Avenir Next" w:hAnsi="Avenir Next" w:cs="Arial"/>
          <w:color w:val="7B7B7B" w:themeColor="accent3" w:themeShade="BF"/>
          <w:sz w:val="22"/>
          <w:szCs w:val="22"/>
          <w:lang w:val="en-GB"/>
        </w:rPr>
        <w:t xml:space="preserve">The business judgment rule protects directors from liability for errors of judgment. Pursuant to that rule, there is a presumption that the board of directors acted in good faith and based its actions on reasonable information. This is a presumption that can be rebutted </w:t>
      </w:r>
      <w:r w:rsidR="002F7401" w:rsidRPr="00073506">
        <w:rPr>
          <w:rFonts w:ascii="Avenir Next" w:hAnsi="Avenir Next" w:cs="Arial"/>
          <w:color w:val="7B7B7B" w:themeColor="accent3" w:themeShade="BF"/>
          <w:sz w:val="22"/>
          <w:szCs w:val="22"/>
          <w:lang w:val="en-GB"/>
        </w:rPr>
        <w:t>only</w:t>
      </w:r>
      <w:r w:rsidR="002F7401">
        <w:rPr>
          <w:rFonts w:ascii="Avenir Next" w:hAnsi="Avenir Next" w:cs="Arial"/>
          <w:color w:val="7B7B7B" w:themeColor="accent3" w:themeShade="BF"/>
          <w:sz w:val="22"/>
          <w:szCs w:val="22"/>
          <w:lang w:val="en-GB"/>
        </w:rPr>
        <w:t xml:space="preserve"> </w:t>
      </w:r>
      <w:r w:rsidRPr="00073506">
        <w:rPr>
          <w:rFonts w:ascii="Avenir Next" w:hAnsi="Avenir Next" w:cs="Arial"/>
          <w:color w:val="7B7B7B" w:themeColor="accent3" w:themeShade="BF"/>
          <w:sz w:val="22"/>
          <w:szCs w:val="22"/>
          <w:lang w:val="en-GB"/>
        </w:rPr>
        <w:t xml:space="preserve">in three circumstances: </w:t>
      </w:r>
      <w:r w:rsidR="00B6127A">
        <w:rPr>
          <w:rFonts w:ascii="Avenir Next" w:hAnsi="Avenir Next" w:cs="Arial"/>
          <w:color w:val="7B7B7B" w:themeColor="accent3" w:themeShade="BF"/>
          <w:sz w:val="22"/>
          <w:szCs w:val="22"/>
          <w:lang w:val="en-GB"/>
        </w:rPr>
        <w:t xml:space="preserve">by </w:t>
      </w:r>
      <w:r w:rsidRPr="00073506">
        <w:rPr>
          <w:rFonts w:ascii="Avenir Next" w:hAnsi="Avenir Next" w:cs="Arial"/>
          <w:color w:val="7B7B7B" w:themeColor="accent3" w:themeShade="BF"/>
          <w:sz w:val="22"/>
          <w:szCs w:val="22"/>
          <w:lang w:val="en-GB"/>
        </w:rPr>
        <w:t xml:space="preserve">showing that the majority of the board did not have access to reasonable information; </w:t>
      </w:r>
      <w:r w:rsidR="00B6127A">
        <w:rPr>
          <w:rFonts w:ascii="Avenir Next" w:hAnsi="Avenir Next" w:cs="Arial"/>
          <w:color w:val="7B7B7B" w:themeColor="accent3" w:themeShade="BF"/>
          <w:sz w:val="22"/>
          <w:szCs w:val="22"/>
          <w:lang w:val="en-GB"/>
        </w:rPr>
        <w:t xml:space="preserve">by </w:t>
      </w:r>
      <w:r w:rsidRPr="00073506">
        <w:rPr>
          <w:rFonts w:ascii="Avenir Next" w:hAnsi="Avenir Next" w:cs="Arial"/>
          <w:color w:val="7B7B7B" w:themeColor="accent3" w:themeShade="BF"/>
          <w:sz w:val="22"/>
          <w:szCs w:val="22"/>
          <w:lang w:val="en-GB"/>
        </w:rPr>
        <w:t xml:space="preserve">showing that the board of directors didn't honestly believe in the utility of the decision taken for the entity's best interests; and </w:t>
      </w:r>
      <w:r w:rsidR="00B6127A">
        <w:rPr>
          <w:rFonts w:ascii="Avenir Next" w:hAnsi="Avenir Next" w:cs="Arial"/>
          <w:color w:val="7B7B7B" w:themeColor="accent3" w:themeShade="BF"/>
          <w:sz w:val="22"/>
          <w:szCs w:val="22"/>
          <w:lang w:val="en-GB"/>
        </w:rPr>
        <w:t xml:space="preserve">by </w:t>
      </w:r>
      <w:r w:rsidRPr="00073506">
        <w:rPr>
          <w:rFonts w:ascii="Avenir Next" w:hAnsi="Avenir Next" w:cs="Arial"/>
          <w:color w:val="7B7B7B" w:themeColor="accent3" w:themeShade="BF"/>
          <w:sz w:val="22"/>
          <w:szCs w:val="22"/>
          <w:lang w:val="en-GB"/>
        </w:rPr>
        <w:t>showing that they weren't acting in good fait</w:t>
      </w:r>
      <w:r w:rsidR="0044271C">
        <w:rPr>
          <w:rFonts w:ascii="Avenir Next" w:hAnsi="Avenir Next" w:cs="Arial"/>
          <w:color w:val="7B7B7B" w:themeColor="accent3" w:themeShade="BF"/>
          <w:sz w:val="22"/>
          <w:szCs w:val="22"/>
          <w:lang w:val="en-GB"/>
        </w:rPr>
        <w:t>h.</w:t>
      </w:r>
      <w:r w:rsidRPr="00073506">
        <w:rPr>
          <w:rFonts w:ascii="Avenir Next" w:hAnsi="Avenir Next" w:cs="Arial"/>
          <w:color w:val="7B7B7B" w:themeColor="accent3" w:themeShade="BF"/>
          <w:sz w:val="22"/>
          <w:szCs w:val="22"/>
          <w:lang w:val="en-GB"/>
        </w:rPr>
        <w:t xml:space="preserve"> </w:t>
      </w:r>
      <w:r w:rsidR="002F7401">
        <w:rPr>
          <w:rFonts w:ascii="Avenir Next" w:hAnsi="Avenir Next" w:cs="Arial"/>
          <w:color w:val="7B7B7B" w:themeColor="accent3" w:themeShade="BF"/>
          <w:sz w:val="22"/>
          <w:szCs w:val="22"/>
          <w:lang w:val="en-GB"/>
        </w:rPr>
        <w:t>Apart from the</w:t>
      </w:r>
      <w:r w:rsidRPr="00073506">
        <w:rPr>
          <w:rFonts w:ascii="Avenir Next" w:hAnsi="Avenir Next" w:cs="Arial"/>
          <w:color w:val="7B7B7B" w:themeColor="accent3" w:themeShade="BF"/>
          <w:sz w:val="22"/>
          <w:szCs w:val="22"/>
          <w:lang w:val="en-GB"/>
        </w:rPr>
        <w:t xml:space="preserve"> rebuttal of the presumption, </w:t>
      </w:r>
      <w:r w:rsidR="00B6127A" w:rsidRPr="00073506">
        <w:rPr>
          <w:rFonts w:ascii="Avenir Next" w:hAnsi="Avenir Next" w:cs="Arial"/>
          <w:color w:val="7B7B7B" w:themeColor="accent3" w:themeShade="BF"/>
          <w:sz w:val="22"/>
          <w:szCs w:val="22"/>
          <w:lang w:val="en-GB"/>
        </w:rPr>
        <w:t xml:space="preserve">directors' liability can </w:t>
      </w:r>
      <w:r w:rsidR="008522EB" w:rsidRPr="00073506">
        <w:rPr>
          <w:rFonts w:ascii="Avenir Next" w:hAnsi="Avenir Next" w:cs="Arial"/>
          <w:color w:val="7B7B7B" w:themeColor="accent3" w:themeShade="BF"/>
          <w:sz w:val="22"/>
          <w:szCs w:val="22"/>
          <w:lang w:val="en-GB"/>
        </w:rPr>
        <w:t>only</w:t>
      </w:r>
      <w:r w:rsidR="008522EB">
        <w:rPr>
          <w:rFonts w:ascii="Avenir Next" w:hAnsi="Avenir Next" w:cs="Arial"/>
          <w:color w:val="7B7B7B" w:themeColor="accent3" w:themeShade="BF"/>
          <w:sz w:val="22"/>
          <w:szCs w:val="22"/>
          <w:lang w:val="en-GB"/>
        </w:rPr>
        <w:t xml:space="preserve"> </w:t>
      </w:r>
      <w:r w:rsidR="00B6127A" w:rsidRPr="00073506">
        <w:rPr>
          <w:rFonts w:ascii="Avenir Next" w:hAnsi="Avenir Next" w:cs="Arial"/>
          <w:color w:val="7B7B7B" w:themeColor="accent3" w:themeShade="BF"/>
          <w:sz w:val="22"/>
          <w:szCs w:val="22"/>
          <w:lang w:val="en-GB"/>
        </w:rPr>
        <w:t>be establishe</w:t>
      </w:r>
      <w:r w:rsidR="00B6127A">
        <w:rPr>
          <w:rFonts w:ascii="Avenir Next" w:hAnsi="Avenir Next" w:cs="Arial"/>
          <w:color w:val="7B7B7B" w:themeColor="accent3" w:themeShade="BF"/>
          <w:sz w:val="22"/>
          <w:szCs w:val="22"/>
          <w:lang w:val="en-GB"/>
        </w:rPr>
        <w:t xml:space="preserve">d </w:t>
      </w:r>
      <w:r w:rsidRPr="00073506">
        <w:rPr>
          <w:rFonts w:ascii="Avenir Next" w:hAnsi="Avenir Next" w:cs="Arial"/>
          <w:color w:val="7B7B7B" w:themeColor="accent3" w:themeShade="BF"/>
          <w:sz w:val="22"/>
          <w:szCs w:val="22"/>
          <w:lang w:val="en-GB"/>
        </w:rPr>
        <w:t>by showing gross negligence.</w:t>
      </w:r>
      <w:r w:rsidR="00645E52">
        <w:rPr>
          <w:rFonts w:ascii="Avenir Next" w:hAnsi="Avenir Next" w:cs="Arial"/>
          <w:color w:val="7B7B7B" w:themeColor="accent3" w:themeShade="BF"/>
          <w:sz w:val="22"/>
          <w:szCs w:val="22"/>
          <w:lang w:val="en-GB"/>
        </w:rPr>
        <w:t xml:space="preserve"> On another note, </w:t>
      </w:r>
      <w:r w:rsidR="008522EB">
        <w:rPr>
          <w:rFonts w:ascii="Avenir Next" w:hAnsi="Avenir Next" w:cs="Arial"/>
          <w:color w:val="7B7B7B" w:themeColor="accent3" w:themeShade="BF"/>
          <w:sz w:val="22"/>
          <w:szCs w:val="22"/>
          <w:lang w:val="en-GB"/>
        </w:rPr>
        <w:t>in accordance with</w:t>
      </w:r>
      <w:r w:rsidR="00645E52">
        <w:rPr>
          <w:rFonts w:ascii="Avenir Next" w:hAnsi="Avenir Next" w:cs="Arial"/>
          <w:color w:val="7B7B7B" w:themeColor="accent3" w:themeShade="BF"/>
          <w:sz w:val="22"/>
          <w:szCs w:val="22"/>
          <w:lang w:val="en-GB"/>
        </w:rPr>
        <w:t xml:space="preserve"> section 10</w:t>
      </w:r>
      <w:r w:rsidR="001367C5">
        <w:rPr>
          <w:rFonts w:ascii="Avenir Next" w:hAnsi="Avenir Next" w:cs="Arial"/>
          <w:color w:val="7B7B7B" w:themeColor="accent3" w:themeShade="BF"/>
          <w:sz w:val="22"/>
          <w:szCs w:val="22"/>
          <w:lang w:val="en-GB"/>
        </w:rPr>
        <w:t>2</w:t>
      </w:r>
      <w:r w:rsidR="00645E52">
        <w:rPr>
          <w:rFonts w:ascii="Avenir Next" w:hAnsi="Avenir Next" w:cs="Arial"/>
          <w:color w:val="7B7B7B" w:themeColor="accent3" w:themeShade="BF"/>
          <w:sz w:val="22"/>
          <w:szCs w:val="22"/>
          <w:lang w:val="en-GB"/>
        </w:rPr>
        <w:t xml:space="preserve"> of Delaware Corporation Law (Del Gen Corp L, </w:t>
      </w:r>
      <w:r w:rsidR="00645E52" w:rsidRPr="00645E52">
        <w:rPr>
          <w:rFonts w:ascii="Avenir Next" w:hAnsi="Avenir Next" w:cs="Arial"/>
          <w:color w:val="7B7B7B" w:themeColor="accent3" w:themeShade="BF"/>
          <w:sz w:val="22"/>
          <w:szCs w:val="22"/>
        </w:rPr>
        <w:t>§</w:t>
      </w:r>
      <w:r w:rsidR="00645E52">
        <w:rPr>
          <w:rFonts w:ascii="Avenir Next" w:hAnsi="Avenir Next" w:cs="Arial"/>
          <w:color w:val="7B7B7B" w:themeColor="accent3" w:themeShade="BF"/>
          <w:sz w:val="22"/>
          <w:szCs w:val="22"/>
        </w:rPr>
        <w:t>102(b)(7)),</w:t>
      </w:r>
      <w:r w:rsidR="00645E52">
        <w:rPr>
          <w:rFonts w:ascii="Avenir Next" w:hAnsi="Avenir Next" w:cs="Arial"/>
          <w:color w:val="7B7B7B" w:themeColor="accent3" w:themeShade="BF"/>
          <w:sz w:val="22"/>
          <w:szCs w:val="22"/>
          <w:lang w:val="en-GB"/>
        </w:rPr>
        <w:t xml:space="preserve"> directors</w:t>
      </w:r>
      <w:r w:rsidR="00985AC1">
        <w:rPr>
          <w:rFonts w:ascii="Avenir Next" w:hAnsi="Avenir Next" w:cs="Arial"/>
          <w:color w:val="7B7B7B" w:themeColor="accent3" w:themeShade="BF"/>
          <w:sz w:val="22"/>
          <w:szCs w:val="22"/>
          <w:lang w:val="en-GB"/>
        </w:rPr>
        <w:t>’</w:t>
      </w:r>
      <w:r w:rsidR="00645E52">
        <w:rPr>
          <w:rFonts w:ascii="Avenir Next" w:hAnsi="Avenir Next" w:cs="Arial"/>
          <w:color w:val="7B7B7B" w:themeColor="accent3" w:themeShade="BF"/>
          <w:sz w:val="22"/>
          <w:szCs w:val="22"/>
          <w:lang w:val="en-GB"/>
        </w:rPr>
        <w:t xml:space="preserve"> liability </w:t>
      </w:r>
      <w:r w:rsidR="0032223C">
        <w:rPr>
          <w:rFonts w:ascii="Avenir Next" w:hAnsi="Avenir Next" w:cs="Arial"/>
          <w:color w:val="7B7B7B" w:themeColor="accent3" w:themeShade="BF"/>
          <w:sz w:val="22"/>
          <w:szCs w:val="22"/>
          <w:lang w:val="en-GB"/>
        </w:rPr>
        <w:t xml:space="preserve">in respect of the duty of care </w:t>
      </w:r>
      <w:r w:rsidR="00645E52">
        <w:rPr>
          <w:rFonts w:ascii="Avenir Next" w:hAnsi="Avenir Next" w:cs="Arial"/>
          <w:color w:val="7B7B7B" w:themeColor="accent3" w:themeShade="BF"/>
          <w:sz w:val="22"/>
          <w:szCs w:val="22"/>
          <w:lang w:val="en-GB"/>
        </w:rPr>
        <w:t>can be limited or eliminated</w:t>
      </w:r>
      <w:r w:rsidR="0032223C">
        <w:rPr>
          <w:rFonts w:ascii="Avenir Next" w:hAnsi="Avenir Next" w:cs="Arial"/>
          <w:color w:val="7B7B7B" w:themeColor="accent3" w:themeShade="BF"/>
          <w:sz w:val="22"/>
          <w:szCs w:val="22"/>
          <w:lang w:val="en-GB"/>
        </w:rPr>
        <w:t xml:space="preserve"> </w:t>
      </w:r>
      <w:r w:rsidR="008522EB">
        <w:rPr>
          <w:rFonts w:ascii="Avenir Next" w:hAnsi="Avenir Next" w:cs="Arial"/>
          <w:color w:val="7B7B7B" w:themeColor="accent3" w:themeShade="BF"/>
          <w:sz w:val="22"/>
          <w:szCs w:val="22"/>
          <w:lang w:val="en-GB"/>
        </w:rPr>
        <w:t>within</w:t>
      </w:r>
      <w:r w:rsidR="0032223C">
        <w:rPr>
          <w:rFonts w:ascii="Avenir Next" w:hAnsi="Avenir Next" w:cs="Arial"/>
          <w:color w:val="7B7B7B" w:themeColor="accent3" w:themeShade="BF"/>
          <w:sz w:val="22"/>
          <w:szCs w:val="22"/>
          <w:lang w:val="en-GB"/>
        </w:rPr>
        <w:t xml:space="preserve"> the content of a certificate of incorporation.</w:t>
      </w:r>
      <w:r w:rsidRPr="00073506">
        <w:rPr>
          <w:rFonts w:ascii="Avenir Next" w:hAnsi="Avenir Next" w:cs="Arial"/>
          <w:color w:val="7B7B7B" w:themeColor="accent3" w:themeShade="BF"/>
          <w:sz w:val="22"/>
          <w:szCs w:val="22"/>
          <w:lang w:val="en-GB"/>
        </w:rPr>
        <w:t xml:space="preserve"> </w:t>
      </w:r>
      <w:r w:rsidR="0073474B">
        <w:rPr>
          <w:rFonts w:ascii="Avenir Next" w:hAnsi="Avenir Next" w:cs="Arial"/>
          <w:color w:val="7B7B7B" w:themeColor="accent3" w:themeShade="BF"/>
          <w:sz w:val="22"/>
          <w:szCs w:val="22"/>
          <w:lang w:val="en-GB"/>
        </w:rPr>
        <w:t xml:space="preserve">Where </w:t>
      </w:r>
      <w:r w:rsidRPr="00073506">
        <w:rPr>
          <w:rFonts w:ascii="Avenir Next" w:hAnsi="Avenir Next" w:cs="Arial"/>
          <w:color w:val="7B7B7B" w:themeColor="accent3" w:themeShade="BF"/>
          <w:sz w:val="22"/>
          <w:szCs w:val="22"/>
          <w:lang w:val="en-GB"/>
        </w:rPr>
        <w:t xml:space="preserve">approval of a certain transaction occurs by a majority of the board that has inherent interests and lacks independence, or </w:t>
      </w:r>
      <w:r w:rsidR="008522EB" w:rsidRPr="008522EB">
        <w:rPr>
          <w:rFonts w:ascii="Avenir Next" w:hAnsi="Avenir Next" w:cs="Arial"/>
          <w:color w:val="7B7B7B" w:themeColor="accent3" w:themeShade="BF"/>
          <w:sz w:val="22"/>
          <w:szCs w:val="22"/>
          <w:lang w:val="en-GB"/>
        </w:rPr>
        <w:t>by a shareholder who exercises control on both sides of the transactio</w:t>
      </w:r>
      <w:r w:rsidR="00506077">
        <w:rPr>
          <w:rFonts w:ascii="Avenir Next" w:hAnsi="Avenir Next" w:cs="Arial"/>
          <w:color w:val="7B7B7B" w:themeColor="accent3" w:themeShade="BF"/>
          <w:sz w:val="22"/>
          <w:szCs w:val="22"/>
          <w:lang w:val="en-GB"/>
        </w:rPr>
        <w:t>n,</w:t>
      </w:r>
      <w:r w:rsidRPr="00073506">
        <w:rPr>
          <w:rFonts w:ascii="Avenir Next" w:hAnsi="Avenir Next" w:cs="Arial"/>
          <w:color w:val="7B7B7B" w:themeColor="accent3" w:themeShade="BF"/>
          <w:sz w:val="22"/>
          <w:szCs w:val="22"/>
          <w:lang w:val="en-GB"/>
        </w:rPr>
        <w:t xml:space="preserve"> the business judgment rule will not apply. That particular transaction will be void </w:t>
      </w:r>
      <w:r w:rsidR="0073474B">
        <w:rPr>
          <w:rFonts w:ascii="Avenir Next" w:hAnsi="Avenir Next" w:cs="Arial"/>
          <w:color w:val="7B7B7B" w:themeColor="accent3" w:themeShade="BF"/>
          <w:sz w:val="22"/>
          <w:szCs w:val="22"/>
          <w:lang w:val="en-GB"/>
        </w:rPr>
        <w:t>absent</w:t>
      </w:r>
      <w:r w:rsidRPr="00073506">
        <w:rPr>
          <w:rFonts w:ascii="Avenir Next" w:hAnsi="Avenir Next" w:cs="Arial"/>
          <w:color w:val="7B7B7B" w:themeColor="accent3" w:themeShade="BF"/>
          <w:sz w:val="22"/>
          <w:szCs w:val="22"/>
          <w:lang w:val="en-GB"/>
        </w:rPr>
        <w:t xml:space="preserve"> satisfaction of the 'entire fairness standard'.</w:t>
      </w:r>
    </w:p>
    <w:p w14:paraId="4A07A2C3" w14:textId="49EDB5C8" w:rsidR="00E01803" w:rsidRPr="0073474B" w:rsidRDefault="00E01803" w:rsidP="000778B1">
      <w:pPr>
        <w:pStyle w:val="AODocTxt"/>
        <w:spacing w:before="0" w:line="240" w:lineRule="auto"/>
        <w:rPr>
          <w:rFonts w:ascii="Avenir Next" w:hAnsi="Avenir Next"/>
          <w:lang w:val="en-GB"/>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fulfill in order to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40CE1274" w14:textId="064490A6" w:rsidR="00DC1FE7" w:rsidRPr="00DC1FE7" w:rsidRDefault="00B136BD" w:rsidP="00DC1FE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order for a </w:t>
      </w:r>
      <w:r w:rsidR="00DC1FE7" w:rsidRPr="00DC1FE7">
        <w:rPr>
          <w:rFonts w:ascii="Avenir Next" w:hAnsi="Avenir Next" w:cs="Arial"/>
          <w:color w:val="7B7B7B" w:themeColor="accent3" w:themeShade="BF"/>
          <w:sz w:val="22"/>
          <w:szCs w:val="22"/>
          <w:lang w:val="en-GB"/>
        </w:rPr>
        <w:t xml:space="preserve">creditor </w:t>
      </w:r>
      <w:r>
        <w:rPr>
          <w:rFonts w:ascii="Avenir Next" w:hAnsi="Avenir Next" w:cs="Arial"/>
          <w:color w:val="7B7B7B" w:themeColor="accent3" w:themeShade="BF"/>
          <w:sz w:val="22"/>
          <w:szCs w:val="22"/>
          <w:lang w:val="en-GB"/>
        </w:rPr>
        <w:t>to qualify</w:t>
      </w:r>
      <w:r w:rsidR="00DC1FE7" w:rsidRPr="00DC1FE7">
        <w:rPr>
          <w:rFonts w:ascii="Avenir Next" w:hAnsi="Avenir Next" w:cs="Arial"/>
          <w:color w:val="7B7B7B" w:themeColor="accent3" w:themeShade="BF"/>
          <w:sz w:val="22"/>
          <w:szCs w:val="22"/>
          <w:lang w:val="en-GB"/>
        </w:rPr>
        <w:t xml:space="preserve"> as a petitioning creditor </w:t>
      </w:r>
      <w:r w:rsidRPr="00DC1FE7">
        <w:rPr>
          <w:rFonts w:ascii="Avenir Next" w:hAnsi="Avenir Next" w:cs="Arial"/>
          <w:color w:val="7B7B7B" w:themeColor="accent3" w:themeShade="BF"/>
          <w:sz w:val="22"/>
          <w:szCs w:val="22"/>
          <w:lang w:val="en-GB"/>
        </w:rPr>
        <w:t>in an involuntary proceeding</w:t>
      </w:r>
      <w:r>
        <w:rPr>
          <w:rFonts w:ascii="Avenir Next" w:hAnsi="Avenir Next" w:cs="Arial"/>
          <w:color w:val="7B7B7B" w:themeColor="accent3" w:themeShade="BF"/>
          <w:sz w:val="22"/>
          <w:szCs w:val="22"/>
          <w:lang w:val="en-GB"/>
        </w:rPr>
        <w:t>,</w:t>
      </w:r>
      <w:r w:rsidRPr="00DC1FE7">
        <w:rPr>
          <w:rFonts w:ascii="Avenir Next" w:hAnsi="Avenir Next" w:cs="Arial"/>
          <w:color w:val="7B7B7B" w:themeColor="accent3" w:themeShade="BF"/>
          <w:sz w:val="22"/>
          <w:szCs w:val="22"/>
          <w:lang w:val="en-GB"/>
        </w:rPr>
        <w:t xml:space="preserve"> certain specific </w:t>
      </w:r>
      <w:r>
        <w:rPr>
          <w:rFonts w:ascii="Avenir Next" w:hAnsi="Avenir Next" w:cs="Arial"/>
          <w:color w:val="7B7B7B" w:themeColor="accent3" w:themeShade="BF"/>
          <w:sz w:val="22"/>
          <w:szCs w:val="22"/>
          <w:lang w:val="en-GB"/>
        </w:rPr>
        <w:t>elements</w:t>
      </w:r>
      <w:r w:rsidRPr="00DC1FE7">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regarding</w:t>
      </w:r>
      <w:r w:rsidRPr="00DC1FE7">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the</w:t>
      </w:r>
      <w:r w:rsidRPr="00DC1FE7">
        <w:rPr>
          <w:rFonts w:ascii="Avenir Next" w:hAnsi="Avenir Next" w:cs="Arial"/>
          <w:color w:val="7B7B7B" w:themeColor="accent3" w:themeShade="BF"/>
          <w:sz w:val="22"/>
          <w:szCs w:val="22"/>
          <w:lang w:val="en-GB"/>
        </w:rPr>
        <w:t xml:space="preserve"> creditor's claim </w:t>
      </w:r>
      <w:r>
        <w:rPr>
          <w:rFonts w:ascii="Avenir Next" w:hAnsi="Avenir Next" w:cs="Arial"/>
          <w:color w:val="7B7B7B" w:themeColor="accent3" w:themeShade="BF"/>
          <w:sz w:val="22"/>
          <w:szCs w:val="22"/>
          <w:lang w:val="en-GB"/>
        </w:rPr>
        <w:t>should be observed</w:t>
      </w:r>
      <w:r w:rsidR="00DC1FE7" w:rsidRPr="00DC1FE7">
        <w:rPr>
          <w:rFonts w:ascii="Avenir Next" w:hAnsi="Avenir Next" w:cs="Arial"/>
          <w:color w:val="7B7B7B" w:themeColor="accent3" w:themeShade="BF"/>
          <w:sz w:val="22"/>
          <w:szCs w:val="22"/>
          <w:lang w:val="en-GB"/>
        </w:rPr>
        <w:t>.</w:t>
      </w:r>
    </w:p>
    <w:p w14:paraId="3CA6B07A" w14:textId="77777777" w:rsidR="00DC1FE7" w:rsidRPr="00DC1FE7" w:rsidRDefault="00DC1FE7" w:rsidP="00DC1FE7">
      <w:pPr>
        <w:jc w:val="both"/>
        <w:rPr>
          <w:rFonts w:ascii="Avenir Next" w:hAnsi="Avenir Next" w:cs="Arial"/>
          <w:color w:val="7B7B7B" w:themeColor="accent3" w:themeShade="BF"/>
          <w:sz w:val="22"/>
          <w:szCs w:val="22"/>
          <w:lang w:val="en-GB"/>
        </w:rPr>
      </w:pPr>
    </w:p>
    <w:p w14:paraId="6C0B7713" w14:textId="17384B3F" w:rsidR="00B0375D" w:rsidRDefault="00DC1FE7" w:rsidP="00DC1FE7">
      <w:pPr>
        <w:jc w:val="both"/>
        <w:rPr>
          <w:rFonts w:ascii="Avenir Next" w:hAnsi="Avenir Next" w:cs="Arial"/>
          <w:color w:val="7B7B7B" w:themeColor="accent3" w:themeShade="BF"/>
          <w:sz w:val="22"/>
          <w:szCs w:val="22"/>
          <w:lang w:val="en-GB"/>
        </w:rPr>
      </w:pPr>
      <w:r w:rsidRPr="00DC1FE7">
        <w:rPr>
          <w:rFonts w:ascii="Avenir Next" w:hAnsi="Avenir Next" w:cs="Arial"/>
          <w:color w:val="7B7B7B" w:themeColor="accent3" w:themeShade="BF"/>
          <w:sz w:val="22"/>
          <w:szCs w:val="22"/>
          <w:lang w:val="en-GB"/>
        </w:rPr>
        <w:t>The first element to examine is whether the claim is non-contingent. A non-contingent claim is one that is not subject to a future event.</w:t>
      </w:r>
      <w:r w:rsidR="00CA5866">
        <w:rPr>
          <w:rFonts w:ascii="Avenir Next" w:hAnsi="Avenir Next" w:cs="Arial"/>
          <w:color w:val="7B7B7B" w:themeColor="accent3" w:themeShade="BF"/>
          <w:sz w:val="22"/>
          <w:szCs w:val="22"/>
          <w:lang w:val="en-GB"/>
        </w:rPr>
        <w:t xml:space="preserve"> </w:t>
      </w:r>
      <w:r w:rsidR="00B0375D">
        <w:rPr>
          <w:rFonts w:ascii="Avenir Next" w:hAnsi="Avenir Next" w:cs="Arial"/>
          <w:color w:val="7B7B7B" w:themeColor="accent3" w:themeShade="BF"/>
          <w:sz w:val="22"/>
          <w:szCs w:val="22"/>
          <w:lang w:val="en-GB"/>
        </w:rPr>
        <w:t xml:space="preserve">An unmatured </w:t>
      </w:r>
      <w:r w:rsidRPr="00DC1FE7">
        <w:rPr>
          <w:rFonts w:ascii="Avenir Next" w:hAnsi="Avenir Next" w:cs="Arial"/>
          <w:color w:val="7B7B7B" w:themeColor="accent3" w:themeShade="BF"/>
          <w:sz w:val="22"/>
          <w:szCs w:val="22"/>
          <w:lang w:val="en-GB"/>
        </w:rPr>
        <w:t>debt is non-contingent in case of fulfilment of all other liability requirements except that the debt has not become due.</w:t>
      </w:r>
    </w:p>
    <w:p w14:paraId="5D549375" w14:textId="77777777" w:rsidR="00B0375D" w:rsidRDefault="00B0375D" w:rsidP="00DC1FE7">
      <w:pPr>
        <w:jc w:val="both"/>
        <w:rPr>
          <w:rFonts w:ascii="Avenir Next" w:hAnsi="Avenir Next" w:cs="Arial"/>
          <w:color w:val="7B7B7B" w:themeColor="accent3" w:themeShade="BF"/>
          <w:sz w:val="22"/>
          <w:szCs w:val="22"/>
          <w:lang w:val="en-GB"/>
        </w:rPr>
      </w:pPr>
    </w:p>
    <w:p w14:paraId="61CD04F8" w14:textId="72B33820" w:rsidR="00DC1FE7" w:rsidRPr="00DC1FE7" w:rsidRDefault="00DC1FE7" w:rsidP="00DC1FE7">
      <w:pPr>
        <w:jc w:val="both"/>
        <w:rPr>
          <w:rFonts w:ascii="Avenir Next" w:hAnsi="Avenir Next" w:cs="Arial"/>
          <w:color w:val="7B7B7B" w:themeColor="accent3" w:themeShade="BF"/>
          <w:sz w:val="22"/>
          <w:szCs w:val="22"/>
          <w:lang w:val="en-GB"/>
        </w:rPr>
      </w:pPr>
      <w:r w:rsidRPr="00DC1FE7">
        <w:rPr>
          <w:rFonts w:ascii="Avenir Next" w:hAnsi="Avenir Next" w:cs="Arial"/>
          <w:color w:val="7B7B7B" w:themeColor="accent3" w:themeShade="BF"/>
          <w:sz w:val="22"/>
          <w:szCs w:val="22"/>
          <w:lang w:val="en-GB"/>
        </w:rPr>
        <w:t xml:space="preserve">The second element to explore refers to a claim not subject </w:t>
      </w:r>
      <w:r w:rsidR="007F23C5">
        <w:rPr>
          <w:rFonts w:ascii="Avenir Next" w:hAnsi="Avenir Next" w:cs="Arial"/>
          <w:color w:val="7B7B7B" w:themeColor="accent3" w:themeShade="BF"/>
          <w:sz w:val="22"/>
          <w:szCs w:val="22"/>
          <w:lang w:val="en-GB"/>
        </w:rPr>
        <w:t>to</w:t>
      </w:r>
      <w:r w:rsidRPr="00DC1FE7">
        <w:rPr>
          <w:rFonts w:ascii="Avenir Next" w:hAnsi="Avenir Next" w:cs="Arial"/>
          <w:color w:val="7B7B7B" w:themeColor="accent3" w:themeShade="BF"/>
          <w:sz w:val="22"/>
          <w:szCs w:val="22"/>
          <w:lang w:val="en-GB"/>
        </w:rPr>
        <w:t xml:space="preserve"> a </w:t>
      </w:r>
      <w:r w:rsidRPr="00AF0370">
        <w:rPr>
          <w:rFonts w:ascii="Avenir Next" w:hAnsi="Avenir Next" w:cs="Arial"/>
          <w:i/>
          <w:iCs/>
          <w:color w:val="7B7B7B" w:themeColor="accent3" w:themeShade="BF"/>
          <w:sz w:val="22"/>
          <w:szCs w:val="22"/>
          <w:lang w:val="en-GB"/>
        </w:rPr>
        <w:t>bona fide</w:t>
      </w:r>
      <w:r w:rsidRPr="00DC1FE7">
        <w:rPr>
          <w:rFonts w:ascii="Avenir Next" w:hAnsi="Avenir Next" w:cs="Arial"/>
          <w:color w:val="7B7B7B" w:themeColor="accent3" w:themeShade="BF"/>
          <w:sz w:val="22"/>
          <w:szCs w:val="22"/>
          <w:lang w:val="en-GB"/>
        </w:rPr>
        <w:t xml:space="preserve"> dispute concerning amount or liability. </w:t>
      </w:r>
      <w:r w:rsidR="00FF14FD">
        <w:rPr>
          <w:rFonts w:ascii="Avenir Next" w:hAnsi="Avenir Next" w:cs="Arial"/>
          <w:color w:val="7B7B7B" w:themeColor="accent3" w:themeShade="BF"/>
          <w:sz w:val="22"/>
          <w:szCs w:val="22"/>
          <w:lang w:val="en-GB"/>
        </w:rPr>
        <w:t>In the context of</w:t>
      </w:r>
      <w:r w:rsidRPr="00DC1FE7">
        <w:rPr>
          <w:rFonts w:ascii="Avenir Next" w:hAnsi="Avenir Next" w:cs="Arial"/>
          <w:color w:val="7B7B7B" w:themeColor="accent3" w:themeShade="BF"/>
          <w:sz w:val="22"/>
          <w:szCs w:val="22"/>
          <w:lang w:val="en-GB"/>
        </w:rPr>
        <w:t xml:space="preserve"> </w:t>
      </w:r>
      <w:r w:rsidR="00FF14FD">
        <w:rPr>
          <w:rFonts w:ascii="Avenir Next" w:hAnsi="Avenir Next" w:cs="Arial"/>
          <w:color w:val="7B7B7B" w:themeColor="accent3" w:themeShade="BF"/>
          <w:sz w:val="22"/>
          <w:szCs w:val="22"/>
          <w:lang w:val="en-GB"/>
        </w:rPr>
        <w:t>that element</w:t>
      </w:r>
      <w:r w:rsidRPr="00DC1FE7">
        <w:rPr>
          <w:rFonts w:ascii="Avenir Next" w:hAnsi="Avenir Next" w:cs="Arial"/>
          <w:color w:val="7B7B7B" w:themeColor="accent3" w:themeShade="BF"/>
          <w:sz w:val="22"/>
          <w:szCs w:val="22"/>
          <w:lang w:val="en-GB"/>
        </w:rPr>
        <w:t xml:space="preserve"> there are two concepts that need to be </w:t>
      </w:r>
      <w:r w:rsidR="001179D7">
        <w:rPr>
          <w:rFonts w:ascii="Avenir Next" w:hAnsi="Avenir Next" w:cs="Arial"/>
          <w:color w:val="7B7B7B" w:themeColor="accent3" w:themeShade="BF"/>
          <w:sz w:val="22"/>
          <w:szCs w:val="22"/>
          <w:lang w:val="en-GB"/>
        </w:rPr>
        <w:t>explained</w:t>
      </w:r>
      <w:r w:rsidRPr="00DC1FE7">
        <w:rPr>
          <w:rFonts w:ascii="Avenir Next" w:hAnsi="Avenir Next" w:cs="Arial"/>
          <w:color w:val="7B7B7B" w:themeColor="accent3" w:themeShade="BF"/>
          <w:sz w:val="22"/>
          <w:szCs w:val="22"/>
          <w:lang w:val="en-GB"/>
        </w:rPr>
        <w:t xml:space="preserve">. The first </w:t>
      </w:r>
      <w:r w:rsidR="007C1DF1">
        <w:rPr>
          <w:rFonts w:ascii="Avenir Next" w:hAnsi="Avenir Next" w:cs="Arial"/>
          <w:color w:val="7B7B7B" w:themeColor="accent3" w:themeShade="BF"/>
          <w:sz w:val="22"/>
          <w:szCs w:val="22"/>
          <w:lang w:val="en-GB"/>
        </w:rPr>
        <w:t>concerns</w:t>
      </w:r>
      <w:r w:rsidRPr="00DC1FE7">
        <w:rPr>
          <w:rFonts w:ascii="Avenir Next" w:hAnsi="Avenir Next" w:cs="Arial"/>
          <w:color w:val="7B7B7B" w:themeColor="accent3" w:themeShade="BF"/>
          <w:sz w:val="22"/>
          <w:szCs w:val="22"/>
          <w:lang w:val="en-GB"/>
        </w:rPr>
        <w:t xml:space="preserve"> the nature of a </w:t>
      </w:r>
      <w:r w:rsidRPr="00AF0370">
        <w:rPr>
          <w:rFonts w:ascii="Avenir Next" w:hAnsi="Avenir Next" w:cs="Arial"/>
          <w:i/>
          <w:iCs/>
          <w:color w:val="7B7B7B" w:themeColor="accent3" w:themeShade="BF"/>
          <w:sz w:val="22"/>
          <w:szCs w:val="22"/>
          <w:lang w:val="en-GB"/>
        </w:rPr>
        <w:t>bona fide</w:t>
      </w:r>
      <w:r w:rsidRPr="00DC1FE7">
        <w:rPr>
          <w:rFonts w:ascii="Avenir Next" w:hAnsi="Avenir Next" w:cs="Arial"/>
          <w:color w:val="7B7B7B" w:themeColor="accent3" w:themeShade="BF"/>
          <w:sz w:val="22"/>
          <w:szCs w:val="22"/>
          <w:lang w:val="en-GB"/>
        </w:rPr>
        <w:t xml:space="preserve"> dispute </w:t>
      </w:r>
      <w:r w:rsidR="005400A2">
        <w:rPr>
          <w:rFonts w:ascii="Avenir Next" w:hAnsi="Avenir Next" w:cs="Arial"/>
          <w:color w:val="7B7B7B" w:themeColor="accent3" w:themeShade="BF"/>
          <w:sz w:val="22"/>
          <w:szCs w:val="22"/>
          <w:lang w:val="en-GB"/>
        </w:rPr>
        <w:t>that depends</w:t>
      </w:r>
      <w:r w:rsidR="006D0ED7" w:rsidRPr="006D0ED7">
        <w:rPr>
          <w:rFonts w:ascii="Avenir Next" w:hAnsi="Avenir Next" w:cs="Arial"/>
          <w:color w:val="7B7B7B" w:themeColor="accent3" w:themeShade="BF"/>
          <w:sz w:val="22"/>
          <w:szCs w:val="22"/>
          <w:lang w:val="en-GB"/>
        </w:rPr>
        <w:t xml:space="preserve"> on a reasonable basis established in an objective manner and involv</w:t>
      </w:r>
      <w:r w:rsidR="005400A2">
        <w:rPr>
          <w:rFonts w:ascii="Avenir Next" w:hAnsi="Avenir Next" w:cs="Arial"/>
          <w:color w:val="7B7B7B" w:themeColor="accent3" w:themeShade="BF"/>
          <w:sz w:val="22"/>
          <w:szCs w:val="22"/>
          <w:lang w:val="en-GB"/>
        </w:rPr>
        <w:t>es</w:t>
      </w:r>
      <w:r w:rsidR="006D0ED7" w:rsidRPr="006D0ED7">
        <w:rPr>
          <w:rFonts w:ascii="Avenir Next" w:hAnsi="Avenir Next" w:cs="Arial"/>
          <w:color w:val="7B7B7B" w:themeColor="accent3" w:themeShade="BF"/>
          <w:sz w:val="22"/>
          <w:szCs w:val="22"/>
          <w:lang w:val="en-GB"/>
        </w:rPr>
        <w:t xml:space="preserve"> questions of law or fact</w:t>
      </w:r>
      <w:r w:rsidRPr="00DC1FE7">
        <w:rPr>
          <w:rFonts w:ascii="Avenir Next" w:hAnsi="Avenir Next" w:cs="Arial"/>
          <w:color w:val="7B7B7B" w:themeColor="accent3" w:themeShade="BF"/>
          <w:sz w:val="22"/>
          <w:szCs w:val="22"/>
          <w:lang w:val="en-GB"/>
        </w:rPr>
        <w:t xml:space="preserve">. </w:t>
      </w:r>
      <w:r w:rsidR="006D0ED7">
        <w:rPr>
          <w:rFonts w:ascii="Avenir Next" w:hAnsi="Avenir Next" w:cs="Arial"/>
          <w:color w:val="7B7B7B" w:themeColor="accent3" w:themeShade="BF"/>
          <w:sz w:val="22"/>
          <w:szCs w:val="22"/>
          <w:lang w:val="en-GB"/>
        </w:rPr>
        <w:t>In fact</w:t>
      </w:r>
      <w:r w:rsidRPr="00DC1FE7">
        <w:rPr>
          <w:rFonts w:ascii="Avenir Next" w:hAnsi="Avenir Next" w:cs="Arial"/>
          <w:color w:val="7B7B7B" w:themeColor="accent3" w:themeShade="BF"/>
          <w:sz w:val="22"/>
          <w:szCs w:val="22"/>
          <w:lang w:val="en-GB"/>
        </w:rPr>
        <w:t>, subjective considerations of the debtor asserting incorrectness o</w:t>
      </w:r>
      <w:r w:rsidR="00B0375D">
        <w:rPr>
          <w:rFonts w:ascii="Avenir Next" w:hAnsi="Avenir Next" w:cs="Arial"/>
          <w:color w:val="7B7B7B" w:themeColor="accent3" w:themeShade="BF"/>
          <w:sz w:val="22"/>
          <w:szCs w:val="22"/>
          <w:lang w:val="en-GB"/>
        </w:rPr>
        <w:t>f</w:t>
      </w:r>
      <w:r w:rsidRPr="00DC1FE7">
        <w:rPr>
          <w:rFonts w:ascii="Avenir Next" w:hAnsi="Avenir Next" w:cs="Arial"/>
          <w:color w:val="7B7B7B" w:themeColor="accent3" w:themeShade="BF"/>
          <w:sz w:val="22"/>
          <w:szCs w:val="22"/>
          <w:lang w:val="en-GB"/>
        </w:rPr>
        <w:t xml:space="preserve"> the am</w:t>
      </w:r>
      <w:r w:rsidR="00B0375D">
        <w:rPr>
          <w:rFonts w:ascii="Avenir Next" w:hAnsi="Avenir Next" w:cs="Arial"/>
          <w:color w:val="7B7B7B" w:themeColor="accent3" w:themeShade="BF"/>
          <w:sz w:val="22"/>
          <w:szCs w:val="22"/>
          <w:lang w:val="en-GB"/>
        </w:rPr>
        <w:t>o</w:t>
      </w:r>
      <w:r w:rsidRPr="00DC1FE7">
        <w:rPr>
          <w:rFonts w:ascii="Avenir Next" w:hAnsi="Avenir Next" w:cs="Arial"/>
          <w:color w:val="7B7B7B" w:themeColor="accent3" w:themeShade="BF"/>
          <w:sz w:val="22"/>
          <w:szCs w:val="22"/>
          <w:lang w:val="en-GB"/>
        </w:rPr>
        <w:t xml:space="preserve">unt of the debt or that the debt is not owed, </w:t>
      </w:r>
      <w:r w:rsidR="007C1DF1">
        <w:rPr>
          <w:rFonts w:ascii="Avenir Next" w:hAnsi="Avenir Next" w:cs="Arial"/>
          <w:color w:val="7B7B7B" w:themeColor="accent3" w:themeShade="BF"/>
          <w:sz w:val="22"/>
          <w:szCs w:val="22"/>
          <w:lang w:val="en-GB"/>
        </w:rPr>
        <w:t>are insufficient</w:t>
      </w:r>
      <w:r w:rsidRPr="00DC1FE7">
        <w:rPr>
          <w:rFonts w:ascii="Avenir Next" w:hAnsi="Avenir Next" w:cs="Arial"/>
          <w:color w:val="7B7B7B" w:themeColor="accent3" w:themeShade="BF"/>
          <w:sz w:val="22"/>
          <w:szCs w:val="22"/>
          <w:lang w:val="en-GB"/>
        </w:rPr>
        <w:t xml:space="preserve">. </w:t>
      </w:r>
      <w:r w:rsidR="00FF14FD">
        <w:rPr>
          <w:rFonts w:ascii="Avenir Next" w:hAnsi="Avenir Next" w:cs="Arial"/>
          <w:color w:val="7B7B7B" w:themeColor="accent3" w:themeShade="BF"/>
          <w:sz w:val="22"/>
          <w:szCs w:val="22"/>
          <w:lang w:val="en-GB"/>
        </w:rPr>
        <w:t>As</w:t>
      </w:r>
      <w:r w:rsidRPr="00DC1FE7">
        <w:rPr>
          <w:rFonts w:ascii="Avenir Next" w:hAnsi="Avenir Next" w:cs="Arial"/>
          <w:color w:val="7B7B7B" w:themeColor="accent3" w:themeShade="BF"/>
          <w:sz w:val="22"/>
          <w:szCs w:val="22"/>
          <w:lang w:val="en-GB"/>
        </w:rPr>
        <w:t xml:space="preserve"> to the second concept, in the event </w:t>
      </w:r>
      <w:r w:rsidR="00160DD6">
        <w:rPr>
          <w:rFonts w:ascii="Avenir Next" w:hAnsi="Avenir Next" w:cs="Arial"/>
          <w:color w:val="7B7B7B" w:themeColor="accent3" w:themeShade="BF"/>
          <w:sz w:val="22"/>
          <w:szCs w:val="22"/>
          <w:lang w:val="en-GB"/>
        </w:rPr>
        <w:t xml:space="preserve">that </w:t>
      </w:r>
      <w:r w:rsidRPr="00DC1FE7">
        <w:rPr>
          <w:rFonts w:ascii="Avenir Next" w:hAnsi="Avenir Next" w:cs="Arial"/>
          <w:color w:val="7B7B7B" w:themeColor="accent3" w:themeShade="BF"/>
          <w:sz w:val="22"/>
          <w:szCs w:val="22"/>
          <w:lang w:val="en-GB"/>
        </w:rPr>
        <w:t xml:space="preserve">part of the amount claimed is subject to dispute, the remaining part of the amount as undisputed cannot be </w:t>
      </w:r>
      <w:r w:rsidR="00160DD6">
        <w:rPr>
          <w:rFonts w:ascii="Avenir Next" w:hAnsi="Avenir Next" w:cs="Arial"/>
          <w:color w:val="7B7B7B" w:themeColor="accent3" w:themeShade="BF"/>
          <w:sz w:val="22"/>
          <w:szCs w:val="22"/>
          <w:lang w:val="en-GB"/>
        </w:rPr>
        <w:t>aggregated</w:t>
      </w:r>
      <w:r w:rsidRPr="00DC1FE7">
        <w:rPr>
          <w:rFonts w:ascii="Avenir Next" w:hAnsi="Avenir Next" w:cs="Arial"/>
          <w:color w:val="7B7B7B" w:themeColor="accent3" w:themeShade="BF"/>
          <w:sz w:val="22"/>
          <w:szCs w:val="22"/>
          <w:lang w:val="en-GB"/>
        </w:rPr>
        <w:t xml:space="preserve"> to reach USD 16.750 for the unsecured or </w:t>
      </w:r>
      <w:proofErr w:type="spellStart"/>
      <w:r w:rsidRPr="00DC1FE7">
        <w:rPr>
          <w:rFonts w:ascii="Avenir Next" w:hAnsi="Avenir Next" w:cs="Arial"/>
          <w:color w:val="7B7B7B" w:themeColor="accent3" w:themeShade="BF"/>
          <w:sz w:val="22"/>
          <w:szCs w:val="22"/>
          <w:lang w:val="en-GB"/>
        </w:rPr>
        <w:t>undersecured</w:t>
      </w:r>
      <w:proofErr w:type="spellEnd"/>
      <w:r w:rsidRPr="00DC1FE7">
        <w:rPr>
          <w:rFonts w:ascii="Avenir Next" w:hAnsi="Avenir Next" w:cs="Arial"/>
          <w:color w:val="7B7B7B" w:themeColor="accent3" w:themeShade="BF"/>
          <w:sz w:val="22"/>
          <w:szCs w:val="22"/>
          <w:lang w:val="en-GB"/>
        </w:rPr>
        <w:t xml:space="preserve"> claims' requirement (see third element immediately below). It is nonetheless accepted that, notwithstanding the existence of a disputed claim of a creditor, undisputed claims held by the same creditor still allow </w:t>
      </w:r>
      <w:r w:rsidR="00A37094">
        <w:rPr>
          <w:rFonts w:ascii="Avenir Next" w:hAnsi="Avenir Next" w:cs="Arial"/>
          <w:color w:val="7B7B7B" w:themeColor="accent3" w:themeShade="BF"/>
          <w:sz w:val="22"/>
          <w:szCs w:val="22"/>
          <w:lang w:val="en-GB"/>
        </w:rPr>
        <w:t>the</w:t>
      </w:r>
      <w:r w:rsidRPr="00DC1FE7">
        <w:rPr>
          <w:rFonts w:ascii="Avenir Next" w:hAnsi="Avenir Next" w:cs="Arial"/>
          <w:color w:val="7B7B7B" w:themeColor="accent3" w:themeShade="BF"/>
          <w:sz w:val="22"/>
          <w:szCs w:val="22"/>
          <w:lang w:val="en-GB"/>
        </w:rPr>
        <w:t xml:space="preserve"> petitioning creditor's requirements to be met.</w:t>
      </w:r>
    </w:p>
    <w:p w14:paraId="13D74450" w14:textId="77777777" w:rsidR="00B0375D" w:rsidRDefault="00B0375D" w:rsidP="00DC1FE7">
      <w:pPr>
        <w:jc w:val="both"/>
        <w:rPr>
          <w:rFonts w:ascii="Avenir Next" w:hAnsi="Avenir Next" w:cs="Arial"/>
          <w:color w:val="7B7B7B" w:themeColor="accent3" w:themeShade="BF"/>
          <w:sz w:val="22"/>
          <w:szCs w:val="22"/>
          <w:lang w:val="en-GB"/>
        </w:rPr>
      </w:pPr>
    </w:p>
    <w:p w14:paraId="11449755" w14:textId="713F4256" w:rsidR="00DC1FE7" w:rsidRPr="00DC1FE7" w:rsidRDefault="00DC1FE7" w:rsidP="00DC1FE7">
      <w:pPr>
        <w:jc w:val="both"/>
        <w:rPr>
          <w:rFonts w:ascii="Avenir Next" w:hAnsi="Avenir Next" w:cs="Arial"/>
          <w:color w:val="7B7B7B" w:themeColor="accent3" w:themeShade="BF"/>
          <w:sz w:val="22"/>
          <w:szCs w:val="22"/>
          <w:lang w:val="en-GB"/>
        </w:rPr>
      </w:pPr>
      <w:r w:rsidRPr="00DC1FE7">
        <w:rPr>
          <w:rFonts w:ascii="Avenir Next" w:hAnsi="Avenir Next" w:cs="Arial"/>
          <w:color w:val="7B7B7B" w:themeColor="accent3" w:themeShade="BF"/>
          <w:sz w:val="22"/>
          <w:szCs w:val="22"/>
          <w:lang w:val="en-GB"/>
        </w:rPr>
        <w:t xml:space="preserve">The third and last element lies in the fact that the claim should be </w:t>
      </w:r>
      <w:proofErr w:type="spellStart"/>
      <w:r w:rsidRPr="00DC1FE7">
        <w:rPr>
          <w:rFonts w:ascii="Avenir Next" w:hAnsi="Avenir Next" w:cs="Arial"/>
          <w:color w:val="7B7B7B" w:themeColor="accent3" w:themeShade="BF"/>
          <w:sz w:val="22"/>
          <w:szCs w:val="22"/>
          <w:lang w:val="en-GB"/>
        </w:rPr>
        <w:t>undersecured</w:t>
      </w:r>
      <w:proofErr w:type="spellEnd"/>
      <w:r w:rsidRPr="00DC1FE7">
        <w:rPr>
          <w:rFonts w:ascii="Avenir Next" w:hAnsi="Avenir Next" w:cs="Arial"/>
          <w:color w:val="7B7B7B" w:themeColor="accent3" w:themeShade="BF"/>
          <w:sz w:val="22"/>
          <w:szCs w:val="22"/>
          <w:lang w:val="en-GB"/>
        </w:rPr>
        <w:t xml:space="preserve"> or unsecured</w:t>
      </w:r>
      <w:r w:rsidR="0001465A">
        <w:rPr>
          <w:rFonts w:ascii="Avenir Next" w:hAnsi="Avenir Next" w:cs="Arial"/>
          <w:color w:val="7B7B7B" w:themeColor="accent3" w:themeShade="BF"/>
          <w:sz w:val="22"/>
          <w:szCs w:val="22"/>
          <w:lang w:val="en-GB"/>
        </w:rPr>
        <w:t xml:space="preserve"> </w:t>
      </w:r>
      <w:r w:rsidRPr="00DC1FE7">
        <w:rPr>
          <w:rFonts w:ascii="Avenir Next" w:hAnsi="Avenir Next" w:cs="Arial"/>
          <w:color w:val="7B7B7B" w:themeColor="accent3" w:themeShade="BF"/>
          <w:sz w:val="22"/>
          <w:szCs w:val="22"/>
          <w:lang w:val="en-GB"/>
        </w:rPr>
        <w:t>reaching</w:t>
      </w:r>
      <w:r w:rsidR="0001465A" w:rsidRPr="00DC1FE7">
        <w:rPr>
          <w:rFonts w:ascii="Avenir Next" w:hAnsi="Avenir Next" w:cs="Arial"/>
          <w:color w:val="7B7B7B" w:themeColor="accent3" w:themeShade="BF"/>
          <w:sz w:val="22"/>
          <w:szCs w:val="22"/>
          <w:lang w:val="en-GB"/>
        </w:rPr>
        <w:t>, individually or together with all other claims of petitioning creditors,</w:t>
      </w:r>
      <w:r w:rsidRPr="00DC1FE7">
        <w:rPr>
          <w:rFonts w:ascii="Avenir Next" w:hAnsi="Avenir Next" w:cs="Arial"/>
          <w:color w:val="7B7B7B" w:themeColor="accent3" w:themeShade="BF"/>
          <w:sz w:val="22"/>
          <w:szCs w:val="22"/>
          <w:lang w:val="en-GB"/>
        </w:rPr>
        <w:t xml:space="preserve"> a</w:t>
      </w:r>
      <w:r w:rsidR="0030079D">
        <w:rPr>
          <w:rFonts w:ascii="Avenir Next" w:hAnsi="Avenir Next" w:cs="Arial"/>
          <w:color w:val="7B7B7B" w:themeColor="accent3" w:themeShade="BF"/>
          <w:sz w:val="22"/>
          <w:szCs w:val="22"/>
          <w:lang w:val="en-GB"/>
        </w:rPr>
        <w:t>s</w:t>
      </w:r>
      <w:r w:rsidRPr="00DC1FE7">
        <w:rPr>
          <w:rFonts w:ascii="Avenir Next" w:hAnsi="Avenir Next" w:cs="Arial"/>
          <w:color w:val="7B7B7B" w:themeColor="accent3" w:themeShade="BF"/>
          <w:sz w:val="22"/>
          <w:szCs w:val="22"/>
          <w:lang w:val="en-GB"/>
        </w:rPr>
        <w:t xml:space="preserve"> a minimum the amount of USD 16,750</w:t>
      </w:r>
      <w:r w:rsidR="00DB6379">
        <w:rPr>
          <w:rFonts w:ascii="Avenir Next" w:hAnsi="Avenir Next" w:cs="Arial"/>
          <w:color w:val="7B7B7B" w:themeColor="accent3" w:themeShade="BF"/>
          <w:sz w:val="22"/>
          <w:szCs w:val="22"/>
          <w:lang w:val="en-GB"/>
        </w:rPr>
        <w:t xml:space="preserve"> (</w:t>
      </w:r>
      <w:r w:rsidR="00DB6379">
        <w:rPr>
          <w:rFonts w:ascii="Avenir Next" w:hAnsi="Avenir Next" w:cs="Arial"/>
          <w:i/>
          <w:iCs/>
          <w:color w:val="7B7B7B" w:themeColor="accent3" w:themeShade="BF"/>
          <w:sz w:val="22"/>
          <w:szCs w:val="22"/>
          <w:lang w:val="en-GB"/>
        </w:rPr>
        <w:t xml:space="preserve">see </w:t>
      </w:r>
      <w:r w:rsidR="00DB6379">
        <w:rPr>
          <w:rFonts w:ascii="Avenir Next" w:hAnsi="Avenir Next" w:cs="Arial"/>
          <w:color w:val="7B7B7B" w:themeColor="accent3" w:themeShade="BF"/>
          <w:sz w:val="22"/>
          <w:szCs w:val="22"/>
          <w:lang w:val="en-GB"/>
        </w:rPr>
        <w:t xml:space="preserve">11 USC, </w:t>
      </w:r>
      <w:r w:rsidR="00DB6379" w:rsidRPr="00DB6379">
        <w:rPr>
          <w:rFonts w:ascii="Avenir Next" w:hAnsi="Avenir Next" w:cs="Arial"/>
          <w:color w:val="7B7B7B" w:themeColor="accent3" w:themeShade="BF"/>
          <w:sz w:val="22"/>
          <w:szCs w:val="22"/>
        </w:rPr>
        <w:t>§3</w:t>
      </w:r>
      <w:r w:rsidR="00DB6379">
        <w:rPr>
          <w:rFonts w:ascii="Avenir Next" w:hAnsi="Avenir Next" w:cs="Arial"/>
          <w:color w:val="7B7B7B" w:themeColor="accent3" w:themeShade="BF"/>
          <w:sz w:val="22"/>
          <w:szCs w:val="22"/>
        </w:rPr>
        <w:t>03</w:t>
      </w:r>
      <w:r w:rsidR="00F903F8">
        <w:rPr>
          <w:rFonts w:ascii="Avenir Next" w:hAnsi="Avenir Next" w:cs="Arial"/>
          <w:color w:val="7B7B7B" w:themeColor="accent3" w:themeShade="BF"/>
          <w:sz w:val="22"/>
          <w:szCs w:val="22"/>
        </w:rPr>
        <w:t>(b)</w:t>
      </w:r>
      <w:r w:rsidR="00DB6379">
        <w:rPr>
          <w:rFonts w:ascii="Avenir Next" w:hAnsi="Avenir Next" w:cs="Arial"/>
          <w:color w:val="7B7B7B" w:themeColor="accent3" w:themeShade="BF"/>
          <w:sz w:val="22"/>
          <w:szCs w:val="22"/>
        </w:rPr>
        <w:t>)</w:t>
      </w:r>
      <w:r w:rsidRPr="00DC1FE7">
        <w:rPr>
          <w:rFonts w:ascii="Avenir Next" w:hAnsi="Avenir Next" w:cs="Arial"/>
          <w:color w:val="7B7B7B" w:themeColor="accent3" w:themeShade="BF"/>
          <w:sz w:val="22"/>
          <w:szCs w:val="22"/>
          <w:lang w:val="en-GB"/>
        </w:rPr>
        <w:t>. Because of inflation, this amount is periodically adjusted.</w:t>
      </w:r>
    </w:p>
    <w:p w14:paraId="497ADA78" w14:textId="77777777" w:rsidR="00916D83" w:rsidRDefault="00916D83" w:rsidP="00B0375D">
      <w:pPr>
        <w:jc w:val="both"/>
        <w:rPr>
          <w:rFonts w:ascii="Avenir Next" w:hAnsi="Avenir Next" w:cs="Arial"/>
          <w:color w:val="7B7B7B" w:themeColor="accent3" w:themeShade="BF"/>
          <w:sz w:val="22"/>
          <w:szCs w:val="22"/>
          <w:lang w:val="en-GB"/>
        </w:rPr>
      </w:pPr>
    </w:p>
    <w:p w14:paraId="30894E24" w14:textId="4B00231F" w:rsidR="00F03051" w:rsidRPr="00E41578" w:rsidRDefault="00DC1FE7" w:rsidP="00B0375D">
      <w:pPr>
        <w:jc w:val="both"/>
        <w:rPr>
          <w:rFonts w:ascii="Avenir Next" w:hAnsi="Avenir Next" w:cs="Arial"/>
          <w:color w:val="7B7B7B" w:themeColor="accent3" w:themeShade="BF"/>
          <w:sz w:val="22"/>
          <w:szCs w:val="22"/>
          <w:lang w:val="en-GB"/>
        </w:rPr>
      </w:pPr>
      <w:r w:rsidRPr="00DC1FE7">
        <w:rPr>
          <w:rFonts w:ascii="Avenir Next" w:hAnsi="Avenir Next" w:cs="Arial"/>
          <w:color w:val="7B7B7B" w:themeColor="accent3" w:themeShade="BF"/>
          <w:sz w:val="22"/>
          <w:szCs w:val="22"/>
          <w:lang w:val="en-GB"/>
        </w:rPr>
        <w:t xml:space="preserve">In the context of an involuntary petition, </w:t>
      </w:r>
      <w:r w:rsidR="00E1674B">
        <w:rPr>
          <w:rFonts w:ascii="Avenir Next" w:hAnsi="Avenir Next" w:cs="Arial"/>
          <w:color w:val="7B7B7B" w:themeColor="accent3" w:themeShade="BF"/>
          <w:sz w:val="22"/>
          <w:szCs w:val="22"/>
          <w:lang w:val="en-GB"/>
        </w:rPr>
        <w:t>an</w:t>
      </w:r>
      <w:r w:rsidRPr="00DC1FE7">
        <w:rPr>
          <w:rFonts w:ascii="Avenir Next" w:hAnsi="Avenir Next" w:cs="Arial"/>
          <w:color w:val="7B7B7B" w:themeColor="accent3" w:themeShade="BF"/>
          <w:sz w:val="22"/>
          <w:szCs w:val="22"/>
          <w:lang w:val="en-GB"/>
        </w:rPr>
        <w:t xml:space="preserve"> allegation </w:t>
      </w:r>
      <w:r w:rsidR="00003BDE" w:rsidRPr="00DC1FE7">
        <w:rPr>
          <w:rFonts w:ascii="Avenir Next" w:hAnsi="Avenir Next" w:cs="Arial"/>
          <w:color w:val="7B7B7B" w:themeColor="accent3" w:themeShade="BF"/>
          <w:sz w:val="22"/>
          <w:szCs w:val="22"/>
          <w:lang w:val="en-GB"/>
        </w:rPr>
        <w:t>is required</w:t>
      </w:r>
      <w:r w:rsidR="00E1674B">
        <w:rPr>
          <w:rFonts w:ascii="Avenir Next" w:hAnsi="Avenir Next" w:cs="Arial"/>
          <w:color w:val="7B7B7B" w:themeColor="accent3" w:themeShade="BF"/>
          <w:sz w:val="22"/>
          <w:szCs w:val="22"/>
          <w:lang w:val="en-GB"/>
        </w:rPr>
        <w:t xml:space="preserve"> </w:t>
      </w:r>
      <w:r w:rsidRPr="00DC1FE7">
        <w:rPr>
          <w:rFonts w:ascii="Avenir Next" w:hAnsi="Avenir Next" w:cs="Arial"/>
          <w:color w:val="7B7B7B" w:themeColor="accent3" w:themeShade="BF"/>
          <w:sz w:val="22"/>
          <w:szCs w:val="22"/>
          <w:lang w:val="en-GB"/>
        </w:rPr>
        <w:t xml:space="preserve">that either the debtor fails generally to pay its debts as they become due, except if those debts are linked to a </w:t>
      </w:r>
      <w:r w:rsidRPr="00E1674B">
        <w:rPr>
          <w:rFonts w:ascii="Avenir Next" w:hAnsi="Avenir Next" w:cs="Arial"/>
          <w:i/>
          <w:iCs/>
          <w:color w:val="7B7B7B" w:themeColor="accent3" w:themeShade="BF"/>
          <w:sz w:val="22"/>
          <w:szCs w:val="22"/>
          <w:lang w:val="en-GB"/>
        </w:rPr>
        <w:t>bona fide</w:t>
      </w:r>
      <w:r w:rsidRPr="00DC1FE7">
        <w:rPr>
          <w:rFonts w:ascii="Avenir Next" w:hAnsi="Avenir Next" w:cs="Arial"/>
          <w:color w:val="7B7B7B" w:themeColor="accent3" w:themeShade="BF"/>
          <w:sz w:val="22"/>
          <w:szCs w:val="22"/>
          <w:lang w:val="en-GB"/>
        </w:rPr>
        <w:t xml:space="preserve"> dispute regarding liability or amount, or that "</w:t>
      </w:r>
      <w:r w:rsidR="00B0375D">
        <w:rPr>
          <w:rFonts w:ascii="Avenir Next" w:hAnsi="Avenir Next" w:cs="Arial"/>
          <w:color w:val="7B7B7B" w:themeColor="accent3" w:themeShade="BF"/>
          <w:sz w:val="22"/>
          <w:szCs w:val="22"/>
          <w:lang w:val="en-GB"/>
        </w:rPr>
        <w:t>[w]</w:t>
      </w:r>
      <w:proofErr w:type="spellStart"/>
      <w:r w:rsidR="00B0375D" w:rsidRPr="00B0375D">
        <w:rPr>
          <w:rFonts w:ascii="Avenir Next" w:hAnsi="Avenir Next" w:cs="Arial"/>
          <w:color w:val="7B7B7B" w:themeColor="accent3" w:themeShade="BF"/>
          <w:sz w:val="22"/>
          <w:szCs w:val="22"/>
          <w:lang w:val="en-GB"/>
        </w:rPr>
        <w:t>ithin</w:t>
      </w:r>
      <w:proofErr w:type="spellEnd"/>
      <w:r w:rsidR="00B0375D" w:rsidRPr="00B0375D">
        <w:rPr>
          <w:rFonts w:ascii="Avenir Next" w:hAnsi="Avenir Next" w:cs="Arial"/>
          <w:color w:val="7B7B7B" w:themeColor="accent3" w:themeShade="BF"/>
          <w:sz w:val="22"/>
          <w:szCs w:val="22"/>
          <w:lang w:val="en-GB"/>
        </w:rPr>
        <w:t xml:space="preserve"> 120 days before the filing of this petition, a custodian, other than a trustee, receiver, or an</w:t>
      </w:r>
      <w:r w:rsidR="00B0375D">
        <w:rPr>
          <w:rFonts w:ascii="Avenir Next" w:hAnsi="Avenir Next" w:cs="Arial"/>
          <w:color w:val="7B7B7B" w:themeColor="accent3" w:themeShade="BF"/>
          <w:sz w:val="22"/>
          <w:szCs w:val="22"/>
          <w:lang w:val="en-GB"/>
        </w:rPr>
        <w:t xml:space="preserve"> </w:t>
      </w:r>
      <w:r w:rsidR="00B0375D" w:rsidRPr="00B0375D">
        <w:rPr>
          <w:rFonts w:ascii="Avenir Next" w:hAnsi="Avenir Next" w:cs="Arial"/>
          <w:color w:val="7B7B7B" w:themeColor="accent3" w:themeShade="BF"/>
          <w:sz w:val="22"/>
          <w:szCs w:val="22"/>
          <w:lang w:val="en-GB"/>
        </w:rPr>
        <w:t>agent appointed or authorized to take charge of less than substantially all of the property of the debtor for the purpose of enforcing a lien against such property, was appointed or took possession</w:t>
      </w:r>
      <w:r w:rsidRPr="00DC1FE7">
        <w:rPr>
          <w:rFonts w:ascii="Avenir Next" w:hAnsi="Avenir Next" w:cs="Arial"/>
          <w:color w:val="7B7B7B" w:themeColor="accent3" w:themeShade="BF"/>
          <w:sz w:val="22"/>
          <w:szCs w:val="22"/>
          <w:lang w:val="en-GB"/>
        </w:rPr>
        <w:t>" (Form B205 at 2).</w:t>
      </w:r>
    </w:p>
    <w:p w14:paraId="3A833F16" w14:textId="1E878DCD" w:rsidR="00E01803" w:rsidRPr="004F2161" w:rsidRDefault="00E01803" w:rsidP="000778B1">
      <w:pPr>
        <w:pStyle w:val="AODocTxt"/>
        <w:spacing w:before="0" w:line="240" w:lineRule="auto"/>
        <w:rPr>
          <w:rFonts w:ascii="Avenir Next" w:hAnsi="Avenir Next"/>
          <w:lang w:val="en-GB"/>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 DOJ investigation, (ii) margin loan default; (iii) delinquent lease and (iv) employment discrimination lawsuit?</w:t>
      </w:r>
    </w:p>
    <w:p w14:paraId="6FDD283A" w14:textId="59AD3D95" w:rsidR="005114EF" w:rsidRDefault="005114EF" w:rsidP="00F03051">
      <w:pPr>
        <w:jc w:val="both"/>
        <w:rPr>
          <w:rFonts w:ascii="Avenir Next" w:hAnsi="Avenir Next" w:cs="Arial"/>
          <w:color w:val="7B7B7B" w:themeColor="accent3" w:themeShade="BF"/>
          <w:sz w:val="22"/>
          <w:szCs w:val="22"/>
          <w:lang w:val="en-GB"/>
        </w:rPr>
      </w:pPr>
    </w:p>
    <w:p w14:paraId="589A9C72" w14:textId="5E8280E0" w:rsidR="005114EF" w:rsidRDefault="00401795"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Upon the filing of a plenary petition the automatic stay applies. </w:t>
      </w:r>
      <w:r w:rsidR="00575457">
        <w:rPr>
          <w:rFonts w:ascii="Avenir Next" w:hAnsi="Avenir Next" w:cs="Arial"/>
          <w:color w:val="7B7B7B" w:themeColor="accent3" w:themeShade="BF"/>
          <w:sz w:val="22"/>
          <w:szCs w:val="22"/>
          <w:lang w:val="en-GB"/>
        </w:rPr>
        <w:t xml:space="preserve">In respect of a </w:t>
      </w:r>
      <w:r w:rsidR="00B32418">
        <w:rPr>
          <w:rFonts w:ascii="Avenir Next" w:hAnsi="Avenir Next" w:cs="Arial"/>
          <w:color w:val="7B7B7B" w:themeColor="accent3" w:themeShade="BF"/>
          <w:sz w:val="22"/>
          <w:szCs w:val="22"/>
          <w:lang w:val="en-GB"/>
        </w:rPr>
        <w:t>C</w:t>
      </w:r>
      <w:r w:rsidR="00575457">
        <w:rPr>
          <w:rFonts w:ascii="Avenir Next" w:hAnsi="Avenir Next" w:cs="Arial"/>
          <w:color w:val="7B7B7B" w:themeColor="accent3" w:themeShade="BF"/>
          <w:sz w:val="22"/>
          <w:szCs w:val="22"/>
          <w:lang w:val="en-GB"/>
        </w:rPr>
        <w:t>hapter 11 petition</w:t>
      </w:r>
      <w:r w:rsidR="00B32418">
        <w:rPr>
          <w:rFonts w:ascii="Avenir Next" w:hAnsi="Avenir Next" w:cs="Arial"/>
          <w:color w:val="7B7B7B" w:themeColor="accent3" w:themeShade="BF"/>
          <w:sz w:val="22"/>
          <w:szCs w:val="22"/>
          <w:lang w:val="en-GB"/>
        </w:rPr>
        <w:t xml:space="preserve">, </w:t>
      </w:r>
      <w:r w:rsidR="002666D1">
        <w:rPr>
          <w:rFonts w:ascii="Avenir Next" w:hAnsi="Avenir Next" w:cs="Arial"/>
          <w:color w:val="7B7B7B" w:themeColor="accent3" w:themeShade="BF"/>
          <w:sz w:val="22"/>
          <w:szCs w:val="22"/>
          <w:lang w:val="en-GB"/>
        </w:rPr>
        <w:t xml:space="preserve">the stay will give </w:t>
      </w:r>
      <w:r w:rsidR="00A8778C">
        <w:rPr>
          <w:rFonts w:ascii="Avenir Next" w:hAnsi="Avenir Next" w:cs="Arial"/>
          <w:color w:val="7B7B7B" w:themeColor="accent3" w:themeShade="BF"/>
          <w:sz w:val="22"/>
          <w:szCs w:val="22"/>
          <w:lang w:val="en-GB"/>
        </w:rPr>
        <w:t>some breathing space to the debtor so that he will be able</w:t>
      </w:r>
      <w:r w:rsidR="00A8778C" w:rsidRPr="00A8778C">
        <w:rPr>
          <w:rFonts w:ascii="Avenir Next" w:hAnsi="Avenir Next" w:cs="Arial"/>
          <w:color w:val="7B7B7B" w:themeColor="accent3" w:themeShade="BF"/>
          <w:sz w:val="22"/>
          <w:szCs w:val="22"/>
          <w:lang w:val="en-GB"/>
        </w:rPr>
        <w:t xml:space="preserve"> </w:t>
      </w:r>
      <w:r w:rsidR="00A8778C">
        <w:rPr>
          <w:rFonts w:ascii="Avenir Next" w:hAnsi="Avenir Next" w:cs="Arial"/>
          <w:color w:val="7B7B7B" w:themeColor="accent3" w:themeShade="BF"/>
          <w:sz w:val="22"/>
          <w:szCs w:val="22"/>
          <w:lang w:val="en-GB"/>
        </w:rPr>
        <w:t xml:space="preserve">to, inter alia, </w:t>
      </w:r>
      <w:r w:rsidR="002666D1">
        <w:rPr>
          <w:rFonts w:ascii="Avenir Next" w:hAnsi="Avenir Next" w:cs="Arial"/>
          <w:color w:val="7B7B7B" w:themeColor="accent3" w:themeShade="BF"/>
          <w:sz w:val="22"/>
          <w:szCs w:val="22"/>
          <w:lang w:val="en-GB"/>
        </w:rPr>
        <w:t>negotiate with its creditors</w:t>
      </w:r>
      <w:r w:rsidR="00A50B3C">
        <w:rPr>
          <w:rFonts w:ascii="Avenir Next" w:hAnsi="Avenir Next" w:cs="Arial"/>
          <w:color w:val="7B7B7B" w:themeColor="accent3" w:themeShade="BF"/>
          <w:sz w:val="22"/>
          <w:szCs w:val="22"/>
          <w:lang w:val="en-GB"/>
        </w:rPr>
        <w:t xml:space="preserve"> and</w:t>
      </w:r>
      <w:r w:rsidR="002666D1">
        <w:rPr>
          <w:rFonts w:ascii="Avenir Next" w:hAnsi="Avenir Next" w:cs="Arial"/>
          <w:color w:val="7B7B7B" w:themeColor="accent3" w:themeShade="BF"/>
          <w:sz w:val="22"/>
          <w:szCs w:val="22"/>
          <w:lang w:val="en-GB"/>
        </w:rPr>
        <w:t xml:space="preserve"> structure a </w:t>
      </w:r>
      <w:r w:rsidR="00F9014B">
        <w:rPr>
          <w:rFonts w:ascii="Avenir Next" w:hAnsi="Avenir Next" w:cs="Arial"/>
          <w:color w:val="7B7B7B" w:themeColor="accent3" w:themeShade="BF"/>
          <w:sz w:val="22"/>
          <w:szCs w:val="22"/>
          <w:lang w:val="en-GB"/>
        </w:rPr>
        <w:t>reorganization</w:t>
      </w:r>
      <w:r w:rsidR="002666D1">
        <w:rPr>
          <w:rFonts w:ascii="Avenir Next" w:hAnsi="Avenir Next" w:cs="Arial"/>
          <w:color w:val="7B7B7B" w:themeColor="accent3" w:themeShade="BF"/>
          <w:sz w:val="22"/>
          <w:szCs w:val="22"/>
          <w:lang w:val="en-GB"/>
        </w:rPr>
        <w:t xml:space="preserve"> plan</w:t>
      </w:r>
      <w:r w:rsidR="00A50B3C">
        <w:rPr>
          <w:rFonts w:ascii="Avenir Next" w:hAnsi="Avenir Next" w:cs="Arial"/>
          <w:color w:val="7B7B7B" w:themeColor="accent3" w:themeShade="BF"/>
          <w:sz w:val="22"/>
          <w:szCs w:val="22"/>
          <w:lang w:val="en-GB"/>
        </w:rPr>
        <w:t xml:space="preserve">. The scope of the stay </w:t>
      </w:r>
      <w:r w:rsidR="004251BA">
        <w:rPr>
          <w:rFonts w:ascii="Avenir Next" w:hAnsi="Avenir Next" w:cs="Arial"/>
          <w:color w:val="7B7B7B" w:themeColor="accent3" w:themeShade="BF"/>
          <w:sz w:val="22"/>
          <w:szCs w:val="22"/>
          <w:lang w:val="en-GB"/>
        </w:rPr>
        <w:t xml:space="preserve">applies and </w:t>
      </w:r>
      <w:r w:rsidR="00A50B3C">
        <w:rPr>
          <w:rFonts w:ascii="Avenir Next" w:hAnsi="Avenir Next" w:cs="Arial"/>
          <w:color w:val="7B7B7B" w:themeColor="accent3" w:themeShade="BF"/>
          <w:sz w:val="22"/>
          <w:szCs w:val="22"/>
          <w:lang w:val="en-GB"/>
        </w:rPr>
        <w:t xml:space="preserve">extends to any </w:t>
      </w:r>
      <w:r w:rsidR="00945304">
        <w:rPr>
          <w:rFonts w:ascii="Avenir Next" w:hAnsi="Avenir Next" w:cs="Arial"/>
          <w:color w:val="7B7B7B" w:themeColor="accent3" w:themeShade="BF"/>
          <w:sz w:val="22"/>
          <w:szCs w:val="22"/>
          <w:lang w:val="en-GB"/>
        </w:rPr>
        <w:t xml:space="preserve">interference with the debtor’s </w:t>
      </w:r>
      <w:r w:rsidR="00767ADB">
        <w:rPr>
          <w:rFonts w:ascii="Avenir Next" w:hAnsi="Avenir Next" w:cs="Arial"/>
          <w:color w:val="7B7B7B" w:themeColor="accent3" w:themeShade="BF"/>
          <w:sz w:val="22"/>
          <w:szCs w:val="22"/>
          <w:lang w:val="en-GB"/>
        </w:rPr>
        <w:t>property in any part of the world</w:t>
      </w:r>
      <w:r w:rsidR="00F9014B">
        <w:rPr>
          <w:rFonts w:ascii="Avenir Next" w:hAnsi="Avenir Next" w:cs="Arial"/>
          <w:color w:val="7B7B7B" w:themeColor="accent3" w:themeShade="BF"/>
          <w:sz w:val="22"/>
          <w:szCs w:val="22"/>
          <w:lang w:val="en-GB"/>
        </w:rPr>
        <w:t>.</w:t>
      </w:r>
    </w:p>
    <w:p w14:paraId="523E6D2E" w14:textId="3FEF6D48" w:rsidR="009D7C3D" w:rsidRDefault="009D7C3D" w:rsidP="00F03051">
      <w:pPr>
        <w:jc w:val="both"/>
        <w:rPr>
          <w:rFonts w:ascii="Avenir Next" w:hAnsi="Avenir Next" w:cs="Arial"/>
          <w:color w:val="7B7B7B" w:themeColor="accent3" w:themeShade="BF"/>
          <w:sz w:val="22"/>
          <w:szCs w:val="22"/>
          <w:lang w:val="en-GB"/>
        </w:rPr>
      </w:pPr>
    </w:p>
    <w:p w14:paraId="5F402863" w14:textId="1CFC6ADF" w:rsidR="009D7C3D" w:rsidRDefault="00047EDD"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addition to</w:t>
      </w:r>
      <w:r w:rsidR="001410E4">
        <w:rPr>
          <w:rFonts w:ascii="Avenir Next" w:hAnsi="Avenir Next" w:cs="Arial"/>
          <w:color w:val="7B7B7B" w:themeColor="accent3" w:themeShade="BF"/>
          <w:sz w:val="22"/>
          <w:szCs w:val="22"/>
          <w:lang w:val="en-GB"/>
        </w:rPr>
        <w:t xml:space="preserve"> specific indications </w:t>
      </w:r>
      <w:r w:rsidR="00F310D1">
        <w:rPr>
          <w:rFonts w:ascii="Avenir Next" w:hAnsi="Avenir Next" w:cs="Arial"/>
          <w:color w:val="7B7B7B" w:themeColor="accent3" w:themeShade="BF"/>
          <w:sz w:val="22"/>
          <w:szCs w:val="22"/>
          <w:lang w:val="en-GB"/>
        </w:rPr>
        <w:t>regarding</w:t>
      </w:r>
      <w:r w:rsidR="001410E4">
        <w:rPr>
          <w:rFonts w:ascii="Avenir Next" w:hAnsi="Avenir Next" w:cs="Arial"/>
          <w:color w:val="7B7B7B" w:themeColor="accent3" w:themeShade="BF"/>
          <w:sz w:val="22"/>
          <w:szCs w:val="22"/>
          <w:lang w:val="en-GB"/>
        </w:rPr>
        <w:t xml:space="preserve"> </w:t>
      </w:r>
      <w:r w:rsidR="00F310D1">
        <w:rPr>
          <w:rFonts w:ascii="Avenir Next" w:hAnsi="Avenir Next" w:cs="Arial"/>
          <w:color w:val="7B7B7B" w:themeColor="accent3" w:themeShade="BF"/>
          <w:sz w:val="22"/>
          <w:szCs w:val="22"/>
          <w:lang w:val="en-GB"/>
        </w:rPr>
        <w:t xml:space="preserve">the </w:t>
      </w:r>
      <w:r w:rsidR="00EE0995">
        <w:rPr>
          <w:rFonts w:ascii="Avenir Next" w:hAnsi="Avenir Next" w:cs="Arial"/>
          <w:color w:val="7B7B7B" w:themeColor="accent3" w:themeShade="BF"/>
          <w:sz w:val="22"/>
          <w:szCs w:val="22"/>
          <w:lang w:val="en-GB"/>
        </w:rPr>
        <w:t>application</w:t>
      </w:r>
      <w:r w:rsidR="00F310D1">
        <w:rPr>
          <w:rFonts w:ascii="Avenir Next" w:hAnsi="Avenir Next" w:cs="Arial"/>
          <w:color w:val="7B7B7B" w:themeColor="accent3" w:themeShade="BF"/>
          <w:sz w:val="22"/>
          <w:szCs w:val="22"/>
          <w:lang w:val="en-GB"/>
        </w:rPr>
        <w:t xml:space="preserve"> of</w:t>
      </w:r>
      <w:r w:rsidR="001410E4">
        <w:rPr>
          <w:rFonts w:ascii="Avenir Next" w:hAnsi="Avenir Next" w:cs="Arial"/>
          <w:color w:val="7B7B7B" w:themeColor="accent3" w:themeShade="BF"/>
          <w:sz w:val="22"/>
          <w:szCs w:val="22"/>
          <w:lang w:val="en-GB"/>
        </w:rPr>
        <w:t xml:space="preserve"> the stay </w:t>
      </w:r>
      <w:r w:rsidR="00F310D1">
        <w:rPr>
          <w:rFonts w:ascii="Avenir Next" w:hAnsi="Avenir Next" w:cs="Arial"/>
          <w:color w:val="7B7B7B" w:themeColor="accent3" w:themeShade="BF"/>
          <w:sz w:val="22"/>
          <w:szCs w:val="22"/>
          <w:lang w:val="en-GB"/>
        </w:rPr>
        <w:t>(</w:t>
      </w:r>
      <w:r w:rsidR="001410E4">
        <w:rPr>
          <w:rFonts w:ascii="Avenir Next" w:hAnsi="Avenir Next" w:cs="Arial"/>
          <w:color w:val="7B7B7B" w:themeColor="accent3" w:themeShade="BF"/>
          <w:sz w:val="22"/>
          <w:szCs w:val="22"/>
          <w:lang w:val="en-GB"/>
        </w:rPr>
        <w:t>11 USC, § 362</w:t>
      </w:r>
      <w:r w:rsidR="001410E4">
        <w:rPr>
          <w:rFonts w:ascii="Avenir Next" w:hAnsi="Avenir Next" w:cs="Arial"/>
          <w:color w:val="7B7B7B" w:themeColor="accent3" w:themeShade="BF"/>
          <w:sz w:val="22"/>
          <w:szCs w:val="22"/>
        </w:rPr>
        <w:t>(a)</w:t>
      </w:r>
      <w:r w:rsidR="00F310D1">
        <w:rPr>
          <w:rFonts w:ascii="Avenir Next" w:hAnsi="Avenir Next" w:cs="Arial"/>
          <w:color w:val="7B7B7B" w:themeColor="accent3" w:themeShade="BF"/>
          <w:sz w:val="22"/>
          <w:szCs w:val="22"/>
        </w:rPr>
        <w:t>)</w:t>
      </w:r>
      <w:r w:rsidR="001410E4">
        <w:rPr>
          <w:rFonts w:ascii="Avenir Next" w:hAnsi="Avenir Next" w:cs="Arial"/>
          <w:color w:val="7B7B7B" w:themeColor="accent3" w:themeShade="BF"/>
          <w:sz w:val="22"/>
          <w:szCs w:val="22"/>
        </w:rPr>
        <w:t xml:space="preserve">, </w:t>
      </w:r>
      <w:r w:rsidR="00194079">
        <w:rPr>
          <w:rFonts w:ascii="Avenir Next" w:hAnsi="Avenir Next" w:cs="Arial"/>
          <w:color w:val="7B7B7B" w:themeColor="accent3" w:themeShade="BF"/>
          <w:sz w:val="22"/>
          <w:szCs w:val="22"/>
          <w:lang w:val="en-GB"/>
        </w:rPr>
        <w:t xml:space="preserve">section </w:t>
      </w:r>
      <w:r w:rsidR="005E40B6">
        <w:rPr>
          <w:rFonts w:ascii="Avenir Next" w:hAnsi="Avenir Next" w:cs="Arial"/>
          <w:color w:val="7B7B7B" w:themeColor="accent3" w:themeShade="BF"/>
          <w:sz w:val="22"/>
          <w:szCs w:val="22"/>
          <w:lang w:val="en-GB"/>
        </w:rPr>
        <w:t>362</w:t>
      </w:r>
      <w:r w:rsidR="005E40B6">
        <w:rPr>
          <w:rFonts w:ascii="Avenir Next" w:hAnsi="Avenir Next" w:cs="Arial"/>
          <w:color w:val="7B7B7B" w:themeColor="accent3" w:themeShade="BF"/>
          <w:sz w:val="22"/>
          <w:szCs w:val="22"/>
        </w:rPr>
        <w:t xml:space="preserve">(b) sets forth </w:t>
      </w:r>
      <w:r w:rsidR="00F310D1">
        <w:rPr>
          <w:rFonts w:ascii="Avenir Next" w:hAnsi="Avenir Next" w:cs="Arial"/>
          <w:color w:val="7B7B7B" w:themeColor="accent3" w:themeShade="BF"/>
          <w:sz w:val="22"/>
          <w:szCs w:val="22"/>
        </w:rPr>
        <w:t>certain exceptions</w:t>
      </w:r>
      <w:r w:rsidR="005E40B6">
        <w:rPr>
          <w:rFonts w:ascii="Avenir Next" w:hAnsi="Avenir Next" w:cs="Arial"/>
          <w:color w:val="7B7B7B" w:themeColor="accent3" w:themeShade="BF"/>
          <w:sz w:val="22"/>
          <w:szCs w:val="22"/>
        </w:rPr>
        <w:t xml:space="preserve">. </w:t>
      </w:r>
      <w:r w:rsidR="00C67099">
        <w:rPr>
          <w:rFonts w:ascii="Avenir Next" w:hAnsi="Avenir Next" w:cs="Arial"/>
          <w:color w:val="7B7B7B" w:themeColor="accent3" w:themeShade="BF"/>
          <w:sz w:val="22"/>
          <w:szCs w:val="22"/>
        </w:rPr>
        <w:t>T</w:t>
      </w:r>
      <w:r w:rsidR="00A21D5A">
        <w:rPr>
          <w:rFonts w:ascii="Avenir Next" w:hAnsi="Avenir Next" w:cs="Arial"/>
          <w:color w:val="7B7B7B" w:themeColor="accent3" w:themeShade="BF"/>
          <w:sz w:val="22"/>
          <w:szCs w:val="22"/>
        </w:rPr>
        <w:t xml:space="preserve">he Bankruptcy Code </w:t>
      </w:r>
      <w:r w:rsidR="00764F46">
        <w:rPr>
          <w:rFonts w:ascii="Avenir Next" w:hAnsi="Avenir Next" w:cs="Arial"/>
          <w:color w:val="7B7B7B" w:themeColor="accent3" w:themeShade="BF"/>
          <w:sz w:val="22"/>
          <w:szCs w:val="22"/>
        </w:rPr>
        <w:t>expressly</w:t>
      </w:r>
      <w:r w:rsidR="00A21D5A">
        <w:rPr>
          <w:rFonts w:ascii="Avenir Next" w:hAnsi="Avenir Next" w:cs="Arial"/>
          <w:color w:val="7B7B7B" w:themeColor="accent3" w:themeShade="BF"/>
          <w:sz w:val="22"/>
          <w:szCs w:val="22"/>
        </w:rPr>
        <w:t xml:space="preserve"> </w:t>
      </w:r>
      <w:r w:rsidR="00EE0995">
        <w:rPr>
          <w:rFonts w:ascii="Avenir Next" w:hAnsi="Avenir Next" w:cs="Arial"/>
          <w:color w:val="7B7B7B" w:themeColor="accent3" w:themeShade="BF"/>
          <w:sz w:val="22"/>
          <w:szCs w:val="22"/>
        </w:rPr>
        <w:t xml:space="preserve">exempts the </w:t>
      </w:r>
      <w:r w:rsidR="00D56D3A">
        <w:rPr>
          <w:rFonts w:ascii="Avenir Next" w:hAnsi="Avenir Next" w:cs="Arial"/>
          <w:color w:val="7B7B7B" w:themeColor="accent3" w:themeShade="BF"/>
          <w:sz w:val="22"/>
          <w:szCs w:val="22"/>
        </w:rPr>
        <w:t xml:space="preserve">act of </w:t>
      </w:r>
      <w:r w:rsidR="00764F46">
        <w:rPr>
          <w:rFonts w:ascii="Avenir Next" w:hAnsi="Avenir Next" w:cs="Arial"/>
          <w:color w:val="7B7B7B" w:themeColor="accent3" w:themeShade="BF"/>
          <w:sz w:val="22"/>
          <w:szCs w:val="22"/>
        </w:rPr>
        <w:t>conducting</w:t>
      </w:r>
      <w:r w:rsidR="00EE0995">
        <w:rPr>
          <w:rFonts w:ascii="Avenir Next" w:hAnsi="Avenir Next" w:cs="Arial"/>
          <w:color w:val="7B7B7B" w:themeColor="accent3" w:themeShade="BF"/>
          <w:sz w:val="22"/>
          <w:szCs w:val="22"/>
        </w:rPr>
        <w:t xml:space="preserve"> regulatory investigations from the application of the stay</w:t>
      </w:r>
      <w:r w:rsidR="002E55F8">
        <w:rPr>
          <w:rFonts w:ascii="Avenir Next" w:hAnsi="Avenir Next" w:cs="Arial"/>
          <w:color w:val="7B7B7B" w:themeColor="accent3" w:themeShade="BF"/>
          <w:sz w:val="22"/>
          <w:szCs w:val="22"/>
        </w:rPr>
        <w:t xml:space="preserve"> (</w:t>
      </w:r>
      <w:r w:rsidR="002E55F8">
        <w:rPr>
          <w:rFonts w:ascii="Avenir Next" w:hAnsi="Avenir Next" w:cs="Arial"/>
          <w:i/>
          <w:iCs/>
          <w:color w:val="7B7B7B" w:themeColor="accent3" w:themeShade="BF"/>
          <w:sz w:val="22"/>
          <w:szCs w:val="22"/>
        </w:rPr>
        <w:t xml:space="preserve">see </w:t>
      </w:r>
      <w:r w:rsidR="002E55F8" w:rsidRPr="002E55F8">
        <w:rPr>
          <w:rFonts w:ascii="Avenir Next" w:hAnsi="Avenir Next" w:cs="Arial"/>
          <w:color w:val="7B7B7B" w:themeColor="accent3" w:themeShade="BF"/>
          <w:sz w:val="22"/>
          <w:szCs w:val="22"/>
        </w:rPr>
        <w:t>11</w:t>
      </w:r>
      <w:r w:rsidR="002E55F8">
        <w:rPr>
          <w:rFonts w:ascii="Avenir Next" w:hAnsi="Avenir Next" w:cs="Arial"/>
          <w:color w:val="7B7B7B" w:themeColor="accent3" w:themeShade="BF"/>
          <w:sz w:val="22"/>
          <w:szCs w:val="22"/>
        </w:rPr>
        <w:t xml:space="preserve"> USC, §362(b)(4))</w:t>
      </w:r>
      <w:r w:rsidR="00EE0995">
        <w:rPr>
          <w:rFonts w:ascii="Avenir Next" w:hAnsi="Avenir Next" w:cs="Arial"/>
          <w:color w:val="7B7B7B" w:themeColor="accent3" w:themeShade="BF"/>
          <w:sz w:val="22"/>
          <w:szCs w:val="22"/>
        </w:rPr>
        <w:t>.</w:t>
      </w:r>
      <w:r w:rsidR="00A21D5A">
        <w:rPr>
          <w:rFonts w:ascii="Avenir Next" w:hAnsi="Avenir Next" w:cs="Arial"/>
          <w:color w:val="7B7B7B" w:themeColor="accent3" w:themeShade="BF"/>
          <w:sz w:val="22"/>
          <w:szCs w:val="22"/>
        </w:rPr>
        <w:t xml:space="preserve"> </w:t>
      </w:r>
      <w:r w:rsidR="00D56D3A">
        <w:rPr>
          <w:rFonts w:ascii="Avenir Next" w:hAnsi="Avenir Next" w:cs="Arial"/>
          <w:color w:val="7B7B7B" w:themeColor="accent3" w:themeShade="BF"/>
          <w:sz w:val="22"/>
          <w:szCs w:val="22"/>
        </w:rPr>
        <w:t>In the case at hand,</w:t>
      </w:r>
      <w:r w:rsidR="00194079">
        <w:rPr>
          <w:rFonts w:ascii="Avenir Next" w:hAnsi="Avenir Next" w:cs="Arial"/>
          <w:color w:val="7B7B7B" w:themeColor="accent3" w:themeShade="BF"/>
          <w:sz w:val="22"/>
          <w:szCs w:val="22"/>
        </w:rPr>
        <w:t xml:space="preserve"> </w:t>
      </w:r>
      <w:r w:rsidR="00F310D1">
        <w:rPr>
          <w:rFonts w:ascii="Avenir Next" w:hAnsi="Avenir Next" w:cs="Arial"/>
          <w:color w:val="7B7B7B" w:themeColor="accent3" w:themeShade="BF"/>
          <w:sz w:val="22"/>
          <w:szCs w:val="22"/>
          <w:lang w:val="en-GB"/>
        </w:rPr>
        <w:t>the investigation initiated by the US Department of Justice</w:t>
      </w:r>
      <w:r w:rsidR="00D56D3A">
        <w:rPr>
          <w:rFonts w:ascii="Avenir Next" w:hAnsi="Avenir Next" w:cs="Arial"/>
          <w:color w:val="7B7B7B" w:themeColor="accent3" w:themeShade="BF"/>
          <w:sz w:val="22"/>
          <w:szCs w:val="22"/>
          <w:lang w:val="en-GB"/>
        </w:rPr>
        <w:t xml:space="preserve"> will not be stayed as an effect </w:t>
      </w:r>
      <w:r w:rsidR="00234C11">
        <w:rPr>
          <w:rFonts w:ascii="Avenir Next" w:hAnsi="Avenir Next" w:cs="Arial"/>
          <w:color w:val="7B7B7B" w:themeColor="accent3" w:themeShade="BF"/>
          <w:sz w:val="22"/>
          <w:szCs w:val="22"/>
          <w:lang w:val="en-GB"/>
        </w:rPr>
        <w:t xml:space="preserve">of the filing </w:t>
      </w:r>
      <w:r w:rsidR="00D56D3A">
        <w:rPr>
          <w:rFonts w:ascii="Avenir Next" w:hAnsi="Avenir Next" w:cs="Arial"/>
          <w:color w:val="7B7B7B" w:themeColor="accent3" w:themeShade="BF"/>
          <w:sz w:val="22"/>
          <w:szCs w:val="22"/>
          <w:lang w:val="en-GB"/>
        </w:rPr>
        <w:t>of a Chapter 11 petition.</w:t>
      </w:r>
      <w:r w:rsidR="00194079">
        <w:rPr>
          <w:rFonts w:ascii="Avenir Next" w:hAnsi="Avenir Next" w:cs="Arial"/>
          <w:color w:val="7B7B7B" w:themeColor="accent3" w:themeShade="BF"/>
          <w:sz w:val="22"/>
          <w:szCs w:val="22"/>
          <w:lang w:val="en-GB"/>
        </w:rPr>
        <w:t xml:space="preserve"> Despite the debtor’s bankruptcy</w:t>
      </w:r>
      <w:r w:rsidR="00AB4B8F">
        <w:rPr>
          <w:rFonts w:ascii="Avenir Next" w:hAnsi="Avenir Next" w:cs="Arial"/>
          <w:color w:val="7B7B7B" w:themeColor="accent3" w:themeShade="BF"/>
          <w:sz w:val="22"/>
          <w:szCs w:val="22"/>
          <w:lang w:val="en-GB"/>
        </w:rPr>
        <w:t>,</w:t>
      </w:r>
      <w:r w:rsidR="00194079">
        <w:rPr>
          <w:rFonts w:ascii="Avenir Next" w:hAnsi="Avenir Next" w:cs="Arial"/>
          <w:color w:val="7B7B7B" w:themeColor="accent3" w:themeShade="BF"/>
          <w:sz w:val="22"/>
          <w:szCs w:val="22"/>
          <w:lang w:val="en-GB"/>
        </w:rPr>
        <w:t xml:space="preserve"> the</w:t>
      </w:r>
      <w:r w:rsidR="00194079" w:rsidRPr="00194079">
        <w:rPr>
          <w:rFonts w:ascii="Avenir Next" w:hAnsi="Avenir Next" w:cs="Arial"/>
          <w:color w:val="7B7B7B" w:themeColor="accent3" w:themeShade="BF"/>
          <w:sz w:val="22"/>
          <w:szCs w:val="22"/>
          <w:lang w:val="en-GB"/>
        </w:rPr>
        <w:t xml:space="preserve"> Bankruptcy Code </w:t>
      </w:r>
      <w:r w:rsidR="00194079">
        <w:rPr>
          <w:rFonts w:ascii="Avenir Next" w:hAnsi="Avenir Next" w:cs="Arial"/>
          <w:color w:val="7B7B7B" w:themeColor="accent3" w:themeShade="BF"/>
          <w:sz w:val="22"/>
          <w:szCs w:val="22"/>
          <w:lang w:val="en-GB"/>
        </w:rPr>
        <w:t xml:space="preserve">acknowledges the existence of a greater </w:t>
      </w:r>
      <w:r w:rsidR="00194079" w:rsidRPr="00194079">
        <w:rPr>
          <w:rFonts w:ascii="Avenir Next" w:hAnsi="Avenir Next" w:cs="Arial"/>
          <w:color w:val="7B7B7B" w:themeColor="accent3" w:themeShade="BF"/>
          <w:sz w:val="22"/>
          <w:szCs w:val="22"/>
          <w:lang w:val="en-GB"/>
        </w:rPr>
        <w:t xml:space="preserve">public interest in </w:t>
      </w:r>
      <w:r w:rsidR="00AB4B8F">
        <w:rPr>
          <w:rFonts w:ascii="Avenir Next" w:hAnsi="Avenir Next" w:cs="Arial"/>
          <w:color w:val="7B7B7B" w:themeColor="accent3" w:themeShade="BF"/>
          <w:sz w:val="22"/>
          <w:szCs w:val="22"/>
          <w:lang w:val="en-GB"/>
        </w:rPr>
        <w:t>the exercise of</w:t>
      </w:r>
      <w:r w:rsidR="00194079" w:rsidRPr="00194079">
        <w:rPr>
          <w:rFonts w:ascii="Avenir Next" w:hAnsi="Avenir Next" w:cs="Arial"/>
          <w:color w:val="7B7B7B" w:themeColor="accent3" w:themeShade="BF"/>
          <w:sz w:val="22"/>
          <w:szCs w:val="22"/>
          <w:lang w:val="en-GB"/>
        </w:rPr>
        <w:t xml:space="preserve"> regulatory or police powers</w:t>
      </w:r>
      <w:r w:rsidR="00AB4B8F">
        <w:rPr>
          <w:rFonts w:ascii="Avenir Next" w:hAnsi="Avenir Next" w:cs="Arial"/>
          <w:color w:val="7B7B7B" w:themeColor="accent3" w:themeShade="BF"/>
          <w:sz w:val="22"/>
          <w:szCs w:val="22"/>
          <w:lang w:val="en-GB"/>
        </w:rPr>
        <w:t xml:space="preserve"> </w:t>
      </w:r>
      <w:r w:rsidR="0053357A">
        <w:rPr>
          <w:rFonts w:ascii="Avenir Next" w:hAnsi="Avenir Next" w:cs="Arial"/>
          <w:color w:val="7B7B7B" w:themeColor="accent3" w:themeShade="BF"/>
          <w:sz w:val="22"/>
          <w:szCs w:val="22"/>
          <w:lang w:val="en-GB"/>
        </w:rPr>
        <w:t>from</w:t>
      </w:r>
      <w:r w:rsidR="00AB4B8F">
        <w:rPr>
          <w:rFonts w:ascii="Avenir Next" w:hAnsi="Avenir Next" w:cs="Arial"/>
          <w:color w:val="7B7B7B" w:themeColor="accent3" w:themeShade="BF"/>
          <w:sz w:val="22"/>
          <w:szCs w:val="22"/>
          <w:lang w:val="en-GB"/>
        </w:rPr>
        <w:t xml:space="preserve"> government entities</w:t>
      </w:r>
      <w:r w:rsidR="00194079" w:rsidRPr="00194079">
        <w:rPr>
          <w:rFonts w:ascii="Avenir Next" w:hAnsi="Avenir Next" w:cs="Arial"/>
          <w:color w:val="7B7B7B" w:themeColor="accent3" w:themeShade="BF"/>
          <w:sz w:val="22"/>
          <w:szCs w:val="22"/>
          <w:lang w:val="en-GB"/>
        </w:rPr>
        <w:t>.</w:t>
      </w:r>
    </w:p>
    <w:p w14:paraId="4D679E9B" w14:textId="1B3C8D08" w:rsidR="0017091F" w:rsidRDefault="0017091F" w:rsidP="00F03051">
      <w:pPr>
        <w:jc w:val="both"/>
        <w:rPr>
          <w:rFonts w:ascii="Avenir Next" w:hAnsi="Avenir Next" w:cs="Arial"/>
          <w:color w:val="7B7B7B" w:themeColor="accent3" w:themeShade="BF"/>
          <w:sz w:val="22"/>
          <w:szCs w:val="22"/>
          <w:lang w:val="en-GB"/>
        </w:rPr>
      </w:pPr>
    </w:p>
    <w:p w14:paraId="7CFB34E2" w14:textId="03717E5C" w:rsidR="0017091F" w:rsidRPr="00E36CE0" w:rsidRDefault="001D54F7" w:rsidP="006F6DFB">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Pursuant to section </w:t>
      </w:r>
      <w:r w:rsidRPr="004066C5">
        <w:rPr>
          <w:rFonts w:ascii="Avenir Next" w:hAnsi="Avenir Next" w:cs="Arial"/>
          <w:color w:val="7B7B7B" w:themeColor="accent3" w:themeShade="BF"/>
          <w:sz w:val="22"/>
          <w:szCs w:val="22"/>
        </w:rPr>
        <w:t>362(</w:t>
      </w:r>
      <w:r w:rsidR="009844C4">
        <w:rPr>
          <w:rFonts w:ascii="Avenir Next" w:hAnsi="Avenir Next" w:cs="Arial"/>
          <w:color w:val="7B7B7B" w:themeColor="accent3" w:themeShade="BF"/>
          <w:sz w:val="22"/>
          <w:szCs w:val="22"/>
        </w:rPr>
        <w:t>b</w:t>
      </w:r>
      <w:r w:rsidRPr="004066C5">
        <w:rPr>
          <w:rFonts w:ascii="Avenir Next" w:hAnsi="Avenir Next" w:cs="Arial"/>
          <w:color w:val="7B7B7B" w:themeColor="accent3" w:themeShade="BF"/>
          <w:sz w:val="22"/>
          <w:szCs w:val="22"/>
        </w:rPr>
        <w:t>)(</w:t>
      </w:r>
      <w:r w:rsidR="009844C4">
        <w:rPr>
          <w:rFonts w:ascii="Avenir Next" w:hAnsi="Avenir Next" w:cs="Arial"/>
          <w:color w:val="7B7B7B" w:themeColor="accent3" w:themeShade="BF"/>
          <w:sz w:val="22"/>
          <w:szCs w:val="22"/>
        </w:rPr>
        <w:t>6</w:t>
      </w:r>
      <w:r w:rsidRPr="004066C5">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rPr>
        <w:t xml:space="preserve">, a </w:t>
      </w:r>
      <w:r w:rsidR="00E36CE0">
        <w:rPr>
          <w:rFonts w:ascii="Avenir Next" w:hAnsi="Avenir Next" w:cs="Arial"/>
          <w:color w:val="7B7B7B" w:themeColor="accent3" w:themeShade="BF"/>
          <w:sz w:val="22"/>
          <w:szCs w:val="22"/>
        </w:rPr>
        <w:t>C</w:t>
      </w:r>
      <w:r>
        <w:rPr>
          <w:rFonts w:ascii="Avenir Next" w:hAnsi="Avenir Next" w:cs="Arial"/>
          <w:color w:val="7B7B7B" w:themeColor="accent3" w:themeShade="BF"/>
          <w:sz w:val="22"/>
          <w:szCs w:val="22"/>
        </w:rPr>
        <w:t xml:space="preserve">hapter 11 petition </w:t>
      </w:r>
      <w:r w:rsidR="009844C4">
        <w:rPr>
          <w:rFonts w:ascii="Avenir Next" w:hAnsi="Avenir Next" w:cs="Arial"/>
          <w:color w:val="7B7B7B" w:themeColor="accent3" w:themeShade="BF"/>
          <w:sz w:val="22"/>
          <w:szCs w:val="22"/>
        </w:rPr>
        <w:t>does not stay</w:t>
      </w:r>
      <w:r>
        <w:rPr>
          <w:rFonts w:ascii="Avenir Next" w:hAnsi="Avenir Next" w:cs="Arial"/>
          <w:color w:val="7B7B7B" w:themeColor="accent3" w:themeShade="BF"/>
          <w:sz w:val="22"/>
          <w:szCs w:val="22"/>
        </w:rPr>
        <w:t xml:space="preserve"> “[…] </w:t>
      </w:r>
      <w:r w:rsidR="009844C4" w:rsidRPr="009844C4">
        <w:rPr>
          <w:rFonts w:ascii="Avenir Next" w:hAnsi="Avenir Next" w:cs="Arial"/>
          <w:color w:val="7B7B7B" w:themeColor="accent3" w:themeShade="BF"/>
          <w:sz w:val="22"/>
          <w:szCs w:val="22"/>
        </w:rPr>
        <w:t xml:space="preserve">the exercise by a commodity broker, forward contract merchant, stockbroker, financial institution, financial participant, or securities clearing agency of any contractual right </w:t>
      </w:r>
      <w:r w:rsidR="009844C4">
        <w:rPr>
          <w:rFonts w:ascii="Avenir Next" w:hAnsi="Avenir Next" w:cs="Arial"/>
          <w:color w:val="7B7B7B" w:themeColor="accent3" w:themeShade="BF"/>
          <w:sz w:val="22"/>
          <w:szCs w:val="22"/>
        </w:rPr>
        <w:t>[…]</w:t>
      </w:r>
      <w:r w:rsidR="009844C4" w:rsidRPr="009844C4">
        <w:rPr>
          <w:rFonts w:ascii="Avenir Next" w:hAnsi="Avenir Next" w:cs="Arial"/>
          <w:color w:val="7B7B7B" w:themeColor="accent3" w:themeShade="BF"/>
          <w:sz w:val="22"/>
          <w:szCs w:val="22"/>
        </w:rPr>
        <w:t xml:space="preserve"> under any security agreement or arrangement or other credit enhancement forming a part of or related to any commodity contract, forward contract or securities contract, or of any contractual right </w:t>
      </w:r>
      <w:r w:rsidR="009844C4">
        <w:rPr>
          <w:rFonts w:ascii="Avenir Next" w:hAnsi="Avenir Next" w:cs="Arial"/>
          <w:color w:val="7B7B7B" w:themeColor="accent3" w:themeShade="BF"/>
          <w:sz w:val="22"/>
          <w:szCs w:val="22"/>
        </w:rPr>
        <w:t>[…]</w:t>
      </w:r>
      <w:r w:rsidR="009844C4" w:rsidRPr="009844C4">
        <w:rPr>
          <w:rFonts w:ascii="Avenir Next" w:hAnsi="Avenir Next" w:cs="Arial"/>
          <w:color w:val="7B7B7B" w:themeColor="accent3" w:themeShade="BF"/>
          <w:sz w:val="22"/>
          <w:szCs w:val="22"/>
        </w:rPr>
        <w:t xml:space="preserve"> to offset or net out any termination value, payment amount, or other transfer obligation arising under or in connection with 1 or more such contracts, including any master agreement for such contracts</w:t>
      </w:r>
      <w:r>
        <w:rPr>
          <w:rFonts w:ascii="Avenir Next" w:hAnsi="Avenir Next" w:cs="Arial"/>
          <w:color w:val="7B7B7B" w:themeColor="accent3" w:themeShade="BF"/>
          <w:sz w:val="22"/>
          <w:szCs w:val="22"/>
        </w:rPr>
        <w:t>”</w:t>
      </w:r>
      <w:r w:rsidR="00590484">
        <w:rPr>
          <w:rFonts w:ascii="Avenir Next" w:hAnsi="Avenir Next" w:cs="Arial"/>
          <w:color w:val="7B7B7B" w:themeColor="accent3" w:themeShade="BF"/>
          <w:sz w:val="22"/>
          <w:szCs w:val="22"/>
        </w:rPr>
        <w:t xml:space="preserve"> (</w:t>
      </w:r>
      <w:r w:rsidR="00590484" w:rsidRPr="00590484">
        <w:rPr>
          <w:rFonts w:ascii="Avenir Next" w:hAnsi="Avenir Next" w:cs="Arial"/>
          <w:i/>
          <w:iCs/>
          <w:color w:val="7B7B7B" w:themeColor="accent3" w:themeShade="BF"/>
          <w:sz w:val="22"/>
          <w:szCs w:val="22"/>
        </w:rPr>
        <w:t>see</w:t>
      </w:r>
      <w:r w:rsidR="00590484">
        <w:rPr>
          <w:rFonts w:ascii="Avenir Next" w:hAnsi="Avenir Next" w:cs="Arial"/>
          <w:color w:val="7B7B7B" w:themeColor="accent3" w:themeShade="BF"/>
          <w:sz w:val="22"/>
          <w:szCs w:val="22"/>
        </w:rPr>
        <w:t xml:space="preserve"> 11 USC, </w:t>
      </w:r>
      <w:r w:rsidR="00590484" w:rsidRPr="00590484">
        <w:rPr>
          <w:rFonts w:ascii="Avenir Next" w:hAnsi="Avenir Next" w:cs="Arial"/>
          <w:color w:val="7B7B7B" w:themeColor="accent3" w:themeShade="BF"/>
          <w:sz w:val="22"/>
          <w:szCs w:val="22"/>
        </w:rPr>
        <w:t>§</w:t>
      </w:r>
      <w:r w:rsidR="00590484" w:rsidRPr="004066C5">
        <w:rPr>
          <w:rFonts w:ascii="Avenir Next" w:hAnsi="Avenir Next" w:cs="Arial"/>
          <w:color w:val="7B7B7B" w:themeColor="accent3" w:themeShade="BF"/>
          <w:sz w:val="22"/>
          <w:szCs w:val="22"/>
        </w:rPr>
        <w:t>362(</w:t>
      </w:r>
      <w:r w:rsidR="00590484">
        <w:rPr>
          <w:rFonts w:ascii="Avenir Next" w:hAnsi="Avenir Next" w:cs="Arial"/>
          <w:color w:val="7B7B7B" w:themeColor="accent3" w:themeShade="BF"/>
          <w:sz w:val="22"/>
          <w:szCs w:val="22"/>
        </w:rPr>
        <w:t>b</w:t>
      </w:r>
      <w:r w:rsidR="00590484" w:rsidRPr="004066C5">
        <w:rPr>
          <w:rFonts w:ascii="Avenir Next" w:hAnsi="Avenir Next" w:cs="Arial"/>
          <w:color w:val="7B7B7B" w:themeColor="accent3" w:themeShade="BF"/>
          <w:sz w:val="22"/>
          <w:szCs w:val="22"/>
        </w:rPr>
        <w:t>)(</w:t>
      </w:r>
      <w:r w:rsidR="00590484">
        <w:rPr>
          <w:rFonts w:ascii="Avenir Next" w:hAnsi="Avenir Next" w:cs="Arial"/>
          <w:color w:val="7B7B7B" w:themeColor="accent3" w:themeShade="BF"/>
          <w:sz w:val="22"/>
          <w:szCs w:val="22"/>
        </w:rPr>
        <w:t>6</w:t>
      </w:r>
      <w:r w:rsidR="00590484" w:rsidRPr="004066C5">
        <w:rPr>
          <w:rFonts w:ascii="Avenir Next" w:hAnsi="Avenir Next" w:cs="Arial"/>
          <w:color w:val="7B7B7B" w:themeColor="accent3" w:themeShade="BF"/>
          <w:sz w:val="22"/>
          <w:szCs w:val="22"/>
        </w:rPr>
        <w:t>)</w:t>
      </w:r>
      <w:r w:rsidR="00590484">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rPr>
        <w:t xml:space="preserve">. </w:t>
      </w:r>
      <w:r w:rsidR="00524C97">
        <w:rPr>
          <w:rFonts w:ascii="Avenir Next" w:hAnsi="Avenir Next" w:cs="Arial"/>
          <w:color w:val="7B7B7B" w:themeColor="accent3" w:themeShade="BF"/>
          <w:sz w:val="22"/>
          <w:szCs w:val="22"/>
        </w:rPr>
        <w:t xml:space="preserve">Speculation Inc. invests in its </w:t>
      </w:r>
      <w:r w:rsidR="00C42A49">
        <w:rPr>
          <w:rFonts w:ascii="Avenir Next" w:hAnsi="Avenir Next" w:cs="Arial"/>
          <w:color w:val="7B7B7B" w:themeColor="accent3" w:themeShade="BF"/>
          <w:sz w:val="22"/>
          <w:szCs w:val="22"/>
        </w:rPr>
        <w:t>business</w:t>
      </w:r>
      <w:r w:rsidR="00524C97">
        <w:rPr>
          <w:rFonts w:ascii="Avenir Next" w:hAnsi="Avenir Next" w:cs="Arial"/>
          <w:color w:val="7B7B7B" w:themeColor="accent3" w:themeShade="BF"/>
          <w:sz w:val="22"/>
          <w:szCs w:val="22"/>
        </w:rPr>
        <w:t xml:space="preserve"> utilizing a margin loan from a broker</w:t>
      </w:r>
      <w:r w:rsidR="009C34D1">
        <w:rPr>
          <w:rFonts w:ascii="Avenir Next" w:hAnsi="Avenir Next" w:cs="Arial"/>
          <w:color w:val="7B7B7B" w:themeColor="accent3" w:themeShade="BF"/>
          <w:sz w:val="22"/>
          <w:szCs w:val="22"/>
        </w:rPr>
        <w:t>,</w:t>
      </w:r>
      <w:r w:rsidR="00524C97">
        <w:rPr>
          <w:rFonts w:ascii="Avenir Next" w:hAnsi="Avenir Next" w:cs="Arial"/>
          <w:color w:val="7B7B7B" w:themeColor="accent3" w:themeShade="BF"/>
          <w:sz w:val="22"/>
          <w:szCs w:val="22"/>
        </w:rPr>
        <w:t xml:space="preserve"> for which </w:t>
      </w:r>
      <w:r w:rsidR="009C34D1">
        <w:rPr>
          <w:rFonts w:ascii="Avenir Next" w:hAnsi="Avenir Next" w:cs="Arial"/>
          <w:color w:val="7B7B7B" w:themeColor="accent3" w:themeShade="BF"/>
          <w:sz w:val="22"/>
          <w:szCs w:val="22"/>
        </w:rPr>
        <w:t xml:space="preserve">the </w:t>
      </w:r>
      <w:r w:rsidR="00524C97">
        <w:rPr>
          <w:rFonts w:ascii="Avenir Next" w:hAnsi="Avenir Next" w:cs="Arial"/>
          <w:color w:val="7B7B7B" w:themeColor="accent3" w:themeShade="BF"/>
          <w:sz w:val="22"/>
          <w:szCs w:val="22"/>
        </w:rPr>
        <w:t xml:space="preserve">purchased shares are used as </w:t>
      </w:r>
      <w:r w:rsidR="009C34D1">
        <w:rPr>
          <w:rFonts w:ascii="Avenir Next" w:hAnsi="Avenir Next" w:cs="Arial"/>
          <w:color w:val="7B7B7B" w:themeColor="accent3" w:themeShade="BF"/>
          <w:sz w:val="22"/>
          <w:szCs w:val="22"/>
        </w:rPr>
        <w:t>collateral</w:t>
      </w:r>
      <w:r w:rsidR="00524C97">
        <w:rPr>
          <w:rFonts w:ascii="Avenir Next" w:hAnsi="Avenir Next" w:cs="Arial"/>
          <w:color w:val="7B7B7B" w:themeColor="accent3" w:themeShade="BF"/>
          <w:sz w:val="22"/>
          <w:szCs w:val="22"/>
        </w:rPr>
        <w:t xml:space="preserve">. </w:t>
      </w:r>
      <w:r w:rsidR="00E2554C">
        <w:rPr>
          <w:rFonts w:ascii="Avenir Next" w:hAnsi="Avenir Next" w:cs="Arial"/>
          <w:color w:val="7B7B7B" w:themeColor="accent3" w:themeShade="BF"/>
          <w:sz w:val="22"/>
          <w:szCs w:val="22"/>
        </w:rPr>
        <w:t>The broker declared default on the margin loan</w:t>
      </w:r>
      <w:r w:rsidR="003659B6">
        <w:rPr>
          <w:rFonts w:ascii="Avenir Next" w:hAnsi="Avenir Next" w:cs="Arial"/>
          <w:color w:val="7B7B7B" w:themeColor="accent3" w:themeShade="BF"/>
          <w:sz w:val="22"/>
          <w:szCs w:val="22"/>
        </w:rPr>
        <w:t xml:space="preserve"> due to </w:t>
      </w:r>
      <w:r w:rsidR="00000C24">
        <w:rPr>
          <w:rFonts w:ascii="Avenir Next" w:hAnsi="Avenir Next" w:cs="Arial"/>
          <w:color w:val="7B7B7B" w:themeColor="accent3" w:themeShade="BF"/>
          <w:sz w:val="22"/>
          <w:szCs w:val="22"/>
        </w:rPr>
        <w:t xml:space="preserve">severe </w:t>
      </w:r>
      <w:r w:rsidR="003659B6">
        <w:rPr>
          <w:rFonts w:ascii="Avenir Next" w:hAnsi="Avenir Next" w:cs="Arial"/>
          <w:color w:val="7B7B7B" w:themeColor="accent3" w:themeShade="BF"/>
          <w:sz w:val="22"/>
          <w:szCs w:val="22"/>
        </w:rPr>
        <w:t xml:space="preserve">business losses of </w:t>
      </w:r>
      <w:r w:rsidR="003659B6">
        <w:rPr>
          <w:rFonts w:ascii="Avenir Next" w:hAnsi="Avenir Next" w:cs="Arial"/>
          <w:color w:val="7B7B7B" w:themeColor="accent3" w:themeShade="BF"/>
          <w:sz w:val="22"/>
          <w:szCs w:val="22"/>
        </w:rPr>
        <w:lastRenderedPageBreak/>
        <w:t>Speculation Inc</w:t>
      </w:r>
      <w:r w:rsidR="00E36CE0">
        <w:rPr>
          <w:rFonts w:ascii="Avenir Next" w:hAnsi="Avenir Next" w:cs="Arial"/>
          <w:color w:val="7B7B7B" w:themeColor="accent3" w:themeShade="BF"/>
          <w:sz w:val="22"/>
          <w:szCs w:val="22"/>
        </w:rPr>
        <w:t>.</w:t>
      </w:r>
      <w:r w:rsidR="00677E1F">
        <w:rPr>
          <w:rFonts w:ascii="Avenir Next" w:hAnsi="Avenir Next" w:cs="Arial"/>
          <w:color w:val="7B7B7B" w:themeColor="accent3" w:themeShade="BF"/>
          <w:sz w:val="22"/>
          <w:szCs w:val="22"/>
        </w:rPr>
        <w:t>.</w:t>
      </w:r>
      <w:r w:rsidR="00491355">
        <w:rPr>
          <w:rFonts w:ascii="Avenir Next" w:hAnsi="Avenir Next" w:cs="Arial"/>
          <w:color w:val="7B7B7B" w:themeColor="accent3" w:themeShade="BF"/>
          <w:sz w:val="22"/>
          <w:szCs w:val="22"/>
        </w:rPr>
        <w:t xml:space="preserve"> </w:t>
      </w:r>
      <w:r w:rsidR="000F3F5D">
        <w:rPr>
          <w:rFonts w:ascii="Avenir Next" w:hAnsi="Avenir Next" w:cs="Arial"/>
          <w:color w:val="7B7B7B" w:themeColor="accent3" w:themeShade="BF"/>
          <w:sz w:val="22"/>
          <w:szCs w:val="22"/>
        </w:rPr>
        <w:t>Section</w:t>
      </w:r>
      <w:r w:rsidR="000F3F5D" w:rsidRPr="000F3F5D">
        <w:rPr>
          <w:rFonts w:ascii="Avenir Next" w:hAnsi="Avenir Next" w:cs="Arial"/>
          <w:color w:val="7B7B7B" w:themeColor="accent3" w:themeShade="BF"/>
          <w:sz w:val="22"/>
          <w:szCs w:val="22"/>
        </w:rPr>
        <w:t xml:space="preserve"> 741</w:t>
      </w:r>
      <w:r w:rsidR="000F3F5D">
        <w:rPr>
          <w:rFonts w:ascii="Avenir Next" w:hAnsi="Avenir Next" w:cs="Arial"/>
          <w:color w:val="7B7B7B" w:themeColor="accent3" w:themeShade="BF"/>
          <w:sz w:val="22"/>
          <w:szCs w:val="22"/>
        </w:rPr>
        <w:t xml:space="preserve"> (</w:t>
      </w:r>
      <w:r w:rsidR="000F3F5D" w:rsidRPr="000F3F5D">
        <w:rPr>
          <w:rFonts w:ascii="Avenir Next" w:hAnsi="Avenir Next" w:cs="Arial"/>
          <w:color w:val="7B7B7B" w:themeColor="accent3" w:themeShade="BF"/>
          <w:sz w:val="22"/>
          <w:szCs w:val="22"/>
        </w:rPr>
        <w:t>11 U</w:t>
      </w:r>
      <w:r w:rsidR="00677E1F">
        <w:rPr>
          <w:rFonts w:ascii="Avenir Next" w:hAnsi="Avenir Next" w:cs="Arial"/>
          <w:color w:val="7B7B7B" w:themeColor="accent3" w:themeShade="BF"/>
          <w:sz w:val="22"/>
          <w:szCs w:val="22"/>
        </w:rPr>
        <w:t>SC</w:t>
      </w:r>
      <w:r w:rsidR="000F3F5D">
        <w:rPr>
          <w:rFonts w:ascii="Avenir Next" w:hAnsi="Avenir Next" w:cs="Arial"/>
          <w:color w:val="7B7B7B" w:themeColor="accent3" w:themeShade="BF"/>
          <w:sz w:val="22"/>
          <w:szCs w:val="22"/>
        </w:rPr>
        <w:t xml:space="preserve">) explicitly </w:t>
      </w:r>
      <w:r w:rsidR="007A58DB">
        <w:rPr>
          <w:rFonts w:ascii="Avenir Next" w:hAnsi="Avenir Next" w:cs="Arial"/>
          <w:color w:val="7B7B7B" w:themeColor="accent3" w:themeShade="BF"/>
          <w:sz w:val="22"/>
          <w:szCs w:val="22"/>
        </w:rPr>
        <w:t xml:space="preserve">includes </w:t>
      </w:r>
      <w:r w:rsidR="00A365D8">
        <w:rPr>
          <w:rFonts w:ascii="Avenir Next" w:hAnsi="Avenir Next" w:cs="Arial"/>
          <w:color w:val="7B7B7B" w:themeColor="accent3" w:themeShade="BF"/>
          <w:sz w:val="22"/>
          <w:szCs w:val="22"/>
        </w:rPr>
        <w:t xml:space="preserve">the </w:t>
      </w:r>
      <w:r w:rsidR="003E3E53" w:rsidRPr="003E3E53">
        <w:rPr>
          <w:rFonts w:ascii="Avenir Next" w:hAnsi="Avenir Next" w:cs="Arial"/>
          <w:color w:val="7B7B7B" w:themeColor="accent3" w:themeShade="BF"/>
          <w:sz w:val="22"/>
          <w:szCs w:val="22"/>
        </w:rPr>
        <w:t>margin loan in the category of securities contracts</w:t>
      </w:r>
      <w:r w:rsidR="007A58DB">
        <w:rPr>
          <w:rFonts w:ascii="Avenir Next" w:hAnsi="Avenir Next" w:cs="Arial"/>
          <w:color w:val="7B7B7B" w:themeColor="accent3" w:themeShade="BF"/>
          <w:sz w:val="22"/>
          <w:szCs w:val="22"/>
        </w:rPr>
        <w:t xml:space="preserve">. </w:t>
      </w:r>
      <w:r w:rsidR="00210E71">
        <w:rPr>
          <w:rFonts w:ascii="Avenir Next" w:hAnsi="Avenir Next" w:cs="Arial"/>
          <w:color w:val="7B7B7B" w:themeColor="accent3" w:themeShade="BF"/>
          <w:sz w:val="22"/>
          <w:szCs w:val="22"/>
        </w:rPr>
        <w:t>A</w:t>
      </w:r>
      <w:r w:rsidR="00401282">
        <w:rPr>
          <w:rFonts w:ascii="Avenir Next" w:hAnsi="Avenir Next" w:cs="Arial"/>
          <w:color w:val="7B7B7B" w:themeColor="accent3" w:themeShade="BF"/>
          <w:sz w:val="22"/>
          <w:szCs w:val="22"/>
        </w:rPr>
        <w:t xml:space="preserve"> </w:t>
      </w:r>
      <w:r w:rsidR="00210E71">
        <w:rPr>
          <w:rFonts w:ascii="Avenir Next" w:hAnsi="Avenir Next" w:cs="Arial"/>
          <w:color w:val="7B7B7B" w:themeColor="accent3" w:themeShade="BF"/>
          <w:sz w:val="22"/>
          <w:szCs w:val="22"/>
        </w:rPr>
        <w:t>margin loan, in general,</w:t>
      </w:r>
      <w:r w:rsidR="00401282">
        <w:rPr>
          <w:rFonts w:ascii="Avenir Next" w:hAnsi="Avenir Next" w:cs="Arial"/>
          <w:color w:val="7B7B7B" w:themeColor="accent3" w:themeShade="BF"/>
          <w:sz w:val="22"/>
          <w:szCs w:val="22"/>
        </w:rPr>
        <w:t xml:space="preserve"> </w:t>
      </w:r>
      <w:r w:rsidR="007050EB">
        <w:rPr>
          <w:rFonts w:ascii="Avenir Next" w:hAnsi="Avenir Next" w:cs="Arial"/>
          <w:color w:val="7B7B7B" w:themeColor="accent3" w:themeShade="BF"/>
          <w:sz w:val="22"/>
          <w:szCs w:val="22"/>
        </w:rPr>
        <w:t>is used</w:t>
      </w:r>
      <w:r w:rsidR="00720B36">
        <w:rPr>
          <w:rFonts w:ascii="Avenir Next" w:hAnsi="Avenir Next" w:cs="Arial"/>
          <w:color w:val="7B7B7B" w:themeColor="accent3" w:themeShade="BF"/>
          <w:sz w:val="22"/>
          <w:szCs w:val="22"/>
        </w:rPr>
        <w:t xml:space="preserve"> to invest in a business </w:t>
      </w:r>
      <w:r w:rsidR="00894455">
        <w:rPr>
          <w:rFonts w:ascii="Avenir Next" w:hAnsi="Avenir Next" w:cs="Arial"/>
          <w:color w:val="7B7B7B" w:themeColor="accent3" w:themeShade="BF"/>
          <w:sz w:val="22"/>
          <w:szCs w:val="22"/>
        </w:rPr>
        <w:t>through</w:t>
      </w:r>
      <w:r w:rsidR="00720B36">
        <w:rPr>
          <w:rFonts w:ascii="Avenir Next" w:hAnsi="Avenir Next" w:cs="Arial"/>
          <w:color w:val="7B7B7B" w:themeColor="accent3" w:themeShade="BF"/>
          <w:sz w:val="22"/>
          <w:szCs w:val="22"/>
        </w:rPr>
        <w:t xml:space="preserve"> a broker</w:t>
      </w:r>
      <w:r w:rsidR="00894455">
        <w:rPr>
          <w:rFonts w:ascii="Avenir Next" w:hAnsi="Avenir Next" w:cs="Arial"/>
          <w:color w:val="7B7B7B" w:themeColor="accent3" w:themeShade="BF"/>
          <w:sz w:val="22"/>
          <w:szCs w:val="22"/>
        </w:rPr>
        <w:t>,</w:t>
      </w:r>
      <w:r w:rsidR="00720B36">
        <w:rPr>
          <w:rFonts w:ascii="Avenir Next" w:hAnsi="Avenir Next" w:cs="Arial"/>
          <w:color w:val="7B7B7B" w:themeColor="accent3" w:themeShade="BF"/>
          <w:sz w:val="22"/>
          <w:szCs w:val="22"/>
        </w:rPr>
        <w:t xml:space="preserve"> </w:t>
      </w:r>
      <w:r w:rsidR="00ED220D">
        <w:rPr>
          <w:rFonts w:ascii="Avenir Next" w:hAnsi="Avenir Next" w:cs="Arial"/>
          <w:color w:val="7B7B7B" w:themeColor="accent3" w:themeShade="BF"/>
          <w:sz w:val="22"/>
          <w:szCs w:val="22"/>
        </w:rPr>
        <w:t xml:space="preserve">who holds </w:t>
      </w:r>
      <w:r w:rsidR="00894455">
        <w:rPr>
          <w:rFonts w:ascii="Avenir Next" w:hAnsi="Avenir Next" w:cs="Arial"/>
          <w:color w:val="7B7B7B" w:themeColor="accent3" w:themeShade="BF"/>
          <w:sz w:val="22"/>
          <w:szCs w:val="22"/>
        </w:rPr>
        <w:t xml:space="preserve">the </w:t>
      </w:r>
      <w:r w:rsidR="00ED220D">
        <w:rPr>
          <w:rFonts w:ascii="Avenir Next" w:hAnsi="Avenir Next" w:cs="Arial"/>
          <w:color w:val="7B7B7B" w:themeColor="accent3" w:themeShade="BF"/>
          <w:sz w:val="22"/>
          <w:szCs w:val="22"/>
        </w:rPr>
        <w:t>purchased</w:t>
      </w:r>
      <w:r w:rsidR="00720B36">
        <w:rPr>
          <w:rFonts w:ascii="Avenir Next" w:hAnsi="Avenir Next" w:cs="Arial"/>
          <w:color w:val="7B7B7B" w:themeColor="accent3" w:themeShade="BF"/>
          <w:sz w:val="22"/>
          <w:szCs w:val="22"/>
        </w:rPr>
        <w:t xml:space="preserve"> business shares as collateral</w:t>
      </w:r>
      <w:r w:rsidR="00132279" w:rsidRPr="00132279">
        <w:rPr>
          <w:rFonts w:ascii="Avenir Next" w:hAnsi="Avenir Next" w:cs="Arial"/>
          <w:color w:val="7B7B7B" w:themeColor="accent3" w:themeShade="BF"/>
          <w:sz w:val="22"/>
          <w:szCs w:val="22"/>
        </w:rPr>
        <w:t>.</w:t>
      </w:r>
      <w:r w:rsidR="00132279">
        <w:rPr>
          <w:rFonts w:ascii="Avenir Next" w:hAnsi="Avenir Next" w:cs="Arial"/>
          <w:color w:val="7B7B7B" w:themeColor="accent3" w:themeShade="BF"/>
          <w:sz w:val="22"/>
          <w:szCs w:val="22"/>
        </w:rPr>
        <w:t xml:space="preserve"> </w:t>
      </w:r>
      <w:r w:rsidR="005150FB">
        <w:rPr>
          <w:rFonts w:ascii="Avenir Next" w:hAnsi="Avenir Next" w:cs="Arial"/>
          <w:color w:val="7B7B7B" w:themeColor="accent3" w:themeShade="BF"/>
          <w:sz w:val="22"/>
          <w:szCs w:val="22"/>
        </w:rPr>
        <w:t xml:space="preserve">The US Bankruptcy Code </w:t>
      </w:r>
      <w:r w:rsidR="007050EB">
        <w:rPr>
          <w:rFonts w:ascii="Avenir Next" w:hAnsi="Avenir Next" w:cs="Arial"/>
          <w:color w:val="7B7B7B" w:themeColor="accent3" w:themeShade="BF"/>
          <w:sz w:val="22"/>
          <w:szCs w:val="22"/>
        </w:rPr>
        <w:t xml:space="preserve">thus </w:t>
      </w:r>
      <w:r w:rsidR="005150FB">
        <w:rPr>
          <w:rFonts w:ascii="Avenir Next" w:hAnsi="Avenir Next" w:cs="Arial"/>
          <w:color w:val="7B7B7B" w:themeColor="accent3" w:themeShade="BF"/>
          <w:sz w:val="22"/>
          <w:szCs w:val="22"/>
        </w:rPr>
        <w:t xml:space="preserve">provides the broker with the opportunity to </w:t>
      </w:r>
      <w:r w:rsidR="007050EB">
        <w:rPr>
          <w:rFonts w:ascii="Avenir Next" w:hAnsi="Avenir Next" w:cs="Arial"/>
          <w:color w:val="7B7B7B" w:themeColor="accent3" w:themeShade="BF"/>
          <w:sz w:val="22"/>
          <w:szCs w:val="22"/>
        </w:rPr>
        <w:t>pursue</w:t>
      </w:r>
      <w:r w:rsidR="005150FB">
        <w:rPr>
          <w:rFonts w:ascii="Avenir Next" w:hAnsi="Avenir Next" w:cs="Arial"/>
          <w:color w:val="7B7B7B" w:themeColor="accent3" w:themeShade="BF"/>
          <w:sz w:val="22"/>
          <w:szCs w:val="22"/>
        </w:rPr>
        <w:t xml:space="preserve"> </w:t>
      </w:r>
      <w:r w:rsidR="007050EB">
        <w:rPr>
          <w:rFonts w:ascii="Avenir Next" w:hAnsi="Avenir Next" w:cs="Arial"/>
          <w:color w:val="7B7B7B" w:themeColor="accent3" w:themeShade="BF"/>
          <w:sz w:val="22"/>
          <w:szCs w:val="22"/>
        </w:rPr>
        <w:t xml:space="preserve">the appropriate </w:t>
      </w:r>
      <w:r w:rsidR="005150FB">
        <w:rPr>
          <w:rFonts w:ascii="Avenir Next" w:hAnsi="Avenir Next" w:cs="Arial"/>
          <w:color w:val="7B7B7B" w:themeColor="accent3" w:themeShade="BF"/>
          <w:sz w:val="22"/>
          <w:szCs w:val="22"/>
        </w:rPr>
        <w:t xml:space="preserve">remedies </w:t>
      </w:r>
      <w:r w:rsidR="007050EB">
        <w:rPr>
          <w:rFonts w:ascii="Avenir Next" w:hAnsi="Avenir Next" w:cs="Arial"/>
          <w:color w:val="7B7B7B" w:themeColor="accent3" w:themeShade="BF"/>
          <w:sz w:val="22"/>
          <w:szCs w:val="22"/>
        </w:rPr>
        <w:t>under</w:t>
      </w:r>
      <w:r w:rsidR="005150FB">
        <w:rPr>
          <w:rFonts w:ascii="Avenir Next" w:hAnsi="Avenir Next" w:cs="Arial"/>
          <w:color w:val="7B7B7B" w:themeColor="accent3" w:themeShade="BF"/>
          <w:sz w:val="22"/>
          <w:szCs w:val="22"/>
        </w:rPr>
        <w:t xml:space="preserve"> the margin loan. </w:t>
      </w:r>
      <w:r w:rsidR="00D55CB4">
        <w:rPr>
          <w:rFonts w:ascii="Avenir Next" w:hAnsi="Avenir Next" w:cs="Arial"/>
          <w:color w:val="7B7B7B" w:themeColor="accent3" w:themeShade="BF"/>
          <w:sz w:val="22"/>
          <w:szCs w:val="22"/>
        </w:rPr>
        <w:t xml:space="preserve">More specifically, </w:t>
      </w:r>
      <w:r w:rsidR="00DA7AB8" w:rsidRPr="00DA7AB8">
        <w:rPr>
          <w:rFonts w:ascii="Avenir Next" w:hAnsi="Avenir Next" w:cs="Arial"/>
          <w:color w:val="7B7B7B" w:themeColor="accent3" w:themeShade="BF"/>
          <w:sz w:val="22"/>
          <w:szCs w:val="22"/>
        </w:rPr>
        <w:t xml:space="preserve">following the debtor-borrower's inability to meet margin </w:t>
      </w:r>
      <w:r w:rsidR="001270FD">
        <w:rPr>
          <w:rFonts w:ascii="Avenir Next" w:hAnsi="Avenir Next" w:cs="Arial"/>
          <w:color w:val="7B7B7B" w:themeColor="accent3" w:themeShade="BF"/>
          <w:sz w:val="22"/>
          <w:szCs w:val="22"/>
        </w:rPr>
        <w:t xml:space="preserve">call </w:t>
      </w:r>
      <w:r w:rsidR="00DA7AB8" w:rsidRPr="00DA7AB8">
        <w:rPr>
          <w:rFonts w:ascii="Avenir Next" w:hAnsi="Avenir Next" w:cs="Arial"/>
          <w:color w:val="7B7B7B" w:themeColor="accent3" w:themeShade="BF"/>
          <w:sz w:val="22"/>
          <w:szCs w:val="22"/>
        </w:rPr>
        <w:t>requirements,</w:t>
      </w:r>
      <w:r w:rsidR="00DA7AB8">
        <w:rPr>
          <w:rFonts w:ascii="Avenir Next" w:hAnsi="Avenir Next" w:cs="Arial"/>
          <w:color w:val="7B7B7B" w:themeColor="accent3" w:themeShade="BF"/>
          <w:sz w:val="22"/>
          <w:szCs w:val="22"/>
        </w:rPr>
        <w:t xml:space="preserve"> </w:t>
      </w:r>
      <w:r w:rsidR="00D55CB4">
        <w:rPr>
          <w:rFonts w:ascii="Avenir Next" w:hAnsi="Avenir Next" w:cs="Arial"/>
          <w:color w:val="7B7B7B" w:themeColor="accent3" w:themeShade="BF"/>
          <w:sz w:val="22"/>
          <w:szCs w:val="22"/>
        </w:rPr>
        <w:t xml:space="preserve">a </w:t>
      </w:r>
      <w:r w:rsidR="00D55CB4" w:rsidRPr="00D55CB4">
        <w:rPr>
          <w:rFonts w:ascii="Avenir Next" w:hAnsi="Avenir Next" w:cs="Arial"/>
          <w:color w:val="7B7B7B" w:themeColor="accent3" w:themeShade="BF"/>
          <w:sz w:val="22"/>
          <w:szCs w:val="22"/>
        </w:rPr>
        <w:t xml:space="preserve">default </w:t>
      </w:r>
      <w:r w:rsidR="00D55CB4">
        <w:rPr>
          <w:rFonts w:ascii="Avenir Next" w:hAnsi="Avenir Next" w:cs="Arial"/>
          <w:color w:val="7B7B7B" w:themeColor="accent3" w:themeShade="BF"/>
          <w:sz w:val="22"/>
          <w:szCs w:val="22"/>
        </w:rPr>
        <w:t>leads</w:t>
      </w:r>
      <w:r w:rsidR="00D55CB4" w:rsidRPr="00D55CB4">
        <w:rPr>
          <w:rFonts w:ascii="Avenir Next" w:hAnsi="Avenir Next" w:cs="Arial"/>
          <w:color w:val="7B7B7B" w:themeColor="accent3" w:themeShade="BF"/>
          <w:sz w:val="22"/>
          <w:szCs w:val="22"/>
        </w:rPr>
        <w:t xml:space="preserve"> the lender </w:t>
      </w:r>
      <w:r w:rsidR="00D55CB4">
        <w:rPr>
          <w:rFonts w:ascii="Avenir Next" w:hAnsi="Avenir Next" w:cs="Arial"/>
          <w:color w:val="7B7B7B" w:themeColor="accent3" w:themeShade="BF"/>
          <w:sz w:val="22"/>
          <w:szCs w:val="22"/>
        </w:rPr>
        <w:t>to</w:t>
      </w:r>
      <w:r w:rsidR="00D55CB4" w:rsidRPr="00D55CB4">
        <w:rPr>
          <w:rFonts w:ascii="Avenir Next" w:hAnsi="Avenir Next" w:cs="Arial"/>
          <w:color w:val="7B7B7B" w:themeColor="accent3" w:themeShade="BF"/>
          <w:sz w:val="22"/>
          <w:szCs w:val="22"/>
        </w:rPr>
        <w:t xml:space="preserve"> enforce </w:t>
      </w:r>
      <w:r w:rsidR="005211D6">
        <w:rPr>
          <w:rFonts w:ascii="Avenir Next" w:hAnsi="Avenir Next" w:cs="Arial"/>
          <w:color w:val="7B7B7B" w:themeColor="accent3" w:themeShade="BF"/>
          <w:sz w:val="22"/>
          <w:szCs w:val="22"/>
        </w:rPr>
        <w:t>its</w:t>
      </w:r>
      <w:r w:rsidR="00D55CB4" w:rsidRPr="00D55CB4">
        <w:rPr>
          <w:rFonts w:ascii="Avenir Next" w:hAnsi="Avenir Next" w:cs="Arial"/>
          <w:color w:val="7B7B7B" w:themeColor="accent3" w:themeShade="BF"/>
          <w:sz w:val="22"/>
          <w:szCs w:val="22"/>
        </w:rPr>
        <w:t xml:space="preserve"> right to </w:t>
      </w:r>
      <w:r w:rsidR="005211D6">
        <w:rPr>
          <w:rFonts w:ascii="Avenir Next" w:hAnsi="Avenir Next" w:cs="Arial"/>
          <w:color w:val="7B7B7B" w:themeColor="accent3" w:themeShade="BF"/>
          <w:sz w:val="22"/>
          <w:szCs w:val="22"/>
        </w:rPr>
        <w:t xml:space="preserve">the </w:t>
      </w:r>
      <w:r w:rsidR="00D55CB4" w:rsidRPr="00D55CB4">
        <w:rPr>
          <w:rFonts w:ascii="Avenir Next" w:hAnsi="Avenir Next" w:cs="Arial"/>
          <w:color w:val="7B7B7B" w:themeColor="accent3" w:themeShade="BF"/>
          <w:sz w:val="22"/>
          <w:szCs w:val="22"/>
        </w:rPr>
        <w:t xml:space="preserve">repayment of </w:t>
      </w:r>
      <w:r w:rsidR="005B5E07">
        <w:rPr>
          <w:rFonts w:ascii="Avenir Next" w:hAnsi="Avenir Next" w:cs="Arial"/>
          <w:color w:val="7B7B7B" w:themeColor="accent3" w:themeShade="BF"/>
          <w:sz w:val="22"/>
          <w:szCs w:val="22"/>
        </w:rPr>
        <w:t>the</w:t>
      </w:r>
      <w:r w:rsidR="00D55CB4" w:rsidRPr="00D55CB4">
        <w:rPr>
          <w:rFonts w:ascii="Avenir Next" w:hAnsi="Avenir Next" w:cs="Arial"/>
          <w:color w:val="7B7B7B" w:themeColor="accent3" w:themeShade="BF"/>
          <w:sz w:val="22"/>
          <w:szCs w:val="22"/>
        </w:rPr>
        <w:t xml:space="preserve"> loan</w:t>
      </w:r>
      <w:r w:rsidR="00D55CB4">
        <w:rPr>
          <w:rFonts w:ascii="Avenir Next" w:hAnsi="Avenir Next" w:cs="Arial"/>
          <w:color w:val="7B7B7B" w:themeColor="accent3" w:themeShade="BF"/>
          <w:sz w:val="22"/>
          <w:szCs w:val="22"/>
        </w:rPr>
        <w:t xml:space="preserve">. </w:t>
      </w:r>
      <w:r w:rsidR="00CD22A2">
        <w:rPr>
          <w:rFonts w:ascii="Avenir Next" w:hAnsi="Avenir Next" w:cs="Arial"/>
          <w:color w:val="7B7B7B" w:themeColor="accent3" w:themeShade="BF"/>
          <w:sz w:val="22"/>
          <w:szCs w:val="22"/>
        </w:rPr>
        <w:t>That being said</w:t>
      </w:r>
      <w:r w:rsidR="00982757">
        <w:rPr>
          <w:rFonts w:ascii="Avenir Next" w:hAnsi="Avenir Next" w:cs="Arial"/>
          <w:color w:val="7B7B7B" w:themeColor="accent3" w:themeShade="BF"/>
          <w:sz w:val="22"/>
          <w:szCs w:val="22"/>
        </w:rPr>
        <w:t>,</w:t>
      </w:r>
      <w:r w:rsidR="00CD22A2">
        <w:rPr>
          <w:rFonts w:ascii="Avenir Next" w:hAnsi="Avenir Next" w:cs="Arial"/>
          <w:color w:val="7B7B7B" w:themeColor="accent3" w:themeShade="BF"/>
          <w:sz w:val="22"/>
          <w:szCs w:val="22"/>
        </w:rPr>
        <w:t xml:space="preserve"> the </w:t>
      </w:r>
      <w:r w:rsidR="001270FD">
        <w:rPr>
          <w:rFonts w:ascii="Avenir Next" w:hAnsi="Avenir Next" w:cs="Arial"/>
          <w:color w:val="7B7B7B" w:themeColor="accent3" w:themeShade="BF"/>
          <w:sz w:val="22"/>
          <w:szCs w:val="22"/>
        </w:rPr>
        <w:t>outcome</w:t>
      </w:r>
      <w:r w:rsidR="00CD22A2">
        <w:rPr>
          <w:rFonts w:ascii="Avenir Next" w:hAnsi="Avenir Next" w:cs="Arial"/>
          <w:color w:val="7B7B7B" w:themeColor="accent3" w:themeShade="BF"/>
          <w:sz w:val="22"/>
          <w:szCs w:val="22"/>
        </w:rPr>
        <w:t xml:space="preserve"> of a petition for a reorganization proceeding will </w:t>
      </w:r>
      <w:r w:rsidR="00AB2788">
        <w:rPr>
          <w:rFonts w:ascii="Avenir Next" w:hAnsi="Avenir Next" w:cs="Arial"/>
          <w:color w:val="7B7B7B" w:themeColor="accent3" w:themeShade="BF"/>
          <w:sz w:val="22"/>
          <w:szCs w:val="22"/>
        </w:rPr>
        <w:t xml:space="preserve">not </w:t>
      </w:r>
      <w:r w:rsidR="00CD22A2">
        <w:rPr>
          <w:rFonts w:ascii="Avenir Next" w:hAnsi="Avenir Next" w:cs="Arial"/>
          <w:color w:val="7B7B7B" w:themeColor="accent3" w:themeShade="BF"/>
          <w:sz w:val="22"/>
          <w:szCs w:val="22"/>
        </w:rPr>
        <w:t xml:space="preserve">entail </w:t>
      </w:r>
      <w:r w:rsidR="005B5E07">
        <w:rPr>
          <w:rFonts w:ascii="Avenir Next" w:hAnsi="Avenir Next" w:cs="Arial"/>
          <w:color w:val="7B7B7B" w:themeColor="accent3" w:themeShade="BF"/>
          <w:sz w:val="22"/>
          <w:szCs w:val="22"/>
        </w:rPr>
        <w:t>the</w:t>
      </w:r>
      <w:r w:rsidR="00CD22A2">
        <w:rPr>
          <w:rFonts w:ascii="Avenir Next" w:hAnsi="Avenir Next" w:cs="Arial"/>
          <w:color w:val="7B7B7B" w:themeColor="accent3" w:themeShade="BF"/>
          <w:sz w:val="22"/>
          <w:szCs w:val="22"/>
        </w:rPr>
        <w:t xml:space="preserve"> stay of any </w:t>
      </w:r>
      <w:r w:rsidR="001270FD">
        <w:rPr>
          <w:rFonts w:ascii="Avenir Next" w:hAnsi="Avenir Next" w:cs="Arial"/>
          <w:color w:val="7B7B7B" w:themeColor="accent3" w:themeShade="BF"/>
          <w:sz w:val="22"/>
          <w:szCs w:val="22"/>
        </w:rPr>
        <w:t>acts aimed at</w:t>
      </w:r>
      <w:r w:rsidR="00CD22A2">
        <w:rPr>
          <w:rFonts w:ascii="Avenir Next" w:hAnsi="Avenir Next" w:cs="Arial"/>
          <w:color w:val="7B7B7B" w:themeColor="accent3" w:themeShade="BF"/>
          <w:sz w:val="22"/>
          <w:szCs w:val="22"/>
        </w:rPr>
        <w:t xml:space="preserve"> </w:t>
      </w:r>
      <w:r w:rsidR="004E2CD5">
        <w:rPr>
          <w:rFonts w:ascii="Avenir Next" w:hAnsi="Avenir Next" w:cs="Arial"/>
          <w:color w:val="7B7B7B" w:themeColor="accent3" w:themeShade="BF"/>
          <w:sz w:val="22"/>
          <w:szCs w:val="22"/>
        </w:rPr>
        <w:t>recover</w:t>
      </w:r>
      <w:r w:rsidR="001270FD">
        <w:rPr>
          <w:rFonts w:ascii="Avenir Next" w:hAnsi="Avenir Next" w:cs="Arial"/>
          <w:color w:val="7B7B7B" w:themeColor="accent3" w:themeShade="BF"/>
          <w:sz w:val="22"/>
          <w:szCs w:val="22"/>
        </w:rPr>
        <w:t>ing</w:t>
      </w:r>
      <w:r w:rsidR="004E2CD5">
        <w:rPr>
          <w:rFonts w:ascii="Avenir Next" w:hAnsi="Avenir Next" w:cs="Arial"/>
          <w:color w:val="7B7B7B" w:themeColor="accent3" w:themeShade="BF"/>
          <w:sz w:val="22"/>
          <w:szCs w:val="22"/>
        </w:rPr>
        <w:t xml:space="preserve"> the amount of the</w:t>
      </w:r>
      <w:r w:rsidR="00720B36">
        <w:rPr>
          <w:rFonts w:ascii="Avenir Next" w:hAnsi="Avenir Next" w:cs="Arial"/>
          <w:color w:val="7B7B7B" w:themeColor="accent3" w:themeShade="BF"/>
          <w:sz w:val="22"/>
          <w:szCs w:val="22"/>
        </w:rPr>
        <w:t xml:space="preserve"> margin</w:t>
      </w:r>
      <w:r w:rsidR="004E2CD5">
        <w:rPr>
          <w:rFonts w:ascii="Avenir Next" w:hAnsi="Avenir Next" w:cs="Arial"/>
          <w:color w:val="7B7B7B" w:themeColor="accent3" w:themeShade="BF"/>
          <w:sz w:val="22"/>
          <w:szCs w:val="22"/>
        </w:rPr>
        <w:t xml:space="preserve"> loan</w:t>
      </w:r>
      <w:r w:rsidR="00E31E4F">
        <w:rPr>
          <w:rFonts w:ascii="Avenir Next" w:hAnsi="Avenir Next" w:cs="Arial"/>
          <w:color w:val="7B7B7B" w:themeColor="accent3" w:themeShade="BF"/>
          <w:sz w:val="22"/>
          <w:szCs w:val="22"/>
        </w:rPr>
        <w:t xml:space="preserve"> (</w:t>
      </w:r>
      <w:r w:rsidR="005B0CCD">
        <w:rPr>
          <w:rFonts w:ascii="Avenir Next" w:hAnsi="Avenir Next" w:cs="Arial"/>
          <w:color w:val="7B7B7B" w:themeColor="accent3" w:themeShade="BF"/>
          <w:sz w:val="22"/>
          <w:szCs w:val="22"/>
        </w:rPr>
        <w:t xml:space="preserve">e.g. </w:t>
      </w:r>
      <w:r w:rsidR="001270FD">
        <w:rPr>
          <w:rFonts w:ascii="Avenir Next" w:hAnsi="Avenir Next" w:cs="Arial"/>
          <w:color w:val="7B7B7B" w:themeColor="accent3" w:themeShade="BF"/>
          <w:sz w:val="22"/>
          <w:szCs w:val="22"/>
        </w:rPr>
        <w:t>such</w:t>
      </w:r>
      <w:r w:rsidR="005B0CCD">
        <w:rPr>
          <w:rFonts w:ascii="Avenir Next" w:hAnsi="Avenir Next" w:cs="Arial"/>
          <w:color w:val="7B7B7B" w:themeColor="accent3" w:themeShade="BF"/>
          <w:sz w:val="22"/>
          <w:szCs w:val="22"/>
        </w:rPr>
        <w:t xml:space="preserve"> acts usually involve </w:t>
      </w:r>
      <w:r w:rsidR="00E31E4F">
        <w:rPr>
          <w:rFonts w:ascii="Avenir Next" w:hAnsi="Avenir Next" w:cs="Arial"/>
          <w:color w:val="7B7B7B" w:themeColor="accent3" w:themeShade="BF"/>
          <w:sz w:val="22"/>
          <w:szCs w:val="22"/>
        </w:rPr>
        <w:t xml:space="preserve">selling </w:t>
      </w:r>
      <w:r w:rsidR="00DA7AB8">
        <w:rPr>
          <w:rFonts w:ascii="Avenir Next" w:hAnsi="Avenir Next" w:cs="Arial"/>
          <w:color w:val="7B7B7B" w:themeColor="accent3" w:themeShade="BF"/>
          <w:sz w:val="22"/>
          <w:szCs w:val="22"/>
        </w:rPr>
        <w:t xml:space="preserve">the </w:t>
      </w:r>
      <w:r w:rsidR="00E31E4F">
        <w:rPr>
          <w:rFonts w:ascii="Avenir Next" w:hAnsi="Avenir Next" w:cs="Arial"/>
          <w:color w:val="7B7B7B" w:themeColor="accent3" w:themeShade="BF"/>
          <w:sz w:val="22"/>
          <w:szCs w:val="22"/>
        </w:rPr>
        <w:t>debtor’s assets or securities to repay the loan)</w:t>
      </w:r>
      <w:r w:rsidR="008C63CC">
        <w:rPr>
          <w:rFonts w:ascii="Avenir Next" w:hAnsi="Avenir Next" w:cs="Arial"/>
          <w:color w:val="7B7B7B" w:themeColor="accent3" w:themeShade="BF"/>
          <w:sz w:val="22"/>
          <w:szCs w:val="22"/>
        </w:rPr>
        <w:t>.</w:t>
      </w:r>
    </w:p>
    <w:p w14:paraId="1C61A453" w14:textId="77777777" w:rsidR="00381531" w:rsidRDefault="00381531" w:rsidP="00F03051">
      <w:pPr>
        <w:jc w:val="both"/>
        <w:rPr>
          <w:rFonts w:ascii="Avenir Next" w:hAnsi="Avenir Next" w:cs="Arial"/>
          <w:color w:val="7B7B7B" w:themeColor="accent3" w:themeShade="BF"/>
          <w:sz w:val="22"/>
          <w:szCs w:val="22"/>
        </w:rPr>
      </w:pPr>
    </w:p>
    <w:p w14:paraId="2729B462" w14:textId="09AD56D6" w:rsidR="001E24B0" w:rsidRDefault="004066C5" w:rsidP="00F03051">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In addition, pursuant to </w:t>
      </w:r>
      <w:r w:rsidRPr="004066C5">
        <w:rPr>
          <w:rFonts w:ascii="Avenir Next" w:hAnsi="Avenir Next" w:cs="Arial"/>
          <w:color w:val="7B7B7B" w:themeColor="accent3" w:themeShade="BF"/>
          <w:sz w:val="22"/>
          <w:szCs w:val="22"/>
        </w:rPr>
        <w:t>§</w:t>
      </w:r>
      <w:bookmarkStart w:id="1" w:name="_Hlk127833416"/>
      <w:r w:rsidRPr="004066C5">
        <w:rPr>
          <w:rFonts w:ascii="Avenir Next" w:hAnsi="Avenir Next" w:cs="Arial"/>
          <w:color w:val="7B7B7B" w:themeColor="accent3" w:themeShade="BF"/>
          <w:sz w:val="22"/>
          <w:szCs w:val="22"/>
        </w:rPr>
        <w:t>362(a)(6)</w:t>
      </w:r>
      <w:bookmarkEnd w:id="1"/>
      <w:r>
        <w:rPr>
          <w:rFonts w:ascii="Avenir Next" w:hAnsi="Avenir Next" w:cs="Arial"/>
          <w:color w:val="7B7B7B" w:themeColor="accent3" w:themeShade="BF"/>
          <w:sz w:val="22"/>
          <w:szCs w:val="22"/>
        </w:rPr>
        <w:t xml:space="preserve">, </w:t>
      </w:r>
      <w:r w:rsidR="005E4963">
        <w:rPr>
          <w:rFonts w:ascii="Avenir Next" w:hAnsi="Avenir Next" w:cs="Arial"/>
          <w:color w:val="7B7B7B" w:themeColor="accent3" w:themeShade="BF"/>
          <w:sz w:val="22"/>
          <w:szCs w:val="22"/>
        </w:rPr>
        <w:t xml:space="preserve">any </w:t>
      </w:r>
      <w:r w:rsidR="00D33884">
        <w:rPr>
          <w:rFonts w:ascii="Avenir Next" w:hAnsi="Avenir Next" w:cs="Arial"/>
          <w:color w:val="7B7B7B" w:themeColor="accent3" w:themeShade="BF"/>
          <w:sz w:val="22"/>
          <w:szCs w:val="22"/>
        </w:rPr>
        <w:t>attempt</w:t>
      </w:r>
      <w:r w:rsidR="005E4963">
        <w:rPr>
          <w:rFonts w:ascii="Avenir Next" w:hAnsi="Avenir Next" w:cs="Arial"/>
          <w:color w:val="7B7B7B" w:themeColor="accent3" w:themeShade="BF"/>
          <w:sz w:val="22"/>
          <w:szCs w:val="22"/>
        </w:rPr>
        <w:t xml:space="preserve"> </w:t>
      </w:r>
      <w:r w:rsidR="005D5530">
        <w:rPr>
          <w:rFonts w:ascii="Avenir Next" w:hAnsi="Avenir Next" w:cs="Arial"/>
          <w:color w:val="7B7B7B" w:themeColor="accent3" w:themeShade="BF"/>
          <w:sz w:val="22"/>
          <w:szCs w:val="22"/>
        </w:rPr>
        <w:t>as regards</w:t>
      </w:r>
      <w:r w:rsidR="005E4963">
        <w:rPr>
          <w:rFonts w:ascii="Avenir Next" w:hAnsi="Avenir Next" w:cs="Arial"/>
          <w:color w:val="7B7B7B" w:themeColor="accent3" w:themeShade="BF"/>
          <w:sz w:val="22"/>
          <w:szCs w:val="22"/>
        </w:rPr>
        <w:t xml:space="preserve"> </w:t>
      </w:r>
      <w:r w:rsidR="007C151D">
        <w:rPr>
          <w:rFonts w:ascii="Avenir Next" w:hAnsi="Avenir Next" w:cs="Arial"/>
          <w:color w:val="7B7B7B" w:themeColor="accent3" w:themeShade="BF"/>
          <w:sz w:val="22"/>
          <w:szCs w:val="22"/>
        </w:rPr>
        <w:t>the recovery of a pre-petition claim against the debtor is prohibited by the application of the sta</w:t>
      </w:r>
      <w:r w:rsidR="00D33884">
        <w:rPr>
          <w:rFonts w:ascii="Avenir Next" w:hAnsi="Avenir Next" w:cs="Arial"/>
          <w:color w:val="7B7B7B" w:themeColor="accent3" w:themeShade="BF"/>
          <w:sz w:val="22"/>
          <w:szCs w:val="22"/>
        </w:rPr>
        <w:t>y.</w:t>
      </w:r>
      <w:r w:rsidR="009E0327">
        <w:rPr>
          <w:rFonts w:ascii="Avenir Next" w:hAnsi="Avenir Next" w:cs="Arial"/>
          <w:color w:val="7B7B7B" w:themeColor="accent3" w:themeShade="BF"/>
          <w:sz w:val="22"/>
          <w:szCs w:val="22"/>
        </w:rPr>
        <w:t xml:space="preserve"> </w:t>
      </w:r>
      <w:r w:rsidR="00D33884">
        <w:rPr>
          <w:rFonts w:ascii="Avenir Next" w:hAnsi="Avenir Next" w:cs="Arial"/>
          <w:color w:val="7B7B7B" w:themeColor="accent3" w:themeShade="BF"/>
          <w:sz w:val="22"/>
          <w:szCs w:val="22"/>
        </w:rPr>
        <w:t xml:space="preserve">Demand letters or calls are </w:t>
      </w:r>
      <w:r w:rsidR="005D5530">
        <w:rPr>
          <w:rFonts w:ascii="Avenir Next" w:hAnsi="Avenir Next" w:cs="Arial"/>
          <w:color w:val="7B7B7B" w:themeColor="accent3" w:themeShade="BF"/>
          <w:sz w:val="22"/>
          <w:szCs w:val="22"/>
        </w:rPr>
        <w:t xml:space="preserve">thus </w:t>
      </w:r>
      <w:r w:rsidR="00357B51">
        <w:rPr>
          <w:rFonts w:ascii="Avenir Next" w:hAnsi="Avenir Next" w:cs="Arial"/>
          <w:color w:val="7B7B7B" w:themeColor="accent3" w:themeShade="BF"/>
          <w:sz w:val="22"/>
          <w:szCs w:val="22"/>
        </w:rPr>
        <w:t xml:space="preserve">also </w:t>
      </w:r>
      <w:r w:rsidR="00B85B86">
        <w:rPr>
          <w:rFonts w:ascii="Avenir Next" w:hAnsi="Avenir Next" w:cs="Arial"/>
          <w:color w:val="7B7B7B" w:themeColor="accent3" w:themeShade="BF"/>
          <w:sz w:val="22"/>
          <w:szCs w:val="22"/>
        </w:rPr>
        <w:t>prohibited</w:t>
      </w:r>
      <w:r w:rsidR="009250B5">
        <w:rPr>
          <w:rFonts w:ascii="Avenir Next" w:hAnsi="Avenir Next" w:cs="Arial"/>
          <w:color w:val="7B7B7B" w:themeColor="accent3" w:themeShade="BF"/>
          <w:sz w:val="22"/>
          <w:szCs w:val="22"/>
        </w:rPr>
        <w:t>.</w:t>
      </w:r>
      <w:r w:rsidR="007C151D">
        <w:rPr>
          <w:rFonts w:ascii="Avenir Next" w:hAnsi="Avenir Next" w:cs="Arial"/>
          <w:color w:val="7B7B7B" w:themeColor="accent3" w:themeShade="BF"/>
          <w:sz w:val="22"/>
          <w:szCs w:val="22"/>
        </w:rPr>
        <w:t xml:space="preserve"> </w:t>
      </w:r>
      <w:r w:rsidR="003E7EFB">
        <w:rPr>
          <w:rFonts w:ascii="Avenir Next" w:hAnsi="Avenir Next" w:cs="Arial"/>
          <w:color w:val="7B7B7B" w:themeColor="accent3" w:themeShade="BF"/>
          <w:sz w:val="22"/>
          <w:szCs w:val="22"/>
        </w:rPr>
        <w:t>According to</w:t>
      </w:r>
      <w:r w:rsidR="003807B2">
        <w:rPr>
          <w:rFonts w:ascii="Avenir Next" w:hAnsi="Avenir Next" w:cs="Arial"/>
          <w:color w:val="7B7B7B" w:themeColor="accent3" w:themeShade="BF"/>
          <w:sz w:val="22"/>
          <w:szCs w:val="22"/>
        </w:rPr>
        <w:t xml:space="preserve"> </w:t>
      </w:r>
      <w:r w:rsidR="003E7EFB">
        <w:rPr>
          <w:rFonts w:ascii="Avenir Next" w:hAnsi="Avenir Next" w:cs="Arial"/>
          <w:color w:val="7B7B7B" w:themeColor="accent3" w:themeShade="BF"/>
          <w:sz w:val="22"/>
          <w:szCs w:val="22"/>
        </w:rPr>
        <w:t>the facts of the case</w:t>
      </w:r>
      <w:r w:rsidR="003807B2">
        <w:rPr>
          <w:rFonts w:ascii="Avenir Next" w:hAnsi="Avenir Next" w:cs="Arial"/>
          <w:color w:val="7B7B7B" w:themeColor="accent3" w:themeShade="BF"/>
          <w:sz w:val="22"/>
          <w:szCs w:val="22"/>
        </w:rPr>
        <w:t xml:space="preserve">, </w:t>
      </w:r>
      <w:r w:rsidR="00D33C24" w:rsidRPr="00D33C24">
        <w:rPr>
          <w:rFonts w:ascii="Avenir Next" w:hAnsi="Avenir Next" w:cs="Arial"/>
          <w:color w:val="7B7B7B" w:themeColor="accent3" w:themeShade="BF"/>
          <w:sz w:val="22"/>
          <w:szCs w:val="22"/>
        </w:rPr>
        <w:t xml:space="preserve">the </w:t>
      </w:r>
      <w:r w:rsidR="005F7636">
        <w:rPr>
          <w:rFonts w:ascii="Avenir Next" w:hAnsi="Avenir Next" w:cs="Arial"/>
          <w:color w:val="7B7B7B" w:themeColor="accent3" w:themeShade="BF"/>
          <w:sz w:val="22"/>
          <w:szCs w:val="22"/>
        </w:rPr>
        <w:t>tenant,</w:t>
      </w:r>
      <w:r w:rsidR="005F7636" w:rsidRPr="00D33C24">
        <w:rPr>
          <w:rFonts w:ascii="Avenir Next" w:hAnsi="Avenir Next" w:cs="Arial"/>
          <w:color w:val="7B7B7B" w:themeColor="accent3" w:themeShade="BF"/>
          <w:sz w:val="22"/>
          <w:szCs w:val="22"/>
        </w:rPr>
        <w:t xml:space="preserve"> </w:t>
      </w:r>
      <w:r w:rsidR="005F7636">
        <w:rPr>
          <w:rFonts w:ascii="Avenir Next" w:hAnsi="Avenir Next" w:cs="Arial"/>
          <w:color w:val="7B7B7B" w:themeColor="accent3" w:themeShade="BF"/>
          <w:sz w:val="22"/>
          <w:szCs w:val="22"/>
        </w:rPr>
        <w:t>Speculation Inc., is in arrears</w:t>
      </w:r>
      <w:r w:rsidR="005F7636" w:rsidRPr="00D33C24">
        <w:rPr>
          <w:rFonts w:ascii="Avenir Next" w:hAnsi="Avenir Next" w:cs="Arial"/>
          <w:color w:val="7B7B7B" w:themeColor="accent3" w:themeShade="BF"/>
          <w:sz w:val="22"/>
          <w:szCs w:val="22"/>
        </w:rPr>
        <w:t xml:space="preserve"> </w:t>
      </w:r>
      <w:r w:rsidR="005F7636">
        <w:rPr>
          <w:rFonts w:ascii="Avenir Next" w:hAnsi="Avenir Next" w:cs="Arial"/>
          <w:color w:val="7B7B7B" w:themeColor="accent3" w:themeShade="BF"/>
          <w:sz w:val="22"/>
          <w:szCs w:val="22"/>
        </w:rPr>
        <w:t xml:space="preserve">with the </w:t>
      </w:r>
      <w:r w:rsidR="00D33C24" w:rsidRPr="00D33C24">
        <w:rPr>
          <w:rFonts w:ascii="Avenir Next" w:hAnsi="Avenir Next" w:cs="Arial"/>
          <w:color w:val="7B7B7B" w:themeColor="accent3" w:themeShade="BF"/>
          <w:sz w:val="22"/>
          <w:szCs w:val="22"/>
        </w:rPr>
        <w:t>rent</w:t>
      </w:r>
      <w:r w:rsidR="005D5530">
        <w:rPr>
          <w:rFonts w:ascii="Avenir Next" w:hAnsi="Avenir Next" w:cs="Arial"/>
          <w:color w:val="7B7B7B" w:themeColor="accent3" w:themeShade="BF"/>
          <w:sz w:val="22"/>
          <w:szCs w:val="22"/>
        </w:rPr>
        <w:t xml:space="preserve"> of</w:t>
      </w:r>
      <w:r w:rsidR="00D33C24" w:rsidRPr="00D33C24">
        <w:rPr>
          <w:rFonts w:ascii="Avenir Next" w:hAnsi="Avenir Next" w:cs="Arial"/>
          <w:color w:val="7B7B7B" w:themeColor="accent3" w:themeShade="BF"/>
          <w:sz w:val="22"/>
          <w:szCs w:val="22"/>
        </w:rPr>
        <w:t xml:space="preserve"> </w:t>
      </w:r>
      <w:r w:rsidR="005D5530">
        <w:rPr>
          <w:rFonts w:ascii="Avenir Next" w:hAnsi="Avenir Next" w:cs="Arial"/>
          <w:color w:val="7B7B7B" w:themeColor="accent3" w:themeShade="BF"/>
          <w:sz w:val="22"/>
          <w:szCs w:val="22"/>
        </w:rPr>
        <w:t>the leased office space</w:t>
      </w:r>
      <w:r w:rsidR="009E0327">
        <w:rPr>
          <w:rFonts w:ascii="Avenir Next" w:hAnsi="Avenir Next" w:cs="Arial"/>
          <w:color w:val="7B7B7B" w:themeColor="accent3" w:themeShade="BF"/>
          <w:sz w:val="22"/>
          <w:szCs w:val="22"/>
        </w:rPr>
        <w:t xml:space="preserve">. </w:t>
      </w:r>
      <w:r w:rsidR="00357B51">
        <w:rPr>
          <w:rFonts w:ascii="Avenir Next" w:hAnsi="Avenir Next" w:cs="Arial"/>
          <w:color w:val="7B7B7B" w:themeColor="accent3" w:themeShade="BF"/>
          <w:sz w:val="22"/>
          <w:szCs w:val="22"/>
        </w:rPr>
        <w:t>In the context of the delinquent lease, t</w:t>
      </w:r>
      <w:r w:rsidR="004C0ED3">
        <w:rPr>
          <w:rFonts w:ascii="Avenir Next" w:hAnsi="Avenir Next" w:cs="Arial"/>
          <w:color w:val="7B7B7B" w:themeColor="accent3" w:themeShade="BF"/>
          <w:sz w:val="22"/>
          <w:szCs w:val="22"/>
        </w:rPr>
        <w:t>he</w:t>
      </w:r>
      <w:r w:rsidR="00C95C52">
        <w:rPr>
          <w:rFonts w:ascii="Avenir Next" w:hAnsi="Avenir Next" w:cs="Arial"/>
          <w:color w:val="7B7B7B" w:themeColor="accent3" w:themeShade="BF"/>
          <w:sz w:val="22"/>
          <w:szCs w:val="22"/>
        </w:rPr>
        <w:t>refore, the</w:t>
      </w:r>
      <w:r w:rsidR="004C0ED3">
        <w:rPr>
          <w:rFonts w:ascii="Avenir Next" w:hAnsi="Avenir Next" w:cs="Arial"/>
          <w:color w:val="7B7B7B" w:themeColor="accent3" w:themeShade="BF"/>
          <w:sz w:val="22"/>
          <w:szCs w:val="22"/>
        </w:rPr>
        <w:t xml:space="preserve"> automatic stay </w:t>
      </w:r>
      <w:r w:rsidR="00357B51">
        <w:rPr>
          <w:rFonts w:ascii="Avenir Next" w:hAnsi="Avenir Next" w:cs="Arial"/>
          <w:color w:val="7B7B7B" w:themeColor="accent3" w:themeShade="BF"/>
          <w:sz w:val="22"/>
          <w:szCs w:val="22"/>
        </w:rPr>
        <w:t xml:space="preserve">upon a Chapter 11 petition </w:t>
      </w:r>
      <w:r w:rsidR="00C95C52">
        <w:rPr>
          <w:rFonts w:ascii="Avenir Next" w:hAnsi="Avenir Next" w:cs="Arial"/>
          <w:color w:val="7B7B7B" w:themeColor="accent3" w:themeShade="BF"/>
          <w:sz w:val="22"/>
          <w:szCs w:val="22"/>
        </w:rPr>
        <w:t xml:space="preserve">will </w:t>
      </w:r>
      <w:r w:rsidR="001D16D4">
        <w:rPr>
          <w:rFonts w:ascii="Avenir Next" w:hAnsi="Avenir Next" w:cs="Arial"/>
          <w:color w:val="7B7B7B" w:themeColor="accent3" w:themeShade="BF"/>
          <w:sz w:val="22"/>
          <w:szCs w:val="22"/>
        </w:rPr>
        <w:t>prevent</w:t>
      </w:r>
      <w:r w:rsidR="00C95C52">
        <w:rPr>
          <w:rFonts w:ascii="Avenir Next" w:hAnsi="Avenir Next" w:cs="Arial"/>
          <w:color w:val="7B7B7B" w:themeColor="accent3" w:themeShade="BF"/>
          <w:sz w:val="22"/>
          <w:szCs w:val="22"/>
        </w:rPr>
        <w:t xml:space="preserve"> </w:t>
      </w:r>
      <w:r w:rsidR="004C0ED3">
        <w:rPr>
          <w:rFonts w:ascii="Avenir Next" w:hAnsi="Avenir Next" w:cs="Arial"/>
          <w:color w:val="7B7B7B" w:themeColor="accent3" w:themeShade="BF"/>
          <w:sz w:val="22"/>
          <w:szCs w:val="22"/>
        </w:rPr>
        <w:t>any act to “</w:t>
      </w:r>
      <w:r w:rsidR="004C0ED3" w:rsidRPr="004C0ED3">
        <w:rPr>
          <w:rFonts w:ascii="Avenir Next" w:hAnsi="Avenir Next" w:cs="Arial"/>
          <w:color w:val="7B7B7B" w:themeColor="accent3" w:themeShade="BF"/>
          <w:sz w:val="22"/>
          <w:szCs w:val="22"/>
        </w:rPr>
        <w:t>collect, assess, or recover a claim against the debtor that arose before the commencement of the case</w:t>
      </w:r>
      <w:r w:rsidR="004C0ED3">
        <w:rPr>
          <w:rFonts w:ascii="Avenir Next" w:hAnsi="Avenir Next" w:cs="Arial"/>
          <w:color w:val="7B7B7B" w:themeColor="accent3" w:themeShade="BF"/>
          <w:sz w:val="22"/>
          <w:szCs w:val="22"/>
        </w:rPr>
        <w:t xml:space="preserve">” (11 USC, </w:t>
      </w:r>
      <w:r w:rsidR="004C0ED3" w:rsidRPr="004066C5">
        <w:rPr>
          <w:rFonts w:ascii="Avenir Next" w:hAnsi="Avenir Next" w:cs="Arial"/>
          <w:color w:val="7B7B7B" w:themeColor="accent3" w:themeShade="BF"/>
          <w:sz w:val="22"/>
          <w:szCs w:val="22"/>
        </w:rPr>
        <w:t>§362(a)(6)</w:t>
      </w:r>
      <w:r w:rsidR="004C0ED3">
        <w:rPr>
          <w:rFonts w:ascii="Avenir Next" w:hAnsi="Avenir Next" w:cs="Arial"/>
          <w:color w:val="7B7B7B" w:themeColor="accent3" w:themeShade="BF"/>
          <w:sz w:val="22"/>
          <w:szCs w:val="22"/>
        </w:rPr>
        <w:t>).</w:t>
      </w:r>
    </w:p>
    <w:p w14:paraId="3FCED517" w14:textId="7CD1A433" w:rsidR="00E93E10" w:rsidRDefault="00E93E10" w:rsidP="00F03051">
      <w:pPr>
        <w:jc w:val="both"/>
        <w:rPr>
          <w:rFonts w:ascii="Avenir Next" w:hAnsi="Avenir Next" w:cs="Arial"/>
          <w:color w:val="7B7B7B" w:themeColor="accent3" w:themeShade="BF"/>
          <w:sz w:val="22"/>
          <w:szCs w:val="22"/>
        </w:rPr>
      </w:pPr>
    </w:p>
    <w:p w14:paraId="04DAF5E8" w14:textId="5CB19D02" w:rsidR="00BE08AF" w:rsidRDefault="00AA5DA1" w:rsidP="00F03051">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Under section 362(a)(</w:t>
      </w:r>
      <w:r w:rsidR="00F83CA5">
        <w:rPr>
          <w:rFonts w:ascii="Avenir Next" w:hAnsi="Avenir Next" w:cs="Arial"/>
          <w:color w:val="7B7B7B" w:themeColor="accent3" w:themeShade="BF"/>
          <w:sz w:val="22"/>
          <w:szCs w:val="22"/>
        </w:rPr>
        <w:t>1</w:t>
      </w:r>
      <w:r>
        <w:rPr>
          <w:rFonts w:ascii="Avenir Next" w:hAnsi="Avenir Next" w:cs="Arial"/>
          <w:color w:val="7B7B7B" w:themeColor="accent3" w:themeShade="BF"/>
          <w:sz w:val="22"/>
          <w:szCs w:val="22"/>
        </w:rPr>
        <w:t xml:space="preserve">), </w:t>
      </w:r>
      <w:r w:rsidR="00F83CA5">
        <w:rPr>
          <w:rFonts w:ascii="Avenir Next" w:hAnsi="Avenir Next" w:cs="Arial"/>
          <w:color w:val="7B7B7B" w:themeColor="accent3" w:themeShade="BF"/>
          <w:sz w:val="22"/>
          <w:szCs w:val="22"/>
        </w:rPr>
        <w:t>commencing or continuing an administrative, judicial or other proceeding or action against the debtor</w:t>
      </w:r>
      <w:r w:rsidR="00626F46">
        <w:rPr>
          <w:rFonts w:ascii="Avenir Next" w:hAnsi="Avenir Next" w:cs="Arial"/>
          <w:color w:val="7B7B7B" w:themeColor="accent3" w:themeShade="BF"/>
          <w:sz w:val="22"/>
          <w:szCs w:val="22"/>
        </w:rPr>
        <w:t>,</w:t>
      </w:r>
      <w:r w:rsidR="00F83CA5">
        <w:rPr>
          <w:rFonts w:ascii="Avenir Next" w:hAnsi="Avenir Next" w:cs="Arial"/>
          <w:color w:val="7B7B7B" w:themeColor="accent3" w:themeShade="BF"/>
          <w:sz w:val="22"/>
          <w:szCs w:val="22"/>
        </w:rPr>
        <w:t xml:space="preserve"> that in fact was initiated or could have been initiated on a pre-petition basis</w:t>
      </w:r>
      <w:r w:rsidR="00626F46">
        <w:rPr>
          <w:rFonts w:ascii="Avenir Next" w:hAnsi="Avenir Next" w:cs="Arial"/>
          <w:color w:val="7B7B7B" w:themeColor="accent3" w:themeShade="BF"/>
          <w:sz w:val="22"/>
          <w:szCs w:val="22"/>
        </w:rPr>
        <w:t>,</w:t>
      </w:r>
      <w:r w:rsidR="00B57A31">
        <w:rPr>
          <w:rFonts w:ascii="Avenir Next" w:hAnsi="Avenir Next" w:cs="Arial"/>
          <w:color w:val="7B7B7B" w:themeColor="accent3" w:themeShade="BF"/>
          <w:sz w:val="22"/>
          <w:szCs w:val="22"/>
        </w:rPr>
        <w:t xml:space="preserve"> is a situation covered by the </w:t>
      </w:r>
      <w:r w:rsidR="00182B6B">
        <w:rPr>
          <w:rFonts w:ascii="Avenir Next" w:hAnsi="Avenir Next" w:cs="Arial"/>
          <w:color w:val="7B7B7B" w:themeColor="accent3" w:themeShade="BF"/>
          <w:sz w:val="22"/>
          <w:szCs w:val="22"/>
        </w:rPr>
        <w:t xml:space="preserve">automatic </w:t>
      </w:r>
      <w:r w:rsidR="00B57A31">
        <w:rPr>
          <w:rFonts w:ascii="Avenir Next" w:hAnsi="Avenir Next" w:cs="Arial"/>
          <w:color w:val="7B7B7B" w:themeColor="accent3" w:themeShade="BF"/>
          <w:sz w:val="22"/>
          <w:szCs w:val="22"/>
        </w:rPr>
        <w:t>sta</w:t>
      </w:r>
      <w:r w:rsidR="00182B6B">
        <w:rPr>
          <w:rFonts w:ascii="Avenir Next" w:hAnsi="Avenir Next" w:cs="Arial"/>
          <w:color w:val="7B7B7B" w:themeColor="accent3" w:themeShade="BF"/>
          <w:sz w:val="22"/>
          <w:szCs w:val="22"/>
        </w:rPr>
        <w:t xml:space="preserve">y. Commencing or continuing a judicial, administrative or other proceeding or action </w:t>
      </w:r>
      <w:r w:rsidR="00417850">
        <w:rPr>
          <w:rFonts w:ascii="Avenir Next" w:hAnsi="Avenir Next" w:cs="Arial"/>
          <w:color w:val="7B7B7B" w:themeColor="accent3" w:themeShade="BF"/>
          <w:sz w:val="22"/>
          <w:szCs w:val="22"/>
        </w:rPr>
        <w:t>specifically</w:t>
      </w:r>
      <w:r w:rsidR="00182B6B">
        <w:rPr>
          <w:rFonts w:ascii="Avenir Next" w:hAnsi="Avenir Next" w:cs="Arial"/>
          <w:color w:val="7B7B7B" w:themeColor="accent3" w:themeShade="BF"/>
          <w:sz w:val="22"/>
          <w:szCs w:val="22"/>
        </w:rPr>
        <w:t xml:space="preserve"> intended to recover any pre-petition claim against the debtor is </w:t>
      </w:r>
      <w:r w:rsidR="0031093E">
        <w:rPr>
          <w:rFonts w:ascii="Avenir Next" w:hAnsi="Avenir Next" w:cs="Arial"/>
          <w:color w:val="7B7B7B" w:themeColor="accent3" w:themeShade="BF"/>
          <w:sz w:val="22"/>
          <w:szCs w:val="22"/>
        </w:rPr>
        <w:t xml:space="preserve">also </w:t>
      </w:r>
      <w:r w:rsidR="00182B6B">
        <w:rPr>
          <w:rFonts w:ascii="Avenir Next" w:hAnsi="Avenir Next" w:cs="Arial"/>
          <w:color w:val="7B7B7B" w:themeColor="accent3" w:themeShade="BF"/>
          <w:sz w:val="22"/>
          <w:szCs w:val="22"/>
        </w:rPr>
        <w:t xml:space="preserve">prohibited by the stay. </w:t>
      </w:r>
      <w:r w:rsidR="00E93E10">
        <w:rPr>
          <w:rFonts w:ascii="Avenir Next" w:hAnsi="Avenir Next" w:cs="Arial"/>
          <w:color w:val="7B7B7B" w:themeColor="accent3" w:themeShade="BF"/>
          <w:sz w:val="22"/>
          <w:szCs w:val="22"/>
        </w:rPr>
        <w:t>A former employee at Speculation Inc. filed an employment discrimination lawsuit</w:t>
      </w:r>
      <w:r w:rsidR="00626F46">
        <w:rPr>
          <w:rFonts w:ascii="Avenir Next" w:hAnsi="Avenir Next" w:cs="Arial"/>
          <w:color w:val="7B7B7B" w:themeColor="accent3" w:themeShade="BF"/>
          <w:sz w:val="22"/>
          <w:szCs w:val="22"/>
        </w:rPr>
        <w:t>,</w:t>
      </w:r>
      <w:r w:rsidR="00E93E10">
        <w:rPr>
          <w:rFonts w:ascii="Avenir Next" w:hAnsi="Avenir Next" w:cs="Arial"/>
          <w:color w:val="7B7B7B" w:themeColor="accent3" w:themeShade="BF"/>
          <w:sz w:val="22"/>
          <w:szCs w:val="22"/>
        </w:rPr>
        <w:t xml:space="preserve"> asserting that the dismissal was based on gender bias</w:t>
      </w:r>
      <w:r w:rsidR="00AD0B5D">
        <w:rPr>
          <w:rFonts w:ascii="Avenir Next" w:hAnsi="Avenir Next" w:cs="Arial"/>
          <w:color w:val="7B7B7B" w:themeColor="accent3" w:themeShade="BF"/>
          <w:sz w:val="22"/>
          <w:szCs w:val="22"/>
        </w:rPr>
        <w:t xml:space="preserve">. </w:t>
      </w:r>
      <w:r w:rsidR="00DE2CE6">
        <w:rPr>
          <w:rFonts w:ascii="Avenir Next" w:hAnsi="Avenir Next" w:cs="Arial"/>
          <w:color w:val="7B7B7B" w:themeColor="accent3" w:themeShade="BF"/>
          <w:sz w:val="22"/>
          <w:szCs w:val="22"/>
        </w:rPr>
        <w:t>The</w:t>
      </w:r>
      <w:r w:rsidR="0031093E">
        <w:rPr>
          <w:rFonts w:ascii="Avenir Next" w:hAnsi="Avenir Next" w:cs="Arial"/>
          <w:color w:val="7B7B7B" w:themeColor="accent3" w:themeShade="BF"/>
          <w:sz w:val="22"/>
          <w:szCs w:val="22"/>
        </w:rPr>
        <w:t>refore, the</w:t>
      </w:r>
      <w:r w:rsidR="00DE2CE6">
        <w:rPr>
          <w:rFonts w:ascii="Avenir Next" w:hAnsi="Avenir Next" w:cs="Arial"/>
          <w:color w:val="7B7B7B" w:themeColor="accent3" w:themeShade="BF"/>
          <w:sz w:val="22"/>
          <w:szCs w:val="22"/>
        </w:rPr>
        <w:t xml:space="preserve"> effect of a Chapter 11 petition on </w:t>
      </w:r>
      <w:r w:rsidR="0031093E">
        <w:rPr>
          <w:rFonts w:ascii="Avenir Next" w:hAnsi="Avenir Next" w:cs="Arial"/>
          <w:color w:val="7B7B7B" w:themeColor="accent3" w:themeShade="BF"/>
          <w:sz w:val="22"/>
          <w:szCs w:val="22"/>
        </w:rPr>
        <w:t>the</w:t>
      </w:r>
      <w:r w:rsidR="00DE2CE6">
        <w:rPr>
          <w:rFonts w:ascii="Avenir Next" w:hAnsi="Avenir Next" w:cs="Arial"/>
          <w:color w:val="7B7B7B" w:themeColor="accent3" w:themeShade="BF"/>
          <w:sz w:val="22"/>
          <w:szCs w:val="22"/>
        </w:rPr>
        <w:t xml:space="preserve"> employment discrimination lawsuit </w:t>
      </w:r>
      <w:r w:rsidR="0031093E">
        <w:rPr>
          <w:rFonts w:ascii="Avenir Next" w:hAnsi="Avenir Next" w:cs="Arial"/>
          <w:color w:val="7B7B7B" w:themeColor="accent3" w:themeShade="BF"/>
          <w:sz w:val="22"/>
          <w:szCs w:val="22"/>
        </w:rPr>
        <w:t>will</w:t>
      </w:r>
      <w:r w:rsidR="00DE2CE6">
        <w:rPr>
          <w:rFonts w:ascii="Avenir Next" w:hAnsi="Avenir Next" w:cs="Arial"/>
          <w:color w:val="7B7B7B" w:themeColor="accent3" w:themeShade="BF"/>
          <w:sz w:val="22"/>
          <w:szCs w:val="22"/>
        </w:rPr>
        <w:t xml:space="preserve"> </w:t>
      </w:r>
      <w:r w:rsidR="00B47B61">
        <w:rPr>
          <w:rFonts w:ascii="Avenir Next" w:hAnsi="Avenir Next" w:cs="Arial"/>
          <w:color w:val="7B7B7B" w:themeColor="accent3" w:themeShade="BF"/>
          <w:sz w:val="22"/>
          <w:szCs w:val="22"/>
        </w:rPr>
        <w:t>involve</w:t>
      </w:r>
      <w:r w:rsidR="00DE2CE6">
        <w:rPr>
          <w:rFonts w:ascii="Avenir Next" w:hAnsi="Avenir Next" w:cs="Arial"/>
          <w:color w:val="7B7B7B" w:themeColor="accent3" w:themeShade="BF"/>
          <w:sz w:val="22"/>
          <w:szCs w:val="22"/>
        </w:rPr>
        <w:t xml:space="preserve"> a stay of </w:t>
      </w:r>
      <w:r w:rsidR="0031093E">
        <w:rPr>
          <w:rFonts w:ascii="Avenir Next" w:hAnsi="Avenir Next" w:cs="Arial"/>
          <w:color w:val="7B7B7B" w:themeColor="accent3" w:themeShade="BF"/>
          <w:sz w:val="22"/>
          <w:szCs w:val="22"/>
        </w:rPr>
        <w:t xml:space="preserve">those </w:t>
      </w:r>
      <w:r w:rsidR="00DE2CE6">
        <w:rPr>
          <w:rFonts w:ascii="Avenir Next" w:hAnsi="Avenir Next" w:cs="Arial"/>
          <w:color w:val="7B7B7B" w:themeColor="accent3" w:themeShade="BF"/>
          <w:sz w:val="22"/>
          <w:szCs w:val="22"/>
        </w:rPr>
        <w:t>proceedings</w:t>
      </w:r>
      <w:r w:rsidR="00B77A1A">
        <w:rPr>
          <w:rFonts w:ascii="Avenir Next" w:hAnsi="Avenir Next" w:cs="Arial"/>
          <w:color w:val="7B7B7B" w:themeColor="accent3" w:themeShade="BF"/>
          <w:sz w:val="22"/>
          <w:szCs w:val="22"/>
        </w:rPr>
        <w:t>.</w:t>
      </w:r>
    </w:p>
    <w:p w14:paraId="702D790B" w14:textId="53535464" w:rsidR="00BE08AF" w:rsidRPr="00BE08AF" w:rsidRDefault="00BE08AF" w:rsidP="00F03051">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It is though important to </w:t>
      </w:r>
      <w:r w:rsidR="00B86C2A">
        <w:rPr>
          <w:rFonts w:ascii="Avenir Next" w:hAnsi="Avenir Next" w:cs="Arial"/>
          <w:color w:val="7B7B7B" w:themeColor="accent3" w:themeShade="BF"/>
          <w:sz w:val="22"/>
          <w:szCs w:val="22"/>
        </w:rPr>
        <w:t>emphasize</w:t>
      </w:r>
      <w:r>
        <w:rPr>
          <w:rFonts w:ascii="Avenir Next" w:hAnsi="Avenir Next" w:cs="Arial"/>
          <w:color w:val="7B7B7B" w:themeColor="accent3" w:themeShade="BF"/>
          <w:sz w:val="22"/>
          <w:szCs w:val="22"/>
        </w:rPr>
        <w:t xml:space="preserve"> the purpose of the US </w:t>
      </w:r>
      <w:r w:rsidRPr="00BE08AF">
        <w:rPr>
          <w:rFonts w:ascii="Avenir Next" w:hAnsi="Avenir Next" w:cs="Arial"/>
          <w:color w:val="7B7B7B" w:themeColor="accent3" w:themeShade="BF"/>
          <w:sz w:val="22"/>
          <w:szCs w:val="22"/>
        </w:rPr>
        <w:t>Equal Employment Opportunity Commission</w:t>
      </w:r>
      <w:r>
        <w:rPr>
          <w:rFonts w:ascii="Avenir Next" w:hAnsi="Avenir Next" w:cs="Arial"/>
          <w:color w:val="7B7B7B" w:themeColor="accent3" w:themeShade="BF"/>
          <w:sz w:val="22"/>
          <w:szCs w:val="22"/>
        </w:rPr>
        <w:t xml:space="preserve"> (EEOC) </w:t>
      </w:r>
      <w:r w:rsidR="00B86C2A">
        <w:rPr>
          <w:rFonts w:ascii="Avenir Next" w:hAnsi="Avenir Next" w:cs="Arial"/>
          <w:color w:val="7B7B7B" w:themeColor="accent3" w:themeShade="BF"/>
          <w:sz w:val="22"/>
          <w:szCs w:val="22"/>
        </w:rPr>
        <w:t>which</w:t>
      </w:r>
      <w:r>
        <w:rPr>
          <w:rFonts w:ascii="Avenir Next" w:hAnsi="Avenir Next" w:cs="Arial"/>
          <w:color w:val="7B7B7B" w:themeColor="accent3" w:themeShade="BF"/>
          <w:sz w:val="22"/>
          <w:szCs w:val="22"/>
        </w:rPr>
        <w:t xml:space="preserve"> is responsible for enforcing federal laws </w:t>
      </w:r>
      <w:r w:rsidR="00B86C2A">
        <w:rPr>
          <w:rFonts w:ascii="Avenir Next" w:hAnsi="Avenir Next" w:cs="Arial"/>
          <w:color w:val="7B7B7B" w:themeColor="accent3" w:themeShade="BF"/>
          <w:sz w:val="22"/>
          <w:szCs w:val="22"/>
        </w:rPr>
        <w:t>on</w:t>
      </w:r>
      <w:r w:rsidR="00243769">
        <w:rPr>
          <w:rFonts w:ascii="Avenir Next" w:hAnsi="Avenir Next" w:cs="Arial"/>
          <w:color w:val="7B7B7B" w:themeColor="accent3" w:themeShade="BF"/>
          <w:sz w:val="22"/>
          <w:szCs w:val="22"/>
        </w:rPr>
        <w:t xml:space="preserve"> workplace </w:t>
      </w:r>
      <w:r>
        <w:rPr>
          <w:rFonts w:ascii="Avenir Next" w:hAnsi="Avenir Next" w:cs="Arial"/>
          <w:color w:val="7B7B7B" w:themeColor="accent3" w:themeShade="BF"/>
          <w:sz w:val="22"/>
          <w:szCs w:val="22"/>
        </w:rPr>
        <w:t>discrimination</w:t>
      </w:r>
      <w:r w:rsidR="00243769">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 xml:space="preserve">It covers employers with at least 15 employees (in the present case Speculation Inc. has two employees) and </w:t>
      </w:r>
      <w:r w:rsidR="00243769">
        <w:rPr>
          <w:rFonts w:ascii="Avenir Next" w:hAnsi="Avenir Next" w:cs="Arial"/>
          <w:color w:val="7B7B7B" w:themeColor="accent3" w:themeShade="BF"/>
          <w:sz w:val="22"/>
          <w:szCs w:val="22"/>
        </w:rPr>
        <w:t xml:space="preserve">operates for a public </w:t>
      </w:r>
      <w:r w:rsidR="00333636">
        <w:rPr>
          <w:rFonts w:ascii="Avenir Next" w:hAnsi="Avenir Next" w:cs="Arial"/>
          <w:color w:val="7B7B7B" w:themeColor="accent3" w:themeShade="BF"/>
          <w:sz w:val="22"/>
          <w:szCs w:val="22"/>
        </w:rPr>
        <w:t>purpose</w:t>
      </w:r>
      <w:r w:rsidR="00243769">
        <w:rPr>
          <w:rFonts w:ascii="Avenir Next" w:hAnsi="Avenir Next" w:cs="Arial"/>
          <w:color w:val="7B7B7B" w:themeColor="accent3" w:themeShade="BF"/>
          <w:sz w:val="22"/>
          <w:szCs w:val="22"/>
        </w:rPr>
        <w:t xml:space="preserve"> once it identifies violation</w:t>
      </w:r>
      <w:r w:rsidR="00333636">
        <w:rPr>
          <w:rFonts w:ascii="Avenir Next" w:hAnsi="Avenir Next" w:cs="Arial"/>
          <w:color w:val="7B7B7B" w:themeColor="accent3" w:themeShade="BF"/>
          <w:sz w:val="22"/>
          <w:szCs w:val="22"/>
        </w:rPr>
        <w:t>s of employees’ rights</w:t>
      </w:r>
      <w:r w:rsidR="00243769">
        <w:rPr>
          <w:rFonts w:ascii="Avenir Next" w:hAnsi="Avenir Next" w:cs="Arial"/>
          <w:color w:val="7B7B7B" w:themeColor="accent3" w:themeShade="BF"/>
          <w:sz w:val="22"/>
          <w:szCs w:val="22"/>
        </w:rPr>
        <w:t xml:space="preserve"> </w:t>
      </w:r>
      <w:r w:rsidR="00333636">
        <w:rPr>
          <w:rFonts w:ascii="Avenir Next" w:hAnsi="Avenir Next" w:cs="Arial"/>
          <w:color w:val="7B7B7B" w:themeColor="accent3" w:themeShade="BF"/>
          <w:sz w:val="22"/>
          <w:szCs w:val="22"/>
        </w:rPr>
        <w:t>and</w:t>
      </w:r>
      <w:r w:rsidR="00243769">
        <w:rPr>
          <w:rFonts w:ascii="Avenir Next" w:hAnsi="Avenir Next" w:cs="Arial"/>
          <w:color w:val="7B7B7B" w:themeColor="accent3" w:themeShade="BF"/>
          <w:sz w:val="22"/>
          <w:szCs w:val="22"/>
        </w:rPr>
        <w:t xml:space="preserve"> employment discrimination in all its forms. </w:t>
      </w:r>
      <w:r w:rsidR="00F744D6">
        <w:rPr>
          <w:rFonts w:ascii="Avenir Next" w:hAnsi="Avenir Next" w:cs="Arial"/>
          <w:color w:val="7B7B7B" w:themeColor="accent3" w:themeShade="BF"/>
          <w:sz w:val="22"/>
          <w:szCs w:val="22"/>
        </w:rPr>
        <w:t>Nevertheless</w:t>
      </w:r>
      <w:r w:rsidR="00B03233">
        <w:rPr>
          <w:rFonts w:ascii="Avenir Next" w:hAnsi="Avenir Next" w:cs="Arial"/>
          <w:color w:val="7B7B7B" w:themeColor="accent3" w:themeShade="BF"/>
          <w:sz w:val="22"/>
          <w:szCs w:val="22"/>
        </w:rPr>
        <w:t xml:space="preserve">, </w:t>
      </w:r>
      <w:r w:rsidR="00BB7CBB">
        <w:rPr>
          <w:rFonts w:ascii="Avenir Next" w:hAnsi="Avenir Next" w:cs="Arial"/>
          <w:color w:val="7B7B7B" w:themeColor="accent3" w:themeShade="BF"/>
          <w:sz w:val="22"/>
          <w:szCs w:val="22"/>
        </w:rPr>
        <w:t>any</w:t>
      </w:r>
      <w:r w:rsidR="007E5F6A" w:rsidRPr="007E5F6A">
        <w:rPr>
          <w:rFonts w:ascii="Avenir Next" w:hAnsi="Avenir Next" w:cs="Arial"/>
          <w:color w:val="7B7B7B" w:themeColor="accent3" w:themeShade="BF"/>
          <w:sz w:val="22"/>
          <w:szCs w:val="22"/>
        </w:rPr>
        <w:t xml:space="preserve"> commencement or continuation of such an administrative proceeding by the employee before the EEOC is stayed by the Chapter 11 petit</w:t>
      </w:r>
      <w:r w:rsidR="007E5F6A">
        <w:rPr>
          <w:rFonts w:ascii="Avenir Next" w:hAnsi="Avenir Next" w:cs="Arial"/>
          <w:color w:val="7B7B7B" w:themeColor="accent3" w:themeShade="BF"/>
          <w:sz w:val="22"/>
          <w:szCs w:val="22"/>
        </w:rPr>
        <w:t>ion</w:t>
      </w:r>
      <w:r w:rsidR="00CF46B8">
        <w:rPr>
          <w:rFonts w:ascii="Avenir Next" w:hAnsi="Avenir Next" w:cs="Arial"/>
          <w:color w:val="7B7B7B" w:themeColor="accent3" w:themeShade="BF"/>
          <w:sz w:val="22"/>
          <w:szCs w:val="22"/>
        </w:rPr>
        <w:t xml:space="preserve">. </w:t>
      </w:r>
      <w:r w:rsidR="00562699">
        <w:rPr>
          <w:rFonts w:ascii="Avenir Next" w:hAnsi="Avenir Next" w:cs="Arial"/>
          <w:color w:val="7B7B7B" w:themeColor="accent3" w:themeShade="BF"/>
          <w:sz w:val="22"/>
          <w:szCs w:val="22"/>
        </w:rPr>
        <w:t>Interestingly, t</w:t>
      </w:r>
      <w:r w:rsidR="00CF46B8">
        <w:rPr>
          <w:rFonts w:ascii="Avenir Next" w:hAnsi="Avenir Next" w:cs="Arial"/>
          <w:color w:val="7B7B7B" w:themeColor="accent3" w:themeShade="BF"/>
          <w:sz w:val="22"/>
          <w:szCs w:val="22"/>
        </w:rPr>
        <w:t>he automatic stay cannot appl</w:t>
      </w:r>
      <w:r w:rsidR="002533EE">
        <w:rPr>
          <w:rFonts w:ascii="Avenir Next" w:hAnsi="Avenir Next" w:cs="Arial"/>
          <w:color w:val="7B7B7B" w:themeColor="accent3" w:themeShade="BF"/>
          <w:sz w:val="22"/>
          <w:szCs w:val="22"/>
        </w:rPr>
        <w:t>y</w:t>
      </w:r>
      <w:r w:rsidR="00CF46B8">
        <w:rPr>
          <w:rFonts w:ascii="Avenir Next" w:hAnsi="Avenir Next" w:cs="Arial"/>
          <w:color w:val="7B7B7B" w:themeColor="accent3" w:themeShade="BF"/>
          <w:sz w:val="22"/>
          <w:szCs w:val="22"/>
        </w:rPr>
        <w:t xml:space="preserve"> </w:t>
      </w:r>
      <w:r w:rsidR="00BB7CBB">
        <w:rPr>
          <w:rFonts w:ascii="Avenir Next" w:hAnsi="Avenir Next" w:cs="Arial"/>
          <w:color w:val="7B7B7B" w:themeColor="accent3" w:themeShade="BF"/>
          <w:sz w:val="22"/>
          <w:szCs w:val="22"/>
        </w:rPr>
        <w:t>if</w:t>
      </w:r>
      <w:r w:rsidR="00CF46B8">
        <w:rPr>
          <w:rFonts w:ascii="Avenir Next" w:hAnsi="Avenir Next" w:cs="Arial"/>
          <w:color w:val="7B7B7B" w:themeColor="accent3" w:themeShade="BF"/>
          <w:sz w:val="22"/>
          <w:szCs w:val="22"/>
        </w:rPr>
        <w:t xml:space="preserve"> </w:t>
      </w:r>
      <w:r w:rsidR="00B03233">
        <w:rPr>
          <w:rFonts w:ascii="Avenir Next" w:hAnsi="Avenir Next" w:cs="Arial"/>
          <w:color w:val="7B7B7B" w:themeColor="accent3" w:themeShade="BF"/>
          <w:sz w:val="22"/>
          <w:szCs w:val="22"/>
        </w:rPr>
        <w:t>the EEOC itself</w:t>
      </w:r>
      <w:r w:rsidR="00BB7CBB">
        <w:rPr>
          <w:rFonts w:ascii="Avenir Next" w:hAnsi="Avenir Next" w:cs="Arial"/>
          <w:color w:val="7B7B7B" w:themeColor="accent3" w:themeShade="BF"/>
          <w:sz w:val="22"/>
          <w:szCs w:val="22"/>
        </w:rPr>
        <w:t>,</w:t>
      </w:r>
      <w:r w:rsidR="00B03233">
        <w:rPr>
          <w:rFonts w:ascii="Avenir Next" w:hAnsi="Avenir Next" w:cs="Arial"/>
          <w:color w:val="7B7B7B" w:themeColor="accent3" w:themeShade="BF"/>
          <w:sz w:val="22"/>
          <w:szCs w:val="22"/>
        </w:rPr>
        <w:t xml:space="preserve"> after investigation</w:t>
      </w:r>
      <w:r w:rsidR="00BB7CBB">
        <w:rPr>
          <w:rFonts w:ascii="Avenir Next" w:hAnsi="Avenir Next" w:cs="Arial"/>
          <w:color w:val="7B7B7B" w:themeColor="accent3" w:themeShade="BF"/>
          <w:sz w:val="22"/>
          <w:szCs w:val="22"/>
        </w:rPr>
        <w:t>,</w:t>
      </w:r>
      <w:r w:rsidR="00DA2BF3">
        <w:rPr>
          <w:rFonts w:ascii="Avenir Next" w:hAnsi="Avenir Next" w:cs="Arial"/>
          <w:color w:val="7B7B7B" w:themeColor="accent3" w:themeShade="BF"/>
          <w:sz w:val="22"/>
          <w:szCs w:val="22"/>
        </w:rPr>
        <w:t xml:space="preserve"> commences an action against the debtor</w:t>
      </w:r>
      <w:r w:rsidR="00CF46B8">
        <w:rPr>
          <w:rFonts w:ascii="Avenir Next" w:hAnsi="Avenir Next" w:cs="Arial"/>
          <w:color w:val="7B7B7B" w:themeColor="accent3" w:themeShade="BF"/>
          <w:sz w:val="22"/>
          <w:szCs w:val="22"/>
        </w:rPr>
        <w:t xml:space="preserve"> for a public purpose</w:t>
      </w:r>
      <w:r w:rsidR="00A870FE">
        <w:rPr>
          <w:rFonts w:ascii="Avenir Next" w:hAnsi="Avenir Next" w:cs="Arial"/>
          <w:color w:val="7B7B7B" w:themeColor="accent3" w:themeShade="BF"/>
          <w:sz w:val="22"/>
          <w:szCs w:val="22"/>
        </w:rPr>
        <w:t xml:space="preserve"> (</w:t>
      </w:r>
      <w:r w:rsidR="00A870FE">
        <w:rPr>
          <w:rFonts w:ascii="Avenir Next" w:hAnsi="Avenir Next" w:cs="Arial"/>
          <w:i/>
          <w:iCs/>
          <w:color w:val="7B7B7B" w:themeColor="accent3" w:themeShade="BF"/>
          <w:sz w:val="22"/>
          <w:szCs w:val="22"/>
        </w:rPr>
        <w:t xml:space="preserve">see </w:t>
      </w:r>
      <w:r w:rsidR="00A870FE" w:rsidRPr="002E55F8">
        <w:rPr>
          <w:rFonts w:ascii="Avenir Next" w:hAnsi="Avenir Next" w:cs="Arial"/>
          <w:color w:val="7B7B7B" w:themeColor="accent3" w:themeShade="BF"/>
          <w:sz w:val="22"/>
          <w:szCs w:val="22"/>
        </w:rPr>
        <w:t>11</w:t>
      </w:r>
      <w:r w:rsidR="00A870FE">
        <w:rPr>
          <w:rFonts w:ascii="Avenir Next" w:hAnsi="Avenir Next" w:cs="Arial"/>
          <w:color w:val="7B7B7B" w:themeColor="accent3" w:themeShade="BF"/>
          <w:sz w:val="22"/>
          <w:szCs w:val="22"/>
        </w:rPr>
        <w:t xml:space="preserve"> USC, §362(b)(4)</w:t>
      </w:r>
      <w:r w:rsidR="000F2CA5">
        <w:rPr>
          <w:rFonts w:ascii="Avenir Next" w:hAnsi="Avenir Next" w:cs="Arial"/>
          <w:color w:val="7B7B7B" w:themeColor="accent3" w:themeShade="BF"/>
          <w:sz w:val="22"/>
          <w:szCs w:val="22"/>
        </w:rPr>
        <w:t>, “</w:t>
      </w:r>
      <w:r w:rsidR="000F2CA5" w:rsidRPr="000F2CA5">
        <w:rPr>
          <w:rFonts w:ascii="Avenir Next" w:hAnsi="Avenir Next" w:cs="Arial"/>
          <w:color w:val="7B7B7B" w:themeColor="accent3" w:themeShade="BF"/>
          <w:sz w:val="22"/>
          <w:szCs w:val="22"/>
        </w:rPr>
        <w:t>to enforce such governmental unit’s or organization’s police and regulatory power</w:t>
      </w:r>
      <w:r w:rsidR="000F2CA5">
        <w:rPr>
          <w:rFonts w:ascii="Avenir Next" w:hAnsi="Avenir Next" w:cs="Arial"/>
          <w:color w:val="7B7B7B" w:themeColor="accent3" w:themeShade="BF"/>
          <w:sz w:val="22"/>
          <w:szCs w:val="22"/>
        </w:rPr>
        <w:t>”</w:t>
      </w:r>
      <w:r w:rsidR="00A870FE">
        <w:rPr>
          <w:rFonts w:ascii="Avenir Next" w:hAnsi="Avenir Next" w:cs="Arial"/>
          <w:color w:val="7B7B7B" w:themeColor="accent3" w:themeShade="BF"/>
          <w:sz w:val="22"/>
          <w:szCs w:val="22"/>
        </w:rPr>
        <w:t>)</w:t>
      </w:r>
      <w:r w:rsidR="00CF46B8">
        <w:rPr>
          <w:rFonts w:ascii="Avenir Next" w:hAnsi="Avenir Next" w:cs="Arial"/>
          <w:color w:val="7B7B7B" w:themeColor="accent3" w:themeShade="BF"/>
          <w:sz w:val="22"/>
          <w:szCs w:val="22"/>
        </w:rPr>
        <w:t>.</w:t>
      </w:r>
      <w:r w:rsidR="00A870FE">
        <w:rPr>
          <w:rFonts w:ascii="Avenir Next" w:hAnsi="Avenir Next" w:cs="Arial"/>
          <w:color w:val="7B7B7B" w:themeColor="accent3" w:themeShade="BF"/>
          <w:sz w:val="22"/>
          <w:szCs w:val="22"/>
        </w:rPr>
        <w:t xml:space="preserve"> </w:t>
      </w:r>
      <w:r w:rsidR="00CF46B8">
        <w:rPr>
          <w:rFonts w:ascii="Avenir Next" w:hAnsi="Avenir Next" w:cs="Arial"/>
          <w:color w:val="7B7B7B" w:themeColor="accent3" w:themeShade="BF"/>
          <w:sz w:val="22"/>
          <w:szCs w:val="22"/>
        </w:rPr>
        <w:t>In the case at hand, other than the fact that Speculation Inc. ha</w:t>
      </w:r>
      <w:r w:rsidR="009E1FDE">
        <w:rPr>
          <w:rFonts w:ascii="Avenir Next" w:hAnsi="Avenir Next" w:cs="Arial"/>
          <w:color w:val="7B7B7B" w:themeColor="accent3" w:themeShade="BF"/>
          <w:sz w:val="22"/>
          <w:szCs w:val="22"/>
        </w:rPr>
        <w:t>s</w:t>
      </w:r>
      <w:r w:rsidR="00CF46B8">
        <w:rPr>
          <w:rFonts w:ascii="Avenir Next" w:hAnsi="Avenir Next" w:cs="Arial"/>
          <w:color w:val="7B7B7B" w:themeColor="accent3" w:themeShade="BF"/>
          <w:sz w:val="22"/>
          <w:szCs w:val="22"/>
        </w:rPr>
        <w:t xml:space="preserve"> two employees, we cannot determine any relevant elements that could establish a public purpose for the EEOC to undertake such an action. The employee filed a</w:t>
      </w:r>
      <w:r w:rsidR="00417850">
        <w:rPr>
          <w:rFonts w:ascii="Avenir Next" w:hAnsi="Avenir Next" w:cs="Arial"/>
          <w:color w:val="7B7B7B" w:themeColor="accent3" w:themeShade="BF"/>
          <w:sz w:val="22"/>
          <w:szCs w:val="22"/>
        </w:rPr>
        <w:t>n individual</w:t>
      </w:r>
      <w:r w:rsidR="00CF46B8">
        <w:rPr>
          <w:rFonts w:ascii="Avenir Next" w:hAnsi="Avenir Next" w:cs="Arial"/>
          <w:color w:val="7B7B7B" w:themeColor="accent3" w:themeShade="BF"/>
          <w:sz w:val="22"/>
          <w:szCs w:val="22"/>
        </w:rPr>
        <w:t xml:space="preserve"> lawsuit and, </w:t>
      </w:r>
      <w:r w:rsidR="00EB4FBC">
        <w:rPr>
          <w:rFonts w:ascii="Avenir Next" w:hAnsi="Avenir Next" w:cs="Arial"/>
          <w:color w:val="7B7B7B" w:themeColor="accent3" w:themeShade="BF"/>
          <w:sz w:val="22"/>
          <w:szCs w:val="22"/>
        </w:rPr>
        <w:t>as previously mentioned</w:t>
      </w:r>
      <w:r w:rsidR="00CF46B8">
        <w:rPr>
          <w:rFonts w:ascii="Avenir Next" w:hAnsi="Avenir Next" w:cs="Arial"/>
          <w:color w:val="7B7B7B" w:themeColor="accent3" w:themeShade="BF"/>
          <w:sz w:val="22"/>
          <w:szCs w:val="22"/>
        </w:rPr>
        <w:t>, a stay of</w:t>
      </w:r>
      <w:r w:rsidR="00417850">
        <w:rPr>
          <w:rFonts w:ascii="Avenir Next" w:hAnsi="Avenir Next" w:cs="Arial"/>
          <w:color w:val="7B7B7B" w:themeColor="accent3" w:themeShade="BF"/>
          <w:sz w:val="22"/>
          <w:szCs w:val="22"/>
        </w:rPr>
        <w:t xml:space="preserve"> those</w:t>
      </w:r>
      <w:r w:rsidR="00CF46B8">
        <w:rPr>
          <w:rFonts w:ascii="Avenir Next" w:hAnsi="Avenir Next" w:cs="Arial"/>
          <w:color w:val="7B7B7B" w:themeColor="accent3" w:themeShade="BF"/>
          <w:sz w:val="22"/>
          <w:szCs w:val="22"/>
        </w:rPr>
        <w:t xml:space="preserve"> proceedings applies.</w:t>
      </w:r>
      <w:r w:rsidR="00F10516">
        <w:rPr>
          <w:rFonts w:ascii="Avenir Next" w:hAnsi="Avenir Next" w:cs="Arial"/>
          <w:color w:val="7B7B7B" w:themeColor="accent3" w:themeShade="BF"/>
          <w:sz w:val="22"/>
          <w:szCs w:val="22"/>
        </w:rPr>
        <w:t xml:space="preserve"> </w:t>
      </w:r>
      <w:r w:rsidR="00767381">
        <w:rPr>
          <w:rFonts w:ascii="Avenir Next" w:hAnsi="Avenir Next" w:cs="Arial"/>
          <w:color w:val="7B7B7B" w:themeColor="accent3" w:themeShade="BF"/>
          <w:sz w:val="22"/>
          <w:szCs w:val="22"/>
        </w:rPr>
        <w:t>I</w:t>
      </w:r>
      <w:r w:rsidR="00F10516">
        <w:rPr>
          <w:rFonts w:ascii="Avenir Next" w:hAnsi="Avenir Next" w:cs="Arial"/>
          <w:color w:val="7B7B7B" w:themeColor="accent3" w:themeShade="BF"/>
          <w:sz w:val="22"/>
          <w:szCs w:val="22"/>
        </w:rPr>
        <w:t xml:space="preserve">t </w:t>
      </w:r>
      <w:r w:rsidR="003B7E2D">
        <w:rPr>
          <w:rFonts w:ascii="Avenir Next" w:hAnsi="Avenir Next" w:cs="Arial"/>
          <w:color w:val="7B7B7B" w:themeColor="accent3" w:themeShade="BF"/>
          <w:sz w:val="22"/>
          <w:szCs w:val="22"/>
        </w:rPr>
        <w:t>may</w:t>
      </w:r>
      <w:r w:rsidR="00F10516">
        <w:rPr>
          <w:rFonts w:ascii="Avenir Next" w:hAnsi="Avenir Next" w:cs="Arial"/>
          <w:color w:val="7B7B7B" w:themeColor="accent3" w:themeShade="BF"/>
          <w:sz w:val="22"/>
          <w:szCs w:val="22"/>
        </w:rPr>
        <w:t xml:space="preserve"> </w:t>
      </w:r>
      <w:r w:rsidR="00767381">
        <w:rPr>
          <w:rFonts w:ascii="Avenir Next" w:hAnsi="Avenir Next" w:cs="Arial"/>
          <w:color w:val="7B7B7B" w:themeColor="accent3" w:themeShade="BF"/>
          <w:sz w:val="22"/>
          <w:szCs w:val="22"/>
        </w:rPr>
        <w:t>also</w:t>
      </w:r>
      <w:r w:rsidR="003B7E2D">
        <w:rPr>
          <w:rFonts w:ascii="Avenir Next" w:hAnsi="Avenir Next" w:cs="Arial"/>
          <w:color w:val="7B7B7B" w:themeColor="accent3" w:themeShade="BF"/>
          <w:sz w:val="22"/>
          <w:szCs w:val="22"/>
        </w:rPr>
        <w:t xml:space="preserve"> be </w:t>
      </w:r>
      <w:r w:rsidR="00F10516">
        <w:rPr>
          <w:rFonts w:ascii="Avenir Next" w:hAnsi="Avenir Next" w:cs="Arial"/>
          <w:color w:val="7B7B7B" w:themeColor="accent3" w:themeShade="BF"/>
          <w:sz w:val="22"/>
          <w:szCs w:val="22"/>
        </w:rPr>
        <w:t>possible for the employee to seek</w:t>
      </w:r>
      <w:r w:rsidR="003B7E2D">
        <w:rPr>
          <w:rFonts w:ascii="Avenir Next" w:hAnsi="Avenir Next" w:cs="Arial"/>
          <w:color w:val="7B7B7B" w:themeColor="accent3" w:themeShade="BF"/>
          <w:sz w:val="22"/>
          <w:szCs w:val="22"/>
        </w:rPr>
        <w:t xml:space="preserve"> a</w:t>
      </w:r>
      <w:r w:rsidR="00F10516">
        <w:rPr>
          <w:rFonts w:ascii="Avenir Next" w:hAnsi="Avenir Next" w:cs="Arial"/>
          <w:color w:val="7B7B7B" w:themeColor="accent3" w:themeShade="BF"/>
          <w:sz w:val="22"/>
          <w:szCs w:val="22"/>
        </w:rPr>
        <w:t xml:space="preserve"> modification of the stay </w:t>
      </w:r>
      <w:r w:rsidR="003B7E2D">
        <w:rPr>
          <w:rFonts w:ascii="Avenir Next" w:hAnsi="Avenir Next" w:cs="Arial"/>
          <w:color w:val="7B7B7B" w:themeColor="accent3" w:themeShade="BF"/>
          <w:sz w:val="22"/>
          <w:szCs w:val="22"/>
        </w:rPr>
        <w:t xml:space="preserve">from the court </w:t>
      </w:r>
      <w:r w:rsidR="00F10516">
        <w:rPr>
          <w:rFonts w:ascii="Avenir Next" w:hAnsi="Avenir Next" w:cs="Arial"/>
          <w:color w:val="7B7B7B" w:themeColor="accent3" w:themeShade="BF"/>
          <w:sz w:val="22"/>
          <w:szCs w:val="22"/>
        </w:rPr>
        <w:t xml:space="preserve">to allow the proceeding </w:t>
      </w:r>
      <w:r w:rsidR="00D35C8A">
        <w:rPr>
          <w:rFonts w:ascii="Avenir Next" w:hAnsi="Avenir Next" w:cs="Arial"/>
          <w:color w:val="7B7B7B" w:themeColor="accent3" w:themeShade="BF"/>
          <w:sz w:val="22"/>
          <w:szCs w:val="22"/>
        </w:rPr>
        <w:t>to</w:t>
      </w:r>
      <w:r w:rsidR="00F10516">
        <w:rPr>
          <w:rFonts w:ascii="Avenir Next" w:hAnsi="Avenir Next" w:cs="Arial"/>
          <w:color w:val="7B7B7B" w:themeColor="accent3" w:themeShade="BF"/>
          <w:sz w:val="22"/>
          <w:szCs w:val="22"/>
        </w:rPr>
        <w:t xml:space="preserve"> be completed</w:t>
      </w:r>
      <w:r w:rsidR="00911D98">
        <w:rPr>
          <w:rFonts w:ascii="Avenir Next" w:hAnsi="Avenir Next" w:cs="Arial"/>
          <w:color w:val="7B7B7B" w:themeColor="accent3" w:themeShade="BF"/>
          <w:sz w:val="22"/>
          <w:szCs w:val="22"/>
        </w:rPr>
        <w:t xml:space="preserve">. </w:t>
      </w:r>
      <w:r w:rsidR="0012735F">
        <w:rPr>
          <w:rFonts w:ascii="Avenir Next" w:hAnsi="Avenir Next" w:cs="Arial"/>
          <w:color w:val="7B7B7B" w:themeColor="accent3" w:themeShade="BF"/>
          <w:sz w:val="22"/>
          <w:szCs w:val="22"/>
        </w:rPr>
        <w:t xml:space="preserve">The bankruptcy court </w:t>
      </w:r>
      <w:r w:rsidR="00D3434E">
        <w:rPr>
          <w:rFonts w:ascii="Avenir Next" w:hAnsi="Avenir Next" w:cs="Arial"/>
          <w:color w:val="7B7B7B" w:themeColor="accent3" w:themeShade="BF"/>
          <w:sz w:val="22"/>
          <w:szCs w:val="22"/>
        </w:rPr>
        <w:t>considers</w:t>
      </w:r>
      <w:r w:rsidR="0012735F">
        <w:rPr>
          <w:rFonts w:ascii="Avenir Next" w:hAnsi="Avenir Next" w:cs="Arial"/>
          <w:color w:val="7B7B7B" w:themeColor="accent3" w:themeShade="BF"/>
          <w:sz w:val="22"/>
          <w:szCs w:val="22"/>
        </w:rPr>
        <w:t xml:space="preserve"> very specific factors </w:t>
      </w:r>
      <w:r w:rsidR="000C7B6C">
        <w:rPr>
          <w:rFonts w:ascii="Avenir Next" w:hAnsi="Avenir Next" w:cs="Arial"/>
          <w:color w:val="7B7B7B" w:themeColor="accent3" w:themeShade="BF"/>
          <w:sz w:val="22"/>
          <w:szCs w:val="22"/>
        </w:rPr>
        <w:t>when</w:t>
      </w:r>
      <w:r w:rsidR="0012735F">
        <w:rPr>
          <w:rFonts w:ascii="Avenir Next" w:hAnsi="Avenir Next" w:cs="Arial"/>
          <w:color w:val="7B7B7B" w:themeColor="accent3" w:themeShade="BF"/>
          <w:sz w:val="22"/>
          <w:szCs w:val="22"/>
        </w:rPr>
        <w:t xml:space="preserve"> </w:t>
      </w:r>
      <w:r w:rsidR="00AE19F2">
        <w:rPr>
          <w:rFonts w:ascii="Avenir Next" w:hAnsi="Avenir Next" w:cs="Arial"/>
          <w:color w:val="7B7B7B" w:themeColor="accent3" w:themeShade="BF"/>
          <w:sz w:val="22"/>
          <w:szCs w:val="22"/>
        </w:rPr>
        <w:t>assessing</w:t>
      </w:r>
      <w:r w:rsidR="0012735F">
        <w:rPr>
          <w:rFonts w:ascii="Avenir Next" w:hAnsi="Avenir Next" w:cs="Arial"/>
          <w:color w:val="7B7B7B" w:themeColor="accent3" w:themeShade="BF"/>
          <w:sz w:val="22"/>
          <w:szCs w:val="22"/>
        </w:rPr>
        <w:t xml:space="preserve"> </w:t>
      </w:r>
      <w:r w:rsidR="00D3434E" w:rsidRPr="00D3434E">
        <w:rPr>
          <w:rFonts w:ascii="Avenir Next" w:hAnsi="Avenir Next" w:cs="Arial"/>
          <w:color w:val="7B7B7B" w:themeColor="accent3" w:themeShade="BF"/>
          <w:sz w:val="22"/>
          <w:szCs w:val="22"/>
        </w:rPr>
        <w:t>the need to modify the stay in this context</w:t>
      </w:r>
      <w:r w:rsidR="00D3434E">
        <w:rPr>
          <w:rFonts w:ascii="Avenir Next" w:hAnsi="Avenir Next" w:cs="Arial"/>
          <w:color w:val="7B7B7B" w:themeColor="accent3" w:themeShade="BF"/>
          <w:sz w:val="22"/>
          <w:szCs w:val="22"/>
        </w:rPr>
        <w:t>.</w:t>
      </w:r>
    </w:p>
    <w:p w14:paraId="5C793B3F" w14:textId="3E7F4B81" w:rsidR="00E01803" w:rsidRDefault="00E01803" w:rsidP="000778B1">
      <w:pPr>
        <w:pStyle w:val="AODocTxt"/>
        <w:spacing w:before="0" w:line="240" w:lineRule="auto"/>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is a an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closures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2681D905" w14:textId="69E06AB1" w:rsidR="00C45186" w:rsidRDefault="00561DFF" w:rsidP="00F03051">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English scheme</w:t>
      </w:r>
      <w:r w:rsidR="00303DF7">
        <w:rPr>
          <w:rFonts w:ascii="Avenir Next" w:hAnsi="Avenir Next" w:cs="Arial"/>
          <w:color w:val="7B7B7B" w:themeColor="accent3" w:themeShade="BF"/>
          <w:sz w:val="22"/>
          <w:szCs w:val="22"/>
        </w:rPr>
        <w:t>s</w:t>
      </w:r>
      <w:r>
        <w:rPr>
          <w:rFonts w:ascii="Avenir Next" w:hAnsi="Avenir Next" w:cs="Arial"/>
          <w:color w:val="7B7B7B" w:themeColor="accent3" w:themeShade="BF"/>
          <w:sz w:val="22"/>
          <w:szCs w:val="22"/>
        </w:rPr>
        <w:t xml:space="preserve"> of arrangement have been an attractive solution </w:t>
      </w:r>
      <w:r w:rsidR="007F5D50">
        <w:rPr>
          <w:rFonts w:ascii="Avenir Next" w:hAnsi="Avenir Next" w:cs="Arial"/>
          <w:color w:val="7B7B7B" w:themeColor="accent3" w:themeShade="BF"/>
          <w:sz w:val="22"/>
          <w:szCs w:val="22"/>
        </w:rPr>
        <w:t>for</w:t>
      </w:r>
      <w:r>
        <w:rPr>
          <w:rFonts w:ascii="Avenir Next" w:hAnsi="Avenir Next" w:cs="Arial"/>
          <w:color w:val="7B7B7B" w:themeColor="accent3" w:themeShade="BF"/>
          <w:sz w:val="22"/>
          <w:szCs w:val="22"/>
        </w:rPr>
        <w:t xml:space="preserve"> distressed companies around the globe.</w:t>
      </w:r>
      <w:r w:rsidR="00474E2C">
        <w:rPr>
          <w:rFonts w:ascii="Avenir Next" w:hAnsi="Avenir Next" w:cs="Arial"/>
          <w:color w:val="7B7B7B" w:themeColor="accent3" w:themeShade="BF"/>
          <w:sz w:val="22"/>
          <w:szCs w:val="22"/>
        </w:rPr>
        <w:t xml:space="preserve"> </w:t>
      </w:r>
      <w:r w:rsidR="007F5D50">
        <w:rPr>
          <w:rFonts w:ascii="Avenir Next" w:hAnsi="Avenir Next" w:cs="Arial"/>
          <w:color w:val="7B7B7B" w:themeColor="accent3" w:themeShade="BF"/>
          <w:sz w:val="22"/>
          <w:szCs w:val="22"/>
        </w:rPr>
        <w:t xml:space="preserve">Over </w:t>
      </w:r>
      <w:r w:rsidR="00474E2C">
        <w:rPr>
          <w:rFonts w:ascii="Avenir Next" w:hAnsi="Avenir Next" w:cs="Arial"/>
          <w:color w:val="7B7B7B" w:themeColor="accent3" w:themeShade="BF"/>
          <w:sz w:val="22"/>
          <w:szCs w:val="22"/>
        </w:rPr>
        <w:t>the years</w:t>
      </w:r>
      <w:r w:rsidR="007F5D50">
        <w:rPr>
          <w:rFonts w:ascii="Avenir Next" w:hAnsi="Avenir Next" w:cs="Arial"/>
          <w:color w:val="7B7B7B" w:themeColor="accent3" w:themeShade="BF"/>
          <w:sz w:val="22"/>
          <w:szCs w:val="22"/>
        </w:rPr>
        <w:t>,</w:t>
      </w:r>
      <w:r w:rsidR="00474E2C">
        <w:rPr>
          <w:rFonts w:ascii="Avenir Next" w:hAnsi="Avenir Next" w:cs="Arial"/>
          <w:color w:val="7B7B7B" w:themeColor="accent3" w:themeShade="BF"/>
          <w:sz w:val="22"/>
          <w:szCs w:val="22"/>
        </w:rPr>
        <w:t xml:space="preserve"> English court</w:t>
      </w:r>
      <w:r w:rsidR="007A41C7">
        <w:rPr>
          <w:rFonts w:ascii="Avenir Next" w:hAnsi="Avenir Next" w:cs="Arial"/>
          <w:color w:val="7B7B7B" w:themeColor="accent3" w:themeShade="BF"/>
          <w:sz w:val="22"/>
          <w:szCs w:val="22"/>
        </w:rPr>
        <w:t>s</w:t>
      </w:r>
      <w:r w:rsidR="00474E2C">
        <w:rPr>
          <w:rFonts w:ascii="Avenir Next" w:hAnsi="Avenir Next" w:cs="Arial"/>
          <w:color w:val="7B7B7B" w:themeColor="accent3" w:themeShade="BF"/>
          <w:sz w:val="22"/>
          <w:szCs w:val="22"/>
        </w:rPr>
        <w:t xml:space="preserve"> have seen an increase in companies </w:t>
      </w:r>
      <w:r w:rsidR="009A7DB5">
        <w:rPr>
          <w:rFonts w:ascii="Avenir Next" w:hAnsi="Avenir Next" w:cs="Arial"/>
          <w:color w:val="7B7B7B" w:themeColor="accent3" w:themeShade="BF"/>
          <w:sz w:val="22"/>
          <w:szCs w:val="22"/>
        </w:rPr>
        <w:t xml:space="preserve">from </w:t>
      </w:r>
      <w:r w:rsidR="007F5D50">
        <w:rPr>
          <w:rFonts w:ascii="Avenir Next" w:hAnsi="Avenir Next" w:cs="Arial"/>
          <w:color w:val="7B7B7B" w:themeColor="accent3" w:themeShade="BF"/>
          <w:sz w:val="22"/>
          <w:szCs w:val="22"/>
        </w:rPr>
        <w:t>overseas</w:t>
      </w:r>
      <w:r w:rsidR="007A41C7">
        <w:rPr>
          <w:rFonts w:ascii="Avenir Next" w:hAnsi="Avenir Next" w:cs="Arial"/>
          <w:color w:val="7B7B7B" w:themeColor="accent3" w:themeShade="BF"/>
          <w:sz w:val="22"/>
          <w:szCs w:val="22"/>
        </w:rPr>
        <w:t xml:space="preserve"> </w:t>
      </w:r>
      <w:r w:rsidR="007F5D50">
        <w:rPr>
          <w:rFonts w:ascii="Avenir Next" w:hAnsi="Avenir Next" w:cs="Arial"/>
          <w:color w:val="7B7B7B" w:themeColor="accent3" w:themeShade="BF"/>
          <w:sz w:val="22"/>
          <w:szCs w:val="22"/>
        </w:rPr>
        <w:t xml:space="preserve">opting for </w:t>
      </w:r>
      <w:r w:rsidR="00474E2C">
        <w:rPr>
          <w:rFonts w:ascii="Avenir Next" w:hAnsi="Avenir Next" w:cs="Arial"/>
          <w:color w:val="7B7B7B" w:themeColor="accent3" w:themeShade="BF"/>
          <w:sz w:val="22"/>
          <w:szCs w:val="22"/>
        </w:rPr>
        <w:t>scheme</w:t>
      </w:r>
      <w:r w:rsidR="007A41C7">
        <w:rPr>
          <w:rFonts w:ascii="Avenir Next" w:hAnsi="Avenir Next" w:cs="Arial"/>
          <w:color w:val="7B7B7B" w:themeColor="accent3" w:themeShade="BF"/>
          <w:sz w:val="22"/>
          <w:szCs w:val="22"/>
        </w:rPr>
        <w:t>s</w:t>
      </w:r>
      <w:r w:rsidR="00474E2C">
        <w:rPr>
          <w:rFonts w:ascii="Avenir Next" w:hAnsi="Avenir Next" w:cs="Arial"/>
          <w:color w:val="7B7B7B" w:themeColor="accent3" w:themeShade="BF"/>
          <w:sz w:val="22"/>
          <w:szCs w:val="22"/>
        </w:rPr>
        <w:t xml:space="preserve"> of arrangement</w:t>
      </w:r>
      <w:r w:rsidR="007F5D50">
        <w:rPr>
          <w:rFonts w:ascii="Avenir Next" w:hAnsi="Avenir Next" w:cs="Arial"/>
          <w:color w:val="7B7B7B" w:themeColor="accent3" w:themeShade="BF"/>
          <w:sz w:val="22"/>
          <w:szCs w:val="22"/>
        </w:rPr>
        <w:t xml:space="preserve"> governed by English law.</w:t>
      </w:r>
    </w:p>
    <w:p w14:paraId="7390593A" w14:textId="77777777" w:rsidR="00C45186" w:rsidRDefault="00C45186" w:rsidP="00F03051">
      <w:pPr>
        <w:jc w:val="both"/>
        <w:rPr>
          <w:rFonts w:ascii="Avenir Next" w:hAnsi="Avenir Next" w:cs="Arial"/>
          <w:color w:val="7B7B7B" w:themeColor="accent3" w:themeShade="BF"/>
          <w:sz w:val="22"/>
          <w:szCs w:val="22"/>
        </w:rPr>
      </w:pPr>
    </w:p>
    <w:p w14:paraId="03DCCD31" w14:textId="586DAE05" w:rsidR="008B23EB" w:rsidRDefault="00955420" w:rsidP="00F03051">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streamlined procedure established under Chapter 15 proceedings in the US Code comprise</w:t>
      </w:r>
      <w:r w:rsidR="007F7932">
        <w:rPr>
          <w:rFonts w:ascii="Avenir Next" w:hAnsi="Avenir Next" w:cs="Arial"/>
          <w:color w:val="7B7B7B" w:themeColor="accent3" w:themeShade="BF"/>
          <w:sz w:val="22"/>
          <w:szCs w:val="22"/>
        </w:rPr>
        <w:t xml:space="preserve">s </w:t>
      </w:r>
      <w:r w:rsidR="001E3B95">
        <w:rPr>
          <w:rFonts w:ascii="Avenir Next" w:hAnsi="Avenir Next" w:cs="Arial"/>
          <w:color w:val="7B7B7B" w:themeColor="accent3" w:themeShade="BF"/>
          <w:sz w:val="22"/>
          <w:szCs w:val="22"/>
        </w:rPr>
        <w:t xml:space="preserve">the filing of a petition with primary scope the recognition of a foreign proceeding on US territory. As there is no creation of any insolvency estate, the proceeding is considered ancillary by US law. </w:t>
      </w:r>
      <w:r w:rsidR="000E1B87">
        <w:rPr>
          <w:rFonts w:ascii="Avenir Next" w:hAnsi="Avenir Next" w:cs="Arial"/>
          <w:color w:val="7B7B7B" w:themeColor="accent3" w:themeShade="BF"/>
          <w:sz w:val="22"/>
          <w:szCs w:val="22"/>
        </w:rPr>
        <w:t xml:space="preserve">An automatic stay is granted only upon recognition of a foreign main proceeding and, generally speaking, regardless of whether the stay is interim, automatic or discretional, it </w:t>
      </w:r>
      <w:r w:rsidR="00B72502">
        <w:rPr>
          <w:rFonts w:ascii="Avenir Next" w:hAnsi="Avenir Next" w:cs="Arial"/>
          <w:color w:val="7B7B7B" w:themeColor="accent3" w:themeShade="BF"/>
          <w:sz w:val="22"/>
          <w:szCs w:val="22"/>
        </w:rPr>
        <w:t>only</w:t>
      </w:r>
      <w:r w:rsidR="000E1B87">
        <w:rPr>
          <w:rFonts w:ascii="Avenir Next" w:hAnsi="Avenir Next" w:cs="Arial"/>
          <w:color w:val="7B7B7B" w:themeColor="accent3" w:themeShade="BF"/>
          <w:sz w:val="22"/>
          <w:szCs w:val="22"/>
        </w:rPr>
        <w:t xml:space="preserve"> refers to assets within the US </w:t>
      </w:r>
      <w:r w:rsidR="005E3BCB">
        <w:rPr>
          <w:rFonts w:ascii="Avenir Next" w:hAnsi="Avenir Next" w:cs="Arial"/>
          <w:color w:val="7B7B7B" w:themeColor="accent3" w:themeShade="BF"/>
          <w:sz w:val="22"/>
          <w:szCs w:val="22"/>
        </w:rPr>
        <w:t>jurisdiction</w:t>
      </w:r>
      <w:r w:rsidR="00C908DE">
        <w:rPr>
          <w:rFonts w:ascii="Avenir Next" w:hAnsi="Avenir Next" w:cs="Arial"/>
          <w:color w:val="7B7B7B" w:themeColor="accent3" w:themeShade="BF"/>
          <w:sz w:val="22"/>
          <w:szCs w:val="22"/>
        </w:rPr>
        <w:t xml:space="preserve">. </w:t>
      </w:r>
      <w:r w:rsidR="00462F7E">
        <w:rPr>
          <w:rFonts w:ascii="Avenir Next" w:hAnsi="Avenir Next" w:cs="Arial"/>
          <w:color w:val="7B7B7B" w:themeColor="accent3" w:themeShade="BF"/>
          <w:sz w:val="22"/>
          <w:szCs w:val="22"/>
        </w:rPr>
        <w:t xml:space="preserve">An interim stay or other assistance may be granted by the Bankruptcy Court </w:t>
      </w:r>
      <w:r w:rsidR="00816DB6">
        <w:rPr>
          <w:rFonts w:ascii="Avenir Next" w:hAnsi="Avenir Next" w:cs="Arial"/>
          <w:color w:val="7B7B7B" w:themeColor="accent3" w:themeShade="BF"/>
          <w:sz w:val="22"/>
          <w:szCs w:val="22"/>
        </w:rPr>
        <w:t>for the pe</w:t>
      </w:r>
      <w:r w:rsidR="00462F7E">
        <w:rPr>
          <w:rFonts w:ascii="Avenir Next" w:hAnsi="Avenir Next" w:cs="Arial"/>
          <w:color w:val="7B7B7B" w:themeColor="accent3" w:themeShade="BF"/>
          <w:sz w:val="22"/>
          <w:szCs w:val="22"/>
        </w:rPr>
        <w:t xml:space="preserve">riod </w:t>
      </w:r>
      <w:r w:rsidR="00816DB6">
        <w:rPr>
          <w:rFonts w:ascii="Avenir Next" w:hAnsi="Avenir Next" w:cs="Arial"/>
          <w:color w:val="7B7B7B" w:themeColor="accent3" w:themeShade="BF"/>
          <w:sz w:val="22"/>
          <w:szCs w:val="22"/>
        </w:rPr>
        <w:t>between the</w:t>
      </w:r>
      <w:r w:rsidR="00462F7E">
        <w:rPr>
          <w:rFonts w:ascii="Avenir Next" w:hAnsi="Avenir Next" w:cs="Arial"/>
          <w:color w:val="7B7B7B" w:themeColor="accent3" w:themeShade="BF"/>
          <w:sz w:val="22"/>
          <w:szCs w:val="22"/>
        </w:rPr>
        <w:t xml:space="preserve"> filing of the petition and the recognition decision. </w:t>
      </w:r>
      <w:r w:rsidR="005925FE">
        <w:rPr>
          <w:rFonts w:ascii="Avenir Next" w:hAnsi="Avenir Next" w:cs="Arial"/>
          <w:color w:val="7B7B7B" w:themeColor="accent3" w:themeShade="BF"/>
          <w:sz w:val="22"/>
          <w:szCs w:val="22"/>
        </w:rPr>
        <w:t xml:space="preserve">Post-recognition stay or other assistance are also available. </w:t>
      </w:r>
      <w:r w:rsidR="002E6C93">
        <w:rPr>
          <w:rFonts w:ascii="Avenir Next" w:hAnsi="Avenir Next" w:cs="Arial"/>
          <w:color w:val="7B7B7B" w:themeColor="accent3" w:themeShade="BF"/>
          <w:sz w:val="22"/>
          <w:szCs w:val="22"/>
        </w:rPr>
        <w:t xml:space="preserve">Pre-recognition and post-recognition relief may </w:t>
      </w:r>
      <w:r w:rsidR="00E419D1">
        <w:rPr>
          <w:rFonts w:ascii="Avenir Next" w:hAnsi="Avenir Next" w:cs="Arial"/>
          <w:color w:val="7B7B7B" w:themeColor="accent3" w:themeShade="BF"/>
          <w:sz w:val="22"/>
          <w:szCs w:val="22"/>
        </w:rPr>
        <w:t xml:space="preserve">also </w:t>
      </w:r>
      <w:r w:rsidR="002E6C93">
        <w:rPr>
          <w:rFonts w:ascii="Avenir Next" w:hAnsi="Avenir Next" w:cs="Arial"/>
          <w:color w:val="7B7B7B" w:themeColor="accent3" w:themeShade="BF"/>
          <w:sz w:val="22"/>
          <w:szCs w:val="22"/>
        </w:rPr>
        <w:t>be granted for a foreign non-</w:t>
      </w:r>
      <w:r w:rsidR="00E419D1">
        <w:rPr>
          <w:rFonts w:ascii="Avenir Next" w:hAnsi="Avenir Next" w:cs="Arial"/>
          <w:color w:val="7B7B7B" w:themeColor="accent3" w:themeShade="BF"/>
          <w:sz w:val="22"/>
          <w:szCs w:val="22"/>
        </w:rPr>
        <w:t xml:space="preserve">main </w:t>
      </w:r>
      <w:r w:rsidR="002E6C93">
        <w:rPr>
          <w:rFonts w:ascii="Avenir Next" w:hAnsi="Avenir Next" w:cs="Arial"/>
          <w:color w:val="7B7B7B" w:themeColor="accent3" w:themeShade="BF"/>
          <w:sz w:val="22"/>
          <w:szCs w:val="22"/>
        </w:rPr>
        <w:t>proceeding</w:t>
      </w:r>
      <w:r w:rsidR="002B3E29">
        <w:rPr>
          <w:rFonts w:ascii="Avenir Next" w:hAnsi="Avenir Next" w:cs="Arial"/>
          <w:color w:val="7B7B7B" w:themeColor="accent3" w:themeShade="BF"/>
          <w:sz w:val="22"/>
          <w:szCs w:val="22"/>
        </w:rPr>
        <w:t>.</w:t>
      </w:r>
      <w:r w:rsidR="002E6C93">
        <w:rPr>
          <w:rFonts w:ascii="Avenir Next" w:hAnsi="Avenir Next" w:cs="Arial"/>
          <w:color w:val="7B7B7B" w:themeColor="accent3" w:themeShade="BF"/>
          <w:sz w:val="22"/>
          <w:szCs w:val="22"/>
        </w:rPr>
        <w:t xml:space="preserve"> </w:t>
      </w:r>
      <w:r w:rsidR="00405155">
        <w:rPr>
          <w:rFonts w:ascii="Avenir Next" w:hAnsi="Avenir Next" w:cs="Arial"/>
          <w:color w:val="7B7B7B" w:themeColor="accent3" w:themeShade="BF"/>
          <w:sz w:val="22"/>
          <w:szCs w:val="22"/>
        </w:rPr>
        <w:t xml:space="preserve">The foreign representative is the crucial </w:t>
      </w:r>
      <w:r w:rsidR="002411DF">
        <w:rPr>
          <w:rFonts w:ascii="Avenir Next" w:hAnsi="Avenir Next" w:cs="Arial"/>
          <w:color w:val="7B7B7B" w:themeColor="accent3" w:themeShade="BF"/>
          <w:sz w:val="22"/>
          <w:szCs w:val="22"/>
        </w:rPr>
        <w:t>f</w:t>
      </w:r>
      <w:r w:rsidR="00405155">
        <w:rPr>
          <w:rFonts w:ascii="Avenir Next" w:hAnsi="Avenir Next" w:cs="Arial"/>
          <w:color w:val="7B7B7B" w:themeColor="accent3" w:themeShade="BF"/>
          <w:sz w:val="22"/>
          <w:szCs w:val="22"/>
        </w:rPr>
        <w:t xml:space="preserve">actor </w:t>
      </w:r>
      <w:r w:rsidR="002411DF">
        <w:rPr>
          <w:rFonts w:ascii="Avenir Next" w:hAnsi="Avenir Next" w:cs="Arial"/>
          <w:color w:val="7B7B7B" w:themeColor="accent3" w:themeShade="BF"/>
          <w:sz w:val="22"/>
          <w:szCs w:val="22"/>
        </w:rPr>
        <w:t>in terms of</w:t>
      </w:r>
      <w:r w:rsidR="004503E8">
        <w:rPr>
          <w:rFonts w:ascii="Avenir Next" w:hAnsi="Avenir Next" w:cs="Arial"/>
          <w:color w:val="7B7B7B" w:themeColor="accent3" w:themeShade="BF"/>
          <w:sz w:val="22"/>
          <w:szCs w:val="22"/>
        </w:rPr>
        <w:t xml:space="preserve"> </w:t>
      </w:r>
      <w:r w:rsidR="00405155">
        <w:rPr>
          <w:rFonts w:ascii="Avenir Next" w:hAnsi="Avenir Next" w:cs="Arial"/>
          <w:color w:val="7B7B7B" w:themeColor="accent3" w:themeShade="BF"/>
          <w:sz w:val="22"/>
          <w:szCs w:val="22"/>
        </w:rPr>
        <w:t xml:space="preserve">filing </w:t>
      </w:r>
      <w:r w:rsidR="002411DF">
        <w:rPr>
          <w:rFonts w:ascii="Avenir Next" w:hAnsi="Avenir Next" w:cs="Arial"/>
          <w:color w:val="7B7B7B" w:themeColor="accent3" w:themeShade="BF"/>
          <w:sz w:val="22"/>
          <w:szCs w:val="22"/>
        </w:rPr>
        <w:t>the</w:t>
      </w:r>
      <w:r w:rsidR="00405155">
        <w:rPr>
          <w:rFonts w:ascii="Avenir Next" w:hAnsi="Avenir Next" w:cs="Arial"/>
          <w:color w:val="7B7B7B" w:themeColor="accent3" w:themeShade="BF"/>
          <w:sz w:val="22"/>
          <w:szCs w:val="22"/>
        </w:rPr>
        <w:t xml:space="preserve"> Chapter 15 petition and monitoring the administration of </w:t>
      </w:r>
      <w:r w:rsidR="002411DF">
        <w:rPr>
          <w:rFonts w:ascii="Avenir Next" w:hAnsi="Avenir Next" w:cs="Arial"/>
          <w:color w:val="7B7B7B" w:themeColor="accent3" w:themeShade="BF"/>
          <w:sz w:val="22"/>
          <w:szCs w:val="22"/>
        </w:rPr>
        <w:t xml:space="preserve">the </w:t>
      </w:r>
      <w:r w:rsidR="00405155">
        <w:rPr>
          <w:rFonts w:ascii="Avenir Next" w:hAnsi="Avenir Next" w:cs="Arial"/>
          <w:color w:val="7B7B7B" w:themeColor="accent3" w:themeShade="BF"/>
          <w:sz w:val="22"/>
          <w:szCs w:val="22"/>
        </w:rPr>
        <w:t>debtor’s assets on US territory after recognition</w:t>
      </w:r>
      <w:r w:rsidR="002411DF">
        <w:rPr>
          <w:rFonts w:ascii="Avenir Next" w:hAnsi="Avenir Next" w:cs="Arial"/>
          <w:color w:val="7B7B7B" w:themeColor="accent3" w:themeShade="BF"/>
          <w:sz w:val="22"/>
          <w:szCs w:val="22"/>
        </w:rPr>
        <w:t>.</w:t>
      </w:r>
    </w:p>
    <w:p w14:paraId="24BC9152" w14:textId="711FC6E2" w:rsidR="0013230F" w:rsidRDefault="0013230F" w:rsidP="00F03051">
      <w:pPr>
        <w:jc w:val="both"/>
        <w:rPr>
          <w:rFonts w:ascii="Avenir Next" w:hAnsi="Avenir Next" w:cs="Arial"/>
          <w:color w:val="7B7B7B" w:themeColor="accent3" w:themeShade="BF"/>
          <w:sz w:val="22"/>
          <w:szCs w:val="22"/>
        </w:rPr>
      </w:pPr>
    </w:p>
    <w:p w14:paraId="6B1DD2F8" w14:textId="053266EF" w:rsidR="0013230F" w:rsidRPr="007251BF" w:rsidRDefault="0013230F" w:rsidP="007251BF">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requirements set forth </w:t>
      </w:r>
      <w:r w:rsidR="001D19FD">
        <w:rPr>
          <w:rFonts w:ascii="Avenir Next" w:hAnsi="Avenir Next" w:cs="Arial"/>
          <w:color w:val="7B7B7B" w:themeColor="accent3" w:themeShade="BF"/>
          <w:sz w:val="22"/>
          <w:szCs w:val="22"/>
        </w:rPr>
        <w:t>in</w:t>
      </w:r>
      <w:r>
        <w:rPr>
          <w:rFonts w:ascii="Avenir Next" w:hAnsi="Avenir Next" w:cs="Arial"/>
          <w:color w:val="7B7B7B" w:themeColor="accent3" w:themeShade="BF"/>
          <w:sz w:val="22"/>
          <w:szCs w:val="22"/>
        </w:rPr>
        <w:t xml:space="preserve"> </w:t>
      </w:r>
      <w:r w:rsidR="001D19FD">
        <w:rPr>
          <w:rFonts w:ascii="Avenir Next" w:hAnsi="Avenir Next" w:cs="Arial"/>
          <w:color w:val="7B7B7B" w:themeColor="accent3" w:themeShade="BF"/>
          <w:sz w:val="22"/>
          <w:szCs w:val="22"/>
        </w:rPr>
        <w:t>S</w:t>
      </w:r>
      <w:r>
        <w:rPr>
          <w:rFonts w:ascii="Avenir Next" w:hAnsi="Avenir Next" w:cs="Arial"/>
          <w:color w:val="7B7B7B" w:themeColor="accent3" w:themeShade="BF"/>
          <w:sz w:val="22"/>
          <w:szCs w:val="22"/>
        </w:rPr>
        <w:t xml:space="preserve">ection 1515 </w:t>
      </w:r>
      <w:r w:rsidR="009E6171">
        <w:rPr>
          <w:rFonts w:ascii="Avenir Next" w:hAnsi="Avenir Next" w:cs="Arial"/>
          <w:color w:val="7B7B7B" w:themeColor="accent3" w:themeShade="BF"/>
          <w:sz w:val="22"/>
          <w:szCs w:val="22"/>
        </w:rPr>
        <w:t xml:space="preserve">of the US Bankruptcy Code include </w:t>
      </w:r>
      <w:r w:rsidR="00E13648">
        <w:rPr>
          <w:rFonts w:ascii="Avenir Next" w:hAnsi="Avenir Next" w:cs="Arial"/>
          <w:color w:val="7B7B7B" w:themeColor="accent3" w:themeShade="BF"/>
          <w:sz w:val="22"/>
          <w:szCs w:val="22"/>
        </w:rPr>
        <w:t>the establishment</w:t>
      </w:r>
      <w:r w:rsidR="009E6171">
        <w:rPr>
          <w:rFonts w:ascii="Avenir Next" w:hAnsi="Avenir Next" w:cs="Arial"/>
          <w:color w:val="7B7B7B" w:themeColor="accent3" w:themeShade="BF"/>
          <w:sz w:val="22"/>
          <w:szCs w:val="22"/>
        </w:rPr>
        <w:t xml:space="preserve"> </w:t>
      </w:r>
      <w:r w:rsidR="00E13648">
        <w:rPr>
          <w:rFonts w:ascii="Avenir Next" w:hAnsi="Avenir Next" w:cs="Arial"/>
          <w:color w:val="7B7B7B" w:themeColor="accent3" w:themeShade="BF"/>
          <w:sz w:val="22"/>
          <w:szCs w:val="22"/>
        </w:rPr>
        <w:t>by the</w:t>
      </w:r>
      <w:r w:rsidR="009E6171">
        <w:rPr>
          <w:rFonts w:ascii="Avenir Next" w:hAnsi="Avenir Next" w:cs="Arial"/>
          <w:color w:val="7B7B7B" w:themeColor="accent3" w:themeShade="BF"/>
          <w:sz w:val="22"/>
          <w:szCs w:val="22"/>
        </w:rPr>
        <w:t xml:space="preserve"> foreign represent</w:t>
      </w:r>
      <w:r w:rsidR="006D36F2">
        <w:rPr>
          <w:rFonts w:ascii="Avenir Next" w:hAnsi="Avenir Next" w:cs="Arial"/>
          <w:color w:val="7B7B7B" w:themeColor="accent3" w:themeShade="BF"/>
          <w:sz w:val="22"/>
          <w:szCs w:val="22"/>
        </w:rPr>
        <w:t>a</w:t>
      </w:r>
      <w:r w:rsidR="009E6171">
        <w:rPr>
          <w:rFonts w:ascii="Avenir Next" w:hAnsi="Avenir Next" w:cs="Arial"/>
          <w:color w:val="7B7B7B" w:themeColor="accent3" w:themeShade="BF"/>
          <w:sz w:val="22"/>
          <w:szCs w:val="22"/>
        </w:rPr>
        <w:t xml:space="preserve">tive </w:t>
      </w:r>
      <w:r w:rsidR="00E13648">
        <w:rPr>
          <w:rFonts w:ascii="Avenir Next" w:hAnsi="Avenir Next" w:cs="Arial"/>
          <w:color w:val="7B7B7B" w:themeColor="accent3" w:themeShade="BF"/>
          <w:sz w:val="22"/>
          <w:szCs w:val="22"/>
        </w:rPr>
        <w:t xml:space="preserve">of </w:t>
      </w:r>
      <w:r w:rsidR="009E6171">
        <w:rPr>
          <w:rFonts w:ascii="Avenir Next" w:hAnsi="Avenir Next" w:cs="Arial"/>
          <w:color w:val="7B7B7B" w:themeColor="accent3" w:themeShade="BF"/>
          <w:sz w:val="22"/>
          <w:szCs w:val="22"/>
        </w:rPr>
        <w:t>the existence of a foreign proceeding that is pending</w:t>
      </w:r>
      <w:r w:rsidR="006D36F2">
        <w:rPr>
          <w:rFonts w:ascii="Avenir Next" w:hAnsi="Avenir Next" w:cs="Arial"/>
          <w:color w:val="7B7B7B" w:themeColor="accent3" w:themeShade="BF"/>
          <w:sz w:val="22"/>
          <w:szCs w:val="22"/>
        </w:rPr>
        <w:t xml:space="preserve"> and that the foreign representative is authorized to ac</w:t>
      </w:r>
      <w:r w:rsidR="007126FB">
        <w:rPr>
          <w:rFonts w:ascii="Avenir Next" w:hAnsi="Avenir Next" w:cs="Arial"/>
          <w:color w:val="7B7B7B" w:themeColor="accent3" w:themeShade="BF"/>
          <w:sz w:val="22"/>
          <w:szCs w:val="22"/>
        </w:rPr>
        <w:t xml:space="preserve">t. </w:t>
      </w:r>
      <w:r w:rsidR="007263BE">
        <w:rPr>
          <w:rFonts w:ascii="Avenir Next" w:hAnsi="Avenir Next" w:cs="Arial"/>
          <w:color w:val="7B7B7B" w:themeColor="accent3" w:themeShade="BF"/>
          <w:sz w:val="22"/>
          <w:szCs w:val="22"/>
        </w:rPr>
        <w:t xml:space="preserve">Chapter 15 proceedings may not be initiated </w:t>
      </w:r>
      <w:r w:rsidR="001D19FD">
        <w:rPr>
          <w:rFonts w:ascii="Avenir Next" w:hAnsi="Avenir Next" w:cs="Arial"/>
          <w:color w:val="7B7B7B" w:themeColor="accent3" w:themeShade="BF"/>
          <w:sz w:val="22"/>
          <w:szCs w:val="22"/>
        </w:rPr>
        <w:t>where they relate</w:t>
      </w:r>
      <w:r w:rsidR="007263BE">
        <w:rPr>
          <w:rFonts w:ascii="Avenir Next" w:hAnsi="Avenir Next" w:cs="Arial"/>
          <w:color w:val="7B7B7B" w:themeColor="accent3" w:themeShade="BF"/>
          <w:sz w:val="22"/>
          <w:szCs w:val="22"/>
        </w:rPr>
        <w:t xml:space="preserve"> to particular persons that are exempted from Chapter 7 or are included in Chapter 13 or even concern “</w:t>
      </w:r>
      <w:r w:rsidR="007263BE" w:rsidRPr="007263BE">
        <w:rPr>
          <w:rFonts w:ascii="Avenir Next" w:hAnsi="Avenir Next" w:cs="Arial"/>
          <w:color w:val="7B7B7B" w:themeColor="accent3" w:themeShade="BF"/>
          <w:sz w:val="22"/>
          <w:szCs w:val="22"/>
        </w:rPr>
        <w:t>an entity subject to a proceeding under the Securities Investor Protection Act of 1970, a stockbroker subject to subchapter III of chapter 7 of this title, or a commodity broker subject to subchapter IV of chapter 7 of this title</w:t>
      </w:r>
      <w:r w:rsidR="007263BE">
        <w:rPr>
          <w:rFonts w:ascii="Avenir Next" w:hAnsi="Avenir Next" w:cs="Arial"/>
          <w:color w:val="7B7B7B" w:themeColor="accent3" w:themeShade="BF"/>
          <w:sz w:val="22"/>
          <w:szCs w:val="22"/>
        </w:rPr>
        <w:t>”</w:t>
      </w:r>
      <w:r w:rsidR="005A2D0D">
        <w:rPr>
          <w:rFonts w:ascii="Avenir Next" w:hAnsi="Avenir Next" w:cs="Arial"/>
          <w:color w:val="7B7B7B" w:themeColor="accent3" w:themeShade="BF"/>
          <w:sz w:val="22"/>
          <w:szCs w:val="22"/>
        </w:rPr>
        <w:t xml:space="preserve"> (11 USC, </w:t>
      </w:r>
      <w:r w:rsidR="005A2D0D" w:rsidRPr="005A2D0D">
        <w:rPr>
          <w:rFonts w:ascii="Avenir Next" w:hAnsi="Avenir Next" w:cs="Arial"/>
          <w:color w:val="7B7B7B" w:themeColor="accent3" w:themeShade="BF"/>
          <w:sz w:val="22"/>
          <w:szCs w:val="22"/>
        </w:rPr>
        <w:t>§</w:t>
      </w:r>
      <w:r w:rsidR="005A2D0D">
        <w:rPr>
          <w:rFonts w:ascii="Avenir Next" w:hAnsi="Avenir Next" w:cs="Arial"/>
          <w:color w:val="7B7B7B" w:themeColor="accent3" w:themeShade="BF"/>
          <w:sz w:val="22"/>
          <w:szCs w:val="22"/>
        </w:rPr>
        <w:t>1501(c))</w:t>
      </w:r>
      <w:r w:rsidR="007263BE" w:rsidRPr="007263BE">
        <w:rPr>
          <w:rFonts w:ascii="Avenir Next" w:hAnsi="Avenir Next" w:cs="Arial"/>
          <w:color w:val="7B7B7B" w:themeColor="accent3" w:themeShade="BF"/>
          <w:sz w:val="22"/>
          <w:szCs w:val="22"/>
        </w:rPr>
        <w:t>.</w:t>
      </w:r>
      <w:r w:rsidR="005A2D0D">
        <w:rPr>
          <w:rFonts w:ascii="Avenir Next" w:hAnsi="Avenir Next" w:cs="Arial"/>
          <w:color w:val="7B7B7B" w:themeColor="accent3" w:themeShade="BF"/>
          <w:sz w:val="22"/>
          <w:szCs w:val="22"/>
        </w:rPr>
        <w:t xml:space="preserve"> </w:t>
      </w:r>
      <w:r w:rsidR="00447E97">
        <w:rPr>
          <w:rFonts w:ascii="Avenir Next" w:hAnsi="Avenir Next" w:cs="Arial"/>
          <w:color w:val="7B7B7B" w:themeColor="accent3" w:themeShade="BF"/>
          <w:sz w:val="22"/>
          <w:szCs w:val="22"/>
        </w:rPr>
        <w:t>Most important, f</w:t>
      </w:r>
      <w:r w:rsidR="00997EA2">
        <w:rPr>
          <w:rFonts w:ascii="Avenir Next" w:hAnsi="Avenir Next" w:cs="Arial"/>
          <w:color w:val="7B7B7B" w:themeColor="accent3" w:themeShade="BF"/>
          <w:sz w:val="22"/>
          <w:szCs w:val="22"/>
        </w:rPr>
        <w:t xml:space="preserve">or the recognition of a foreign proceeding there is no need that the proceeding </w:t>
      </w:r>
      <w:r w:rsidR="004B294B">
        <w:rPr>
          <w:rFonts w:ascii="Avenir Next" w:hAnsi="Avenir Next" w:cs="Arial"/>
          <w:color w:val="7B7B7B" w:themeColor="accent3" w:themeShade="BF"/>
          <w:sz w:val="22"/>
          <w:szCs w:val="22"/>
        </w:rPr>
        <w:t xml:space="preserve">itself </w:t>
      </w:r>
      <w:r w:rsidR="00997EA2">
        <w:rPr>
          <w:rFonts w:ascii="Avenir Next" w:hAnsi="Avenir Next" w:cs="Arial"/>
          <w:color w:val="7B7B7B" w:themeColor="accent3" w:themeShade="BF"/>
          <w:sz w:val="22"/>
          <w:szCs w:val="22"/>
        </w:rPr>
        <w:t xml:space="preserve">resembles a US bankruptcy. </w:t>
      </w:r>
      <w:r w:rsidR="00B2483D">
        <w:rPr>
          <w:rFonts w:ascii="Avenir Next" w:hAnsi="Avenir Next" w:cs="Arial"/>
          <w:color w:val="7B7B7B" w:themeColor="accent3" w:themeShade="BF"/>
          <w:sz w:val="22"/>
          <w:szCs w:val="22"/>
        </w:rPr>
        <w:t>In section 101(23), a foreign proceeding is defined as “</w:t>
      </w:r>
      <w:r w:rsidR="00B2483D" w:rsidRPr="00B2483D">
        <w:rPr>
          <w:rFonts w:ascii="Avenir Next" w:hAnsi="Avenir Next" w:cs="Arial"/>
          <w:color w:val="7B7B7B" w:themeColor="accent3" w:themeShade="BF"/>
          <w:sz w:val="22"/>
          <w:szCs w:val="22"/>
        </w:rPr>
        <w:t>collective judicial or administrative proceeding in a foreign country, including an interim proceeding, under a law relating to insolvency or adjustment of debt in which proceeding the assets and affairs of the debtor are subject to control or supervision by a foreign court, for the purpose of reorganization or liquidation</w:t>
      </w:r>
      <w:r w:rsidR="00B2483D">
        <w:rPr>
          <w:rFonts w:ascii="Avenir Next" w:hAnsi="Avenir Next" w:cs="Arial"/>
          <w:color w:val="7B7B7B" w:themeColor="accent3" w:themeShade="BF"/>
          <w:sz w:val="22"/>
          <w:szCs w:val="22"/>
        </w:rPr>
        <w:t xml:space="preserve">”. </w:t>
      </w:r>
      <w:r w:rsidR="001F1522">
        <w:rPr>
          <w:rFonts w:ascii="Avenir Next" w:hAnsi="Avenir Next" w:cs="Arial"/>
          <w:color w:val="7B7B7B" w:themeColor="accent3" w:themeShade="BF"/>
          <w:sz w:val="22"/>
          <w:szCs w:val="22"/>
        </w:rPr>
        <w:t xml:space="preserve">In accordance with this definition, </w:t>
      </w:r>
      <w:r w:rsidR="008F102B">
        <w:rPr>
          <w:rFonts w:ascii="Avenir Next" w:hAnsi="Avenir Next" w:cs="Arial"/>
          <w:color w:val="7B7B7B" w:themeColor="accent3" w:themeShade="BF"/>
          <w:sz w:val="22"/>
          <w:szCs w:val="22"/>
        </w:rPr>
        <w:t xml:space="preserve">foreign </w:t>
      </w:r>
      <w:r w:rsidR="001F1522">
        <w:rPr>
          <w:rFonts w:ascii="Avenir Next" w:hAnsi="Avenir Next" w:cs="Arial"/>
          <w:color w:val="7B7B7B" w:themeColor="accent3" w:themeShade="BF"/>
          <w:sz w:val="22"/>
          <w:szCs w:val="22"/>
        </w:rPr>
        <w:t xml:space="preserve">proceedings </w:t>
      </w:r>
      <w:r w:rsidR="000E23FC">
        <w:rPr>
          <w:rFonts w:ascii="Avenir Next" w:hAnsi="Avenir Next" w:cs="Arial"/>
          <w:color w:val="7B7B7B" w:themeColor="accent3" w:themeShade="BF"/>
          <w:sz w:val="22"/>
          <w:szCs w:val="22"/>
        </w:rPr>
        <w:t>have been</w:t>
      </w:r>
      <w:r w:rsidR="001F1522">
        <w:rPr>
          <w:rFonts w:ascii="Avenir Next" w:hAnsi="Avenir Next" w:cs="Arial"/>
          <w:color w:val="7B7B7B" w:themeColor="accent3" w:themeShade="BF"/>
          <w:sz w:val="22"/>
          <w:szCs w:val="22"/>
        </w:rPr>
        <w:t xml:space="preserve"> recognized </w:t>
      </w:r>
      <w:r w:rsidR="00DA2857">
        <w:rPr>
          <w:rFonts w:ascii="Avenir Next" w:hAnsi="Avenir Next" w:cs="Arial"/>
          <w:color w:val="7B7B7B" w:themeColor="accent3" w:themeShade="BF"/>
          <w:sz w:val="22"/>
          <w:szCs w:val="22"/>
        </w:rPr>
        <w:t xml:space="preserve">in the US </w:t>
      </w:r>
      <w:r w:rsidR="001F1522">
        <w:rPr>
          <w:rFonts w:ascii="Avenir Next" w:hAnsi="Avenir Next" w:cs="Arial"/>
          <w:color w:val="7B7B7B" w:themeColor="accent3" w:themeShade="BF"/>
          <w:sz w:val="22"/>
          <w:szCs w:val="22"/>
        </w:rPr>
        <w:t>notwithstanding their diverse and unique characteristics. English schemes of arrangement, creditor-appointed receivers under Australian law or “</w:t>
      </w:r>
      <w:proofErr w:type="spellStart"/>
      <w:r w:rsidR="001F1522">
        <w:rPr>
          <w:rFonts w:ascii="Avenir Next" w:hAnsi="Avenir Next" w:cs="Arial"/>
          <w:color w:val="7B7B7B" w:themeColor="accent3" w:themeShade="BF"/>
          <w:sz w:val="22"/>
          <w:szCs w:val="22"/>
        </w:rPr>
        <w:t>recupera</w:t>
      </w:r>
      <w:r w:rsidR="00445EE6">
        <w:rPr>
          <w:rFonts w:ascii="Calibri" w:hAnsi="Calibri" w:cs="Calibri"/>
          <w:color w:val="7B7B7B" w:themeColor="accent3" w:themeShade="BF"/>
          <w:sz w:val="22"/>
          <w:szCs w:val="22"/>
        </w:rPr>
        <w:t>çã</w:t>
      </w:r>
      <w:r w:rsidR="001F1522">
        <w:rPr>
          <w:rFonts w:ascii="Avenir Next" w:hAnsi="Avenir Next" w:cs="Arial"/>
          <w:color w:val="7B7B7B" w:themeColor="accent3" w:themeShade="BF"/>
          <w:sz w:val="22"/>
          <w:szCs w:val="22"/>
        </w:rPr>
        <w:t>o</w:t>
      </w:r>
      <w:proofErr w:type="spellEnd"/>
      <w:r w:rsidR="001F1522">
        <w:rPr>
          <w:rFonts w:ascii="Avenir Next" w:hAnsi="Avenir Next" w:cs="Arial"/>
          <w:color w:val="7B7B7B" w:themeColor="accent3" w:themeShade="BF"/>
          <w:sz w:val="22"/>
          <w:szCs w:val="22"/>
        </w:rPr>
        <w:t xml:space="preserve"> judicial receivers</w:t>
      </w:r>
      <w:r w:rsidR="00DA2857">
        <w:rPr>
          <w:rFonts w:ascii="Avenir Next" w:hAnsi="Avenir Next" w:cs="Arial"/>
          <w:color w:val="7B7B7B" w:themeColor="accent3" w:themeShade="BF"/>
          <w:sz w:val="22"/>
          <w:szCs w:val="22"/>
        </w:rPr>
        <w:t>”</w:t>
      </w:r>
      <w:r w:rsidR="001F1522">
        <w:rPr>
          <w:rFonts w:ascii="Avenir Next" w:hAnsi="Avenir Next" w:cs="Arial"/>
          <w:color w:val="7B7B7B" w:themeColor="accent3" w:themeShade="BF"/>
          <w:sz w:val="22"/>
          <w:szCs w:val="22"/>
        </w:rPr>
        <w:t xml:space="preserve"> under Brazilian law constitute </w:t>
      </w:r>
      <w:r w:rsidR="008F102B">
        <w:rPr>
          <w:rFonts w:ascii="Avenir Next" w:hAnsi="Avenir Next" w:cs="Arial"/>
          <w:color w:val="7B7B7B" w:themeColor="accent3" w:themeShade="BF"/>
          <w:sz w:val="22"/>
          <w:szCs w:val="22"/>
        </w:rPr>
        <w:t>notable</w:t>
      </w:r>
      <w:r w:rsidR="001F1522">
        <w:rPr>
          <w:rFonts w:ascii="Avenir Next" w:hAnsi="Avenir Next" w:cs="Arial"/>
          <w:color w:val="7B7B7B" w:themeColor="accent3" w:themeShade="BF"/>
          <w:sz w:val="22"/>
          <w:szCs w:val="22"/>
        </w:rPr>
        <w:t xml:space="preserve"> examples</w:t>
      </w:r>
      <w:r w:rsidR="00DA2857">
        <w:rPr>
          <w:rFonts w:ascii="Avenir Next" w:hAnsi="Avenir Next" w:cs="Arial"/>
          <w:color w:val="7B7B7B" w:themeColor="accent3" w:themeShade="BF"/>
          <w:sz w:val="22"/>
          <w:szCs w:val="22"/>
        </w:rPr>
        <w:t>.</w:t>
      </w:r>
      <w:r w:rsidR="00445EE6">
        <w:rPr>
          <w:rFonts w:ascii="Avenir Next" w:hAnsi="Avenir Next" w:cs="Arial"/>
          <w:color w:val="7B7B7B" w:themeColor="accent3" w:themeShade="BF"/>
          <w:sz w:val="22"/>
          <w:szCs w:val="22"/>
        </w:rPr>
        <w:t xml:space="preserve"> </w:t>
      </w:r>
      <w:r w:rsidR="003E22F7">
        <w:rPr>
          <w:rFonts w:ascii="Avenir Next" w:hAnsi="Avenir Next" w:cs="Arial"/>
          <w:color w:val="7B7B7B" w:themeColor="accent3" w:themeShade="BF"/>
          <w:sz w:val="22"/>
          <w:szCs w:val="22"/>
        </w:rPr>
        <w:t xml:space="preserve">Even if the proceeding under scrutiny meets the requirements </w:t>
      </w:r>
      <w:r w:rsidR="00C518F9">
        <w:rPr>
          <w:rFonts w:ascii="Avenir Next" w:hAnsi="Avenir Next" w:cs="Arial"/>
          <w:color w:val="7B7B7B" w:themeColor="accent3" w:themeShade="BF"/>
          <w:sz w:val="22"/>
          <w:szCs w:val="22"/>
        </w:rPr>
        <w:t xml:space="preserve">of a foreign proceeding, such a proceeding may nevertheless be refused </w:t>
      </w:r>
      <w:r w:rsidR="008B1515">
        <w:rPr>
          <w:rFonts w:ascii="Avenir Next" w:hAnsi="Avenir Next" w:cs="Arial"/>
          <w:color w:val="7B7B7B" w:themeColor="accent3" w:themeShade="BF"/>
          <w:sz w:val="22"/>
          <w:szCs w:val="22"/>
        </w:rPr>
        <w:t xml:space="preserve">recognition </w:t>
      </w:r>
      <w:r w:rsidR="00C518F9">
        <w:rPr>
          <w:rFonts w:ascii="Avenir Next" w:hAnsi="Avenir Next" w:cs="Arial"/>
          <w:color w:val="7B7B7B" w:themeColor="accent3" w:themeShade="BF"/>
          <w:sz w:val="22"/>
          <w:szCs w:val="22"/>
        </w:rPr>
        <w:t xml:space="preserve">for being ‘manifestly contrary to public policy’ </w:t>
      </w:r>
      <w:r w:rsidR="00BE1FC1">
        <w:rPr>
          <w:rFonts w:ascii="Avenir Next" w:hAnsi="Avenir Next" w:cs="Arial"/>
          <w:color w:val="7B7B7B" w:themeColor="accent3" w:themeShade="BF"/>
          <w:sz w:val="22"/>
          <w:szCs w:val="22"/>
        </w:rPr>
        <w:t>(</w:t>
      </w:r>
      <w:r w:rsidR="00BE1FC1">
        <w:rPr>
          <w:rFonts w:ascii="Avenir Next" w:hAnsi="Avenir Next" w:cs="Arial"/>
          <w:i/>
          <w:iCs/>
          <w:color w:val="7B7B7B" w:themeColor="accent3" w:themeShade="BF"/>
          <w:sz w:val="22"/>
          <w:szCs w:val="22"/>
        </w:rPr>
        <w:t xml:space="preserve">see </w:t>
      </w:r>
      <w:r w:rsidR="00BE1FC1">
        <w:rPr>
          <w:rFonts w:ascii="Avenir Next" w:hAnsi="Avenir Next" w:cs="Arial"/>
          <w:color w:val="7B7B7B" w:themeColor="accent3" w:themeShade="BF"/>
          <w:sz w:val="22"/>
          <w:szCs w:val="22"/>
        </w:rPr>
        <w:t xml:space="preserve">11 USC, </w:t>
      </w:r>
      <w:r w:rsidR="00BE1FC1" w:rsidRPr="00BE1FC1">
        <w:rPr>
          <w:rFonts w:ascii="Avenir Next" w:hAnsi="Avenir Next" w:cs="Arial"/>
          <w:color w:val="7B7B7B" w:themeColor="accent3" w:themeShade="BF"/>
          <w:sz w:val="22"/>
          <w:szCs w:val="22"/>
        </w:rPr>
        <w:t>§1</w:t>
      </w:r>
      <w:r w:rsidR="00BE1FC1">
        <w:rPr>
          <w:rFonts w:ascii="Avenir Next" w:hAnsi="Avenir Next" w:cs="Arial"/>
          <w:color w:val="7B7B7B" w:themeColor="accent3" w:themeShade="BF"/>
          <w:sz w:val="22"/>
          <w:szCs w:val="22"/>
        </w:rPr>
        <w:t>506)</w:t>
      </w:r>
      <w:r w:rsidR="00C518F9">
        <w:rPr>
          <w:rFonts w:ascii="Avenir Next" w:hAnsi="Avenir Next" w:cs="Arial"/>
          <w:color w:val="7B7B7B" w:themeColor="accent3" w:themeShade="BF"/>
          <w:sz w:val="22"/>
          <w:szCs w:val="22"/>
        </w:rPr>
        <w:t xml:space="preserve">. </w:t>
      </w:r>
      <w:r w:rsidR="00CD635E">
        <w:rPr>
          <w:rFonts w:ascii="Avenir Next" w:hAnsi="Avenir Next" w:cs="Arial"/>
          <w:color w:val="7B7B7B" w:themeColor="accent3" w:themeShade="BF"/>
          <w:sz w:val="22"/>
          <w:szCs w:val="22"/>
        </w:rPr>
        <w:t xml:space="preserve">However, it should be noted </w:t>
      </w:r>
      <w:r w:rsidR="00B875E4">
        <w:rPr>
          <w:rFonts w:ascii="Avenir Next" w:hAnsi="Avenir Next" w:cs="Arial"/>
          <w:color w:val="7B7B7B" w:themeColor="accent3" w:themeShade="BF"/>
          <w:sz w:val="22"/>
          <w:szCs w:val="22"/>
        </w:rPr>
        <w:t xml:space="preserve">that </w:t>
      </w:r>
      <w:r w:rsidR="00CD635E">
        <w:rPr>
          <w:rFonts w:ascii="Avenir Next" w:hAnsi="Avenir Next" w:cs="Arial"/>
          <w:color w:val="7B7B7B" w:themeColor="accent3" w:themeShade="BF"/>
          <w:sz w:val="22"/>
          <w:szCs w:val="22"/>
        </w:rPr>
        <w:t xml:space="preserve">the public policy </w:t>
      </w:r>
      <w:r w:rsidR="007C7D76">
        <w:rPr>
          <w:rFonts w:ascii="Avenir Next" w:hAnsi="Avenir Next" w:cs="Arial"/>
          <w:color w:val="7B7B7B" w:themeColor="accent3" w:themeShade="BF"/>
          <w:sz w:val="22"/>
          <w:szCs w:val="22"/>
        </w:rPr>
        <w:t>concept</w:t>
      </w:r>
      <w:r w:rsidR="00CD635E">
        <w:rPr>
          <w:rFonts w:ascii="Avenir Next" w:hAnsi="Avenir Next" w:cs="Arial"/>
          <w:color w:val="7B7B7B" w:themeColor="accent3" w:themeShade="BF"/>
          <w:sz w:val="22"/>
          <w:szCs w:val="22"/>
        </w:rPr>
        <w:t xml:space="preserve"> under Chapter 15 </w:t>
      </w:r>
      <w:r w:rsidR="00DF1EDC">
        <w:rPr>
          <w:rFonts w:ascii="Avenir Next" w:hAnsi="Avenir Next" w:cs="Arial"/>
          <w:color w:val="7B7B7B" w:themeColor="accent3" w:themeShade="BF"/>
          <w:sz w:val="22"/>
          <w:szCs w:val="22"/>
        </w:rPr>
        <w:t>is narrowly construed</w:t>
      </w:r>
      <w:r w:rsidR="00B875E4">
        <w:rPr>
          <w:rFonts w:ascii="Avenir Next" w:hAnsi="Avenir Next" w:cs="Arial"/>
          <w:color w:val="7B7B7B" w:themeColor="accent3" w:themeShade="BF"/>
          <w:sz w:val="22"/>
          <w:szCs w:val="22"/>
        </w:rPr>
        <w:t>.</w:t>
      </w:r>
      <w:r w:rsidR="00E419D1">
        <w:rPr>
          <w:rFonts w:ascii="Avenir Next" w:hAnsi="Avenir Next" w:cs="Arial"/>
          <w:color w:val="7B7B7B" w:themeColor="accent3" w:themeShade="BF"/>
          <w:sz w:val="22"/>
          <w:szCs w:val="22"/>
        </w:rPr>
        <w:t xml:space="preserve"> </w:t>
      </w:r>
      <w:r w:rsidR="001239BB">
        <w:rPr>
          <w:rFonts w:ascii="Avenir Next" w:hAnsi="Avenir Next" w:cs="Arial"/>
          <w:color w:val="7B7B7B" w:themeColor="accent3" w:themeShade="BF"/>
          <w:sz w:val="22"/>
          <w:szCs w:val="22"/>
        </w:rPr>
        <w:t>It is less applicable to the matter of recognition than to the issue of granting additional assistance.</w:t>
      </w:r>
      <w:r w:rsidR="007251BF" w:rsidRPr="007251BF">
        <w:rPr>
          <w:rFonts w:ascii="Avenir Next" w:hAnsi="Avenir Next" w:cs="Arial"/>
          <w:color w:val="7B7B7B" w:themeColor="accent3" w:themeShade="BF"/>
          <w:sz w:val="22"/>
          <w:szCs w:val="22"/>
        </w:rPr>
        <w:t xml:space="preserve"> </w:t>
      </w:r>
      <w:r w:rsidR="007251BF">
        <w:rPr>
          <w:rFonts w:ascii="Avenir Next" w:hAnsi="Avenir Next" w:cs="Arial"/>
          <w:color w:val="7B7B7B" w:themeColor="accent3" w:themeShade="BF"/>
          <w:sz w:val="22"/>
          <w:szCs w:val="22"/>
        </w:rPr>
        <w:t xml:space="preserve">Besides, it is accepted that differentiations in insolvency schemes do not </w:t>
      </w:r>
      <w:r w:rsidR="00872941">
        <w:rPr>
          <w:rFonts w:ascii="Avenir Next" w:hAnsi="Avenir Next" w:cs="Arial"/>
          <w:color w:val="7B7B7B" w:themeColor="accent3" w:themeShade="BF"/>
          <w:sz w:val="22"/>
          <w:szCs w:val="22"/>
        </w:rPr>
        <w:t xml:space="preserve">in themselves </w:t>
      </w:r>
      <w:r w:rsidR="007251BF">
        <w:rPr>
          <w:rFonts w:ascii="Avenir Next" w:hAnsi="Avenir Next" w:cs="Arial"/>
          <w:color w:val="7B7B7B" w:themeColor="accent3" w:themeShade="BF"/>
          <w:sz w:val="22"/>
          <w:szCs w:val="22"/>
        </w:rPr>
        <w:t xml:space="preserve">automatically trigger </w:t>
      </w:r>
      <w:r w:rsidR="00872941">
        <w:rPr>
          <w:rFonts w:ascii="Avenir Next" w:hAnsi="Avenir Next" w:cs="Arial"/>
          <w:color w:val="7B7B7B" w:themeColor="accent3" w:themeShade="BF"/>
          <w:sz w:val="22"/>
          <w:szCs w:val="22"/>
        </w:rPr>
        <w:t>the</w:t>
      </w:r>
      <w:r w:rsidR="007251BF">
        <w:rPr>
          <w:rFonts w:ascii="Avenir Next" w:hAnsi="Avenir Next" w:cs="Arial"/>
          <w:color w:val="7B7B7B" w:themeColor="accent3" w:themeShade="BF"/>
          <w:sz w:val="22"/>
          <w:szCs w:val="22"/>
        </w:rPr>
        <w:t xml:space="preserve"> application </w:t>
      </w:r>
      <w:r w:rsidR="00872941">
        <w:rPr>
          <w:rFonts w:ascii="Avenir Next" w:hAnsi="Avenir Next" w:cs="Arial"/>
          <w:color w:val="7B7B7B" w:themeColor="accent3" w:themeShade="BF"/>
          <w:sz w:val="22"/>
          <w:szCs w:val="22"/>
        </w:rPr>
        <w:t xml:space="preserve">of Article 6 </w:t>
      </w:r>
      <w:r w:rsidR="007251BF">
        <w:rPr>
          <w:rFonts w:ascii="Avenir Next" w:hAnsi="Avenir Next" w:cs="Arial"/>
          <w:color w:val="7B7B7B" w:themeColor="accent3" w:themeShade="BF"/>
          <w:sz w:val="22"/>
          <w:szCs w:val="22"/>
        </w:rPr>
        <w:t>(</w:t>
      </w:r>
      <w:r w:rsidR="007251BF">
        <w:rPr>
          <w:rFonts w:ascii="Avenir Next" w:hAnsi="Avenir Next" w:cs="Arial"/>
          <w:i/>
          <w:iCs/>
          <w:color w:val="7B7B7B" w:themeColor="accent3" w:themeShade="BF"/>
          <w:sz w:val="22"/>
          <w:szCs w:val="22"/>
        </w:rPr>
        <w:t xml:space="preserve">see </w:t>
      </w:r>
      <w:r w:rsidR="007251BF">
        <w:rPr>
          <w:rFonts w:ascii="Avenir Next" w:hAnsi="Avenir Next" w:cs="Arial"/>
          <w:color w:val="7B7B7B" w:themeColor="accent3" w:themeShade="BF"/>
          <w:sz w:val="22"/>
          <w:szCs w:val="22"/>
        </w:rPr>
        <w:t>‘</w:t>
      </w:r>
      <w:r w:rsidR="007251BF" w:rsidRPr="007251BF">
        <w:rPr>
          <w:rFonts w:ascii="Avenir Next" w:hAnsi="Avenir Next" w:cs="Arial"/>
          <w:color w:val="7B7B7B" w:themeColor="accent3" w:themeShade="BF"/>
          <w:sz w:val="22"/>
          <w:szCs w:val="22"/>
        </w:rPr>
        <w:t>UNCITRAL Model Law on Cross-Border Insolvency with Guide to Enactment and Interpretation</w:t>
      </w:r>
      <w:r w:rsidR="007251BF">
        <w:rPr>
          <w:rFonts w:ascii="Avenir Next" w:hAnsi="Avenir Next" w:cs="Arial"/>
          <w:color w:val="7B7B7B" w:themeColor="accent3" w:themeShade="BF"/>
          <w:sz w:val="22"/>
          <w:szCs w:val="22"/>
        </w:rPr>
        <w:t>’</w:t>
      </w:r>
      <w:r w:rsidR="00E8594B">
        <w:rPr>
          <w:rFonts w:ascii="Avenir Next" w:hAnsi="Avenir Next" w:cs="Arial"/>
          <w:color w:val="7B7B7B" w:themeColor="accent3" w:themeShade="BF"/>
          <w:sz w:val="22"/>
          <w:szCs w:val="22"/>
        </w:rPr>
        <w:t>, para. 30).</w:t>
      </w:r>
    </w:p>
    <w:p w14:paraId="4D21E813" w14:textId="28D0F247" w:rsidR="00A43459" w:rsidRDefault="00A43459" w:rsidP="00F03051">
      <w:pPr>
        <w:jc w:val="both"/>
        <w:rPr>
          <w:rFonts w:ascii="Avenir Next" w:hAnsi="Avenir Next" w:cs="Arial"/>
          <w:color w:val="7B7B7B" w:themeColor="accent3" w:themeShade="BF"/>
          <w:sz w:val="22"/>
          <w:szCs w:val="22"/>
        </w:rPr>
      </w:pPr>
    </w:p>
    <w:p w14:paraId="1A9E7D17" w14:textId="0FAEB457" w:rsidR="00FE5225" w:rsidRDefault="00A43459" w:rsidP="00AA10F3">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Schemes of arrangement are linked to the question of whether they form part of ‘a law relating to insolvency’. </w:t>
      </w:r>
      <w:r w:rsidR="002A5143">
        <w:rPr>
          <w:rFonts w:ascii="Avenir Next" w:hAnsi="Avenir Next" w:cs="Arial"/>
          <w:color w:val="7B7B7B" w:themeColor="accent3" w:themeShade="BF"/>
          <w:sz w:val="22"/>
          <w:szCs w:val="22"/>
        </w:rPr>
        <w:t>Several common law jurisdictions have recognized such proceedings</w:t>
      </w:r>
      <w:r w:rsidR="00AA10F3">
        <w:rPr>
          <w:rFonts w:ascii="Avenir Next" w:hAnsi="Avenir Next" w:cs="Arial"/>
          <w:color w:val="7B7B7B" w:themeColor="accent3" w:themeShade="BF"/>
          <w:sz w:val="22"/>
          <w:szCs w:val="22"/>
        </w:rPr>
        <w:t xml:space="preserve"> (e.g.</w:t>
      </w:r>
      <w:r w:rsidR="00AA10F3" w:rsidRPr="00AA10F3">
        <w:rPr>
          <w:rFonts w:ascii="Avenir Next" w:hAnsi="Avenir Next" w:cs="Arial"/>
          <w:color w:val="7B7B7B" w:themeColor="accent3" w:themeShade="BF"/>
          <w:sz w:val="22"/>
          <w:szCs w:val="22"/>
        </w:rPr>
        <w:t xml:space="preserve"> </w:t>
      </w:r>
      <w:r w:rsidR="00AA10F3" w:rsidRPr="00AA10F3">
        <w:rPr>
          <w:rFonts w:ascii="Avenir Next" w:hAnsi="Avenir Next" w:cs="Arial"/>
          <w:i/>
          <w:iCs/>
          <w:color w:val="7B7B7B" w:themeColor="accent3" w:themeShade="BF"/>
          <w:sz w:val="22"/>
          <w:szCs w:val="22"/>
        </w:rPr>
        <w:t>Syncreon Group B.V., 2019 ONSC 5774</w:t>
      </w:r>
      <w:r w:rsidR="00AA10F3">
        <w:rPr>
          <w:rFonts w:ascii="Avenir Next" w:hAnsi="Avenir Next" w:cs="Arial"/>
          <w:color w:val="7B7B7B" w:themeColor="accent3" w:themeShade="BF"/>
          <w:sz w:val="22"/>
          <w:szCs w:val="22"/>
        </w:rPr>
        <w:t xml:space="preserve"> (Canada)</w:t>
      </w:r>
      <w:r w:rsidR="00EB52CF">
        <w:rPr>
          <w:rFonts w:ascii="Avenir Next" w:hAnsi="Avenir Next" w:cs="Arial"/>
          <w:color w:val="7B7B7B" w:themeColor="accent3" w:themeShade="BF"/>
          <w:sz w:val="22"/>
          <w:szCs w:val="22"/>
        </w:rPr>
        <w:t xml:space="preserve">; </w:t>
      </w:r>
      <w:r w:rsidR="00AA10F3">
        <w:rPr>
          <w:rFonts w:ascii="Avenir Next" w:hAnsi="Avenir Next" w:cs="Arial"/>
          <w:i/>
          <w:iCs/>
          <w:color w:val="7B7B7B" w:themeColor="accent3" w:themeShade="BF"/>
          <w:sz w:val="22"/>
          <w:szCs w:val="22"/>
        </w:rPr>
        <w:t xml:space="preserve">see </w:t>
      </w:r>
      <w:r w:rsidR="00AA10F3" w:rsidRPr="00AA10F3">
        <w:rPr>
          <w:rFonts w:ascii="Avenir Next" w:hAnsi="Avenir Next" w:cs="Arial"/>
          <w:color w:val="7B7B7B" w:themeColor="accent3" w:themeShade="BF"/>
          <w:sz w:val="22"/>
          <w:szCs w:val="22"/>
        </w:rPr>
        <w:t>‘Digest of Case Law on the UNCITRAL Model Law on Cross-Border Insolvency’,</w:t>
      </w:r>
      <w:r w:rsidR="00AA10F3">
        <w:rPr>
          <w:rFonts w:ascii="Avenir Next" w:hAnsi="Avenir Next" w:cs="Arial"/>
          <w:color w:val="7B7B7B" w:themeColor="accent3" w:themeShade="BF"/>
          <w:sz w:val="22"/>
          <w:szCs w:val="22"/>
        </w:rPr>
        <w:t xml:space="preserve"> para. 11, Article 2)</w:t>
      </w:r>
      <w:r w:rsidR="002A5143">
        <w:rPr>
          <w:rFonts w:ascii="Avenir Next" w:hAnsi="Avenir Next" w:cs="Arial"/>
          <w:color w:val="7B7B7B" w:themeColor="accent3" w:themeShade="BF"/>
          <w:sz w:val="22"/>
          <w:szCs w:val="22"/>
        </w:rPr>
        <w:t xml:space="preserve">. </w:t>
      </w:r>
      <w:r w:rsidR="00FE5225">
        <w:rPr>
          <w:rFonts w:ascii="Avenir Next" w:hAnsi="Avenir Next" w:cs="Arial"/>
          <w:color w:val="7B7B7B" w:themeColor="accent3" w:themeShade="BF"/>
          <w:sz w:val="22"/>
          <w:szCs w:val="22"/>
        </w:rPr>
        <w:t>US courts also recognized schemes of arrangement originating from South Africa (</w:t>
      </w:r>
      <w:r w:rsidR="00FE5225" w:rsidRPr="00F71BA4">
        <w:rPr>
          <w:rFonts w:ascii="Avenir Next" w:hAnsi="Avenir Next" w:cs="Arial"/>
          <w:i/>
          <w:iCs/>
          <w:color w:val="7B7B7B" w:themeColor="accent3" w:themeShade="BF"/>
          <w:sz w:val="22"/>
          <w:szCs w:val="22"/>
        </w:rPr>
        <w:t>In re Cell C Proprietary Ltd</w:t>
      </w:r>
      <w:r w:rsidR="00FE5225" w:rsidRPr="00FE5225">
        <w:rPr>
          <w:rFonts w:ascii="Avenir Next" w:hAnsi="Avenir Next" w:cs="Arial"/>
          <w:color w:val="7B7B7B" w:themeColor="accent3" w:themeShade="BF"/>
          <w:sz w:val="22"/>
          <w:szCs w:val="22"/>
        </w:rPr>
        <w:t>, 542 B.R. 571 (</w:t>
      </w:r>
      <w:proofErr w:type="spellStart"/>
      <w:r w:rsidR="00FE5225" w:rsidRPr="00FE5225">
        <w:rPr>
          <w:rFonts w:ascii="Avenir Next" w:hAnsi="Avenir Next" w:cs="Arial"/>
          <w:color w:val="7B7B7B" w:themeColor="accent3" w:themeShade="BF"/>
          <w:sz w:val="22"/>
          <w:szCs w:val="22"/>
        </w:rPr>
        <w:t>Bankr</w:t>
      </w:r>
      <w:proofErr w:type="spellEnd"/>
      <w:r w:rsidR="00FE5225" w:rsidRPr="00FE5225">
        <w:rPr>
          <w:rFonts w:ascii="Avenir Next" w:hAnsi="Avenir Next" w:cs="Arial"/>
          <w:color w:val="7B7B7B" w:themeColor="accent3" w:themeShade="BF"/>
          <w:sz w:val="22"/>
          <w:szCs w:val="22"/>
        </w:rPr>
        <w:t>. S.D.N.Y. 2017)</w:t>
      </w:r>
      <w:r w:rsidR="00FE5225">
        <w:rPr>
          <w:rFonts w:ascii="Avenir Next" w:hAnsi="Avenir Next" w:cs="Arial"/>
          <w:color w:val="7B7B7B" w:themeColor="accent3" w:themeShade="BF"/>
          <w:sz w:val="22"/>
          <w:szCs w:val="22"/>
        </w:rPr>
        <w:t>) and the United Kingdom (</w:t>
      </w:r>
      <w:r w:rsidR="00FE5225" w:rsidRPr="00F71BA4">
        <w:rPr>
          <w:rFonts w:ascii="Avenir Next" w:hAnsi="Avenir Next" w:cs="Arial"/>
          <w:i/>
          <w:iCs/>
          <w:color w:val="7B7B7B" w:themeColor="accent3" w:themeShade="BF"/>
          <w:sz w:val="22"/>
          <w:szCs w:val="22"/>
        </w:rPr>
        <w:t xml:space="preserve">In re Avanti </w:t>
      </w:r>
      <w:proofErr w:type="spellStart"/>
      <w:r w:rsidR="00FE5225" w:rsidRPr="00F71BA4">
        <w:rPr>
          <w:rFonts w:ascii="Avenir Next" w:hAnsi="Avenir Next" w:cs="Arial"/>
          <w:i/>
          <w:iCs/>
          <w:color w:val="7B7B7B" w:themeColor="accent3" w:themeShade="BF"/>
          <w:sz w:val="22"/>
          <w:szCs w:val="22"/>
        </w:rPr>
        <w:t>Commun’c</w:t>
      </w:r>
      <w:proofErr w:type="spellEnd"/>
      <w:r w:rsidR="00FE5225" w:rsidRPr="00F71BA4">
        <w:rPr>
          <w:rFonts w:ascii="Avenir Next" w:hAnsi="Avenir Next" w:cs="Arial"/>
          <w:i/>
          <w:iCs/>
          <w:color w:val="7B7B7B" w:themeColor="accent3" w:themeShade="BF"/>
          <w:sz w:val="22"/>
          <w:szCs w:val="22"/>
        </w:rPr>
        <w:t xml:space="preserve"> Group PLC</w:t>
      </w:r>
      <w:r w:rsidR="00FE5225" w:rsidRPr="00FE5225">
        <w:rPr>
          <w:rFonts w:ascii="Avenir Next" w:hAnsi="Avenir Next" w:cs="Arial"/>
          <w:color w:val="7B7B7B" w:themeColor="accent3" w:themeShade="BF"/>
          <w:sz w:val="22"/>
          <w:szCs w:val="22"/>
        </w:rPr>
        <w:t>, 582 B.R. 603, 613 (</w:t>
      </w:r>
      <w:proofErr w:type="spellStart"/>
      <w:r w:rsidR="00FE5225" w:rsidRPr="00FE5225">
        <w:rPr>
          <w:rFonts w:ascii="Avenir Next" w:hAnsi="Avenir Next" w:cs="Arial"/>
          <w:color w:val="7B7B7B" w:themeColor="accent3" w:themeShade="BF"/>
          <w:sz w:val="22"/>
          <w:szCs w:val="22"/>
        </w:rPr>
        <w:t>Bankr</w:t>
      </w:r>
      <w:proofErr w:type="spellEnd"/>
      <w:r w:rsidR="00FE5225" w:rsidRPr="00FE5225">
        <w:rPr>
          <w:rFonts w:ascii="Avenir Next" w:hAnsi="Avenir Next" w:cs="Arial"/>
          <w:color w:val="7B7B7B" w:themeColor="accent3" w:themeShade="BF"/>
          <w:sz w:val="22"/>
          <w:szCs w:val="22"/>
        </w:rPr>
        <w:t>. S.D.N.Y. 2018)</w:t>
      </w:r>
      <w:r w:rsidR="00FE5225">
        <w:rPr>
          <w:rFonts w:ascii="Avenir Next" w:hAnsi="Avenir Next" w:cs="Arial"/>
          <w:color w:val="7B7B7B" w:themeColor="accent3" w:themeShade="BF"/>
          <w:sz w:val="22"/>
          <w:szCs w:val="22"/>
        </w:rPr>
        <w:t>).</w:t>
      </w:r>
      <w:r w:rsidR="00BA2FDC">
        <w:rPr>
          <w:rFonts w:ascii="Avenir Next" w:hAnsi="Avenir Next" w:cs="Arial"/>
          <w:color w:val="7B7B7B" w:themeColor="accent3" w:themeShade="BF"/>
          <w:sz w:val="22"/>
          <w:szCs w:val="22"/>
        </w:rPr>
        <w:t xml:space="preserve"> The Judicial Perspective (</w:t>
      </w:r>
      <w:r w:rsidR="001926B8">
        <w:rPr>
          <w:rFonts w:ascii="Avenir Next" w:hAnsi="Avenir Next" w:cs="Arial"/>
          <w:i/>
          <w:iCs/>
          <w:color w:val="7B7B7B" w:themeColor="accent3" w:themeShade="BF"/>
          <w:sz w:val="22"/>
          <w:szCs w:val="22"/>
        </w:rPr>
        <w:t>see ‘</w:t>
      </w:r>
      <w:r w:rsidR="001926B8" w:rsidRPr="001926B8">
        <w:rPr>
          <w:rFonts w:ascii="Avenir Next" w:hAnsi="Avenir Next" w:cs="Arial"/>
          <w:color w:val="7B7B7B" w:themeColor="accent3" w:themeShade="BF"/>
          <w:sz w:val="22"/>
          <w:szCs w:val="22"/>
        </w:rPr>
        <w:t>UNCITRAL Model Law on Cross-Border Insolvency: The Judicial Perspective</w:t>
      </w:r>
      <w:r w:rsidR="001926B8">
        <w:rPr>
          <w:rFonts w:ascii="Avenir Next" w:hAnsi="Avenir Next" w:cs="Arial"/>
          <w:color w:val="7B7B7B" w:themeColor="accent3" w:themeShade="BF"/>
          <w:sz w:val="22"/>
          <w:szCs w:val="22"/>
        </w:rPr>
        <w:t xml:space="preserve"> </w:t>
      </w:r>
      <w:r w:rsidR="001926B8" w:rsidRPr="001926B8">
        <w:rPr>
          <w:rFonts w:ascii="Avenir Next" w:hAnsi="Avenir Next" w:cs="Arial"/>
          <w:color w:val="7B7B7B" w:themeColor="accent3" w:themeShade="BF"/>
          <w:sz w:val="22"/>
          <w:szCs w:val="22"/>
        </w:rPr>
        <w:t>(Updated 2022)</w:t>
      </w:r>
      <w:r w:rsidR="001926B8">
        <w:rPr>
          <w:rFonts w:ascii="Avenir Next" w:hAnsi="Avenir Next" w:cs="Arial"/>
          <w:color w:val="7B7B7B" w:themeColor="accent3" w:themeShade="BF"/>
          <w:sz w:val="22"/>
          <w:szCs w:val="22"/>
        </w:rPr>
        <w:t>’, footnote 125)</w:t>
      </w:r>
      <w:r w:rsidR="00FE5225" w:rsidRPr="00FE5225">
        <w:rPr>
          <w:rFonts w:ascii="Avenir Next" w:hAnsi="Avenir Next" w:cs="Arial"/>
          <w:color w:val="7B7B7B" w:themeColor="accent3" w:themeShade="BF"/>
          <w:sz w:val="22"/>
          <w:szCs w:val="22"/>
        </w:rPr>
        <w:t xml:space="preserve"> </w:t>
      </w:r>
      <w:r w:rsidR="00ED49F8">
        <w:rPr>
          <w:rFonts w:ascii="Avenir Next" w:hAnsi="Avenir Next" w:cs="Arial"/>
          <w:color w:val="7B7B7B" w:themeColor="accent3" w:themeShade="BF"/>
          <w:sz w:val="22"/>
          <w:szCs w:val="22"/>
        </w:rPr>
        <w:t>notes</w:t>
      </w:r>
      <w:r w:rsidR="007251BF">
        <w:rPr>
          <w:rFonts w:ascii="Avenir Next" w:hAnsi="Avenir Next" w:cs="Arial"/>
          <w:color w:val="7B7B7B" w:themeColor="accent3" w:themeShade="BF"/>
          <w:sz w:val="22"/>
          <w:szCs w:val="22"/>
        </w:rPr>
        <w:t xml:space="preserve"> </w:t>
      </w:r>
      <w:r w:rsidR="00ED49F8">
        <w:rPr>
          <w:rFonts w:ascii="Avenir Next" w:hAnsi="Avenir Next" w:cs="Arial"/>
          <w:color w:val="7B7B7B" w:themeColor="accent3" w:themeShade="BF"/>
          <w:sz w:val="22"/>
          <w:szCs w:val="22"/>
        </w:rPr>
        <w:t xml:space="preserve">that the addition of the words </w:t>
      </w:r>
      <w:r w:rsidR="00ED49F8" w:rsidRPr="00FE5225">
        <w:rPr>
          <w:rFonts w:ascii="Avenir Next" w:hAnsi="Avenir Next" w:cs="Arial"/>
          <w:color w:val="7B7B7B" w:themeColor="accent3" w:themeShade="BF"/>
          <w:sz w:val="22"/>
          <w:szCs w:val="22"/>
        </w:rPr>
        <w:t>“or adjustment of debt”</w:t>
      </w:r>
      <w:r w:rsidR="00ED49F8">
        <w:rPr>
          <w:rFonts w:ascii="Avenir Next" w:hAnsi="Avenir Next" w:cs="Arial"/>
          <w:color w:val="7B7B7B" w:themeColor="accent3" w:themeShade="BF"/>
          <w:sz w:val="22"/>
          <w:szCs w:val="22"/>
        </w:rPr>
        <w:t xml:space="preserve"> to the definition might influence to a certain extent</w:t>
      </w:r>
      <w:r w:rsidR="007251BF">
        <w:rPr>
          <w:rFonts w:ascii="Avenir Next" w:hAnsi="Avenir Next" w:cs="Arial"/>
          <w:color w:val="7B7B7B" w:themeColor="accent3" w:themeShade="BF"/>
          <w:sz w:val="22"/>
          <w:szCs w:val="22"/>
        </w:rPr>
        <w:t xml:space="preserve"> the recognition of a scheme of arrangement</w:t>
      </w:r>
      <w:r w:rsidR="003976DA">
        <w:rPr>
          <w:rFonts w:ascii="Avenir Next" w:hAnsi="Avenir Next" w:cs="Arial"/>
          <w:color w:val="7B7B7B" w:themeColor="accent3" w:themeShade="BF"/>
          <w:sz w:val="22"/>
          <w:szCs w:val="22"/>
        </w:rPr>
        <w:t>.</w:t>
      </w:r>
    </w:p>
    <w:p w14:paraId="6B669610" w14:textId="77777777" w:rsidR="008B23EB" w:rsidRDefault="008B23EB" w:rsidP="00F03051">
      <w:pPr>
        <w:jc w:val="both"/>
        <w:rPr>
          <w:rFonts w:ascii="Avenir Next" w:hAnsi="Avenir Next" w:cs="Arial"/>
          <w:color w:val="7B7B7B" w:themeColor="accent3" w:themeShade="BF"/>
          <w:sz w:val="22"/>
          <w:szCs w:val="22"/>
        </w:rPr>
      </w:pPr>
    </w:p>
    <w:p w14:paraId="2C3CCB3C" w14:textId="082F560E" w:rsidR="00F03051" w:rsidRDefault="008B23EB" w:rsidP="00F03051">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lastRenderedPageBreak/>
        <w:t>In our example</w:t>
      </w:r>
      <w:r w:rsidR="00C45186">
        <w:rPr>
          <w:rFonts w:ascii="Avenir Next" w:hAnsi="Avenir Next" w:cs="Arial"/>
          <w:color w:val="7B7B7B" w:themeColor="accent3" w:themeShade="BF"/>
          <w:sz w:val="22"/>
          <w:szCs w:val="22"/>
        </w:rPr>
        <w:t xml:space="preserve">, </w:t>
      </w:r>
      <w:r w:rsidR="00D74A76">
        <w:rPr>
          <w:rFonts w:ascii="Avenir Next" w:hAnsi="Avenir Next" w:cs="Arial"/>
          <w:color w:val="7B7B7B" w:themeColor="accent3" w:themeShade="BF"/>
          <w:sz w:val="22"/>
          <w:szCs w:val="22"/>
        </w:rPr>
        <w:t>an international company, Stella SA</w:t>
      </w:r>
      <w:r w:rsidR="005950D6">
        <w:rPr>
          <w:rFonts w:ascii="Avenir Next" w:hAnsi="Avenir Next" w:cs="Arial"/>
          <w:color w:val="7B7B7B" w:themeColor="accent3" w:themeShade="BF"/>
          <w:sz w:val="22"/>
          <w:szCs w:val="22"/>
        </w:rPr>
        <w:t>,</w:t>
      </w:r>
      <w:r w:rsidR="00D74A76">
        <w:rPr>
          <w:rFonts w:ascii="Avenir Next" w:hAnsi="Avenir Next" w:cs="Arial"/>
          <w:color w:val="7B7B7B" w:themeColor="accent3" w:themeShade="BF"/>
          <w:sz w:val="22"/>
          <w:szCs w:val="22"/>
        </w:rPr>
        <w:t xml:space="preserve"> is </w:t>
      </w:r>
      <w:r w:rsidR="005770D5">
        <w:rPr>
          <w:rFonts w:ascii="Avenir Next" w:hAnsi="Avenir Next" w:cs="Arial"/>
          <w:color w:val="7B7B7B" w:themeColor="accent3" w:themeShade="BF"/>
          <w:sz w:val="22"/>
          <w:szCs w:val="22"/>
        </w:rPr>
        <w:t>headquartered</w:t>
      </w:r>
      <w:r w:rsidR="00D74A76">
        <w:rPr>
          <w:rFonts w:ascii="Avenir Next" w:hAnsi="Avenir Next" w:cs="Arial"/>
          <w:color w:val="7B7B7B" w:themeColor="accent3" w:themeShade="BF"/>
          <w:sz w:val="22"/>
          <w:szCs w:val="22"/>
        </w:rPr>
        <w:t xml:space="preserve"> in Paris, France. </w:t>
      </w:r>
      <w:r w:rsidR="0036731A">
        <w:rPr>
          <w:rFonts w:ascii="Avenir Next" w:hAnsi="Avenir Next" w:cs="Arial"/>
          <w:color w:val="7B7B7B" w:themeColor="accent3" w:themeShade="BF"/>
          <w:sz w:val="22"/>
          <w:szCs w:val="22"/>
        </w:rPr>
        <w:t>While the company’s product</w:t>
      </w:r>
      <w:r w:rsidR="00AF37CB">
        <w:rPr>
          <w:rFonts w:ascii="Avenir Next" w:hAnsi="Avenir Next" w:cs="Arial"/>
          <w:color w:val="7B7B7B" w:themeColor="accent3" w:themeShade="BF"/>
          <w:sz w:val="22"/>
          <w:szCs w:val="22"/>
        </w:rPr>
        <w:t>s</w:t>
      </w:r>
      <w:r w:rsidR="0036731A">
        <w:rPr>
          <w:rFonts w:ascii="Avenir Next" w:hAnsi="Avenir Next" w:cs="Arial"/>
          <w:color w:val="7B7B7B" w:themeColor="accent3" w:themeShade="BF"/>
          <w:sz w:val="22"/>
          <w:szCs w:val="22"/>
        </w:rPr>
        <w:t xml:space="preserve"> are manufactured in Italy, these products are shipped </w:t>
      </w:r>
      <w:r w:rsidR="00AF37CB">
        <w:rPr>
          <w:rFonts w:ascii="Avenir Next" w:hAnsi="Avenir Next" w:cs="Arial"/>
          <w:color w:val="7B7B7B" w:themeColor="accent3" w:themeShade="BF"/>
          <w:sz w:val="22"/>
          <w:szCs w:val="22"/>
        </w:rPr>
        <w:t>to</w:t>
      </w:r>
      <w:r w:rsidR="0036731A">
        <w:rPr>
          <w:rFonts w:ascii="Avenir Next" w:hAnsi="Avenir Next" w:cs="Arial"/>
          <w:color w:val="7B7B7B" w:themeColor="accent3" w:themeShade="BF"/>
          <w:sz w:val="22"/>
          <w:szCs w:val="22"/>
        </w:rPr>
        <w:t xml:space="preserve"> Europe, Asia and North America </w:t>
      </w:r>
      <w:r w:rsidR="00AF37CB">
        <w:rPr>
          <w:rFonts w:ascii="Avenir Next" w:hAnsi="Avenir Next" w:cs="Arial"/>
          <w:color w:val="7B7B7B" w:themeColor="accent3" w:themeShade="BF"/>
          <w:sz w:val="22"/>
          <w:szCs w:val="22"/>
        </w:rPr>
        <w:t>to</w:t>
      </w:r>
      <w:r w:rsidR="0036731A">
        <w:rPr>
          <w:rFonts w:ascii="Avenir Next" w:hAnsi="Avenir Next" w:cs="Arial"/>
          <w:color w:val="7B7B7B" w:themeColor="accent3" w:themeShade="BF"/>
          <w:sz w:val="22"/>
          <w:szCs w:val="22"/>
        </w:rPr>
        <w:t xml:space="preserve"> </w:t>
      </w:r>
      <w:r w:rsidR="00267488">
        <w:rPr>
          <w:rFonts w:ascii="Avenir Next" w:hAnsi="Avenir Next" w:cs="Arial"/>
          <w:color w:val="7B7B7B" w:themeColor="accent3" w:themeShade="BF"/>
          <w:sz w:val="22"/>
          <w:szCs w:val="22"/>
        </w:rPr>
        <w:t>the</w:t>
      </w:r>
      <w:r w:rsidR="0036731A">
        <w:rPr>
          <w:rFonts w:ascii="Avenir Next" w:hAnsi="Avenir Next" w:cs="Arial"/>
          <w:color w:val="7B7B7B" w:themeColor="accent3" w:themeShade="BF"/>
          <w:sz w:val="22"/>
          <w:szCs w:val="22"/>
        </w:rPr>
        <w:t xml:space="preserve"> respective retail stores. </w:t>
      </w:r>
      <w:r w:rsidR="005770D5">
        <w:rPr>
          <w:rFonts w:ascii="Avenir Next" w:hAnsi="Avenir Next" w:cs="Arial"/>
          <w:color w:val="7B7B7B" w:themeColor="accent3" w:themeShade="BF"/>
          <w:sz w:val="22"/>
          <w:szCs w:val="22"/>
        </w:rPr>
        <w:t xml:space="preserve">The company also </w:t>
      </w:r>
      <w:r w:rsidR="00AF37CB">
        <w:rPr>
          <w:rFonts w:ascii="Avenir Next" w:hAnsi="Avenir Next" w:cs="Arial"/>
          <w:color w:val="7B7B7B" w:themeColor="accent3" w:themeShade="BF"/>
          <w:sz w:val="22"/>
          <w:szCs w:val="22"/>
        </w:rPr>
        <w:t>operates</w:t>
      </w:r>
      <w:r w:rsidR="005411A5">
        <w:rPr>
          <w:rFonts w:ascii="Avenir Next" w:hAnsi="Avenir Next" w:cs="Arial"/>
          <w:color w:val="7B7B7B" w:themeColor="accent3" w:themeShade="BF"/>
          <w:sz w:val="22"/>
          <w:szCs w:val="22"/>
        </w:rPr>
        <w:t xml:space="preserve"> a retail store in England</w:t>
      </w:r>
      <w:r w:rsidR="005770D5">
        <w:rPr>
          <w:rFonts w:ascii="Avenir Next" w:hAnsi="Avenir Next" w:cs="Arial"/>
          <w:color w:val="7B7B7B" w:themeColor="accent3" w:themeShade="BF"/>
          <w:sz w:val="22"/>
          <w:szCs w:val="22"/>
        </w:rPr>
        <w:t xml:space="preserve">. </w:t>
      </w:r>
      <w:r w:rsidR="00622A51">
        <w:rPr>
          <w:rFonts w:ascii="Avenir Next" w:hAnsi="Avenir Next" w:cs="Arial"/>
          <w:color w:val="7B7B7B" w:themeColor="accent3" w:themeShade="BF"/>
          <w:sz w:val="22"/>
          <w:szCs w:val="22"/>
        </w:rPr>
        <w:t>Stella</w:t>
      </w:r>
      <w:r w:rsidR="008321D2">
        <w:rPr>
          <w:rFonts w:ascii="Avenir Next" w:hAnsi="Avenir Next" w:cs="Arial"/>
          <w:color w:val="7B7B7B" w:themeColor="accent3" w:themeShade="BF"/>
          <w:sz w:val="22"/>
          <w:szCs w:val="22"/>
        </w:rPr>
        <w:t xml:space="preserve">’s funding </w:t>
      </w:r>
      <w:r w:rsidR="00D834B9">
        <w:rPr>
          <w:rFonts w:ascii="Avenir Next" w:hAnsi="Avenir Next" w:cs="Arial"/>
          <w:color w:val="7B7B7B" w:themeColor="accent3" w:themeShade="BF"/>
          <w:sz w:val="22"/>
          <w:szCs w:val="22"/>
        </w:rPr>
        <w:t>is based on</w:t>
      </w:r>
      <w:r w:rsidR="008321D2">
        <w:rPr>
          <w:rFonts w:ascii="Avenir Next" w:hAnsi="Avenir Next" w:cs="Arial"/>
          <w:color w:val="7B7B7B" w:themeColor="accent3" w:themeShade="BF"/>
          <w:sz w:val="22"/>
          <w:szCs w:val="22"/>
        </w:rPr>
        <w:t xml:space="preserve"> </w:t>
      </w:r>
      <w:r w:rsidR="00622A51">
        <w:rPr>
          <w:rFonts w:ascii="Avenir Next" w:hAnsi="Avenir Next" w:cs="Arial"/>
          <w:color w:val="7B7B7B" w:themeColor="accent3" w:themeShade="BF"/>
          <w:sz w:val="22"/>
          <w:szCs w:val="22"/>
        </w:rPr>
        <w:t>Eurobonds and a bank loan</w:t>
      </w:r>
      <w:r w:rsidR="008321D2">
        <w:rPr>
          <w:rFonts w:ascii="Avenir Next" w:hAnsi="Avenir Next" w:cs="Arial"/>
          <w:color w:val="7B7B7B" w:themeColor="accent3" w:themeShade="BF"/>
          <w:sz w:val="22"/>
          <w:szCs w:val="22"/>
        </w:rPr>
        <w:t>.</w:t>
      </w:r>
      <w:r w:rsidR="00622A51">
        <w:rPr>
          <w:rFonts w:ascii="Avenir Next" w:hAnsi="Avenir Next" w:cs="Arial"/>
          <w:color w:val="7B7B7B" w:themeColor="accent3" w:themeShade="BF"/>
          <w:sz w:val="22"/>
          <w:szCs w:val="22"/>
        </w:rPr>
        <w:t xml:space="preserve"> </w:t>
      </w:r>
      <w:r w:rsidR="00267488">
        <w:rPr>
          <w:rFonts w:ascii="Avenir Next" w:hAnsi="Avenir Next" w:cs="Arial"/>
          <w:color w:val="7B7B7B" w:themeColor="accent3" w:themeShade="BF"/>
          <w:sz w:val="22"/>
          <w:szCs w:val="22"/>
        </w:rPr>
        <w:t>D</w:t>
      </w:r>
      <w:r w:rsidR="00622A51">
        <w:rPr>
          <w:rFonts w:ascii="Avenir Next" w:hAnsi="Avenir Next" w:cs="Arial"/>
          <w:color w:val="7B7B7B" w:themeColor="accent3" w:themeShade="BF"/>
          <w:sz w:val="22"/>
          <w:szCs w:val="22"/>
        </w:rPr>
        <w:t>ue to economic constraints</w:t>
      </w:r>
      <w:r w:rsidR="00267488">
        <w:rPr>
          <w:rFonts w:ascii="Avenir Next" w:hAnsi="Avenir Next" w:cs="Arial"/>
          <w:color w:val="7B7B7B" w:themeColor="accent3" w:themeShade="BF"/>
          <w:sz w:val="22"/>
          <w:szCs w:val="22"/>
        </w:rPr>
        <w:t>, the company</w:t>
      </w:r>
      <w:r w:rsidR="00622A51">
        <w:rPr>
          <w:rFonts w:ascii="Avenir Next" w:hAnsi="Avenir Next" w:cs="Arial"/>
          <w:color w:val="7B7B7B" w:themeColor="accent3" w:themeShade="BF"/>
          <w:sz w:val="22"/>
          <w:szCs w:val="22"/>
        </w:rPr>
        <w:t xml:space="preserve"> is planning to restructure its deb</w:t>
      </w:r>
      <w:r w:rsidR="007D2129">
        <w:rPr>
          <w:rFonts w:ascii="Avenir Next" w:hAnsi="Avenir Next" w:cs="Arial"/>
          <w:color w:val="7B7B7B" w:themeColor="accent3" w:themeShade="BF"/>
          <w:sz w:val="22"/>
          <w:szCs w:val="22"/>
        </w:rPr>
        <w:t xml:space="preserve">t </w:t>
      </w:r>
      <w:r w:rsidR="00267488">
        <w:rPr>
          <w:rFonts w:ascii="Avenir Next" w:hAnsi="Avenir Next" w:cs="Arial"/>
          <w:color w:val="7B7B7B" w:themeColor="accent3" w:themeShade="BF"/>
          <w:sz w:val="22"/>
          <w:szCs w:val="22"/>
        </w:rPr>
        <w:t>using</w:t>
      </w:r>
      <w:r w:rsidR="0085787D">
        <w:rPr>
          <w:rFonts w:ascii="Avenir Next" w:hAnsi="Avenir Next" w:cs="Arial"/>
          <w:color w:val="7B7B7B" w:themeColor="accent3" w:themeShade="BF"/>
          <w:sz w:val="22"/>
          <w:szCs w:val="22"/>
        </w:rPr>
        <w:t xml:space="preserve"> an English scheme of arrangement </w:t>
      </w:r>
      <w:r w:rsidR="00267488">
        <w:rPr>
          <w:rFonts w:ascii="Avenir Next" w:hAnsi="Avenir Next" w:cs="Arial"/>
          <w:color w:val="7B7B7B" w:themeColor="accent3" w:themeShade="BF"/>
          <w:sz w:val="22"/>
          <w:szCs w:val="22"/>
        </w:rPr>
        <w:t>in terms of</w:t>
      </w:r>
      <w:r w:rsidR="0085787D">
        <w:rPr>
          <w:rFonts w:ascii="Avenir Next" w:hAnsi="Avenir Next" w:cs="Arial"/>
          <w:color w:val="7B7B7B" w:themeColor="accent3" w:themeShade="BF"/>
          <w:sz w:val="22"/>
          <w:szCs w:val="22"/>
        </w:rPr>
        <w:t xml:space="preserve"> the Eurobonds.</w:t>
      </w:r>
    </w:p>
    <w:p w14:paraId="764AEA44" w14:textId="330A1B3B" w:rsidR="00631EB1" w:rsidRDefault="00631EB1" w:rsidP="00F03051">
      <w:pPr>
        <w:jc w:val="both"/>
        <w:rPr>
          <w:rFonts w:ascii="Avenir Next" w:hAnsi="Avenir Next" w:cs="Arial"/>
          <w:color w:val="7B7B7B" w:themeColor="accent3" w:themeShade="BF"/>
          <w:sz w:val="22"/>
          <w:szCs w:val="22"/>
        </w:rPr>
      </w:pPr>
    </w:p>
    <w:p w14:paraId="25C368E6" w14:textId="3F703928" w:rsidR="00631EB1" w:rsidRDefault="00DE1CCE" w:rsidP="00F03051">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An</w:t>
      </w:r>
      <w:r w:rsidR="00B83BDE">
        <w:rPr>
          <w:rFonts w:ascii="Avenir Next" w:hAnsi="Avenir Next" w:cs="Arial"/>
          <w:color w:val="7B7B7B" w:themeColor="accent3" w:themeShade="BF"/>
          <w:sz w:val="22"/>
          <w:szCs w:val="22"/>
        </w:rPr>
        <w:t xml:space="preserve"> </w:t>
      </w:r>
      <w:r w:rsidR="00AE564F">
        <w:rPr>
          <w:rFonts w:ascii="Avenir Next" w:hAnsi="Avenir Next" w:cs="Arial"/>
          <w:color w:val="7B7B7B" w:themeColor="accent3" w:themeShade="BF"/>
          <w:sz w:val="22"/>
          <w:szCs w:val="22"/>
        </w:rPr>
        <w:t xml:space="preserve">ancillary Chapter 15 proceeding can be initiated following the straightforward requirements set </w:t>
      </w:r>
      <w:r w:rsidR="00EF4353">
        <w:rPr>
          <w:rFonts w:ascii="Avenir Next" w:hAnsi="Avenir Next" w:cs="Arial"/>
          <w:color w:val="7B7B7B" w:themeColor="accent3" w:themeShade="BF"/>
          <w:sz w:val="22"/>
          <w:szCs w:val="22"/>
        </w:rPr>
        <w:t>out</w:t>
      </w:r>
      <w:r w:rsidR="00AE564F">
        <w:rPr>
          <w:rFonts w:ascii="Avenir Next" w:hAnsi="Avenir Next" w:cs="Arial"/>
          <w:color w:val="7B7B7B" w:themeColor="accent3" w:themeShade="BF"/>
          <w:sz w:val="22"/>
          <w:szCs w:val="22"/>
        </w:rPr>
        <w:t xml:space="preserve"> </w:t>
      </w:r>
      <w:r w:rsidR="00EF4353">
        <w:rPr>
          <w:rFonts w:ascii="Avenir Next" w:hAnsi="Avenir Next" w:cs="Arial"/>
          <w:color w:val="7B7B7B" w:themeColor="accent3" w:themeShade="BF"/>
          <w:sz w:val="22"/>
          <w:szCs w:val="22"/>
        </w:rPr>
        <w:t>in</w:t>
      </w:r>
      <w:r w:rsidR="00AE564F">
        <w:rPr>
          <w:rFonts w:ascii="Avenir Next" w:hAnsi="Avenir Next" w:cs="Arial"/>
          <w:color w:val="7B7B7B" w:themeColor="accent3" w:themeShade="BF"/>
          <w:sz w:val="22"/>
          <w:szCs w:val="22"/>
        </w:rPr>
        <w:t xml:space="preserve"> the Bankruptcy Code. </w:t>
      </w:r>
      <w:r w:rsidR="003505C1">
        <w:rPr>
          <w:rFonts w:ascii="Avenir Next" w:hAnsi="Avenir Next" w:cs="Arial"/>
          <w:color w:val="7B7B7B" w:themeColor="accent3" w:themeShade="BF"/>
          <w:sz w:val="22"/>
          <w:szCs w:val="22"/>
        </w:rPr>
        <w:t xml:space="preserve">The proceeding will concern assets situated in the US territory. </w:t>
      </w:r>
      <w:r w:rsidR="00602039">
        <w:rPr>
          <w:rFonts w:ascii="Avenir Next" w:hAnsi="Avenir Next" w:cs="Arial"/>
          <w:color w:val="7B7B7B" w:themeColor="accent3" w:themeShade="BF"/>
          <w:sz w:val="22"/>
          <w:szCs w:val="22"/>
        </w:rPr>
        <w:t xml:space="preserve">The above-mentioned exceptions as to the persons that may </w:t>
      </w:r>
      <w:r w:rsidR="00725F30">
        <w:rPr>
          <w:rFonts w:ascii="Avenir Next" w:hAnsi="Avenir Next" w:cs="Arial"/>
          <w:color w:val="7B7B7B" w:themeColor="accent3" w:themeShade="BF"/>
          <w:sz w:val="22"/>
          <w:szCs w:val="22"/>
        </w:rPr>
        <w:t xml:space="preserve">not </w:t>
      </w:r>
      <w:r w:rsidR="00602039">
        <w:rPr>
          <w:rFonts w:ascii="Avenir Next" w:hAnsi="Avenir Next" w:cs="Arial"/>
          <w:color w:val="7B7B7B" w:themeColor="accent3" w:themeShade="BF"/>
          <w:sz w:val="22"/>
          <w:szCs w:val="22"/>
        </w:rPr>
        <w:t xml:space="preserve">commence such proceedings do not apply in </w:t>
      </w:r>
      <w:r w:rsidR="00EF4353">
        <w:rPr>
          <w:rFonts w:ascii="Avenir Next" w:hAnsi="Avenir Next" w:cs="Arial"/>
          <w:color w:val="7B7B7B" w:themeColor="accent3" w:themeShade="BF"/>
          <w:sz w:val="22"/>
          <w:szCs w:val="22"/>
        </w:rPr>
        <w:t>the present</w:t>
      </w:r>
      <w:r w:rsidR="00602039">
        <w:rPr>
          <w:rFonts w:ascii="Avenir Next" w:hAnsi="Avenir Next" w:cs="Arial"/>
          <w:color w:val="7B7B7B" w:themeColor="accent3" w:themeShade="BF"/>
          <w:sz w:val="22"/>
          <w:szCs w:val="22"/>
        </w:rPr>
        <w:t xml:space="preserve"> case. </w:t>
      </w:r>
      <w:r w:rsidR="003E7A35">
        <w:rPr>
          <w:rFonts w:ascii="Avenir Next" w:hAnsi="Avenir Next" w:cs="Arial"/>
          <w:color w:val="7B7B7B" w:themeColor="accent3" w:themeShade="BF"/>
          <w:sz w:val="22"/>
          <w:szCs w:val="22"/>
        </w:rPr>
        <w:t xml:space="preserve">An assessment of recent US case law </w:t>
      </w:r>
      <w:r w:rsidR="00603971">
        <w:rPr>
          <w:rFonts w:ascii="Avenir Next" w:hAnsi="Avenir Next" w:cs="Arial"/>
          <w:color w:val="7B7B7B" w:themeColor="accent3" w:themeShade="BF"/>
          <w:sz w:val="22"/>
          <w:szCs w:val="22"/>
        </w:rPr>
        <w:t xml:space="preserve">gives a positive answer to the question of </w:t>
      </w:r>
      <w:r w:rsidR="00E55918">
        <w:rPr>
          <w:rFonts w:ascii="Avenir Next" w:hAnsi="Avenir Next" w:cs="Arial"/>
          <w:color w:val="7B7B7B" w:themeColor="accent3" w:themeShade="BF"/>
          <w:sz w:val="22"/>
          <w:szCs w:val="22"/>
        </w:rPr>
        <w:t>whether recognition of English schemes of arrangement is possible</w:t>
      </w:r>
      <w:r w:rsidR="00603971">
        <w:rPr>
          <w:rFonts w:ascii="Avenir Next" w:hAnsi="Avenir Next" w:cs="Arial"/>
          <w:color w:val="7B7B7B" w:themeColor="accent3" w:themeShade="BF"/>
          <w:sz w:val="22"/>
          <w:szCs w:val="22"/>
        </w:rPr>
        <w:t>. US Courts have</w:t>
      </w:r>
      <w:r w:rsidR="003E7A35">
        <w:rPr>
          <w:rFonts w:ascii="Avenir Next" w:hAnsi="Avenir Next" w:cs="Arial"/>
          <w:color w:val="7B7B7B" w:themeColor="accent3" w:themeShade="BF"/>
          <w:sz w:val="22"/>
          <w:szCs w:val="22"/>
        </w:rPr>
        <w:t xml:space="preserve"> been recognizing </w:t>
      </w:r>
      <w:r w:rsidR="00E55918">
        <w:rPr>
          <w:rFonts w:ascii="Avenir Next" w:hAnsi="Avenir Next" w:cs="Arial"/>
          <w:color w:val="7B7B7B" w:themeColor="accent3" w:themeShade="BF"/>
          <w:sz w:val="22"/>
          <w:szCs w:val="22"/>
        </w:rPr>
        <w:t>various</w:t>
      </w:r>
      <w:r w:rsidR="003E7A35">
        <w:rPr>
          <w:rFonts w:ascii="Avenir Next" w:hAnsi="Avenir Next" w:cs="Arial"/>
          <w:color w:val="7B7B7B" w:themeColor="accent3" w:themeShade="BF"/>
          <w:sz w:val="22"/>
          <w:szCs w:val="22"/>
        </w:rPr>
        <w:t xml:space="preserve"> proceedings originating from different legal traditions and </w:t>
      </w:r>
      <w:r w:rsidR="00E55918">
        <w:rPr>
          <w:rFonts w:ascii="Avenir Next" w:hAnsi="Avenir Next" w:cs="Arial"/>
          <w:color w:val="7B7B7B" w:themeColor="accent3" w:themeShade="BF"/>
          <w:sz w:val="22"/>
          <w:szCs w:val="22"/>
        </w:rPr>
        <w:t xml:space="preserve">have been </w:t>
      </w:r>
      <w:r w:rsidR="003E7A35">
        <w:rPr>
          <w:rFonts w:ascii="Avenir Next" w:hAnsi="Avenir Next" w:cs="Arial"/>
          <w:color w:val="7B7B7B" w:themeColor="accent3" w:themeShade="BF"/>
          <w:sz w:val="22"/>
          <w:szCs w:val="22"/>
        </w:rPr>
        <w:t>interpreting those proceedings as insolvency law-related in the context of Chapter 15</w:t>
      </w:r>
      <w:r w:rsidR="00603971">
        <w:rPr>
          <w:rFonts w:ascii="Avenir Next" w:hAnsi="Avenir Next" w:cs="Arial"/>
          <w:color w:val="7B7B7B" w:themeColor="accent3" w:themeShade="BF"/>
          <w:sz w:val="22"/>
          <w:szCs w:val="22"/>
        </w:rPr>
        <w:t>.</w:t>
      </w:r>
      <w:r w:rsidR="003E7A35">
        <w:rPr>
          <w:rFonts w:ascii="Avenir Next" w:hAnsi="Avenir Next" w:cs="Arial"/>
          <w:color w:val="7B7B7B" w:themeColor="accent3" w:themeShade="BF"/>
          <w:sz w:val="22"/>
          <w:szCs w:val="22"/>
        </w:rPr>
        <w:t xml:space="preserve"> Even the concept of public policy </w:t>
      </w:r>
      <w:r w:rsidR="004D7BC1">
        <w:rPr>
          <w:rFonts w:ascii="Avenir Next" w:hAnsi="Avenir Next" w:cs="Arial"/>
          <w:color w:val="7B7B7B" w:themeColor="accent3" w:themeShade="BF"/>
          <w:sz w:val="22"/>
          <w:szCs w:val="22"/>
        </w:rPr>
        <w:t>is given</w:t>
      </w:r>
      <w:r w:rsidR="003E7A35">
        <w:rPr>
          <w:rFonts w:ascii="Avenir Next" w:hAnsi="Avenir Next" w:cs="Arial"/>
          <w:color w:val="7B7B7B" w:themeColor="accent3" w:themeShade="BF"/>
          <w:sz w:val="22"/>
          <w:szCs w:val="22"/>
        </w:rPr>
        <w:t xml:space="preserve"> narrow interpretation </w:t>
      </w:r>
      <w:r w:rsidR="004D7BC1">
        <w:rPr>
          <w:rFonts w:ascii="Avenir Next" w:hAnsi="Avenir Next" w:cs="Arial"/>
          <w:color w:val="7B7B7B" w:themeColor="accent3" w:themeShade="BF"/>
          <w:sz w:val="22"/>
          <w:szCs w:val="22"/>
        </w:rPr>
        <w:t>by</w:t>
      </w:r>
      <w:r w:rsidR="003E7A35">
        <w:rPr>
          <w:rFonts w:ascii="Avenir Next" w:hAnsi="Avenir Next" w:cs="Arial"/>
          <w:color w:val="7B7B7B" w:themeColor="accent3" w:themeShade="BF"/>
          <w:sz w:val="22"/>
          <w:szCs w:val="22"/>
        </w:rPr>
        <w:t xml:space="preserve"> US Courts</w:t>
      </w:r>
      <w:r w:rsidR="00F77858">
        <w:rPr>
          <w:rFonts w:ascii="Avenir Next" w:hAnsi="Avenir Next" w:cs="Arial"/>
          <w:color w:val="7B7B7B" w:themeColor="accent3" w:themeShade="BF"/>
          <w:sz w:val="22"/>
          <w:szCs w:val="22"/>
        </w:rPr>
        <w:t xml:space="preserve"> and such discussions are mostly present in the field of additional assistance.</w:t>
      </w:r>
    </w:p>
    <w:p w14:paraId="312CB559" w14:textId="1B35D7FF" w:rsidR="003F73CF" w:rsidRDefault="003F73CF" w:rsidP="00F03051">
      <w:pPr>
        <w:jc w:val="both"/>
        <w:rPr>
          <w:rFonts w:ascii="Avenir Next" w:hAnsi="Avenir Next" w:cs="Arial"/>
          <w:color w:val="7B7B7B" w:themeColor="accent3" w:themeShade="BF"/>
          <w:sz w:val="22"/>
          <w:szCs w:val="22"/>
        </w:rPr>
      </w:pPr>
    </w:p>
    <w:p w14:paraId="171A224E" w14:textId="56152F38" w:rsidR="00827EDF" w:rsidRDefault="007D14AC" w:rsidP="001B74D1">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Turning to the issue of the recognition of a foreign main or non-main proceeding</w:t>
      </w:r>
      <w:r w:rsidR="00656EDD">
        <w:rPr>
          <w:rFonts w:ascii="Avenir Next" w:hAnsi="Avenir Next" w:cs="Arial"/>
          <w:color w:val="7B7B7B" w:themeColor="accent3" w:themeShade="BF"/>
          <w:sz w:val="22"/>
          <w:szCs w:val="22"/>
        </w:rPr>
        <w:t xml:space="preserve">, </w:t>
      </w:r>
      <w:r w:rsidR="00DF4D45">
        <w:rPr>
          <w:rFonts w:ascii="Avenir Next" w:hAnsi="Avenir Next" w:cs="Arial"/>
          <w:color w:val="7B7B7B" w:themeColor="accent3" w:themeShade="BF"/>
          <w:sz w:val="22"/>
          <w:szCs w:val="22"/>
        </w:rPr>
        <w:t xml:space="preserve">it </w:t>
      </w:r>
      <w:r w:rsidR="00B87ED7">
        <w:rPr>
          <w:rFonts w:ascii="Avenir Next" w:hAnsi="Avenir Next" w:cs="Arial"/>
          <w:color w:val="7B7B7B" w:themeColor="accent3" w:themeShade="BF"/>
          <w:sz w:val="22"/>
          <w:szCs w:val="22"/>
        </w:rPr>
        <w:t>i</w:t>
      </w:r>
      <w:r w:rsidR="00DF4D45">
        <w:rPr>
          <w:rFonts w:ascii="Avenir Next" w:hAnsi="Avenir Next" w:cs="Arial"/>
          <w:color w:val="7B7B7B" w:themeColor="accent3" w:themeShade="BF"/>
          <w:sz w:val="22"/>
          <w:szCs w:val="22"/>
        </w:rPr>
        <w:t xml:space="preserve">s important to underscore the </w:t>
      </w:r>
      <w:r w:rsidR="00E363DD">
        <w:rPr>
          <w:rFonts w:ascii="Avenir Next" w:hAnsi="Avenir Next" w:cs="Arial"/>
          <w:color w:val="7B7B7B" w:themeColor="accent3" w:themeShade="BF"/>
          <w:sz w:val="22"/>
          <w:szCs w:val="22"/>
        </w:rPr>
        <w:t xml:space="preserve">legal </w:t>
      </w:r>
      <w:r w:rsidR="004417DC">
        <w:rPr>
          <w:rFonts w:ascii="Avenir Next" w:hAnsi="Avenir Next" w:cs="Arial"/>
          <w:color w:val="7B7B7B" w:themeColor="accent3" w:themeShade="BF"/>
          <w:sz w:val="22"/>
          <w:szCs w:val="22"/>
        </w:rPr>
        <w:t>challenges surround</w:t>
      </w:r>
      <w:r w:rsidR="001C4120">
        <w:rPr>
          <w:rFonts w:ascii="Avenir Next" w:hAnsi="Avenir Next" w:cs="Arial"/>
          <w:color w:val="7B7B7B" w:themeColor="accent3" w:themeShade="BF"/>
          <w:sz w:val="22"/>
          <w:szCs w:val="22"/>
        </w:rPr>
        <w:t>ing</w:t>
      </w:r>
      <w:r w:rsidR="004417DC">
        <w:rPr>
          <w:rFonts w:ascii="Avenir Next" w:hAnsi="Avenir Next" w:cs="Arial"/>
          <w:color w:val="7B7B7B" w:themeColor="accent3" w:themeShade="BF"/>
          <w:sz w:val="22"/>
          <w:szCs w:val="22"/>
        </w:rPr>
        <w:t xml:space="preserve"> th</w:t>
      </w:r>
      <w:r w:rsidR="009A37A4">
        <w:rPr>
          <w:rFonts w:ascii="Avenir Next" w:hAnsi="Avenir Next" w:cs="Arial"/>
          <w:color w:val="7B7B7B" w:themeColor="accent3" w:themeShade="BF"/>
          <w:sz w:val="22"/>
          <w:szCs w:val="22"/>
        </w:rPr>
        <w:t>e</w:t>
      </w:r>
      <w:r w:rsidR="004417DC">
        <w:rPr>
          <w:rFonts w:ascii="Avenir Next" w:hAnsi="Avenir Next" w:cs="Arial"/>
          <w:color w:val="7B7B7B" w:themeColor="accent3" w:themeShade="BF"/>
          <w:sz w:val="22"/>
          <w:szCs w:val="22"/>
        </w:rPr>
        <w:t xml:space="preserve">se </w:t>
      </w:r>
      <w:r w:rsidR="00DF4D45">
        <w:rPr>
          <w:rFonts w:ascii="Avenir Next" w:hAnsi="Avenir Next" w:cs="Arial"/>
          <w:color w:val="7B7B7B" w:themeColor="accent3" w:themeShade="BF"/>
          <w:sz w:val="22"/>
          <w:szCs w:val="22"/>
        </w:rPr>
        <w:t>discussions</w:t>
      </w:r>
      <w:r w:rsidR="00E363DD">
        <w:rPr>
          <w:rFonts w:ascii="Avenir Next" w:hAnsi="Avenir Next" w:cs="Arial"/>
          <w:color w:val="7B7B7B" w:themeColor="accent3" w:themeShade="BF"/>
          <w:sz w:val="22"/>
          <w:szCs w:val="22"/>
        </w:rPr>
        <w:t>.</w:t>
      </w:r>
      <w:r w:rsidR="00073401">
        <w:rPr>
          <w:rFonts w:ascii="Avenir Next" w:hAnsi="Avenir Next" w:cs="Arial"/>
          <w:color w:val="7B7B7B" w:themeColor="accent3" w:themeShade="BF"/>
          <w:sz w:val="22"/>
          <w:szCs w:val="22"/>
        </w:rPr>
        <w:t xml:space="preserve"> The determination of the proceeding as foreig</w:t>
      </w:r>
      <w:r w:rsidR="00F03060">
        <w:rPr>
          <w:rFonts w:ascii="Avenir Next" w:hAnsi="Avenir Next" w:cs="Arial"/>
          <w:color w:val="7B7B7B" w:themeColor="accent3" w:themeShade="BF"/>
          <w:sz w:val="22"/>
          <w:szCs w:val="22"/>
        </w:rPr>
        <w:t xml:space="preserve">n </w:t>
      </w:r>
      <w:r w:rsidR="00073401">
        <w:rPr>
          <w:rFonts w:ascii="Avenir Next" w:hAnsi="Avenir Next" w:cs="Arial"/>
          <w:color w:val="7B7B7B" w:themeColor="accent3" w:themeShade="BF"/>
          <w:sz w:val="22"/>
          <w:szCs w:val="22"/>
        </w:rPr>
        <w:t>main or non-main is crucial</w:t>
      </w:r>
      <w:r w:rsidR="00F03060" w:rsidRPr="00F03060">
        <w:rPr>
          <w:rFonts w:ascii="Avenir Next" w:hAnsi="Avenir Next" w:cs="Arial"/>
          <w:color w:val="7B7B7B" w:themeColor="accent3" w:themeShade="BF"/>
          <w:sz w:val="22"/>
          <w:szCs w:val="22"/>
        </w:rPr>
        <w:t xml:space="preserve"> </w:t>
      </w:r>
      <w:r w:rsidR="00073401">
        <w:rPr>
          <w:rFonts w:ascii="Avenir Next" w:hAnsi="Avenir Next" w:cs="Arial"/>
          <w:color w:val="7B7B7B" w:themeColor="accent3" w:themeShade="BF"/>
          <w:sz w:val="22"/>
          <w:szCs w:val="22"/>
        </w:rPr>
        <w:t xml:space="preserve">for the </w:t>
      </w:r>
      <w:r w:rsidR="00AB6F87">
        <w:rPr>
          <w:rFonts w:ascii="Avenir Next" w:hAnsi="Avenir Next" w:cs="Arial"/>
          <w:color w:val="7B7B7B" w:themeColor="accent3" w:themeShade="BF"/>
          <w:sz w:val="22"/>
          <w:szCs w:val="22"/>
        </w:rPr>
        <w:t xml:space="preserve">type of the </w:t>
      </w:r>
      <w:r w:rsidR="00073401">
        <w:rPr>
          <w:rFonts w:ascii="Avenir Next" w:hAnsi="Avenir Next" w:cs="Arial"/>
          <w:color w:val="7B7B7B" w:themeColor="accent3" w:themeShade="BF"/>
          <w:sz w:val="22"/>
          <w:szCs w:val="22"/>
        </w:rPr>
        <w:t>subsequent relief that will be granted</w:t>
      </w:r>
      <w:r w:rsidR="00B87ED7">
        <w:rPr>
          <w:rFonts w:ascii="Avenir Next" w:hAnsi="Avenir Next" w:cs="Arial"/>
          <w:color w:val="7B7B7B" w:themeColor="accent3" w:themeShade="BF"/>
          <w:sz w:val="22"/>
          <w:szCs w:val="22"/>
        </w:rPr>
        <w:t xml:space="preserve">. </w:t>
      </w:r>
      <w:r w:rsidR="00AB6F87">
        <w:rPr>
          <w:rFonts w:ascii="Avenir Next" w:hAnsi="Avenir Next" w:cs="Arial"/>
          <w:color w:val="7B7B7B" w:themeColor="accent3" w:themeShade="BF"/>
          <w:sz w:val="22"/>
          <w:szCs w:val="22"/>
        </w:rPr>
        <w:t xml:space="preserve">If a proceeding has been initiated </w:t>
      </w:r>
      <w:r w:rsidR="006141EB">
        <w:rPr>
          <w:rFonts w:ascii="Avenir Next" w:hAnsi="Avenir Next" w:cs="Arial"/>
          <w:color w:val="7B7B7B" w:themeColor="accent3" w:themeShade="BF"/>
          <w:sz w:val="22"/>
          <w:szCs w:val="22"/>
        </w:rPr>
        <w:t>in the center of main interests o</w:t>
      </w:r>
      <w:r w:rsidR="002861CE">
        <w:rPr>
          <w:rFonts w:ascii="Avenir Next" w:hAnsi="Avenir Next" w:cs="Arial"/>
          <w:color w:val="7B7B7B" w:themeColor="accent3" w:themeShade="BF"/>
          <w:sz w:val="22"/>
          <w:szCs w:val="22"/>
        </w:rPr>
        <w:t>f</w:t>
      </w:r>
      <w:r w:rsidR="006141EB">
        <w:rPr>
          <w:rFonts w:ascii="Avenir Next" w:hAnsi="Avenir Next" w:cs="Arial"/>
          <w:color w:val="7B7B7B" w:themeColor="accent3" w:themeShade="BF"/>
          <w:sz w:val="22"/>
          <w:szCs w:val="22"/>
        </w:rPr>
        <w:t xml:space="preserve"> the debtor (COMI) </w:t>
      </w:r>
      <w:r w:rsidR="008F190E">
        <w:rPr>
          <w:rFonts w:ascii="Avenir Next" w:hAnsi="Avenir Next" w:cs="Arial"/>
          <w:color w:val="7B7B7B" w:themeColor="accent3" w:themeShade="BF"/>
          <w:sz w:val="22"/>
          <w:szCs w:val="22"/>
        </w:rPr>
        <w:t xml:space="preserve">then it </w:t>
      </w:r>
      <w:r w:rsidR="002861CE">
        <w:rPr>
          <w:rFonts w:ascii="Avenir Next" w:hAnsi="Avenir Next" w:cs="Arial"/>
          <w:color w:val="7B7B7B" w:themeColor="accent3" w:themeShade="BF"/>
          <w:sz w:val="22"/>
          <w:szCs w:val="22"/>
        </w:rPr>
        <w:t>concerns</w:t>
      </w:r>
      <w:r w:rsidR="008F190E">
        <w:rPr>
          <w:rFonts w:ascii="Avenir Next" w:hAnsi="Avenir Next" w:cs="Arial"/>
          <w:color w:val="7B7B7B" w:themeColor="accent3" w:themeShade="BF"/>
          <w:sz w:val="22"/>
          <w:szCs w:val="22"/>
        </w:rPr>
        <w:t xml:space="preserve"> a foreign main proceeding. In case the proceeding took place in a different jurisdiction than the COMI of the debt</w:t>
      </w:r>
      <w:r w:rsidR="000659CF">
        <w:rPr>
          <w:rFonts w:ascii="Avenir Next" w:hAnsi="Avenir Next" w:cs="Arial"/>
          <w:color w:val="7B7B7B" w:themeColor="accent3" w:themeShade="BF"/>
          <w:sz w:val="22"/>
          <w:szCs w:val="22"/>
        </w:rPr>
        <w:t xml:space="preserve">or </w:t>
      </w:r>
      <w:r w:rsidR="004B4BBD">
        <w:rPr>
          <w:rFonts w:ascii="Avenir Next" w:hAnsi="Avenir Next" w:cs="Arial"/>
          <w:color w:val="7B7B7B" w:themeColor="accent3" w:themeShade="BF"/>
          <w:sz w:val="22"/>
          <w:szCs w:val="22"/>
        </w:rPr>
        <w:t xml:space="preserve">then the proceeding </w:t>
      </w:r>
      <w:r w:rsidR="00C17269">
        <w:rPr>
          <w:rFonts w:ascii="Avenir Next" w:hAnsi="Avenir Next" w:cs="Arial"/>
          <w:color w:val="7B7B7B" w:themeColor="accent3" w:themeShade="BF"/>
          <w:sz w:val="22"/>
          <w:szCs w:val="22"/>
        </w:rPr>
        <w:t xml:space="preserve">could be determined </w:t>
      </w:r>
      <w:r w:rsidR="004B4BBD">
        <w:rPr>
          <w:rFonts w:ascii="Avenir Next" w:hAnsi="Avenir Next" w:cs="Arial"/>
          <w:color w:val="7B7B7B" w:themeColor="accent3" w:themeShade="BF"/>
          <w:sz w:val="22"/>
          <w:szCs w:val="22"/>
        </w:rPr>
        <w:t>as a foreign non-main proceeding</w:t>
      </w:r>
      <w:r w:rsidR="007D4725">
        <w:rPr>
          <w:rFonts w:ascii="Avenir Next" w:hAnsi="Avenir Next" w:cs="Arial"/>
          <w:color w:val="7B7B7B" w:themeColor="accent3" w:themeShade="BF"/>
          <w:sz w:val="22"/>
          <w:szCs w:val="22"/>
        </w:rPr>
        <w:t xml:space="preserve">. Nevertheless, this is possible only </w:t>
      </w:r>
      <w:r w:rsidR="001E4204">
        <w:rPr>
          <w:rFonts w:ascii="Avenir Next" w:hAnsi="Avenir Next" w:cs="Arial"/>
          <w:color w:val="7B7B7B" w:themeColor="accent3" w:themeShade="BF"/>
          <w:sz w:val="22"/>
          <w:szCs w:val="22"/>
        </w:rPr>
        <w:t>in the event</w:t>
      </w:r>
      <w:r w:rsidR="007D4725">
        <w:rPr>
          <w:rFonts w:ascii="Avenir Next" w:hAnsi="Avenir Next" w:cs="Arial"/>
          <w:color w:val="7B7B7B" w:themeColor="accent3" w:themeShade="BF"/>
          <w:sz w:val="22"/>
          <w:szCs w:val="22"/>
        </w:rPr>
        <w:t xml:space="preserve"> </w:t>
      </w:r>
      <w:r w:rsidR="001E4204">
        <w:rPr>
          <w:rFonts w:ascii="Avenir Next" w:hAnsi="Avenir Next" w:cs="Arial"/>
          <w:color w:val="7B7B7B" w:themeColor="accent3" w:themeShade="BF"/>
          <w:sz w:val="22"/>
          <w:szCs w:val="22"/>
        </w:rPr>
        <w:t xml:space="preserve">the debtor has </w:t>
      </w:r>
      <w:r w:rsidR="007D4725">
        <w:rPr>
          <w:rFonts w:ascii="Avenir Next" w:hAnsi="Avenir Next" w:cs="Arial"/>
          <w:color w:val="7B7B7B" w:themeColor="accent3" w:themeShade="BF"/>
          <w:sz w:val="22"/>
          <w:szCs w:val="22"/>
        </w:rPr>
        <w:t>an establishment in th</w:t>
      </w:r>
      <w:r w:rsidR="001E4204">
        <w:rPr>
          <w:rFonts w:ascii="Avenir Next" w:hAnsi="Avenir Next" w:cs="Arial"/>
          <w:color w:val="7B7B7B" w:themeColor="accent3" w:themeShade="BF"/>
          <w:sz w:val="22"/>
          <w:szCs w:val="22"/>
        </w:rPr>
        <w:t>at</w:t>
      </w:r>
      <w:r w:rsidR="007D4725">
        <w:rPr>
          <w:rFonts w:ascii="Avenir Next" w:hAnsi="Avenir Next" w:cs="Arial"/>
          <w:color w:val="7B7B7B" w:themeColor="accent3" w:themeShade="BF"/>
          <w:sz w:val="22"/>
          <w:szCs w:val="22"/>
        </w:rPr>
        <w:t xml:space="preserve"> jurisdiction.</w:t>
      </w:r>
      <w:r w:rsidR="001E4204">
        <w:rPr>
          <w:rFonts w:ascii="Avenir Next" w:hAnsi="Avenir Next" w:cs="Arial"/>
          <w:color w:val="7B7B7B" w:themeColor="accent3" w:themeShade="BF"/>
          <w:sz w:val="22"/>
          <w:szCs w:val="22"/>
        </w:rPr>
        <w:t xml:space="preserve"> </w:t>
      </w:r>
      <w:r w:rsidR="00450485">
        <w:rPr>
          <w:rFonts w:ascii="Avenir Next" w:hAnsi="Avenir Next" w:cs="Arial"/>
          <w:color w:val="7B7B7B" w:themeColor="accent3" w:themeShade="BF"/>
          <w:sz w:val="22"/>
          <w:szCs w:val="22"/>
        </w:rPr>
        <w:t xml:space="preserve">An establishment, simply put, </w:t>
      </w:r>
      <w:r w:rsidR="00B70A52">
        <w:rPr>
          <w:rFonts w:ascii="Avenir Next" w:hAnsi="Avenir Next" w:cs="Arial"/>
          <w:color w:val="7B7B7B" w:themeColor="accent3" w:themeShade="BF"/>
          <w:sz w:val="22"/>
          <w:szCs w:val="22"/>
        </w:rPr>
        <w:t>refers to</w:t>
      </w:r>
      <w:r w:rsidR="00450485">
        <w:rPr>
          <w:rFonts w:ascii="Avenir Next" w:hAnsi="Avenir Next" w:cs="Arial"/>
          <w:color w:val="7B7B7B" w:themeColor="accent3" w:themeShade="BF"/>
          <w:sz w:val="22"/>
          <w:szCs w:val="22"/>
        </w:rPr>
        <w:t xml:space="preserve"> a place of </w:t>
      </w:r>
      <w:r w:rsidR="00C024D3">
        <w:rPr>
          <w:rFonts w:ascii="Avenir Next" w:hAnsi="Avenir Next" w:cs="Arial"/>
          <w:color w:val="7B7B7B" w:themeColor="accent3" w:themeShade="BF"/>
          <w:sz w:val="22"/>
          <w:szCs w:val="22"/>
        </w:rPr>
        <w:t xml:space="preserve">operations where the debtor performs </w:t>
      </w:r>
      <w:r w:rsidR="00450485">
        <w:rPr>
          <w:rFonts w:ascii="Avenir Next" w:hAnsi="Avenir Next" w:cs="Arial"/>
          <w:color w:val="7B7B7B" w:themeColor="accent3" w:themeShade="BF"/>
          <w:sz w:val="22"/>
          <w:szCs w:val="22"/>
        </w:rPr>
        <w:t xml:space="preserve">“non-transitory economic activity”. </w:t>
      </w:r>
      <w:r w:rsidR="00572616">
        <w:rPr>
          <w:rFonts w:ascii="Avenir Next" w:hAnsi="Avenir Next" w:cs="Arial"/>
          <w:color w:val="7B7B7B" w:themeColor="accent3" w:themeShade="BF"/>
          <w:sz w:val="22"/>
          <w:szCs w:val="22"/>
        </w:rPr>
        <w:t xml:space="preserve">Both concepts, COMI and establishment, </w:t>
      </w:r>
      <w:r w:rsidR="00450485">
        <w:rPr>
          <w:rFonts w:ascii="Avenir Next" w:hAnsi="Avenir Next" w:cs="Arial"/>
          <w:color w:val="7B7B7B" w:themeColor="accent3" w:themeShade="BF"/>
          <w:sz w:val="22"/>
          <w:szCs w:val="22"/>
        </w:rPr>
        <w:t>have been imported</w:t>
      </w:r>
      <w:r w:rsidR="00572616">
        <w:rPr>
          <w:rFonts w:ascii="Avenir Next" w:hAnsi="Avenir Next" w:cs="Arial"/>
          <w:color w:val="7B7B7B" w:themeColor="accent3" w:themeShade="BF"/>
          <w:sz w:val="22"/>
          <w:szCs w:val="22"/>
        </w:rPr>
        <w:t xml:space="preserve"> from European insolvency law</w:t>
      </w:r>
      <w:r w:rsidR="00450485">
        <w:rPr>
          <w:rFonts w:ascii="Avenir Next" w:hAnsi="Avenir Next" w:cs="Arial"/>
          <w:color w:val="7B7B7B" w:themeColor="accent3" w:themeShade="BF"/>
          <w:sz w:val="22"/>
          <w:szCs w:val="22"/>
        </w:rPr>
        <w:t xml:space="preserve"> </w:t>
      </w:r>
      <w:r w:rsidR="000B53CC">
        <w:rPr>
          <w:rFonts w:ascii="Avenir Next" w:hAnsi="Avenir Next" w:cs="Arial"/>
          <w:color w:val="7B7B7B" w:themeColor="accent3" w:themeShade="BF"/>
          <w:sz w:val="22"/>
          <w:szCs w:val="22"/>
        </w:rPr>
        <w:t>in</w:t>
      </w:r>
      <w:r w:rsidR="00450485">
        <w:rPr>
          <w:rFonts w:ascii="Avenir Next" w:hAnsi="Avenir Next" w:cs="Arial"/>
          <w:color w:val="7B7B7B" w:themeColor="accent3" w:themeShade="BF"/>
          <w:sz w:val="22"/>
          <w:szCs w:val="22"/>
        </w:rPr>
        <w:t>to US Chapter 15 proceedings</w:t>
      </w:r>
      <w:r w:rsidR="0041714F">
        <w:rPr>
          <w:rFonts w:ascii="Avenir Next" w:hAnsi="Avenir Next" w:cs="Arial"/>
          <w:color w:val="7B7B7B" w:themeColor="accent3" w:themeShade="BF"/>
          <w:sz w:val="22"/>
          <w:szCs w:val="22"/>
        </w:rPr>
        <w:t>.</w:t>
      </w:r>
    </w:p>
    <w:p w14:paraId="61890181" w14:textId="77777777" w:rsidR="00827EDF" w:rsidRDefault="00827EDF" w:rsidP="001B74D1">
      <w:pPr>
        <w:jc w:val="both"/>
        <w:rPr>
          <w:rFonts w:ascii="Avenir Next" w:hAnsi="Avenir Next" w:cs="Arial"/>
          <w:color w:val="7B7B7B" w:themeColor="accent3" w:themeShade="BF"/>
          <w:sz w:val="22"/>
          <w:szCs w:val="22"/>
        </w:rPr>
      </w:pPr>
    </w:p>
    <w:p w14:paraId="030A504B" w14:textId="70D73E1F" w:rsidR="00526F89" w:rsidRPr="00536911" w:rsidRDefault="0041714F" w:rsidP="001B74D1">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For the determination of jurisdiction,</w:t>
      </w:r>
      <w:r w:rsidR="00BA39D9">
        <w:rPr>
          <w:rFonts w:ascii="Avenir Next" w:hAnsi="Avenir Next" w:cs="Arial"/>
          <w:color w:val="7B7B7B" w:themeColor="accent3" w:themeShade="BF"/>
          <w:sz w:val="22"/>
          <w:szCs w:val="22"/>
        </w:rPr>
        <w:t xml:space="preserve"> instead of the concept of COMI,</w:t>
      </w:r>
      <w:r>
        <w:rPr>
          <w:rFonts w:ascii="Avenir Next" w:hAnsi="Avenir Next" w:cs="Arial"/>
          <w:color w:val="7B7B7B" w:themeColor="accent3" w:themeShade="BF"/>
          <w:sz w:val="22"/>
          <w:szCs w:val="22"/>
        </w:rPr>
        <w:t xml:space="preserve"> US law utilizes concepts such as principa</w:t>
      </w:r>
      <w:r w:rsidR="00CE199A">
        <w:rPr>
          <w:rFonts w:ascii="Avenir Next" w:hAnsi="Avenir Next" w:cs="Arial"/>
          <w:color w:val="7B7B7B" w:themeColor="accent3" w:themeShade="BF"/>
          <w:sz w:val="22"/>
          <w:szCs w:val="22"/>
        </w:rPr>
        <w:t>l</w:t>
      </w:r>
      <w:r>
        <w:rPr>
          <w:rFonts w:ascii="Avenir Next" w:hAnsi="Avenir Next" w:cs="Arial"/>
          <w:color w:val="7B7B7B" w:themeColor="accent3" w:themeShade="BF"/>
          <w:sz w:val="22"/>
          <w:szCs w:val="22"/>
        </w:rPr>
        <w:t xml:space="preserve"> place of business, domicile and location of assets </w:t>
      </w:r>
      <w:r w:rsidR="00CE199A">
        <w:rPr>
          <w:rFonts w:ascii="Avenir Next" w:hAnsi="Avenir Next" w:cs="Arial"/>
          <w:color w:val="7B7B7B" w:themeColor="accent3" w:themeShade="BF"/>
          <w:sz w:val="22"/>
          <w:szCs w:val="22"/>
        </w:rPr>
        <w:t>o</w:t>
      </w:r>
      <w:r>
        <w:rPr>
          <w:rFonts w:ascii="Avenir Next" w:hAnsi="Avenir Next" w:cs="Arial"/>
          <w:color w:val="7B7B7B" w:themeColor="accent3" w:themeShade="BF"/>
          <w:sz w:val="22"/>
          <w:szCs w:val="22"/>
        </w:rPr>
        <w:t>f the debtor</w:t>
      </w:r>
      <w:r w:rsidR="00CE199A">
        <w:rPr>
          <w:rFonts w:ascii="Avenir Next" w:hAnsi="Avenir Next" w:cs="Arial"/>
          <w:color w:val="7B7B7B" w:themeColor="accent3" w:themeShade="BF"/>
          <w:sz w:val="22"/>
          <w:szCs w:val="22"/>
        </w:rPr>
        <w:t xml:space="preserve"> (</w:t>
      </w:r>
      <w:r w:rsidR="00CE199A">
        <w:rPr>
          <w:rFonts w:ascii="Avenir Next" w:hAnsi="Avenir Next" w:cs="Arial"/>
          <w:i/>
          <w:iCs/>
          <w:color w:val="7B7B7B" w:themeColor="accent3" w:themeShade="BF"/>
          <w:sz w:val="22"/>
          <w:szCs w:val="22"/>
        </w:rPr>
        <w:t>see</w:t>
      </w:r>
      <w:r w:rsidR="00CE199A">
        <w:rPr>
          <w:rFonts w:ascii="Avenir Next" w:hAnsi="Avenir Next" w:cs="Arial"/>
          <w:color w:val="7B7B7B" w:themeColor="accent3" w:themeShade="BF"/>
          <w:sz w:val="22"/>
          <w:szCs w:val="22"/>
        </w:rPr>
        <w:t xml:space="preserve"> </w:t>
      </w:r>
      <w:r w:rsidR="00CE199A" w:rsidRPr="00057138">
        <w:rPr>
          <w:rFonts w:ascii="Avenir Next" w:hAnsi="Avenir Next" w:cs="Arial"/>
          <w:i/>
          <w:iCs/>
          <w:color w:val="7B7B7B" w:themeColor="accent3" w:themeShade="BF"/>
          <w:sz w:val="22"/>
          <w:szCs w:val="22"/>
        </w:rPr>
        <w:t xml:space="preserve">Morning Mist Holdings Ltd v </w:t>
      </w:r>
      <w:proofErr w:type="spellStart"/>
      <w:r w:rsidR="00CE199A" w:rsidRPr="00057138">
        <w:rPr>
          <w:rFonts w:ascii="Avenir Next" w:hAnsi="Avenir Next" w:cs="Arial"/>
          <w:i/>
          <w:iCs/>
          <w:color w:val="7B7B7B" w:themeColor="accent3" w:themeShade="BF"/>
          <w:sz w:val="22"/>
          <w:szCs w:val="22"/>
        </w:rPr>
        <w:t>Krys</w:t>
      </w:r>
      <w:proofErr w:type="spellEnd"/>
      <w:r w:rsidR="00CE199A" w:rsidRPr="00057138">
        <w:rPr>
          <w:rFonts w:ascii="Avenir Next" w:hAnsi="Avenir Next" w:cs="Arial"/>
          <w:i/>
          <w:iCs/>
          <w:color w:val="7B7B7B" w:themeColor="accent3" w:themeShade="BF"/>
          <w:sz w:val="22"/>
          <w:szCs w:val="22"/>
        </w:rPr>
        <w:t xml:space="preserve"> (In re Fairfield Sentry Ltd)</w:t>
      </w:r>
      <w:r w:rsidR="00CE199A">
        <w:rPr>
          <w:rFonts w:ascii="Avenir Next" w:hAnsi="Avenir Next" w:cs="Arial"/>
          <w:color w:val="7B7B7B" w:themeColor="accent3" w:themeShade="BF"/>
          <w:sz w:val="22"/>
          <w:szCs w:val="22"/>
        </w:rPr>
        <w:t>, 714 F.3d 127</w:t>
      </w:r>
      <w:r w:rsidR="00CD6278">
        <w:rPr>
          <w:rFonts w:ascii="Avenir Next" w:hAnsi="Avenir Next" w:cs="Arial"/>
          <w:color w:val="7B7B7B" w:themeColor="accent3" w:themeShade="BF"/>
          <w:sz w:val="22"/>
          <w:szCs w:val="22"/>
        </w:rPr>
        <w:t>, 133-34 (2d Cir 2013)).</w:t>
      </w:r>
      <w:r w:rsidR="0065519D">
        <w:rPr>
          <w:rFonts w:ascii="Avenir Next" w:hAnsi="Avenir Next" w:cs="Arial"/>
          <w:color w:val="7B7B7B" w:themeColor="accent3" w:themeShade="BF"/>
          <w:sz w:val="22"/>
          <w:szCs w:val="22"/>
        </w:rPr>
        <w:t xml:space="preserve"> </w:t>
      </w:r>
      <w:r w:rsidR="005C3FBD">
        <w:rPr>
          <w:rFonts w:ascii="Avenir Next" w:hAnsi="Avenir Next" w:cs="Arial"/>
          <w:color w:val="7B7B7B" w:themeColor="accent3" w:themeShade="BF"/>
          <w:sz w:val="22"/>
          <w:szCs w:val="22"/>
        </w:rPr>
        <w:t xml:space="preserve">Concerning </w:t>
      </w:r>
      <w:r w:rsidR="00446E32">
        <w:rPr>
          <w:rFonts w:ascii="Avenir Next" w:hAnsi="Avenir Next" w:cs="Arial"/>
          <w:color w:val="7B7B7B" w:themeColor="accent3" w:themeShade="BF"/>
          <w:sz w:val="22"/>
          <w:szCs w:val="22"/>
        </w:rPr>
        <w:t>Chapter 15 proceedings, t</w:t>
      </w:r>
      <w:r w:rsidR="0065519D">
        <w:rPr>
          <w:rFonts w:ascii="Avenir Next" w:hAnsi="Avenir Next" w:cs="Arial"/>
          <w:color w:val="7B7B7B" w:themeColor="accent3" w:themeShade="BF"/>
          <w:sz w:val="22"/>
          <w:szCs w:val="22"/>
        </w:rPr>
        <w:t xml:space="preserve">he debtor’s COMI is presumed to </w:t>
      </w:r>
      <w:r w:rsidR="00D64470">
        <w:rPr>
          <w:rFonts w:ascii="Avenir Next" w:hAnsi="Avenir Next" w:cs="Arial"/>
          <w:color w:val="7B7B7B" w:themeColor="accent3" w:themeShade="BF"/>
          <w:sz w:val="22"/>
          <w:szCs w:val="22"/>
        </w:rPr>
        <w:t>be</w:t>
      </w:r>
      <w:r w:rsidR="0065519D">
        <w:rPr>
          <w:rFonts w:ascii="Avenir Next" w:hAnsi="Avenir Next" w:cs="Arial"/>
          <w:color w:val="7B7B7B" w:themeColor="accent3" w:themeShade="BF"/>
          <w:sz w:val="22"/>
          <w:szCs w:val="22"/>
        </w:rPr>
        <w:t xml:space="preserve"> the debtor’s place of incorporation</w:t>
      </w:r>
      <w:r w:rsidR="00BA39D9">
        <w:rPr>
          <w:rFonts w:ascii="Avenir Next" w:hAnsi="Avenir Next" w:cs="Arial"/>
          <w:color w:val="7B7B7B" w:themeColor="accent3" w:themeShade="BF"/>
          <w:sz w:val="22"/>
          <w:szCs w:val="22"/>
        </w:rPr>
        <w:t xml:space="preserve">. However, </w:t>
      </w:r>
      <w:r w:rsidR="00772587">
        <w:rPr>
          <w:rFonts w:ascii="Avenir Next" w:hAnsi="Avenir Next" w:cs="Arial"/>
          <w:color w:val="7B7B7B" w:themeColor="accent3" w:themeShade="BF"/>
          <w:sz w:val="22"/>
          <w:szCs w:val="22"/>
        </w:rPr>
        <w:t>pursuant to section 1516</w:t>
      </w:r>
      <w:r w:rsidR="005B7DBA">
        <w:rPr>
          <w:rFonts w:ascii="Avenir Next" w:hAnsi="Avenir Next" w:cs="Arial"/>
          <w:color w:val="7B7B7B" w:themeColor="accent3" w:themeShade="BF"/>
          <w:sz w:val="22"/>
          <w:szCs w:val="22"/>
        </w:rPr>
        <w:t>(c)</w:t>
      </w:r>
      <w:r w:rsidR="00772587">
        <w:rPr>
          <w:rFonts w:ascii="Avenir Next" w:hAnsi="Avenir Next" w:cs="Arial"/>
          <w:color w:val="7B7B7B" w:themeColor="accent3" w:themeShade="BF"/>
          <w:sz w:val="22"/>
          <w:szCs w:val="22"/>
        </w:rPr>
        <w:t xml:space="preserve"> of the US Bankruptcy Code, </w:t>
      </w:r>
      <w:r w:rsidR="00BA39D9">
        <w:rPr>
          <w:rFonts w:ascii="Avenir Next" w:hAnsi="Avenir Next" w:cs="Arial"/>
          <w:color w:val="7B7B7B" w:themeColor="accent3" w:themeShade="BF"/>
          <w:sz w:val="22"/>
          <w:szCs w:val="22"/>
        </w:rPr>
        <w:t>this is a rebuttable presumption.</w:t>
      </w:r>
      <w:r w:rsidR="00262D0E">
        <w:rPr>
          <w:rFonts w:ascii="Avenir Next" w:hAnsi="Avenir Next" w:cs="Arial"/>
          <w:color w:val="7B7B7B" w:themeColor="accent3" w:themeShade="BF"/>
          <w:sz w:val="22"/>
          <w:szCs w:val="22"/>
        </w:rPr>
        <w:t xml:space="preserve"> </w:t>
      </w:r>
      <w:r w:rsidR="005B7DBA">
        <w:rPr>
          <w:rFonts w:ascii="Avenir Next" w:hAnsi="Avenir Next" w:cs="Arial"/>
          <w:color w:val="7B7B7B" w:themeColor="accent3" w:themeShade="BF"/>
          <w:sz w:val="22"/>
          <w:szCs w:val="22"/>
        </w:rPr>
        <w:t xml:space="preserve">Important factors </w:t>
      </w:r>
      <w:r w:rsidR="00313485">
        <w:rPr>
          <w:rFonts w:ascii="Avenir Next" w:hAnsi="Avenir Next" w:cs="Arial"/>
          <w:color w:val="7B7B7B" w:themeColor="accent3" w:themeShade="BF"/>
          <w:sz w:val="22"/>
          <w:szCs w:val="22"/>
        </w:rPr>
        <w:t xml:space="preserve">that are </w:t>
      </w:r>
      <w:r w:rsidR="00A83F34">
        <w:rPr>
          <w:rFonts w:ascii="Avenir Next" w:hAnsi="Avenir Next" w:cs="Arial"/>
          <w:color w:val="7B7B7B" w:themeColor="accent3" w:themeShade="BF"/>
          <w:sz w:val="22"/>
          <w:szCs w:val="22"/>
        </w:rPr>
        <w:t>taken into account by the court during</w:t>
      </w:r>
      <w:r w:rsidR="005B7DBA">
        <w:rPr>
          <w:rFonts w:ascii="Avenir Next" w:hAnsi="Avenir Next" w:cs="Arial"/>
          <w:color w:val="7B7B7B" w:themeColor="accent3" w:themeShade="BF"/>
          <w:sz w:val="22"/>
          <w:szCs w:val="22"/>
        </w:rPr>
        <w:t xml:space="preserve"> the COMI </w:t>
      </w:r>
      <w:r w:rsidR="00313485">
        <w:rPr>
          <w:rFonts w:ascii="Avenir Next" w:hAnsi="Avenir Next" w:cs="Arial"/>
          <w:color w:val="7B7B7B" w:themeColor="accent3" w:themeShade="BF"/>
          <w:sz w:val="22"/>
          <w:szCs w:val="22"/>
        </w:rPr>
        <w:t>analysis</w:t>
      </w:r>
      <w:r w:rsidR="005B7DBA">
        <w:rPr>
          <w:rFonts w:ascii="Avenir Next" w:hAnsi="Avenir Next" w:cs="Arial"/>
          <w:color w:val="7B7B7B" w:themeColor="accent3" w:themeShade="BF"/>
          <w:sz w:val="22"/>
          <w:szCs w:val="22"/>
        </w:rPr>
        <w:t xml:space="preserve"> involve</w:t>
      </w:r>
      <w:r w:rsidR="00F15091">
        <w:rPr>
          <w:rFonts w:ascii="Avenir Next" w:hAnsi="Avenir Next" w:cs="Arial"/>
          <w:color w:val="7B7B7B" w:themeColor="accent3" w:themeShade="BF"/>
          <w:sz w:val="22"/>
          <w:szCs w:val="22"/>
        </w:rPr>
        <w:t xml:space="preserve"> </w:t>
      </w:r>
      <w:r w:rsidR="000C06A5">
        <w:rPr>
          <w:rFonts w:ascii="Avenir Next" w:hAnsi="Avenir Next" w:cs="Arial"/>
          <w:color w:val="7B7B7B" w:themeColor="accent3" w:themeShade="BF"/>
          <w:sz w:val="22"/>
          <w:szCs w:val="22"/>
        </w:rPr>
        <w:t xml:space="preserve">the location of the debtor’s headquarters, the location of its management, </w:t>
      </w:r>
      <w:r w:rsidR="00313485">
        <w:rPr>
          <w:rFonts w:ascii="Avenir Next" w:hAnsi="Avenir Next" w:cs="Arial"/>
          <w:color w:val="7B7B7B" w:themeColor="accent3" w:themeShade="BF"/>
          <w:sz w:val="22"/>
          <w:szCs w:val="22"/>
        </w:rPr>
        <w:t xml:space="preserve">the location </w:t>
      </w:r>
      <w:r w:rsidR="000C06A5">
        <w:rPr>
          <w:rFonts w:ascii="Avenir Next" w:hAnsi="Avenir Next" w:cs="Arial"/>
          <w:color w:val="7B7B7B" w:themeColor="accent3" w:themeShade="BF"/>
          <w:sz w:val="22"/>
          <w:szCs w:val="22"/>
        </w:rPr>
        <w:t xml:space="preserve">of its primary assets, </w:t>
      </w:r>
      <w:r w:rsidR="00313485">
        <w:rPr>
          <w:rFonts w:ascii="Avenir Next" w:hAnsi="Avenir Next" w:cs="Arial"/>
          <w:color w:val="7B7B7B" w:themeColor="accent3" w:themeShade="BF"/>
          <w:sz w:val="22"/>
          <w:szCs w:val="22"/>
        </w:rPr>
        <w:t xml:space="preserve">the location </w:t>
      </w:r>
      <w:r w:rsidR="00CD0B20">
        <w:rPr>
          <w:rFonts w:ascii="Avenir Next" w:hAnsi="Avenir Next" w:cs="Arial"/>
          <w:color w:val="7B7B7B" w:themeColor="accent3" w:themeShade="BF"/>
          <w:sz w:val="22"/>
          <w:szCs w:val="22"/>
        </w:rPr>
        <w:t>of the majority of creditors</w:t>
      </w:r>
      <w:r w:rsidR="00526F89">
        <w:rPr>
          <w:rFonts w:ascii="Avenir Next" w:hAnsi="Avenir Next" w:cs="Arial"/>
          <w:color w:val="7B7B7B" w:themeColor="accent3" w:themeShade="BF"/>
          <w:sz w:val="22"/>
          <w:szCs w:val="22"/>
        </w:rPr>
        <w:t xml:space="preserve"> “or </w:t>
      </w:r>
      <w:r w:rsidR="00D64470">
        <w:rPr>
          <w:rFonts w:ascii="Avenir Next" w:hAnsi="Avenir Next" w:cs="Arial"/>
          <w:color w:val="7B7B7B" w:themeColor="accent3" w:themeShade="BF"/>
          <w:sz w:val="22"/>
          <w:szCs w:val="22"/>
        </w:rPr>
        <w:t xml:space="preserve">at </w:t>
      </w:r>
      <w:r w:rsidR="00526F89" w:rsidRPr="00526F89">
        <w:rPr>
          <w:rFonts w:ascii="Avenir Next" w:hAnsi="Avenir Next" w:cs="Arial"/>
          <w:color w:val="7B7B7B" w:themeColor="accent3" w:themeShade="BF"/>
          <w:sz w:val="22"/>
          <w:szCs w:val="22"/>
        </w:rPr>
        <w:t>least those affected by the case</w:t>
      </w:r>
      <w:r w:rsidR="00526F89">
        <w:rPr>
          <w:rFonts w:ascii="Avenir Next" w:hAnsi="Avenir Next" w:cs="Arial"/>
          <w:color w:val="7B7B7B" w:themeColor="accent3" w:themeShade="BF"/>
          <w:sz w:val="22"/>
          <w:szCs w:val="22"/>
        </w:rPr>
        <w:t>” and the applicable law that will be applied in most disputes</w:t>
      </w:r>
      <w:r w:rsidR="00057138">
        <w:rPr>
          <w:rFonts w:ascii="Avenir Next" w:hAnsi="Avenir Next" w:cs="Arial"/>
          <w:color w:val="7B7B7B" w:themeColor="accent3" w:themeShade="BF"/>
          <w:sz w:val="22"/>
          <w:szCs w:val="22"/>
        </w:rPr>
        <w:t xml:space="preserve"> (</w:t>
      </w:r>
      <w:r w:rsidR="00057138" w:rsidRPr="00057138">
        <w:rPr>
          <w:rFonts w:ascii="Avenir Next" w:hAnsi="Avenir Next" w:cs="Arial"/>
          <w:i/>
          <w:iCs/>
          <w:color w:val="7B7B7B" w:themeColor="accent3" w:themeShade="BF"/>
          <w:sz w:val="22"/>
          <w:szCs w:val="22"/>
        </w:rPr>
        <w:t>Morning Mist</w:t>
      </w:r>
      <w:r w:rsidR="00057138" w:rsidRPr="00057138">
        <w:rPr>
          <w:rFonts w:ascii="Avenir Next" w:hAnsi="Avenir Next" w:cs="Arial"/>
          <w:color w:val="7B7B7B" w:themeColor="accent3" w:themeShade="BF"/>
          <w:sz w:val="22"/>
          <w:szCs w:val="22"/>
        </w:rPr>
        <w:t xml:space="preserve"> at [137], citing </w:t>
      </w:r>
      <w:r w:rsidR="00057138" w:rsidRPr="00057138">
        <w:rPr>
          <w:rFonts w:ascii="Avenir Next" w:hAnsi="Avenir Next" w:cs="Arial"/>
          <w:i/>
          <w:iCs/>
          <w:color w:val="7B7B7B" w:themeColor="accent3" w:themeShade="BF"/>
          <w:sz w:val="22"/>
          <w:szCs w:val="22"/>
        </w:rPr>
        <w:t xml:space="preserve">In re </w:t>
      </w:r>
      <w:proofErr w:type="spellStart"/>
      <w:r w:rsidR="00057138" w:rsidRPr="00057138">
        <w:rPr>
          <w:rFonts w:ascii="Avenir Next" w:hAnsi="Avenir Next" w:cs="Arial"/>
          <w:i/>
          <w:iCs/>
          <w:color w:val="7B7B7B" w:themeColor="accent3" w:themeShade="BF"/>
          <w:sz w:val="22"/>
          <w:szCs w:val="22"/>
        </w:rPr>
        <w:t>SphinX</w:t>
      </w:r>
      <w:proofErr w:type="spellEnd"/>
      <w:r w:rsidR="00057138" w:rsidRPr="00057138">
        <w:rPr>
          <w:rFonts w:ascii="Avenir Next" w:hAnsi="Avenir Next" w:cs="Arial"/>
          <w:i/>
          <w:iCs/>
          <w:color w:val="7B7B7B" w:themeColor="accent3" w:themeShade="BF"/>
          <w:sz w:val="22"/>
          <w:szCs w:val="22"/>
        </w:rPr>
        <w:t xml:space="preserve"> Ltd</w:t>
      </w:r>
      <w:r w:rsidR="00057138" w:rsidRPr="00057138">
        <w:rPr>
          <w:rFonts w:ascii="Avenir Next" w:hAnsi="Avenir Next" w:cs="Arial"/>
          <w:color w:val="7B7B7B" w:themeColor="accent3" w:themeShade="BF"/>
          <w:sz w:val="22"/>
          <w:szCs w:val="22"/>
        </w:rPr>
        <w:t>, 351 B.R. 103, 117 (</w:t>
      </w:r>
      <w:proofErr w:type="spellStart"/>
      <w:r w:rsidR="00057138" w:rsidRPr="00057138">
        <w:rPr>
          <w:rFonts w:ascii="Avenir Next" w:hAnsi="Avenir Next" w:cs="Arial"/>
          <w:color w:val="7B7B7B" w:themeColor="accent3" w:themeShade="BF"/>
          <w:sz w:val="22"/>
          <w:szCs w:val="22"/>
        </w:rPr>
        <w:t>Bankr</w:t>
      </w:r>
      <w:proofErr w:type="spellEnd"/>
      <w:r w:rsidR="00057138" w:rsidRPr="00057138">
        <w:rPr>
          <w:rFonts w:ascii="Avenir Next" w:hAnsi="Avenir Next" w:cs="Arial"/>
          <w:color w:val="7B7B7B" w:themeColor="accent3" w:themeShade="BF"/>
          <w:sz w:val="22"/>
          <w:szCs w:val="22"/>
        </w:rPr>
        <w:t>. S.D.N.Y. 2006)</w:t>
      </w:r>
      <w:r w:rsidR="00057138">
        <w:rPr>
          <w:rFonts w:ascii="Avenir Next" w:hAnsi="Avenir Next" w:cs="Arial"/>
          <w:color w:val="7B7B7B" w:themeColor="accent3" w:themeShade="BF"/>
          <w:sz w:val="22"/>
          <w:szCs w:val="22"/>
        </w:rPr>
        <w:t xml:space="preserve">). </w:t>
      </w:r>
      <w:r w:rsidR="00ED2DE8">
        <w:rPr>
          <w:rFonts w:ascii="Avenir Next" w:hAnsi="Avenir Next" w:cs="Arial"/>
          <w:color w:val="7B7B7B" w:themeColor="accent3" w:themeShade="BF"/>
          <w:sz w:val="22"/>
          <w:szCs w:val="22"/>
        </w:rPr>
        <w:t xml:space="preserve">Moreover, </w:t>
      </w:r>
      <w:r w:rsidR="00536911">
        <w:rPr>
          <w:rFonts w:ascii="Avenir Next" w:hAnsi="Avenir Next" w:cs="Arial"/>
          <w:color w:val="7B7B7B" w:themeColor="accent3" w:themeShade="BF"/>
          <w:sz w:val="22"/>
          <w:szCs w:val="22"/>
        </w:rPr>
        <w:t xml:space="preserve">the </w:t>
      </w:r>
      <w:r w:rsidR="00ED2DE8" w:rsidRPr="00057138">
        <w:rPr>
          <w:rFonts w:ascii="Avenir Next" w:hAnsi="Avenir Next" w:cs="Arial"/>
          <w:i/>
          <w:iCs/>
          <w:color w:val="7B7B7B" w:themeColor="accent3" w:themeShade="BF"/>
          <w:sz w:val="22"/>
          <w:szCs w:val="22"/>
        </w:rPr>
        <w:t xml:space="preserve">Morning Mist Holdings Ltd v </w:t>
      </w:r>
      <w:proofErr w:type="spellStart"/>
      <w:r w:rsidR="00ED2DE8" w:rsidRPr="00057138">
        <w:rPr>
          <w:rFonts w:ascii="Avenir Next" w:hAnsi="Avenir Next" w:cs="Arial"/>
          <w:i/>
          <w:iCs/>
          <w:color w:val="7B7B7B" w:themeColor="accent3" w:themeShade="BF"/>
          <w:sz w:val="22"/>
          <w:szCs w:val="22"/>
        </w:rPr>
        <w:t>Krys</w:t>
      </w:r>
      <w:proofErr w:type="spellEnd"/>
      <w:r w:rsidR="00ED2DE8">
        <w:rPr>
          <w:rFonts w:ascii="Avenir Next" w:hAnsi="Avenir Next" w:cs="Arial"/>
          <w:i/>
          <w:iCs/>
          <w:color w:val="7B7B7B" w:themeColor="accent3" w:themeShade="BF"/>
          <w:sz w:val="22"/>
          <w:szCs w:val="22"/>
        </w:rPr>
        <w:t xml:space="preserve"> </w:t>
      </w:r>
      <w:r w:rsidR="00536911">
        <w:rPr>
          <w:rFonts w:ascii="Avenir Next" w:hAnsi="Avenir Next" w:cs="Arial"/>
          <w:color w:val="7B7B7B" w:themeColor="accent3" w:themeShade="BF"/>
          <w:sz w:val="22"/>
          <w:szCs w:val="22"/>
        </w:rPr>
        <w:t xml:space="preserve">case </w:t>
      </w:r>
      <w:r w:rsidR="00ED2DE8">
        <w:rPr>
          <w:rFonts w:ascii="Avenir Next" w:hAnsi="Avenir Next" w:cs="Arial"/>
          <w:color w:val="7B7B7B" w:themeColor="accent3" w:themeShade="BF"/>
          <w:sz w:val="22"/>
          <w:szCs w:val="22"/>
        </w:rPr>
        <w:t xml:space="preserve">also added the </w:t>
      </w:r>
      <w:r w:rsidR="00536911">
        <w:rPr>
          <w:rFonts w:ascii="Avenir Next" w:hAnsi="Avenir Next" w:cs="Arial"/>
          <w:color w:val="7B7B7B" w:themeColor="accent3" w:themeShade="BF"/>
          <w:sz w:val="22"/>
          <w:szCs w:val="22"/>
        </w:rPr>
        <w:t xml:space="preserve">element </w:t>
      </w:r>
      <w:r w:rsidR="00ED2DE8">
        <w:rPr>
          <w:rFonts w:ascii="Avenir Next" w:hAnsi="Avenir Next" w:cs="Arial"/>
          <w:color w:val="7B7B7B" w:themeColor="accent3" w:themeShade="BF"/>
          <w:sz w:val="22"/>
          <w:szCs w:val="22"/>
        </w:rPr>
        <w:t>of ‘</w:t>
      </w:r>
      <w:proofErr w:type="spellStart"/>
      <w:r w:rsidR="00ED2DE8">
        <w:rPr>
          <w:rFonts w:ascii="Avenir Next" w:hAnsi="Avenir Next" w:cs="Arial"/>
          <w:color w:val="7B7B7B" w:themeColor="accent3" w:themeShade="BF"/>
          <w:sz w:val="22"/>
          <w:szCs w:val="22"/>
        </w:rPr>
        <w:t>ascertainability</w:t>
      </w:r>
      <w:proofErr w:type="spellEnd"/>
      <w:r w:rsidR="00ED2DE8">
        <w:rPr>
          <w:rFonts w:ascii="Avenir Next" w:hAnsi="Avenir Next" w:cs="Arial"/>
          <w:color w:val="7B7B7B" w:themeColor="accent3" w:themeShade="BF"/>
          <w:sz w:val="22"/>
          <w:szCs w:val="22"/>
        </w:rPr>
        <w:t xml:space="preserve">’ of the debtor’s COMI </w:t>
      </w:r>
      <w:r w:rsidR="00D64470">
        <w:rPr>
          <w:rFonts w:ascii="Avenir Next" w:hAnsi="Avenir Next" w:cs="Arial"/>
          <w:color w:val="7B7B7B" w:themeColor="accent3" w:themeShade="BF"/>
          <w:sz w:val="22"/>
          <w:szCs w:val="22"/>
        </w:rPr>
        <w:t xml:space="preserve">with respect </w:t>
      </w:r>
      <w:r w:rsidR="00ED2DE8">
        <w:rPr>
          <w:rFonts w:ascii="Avenir Next" w:hAnsi="Avenir Next" w:cs="Arial"/>
          <w:color w:val="7B7B7B" w:themeColor="accent3" w:themeShade="BF"/>
          <w:sz w:val="22"/>
          <w:szCs w:val="22"/>
        </w:rPr>
        <w:t>to its creditors</w:t>
      </w:r>
      <w:r w:rsidR="00450485">
        <w:rPr>
          <w:rFonts w:ascii="Avenir Next" w:hAnsi="Avenir Next" w:cs="Arial"/>
          <w:color w:val="7B7B7B" w:themeColor="accent3" w:themeShade="BF"/>
          <w:sz w:val="22"/>
          <w:szCs w:val="22"/>
        </w:rPr>
        <w:t xml:space="preserve"> or third parties</w:t>
      </w:r>
      <w:r w:rsidR="00536911" w:rsidRPr="00536911">
        <w:rPr>
          <w:rFonts w:ascii="Avenir Next" w:hAnsi="Avenir Next" w:cs="Arial"/>
          <w:color w:val="7B7B7B" w:themeColor="accent3" w:themeShade="BF"/>
          <w:sz w:val="22"/>
          <w:szCs w:val="22"/>
        </w:rPr>
        <w:t xml:space="preserve"> </w:t>
      </w:r>
      <w:r w:rsidR="00536911">
        <w:rPr>
          <w:rFonts w:ascii="Avenir Next" w:hAnsi="Avenir Next" w:cs="Arial"/>
          <w:color w:val="7B7B7B" w:themeColor="accent3" w:themeShade="BF"/>
          <w:sz w:val="22"/>
          <w:szCs w:val="22"/>
        </w:rPr>
        <w:t xml:space="preserve">subject to objective evidence. </w:t>
      </w:r>
      <w:r w:rsidR="003D545F">
        <w:rPr>
          <w:rFonts w:ascii="Avenir Next" w:hAnsi="Avenir Next" w:cs="Arial"/>
          <w:color w:val="7B7B7B" w:themeColor="accent3" w:themeShade="BF"/>
          <w:sz w:val="22"/>
          <w:szCs w:val="22"/>
        </w:rPr>
        <w:t>In fact, a</w:t>
      </w:r>
      <w:r w:rsidR="00446E32">
        <w:rPr>
          <w:rFonts w:ascii="Avenir Next" w:hAnsi="Avenir Next" w:cs="Arial"/>
          <w:color w:val="7B7B7B" w:themeColor="accent3" w:themeShade="BF"/>
          <w:sz w:val="22"/>
          <w:szCs w:val="22"/>
        </w:rPr>
        <w:t>ccording</w:t>
      </w:r>
      <w:r w:rsidR="001B74D1">
        <w:rPr>
          <w:rFonts w:ascii="Avenir Next" w:hAnsi="Avenir Next" w:cs="Arial"/>
          <w:color w:val="7B7B7B" w:themeColor="accent3" w:themeShade="BF"/>
          <w:sz w:val="22"/>
          <w:szCs w:val="22"/>
        </w:rPr>
        <w:t xml:space="preserve"> to the analysis </w:t>
      </w:r>
      <w:r w:rsidR="003D545F">
        <w:rPr>
          <w:rFonts w:ascii="Avenir Next" w:hAnsi="Avenir Next" w:cs="Arial"/>
          <w:color w:val="7B7B7B" w:themeColor="accent3" w:themeShade="BF"/>
          <w:sz w:val="22"/>
          <w:szCs w:val="22"/>
        </w:rPr>
        <w:t>of</w:t>
      </w:r>
      <w:r w:rsidR="001B74D1">
        <w:rPr>
          <w:rFonts w:ascii="Avenir Next" w:hAnsi="Avenir Next" w:cs="Arial"/>
          <w:color w:val="7B7B7B" w:themeColor="accent3" w:themeShade="BF"/>
          <w:sz w:val="22"/>
          <w:szCs w:val="22"/>
        </w:rPr>
        <w:t xml:space="preserve"> the Guide to Enactment and Interpretation of the Model Law on Cross-Border Insolvency, </w:t>
      </w:r>
      <w:r w:rsidR="00446E32">
        <w:rPr>
          <w:rFonts w:ascii="Avenir Next" w:hAnsi="Avenir Next" w:cs="Arial"/>
          <w:color w:val="7B7B7B" w:themeColor="accent3" w:themeShade="BF"/>
          <w:sz w:val="22"/>
          <w:szCs w:val="22"/>
        </w:rPr>
        <w:t xml:space="preserve">a </w:t>
      </w:r>
      <w:r w:rsidR="001B74D1">
        <w:rPr>
          <w:rFonts w:ascii="Avenir Next" w:hAnsi="Avenir Next" w:cs="Arial"/>
          <w:color w:val="7B7B7B" w:themeColor="accent3" w:themeShade="BF"/>
          <w:sz w:val="22"/>
          <w:szCs w:val="22"/>
        </w:rPr>
        <w:t xml:space="preserve">significant </w:t>
      </w:r>
      <w:r w:rsidR="001B74D1" w:rsidRPr="001B74D1">
        <w:rPr>
          <w:rFonts w:ascii="Avenir Next" w:hAnsi="Avenir Next" w:cs="Arial"/>
          <w:color w:val="7B7B7B" w:themeColor="accent3" w:themeShade="BF"/>
          <w:sz w:val="22"/>
          <w:szCs w:val="22"/>
        </w:rPr>
        <w:t xml:space="preserve">factor </w:t>
      </w:r>
      <w:r w:rsidR="00446E32">
        <w:rPr>
          <w:rFonts w:ascii="Avenir Next" w:hAnsi="Avenir Next" w:cs="Arial"/>
          <w:color w:val="7B7B7B" w:themeColor="accent3" w:themeShade="BF"/>
          <w:sz w:val="22"/>
          <w:szCs w:val="22"/>
        </w:rPr>
        <w:t>is</w:t>
      </w:r>
      <w:r w:rsidR="001B74D1" w:rsidRPr="001B74D1">
        <w:rPr>
          <w:rFonts w:ascii="Avenir Next" w:hAnsi="Avenir Next" w:cs="Arial"/>
          <w:color w:val="7B7B7B" w:themeColor="accent3" w:themeShade="BF"/>
          <w:sz w:val="22"/>
          <w:szCs w:val="22"/>
        </w:rPr>
        <w:t xml:space="preserve"> the location</w:t>
      </w:r>
      <w:r w:rsidR="001B74D1">
        <w:rPr>
          <w:rFonts w:ascii="Avenir Next" w:hAnsi="Avenir Next" w:cs="Arial"/>
          <w:color w:val="7B7B7B" w:themeColor="accent3" w:themeShade="BF"/>
          <w:sz w:val="22"/>
          <w:szCs w:val="22"/>
        </w:rPr>
        <w:t xml:space="preserve"> of the debtor’s central administration which should be “</w:t>
      </w:r>
      <w:r w:rsidR="001B74D1" w:rsidRPr="001B74D1">
        <w:rPr>
          <w:rFonts w:ascii="Avenir Next" w:hAnsi="Avenir Next" w:cs="Arial"/>
          <w:color w:val="7B7B7B" w:themeColor="accent3" w:themeShade="BF"/>
          <w:sz w:val="22"/>
          <w:szCs w:val="22"/>
        </w:rPr>
        <w:t>readily ascertainable by creditors</w:t>
      </w:r>
      <w:r w:rsidR="001B74D1">
        <w:rPr>
          <w:rFonts w:ascii="Avenir Next" w:hAnsi="Avenir Next" w:cs="Arial"/>
          <w:color w:val="7B7B7B" w:themeColor="accent3" w:themeShade="BF"/>
          <w:sz w:val="22"/>
          <w:szCs w:val="22"/>
        </w:rPr>
        <w:t>”</w:t>
      </w:r>
      <w:r w:rsidR="001B74D1" w:rsidRPr="001B74D1">
        <w:t xml:space="preserve"> </w:t>
      </w:r>
      <w:r w:rsidR="001B74D1">
        <w:rPr>
          <w:rFonts w:ascii="Avenir Next" w:hAnsi="Avenir Next" w:cs="Arial"/>
          <w:color w:val="7B7B7B" w:themeColor="accent3" w:themeShade="BF"/>
          <w:sz w:val="22"/>
          <w:szCs w:val="22"/>
        </w:rPr>
        <w:t>(</w:t>
      </w:r>
      <w:r w:rsidR="001B74D1">
        <w:rPr>
          <w:rFonts w:ascii="Avenir Next" w:hAnsi="Avenir Next" w:cs="Arial"/>
          <w:i/>
          <w:iCs/>
          <w:color w:val="7B7B7B" w:themeColor="accent3" w:themeShade="BF"/>
          <w:sz w:val="22"/>
          <w:szCs w:val="22"/>
        </w:rPr>
        <w:t xml:space="preserve">see </w:t>
      </w:r>
      <w:r w:rsidR="00C64B79">
        <w:rPr>
          <w:rFonts w:ascii="Avenir Next" w:hAnsi="Avenir Next" w:cs="Arial"/>
          <w:color w:val="7B7B7B" w:themeColor="accent3" w:themeShade="BF"/>
          <w:sz w:val="22"/>
          <w:szCs w:val="22"/>
        </w:rPr>
        <w:t>‘</w:t>
      </w:r>
      <w:r w:rsidR="00C64B79" w:rsidRPr="007251BF">
        <w:rPr>
          <w:rFonts w:ascii="Avenir Next" w:hAnsi="Avenir Next" w:cs="Arial"/>
          <w:color w:val="7B7B7B" w:themeColor="accent3" w:themeShade="BF"/>
          <w:sz w:val="22"/>
          <w:szCs w:val="22"/>
        </w:rPr>
        <w:t>UNCITRAL Model Law on Cross-Border Insolvency with Guide to Enactment and Interpretation</w:t>
      </w:r>
      <w:r w:rsidR="00C64B79">
        <w:rPr>
          <w:rFonts w:ascii="Avenir Next" w:hAnsi="Avenir Next" w:cs="Arial"/>
          <w:color w:val="7B7B7B" w:themeColor="accent3" w:themeShade="BF"/>
          <w:sz w:val="22"/>
          <w:szCs w:val="22"/>
        </w:rPr>
        <w:t xml:space="preserve">’, para. </w:t>
      </w:r>
      <w:r w:rsidR="001B74D1" w:rsidRPr="001B74D1">
        <w:rPr>
          <w:rFonts w:ascii="Avenir Next" w:hAnsi="Avenir Next" w:cs="Arial"/>
          <w:color w:val="7B7B7B" w:themeColor="accent3" w:themeShade="BF"/>
          <w:sz w:val="22"/>
          <w:szCs w:val="22"/>
        </w:rPr>
        <w:t xml:space="preserve"> 145</w:t>
      </w:r>
      <w:r w:rsidR="001B74D1">
        <w:rPr>
          <w:rFonts w:ascii="Avenir Next" w:hAnsi="Avenir Next" w:cs="Arial"/>
          <w:color w:val="7B7B7B" w:themeColor="accent3" w:themeShade="BF"/>
          <w:sz w:val="22"/>
          <w:szCs w:val="22"/>
        </w:rPr>
        <w:t>)</w:t>
      </w:r>
      <w:r w:rsidR="00C64B79">
        <w:rPr>
          <w:rFonts w:ascii="Avenir Next" w:hAnsi="Avenir Next" w:cs="Arial"/>
          <w:color w:val="7B7B7B" w:themeColor="accent3" w:themeShade="BF"/>
          <w:sz w:val="22"/>
          <w:szCs w:val="22"/>
        </w:rPr>
        <w:t xml:space="preserve">. For consistency purposes, this analysis should </w:t>
      </w:r>
      <w:r w:rsidR="003D545F">
        <w:rPr>
          <w:rFonts w:ascii="Avenir Next" w:hAnsi="Avenir Next" w:cs="Arial"/>
          <w:color w:val="7B7B7B" w:themeColor="accent3" w:themeShade="BF"/>
          <w:sz w:val="22"/>
          <w:szCs w:val="22"/>
        </w:rPr>
        <w:t>consider</w:t>
      </w:r>
      <w:r w:rsidR="00C64B79">
        <w:rPr>
          <w:rFonts w:ascii="Avenir Next" w:hAnsi="Avenir Next" w:cs="Arial"/>
          <w:color w:val="7B7B7B" w:themeColor="accent3" w:themeShade="BF"/>
          <w:sz w:val="22"/>
          <w:szCs w:val="22"/>
        </w:rPr>
        <w:t xml:space="preserve"> </w:t>
      </w:r>
      <w:r w:rsidR="00C64B79" w:rsidRPr="001B74D1">
        <w:rPr>
          <w:rFonts w:ascii="Avenir Next" w:hAnsi="Avenir Next" w:cs="Arial"/>
          <w:color w:val="7B7B7B" w:themeColor="accent3" w:themeShade="BF"/>
          <w:sz w:val="22"/>
          <w:szCs w:val="22"/>
        </w:rPr>
        <w:t>the date of commencement of the foreign proceeding.</w:t>
      </w:r>
    </w:p>
    <w:p w14:paraId="7BAC221B" w14:textId="33BA9A0F" w:rsidR="003F73CF" w:rsidRPr="00CE199A" w:rsidRDefault="003F73CF" w:rsidP="00526F89">
      <w:pPr>
        <w:jc w:val="both"/>
        <w:rPr>
          <w:rFonts w:ascii="Avenir Next" w:hAnsi="Avenir Next" w:cs="Arial"/>
          <w:color w:val="7B7B7B" w:themeColor="accent3" w:themeShade="BF"/>
          <w:sz w:val="22"/>
          <w:szCs w:val="22"/>
        </w:rPr>
      </w:pPr>
    </w:p>
    <w:p w14:paraId="350DB0BC" w14:textId="04DD28F8" w:rsidR="00EC4D20" w:rsidRPr="00BF7E83" w:rsidRDefault="00C024D3" w:rsidP="00F616BB">
      <w:pPr>
        <w:jc w:val="both"/>
        <w:rPr>
          <w:rFonts w:ascii="Avenir Next" w:hAnsi="Avenir Next" w:cs="Arial"/>
          <w:i/>
          <w:iCs/>
          <w:color w:val="7B7B7B" w:themeColor="accent3" w:themeShade="BF"/>
          <w:sz w:val="22"/>
          <w:szCs w:val="22"/>
        </w:rPr>
      </w:pPr>
      <w:r>
        <w:rPr>
          <w:rFonts w:ascii="Avenir Next" w:hAnsi="Avenir Next" w:cs="Arial"/>
          <w:color w:val="7B7B7B" w:themeColor="accent3" w:themeShade="BF"/>
          <w:sz w:val="22"/>
          <w:szCs w:val="22"/>
        </w:rPr>
        <w:t>The</w:t>
      </w:r>
      <w:r w:rsidR="00827EDF">
        <w:rPr>
          <w:rFonts w:ascii="Avenir Next" w:hAnsi="Avenir Next" w:cs="Arial"/>
          <w:color w:val="7B7B7B" w:themeColor="accent3" w:themeShade="BF"/>
          <w:sz w:val="22"/>
          <w:szCs w:val="22"/>
        </w:rPr>
        <w:t xml:space="preserve"> concept of ‘establishment’</w:t>
      </w:r>
      <w:r>
        <w:rPr>
          <w:rFonts w:ascii="Avenir Next" w:hAnsi="Avenir Next" w:cs="Arial"/>
          <w:color w:val="7B7B7B" w:themeColor="accent3" w:themeShade="BF"/>
          <w:sz w:val="22"/>
          <w:szCs w:val="22"/>
        </w:rPr>
        <w:t xml:space="preserve"> </w:t>
      </w:r>
      <w:r w:rsidR="00943DC6">
        <w:rPr>
          <w:rFonts w:ascii="Avenir Next" w:hAnsi="Avenir Next" w:cs="Arial"/>
          <w:color w:val="7B7B7B" w:themeColor="accent3" w:themeShade="BF"/>
          <w:sz w:val="22"/>
          <w:szCs w:val="22"/>
        </w:rPr>
        <w:t>is</w:t>
      </w:r>
      <w:r>
        <w:rPr>
          <w:rFonts w:ascii="Avenir Next" w:hAnsi="Avenir Next" w:cs="Arial"/>
          <w:color w:val="7B7B7B" w:themeColor="accent3" w:themeShade="BF"/>
          <w:sz w:val="22"/>
          <w:szCs w:val="22"/>
        </w:rPr>
        <w:t xml:space="preserve"> </w:t>
      </w:r>
      <w:r w:rsidR="00943DC6">
        <w:rPr>
          <w:rFonts w:ascii="Avenir Next" w:hAnsi="Avenir Next" w:cs="Arial"/>
          <w:color w:val="7B7B7B" w:themeColor="accent3" w:themeShade="BF"/>
          <w:sz w:val="22"/>
          <w:szCs w:val="22"/>
        </w:rPr>
        <w:t>primarily</w:t>
      </w:r>
      <w:r>
        <w:rPr>
          <w:rFonts w:ascii="Avenir Next" w:hAnsi="Avenir Next" w:cs="Arial"/>
          <w:color w:val="7B7B7B" w:themeColor="accent3" w:themeShade="BF"/>
          <w:sz w:val="22"/>
          <w:szCs w:val="22"/>
        </w:rPr>
        <w:t xml:space="preserve"> based on specific evidence. </w:t>
      </w:r>
      <w:r w:rsidRPr="00C024D3">
        <w:rPr>
          <w:rFonts w:ascii="Avenir Next" w:hAnsi="Avenir Next" w:cs="Arial"/>
          <w:color w:val="7B7B7B" w:themeColor="accent3" w:themeShade="BF"/>
          <w:sz w:val="22"/>
          <w:szCs w:val="22"/>
        </w:rPr>
        <w:t>It must be</w:t>
      </w:r>
      <w:r>
        <w:rPr>
          <w:rFonts w:ascii="Avenir Next" w:hAnsi="Avenir Next" w:cs="Arial"/>
          <w:color w:val="7B7B7B" w:themeColor="accent3" w:themeShade="BF"/>
          <w:sz w:val="22"/>
          <w:szCs w:val="22"/>
        </w:rPr>
        <w:t xml:space="preserve"> shown</w:t>
      </w:r>
      <w:r w:rsidRPr="00C024D3">
        <w:rPr>
          <w:rFonts w:ascii="Avenir Next" w:hAnsi="Avenir Next" w:cs="Arial"/>
          <w:color w:val="7B7B7B" w:themeColor="accent3" w:themeShade="BF"/>
          <w:sz w:val="22"/>
          <w:szCs w:val="22"/>
        </w:rPr>
        <w:t xml:space="preserve"> that the debtor “carries out a non-transitory economic activity</w:t>
      </w:r>
      <w:r>
        <w:rPr>
          <w:rFonts w:ascii="Avenir Next" w:hAnsi="Avenir Next" w:cs="Arial"/>
          <w:color w:val="7B7B7B" w:themeColor="accent3" w:themeShade="BF"/>
          <w:sz w:val="22"/>
          <w:szCs w:val="22"/>
        </w:rPr>
        <w:t>” in</w:t>
      </w:r>
      <w:r w:rsidRPr="00C024D3">
        <w:rPr>
          <w:rFonts w:ascii="Avenir Next" w:hAnsi="Avenir Next" w:cs="Arial"/>
          <w:color w:val="7B7B7B" w:themeColor="accent3" w:themeShade="BF"/>
          <w:sz w:val="22"/>
          <w:szCs w:val="22"/>
        </w:rPr>
        <w:t xml:space="preserve"> the relevant State.</w:t>
      </w:r>
      <w:r>
        <w:rPr>
          <w:rFonts w:ascii="Avenir Next" w:hAnsi="Avenir Next" w:cs="Arial"/>
          <w:color w:val="7B7B7B" w:themeColor="accent3" w:themeShade="BF"/>
          <w:sz w:val="22"/>
          <w:szCs w:val="22"/>
        </w:rPr>
        <w:t xml:space="preserve"> Indeed, as the </w:t>
      </w:r>
      <w:r w:rsidRPr="00C024D3">
        <w:rPr>
          <w:rFonts w:ascii="Avenir Next" w:hAnsi="Avenir Next" w:cs="Arial"/>
          <w:i/>
          <w:iCs/>
          <w:color w:val="7B7B7B" w:themeColor="accent3" w:themeShade="BF"/>
          <w:sz w:val="22"/>
          <w:szCs w:val="22"/>
        </w:rPr>
        <w:t>Judicial Perspective</w:t>
      </w:r>
      <w:r>
        <w:rPr>
          <w:rFonts w:ascii="Avenir Next" w:hAnsi="Avenir Next" w:cs="Arial"/>
          <w:color w:val="7B7B7B" w:themeColor="accent3" w:themeShade="BF"/>
          <w:sz w:val="22"/>
          <w:szCs w:val="22"/>
        </w:rPr>
        <w:t xml:space="preserve"> notes (</w:t>
      </w:r>
      <w:r>
        <w:rPr>
          <w:rFonts w:ascii="Avenir Next" w:hAnsi="Avenir Next" w:cs="Arial"/>
          <w:i/>
          <w:iCs/>
          <w:color w:val="7B7B7B" w:themeColor="accent3" w:themeShade="BF"/>
          <w:sz w:val="22"/>
          <w:szCs w:val="22"/>
        </w:rPr>
        <w:t xml:space="preserve">see </w:t>
      </w:r>
      <w:r w:rsidR="00B56642">
        <w:rPr>
          <w:rFonts w:ascii="Avenir Next" w:hAnsi="Avenir Next" w:cs="Arial"/>
          <w:i/>
          <w:iCs/>
          <w:color w:val="7B7B7B" w:themeColor="accent3" w:themeShade="BF"/>
          <w:sz w:val="22"/>
          <w:szCs w:val="22"/>
        </w:rPr>
        <w:t>‘</w:t>
      </w:r>
      <w:r w:rsidR="00B56642" w:rsidRPr="001926B8">
        <w:rPr>
          <w:rFonts w:ascii="Avenir Next" w:hAnsi="Avenir Next" w:cs="Arial"/>
          <w:color w:val="7B7B7B" w:themeColor="accent3" w:themeShade="BF"/>
          <w:sz w:val="22"/>
          <w:szCs w:val="22"/>
        </w:rPr>
        <w:t>UNCITRAL Model Law on Cross-Border Insolvency: The Judicial Perspective</w:t>
      </w:r>
      <w:r w:rsidR="00B56642">
        <w:rPr>
          <w:rFonts w:ascii="Avenir Next" w:hAnsi="Avenir Next" w:cs="Arial"/>
          <w:color w:val="7B7B7B" w:themeColor="accent3" w:themeShade="BF"/>
          <w:sz w:val="22"/>
          <w:szCs w:val="22"/>
        </w:rPr>
        <w:t xml:space="preserve"> </w:t>
      </w:r>
      <w:r w:rsidR="00B56642" w:rsidRPr="001926B8">
        <w:rPr>
          <w:rFonts w:ascii="Avenir Next" w:hAnsi="Avenir Next" w:cs="Arial"/>
          <w:color w:val="7B7B7B" w:themeColor="accent3" w:themeShade="BF"/>
          <w:sz w:val="22"/>
          <w:szCs w:val="22"/>
        </w:rPr>
        <w:t>(Updated 2022)</w:t>
      </w:r>
      <w:r w:rsidR="00B56642">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rPr>
        <w:t xml:space="preserve">, para. 143), </w:t>
      </w:r>
      <w:r w:rsidR="007D7846">
        <w:rPr>
          <w:rFonts w:ascii="Avenir Next" w:hAnsi="Avenir Next" w:cs="Arial"/>
          <w:color w:val="7B7B7B" w:themeColor="accent3" w:themeShade="BF"/>
          <w:sz w:val="22"/>
          <w:szCs w:val="22"/>
        </w:rPr>
        <w:t>since</w:t>
      </w:r>
      <w:r>
        <w:rPr>
          <w:rFonts w:ascii="Avenir Next" w:hAnsi="Avenir Next" w:cs="Arial"/>
          <w:color w:val="7B7B7B" w:themeColor="accent3" w:themeShade="BF"/>
          <w:sz w:val="22"/>
          <w:szCs w:val="22"/>
        </w:rPr>
        <w:t xml:space="preserve"> there is no presumption </w:t>
      </w:r>
      <w:r w:rsidR="00593A50">
        <w:rPr>
          <w:rFonts w:ascii="Avenir Next" w:hAnsi="Avenir Next" w:cs="Arial"/>
          <w:color w:val="7B7B7B" w:themeColor="accent3" w:themeShade="BF"/>
          <w:sz w:val="22"/>
          <w:szCs w:val="22"/>
        </w:rPr>
        <w:t>for this concept</w:t>
      </w:r>
      <w:r>
        <w:rPr>
          <w:rFonts w:ascii="Avenir Next" w:hAnsi="Avenir Next" w:cs="Arial"/>
          <w:color w:val="7B7B7B" w:themeColor="accent3" w:themeShade="BF"/>
          <w:sz w:val="22"/>
          <w:szCs w:val="22"/>
        </w:rPr>
        <w:t>, the existence of an establishment is a question of fact</w:t>
      </w:r>
      <w:r w:rsidR="00B56642">
        <w:rPr>
          <w:rFonts w:ascii="Avenir Next" w:hAnsi="Avenir Next" w:cs="Arial"/>
          <w:color w:val="7B7B7B" w:themeColor="accent3" w:themeShade="BF"/>
          <w:sz w:val="22"/>
          <w:szCs w:val="22"/>
        </w:rPr>
        <w:t xml:space="preserve">. </w:t>
      </w:r>
      <w:r w:rsidR="00F616BB">
        <w:rPr>
          <w:rFonts w:ascii="Avenir Next" w:hAnsi="Avenir Next" w:cs="Arial"/>
          <w:color w:val="7B7B7B" w:themeColor="accent3" w:themeShade="BF"/>
          <w:sz w:val="22"/>
          <w:szCs w:val="22"/>
        </w:rPr>
        <w:t xml:space="preserve">Several cases have </w:t>
      </w:r>
      <w:r w:rsidR="007D7846">
        <w:rPr>
          <w:rFonts w:ascii="Avenir Next" w:hAnsi="Avenir Next" w:cs="Arial"/>
          <w:color w:val="7B7B7B" w:themeColor="accent3" w:themeShade="BF"/>
          <w:sz w:val="22"/>
          <w:szCs w:val="22"/>
        </w:rPr>
        <w:t>given significant</w:t>
      </w:r>
      <w:r w:rsidR="00F616BB">
        <w:rPr>
          <w:rFonts w:ascii="Avenir Next" w:hAnsi="Avenir Next" w:cs="Arial"/>
          <w:color w:val="7B7B7B" w:themeColor="accent3" w:themeShade="BF"/>
          <w:sz w:val="22"/>
          <w:szCs w:val="22"/>
        </w:rPr>
        <w:t xml:space="preserve"> </w:t>
      </w:r>
      <w:r w:rsidR="007D7846">
        <w:rPr>
          <w:rFonts w:ascii="Avenir Next" w:hAnsi="Avenir Next" w:cs="Arial"/>
          <w:color w:val="7B7B7B" w:themeColor="accent3" w:themeShade="BF"/>
          <w:sz w:val="22"/>
          <w:szCs w:val="22"/>
        </w:rPr>
        <w:t>guidance</w:t>
      </w:r>
      <w:r w:rsidR="00F616BB">
        <w:rPr>
          <w:rFonts w:ascii="Avenir Next" w:hAnsi="Avenir Next" w:cs="Arial"/>
          <w:color w:val="7B7B7B" w:themeColor="accent3" w:themeShade="BF"/>
          <w:sz w:val="22"/>
          <w:szCs w:val="22"/>
        </w:rPr>
        <w:t xml:space="preserve"> on the</w:t>
      </w:r>
      <w:r w:rsidR="007D7846">
        <w:rPr>
          <w:rFonts w:ascii="Avenir Next" w:hAnsi="Avenir Next" w:cs="Arial"/>
          <w:color w:val="7B7B7B" w:themeColor="accent3" w:themeShade="BF"/>
          <w:sz w:val="22"/>
          <w:szCs w:val="22"/>
        </w:rPr>
        <w:t xml:space="preserve"> </w:t>
      </w:r>
      <w:r w:rsidR="00F7227A">
        <w:rPr>
          <w:rFonts w:ascii="Avenir Next" w:hAnsi="Avenir Next" w:cs="Arial"/>
          <w:color w:val="7B7B7B" w:themeColor="accent3" w:themeShade="BF"/>
          <w:sz w:val="22"/>
          <w:szCs w:val="22"/>
        </w:rPr>
        <w:t>notion</w:t>
      </w:r>
      <w:r w:rsidR="007D7846">
        <w:rPr>
          <w:rFonts w:ascii="Avenir Next" w:hAnsi="Avenir Next" w:cs="Arial"/>
          <w:color w:val="7B7B7B" w:themeColor="accent3" w:themeShade="BF"/>
          <w:sz w:val="22"/>
          <w:szCs w:val="22"/>
        </w:rPr>
        <w:t xml:space="preserve"> of</w:t>
      </w:r>
      <w:r w:rsidR="00F616BB">
        <w:rPr>
          <w:rFonts w:ascii="Avenir Next" w:hAnsi="Avenir Next" w:cs="Arial"/>
          <w:color w:val="7B7B7B" w:themeColor="accent3" w:themeShade="BF"/>
          <w:sz w:val="22"/>
          <w:szCs w:val="22"/>
        </w:rPr>
        <w:t xml:space="preserve"> establishment. For instance, in the </w:t>
      </w:r>
      <w:r w:rsidR="00F616BB" w:rsidRPr="007D7846">
        <w:rPr>
          <w:rFonts w:ascii="Avenir Next" w:hAnsi="Avenir Next" w:cs="Arial"/>
          <w:i/>
          <w:iCs/>
          <w:color w:val="7B7B7B" w:themeColor="accent3" w:themeShade="BF"/>
          <w:sz w:val="22"/>
          <w:szCs w:val="22"/>
        </w:rPr>
        <w:t>Bear Stearns</w:t>
      </w:r>
      <w:r w:rsidR="00F616BB">
        <w:rPr>
          <w:rFonts w:ascii="Avenir Next" w:hAnsi="Avenir Next" w:cs="Arial"/>
          <w:color w:val="7B7B7B" w:themeColor="accent3" w:themeShade="BF"/>
          <w:sz w:val="22"/>
          <w:szCs w:val="22"/>
        </w:rPr>
        <w:t xml:space="preserve"> case (</w:t>
      </w:r>
      <w:r w:rsidR="00F616BB" w:rsidRPr="00F616BB">
        <w:rPr>
          <w:rFonts w:ascii="Avenir Next" w:hAnsi="Avenir Next" w:cs="Arial"/>
          <w:i/>
          <w:iCs/>
          <w:color w:val="7B7B7B" w:themeColor="accent3" w:themeShade="BF"/>
          <w:sz w:val="22"/>
          <w:szCs w:val="22"/>
        </w:rPr>
        <w:t xml:space="preserve">Bear Stearns High-Grade Structured Credit </w:t>
      </w:r>
      <w:r w:rsidR="00F616BB" w:rsidRPr="00F616BB">
        <w:rPr>
          <w:rFonts w:ascii="Avenir Next" w:hAnsi="Avenir Next" w:cs="Arial"/>
          <w:i/>
          <w:iCs/>
          <w:color w:val="7B7B7B" w:themeColor="accent3" w:themeShade="BF"/>
          <w:sz w:val="22"/>
          <w:szCs w:val="22"/>
        </w:rPr>
        <w:lastRenderedPageBreak/>
        <w:t>Strategies Master Fund, Ltd (In re)</w:t>
      </w:r>
      <w:r w:rsidR="00BF7E83">
        <w:rPr>
          <w:rFonts w:ascii="Avenir Next" w:hAnsi="Avenir Next" w:cs="Arial"/>
          <w:i/>
          <w:iCs/>
          <w:color w:val="7B7B7B" w:themeColor="accent3" w:themeShade="BF"/>
          <w:sz w:val="22"/>
          <w:szCs w:val="22"/>
        </w:rPr>
        <w:t xml:space="preserve"> </w:t>
      </w:r>
      <w:r w:rsidR="00F616BB" w:rsidRPr="00F616BB">
        <w:rPr>
          <w:rFonts w:ascii="Avenir Next" w:hAnsi="Avenir Next" w:cs="Arial"/>
          <w:color w:val="7B7B7B" w:themeColor="accent3" w:themeShade="BF"/>
          <w:sz w:val="22"/>
          <w:szCs w:val="22"/>
        </w:rPr>
        <w:t>389 B.R. 325 (S.D.N.Y. 2008)</w:t>
      </w:r>
      <w:r w:rsidR="00F616BB">
        <w:rPr>
          <w:rFonts w:ascii="Avenir Next" w:hAnsi="Avenir Next" w:cs="Arial"/>
          <w:color w:val="7B7B7B" w:themeColor="accent3" w:themeShade="BF"/>
          <w:sz w:val="22"/>
          <w:szCs w:val="22"/>
        </w:rPr>
        <w:t>)</w:t>
      </w:r>
      <w:r w:rsidR="00F7227A">
        <w:rPr>
          <w:rFonts w:ascii="Avenir Next" w:hAnsi="Avenir Next" w:cs="Arial"/>
          <w:color w:val="7B7B7B" w:themeColor="accent3" w:themeShade="BF"/>
          <w:sz w:val="22"/>
          <w:szCs w:val="22"/>
        </w:rPr>
        <w:t>,</w:t>
      </w:r>
      <w:r w:rsidR="00F616BB">
        <w:rPr>
          <w:rFonts w:ascii="Avenir Next" w:hAnsi="Avenir Next" w:cs="Arial"/>
          <w:color w:val="7B7B7B" w:themeColor="accent3" w:themeShade="BF"/>
          <w:sz w:val="22"/>
          <w:szCs w:val="22"/>
        </w:rPr>
        <w:t xml:space="preserve"> the US Bankruptcy Court </w:t>
      </w:r>
      <w:r w:rsidR="006654CD">
        <w:rPr>
          <w:rFonts w:ascii="Avenir Next" w:hAnsi="Avenir Next" w:cs="Arial"/>
          <w:color w:val="7B7B7B" w:themeColor="accent3" w:themeShade="BF"/>
          <w:sz w:val="22"/>
          <w:szCs w:val="22"/>
        </w:rPr>
        <w:t>linked</w:t>
      </w:r>
      <w:r w:rsidR="006D3F2D">
        <w:rPr>
          <w:rFonts w:ascii="Avenir Next" w:hAnsi="Avenir Next" w:cs="Arial"/>
          <w:color w:val="7B7B7B" w:themeColor="accent3" w:themeShade="BF"/>
          <w:sz w:val="22"/>
          <w:szCs w:val="22"/>
        </w:rPr>
        <w:t xml:space="preserve"> the term ‘establishment’ </w:t>
      </w:r>
      <w:r w:rsidR="006654CD">
        <w:rPr>
          <w:rFonts w:ascii="Avenir Next" w:hAnsi="Avenir Next" w:cs="Arial"/>
          <w:color w:val="7B7B7B" w:themeColor="accent3" w:themeShade="BF"/>
          <w:sz w:val="22"/>
          <w:szCs w:val="22"/>
        </w:rPr>
        <w:t>with</w:t>
      </w:r>
      <w:r w:rsidR="006D3F2D">
        <w:rPr>
          <w:rFonts w:ascii="Avenir Next" w:hAnsi="Avenir Next" w:cs="Arial"/>
          <w:color w:val="7B7B7B" w:themeColor="accent3" w:themeShade="BF"/>
          <w:sz w:val="22"/>
          <w:szCs w:val="22"/>
        </w:rPr>
        <w:t xml:space="preserve"> ‘a local place of business’.</w:t>
      </w:r>
    </w:p>
    <w:p w14:paraId="75DE5988" w14:textId="6E1DB5C8" w:rsidR="00130D76" w:rsidRDefault="00130D76" w:rsidP="00F616BB">
      <w:pPr>
        <w:jc w:val="both"/>
        <w:rPr>
          <w:rFonts w:ascii="Avenir Next" w:hAnsi="Avenir Next" w:cs="Arial"/>
          <w:color w:val="7B7B7B" w:themeColor="accent3" w:themeShade="BF"/>
          <w:sz w:val="22"/>
          <w:szCs w:val="22"/>
        </w:rPr>
      </w:pPr>
    </w:p>
    <w:p w14:paraId="09F70902" w14:textId="7ECDDF89" w:rsidR="00F616BB" w:rsidRPr="00561DFF" w:rsidRDefault="00130D76" w:rsidP="00C024D3">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In the case at hand, </w:t>
      </w:r>
      <w:r w:rsidR="002003E8">
        <w:rPr>
          <w:rFonts w:ascii="Avenir Next" w:hAnsi="Avenir Next" w:cs="Arial"/>
          <w:color w:val="7B7B7B" w:themeColor="accent3" w:themeShade="BF"/>
          <w:sz w:val="22"/>
          <w:szCs w:val="22"/>
        </w:rPr>
        <w:t>if Stella SA decide</w:t>
      </w:r>
      <w:r w:rsidR="001D317A">
        <w:rPr>
          <w:rFonts w:ascii="Avenir Next" w:hAnsi="Avenir Next" w:cs="Arial"/>
          <w:color w:val="7B7B7B" w:themeColor="accent3" w:themeShade="BF"/>
          <w:sz w:val="22"/>
          <w:szCs w:val="22"/>
        </w:rPr>
        <w:t>s</w:t>
      </w:r>
      <w:r w:rsidR="002003E8">
        <w:rPr>
          <w:rFonts w:ascii="Avenir Next" w:hAnsi="Avenir Next" w:cs="Arial"/>
          <w:color w:val="7B7B7B" w:themeColor="accent3" w:themeShade="BF"/>
          <w:sz w:val="22"/>
          <w:szCs w:val="22"/>
        </w:rPr>
        <w:t xml:space="preserve"> to restructure its debt via an English scheme of arrangement for the Eurobonds then the court from which the </w:t>
      </w:r>
      <w:r w:rsidR="009B5F98">
        <w:rPr>
          <w:rFonts w:ascii="Avenir Next" w:hAnsi="Avenir Next" w:cs="Arial"/>
          <w:color w:val="7B7B7B" w:themeColor="accent3" w:themeShade="BF"/>
          <w:sz w:val="22"/>
          <w:szCs w:val="22"/>
        </w:rPr>
        <w:t xml:space="preserve">foreign </w:t>
      </w:r>
      <w:r w:rsidR="002003E8">
        <w:rPr>
          <w:rFonts w:ascii="Avenir Next" w:hAnsi="Avenir Next" w:cs="Arial"/>
          <w:color w:val="7B7B7B" w:themeColor="accent3" w:themeShade="BF"/>
          <w:sz w:val="22"/>
          <w:szCs w:val="22"/>
        </w:rPr>
        <w:t xml:space="preserve">proceeding would </w:t>
      </w:r>
      <w:r w:rsidR="001D317A">
        <w:rPr>
          <w:rFonts w:ascii="Avenir Next" w:hAnsi="Avenir Next" w:cs="Arial"/>
          <w:color w:val="7B7B7B" w:themeColor="accent3" w:themeShade="BF"/>
          <w:sz w:val="22"/>
          <w:szCs w:val="22"/>
        </w:rPr>
        <w:t>arise</w:t>
      </w:r>
      <w:r w:rsidR="002003E8">
        <w:rPr>
          <w:rFonts w:ascii="Avenir Next" w:hAnsi="Avenir Next" w:cs="Arial"/>
          <w:color w:val="7B7B7B" w:themeColor="accent3" w:themeShade="BF"/>
          <w:sz w:val="22"/>
          <w:szCs w:val="22"/>
        </w:rPr>
        <w:t xml:space="preserve"> would be the court of the United Kingdom. </w:t>
      </w:r>
      <w:r w:rsidR="009B5F98">
        <w:rPr>
          <w:rFonts w:ascii="Avenir Next" w:hAnsi="Avenir Next" w:cs="Arial"/>
          <w:color w:val="7B7B7B" w:themeColor="accent3" w:themeShade="BF"/>
          <w:sz w:val="22"/>
          <w:szCs w:val="22"/>
        </w:rPr>
        <w:t xml:space="preserve">As </w:t>
      </w:r>
      <w:r w:rsidR="00652FB5">
        <w:rPr>
          <w:rFonts w:ascii="Avenir Next" w:hAnsi="Avenir Next" w:cs="Arial"/>
          <w:color w:val="7B7B7B" w:themeColor="accent3" w:themeShade="BF"/>
          <w:sz w:val="22"/>
          <w:szCs w:val="22"/>
        </w:rPr>
        <w:t xml:space="preserve">previously </w:t>
      </w:r>
      <w:r w:rsidR="009B5F98">
        <w:rPr>
          <w:rFonts w:ascii="Avenir Next" w:hAnsi="Avenir Next" w:cs="Arial"/>
          <w:color w:val="7B7B7B" w:themeColor="accent3" w:themeShade="BF"/>
          <w:sz w:val="22"/>
          <w:szCs w:val="22"/>
        </w:rPr>
        <w:t xml:space="preserve">analyzed, the US Bankruptcy Courts have a long tradition </w:t>
      </w:r>
      <w:r w:rsidR="00652FB5">
        <w:rPr>
          <w:rFonts w:ascii="Avenir Next" w:hAnsi="Avenir Next" w:cs="Arial"/>
          <w:color w:val="7B7B7B" w:themeColor="accent3" w:themeShade="BF"/>
          <w:sz w:val="22"/>
          <w:szCs w:val="22"/>
        </w:rPr>
        <w:t>in</w:t>
      </w:r>
      <w:r w:rsidR="009B5F98">
        <w:rPr>
          <w:rFonts w:ascii="Avenir Next" w:hAnsi="Avenir Next" w:cs="Arial"/>
          <w:color w:val="7B7B7B" w:themeColor="accent3" w:themeShade="BF"/>
          <w:sz w:val="22"/>
          <w:szCs w:val="22"/>
        </w:rPr>
        <w:t xml:space="preserve"> the recognition of English schemes of arrangement. A challenging point, however, relate</w:t>
      </w:r>
      <w:r w:rsidR="001D317A">
        <w:rPr>
          <w:rFonts w:ascii="Avenir Next" w:hAnsi="Avenir Next" w:cs="Arial"/>
          <w:color w:val="7B7B7B" w:themeColor="accent3" w:themeShade="BF"/>
          <w:sz w:val="22"/>
          <w:szCs w:val="22"/>
        </w:rPr>
        <w:t>s</w:t>
      </w:r>
      <w:r w:rsidR="009B5F98">
        <w:rPr>
          <w:rFonts w:ascii="Avenir Next" w:hAnsi="Avenir Next" w:cs="Arial"/>
          <w:color w:val="7B7B7B" w:themeColor="accent3" w:themeShade="BF"/>
          <w:sz w:val="22"/>
          <w:szCs w:val="22"/>
        </w:rPr>
        <w:t xml:space="preserve"> to the assessment of </w:t>
      </w:r>
      <w:r w:rsidR="004453FC">
        <w:rPr>
          <w:rFonts w:ascii="Avenir Next" w:hAnsi="Avenir Next" w:cs="Arial"/>
          <w:color w:val="7B7B7B" w:themeColor="accent3" w:themeShade="BF"/>
          <w:sz w:val="22"/>
          <w:szCs w:val="22"/>
        </w:rPr>
        <w:t xml:space="preserve">Stella’s </w:t>
      </w:r>
      <w:r w:rsidR="009B5F98">
        <w:rPr>
          <w:rFonts w:ascii="Avenir Next" w:hAnsi="Avenir Next" w:cs="Arial"/>
          <w:color w:val="7B7B7B" w:themeColor="accent3" w:themeShade="BF"/>
          <w:sz w:val="22"/>
          <w:szCs w:val="22"/>
        </w:rPr>
        <w:t xml:space="preserve">COMI. </w:t>
      </w:r>
      <w:r w:rsidR="004453FC">
        <w:rPr>
          <w:rFonts w:ascii="Avenir Next" w:hAnsi="Avenir Next" w:cs="Arial"/>
          <w:color w:val="7B7B7B" w:themeColor="accent3" w:themeShade="BF"/>
          <w:sz w:val="22"/>
          <w:szCs w:val="22"/>
        </w:rPr>
        <w:t xml:space="preserve">From the facts of the case, it is accepted that Stella SA </w:t>
      </w:r>
      <w:r w:rsidR="002003E8">
        <w:rPr>
          <w:rFonts w:ascii="Avenir Next" w:hAnsi="Avenir Next" w:cs="Arial"/>
          <w:color w:val="7B7B7B" w:themeColor="accent3" w:themeShade="BF"/>
          <w:sz w:val="22"/>
          <w:szCs w:val="22"/>
        </w:rPr>
        <w:t>has its headquarters in Paris</w:t>
      </w:r>
      <w:r w:rsidR="00652FB5">
        <w:rPr>
          <w:rFonts w:ascii="Avenir Next" w:hAnsi="Avenir Next" w:cs="Arial"/>
          <w:color w:val="7B7B7B" w:themeColor="accent3" w:themeShade="BF"/>
          <w:sz w:val="22"/>
          <w:szCs w:val="22"/>
        </w:rPr>
        <w:t xml:space="preserve"> and that </w:t>
      </w:r>
      <w:r w:rsidR="004453FC">
        <w:rPr>
          <w:rFonts w:ascii="Avenir Next" w:hAnsi="Avenir Next" w:cs="Arial"/>
          <w:color w:val="7B7B7B" w:themeColor="accent3" w:themeShade="BF"/>
          <w:sz w:val="22"/>
          <w:szCs w:val="22"/>
        </w:rPr>
        <w:t>there is a connection to the UK jurisdiction via its retail store in England</w:t>
      </w:r>
      <w:r w:rsidR="00B91DC7">
        <w:rPr>
          <w:rFonts w:ascii="Avenir Next" w:hAnsi="Avenir Next" w:cs="Arial"/>
          <w:color w:val="7B7B7B" w:themeColor="accent3" w:themeShade="BF"/>
          <w:sz w:val="22"/>
          <w:szCs w:val="22"/>
        </w:rPr>
        <w:t xml:space="preserve">. </w:t>
      </w:r>
      <w:r w:rsidR="00E03A4C">
        <w:rPr>
          <w:rFonts w:ascii="Avenir Next" w:hAnsi="Avenir Next" w:cs="Arial"/>
          <w:color w:val="7B7B7B" w:themeColor="accent3" w:themeShade="BF"/>
          <w:sz w:val="22"/>
          <w:szCs w:val="22"/>
        </w:rPr>
        <w:t>It is evident that</w:t>
      </w:r>
      <w:r w:rsidR="00652FB5">
        <w:rPr>
          <w:rFonts w:ascii="Avenir Next" w:hAnsi="Avenir Next" w:cs="Arial"/>
          <w:color w:val="7B7B7B" w:themeColor="accent3" w:themeShade="BF"/>
          <w:sz w:val="22"/>
          <w:szCs w:val="22"/>
        </w:rPr>
        <w:t>,</w:t>
      </w:r>
      <w:r w:rsidR="00E03A4C">
        <w:rPr>
          <w:rFonts w:ascii="Avenir Next" w:hAnsi="Avenir Next" w:cs="Arial"/>
          <w:color w:val="7B7B7B" w:themeColor="accent3" w:themeShade="BF"/>
          <w:sz w:val="22"/>
          <w:szCs w:val="22"/>
        </w:rPr>
        <w:t xml:space="preserve"> for the COMI test to be successful</w:t>
      </w:r>
      <w:r w:rsidR="00652FB5">
        <w:rPr>
          <w:rFonts w:ascii="Avenir Next" w:hAnsi="Avenir Next" w:cs="Arial"/>
          <w:color w:val="7B7B7B" w:themeColor="accent3" w:themeShade="BF"/>
          <w:sz w:val="22"/>
          <w:szCs w:val="22"/>
        </w:rPr>
        <w:t>,</w:t>
      </w:r>
      <w:r w:rsidR="00E03A4C">
        <w:rPr>
          <w:rFonts w:ascii="Avenir Next" w:hAnsi="Avenir Next" w:cs="Arial"/>
          <w:color w:val="7B7B7B" w:themeColor="accent3" w:themeShade="BF"/>
          <w:sz w:val="22"/>
          <w:szCs w:val="22"/>
        </w:rPr>
        <w:t xml:space="preserve"> the headquarters, the management, the primary assets, the majority of creditors and the law applicable to the majority of disputes should be linked to the United Kingdom, something that does not occur in this case</w:t>
      </w:r>
      <w:r w:rsidR="00652FB5">
        <w:rPr>
          <w:rFonts w:ascii="Avenir Next" w:hAnsi="Avenir Next" w:cs="Arial"/>
          <w:color w:val="7B7B7B" w:themeColor="accent3" w:themeShade="BF"/>
          <w:sz w:val="22"/>
          <w:szCs w:val="22"/>
        </w:rPr>
        <w:t>.</w:t>
      </w:r>
      <w:r w:rsidR="00E03A4C">
        <w:rPr>
          <w:rFonts w:ascii="Avenir Next" w:hAnsi="Avenir Next" w:cs="Arial"/>
          <w:color w:val="7B7B7B" w:themeColor="accent3" w:themeShade="BF"/>
          <w:sz w:val="22"/>
          <w:szCs w:val="22"/>
        </w:rPr>
        <w:t xml:space="preserve"> With its headquarters</w:t>
      </w:r>
      <w:r w:rsidR="00BF7E83">
        <w:rPr>
          <w:rFonts w:ascii="Avenir Next" w:hAnsi="Avenir Next" w:cs="Arial"/>
          <w:color w:val="7B7B7B" w:themeColor="accent3" w:themeShade="BF"/>
          <w:sz w:val="22"/>
          <w:szCs w:val="22"/>
        </w:rPr>
        <w:t xml:space="preserve"> </w:t>
      </w:r>
      <w:r w:rsidR="00E03A4C">
        <w:rPr>
          <w:rFonts w:ascii="Avenir Next" w:hAnsi="Avenir Next" w:cs="Arial"/>
          <w:color w:val="7B7B7B" w:themeColor="accent3" w:themeShade="BF"/>
          <w:sz w:val="22"/>
          <w:szCs w:val="22"/>
        </w:rPr>
        <w:t xml:space="preserve">in Paris, and presumably management activities </w:t>
      </w:r>
      <w:r w:rsidR="00BF7E83">
        <w:rPr>
          <w:rFonts w:ascii="Avenir Next" w:hAnsi="Avenir Next" w:cs="Arial"/>
          <w:color w:val="7B7B7B" w:themeColor="accent3" w:themeShade="BF"/>
          <w:sz w:val="22"/>
          <w:szCs w:val="22"/>
        </w:rPr>
        <w:t xml:space="preserve">(‘nerve center’) </w:t>
      </w:r>
      <w:r w:rsidR="00652FB5">
        <w:rPr>
          <w:rFonts w:ascii="Avenir Next" w:hAnsi="Avenir Next" w:cs="Arial"/>
          <w:color w:val="7B7B7B" w:themeColor="accent3" w:themeShade="BF"/>
          <w:sz w:val="22"/>
          <w:szCs w:val="22"/>
        </w:rPr>
        <w:t>also carried out there</w:t>
      </w:r>
      <w:r w:rsidR="00E03A4C">
        <w:rPr>
          <w:rFonts w:ascii="Avenir Next" w:hAnsi="Avenir Next" w:cs="Arial"/>
          <w:color w:val="7B7B7B" w:themeColor="accent3" w:themeShade="BF"/>
          <w:sz w:val="22"/>
          <w:szCs w:val="22"/>
        </w:rPr>
        <w:t xml:space="preserve">, Stella SA cannot be considered having its COMI in the UK. </w:t>
      </w:r>
      <w:r w:rsidR="00BF7E83">
        <w:rPr>
          <w:rFonts w:ascii="Avenir Next" w:hAnsi="Avenir Next" w:cs="Arial"/>
          <w:color w:val="7B7B7B" w:themeColor="accent3" w:themeShade="BF"/>
          <w:sz w:val="22"/>
          <w:szCs w:val="22"/>
        </w:rPr>
        <w:t xml:space="preserve">A more consistent and flexible </w:t>
      </w:r>
      <w:r w:rsidR="00727DF0">
        <w:rPr>
          <w:rFonts w:ascii="Avenir Next" w:hAnsi="Avenir Next" w:cs="Arial"/>
          <w:color w:val="7B7B7B" w:themeColor="accent3" w:themeShade="BF"/>
          <w:sz w:val="22"/>
          <w:szCs w:val="22"/>
        </w:rPr>
        <w:t>reasoning</w:t>
      </w:r>
      <w:r w:rsidR="00BF7E83">
        <w:rPr>
          <w:rFonts w:ascii="Avenir Next" w:hAnsi="Avenir Next" w:cs="Arial"/>
          <w:color w:val="7B7B7B" w:themeColor="accent3" w:themeShade="BF"/>
          <w:sz w:val="22"/>
          <w:szCs w:val="22"/>
        </w:rPr>
        <w:t xml:space="preserve"> would be to consider the UK as a jurisdiction where Stella SA has an establishment. For that purpose, since the company </w:t>
      </w:r>
      <w:r w:rsidR="00727DF0">
        <w:rPr>
          <w:rFonts w:ascii="Avenir Next" w:hAnsi="Avenir Next" w:cs="Arial"/>
          <w:color w:val="7B7B7B" w:themeColor="accent3" w:themeShade="BF"/>
          <w:sz w:val="22"/>
          <w:szCs w:val="22"/>
        </w:rPr>
        <w:t>operates</w:t>
      </w:r>
      <w:r w:rsidR="00BF7E83">
        <w:rPr>
          <w:rFonts w:ascii="Avenir Next" w:hAnsi="Avenir Next" w:cs="Arial"/>
          <w:color w:val="7B7B7B" w:themeColor="accent3" w:themeShade="BF"/>
          <w:sz w:val="22"/>
          <w:szCs w:val="22"/>
        </w:rPr>
        <w:t xml:space="preserve"> a retail store, and</w:t>
      </w:r>
      <w:r w:rsidR="00727DF0">
        <w:rPr>
          <w:rFonts w:ascii="Avenir Next" w:hAnsi="Avenir Next" w:cs="Arial"/>
          <w:color w:val="7B7B7B" w:themeColor="accent3" w:themeShade="BF"/>
          <w:sz w:val="22"/>
          <w:szCs w:val="22"/>
        </w:rPr>
        <w:t>,</w:t>
      </w:r>
      <w:r w:rsidR="00BF7E83">
        <w:rPr>
          <w:rFonts w:ascii="Avenir Next" w:hAnsi="Avenir Next" w:cs="Arial"/>
          <w:color w:val="7B7B7B" w:themeColor="accent3" w:themeShade="BF"/>
          <w:sz w:val="22"/>
          <w:szCs w:val="22"/>
        </w:rPr>
        <w:t xml:space="preserve"> therefore, a ‘local place of business’</w:t>
      </w:r>
      <w:r w:rsidR="00727DF0">
        <w:rPr>
          <w:rFonts w:ascii="Avenir Next" w:hAnsi="Avenir Next" w:cs="Arial"/>
          <w:color w:val="7B7B7B" w:themeColor="accent3" w:themeShade="BF"/>
          <w:sz w:val="22"/>
          <w:szCs w:val="22"/>
        </w:rPr>
        <w:t>, in England</w:t>
      </w:r>
      <w:r w:rsidR="00BF7E83">
        <w:rPr>
          <w:rFonts w:ascii="Avenir Next" w:hAnsi="Avenir Next" w:cs="Arial"/>
          <w:color w:val="7B7B7B" w:themeColor="accent3" w:themeShade="BF"/>
          <w:sz w:val="22"/>
          <w:szCs w:val="22"/>
        </w:rPr>
        <w:t>, the best solution would be for the US Bankruptcy Court to recognize the English scheme of arrangement as a foreign non-main proceeding.</w:t>
      </w:r>
    </w:p>
    <w:p w14:paraId="4700780A" w14:textId="334D92D1" w:rsidR="00E01803" w:rsidRDefault="00E01803" w:rsidP="000778B1">
      <w:pPr>
        <w:pStyle w:val="AODocTxt"/>
        <w:spacing w:before="0" w:line="240" w:lineRule="auto"/>
        <w:rPr>
          <w:rFonts w:ascii="Avenir Next" w:hAnsi="Avenir Next"/>
        </w:rPr>
      </w:pP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proofErr w:type="spellStart"/>
      <w:r w:rsidRPr="00E01803">
        <w:rPr>
          <w:rFonts w:ascii="Avenir Next" w:hAnsi="Avenir Next"/>
        </w:rPr>
        <w:t>ToyCo</w:t>
      </w:r>
      <w:proofErr w:type="spellEnd"/>
      <w:r w:rsidRPr="00E01803">
        <w:rPr>
          <w:rFonts w:ascii="Avenir Next" w:hAnsi="Avenir Next"/>
        </w:rPr>
        <w:t xml:space="preserve"> is an American toy company that has created a popular line of folding robot toys called </w:t>
      </w:r>
      <w:proofErr w:type="spellStart"/>
      <w:r w:rsidRPr="00E01803">
        <w:rPr>
          <w:rFonts w:ascii="Avenir Next" w:hAnsi="Avenir Next"/>
        </w:rPr>
        <w:t>Xblox</w:t>
      </w:r>
      <w:proofErr w:type="spellEnd"/>
      <w:r w:rsidRPr="00E01803">
        <w:rPr>
          <w:rFonts w:ascii="Avenir Next" w:hAnsi="Avenir Next"/>
        </w:rPr>
        <w:t xml:space="preserve">.  The toys are covered by several US patents.  Currently, </w:t>
      </w:r>
      <w:proofErr w:type="spellStart"/>
      <w:r w:rsidRPr="00E01803">
        <w:rPr>
          <w:rFonts w:ascii="Avenir Next" w:hAnsi="Avenir Next"/>
        </w:rPr>
        <w:t>GameMart</w:t>
      </w:r>
      <w:proofErr w:type="spellEnd"/>
      <w:r w:rsidRPr="00E01803">
        <w:rPr>
          <w:rFonts w:ascii="Avenir Next" w:hAnsi="Avenir Next"/>
        </w:rPr>
        <w:t xml:space="preserve"> Inc </w:t>
      </w:r>
      <w:r w:rsidR="008B4F15">
        <w:rPr>
          <w:rFonts w:ascii="Avenir Next" w:hAnsi="Avenir Next"/>
        </w:rPr>
        <w:t>(</w:t>
      </w:r>
      <w:proofErr w:type="spellStart"/>
      <w:r w:rsidR="008B4F15">
        <w:rPr>
          <w:rFonts w:ascii="Avenir Next" w:hAnsi="Avenir Next"/>
        </w:rPr>
        <w:t>GameMart</w:t>
      </w:r>
      <w:proofErr w:type="spellEnd"/>
      <w:r w:rsidR="008B4F15">
        <w:rPr>
          <w:rFonts w:ascii="Avenir Next" w:hAnsi="Avenir Next"/>
        </w:rPr>
        <w:t xml:space="preserve">) </w:t>
      </w:r>
      <w:r w:rsidRPr="00E01803">
        <w:rPr>
          <w:rFonts w:ascii="Avenir Next" w:hAnsi="Avenir Next"/>
        </w:rPr>
        <w:t xml:space="preserve">has a 10-year exclusive license to manufacture </w:t>
      </w:r>
      <w:proofErr w:type="spellStart"/>
      <w:r w:rsidRPr="00E01803">
        <w:rPr>
          <w:rFonts w:ascii="Avenir Next" w:hAnsi="Avenir Next"/>
        </w:rPr>
        <w:t>Xblox</w:t>
      </w:r>
      <w:proofErr w:type="spellEnd"/>
      <w:r w:rsidRPr="00E01803">
        <w:rPr>
          <w:rFonts w:ascii="Avenir Next" w:hAnsi="Avenir Next"/>
        </w:rPr>
        <w:t xml:space="preserve"> and pays </w:t>
      </w:r>
      <w:proofErr w:type="spellStart"/>
      <w:r w:rsidRPr="00E01803">
        <w:rPr>
          <w:rFonts w:ascii="Avenir Next" w:hAnsi="Avenir Next"/>
        </w:rPr>
        <w:t>ToyCo</w:t>
      </w:r>
      <w:proofErr w:type="spellEnd"/>
      <w:r w:rsidRPr="00E01803">
        <w:rPr>
          <w:rFonts w:ascii="Avenir Next" w:hAnsi="Avenir Next"/>
        </w:rPr>
        <w:t xml:space="preserve"> monthly royalties.  </w:t>
      </w:r>
      <w:proofErr w:type="spellStart"/>
      <w:r w:rsidRPr="00E01803">
        <w:rPr>
          <w:rFonts w:ascii="Avenir Next" w:hAnsi="Avenir Next"/>
        </w:rPr>
        <w:t>GameMart</w:t>
      </w:r>
      <w:proofErr w:type="spellEnd"/>
      <w:r w:rsidRPr="00E01803">
        <w:rPr>
          <w:rFonts w:ascii="Avenir Next" w:hAnsi="Avenir Next"/>
        </w:rPr>
        <w:t xml:space="preserve"> operates a factory in California that it leases from Land Corp on a longer term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w:t>
      </w:r>
      <w:proofErr w:type="spellStart"/>
      <w:r w:rsidRPr="00E01803">
        <w:rPr>
          <w:rFonts w:ascii="Avenir Next" w:hAnsi="Avenir Next"/>
        </w:rPr>
        <w:t>Xblox</w:t>
      </w:r>
      <w:proofErr w:type="spellEnd"/>
      <w:r w:rsidRPr="00E01803">
        <w:rPr>
          <w:rFonts w:ascii="Avenir Next" w:hAnsi="Avenir Next"/>
        </w:rPr>
        <w:t xml:space="preserve"> toys are selling well, but </w:t>
      </w:r>
      <w:proofErr w:type="spellStart"/>
      <w:r w:rsidRPr="00E01803">
        <w:rPr>
          <w:rFonts w:ascii="Avenir Next" w:hAnsi="Avenir Next"/>
        </w:rPr>
        <w:t>GameMart’s</w:t>
      </w:r>
      <w:proofErr w:type="spellEnd"/>
      <w:r w:rsidRPr="00E01803">
        <w:rPr>
          <w:rFonts w:ascii="Avenir Next" w:hAnsi="Avenir Next"/>
        </w:rPr>
        <w:t xml:space="preserve">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w:t>
      </w:r>
      <w:r w:rsidRPr="00E01803">
        <w:rPr>
          <w:rFonts w:ascii="Avenir Next" w:hAnsi="Avenir Next"/>
        </w:rPr>
        <w:tab/>
        <w:t xml:space="preserve">Is the license to manufacture </w:t>
      </w:r>
      <w:proofErr w:type="spellStart"/>
      <w:r w:rsidRPr="00E01803">
        <w:rPr>
          <w:rFonts w:ascii="Avenir Next" w:hAnsi="Avenir Next"/>
        </w:rPr>
        <w:t>Xblox</w:t>
      </w:r>
      <w:proofErr w:type="spellEnd"/>
      <w:r w:rsidRPr="00E01803">
        <w:rPr>
          <w:rFonts w:ascii="Avenir Next" w:hAnsi="Avenir Next"/>
        </w:rPr>
        <w:t xml:space="preserve"> an executory contract?</w:t>
      </w:r>
    </w:p>
    <w:p w14:paraId="02A876BC" w14:textId="3AA03DC2" w:rsidR="00E01803" w:rsidRDefault="00E01803" w:rsidP="000778B1">
      <w:pPr>
        <w:pStyle w:val="AODocTxt"/>
        <w:spacing w:before="0" w:line="240" w:lineRule="auto"/>
        <w:rPr>
          <w:rFonts w:ascii="Avenir Next" w:hAnsi="Avenir Next"/>
        </w:rPr>
      </w:pPr>
    </w:p>
    <w:p w14:paraId="6E6B9076" w14:textId="0AC8F36C" w:rsidR="00D27DA5" w:rsidRDefault="00D27DA5" w:rsidP="00D27DA5">
      <w:pPr>
        <w:jc w:val="both"/>
        <w:rPr>
          <w:rFonts w:ascii="Avenir Next" w:hAnsi="Avenir Next" w:cs="Arial"/>
          <w:color w:val="7B7B7B" w:themeColor="accent3" w:themeShade="BF"/>
          <w:sz w:val="22"/>
          <w:szCs w:val="22"/>
          <w:lang w:val="en-GB"/>
        </w:rPr>
      </w:pPr>
      <w:r w:rsidRPr="00D27DA5">
        <w:rPr>
          <w:rFonts w:ascii="Avenir Next" w:hAnsi="Avenir Next" w:cs="Arial"/>
          <w:color w:val="7B7B7B" w:themeColor="accent3" w:themeShade="BF"/>
          <w:sz w:val="22"/>
          <w:szCs w:val="22"/>
          <w:lang w:val="en-GB"/>
        </w:rPr>
        <w:t xml:space="preserve">In accordance with section 365 of the US Bankruptcy Code, there is the possibility to reject, assume or assume and assign an executory contract. Case law has shaped and developed the meaning of executory contracts. What makes a contract executory is the existence of material obligations that have not been performed by both parties. In the context of a Chapter 11 case, the debtor can use the possibility provided by section 365 and has to </w:t>
      </w:r>
      <w:r w:rsidR="00A73DCF">
        <w:rPr>
          <w:rFonts w:ascii="Avenir Next" w:hAnsi="Avenir Next" w:cs="Arial"/>
          <w:color w:val="7B7B7B" w:themeColor="accent3" w:themeShade="BF"/>
          <w:sz w:val="22"/>
          <w:szCs w:val="22"/>
        </w:rPr>
        <w:t xml:space="preserve">decide </w:t>
      </w:r>
      <w:r w:rsidR="009E4703">
        <w:rPr>
          <w:rFonts w:ascii="Avenir Next" w:hAnsi="Avenir Next" w:cs="Arial"/>
          <w:color w:val="7B7B7B" w:themeColor="accent3" w:themeShade="BF"/>
          <w:sz w:val="22"/>
          <w:szCs w:val="22"/>
        </w:rPr>
        <w:t>on</w:t>
      </w:r>
      <w:r w:rsidR="00A73DCF">
        <w:rPr>
          <w:rFonts w:ascii="Avenir Next" w:hAnsi="Avenir Next" w:cs="Arial"/>
          <w:color w:val="7B7B7B" w:themeColor="accent3" w:themeShade="BF"/>
          <w:sz w:val="22"/>
          <w:szCs w:val="22"/>
        </w:rPr>
        <w:t xml:space="preserve"> the future of those contracts</w:t>
      </w:r>
      <w:r w:rsidRPr="00D27DA5">
        <w:rPr>
          <w:rFonts w:ascii="Avenir Next" w:hAnsi="Avenir Next" w:cs="Arial"/>
          <w:color w:val="7B7B7B" w:themeColor="accent3" w:themeShade="BF"/>
          <w:sz w:val="22"/>
          <w:szCs w:val="22"/>
          <w:lang w:val="en-GB"/>
        </w:rPr>
        <w:t xml:space="preserve"> until the confirmation of the reorganization plan. The bankruptcy court may impose a deadline, however, upon a counterparty's request for cause. The decision to reject or assume a contract should be made in accordance with the business judgment of the debtor-in-possession or trustee with the purpose of facilitating the reorganizatio</w:t>
      </w:r>
      <w:r w:rsidR="009E4703">
        <w:rPr>
          <w:rFonts w:ascii="Avenir Next" w:hAnsi="Avenir Next" w:cs="Arial"/>
          <w:color w:val="7B7B7B" w:themeColor="accent3" w:themeShade="BF"/>
          <w:sz w:val="22"/>
          <w:szCs w:val="22"/>
          <w:lang w:val="en-GB"/>
        </w:rPr>
        <w:t>n</w:t>
      </w:r>
      <w:r w:rsidRPr="00D27DA5">
        <w:rPr>
          <w:rFonts w:ascii="Avenir Next" w:hAnsi="Avenir Next" w:cs="Arial"/>
          <w:color w:val="7B7B7B" w:themeColor="accent3" w:themeShade="BF"/>
          <w:sz w:val="22"/>
          <w:szCs w:val="22"/>
          <w:lang w:val="en-GB"/>
        </w:rPr>
        <w:t xml:space="preserve"> of the entity. </w:t>
      </w:r>
      <w:r w:rsidR="00781257">
        <w:rPr>
          <w:rFonts w:ascii="Avenir Next" w:hAnsi="Avenir Next" w:cs="Arial"/>
          <w:color w:val="7B7B7B" w:themeColor="accent3" w:themeShade="BF"/>
          <w:sz w:val="22"/>
          <w:szCs w:val="22"/>
          <w:lang w:val="en-GB"/>
        </w:rPr>
        <w:t>The c</w:t>
      </w:r>
      <w:r w:rsidRPr="00D27DA5">
        <w:rPr>
          <w:rFonts w:ascii="Avenir Next" w:hAnsi="Avenir Next" w:cs="Arial"/>
          <w:color w:val="7B7B7B" w:themeColor="accent3" w:themeShade="BF"/>
          <w:sz w:val="22"/>
          <w:szCs w:val="22"/>
          <w:lang w:val="en-GB"/>
        </w:rPr>
        <w:t xml:space="preserve">ourt </w:t>
      </w:r>
      <w:r w:rsidR="00781257" w:rsidRPr="00D27DA5">
        <w:rPr>
          <w:rFonts w:ascii="Avenir Next" w:hAnsi="Avenir Next" w:cs="Arial"/>
          <w:color w:val="7B7B7B" w:themeColor="accent3" w:themeShade="BF"/>
          <w:sz w:val="22"/>
          <w:szCs w:val="22"/>
          <w:lang w:val="en-GB"/>
        </w:rPr>
        <w:t xml:space="preserve">may </w:t>
      </w:r>
      <w:r w:rsidR="00781257">
        <w:rPr>
          <w:rFonts w:ascii="Avenir Next" w:hAnsi="Avenir Next" w:cs="Arial"/>
          <w:color w:val="7B7B7B" w:themeColor="accent3" w:themeShade="BF"/>
          <w:sz w:val="22"/>
          <w:szCs w:val="22"/>
          <w:lang w:val="en-GB"/>
        </w:rPr>
        <w:t>refuse to approve the decision in c</w:t>
      </w:r>
      <w:r w:rsidRPr="00D27DA5">
        <w:rPr>
          <w:rFonts w:ascii="Avenir Next" w:hAnsi="Avenir Next" w:cs="Arial"/>
          <w:color w:val="7B7B7B" w:themeColor="accent3" w:themeShade="BF"/>
          <w:sz w:val="22"/>
          <w:szCs w:val="22"/>
          <w:lang w:val="en-GB"/>
        </w:rPr>
        <w:t>ases of lack of good faith or reasonable exercise of the debtor's or trustee's business judgment</w:t>
      </w:r>
      <w:r w:rsidR="00161C69">
        <w:rPr>
          <w:rFonts w:ascii="Avenir Next" w:hAnsi="Avenir Next" w:cs="Arial"/>
          <w:color w:val="7B7B7B" w:themeColor="accent3" w:themeShade="BF"/>
          <w:sz w:val="22"/>
          <w:szCs w:val="22"/>
          <w:lang w:val="en-GB"/>
        </w:rPr>
        <w:t>.</w:t>
      </w:r>
    </w:p>
    <w:p w14:paraId="3E56C31B" w14:textId="77777777" w:rsidR="00D27DA5" w:rsidRPr="00D27DA5" w:rsidRDefault="00D27DA5" w:rsidP="00D27DA5">
      <w:pPr>
        <w:jc w:val="both"/>
        <w:rPr>
          <w:rFonts w:ascii="Avenir Next" w:hAnsi="Avenir Next" w:cs="Arial"/>
          <w:color w:val="7B7B7B" w:themeColor="accent3" w:themeShade="BF"/>
          <w:sz w:val="22"/>
          <w:szCs w:val="22"/>
          <w:lang w:val="en-GB"/>
        </w:rPr>
      </w:pPr>
    </w:p>
    <w:p w14:paraId="0A5752B5" w14:textId="66023B45" w:rsidR="008E286E" w:rsidRDefault="00D27DA5" w:rsidP="00D27DA5">
      <w:pPr>
        <w:jc w:val="both"/>
        <w:rPr>
          <w:rFonts w:ascii="Avenir Next" w:hAnsi="Avenir Next" w:cs="Arial"/>
          <w:color w:val="7B7B7B" w:themeColor="accent3" w:themeShade="BF"/>
          <w:sz w:val="22"/>
          <w:szCs w:val="22"/>
          <w:lang w:val="en-GB"/>
        </w:rPr>
      </w:pPr>
      <w:r w:rsidRPr="00D27DA5">
        <w:rPr>
          <w:rFonts w:ascii="Avenir Next" w:hAnsi="Avenir Next" w:cs="Arial"/>
          <w:color w:val="7B7B7B" w:themeColor="accent3" w:themeShade="BF"/>
          <w:sz w:val="22"/>
          <w:szCs w:val="22"/>
          <w:lang w:val="en-GB"/>
        </w:rPr>
        <w:t xml:space="preserve">An important consideration relates to the fact that contractual restrictions regarding the assignment of contracts are </w:t>
      </w:r>
      <w:r w:rsidR="0035254A">
        <w:rPr>
          <w:rFonts w:ascii="Avenir Next" w:hAnsi="Avenir Next" w:cs="Arial"/>
          <w:color w:val="7B7B7B" w:themeColor="accent3" w:themeShade="BF"/>
          <w:sz w:val="22"/>
          <w:szCs w:val="22"/>
          <w:lang w:val="en-GB"/>
        </w:rPr>
        <w:t>eliminated</w:t>
      </w:r>
      <w:r w:rsidRPr="00D27DA5">
        <w:rPr>
          <w:rFonts w:ascii="Avenir Next" w:hAnsi="Avenir Next" w:cs="Arial"/>
          <w:color w:val="7B7B7B" w:themeColor="accent3" w:themeShade="BF"/>
          <w:sz w:val="22"/>
          <w:szCs w:val="22"/>
          <w:lang w:val="en-GB"/>
        </w:rPr>
        <w:t xml:space="preserve"> in order to increase the value of </w:t>
      </w:r>
      <w:r w:rsidR="0035254A">
        <w:rPr>
          <w:rFonts w:ascii="Avenir Next" w:hAnsi="Avenir Next" w:cs="Arial"/>
          <w:color w:val="7B7B7B" w:themeColor="accent3" w:themeShade="BF"/>
          <w:sz w:val="22"/>
          <w:szCs w:val="22"/>
          <w:lang w:val="en-GB"/>
        </w:rPr>
        <w:t xml:space="preserve">the </w:t>
      </w:r>
      <w:r w:rsidRPr="00D27DA5">
        <w:rPr>
          <w:rFonts w:ascii="Avenir Next" w:hAnsi="Avenir Next" w:cs="Arial"/>
          <w:color w:val="7B7B7B" w:themeColor="accent3" w:themeShade="BF"/>
          <w:sz w:val="22"/>
          <w:szCs w:val="22"/>
          <w:lang w:val="en-GB"/>
        </w:rPr>
        <w:t xml:space="preserve">debtor's assets. More specifically, the requirement of counterparty consent can be found in contracts </w:t>
      </w:r>
      <w:r w:rsidR="00A87AE4">
        <w:rPr>
          <w:rFonts w:ascii="Avenir Next" w:hAnsi="Avenir Next" w:cs="Arial"/>
          <w:color w:val="7B7B7B" w:themeColor="accent3" w:themeShade="BF"/>
          <w:sz w:val="22"/>
          <w:szCs w:val="22"/>
        </w:rPr>
        <w:t>relating</w:t>
      </w:r>
      <w:r w:rsidRPr="00D27DA5">
        <w:rPr>
          <w:rFonts w:ascii="Avenir Next" w:hAnsi="Avenir Next" w:cs="Arial"/>
          <w:color w:val="7B7B7B" w:themeColor="accent3" w:themeShade="BF"/>
          <w:sz w:val="22"/>
          <w:szCs w:val="22"/>
          <w:lang w:val="en-GB"/>
        </w:rPr>
        <w:t xml:space="preserve"> to financial accommodations and loans. It can also be found in situations where non-bankruptcy law </w:t>
      </w:r>
      <w:r w:rsidR="00A87AE4">
        <w:rPr>
          <w:rFonts w:ascii="Avenir Next" w:hAnsi="Avenir Next" w:cs="Arial"/>
          <w:color w:val="7B7B7B" w:themeColor="accent3" w:themeShade="BF"/>
          <w:sz w:val="22"/>
          <w:szCs w:val="22"/>
          <w:lang w:val="en-GB"/>
        </w:rPr>
        <w:t>states</w:t>
      </w:r>
      <w:r w:rsidRPr="00D27DA5">
        <w:rPr>
          <w:rFonts w:ascii="Avenir Next" w:hAnsi="Avenir Next" w:cs="Arial"/>
          <w:color w:val="7B7B7B" w:themeColor="accent3" w:themeShade="BF"/>
          <w:sz w:val="22"/>
          <w:szCs w:val="22"/>
          <w:lang w:val="en-GB"/>
        </w:rPr>
        <w:t xml:space="preserve"> that the counterparty cannot be obligated to accept performance on behalf of a transferee (11 USC, §365(c))</w:t>
      </w:r>
      <w:r>
        <w:rPr>
          <w:rFonts w:ascii="Avenir Next" w:hAnsi="Avenir Next" w:cs="Arial"/>
          <w:color w:val="7B7B7B" w:themeColor="accent3" w:themeShade="BF"/>
          <w:sz w:val="22"/>
          <w:szCs w:val="22"/>
          <w:lang w:val="en-GB"/>
        </w:rPr>
        <w:t>.</w:t>
      </w:r>
      <w:r w:rsidR="002F7C40">
        <w:rPr>
          <w:rFonts w:ascii="Avenir Next" w:hAnsi="Avenir Next" w:cs="Arial"/>
          <w:color w:val="7B7B7B" w:themeColor="accent3" w:themeShade="BF"/>
          <w:sz w:val="22"/>
          <w:szCs w:val="22"/>
          <w:lang w:val="en-GB"/>
        </w:rPr>
        <w:t xml:space="preserve"> This has been interpreted as covering both the situation</w:t>
      </w:r>
      <w:r w:rsidR="009547E1">
        <w:rPr>
          <w:rFonts w:ascii="Avenir Next" w:hAnsi="Avenir Next" w:cs="Arial"/>
          <w:color w:val="7B7B7B" w:themeColor="accent3" w:themeShade="BF"/>
          <w:sz w:val="22"/>
          <w:szCs w:val="22"/>
          <w:lang w:val="en-GB"/>
        </w:rPr>
        <w:t>s</w:t>
      </w:r>
      <w:r w:rsidR="002F7C40">
        <w:rPr>
          <w:rFonts w:ascii="Avenir Next" w:hAnsi="Avenir Next" w:cs="Arial"/>
          <w:color w:val="7B7B7B" w:themeColor="accent3" w:themeShade="BF"/>
          <w:sz w:val="22"/>
          <w:szCs w:val="22"/>
          <w:lang w:val="en-GB"/>
        </w:rPr>
        <w:t xml:space="preserve"> of assumption and</w:t>
      </w:r>
      <w:r w:rsidR="002F7C40" w:rsidRPr="002F7C40">
        <w:rPr>
          <w:rFonts w:ascii="Avenir Next" w:hAnsi="Avenir Next" w:cs="Arial"/>
          <w:color w:val="7B7B7B" w:themeColor="accent3" w:themeShade="BF"/>
          <w:sz w:val="22"/>
          <w:szCs w:val="22"/>
          <w:lang w:val="en-GB"/>
        </w:rPr>
        <w:t xml:space="preserve"> </w:t>
      </w:r>
      <w:r w:rsidR="002F7C40">
        <w:rPr>
          <w:rFonts w:ascii="Avenir Next" w:hAnsi="Avenir Next" w:cs="Arial"/>
          <w:color w:val="7B7B7B" w:themeColor="accent3" w:themeShade="BF"/>
          <w:sz w:val="22"/>
          <w:szCs w:val="22"/>
          <w:lang w:val="en-GB"/>
        </w:rPr>
        <w:t>assignment</w:t>
      </w:r>
      <w:r w:rsidR="009547E1">
        <w:rPr>
          <w:rFonts w:ascii="Avenir Next" w:hAnsi="Avenir Next" w:cs="Arial"/>
          <w:color w:val="7B7B7B" w:themeColor="accent3" w:themeShade="BF"/>
          <w:sz w:val="22"/>
          <w:szCs w:val="22"/>
          <w:lang w:val="en-GB"/>
        </w:rPr>
        <w:t xml:space="preserve">. </w:t>
      </w:r>
      <w:r w:rsidR="007A2D09">
        <w:rPr>
          <w:rFonts w:ascii="Avenir Next" w:hAnsi="Avenir Next" w:cs="Arial"/>
          <w:color w:val="7B7B7B" w:themeColor="accent3" w:themeShade="BF"/>
          <w:sz w:val="22"/>
          <w:szCs w:val="22"/>
          <w:lang w:val="en-GB"/>
        </w:rPr>
        <w:t>Certain c</w:t>
      </w:r>
      <w:r w:rsidR="00E70690">
        <w:rPr>
          <w:rFonts w:ascii="Avenir Next" w:hAnsi="Avenir Next" w:cs="Arial"/>
          <w:color w:val="7B7B7B" w:themeColor="accent3" w:themeShade="BF"/>
          <w:sz w:val="22"/>
          <w:szCs w:val="22"/>
          <w:lang w:val="en-GB"/>
        </w:rPr>
        <w:t>ourts</w:t>
      </w:r>
      <w:r w:rsidR="00AF74D8">
        <w:rPr>
          <w:rFonts w:ascii="Avenir Next" w:hAnsi="Avenir Next" w:cs="Arial"/>
          <w:color w:val="7B7B7B" w:themeColor="accent3" w:themeShade="BF"/>
          <w:sz w:val="22"/>
          <w:szCs w:val="22"/>
          <w:lang w:val="en-GB"/>
        </w:rPr>
        <w:t xml:space="preserve"> </w:t>
      </w:r>
      <w:r w:rsidR="00E70690">
        <w:rPr>
          <w:rFonts w:ascii="Avenir Next" w:hAnsi="Avenir Next" w:cs="Arial"/>
          <w:color w:val="7B7B7B" w:themeColor="accent3" w:themeShade="BF"/>
          <w:sz w:val="22"/>
          <w:szCs w:val="22"/>
          <w:lang w:val="en-GB"/>
        </w:rPr>
        <w:t>in assessing the substance of th</w:t>
      </w:r>
      <w:r w:rsidR="00A87AE4">
        <w:rPr>
          <w:rFonts w:ascii="Avenir Next" w:hAnsi="Avenir Next" w:cs="Arial"/>
          <w:color w:val="7B7B7B" w:themeColor="accent3" w:themeShade="BF"/>
          <w:sz w:val="22"/>
          <w:szCs w:val="22"/>
          <w:lang w:val="en-GB"/>
        </w:rPr>
        <w:t>is</w:t>
      </w:r>
      <w:r w:rsidR="00E70690">
        <w:rPr>
          <w:rFonts w:ascii="Avenir Next" w:hAnsi="Avenir Next" w:cs="Arial"/>
          <w:color w:val="7B7B7B" w:themeColor="accent3" w:themeShade="BF"/>
          <w:sz w:val="22"/>
          <w:szCs w:val="22"/>
          <w:lang w:val="en-GB"/>
        </w:rPr>
        <w:t xml:space="preserve"> prohibition have applied the ‘hypothetical test</w:t>
      </w:r>
      <w:r w:rsidR="00086369">
        <w:rPr>
          <w:rFonts w:ascii="Avenir Next" w:hAnsi="Avenir Next" w:cs="Arial"/>
          <w:color w:val="7B7B7B" w:themeColor="accent3" w:themeShade="BF"/>
          <w:sz w:val="22"/>
          <w:szCs w:val="22"/>
          <w:lang w:val="en-GB"/>
        </w:rPr>
        <w:t>’</w:t>
      </w:r>
      <w:r w:rsidR="007A2D09">
        <w:rPr>
          <w:rFonts w:ascii="Avenir Next" w:hAnsi="Avenir Next" w:cs="Arial"/>
          <w:color w:val="7B7B7B" w:themeColor="accent3" w:themeShade="BF"/>
          <w:sz w:val="22"/>
          <w:szCs w:val="22"/>
          <w:lang w:val="en-GB"/>
        </w:rPr>
        <w:t xml:space="preserve"> </w:t>
      </w:r>
      <w:r w:rsidR="000C016A" w:rsidRPr="000C016A">
        <w:rPr>
          <w:rFonts w:ascii="Avenir Next" w:hAnsi="Avenir Next" w:cs="Arial"/>
          <w:color w:val="7B7B7B" w:themeColor="accent3" w:themeShade="BF"/>
          <w:sz w:val="22"/>
          <w:szCs w:val="22"/>
          <w:lang w:val="en-GB"/>
        </w:rPr>
        <w:t>(the Third, Fourth, Ninth, and Eleventh Circuits)</w:t>
      </w:r>
      <w:r w:rsidR="000C016A">
        <w:rPr>
          <w:rFonts w:ascii="Avenir Next" w:hAnsi="Avenir Next" w:cs="Arial"/>
          <w:color w:val="7B7B7B" w:themeColor="accent3" w:themeShade="BF"/>
          <w:sz w:val="22"/>
          <w:szCs w:val="22"/>
          <w:lang w:val="en-GB"/>
        </w:rPr>
        <w:t xml:space="preserve"> </w:t>
      </w:r>
      <w:r w:rsidR="007A2D09">
        <w:rPr>
          <w:rFonts w:ascii="Avenir Next" w:hAnsi="Avenir Next" w:cs="Arial"/>
          <w:color w:val="7B7B7B" w:themeColor="accent3" w:themeShade="BF"/>
          <w:sz w:val="22"/>
          <w:szCs w:val="22"/>
          <w:lang w:val="en-GB"/>
        </w:rPr>
        <w:t>which implies that the assumption of an executory contract that is not permitted to</w:t>
      </w:r>
      <w:r w:rsidR="00E50394">
        <w:rPr>
          <w:rFonts w:ascii="Avenir Next" w:hAnsi="Avenir Next" w:cs="Arial"/>
          <w:color w:val="7B7B7B" w:themeColor="accent3" w:themeShade="BF"/>
          <w:sz w:val="22"/>
          <w:szCs w:val="22"/>
          <w:lang w:val="en-GB"/>
        </w:rPr>
        <w:t xml:space="preserve"> </w:t>
      </w:r>
      <w:r w:rsidR="00E50394">
        <w:rPr>
          <w:rFonts w:ascii="Avenir Next" w:hAnsi="Avenir Next" w:cs="Arial"/>
          <w:color w:val="7B7B7B" w:themeColor="accent3" w:themeShade="BF"/>
          <w:sz w:val="22"/>
          <w:szCs w:val="22"/>
          <w:lang w:val="en-GB"/>
        </w:rPr>
        <w:lastRenderedPageBreak/>
        <w:t>be</w:t>
      </w:r>
      <w:r w:rsidR="007A2D09">
        <w:rPr>
          <w:rFonts w:ascii="Avenir Next" w:hAnsi="Avenir Next" w:cs="Arial"/>
          <w:color w:val="7B7B7B" w:themeColor="accent3" w:themeShade="BF"/>
          <w:sz w:val="22"/>
          <w:szCs w:val="22"/>
          <w:lang w:val="en-GB"/>
        </w:rPr>
        <w:t xml:space="preserve"> assign</w:t>
      </w:r>
      <w:r w:rsidR="00E50394">
        <w:rPr>
          <w:rFonts w:ascii="Avenir Next" w:hAnsi="Avenir Next" w:cs="Arial"/>
          <w:color w:val="7B7B7B" w:themeColor="accent3" w:themeShade="BF"/>
          <w:sz w:val="22"/>
          <w:szCs w:val="22"/>
          <w:lang w:val="en-GB"/>
        </w:rPr>
        <w:t>ed</w:t>
      </w:r>
      <w:r w:rsidR="007A2D09">
        <w:rPr>
          <w:rFonts w:ascii="Avenir Next" w:hAnsi="Avenir Next" w:cs="Arial"/>
          <w:color w:val="7B7B7B" w:themeColor="accent3" w:themeShade="BF"/>
          <w:sz w:val="22"/>
          <w:szCs w:val="22"/>
          <w:lang w:val="en-GB"/>
        </w:rPr>
        <w:t xml:space="preserve"> should not be possible. </w:t>
      </w:r>
      <w:r w:rsidR="008B1F6D">
        <w:rPr>
          <w:rFonts w:ascii="Avenir Next" w:hAnsi="Avenir Next" w:cs="Arial"/>
          <w:color w:val="7B7B7B" w:themeColor="accent3" w:themeShade="BF"/>
          <w:sz w:val="22"/>
          <w:szCs w:val="22"/>
          <w:lang w:val="en-GB"/>
        </w:rPr>
        <w:t xml:space="preserve">Other </w:t>
      </w:r>
      <w:r w:rsidR="00785F13">
        <w:rPr>
          <w:rFonts w:ascii="Avenir Next" w:hAnsi="Avenir Next" w:cs="Arial"/>
          <w:color w:val="7B7B7B" w:themeColor="accent3" w:themeShade="BF"/>
          <w:sz w:val="22"/>
          <w:szCs w:val="22"/>
          <w:lang w:val="en-GB"/>
        </w:rPr>
        <w:t>courts</w:t>
      </w:r>
      <w:r w:rsidR="00C35971">
        <w:rPr>
          <w:rFonts w:ascii="Avenir Next" w:hAnsi="Avenir Next" w:cs="Arial"/>
          <w:color w:val="7B7B7B" w:themeColor="accent3" w:themeShade="BF"/>
          <w:sz w:val="22"/>
          <w:szCs w:val="22"/>
          <w:lang w:val="en-GB"/>
        </w:rPr>
        <w:t xml:space="preserve"> </w:t>
      </w:r>
      <w:r w:rsidR="000C016A" w:rsidRPr="000C016A">
        <w:rPr>
          <w:rFonts w:ascii="Avenir Next" w:hAnsi="Avenir Next" w:cs="Arial"/>
          <w:color w:val="7B7B7B" w:themeColor="accent3" w:themeShade="BF"/>
          <w:sz w:val="22"/>
          <w:szCs w:val="22"/>
          <w:lang w:val="en-GB"/>
        </w:rPr>
        <w:t xml:space="preserve">(the First and Fifth Circuits, and lower courts in the Seventh, Eighth, and Tenth Circuits) </w:t>
      </w:r>
      <w:r w:rsidR="00785F13">
        <w:rPr>
          <w:rFonts w:ascii="Avenir Next" w:hAnsi="Avenir Next" w:cs="Arial"/>
          <w:color w:val="7B7B7B" w:themeColor="accent3" w:themeShade="BF"/>
          <w:sz w:val="22"/>
          <w:szCs w:val="22"/>
          <w:lang w:val="en-GB"/>
        </w:rPr>
        <w:t>have concluded</w:t>
      </w:r>
      <w:r w:rsidR="00C35971">
        <w:rPr>
          <w:rFonts w:ascii="Avenir Next" w:hAnsi="Avenir Next" w:cs="Arial"/>
          <w:color w:val="7B7B7B" w:themeColor="accent3" w:themeShade="BF"/>
          <w:sz w:val="22"/>
          <w:szCs w:val="22"/>
          <w:lang w:val="en-GB"/>
        </w:rPr>
        <w:t xml:space="preserve">, developing the ‘actual test’, that </w:t>
      </w:r>
      <w:r w:rsidR="00785F13">
        <w:rPr>
          <w:rFonts w:ascii="Avenir Next" w:hAnsi="Avenir Next" w:cs="Arial"/>
          <w:color w:val="7B7B7B" w:themeColor="accent3" w:themeShade="BF"/>
          <w:sz w:val="22"/>
          <w:szCs w:val="22"/>
          <w:lang w:val="en-GB"/>
        </w:rPr>
        <w:t>the prohibition should apply only when the debtor is planning to assign the contra</w:t>
      </w:r>
      <w:r w:rsidR="00D1014D">
        <w:rPr>
          <w:rFonts w:ascii="Avenir Next" w:hAnsi="Avenir Next" w:cs="Arial"/>
          <w:color w:val="7B7B7B" w:themeColor="accent3" w:themeShade="BF"/>
          <w:sz w:val="22"/>
          <w:szCs w:val="22"/>
          <w:lang w:val="en-GB"/>
        </w:rPr>
        <w:t>ct.</w:t>
      </w:r>
    </w:p>
    <w:p w14:paraId="25B5F054" w14:textId="77777777" w:rsidR="00AF74D8" w:rsidRDefault="00AF74D8" w:rsidP="00D27DA5">
      <w:pPr>
        <w:jc w:val="both"/>
        <w:rPr>
          <w:rFonts w:ascii="Avenir Next" w:hAnsi="Avenir Next" w:cs="Arial"/>
          <w:color w:val="7B7B7B" w:themeColor="accent3" w:themeShade="BF"/>
          <w:sz w:val="22"/>
          <w:szCs w:val="22"/>
          <w:lang w:val="en-GB"/>
        </w:rPr>
      </w:pPr>
    </w:p>
    <w:p w14:paraId="7CB9F9CE" w14:textId="6F922C5D" w:rsidR="00357057" w:rsidRDefault="005F1BD5" w:rsidP="00D27DA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US company, </w:t>
      </w:r>
      <w:proofErr w:type="spellStart"/>
      <w:r>
        <w:rPr>
          <w:rFonts w:ascii="Avenir Next" w:hAnsi="Avenir Next" w:cs="Arial"/>
          <w:color w:val="7B7B7B" w:themeColor="accent3" w:themeShade="BF"/>
          <w:sz w:val="22"/>
          <w:szCs w:val="22"/>
          <w:lang w:val="en-GB"/>
        </w:rPr>
        <w:t>ToyCo</w:t>
      </w:r>
      <w:proofErr w:type="spellEnd"/>
      <w:r>
        <w:rPr>
          <w:rFonts w:ascii="Avenir Next" w:hAnsi="Avenir Next" w:cs="Arial"/>
          <w:color w:val="7B7B7B" w:themeColor="accent3" w:themeShade="BF"/>
          <w:sz w:val="22"/>
          <w:szCs w:val="22"/>
          <w:lang w:val="en-GB"/>
        </w:rPr>
        <w:t xml:space="preserve">, </w:t>
      </w:r>
      <w:r w:rsidR="00300765">
        <w:rPr>
          <w:rFonts w:ascii="Avenir Next" w:hAnsi="Avenir Next" w:cs="Arial"/>
          <w:color w:val="7B7B7B" w:themeColor="accent3" w:themeShade="BF"/>
          <w:sz w:val="22"/>
          <w:szCs w:val="22"/>
          <w:lang w:val="en-GB"/>
        </w:rPr>
        <w:t>ha</w:t>
      </w:r>
      <w:r>
        <w:rPr>
          <w:rFonts w:ascii="Avenir Next" w:hAnsi="Avenir Next" w:cs="Arial"/>
          <w:color w:val="7B7B7B" w:themeColor="accent3" w:themeShade="BF"/>
          <w:sz w:val="22"/>
          <w:szCs w:val="22"/>
          <w:lang w:val="en-GB"/>
        </w:rPr>
        <w:t>s</w:t>
      </w:r>
      <w:r w:rsidR="007C402C">
        <w:rPr>
          <w:rFonts w:ascii="Avenir Next" w:hAnsi="Avenir Next" w:cs="Arial"/>
          <w:color w:val="7B7B7B" w:themeColor="accent3" w:themeShade="BF"/>
          <w:sz w:val="22"/>
          <w:szCs w:val="22"/>
          <w:lang w:val="en-GB"/>
        </w:rPr>
        <w:t xml:space="preserve"> designed a very successful line of toys (‘</w:t>
      </w:r>
      <w:proofErr w:type="spellStart"/>
      <w:r>
        <w:rPr>
          <w:rFonts w:ascii="Avenir Next" w:hAnsi="Avenir Next" w:cs="Arial"/>
          <w:color w:val="7B7B7B" w:themeColor="accent3" w:themeShade="BF"/>
          <w:sz w:val="22"/>
          <w:szCs w:val="22"/>
          <w:lang w:val="en-GB"/>
        </w:rPr>
        <w:t>Xblox</w:t>
      </w:r>
      <w:proofErr w:type="spellEnd"/>
      <w:r>
        <w:rPr>
          <w:rFonts w:ascii="Avenir Next" w:hAnsi="Avenir Next" w:cs="Arial"/>
          <w:color w:val="7B7B7B" w:themeColor="accent3" w:themeShade="BF"/>
          <w:sz w:val="22"/>
          <w:szCs w:val="22"/>
          <w:lang w:val="en-GB"/>
        </w:rPr>
        <w:t xml:space="preserve"> toys</w:t>
      </w:r>
      <w:r w:rsidR="007C402C">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300765">
        <w:rPr>
          <w:rFonts w:ascii="Avenir Next" w:hAnsi="Avenir Next" w:cs="Arial"/>
          <w:color w:val="7B7B7B" w:themeColor="accent3" w:themeShade="BF"/>
          <w:sz w:val="22"/>
          <w:szCs w:val="22"/>
          <w:lang w:val="en-GB"/>
        </w:rPr>
        <w:t xml:space="preserve">which are </w:t>
      </w:r>
      <w:r>
        <w:rPr>
          <w:rFonts w:ascii="Avenir Next" w:hAnsi="Avenir Next" w:cs="Arial"/>
          <w:color w:val="7B7B7B" w:themeColor="accent3" w:themeShade="BF"/>
          <w:sz w:val="22"/>
          <w:szCs w:val="22"/>
          <w:lang w:val="en-GB"/>
        </w:rPr>
        <w:t xml:space="preserve">covered by a number of US patents. </w:t>
      </w:r>
      <w:proofErr w:type="spellStart"/>
      <w:r w:rsidR="008E286E">
        <w:rPr>
          <w:rFonts w:ascii="Avenir Next" w:hAnsi="Avenir Next" w:cs="Arial"/>
          <w:color w:val="7B7B7B" w:themeColor="accent3" w:themeShade="BF"/>
          <w:sz w:val="22"/>
          <w:szCs w:val="22"/>
          <w:lang w:val="en-GB"/>
        </w:rPr>
        <w:t>GameMart</w:t>
      </w:r>
      <w:proofErr w:type="spellEnd"/>
      <w:r w:rsidR="008E286E">
        <w:rPr>
          <w:rFonts w:ascii="Avenir Next" w:hAnsi="Avenir Next" w:cs="Arial"/>
          <w:color w:val="7B7B7B" w:themeColor="accent3" w:themeShade="BF"/>
          <w:sz w:val="22"/>
          <w:szCs w:val="22"/>
          <w:lang w:val="en-GB"/>
        </w:rPr>
        <w:t xml:space="preserve"> is a company </w:t>
      </w:r>
      <w:r w:rsidR="00C61E21">
        <w:rPr>
          <w:rFonts w:ascii="Avenir Next" w:hAnsi="Avenir Next" w:cs="Arial"/>
          <w:color w:val="7B7B7B" w:themeColor="accent3" w:themeShade="BF"/>
          <w:sz w:val="22"/>
          <w:szCs w:val="22"/>
          <w:lang w:val="en-GB"/>
        </w:rPr>
        <w:t>that has</w:t>
      </w:r>
      <w:r w:rsidR="008E286E">
        <w:rPr>
          <w:rFonts w:ascii="Avenir Next" w:hAnsi="Avenir Next" w:cs="Arial"/>
          <w:color w:val="7B7B7B" w:themeColor="accent3" w:themeShade="BF"/>
          <w:sz w:val="22"/>
          <w:szCs w:val="22"/>
          <w:lang w:val="en-GB"/>
        </w:rPr>
        <w:t xml:space="preserve"> a 10-year </w:t>
      </w:r>
      <w:r w:rsidR="00C04365">
        <w:rPr>
          <w:rFonts w:ascii="Avenir Next" w:hAnsi="Avenir Next" w:cs="Arial"/>
          <w:color w:val="7B7B7B" w:themeColor="accent3" w:themeShade="BF"/>
          <w:sz w:val="22"/>
          <w:szCs w:val="22"/>
          <w:lang w:val="en-GB"/>
        </w:rPr>
        <w:t xml:space="preserve">exclusive </w:t>
      </w:r>
      <w:r w:rsidR="008E286E">
        <w:rPr>
          <w:rFonts w:ascii="Avenir Next" w:hAnsi="Avenir Next" w:cs="Arial"/>
          <w:color w:val="7B7B7B" w:themeColor="accent3" w:themeShade="BF"/>
          <w:sz w:val="22"/>
          <w:szCs w:val="22"/>
          <w:lang w:val="en-GB"/>
        </w:rPr>
        <w:t>license in the production of</w:t>
      </w:r>
      <w:r>
        <w:rPr>
          <w:rFonts w:ascii="Avenir Next" w:hAnsi="Avenir Next" w:cs="Arial"/>
          <w:color w:val="7B7B7B" w:themeColor="accent3" w:themeShade="BF"/>
          <w:sz w:val="22"/>
          <w:szCs w:val="22"/>
          <w:lang w:val="en-GB"/>
        </w:rPr>
        <w:t xml:space="preserve"> </w:t>
      </w:r>
      <w:proofErr w:type="spellStart"/>
      <w:r>
        <w:rPr>
          <w:rFonts w:ascii="Avenir Next" w:hAnsi="Avenir Next" w:cs="Arial"/>
          <w:color w:val="7B7B7B" w:themeColor="accent3" w:themeShade="BF"/>
          <w:sz w:val="22"/>
          <w:szCs w:val="22"/>
          <w:lang w:val="en-GB"/>
        </w:rPr>
        <w:t>Xblox</w:t>
      </w:r>
      <w:proofErr w:type="spellEnd"/>
      <w:r>
        <w:rPr>
          <w:rFonts w:ascii="Avenir Next" w:hAnsi="Avenir Next" w:cs="Arial"/>
          <w:color w:val="7B7B7B" w:themeColor="accent3" w:themeShade="BF"/>
          <w:sz w:val="22"/>
          <w:szCs w:val="22"/>
          <w:lang w:val="en-GB"/>
        </w:rPr>
        <w:t xml:space="preserve"> toys and </w:t>
      </w:r>
      <w:r w:rsidR="00C61E21">
        <w:rPr>
          <w:rFonts w:ascii="Avenir Next" w:hAnsi="Avenir Next" w:cs="Arial"/>
          <w:color w:val="7B7B7B" w:themeColor="accent3" w:themeShade="BF"/>
          <w:sz w:val="22"/>
          <w:szCs w:val="22"/>
          <w:lang w:val="en-GB"/>
        </w:rPr>
        <w:t>pays</w:t>
      </w:r>
      <w:r>
        <w:rPr>
          <w:rFonts w:ascii="Avenir Next" w:hAnsi="Avenir Next" w:cs="Arial"/>
          <w:color w:val="7B7B7B" w:themeColor="accent3" w:themeShade="BF"/>
          <w:sz w:val="22"/>
          <w:szCs w:val="22"/>
          <w:lang w:val="en-GB"/>
        </w:rPr>
        <w:t xml:space="preserve"> T</w:t>
      </w:r>
      <w:proofErr w:type="spellStart"/>
      <w:r>
        <w:rPr>
          <w:rFonts w:ascii="Avenir Next" w:hAnsi="Avenir Next" w:cs="Arial"/>
          <w:color w:val="7B7B7B" w:themeColor="accent3" w:themeShade="BF"/>
          <w:sz w:val="22"/>
          <w:szCs w:val="22"/>
          <w:lang w:val="en-GB"/>
        </w:rPr>
        <w:t>oyCo</w:t>
      </w:r>
      <w:proofErr w:type="spellEnd"/>
      <w:r>
        <w:rPr>
          <w:rFonts w:ascii="Avenir Next" w:hAnsi="Avenir Next" w:cs="Arial"/>
          <w:color w:val="7B7B7B" w:themeColor="accent3" w:themeShade="BF"/>
          <w:sz w:val="22"/>
          <w:szCs w:val="22"/>
          <w:lang w:val="en-GB"/>
        </w:rPr>
        <w:t xml:space="preserve"> the respective royalties every month.</w:t>
      </w:r>
    </w:p>
    <w:p w14:paraId="14D7FABA" w14:textId="3CBA7010" w:rsidR="00D26B33" w:rsidRDefault="00D26B33" w:rsidP="00D27DA5">
      <w:pPr>
        <w:jc w:val="both"/>
        <w:rPr>
          <w:rFonts w:ascii="Avenir Next" w:hAnsi="Avenir Next" w:cs="Arial"/>
          <w:color w:val="7B7B7B" w:themeColor="accent3" w:themeShade="BF"/>
          <w:sz w:val="22"/>
          <w:szCs w:val="22"/>
          <w:lang w:val="en-GB"/>
        </w:rPr>
      </w:pPr>
    </w:p>
    <w:p w14:paraId="092CCA5C" w14:textId="33286BF1" w:rsidR="00E01803" w:rsidRPr="0075490F" w:rsidRDefault="00D26B33" w:rsidP="0075490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a Chapter 11 proceeding, </w:t>
      </w:r>
      <w:r w:rsidR="000B4385">
        <w:rPr>
          <w:rFonts w:ascii="Avenir Next" w:hAnsi="Avenir Next" w:cs="Arial"/>
          <w:color w:val="7B7B7B" w:themeColor="accent3" w:themeShade="BF"/>
          <w:sz w:val="22"/>
          <w:szCs w:val="22"/>
          <w:lang w:val="en-GB"/>
        </w:rPr>
        <w:t>the license agreement would be characterized as an executory contract</w:t>
      </w:r>
      <w:r w:rsidR="00B404BA">
        <w:rPr>
          <w:rFonts w:ascii="Avenir Next" w:hAnsi="Avenir Next" w:cs="Arial"/>
          <w:color w:val="7B7B7B" w:themeColor="accent3" w:themeShade="BF"/>
          <w:sz w:val="22"/>
          <w:szCs w:val="22"/>
          <w:lang w:val="en-GB"/>
        </w:rPr>
        <w:t xml:space="preserve">. </w:t>
      </w:r>
      <w:proofErr w:type="spellStart"/>
      <w:r w:rsidR="00B404BA">
        <w:rPr>
          <w:rFonts w:ascii="Avenir Next" w:hAnsi="Avenir Next" w:cs="Arial"/>
          <w:color w:val="7B7B7B" w:themeColor="accent3" w:themeShade="BF"/>
          <w:sz w:val="22"/>
          <w:szCs w:val="22"/>
          <w:lang w:val="en-GB"/>
        </w:rPr>
        <w:t>ToyCo</w:t>
      </w:r>
      <w:proofErr w:type="spellEnd"/>
      <w:r w:rsidR="00B404BA">
        <w:rPr>
          <w:rFonts w:ascii="Avenir Next" w:hAnsi="Avenir Next" w:cs="Arial"/>
          <w:color w:val="7B7B7B" w:themeColor="accent3" w:themeShade="BF"/>
          <w:sz w:val="22"/>
          <w:szCs w:val="22"/>
          <w:lang w:val="en-GB"/>
        </w:rPr>
        <w:t xml:space="preserve">, on the one hand, is allowing </w:t>
      </w:r>
      <w:proofErr w:type="spellStart"/>
      <w:r w:rsidR="00B404BA">
        <w:rPr>
          <w:rFonts w:ascii="Avenir Next" w:hAnsi="Avenir Next" w:cs="Arial"/>
          <w:color w:val="7B7B7B" w:themeColor="accent3" w:themeShade="BF"/>
          <w:sz w:val="22"/>
          <w:szCs w:val="22"/>
          <w:lang w:val="en-GB"/>
        </w:rPr>
        <w:t>GameMart</w:t>
      </w:r>
      <w:proofErr w:type="spellEnd"/>
      <w:r w:rsidR="00B404BA">
        <w:rPr>
          <w:rFonts w:ascii="Avenir Next" w:hAnsi="Avenir Next" w:cs="Arial"/>
          <w:color w:val="7B7B7B" w:themeColor="accent3" w:themeShade="BF"/>
          <w:sz w:val="22"/>
          <w:szCs w:val="22"/>
          <w:lang w:val="en-GB"/>
        </w:rPr>
        <w:t xml:space="preserve"> to manufacture </w:t>
      </w:r>
      <w:proofErr w:type="spellStart"/>
      <w:r w:rsidR="00B404BA">
        <w:rPr>
          <w:rFonts w:ascii="Avenir Next" w:hAnsi="Avenir Next" w:cs="Arial"/>
          <w:color w:val="7B7B7B" w:themeColor="accent3" w:themeShade="BF"/>
          <w:sz w:val="22"/>
          <w:szCs w:val="22"/>
          <w:lang w:val="en-GB"/>
        </w:rPr>
        <w:t>Xblox</w:t>
      </w:r>
      <w:proofErr w:type="spellEnd"/>
      <w:r w:rsidR="00B404BA">
        <w:rPr>
          <w:rFonts w:ascii="Avenir Next" w:hAnsi="Avenir Next" w:cs="Arial"/>
          <w:color w:val="7B7B7B" w:themeColor="accent3" w:themeShade="BF"/>
          <w:sz w:val="22"/>
          <w:szCs w:val="22"/>
          <w:lang w:val="en-GB"/>
        </w:rPr>
        <w:t xml:space="preserve"> </w:t>
      </w:r>
      <w:r w:rsidR="00706106">
        <w:rPr>
          <w:rFonts w:ascii="Avenir Next" w:hAnsi="Avenir Next" w:cs="Arial"/>
          <w:color w:val="7B7B7B" w:themeColor="accent3" w:themeShade="BF"/>
          <w:sz w:val="22"/>
          <w:szCs w:val="22"/>
          <w:lang w:val="en-GB"/>
        </w:rPr>
        <w:t xml:space="preserve">toys </w:t>
      </w:r>
      <w:r w:rsidR="00B404BA">
        <w:rPr>
          <w:rFonts w:ascii="Avenir Next" w:hAnsi="Avenir Next" w:cs="Arial"/>
          <w:color w:val="7B7B7B" w:themeColor="accent3" w:themeShade="BF"/>
          <w:sz w:val="22"/>
          <w:szCs w:val="22"/>
          <w:lang w:val="en-GB"/>
        </w:rPr>
        <w:t>through a 10-year exclusive license and</w:t>
      </w:r>
      <w:r w:rsidR="00DD49E7">
        <w:rPr>
          <w:rFonts w:ascii="Avenir Next" w:hAnsi="Avenir Next" w:cs="Arial"/>
          <w:color w:val="7B7B7B" w:themeColor="accent3" w:themeShade="BF"/>
          <w:sz w:val="22"/>
          <w:szCs w:val="22"/>
          <w:lang w:val="en-GB"/>
        </w:rPr>
        <w:t xml:space="preserve"> </w:t>
      </w:r>
      <w:proofErr w:type="spellStart"/>
      <w:r w:rsidR="00B404BA">
        <w:rPr>
          <w:rFonts w:ascii="Avenir Next" w:hAnsi="Avenir Next" w:cs="Arial"/>
          <w:color w:val="7B7B7B" w:themeColor="accent3" w:themeShade="BF"/>
          <w:sz w:val="22"/>
          <w:szCs w:val="22"/>
          <w:lang w:val="en-GB"/>
        </w:rPr>
        <w:t>GameMart</w:t>
      </w:r>
      <w:proofErr w:type="spellEnd"/>
      <w:r w:rsidR="00DD49E7">
        <w:rPr>
          <w:rFonts w:ascii="Avenir Next" w:hAnsi="Avenir Next" w:cs="Arial"/>
          <w:color w:val="7B7B7B" w:themeColor="accent3" w:themeShade="BF"/>
          <w:sz w:val="22"/>
          <w:szCs w:val="22"/>
          <w:lang w:val="en-GB"/>
        </w:rPr>
        <w:t>, on the other hand,</w:t>
      </w:r>
      <w:r w:rsidR="00B404BA">
        <w:rPr>
          <w:rFonts w:ascii="Avenir Next" w:hAnsi="Avenir Next" w:cs="Arial"/>
          <w:color w:val="7B7B7B" w:themeColor="accent3" w:themeShade="BF"/>
          <w:sz w:val="22"/>
          <w:szCs w:val="22"/>
          <w:lang w:val="en-GB"/>
        </w:rPr>
        <w:t xml:space="preserve"> is paying </w:t>
      </w:r>
      <w:proofErr w:type="spellStart"/>
      <w:r w:rsidR="00B404BA">
        <w:rPr>
          <w:rFonts w:ascii="Avenir Next" w:hAnsi="Avenir Next" w:cs="Arial"/>
          <w:color w:val="7B7B7B" w:themeColor="accent3" w:themeShade="BF"/>
          <w:sz w:val="22"/>
          <w:szCs w:val="22"/>
          <w:lang w:val="en-GB"/>
        </w:rPr>
        <w:t>ToyCo</w:t>
      </w:r>
      <w:proofErr w:type="spellEnd"/>
      <w:r w:rsidR="00B404BA">
        <w:rPr>
          <w:rFonts w:ascii="Avenir Next" w:hAnsi="Avenir Next" w:cs="Arial"/>
          <w:color w:val="7B7B7B" w:themeColor="accent3" w:themeShade="BF"/>
          <w:sz w:val="22"/>
          <w:szCs w:val="22"/>
          <w:lang w:val="en-GB"/>
        </w:rPr>
        <w:t xml:space="preserve"> monthly royalties</w:t>
      </w:r>
      <w:r w:rsidR="000B4385">
        <w:rPr>
          <w:rFonts w:ascii="Avenir Next" w:hAnsi="Avenir Next" w:cs="Arial"/>
          <w:color w:val="7B7B7B" w:themeColor="accent3" w:themeShade="BF"/>
          <w:sz w:val="22"/>
          <w:szCs w:val="22"/>
          <w:lang w:val="en-GB"/>
        </w:rPr>
        <w:t xml:space="preserve">. </w:t>
      </w:r>
      <w:r w:rsidR="00B404BA">
        <w:rPr>
          <w:rFonts w:ascii="Avenir Next" w:hAnsi="Avenir Next" w:cs="Arial"/>
          <w:color w:val="7B7B7B" w:themeColor="accent3" w:themeShade="BF"/>
          <w:sz w:val="22"/>
          <w:szCs w:val="22"/>
          <w:lang w:val="en-GB"/>
        </w:rPr>
        <w:t xml:space="preserve">Both parties have unperformed obligations under the license agreement. </w:t>
      </w:r>
      <w:r w:rsidR="000B4385">
        <w:rPr>
          <w:rFonts w:ascii="Avenir Next" w:hAnsi="Avenir Next" w:cs="Arial"/>
          <w:color w:val="7B7B7B" w:themeColor="accent3" w:themeShade="BF"/>
          <w:sz w:val="22"/>
          <w:szCs w:val="22"/>
          <w:lang w:val="en-GB"/>
        </w:rPr>
        <w:t xml:space="preserve">Nevertheless, </w:t>
      </w:r>
      <w:r w:rsidR="00655D70">
        <w:rPr>
          <w:rFonts w:ascii="Avenir Next" w:hAnsi="Avenir Next" w:cs="Arial"/>
          <w:color w:val="7B7B7B" w:themeColor="accent3" w:themeShade="BF"/>
          <w:sz w:val="22"/>
          <w:szCs w:val="22"/>
          <w:lang w:val="en-GB"/>
        </w:rPr>
        <w:t>the latter</w:t>
      </w:r>
      <w:r w:rsidR="000B4385">
        <w:rPr>
          <w:rFonts w:ascii="Avenir Next" w:hAnsi="Avenir Next" w:cs="Arial"/>
          <w:color w:val="7B7B7B" w:themeColor="accent3" w:themeShade="BF"/>
          <w:sz w:val="22"/>
          <w:szCs w:val="22"/>
          <w:lang w:val="en-GB"/>
        </w:rPr>
        <w:t xml:space="preserve"> would </w:t>
      </w:r>
      <w:r w:rsidR="00875C7C">
        <w:rPr>
          <w:rFonts w:ascii="Avenir Next" w:hAnsi="Avenir Next" w:cs="Arial"/>
          <w:color w:val="7B7B7B" w:themeColor="accent3" w:themeShade="BF"/>
          <w:sz w:val="22"/>
          <w:szCs w:val="22"/>
          <w:lang w:val="en-GB"/>
        </w:rPr>
        <w:t xml:space="preserve">not </w:t>
      </w:r>
      <w:r w:rsidR="000B4385">
        <w:rPr>
          <w:rFonts w:ascii="Avenir Next" w:hAnsi="Avenir Next" w:cs="Arial"/>
          <w:color w:val="7B7B7B" w:themeColor="accent3" w:themeShade="BF"/>
          <w:sz w:val="22"/>
          <w:szCs w:val="22"/>
          <w:lang w:val="en-GB"/>
        </w:rPr>
        <w:t>be assignable as</w:t>
      </w:r>
      <w:r w:rsidR="00DD49E7">
        <w:rPr>
          <w:rFonts w:ascii="Avenir Next" w:hAnsi="Avenir Next" w:cs="Arial"/>
          <w:color w:val="7B7B7B" w:themeColor="accent3" w:themeShade="BF"/>
          <w:sz w:val="22"/>
          <w:szCs w:val="22"/>
          <w:lang w:val="en-GB"/>
        </w:rPr>
        <w:t>,</w:t>
      </w:r>
      <w:r w:rsidR="000B4385">
        <w:rPr>
          <w:rFonts w:ascii="Avenir Next" w:hAnsi="Avenir Next" w:cs="Arial"/>
          <w:color w:val="7B7B7B" w:themeColor="accent3" w:themeShade="BF"/>
          <w:sz w:val="22"/>
          <w:szCs w:val="22"/>
          <w:lang w:val="en-GB"/>
        </w:rPr>
        <w:t xml:space="preserve"> according to intellectual property licensing law</w:t>
      </w:r>
      <w:r w:rsidR="00DD49E7">
        <w:rPr>
          <w:rFonts w:ascii="Avenir Next" w:hAnsi="Avenir Next" w:cs="Arial"/>
          <w:color w:val="7B7B7B" w:themeColor="accent3" w:themeShade="BF"/>
          <w:sz w:val="22"/>
          <w:szCs w:val="22"/>
          <w:lang w:val="en-GB"/>
        </w:rPr>
        <w:t>,</w:t>
      </w:r>
      <w:r w:rsidR="000B4385">
        <w:rPr>
          <w:rFonts w:ascii="Avenir Next" w:hAnsi="Avenir Next" w:cs="Arial"/>
          <w:color w:val="7B7B7B" w:themeColor="accent3" w:themeShade="BF"/>
          <w:sz w:val="22"/>
          <w:szCs w:val="22"/>
          <w:lang w:val="en-GB"/>
        </w:rPr>
        <w:t xml:space="preserve"> the counterparty </w:t>
      </w:r>
      <w:r w:rsidR="00DD49E7">
        <w:rPr>
          <w:rFonts w:ascii="Avenir Next" w:hAnsi="Avenir Next" w:cs="Arial"/>
          <w:color w:val="7B7B7B" w:themeColor="accent3" w:themeShade="BF"/>
          <w:sz w:val="22"/>
          <w:szCs w:val="22"/>
          <w:lang w:val="en-GB"/>
        </w:rPr>
        <w:t>must</w:t>
      </w:r>
      <w:r w:rsidR="000B4385">
        <w:rPr>
          <w:rFonts w:ascii="Avenir Next" w:hAnsi="Avenir Next" w:cs="Arial"/>
          <w:color w:val="7B7B7B" w:themeColor="accent3" w:themeShade="BF"/>
          <w:sz w:val="22"/>
          <w:szCs w:val="22"/>
          <w:lang w:val="en-GB"/>
        </w:rPr>
        <w:t xml:space="preserve"> give its consent</w:t>
      </w:r>
      <w:r w:rsidR="00655D70">
        <w:rPr>
          <w:rFonts w:ascii="Avenir Next" w:hAnsi="Avenir Next" w:cs="Arial"/>
          <w:color w:val="7B7B7B" w:themeColor="accent3" w:themeShade="BF"/>
          <w:sz w:val="22"/>
          <w:szCs w:val="22"/>
          <w:lang w:val="en-GB"/>
        </w:rPr>
        <w:t xml:space="preserve"> </w:t>
      </w:r>
      <w:r w:rsidR="00DD49E7">
        <w:rPr>
          <w:rFonts w:ascii="Avenir Next" w:hAnsi="Avenir Next" w:cs="Arial"/>
          <w:color w:val="7B7B7B" w:themeColor="accent3" w:themeShade="BF"/>
          <w:sz w:val="22"/>
          <w:szCs w:val="22"/>
          <w:lang w:val="en-GB"/>
        </w:rPr>
        <w:t>for this to happen</w:t>
      </w:r>
      <w:r w:rsidR="0075490F">
        <w:rPr>
          <w:rFonts w:ascii="Avenir Next" w:hAnsi="Avenir Next" w:cs="Arial"/>
          <w:color w:val="7B7B7B" w:themeColor="accent3" w:themeShade="BF"/>
          <w:sz w:val="22"/>
          <w:szCs w:val="22"/>
          <w:lang w:val="en-GB"/>
        </w:rPr>
        <w:t>.</w:t>
      </w:r>
    </w:p>
    <w:p w14:paraId="62CCB2E5" w14:textId="77777777" w:rsidR="00357057" w:rsidRDefault="00357057"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 xml:space="preserve">Can </w:t>
      </w:r>
      <w:proofErr w:type="spellStart"/>
      <w:r w:rsidRPr="00E01803">
        <w:rPr>
          <w:rFonts w:ascii="Avenir Next" w:hAnsi="Avenir Next"/>
        </w:rPr>
        <w:t>GameMart</w:t>
      </w:r>
      <w:proofErr w:type="spellEnd"/>
      <w:r w:rsidRPr="00E01803">
        <w:rPr>
          <w:rFonts w:ascii="Avenir Next" w:hAnsi="Avenir Next"/>
        </w:rPr>
        <w:t xml:space="preserve"> transfer the </w:t>
      </w:r>
      <w:proofErr w:type="spellStart"/>
      <w:r w:rsidRPr="00E01803">
        <w:rPr>
          <w:rFonts w:ascii="Avenir Next" w:hAnsi="Avenir Next"/>
        </w:rPr>
        <w:t>Xblox</w:t>
      </w:r>
      <w:proofErr w:type="spellEnd"/>
      <w:r w:rsidRPr="00E01803">
        <w:rPr>
          <w:rFonts w:ascii="Avenir Next" w:hAnsi="Avenir Next"/>
        </w:rPr>
        <w:t xml:space="preserve"> license as part of 363 sale without </w:t>
      </w:r>
      <w:proofErr w:type="spellStart"/>
      <w:r w:rsidRPr="00E01803">
        <w:rPr>
          <w:rFonts w:ascii="Avenir Next" w:hAnsi="Avenir Next"/>
        </w:rPr>
        <w:t>ToyCo’s</w:t>
      </w:r>
      <w:proofErr w:type="spellEnd"/>
      <w:r w:rsidRPr="00E01803">
        <w:rPr>
          <w:rFonts w:ascii="Avenir Next" w:hAnsi="Avenir Next"/>
        </w:rPr>
        <w:t xml:space="preserve"> consent? Why or why not?</w:t>
      </w:r>
    </w:p>
    <w:p w14:paraId="5BCE02E2" w14:textId="6EB8FF8D" w:rsidR="00E01803" w:rsidRDefault="00E01803" w:rsidP="000778B1">
      <w:pPr>
        <w:pStyle w:val="AODocTxt"/>
        <w:spacing w:before="0" w:line="240" w:lineRule="auto"/>
        <w:rPr>
          <w:rFonts w:ascii="Avenir Next" w:hAnsi="Avenir Next"/>
        </w:rPr>
      </w:pPr>
    </w:p>
    <w:p w14:paraId="1AE82FE4" w14:textId="577DCFDC" w:rsidR="00290136" w:rsidRDefault="002458E4" w:rsidP="0029013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w:t>
      </w:r>
      <w:r w:rsidR="00C66CF8">
        <w:rPr>
          <w:rFonts w:ascii="Avenir Next" w:hAnsi="Avenir Next" w:cs="Arial"/>
          <w:color w:val="7B7B7B" w:themeColor="accent3" w:themeShade="BF"/>
          <w:sz w:val="22"/>
          <w:szCs w:val="22"/>
          <w:lang w:val="en-GB"/>
        </w:rPr>
        <w:t xml:space="preserve">the context of </w:t>
      </w:r>
      <w:r>
        <w:rPr>
          <w:rFonts w:ascii="Avenir Next" w:hAnsi="Avenir Next" w:cs="Arial"/>
          <w:color w:val="7B7B7B" w:themeColor="accent3" w:themeShade="BF"/>
          <w:sz w:val="22"/>
          <w:szCs w:val="22"/>
          <w:lang w:val="en-GB"/>
        </w:rPr>
        <w:t>a Ch</w:t>
      </w:r>
      <w:r w:rsidR="00D17E57">
        <w:rPr>
          <w:rFonts w:ascii="Avenir Next" w:hAnsi="Avenir Next" w:cs="Arial"/>
          <w:color w:val="7B7B7B" w:themeColor="accent3" w:themeShade="BF"/>
          <w:sz w:val="22"/>
          <w:szCs w:val="22"/>
          <w:lang w:val="en-GB"/>
        </w:rPr>
        <w:t>a</w:t>
      </w:r>
      <w:r>
        <w:rPr>
          <w:rFonts w:ascii="Avenir Next" w:hAnsi="Avenir Next" w:cs="Arial"/>
          <w:color w:val="7B7B7B" w:themeColor="accent3" w:themeShade="BF"/>
          <w:sz w:val="22"/>
          <w:szCs w:val="22"/>
          <w:lang w:val="en-GB"/>
        </w:rPr>
        <w:t>pter 11 proceeding, it is possible for the property of the debtor to be sold free and clear of creditors’ interests following court approval. The procedure is known as a ‘363 sale’</w:t>
      </w:r>
      <w:r w:rsidR="001F2099">
        <w:rPr>
          <w:rFonts w:ascii="Avenir Next" w:hAnsi="Avenir Next" w:cs="Arial"/>
          <w:color w:val="7B7B7B" w:themeColor="accent3" w:themeShade="BF"/>
          <w:sz w:val="22"/>
          <w:szCs w:val="22"/>
          <w:lang w:val="en-GB"/>
        </w:rPr>
        <w:t xml:space="preserve">. </w:t>
      </w:r>
      <w:r w:rsidR="008F52AC">
        <w:rPr>
          <w:rFonts w:ascii="Avenir Next" w:hAnsi="Avenir Next" w:cs="Arial"/>
          <w:color w:val="7B7B7B" w:themeColor="accent3" w:themeShade="BF"/>
          <w:sz w:val="22"/>
          <w:szCs w:val="22"/>
          <w:lang w:val="en-GB"/>
        </w:rPr>
        <w:t xml:space="preserve">As </w:t>
      </w:r>
      <w:r w:rsidR="00BE15B6">
        <w:rPr>
          <w:rFonts w:ascii="Avenir Next" w:hAnsi="Avenir Next" w:cs="Arial"/>
          <w:color w:val="7B7B7B" w:themeColor="accent3" w:themeShade="BF"/>
          <w:sz w:val="22"/>
          <w:szCs w:val="22"/>
          <w:lang w:val="en-GB"/>
        </w:rPr>
        <w:t>explained</w:t>
      </w:r>
      <w:r w:rsidR="008F52AC">
        <w:rPr>
          <w:rFonts w:ascii="Avenir Next" w:hAnsi="Avenir Next" w:cs="Arial"/>
          <w:color w:val="7B7B7B" w:themeColor="accent3" w:themeShade="BF"/>
          <w:sz w:val="22"/>
          <w:szCs w:val="22"/>
          <w:lang w:val="en-GB"/>
        </w:rPr>
        <w:t xml:space="preserve"> in the previous question, </w:t>
      </w:r>
      <w:r w:rsidR="00290136">
        <w:rPr>
          <w:rFonts w:ascii="Avenir Next" w:hAnsi="Avenir Next" w:cs="Arial"/>
          <w:color w:val="7B7B7B" w:themeColor="accent3" w:themeShade="BF"/>
          <w:sz w:val="22"/>
          <w:szCs w:val="22"/>
          <w:lang w:val="en-GB"/>
        </w:rPr>
        <w:t>the debtor is allowed to assume, reject or assume and assign a license</w:t>
      </w:r>
      <w:r w:rsidR="00C66CF8">
        <w:rPr>
          <w:rFonts w:ascii="Avenir Next" w:hAnsi="Avenir Next" w:cs="Arial"/>
          <w:color w:val="7B7B7B" w:themeColor="accent3" w:themeShade="BF"/>
          <w:sz w:val="22"/>
          <w:szCs w:val="22"/>
          <w:lang w:val="en-GB"/>
        </w:rPr>
        <w:t xml:space="preserve"> agreement</w:t>
      </w:r>
      <w:r w:rsidR="00290136">
        <w:rPr>
          <w:rFonts w:ascii="Avenir Next" w:hAnsi="Avenir Next" w:cs="Arial"/>
          <w:color w:val="7B7B7B" w:themeColor="accent3" w:themeShade="BF"/>
          <w:sz w:val="22"/>
          <w:szCs w:val="22"/>
          <w:lang w:val="en-GB"/>
        </w:rPr>
        <w:t xml:space="preserve"> under </w:t>
      </w:r>
      <w:r w:rsidR="00AF7C01">
        <w:rPr>
          <w:rFonts w:ascii="Avenir Next" w:hAnsi="Avenir Next" w:cs="Arial"/>
          <w:color w:val="7B7B7B" w:themeColor="accent3" w:themeShade="BF"/>
          <w:sz w:val="22"/>
          <w:szCs w:val="22"/>
          <w:lang w:val="en-GB"/>
        </w:rPr>
        <w:t>section 365</w:t>
      </w:r>
      <w:r w:rsidR="00290136">
        <w:rPr>
          <w:rFonts w:ascii="Avenir Next" w:hAnsi="Avenir Next" w:cs="Arial"/>
          <w:color w:val="7B7B7B" w:themeColor="accent3" w:themeShade="BF"/>
          <w:sz w:val="22"/>
          <w:szCs w:val="22"/>
          <w:lang w:val="en-GB"/>
        </w:rPr>
        <w:t xml:space="preserve">. The interpretation </w:t>
      </w:r>
      <w:r w:rsidR="00BE15B6">
        <w:rPr>
          <w:rFonts w:ascii="Avenir Next" w:hAnsi="Avenir Next" w:cs="Arial"/>
          <w:color w:val="7B7B7B" w:themeColor="accent3" w:themeShade="BF"/>
          <w:sz w:val="22"/>
          <w:szCs w:val="22"/>
          <w:lang w:val="en-GB"/>
        </w:rPr>
        <w:t xml:space="preserve">of </w:t>
      </w:r>
      <w:r w:rsidR="00BE15B6">
        <w:rPr>
          <w:rFonts w:ascii="Avenir Next" w:hAnsi="Avenir Next" w:cs="Arial"/>
          <w:color w:val="7B7B7B" w:themeColor="accent3" w:themeShade="BF"/>
          <w:sz w:val="22"/>
          <w:szCs w:val="22"/>
          <w:lang w:val="en-GB"/>
        </w:rPr>
        <w:t xml:space="preserve">section 365 provisions </w:t>
      </w:r>
      <w:r w:rsidR="00290136">
        <w:rPr>
          <w:rFonts w:ascii="Avenir Next" w:hAnsi="Avenir Next" w:cs="Arial"/>
          <w:color w:val="7B7B7B" w:themeColor="accent3" w:themeShade="BF"/>
          <w:sz w:val="22"/>
          <w:szCs w:val="22"/>
          <w:lang w:val="en-GB"/>
        </w:rPr>
        <w:t>varies among court</w:t>
      </w:r>
      <w:r w:rsidR="00BE15B6">
        <w:rPr>
          <w:rFonts w:ascii="Avenir Next" w:hAnsi="Avenir Next" w:cs="Arial"/>
          <w:color w:val="7B7B7B" w:themeColor="accent3" w:themeShade="BF"/>
          <w:sz w:val="22"/>
          <w:szCs w:val="22"/>
          <w:lang w:val="en-GB"/>
        </w:rPr>
        <w:t>s</w:t>
      </w:r>
      <w:r w:rsidR="00561B7E">
        <w:rPr>
          <w:rFonts w:ascii="Avenir Next" w:hAnsi="Avenir Next" w:cs="Arial"/>
          <w:color w:val="7B7B7B" w:themeColor="accent3" w:themeShade="BF"/>
          <w:sz w:val="22"/>
          <w:szCs w:val="22"/>
          <w:lang w:val="en-GB"/>
        </w:rPr>
        <w:t xml:space="preserve">. </w:t>
      </w:r>
      <w:r w:rsidR="0079024C">
        <w:rPr>
          <w:rFonts w:ascii="Avenir Next" w:hAnsi="Avenir Next" w:cs="Arial"/>
          <w:color w:val="7B7B7B" w:themeColor="accent3" w:themeShade="BF"/>
          <w:sz w:val="22"/>
          <w:szCs w:val="22"/>
          <w:lang w:val="en-GB"/>
        </w:rPr>
        <w:t xml:space="preserve">Thus, it is possible for the debtor-licensee to ‘assume and assign’ its licensing rights to a third party. It is equally possible for the purchaser of intellectual property assets to oblige the debtor-licensor to reject or to assume and assign any eventual licenses </w:t>
      </w:r>
      <w:r w:rsidR="00512FBA">
        <w:rPr>
          <w:rFonts w:ascii="Avenir Next" w:hAnsi="Avenir Next" w:cs="Arial"/>
          <w:color w:val="7B7B7B" w:themeColor="accent3" w:themeShade="BF"/>
          <w:sz w:val="22"/>
          <w:szCs w:val="22"/>
          <w:lang w:val="en-GB"/>
        </w:rPr>
        <w:t xml:space="preserve">linked to those assets. </w:t>
      </w:r>
      <w:r w:rsidR="00BE15B6" w:rsidRPr="00BE15B6">
        <w:rPr>
          <w:rFonts w:ascii="Avenir Next" w:hAnsi="Avenir Next" w:cs="Arial"/>
          <w:color w:val="7B7B7B" w:themeColor="accent3" w:themeShade="BF"/>
          <w:sz w:val="22"/>
          <w:szCs w:val="22"/>
          <w:lang w:val="en-GB"/>
        </w:rPr>
        <w:t>A 363 sale</w:t>
      </w:r>
      <w:r w:rsidR="00BE15B6">
        <w:rPr>
          <w:rFonts w:ascii="Avenir Next" w:hAnsi="Avenir Next" w:cs="Arial"/>
          <w:color w:val="7B7B7B" w:themeColor="accent3" w:themeShade="BF"/>
          <w:sz w:val="22"/>
          <w:szCs w:val="22"/>
          <w:lang w:val="en-GB"/>
        </w:rPr>
        <w:t xml:space="preserve">, </w:t>
      </w:r>
      <w:r w:rsidR="00BE15B6" w:rsidRPr="00BE15B6">
        <w:rPr>
          <w:rFonts w:ascii="Avenir Next" w:hAnsi="Avenir Next" w:cs="Arial"/>
          <w:color w:val="7B7B7B" w:themeColor="accent3" w:themeShade="BF"/>
          <w:sz w:val="22"/>
          <w:szCs w:val="22"/>
          <w:lang w:val="en-GB"/>
        </w:rPr>
        <w:t>therefore</w:t>
      </w:r>
      <w:r w:rsidR="00BE15B6">
        <w:rPr>
          <w:rFonts w:ascii="Avenir Next" w:hAnsi="Avenir Next" w:cs="Arial"/>
          <w:color w:val="7B7B7B" w:themeColor="accent3" w:themeShade="BF"/>
          <w:sz w:val="22"/>
          <w:szCs w:val="22"/>
          <w:lang w:val="en-GB"/>
        </w:rPr>
        <w:t>,</w:t>
      </w:r>
      <w:r w:rsidR="00BE15B6" w:rsidRPr="00BE15B6">
        <w:rPr>
          <w:rFonts w:ascii="Avenir Next" w:hAnsi="Avenir Next" w:cs="Arial"/>
          <w:color w:val="7B7B7B" w:themeColor="accent3" w:themeShade="BF"/>
          <w:sz w:val="22"/>
          <w:szCs w:val="22"/>
          <w:lang w:val="en-GB"/>
        </w:rPr>
        <w:t xml:space="preserve"> involves the assumption and assignment of the IP license in accordance with Section 365</w:t>
      </w:r>
      <w:r w:rsidR="00983196">
        <w:rPr>
          <w:rFonts w:ascii="Avenir Next" w:hAnsi="Avenir Next" w:cs="Arial"/>
          <w:color w:val="7B7B7B" w:themeColor="accent3" w:themeShade="BF"/>
          <w:sz w:val="22"/>
          <w:szCs w:val="22"/>
          <w:lang w:val="en-GB"/>
        </w:rPr>
        <w:t xml:space="preserve">. </w:t>
      </w:r>
      <w:r w:rsidR="00BE15B6">
        <w:rPr>
          <w:rFonts w:ascii="Avenir Next" w:hAnsi="Avenir Next" w:cs="Arial"/>
          <w:color w:val="7B7B7B" w:themeColor="accent3" w:themeShade="BF"/>
          <w:sz w:val="22"/>
          <w:szCs w:val="22"/>
          <w:lang w:val="en-GB"/>
        </w:rPr>
        <w:t>Pursuant to</w:t>
      </w:r>
      <w:r w:rsidR="00983196">
        <w:rPr>
          <w:rFonts w:ascii="Avenir Next" w:hAnsi="Avenir Next" w:cs="Arial"/>
          <w:color w:val="7B7B7B" w:themeColor="accent3" w:themeShade="BF"/>
          <w:sz w:val="22"/>
          <w:szCs w:val="22"/>
          <w:lang w:val="en-GB"/>
        </w:rPr>
        <w:t xml:space="preserve"> </w:t>
      </w:r>
      <w:r w:rsidR="002B0EF3">
        <w:rPr>
          <w:rFonts w:ascii="Avenir Next" w:hAnsi="Avenir Next" w:cs="Arial"/>
          <w:color w:val="7B7B7B" w:themeColor="accent3" w:themeShade="BF"/>
          <w:sz w:val="22"/>
          <w:szCs w:val="22"/>
          <w:lang w:val="en-GB"/>
        </w:rPr>
        <w:t>sub</w:t>
      </w:r>
      <w:r w:rsidR="00AA1F9F">
        <w:rPr>
          <w:rFonts w:ascii="Avenir Next" w:hAnsi="Avenir Next" w:cs="Arial"/>
          <w:color w:val="7B7B7B" w:themeColor="accent3" w:themeShade="BF"/>
          <w:sz w:val="22"/>
          <w:szCs w:val="22"/>
          <w:lang w:val="en-GB"/>
        </w:rPr>
        <w:t>section</w:t>
      </w:r>
      <w:r w:rsidR="002B0EF3">
        <w:rPr>
          <w:rFonts w:ascii="Avenir Next" w:hAnsi="Avenir Next" w:cs="Arial"/>
          <w:color w:val="7B7B7B" w:themeColor="accent3" w:themeShade="BF"/>
          <w:sz w:val="22"/>
          <w:szCs w:val="22"/>
          <w:lang w:val="en-GB"/>
        </w:rPr>
        <w:t>s</w:t>
      </w:r>
      <w:r w:rsidR="00AA1F9F">
        <w:rPr>
          <w:rFonts w:ascii="Avenir Next" w:hAnsi="Avenir Next" w:cs="Arial"/>
          <w:color w:val="7B7B7B" w:themeColor="accent3" w:themeShade="BF"/>
          <w:sz w:val="22"/>
          <w:szCs w:val="22"/>
          <w:lang w:val="en-GB"/>
        </w:rPr>
        <w:t xml:space="preserve"> </w:t>
      </w:r>
      <w:r w:rsidR="00983196">
        <w:rPr>
          <w:rFonts w:ascii="Avenir Next" w:hAnsi="Avenir Next" w:cs="Arial"/>
          <w:color w:val="7B7B7B" w:themeColor="accent3" w:themeShade="BF"/>
          <w:sz w:val="22"/>
          <w:szCs w:val="22"/>
          <w:lang w:val="en-GB"/>
        </w:rPr>
        <w:t>365</w:t>
      </w:r>
      <w:r w:rsidR="00AA1F9F">
        <w:rPr>
          <w:rFonts w:ascii="Avenir Next" w:hAnsi="Avenir Next" w:cs="Arial"/>
          <w:color w:val="7B7B7B" w:themeColor="accent3" w:themeShade="BF"/>
          <w:sz w:val="22"/>
          <w:szCs w:val="22"/>
          <w:lang w:val="en-GB"/>
        </w:rPr>
        <w:t xml:space="preserve">(b)(1) and </w:t>
      </w:r>
      <w:r w:rsidR="00983196">
        <w:rPr>
          <w:rFonts w:ascii="Avenir Next" w:hAnsi="Avenir Next" w:cs="Arial"/>
          <w:color w:val="7B7B7B" w:themeColor="accent3" w:themeShade="BF"/>
          <w:sz w:val="22"/>
          <w:szCs w:val="22"/>
          <w:lang w:val="en-GB"/>
        </w:rPr>
        <w:t>(f)</w:t>
      </w:r>
      <w:r w:rsidR="00AA1F9F">
        <w:rPr>
          <w:rFonts w:ascii="Avenir Next" w:hAnsi="Avenir Next" w:cs="Arial"/>
          <w:color w:val="7B7B7B" w:themeColor="accent3" w:themeShade="BF"/>
          <w:sz w:val="22"/>
          <w:szCs w:val="22"/>
          <w:lang w:val="en-GB"/>
        </w:rPr>
        <w:t xml:space="preserve">, assumption and assignment require the debtor to cure any defaults </w:t>
      </w:r>
      <w:r w:rsidR="002B0EF3">
        <w:rPr>
          <w:rFonts w:ascii="Avenir Next" w:hAnsi="Avenir Next" w:cs="Arial"/>
          <w:color w:val="7B7B7B" w:themeColor="accent3" w:themeShade="BF"/>
          <w:sz w:val="22"/>
          <w:szCs w:val="22"/>
          <w:lang w:val="en-GB"/>
        </w:rPr>
        <w:t xml:space="preserve">and the assignee to give appropriate assurances </w:t>
      </w:r>
      <w:r w:rsidR="00C14567">
        <w:rPr>
          <w:rFonts w:ascii="Avenir Next" w:hAnsi="Avenir Next" w:cs="Arial"/>
          <w:color w:val="7B7B7B" w:themeColor="accent3" w:themeShade="BF"/>
          <w:sz w:val="22"/>
          <w:szCs w:val="22"/>
          <w:lang w:val="en-GB"/>
        </w:rPr>
        <w:t>as to</w:t>
      </w:r>
      <w:r w:rsidR="002B0EF3">
        <w:rPr>
          <w:rFonts w:ascii="Avenir Next" w:hAnsi="Avenir Next" w:cs="Arial"/>
          <w:color w:val="7B7B7B" w:themeColor="accent3" w:themeShade="BF"/>
          <w:sz w:val="22"/>
          <w:szCs w:val="22"/>
          <w:lang w:val="en-GB"/>
        </w:rPr>
        <w:t xml:space="preserve"> the licence’s future performance</w:t>
      </w:r>
      <w:r w:rsidR="00994A8E">
        <w:rPr>
          <w:rFonts w:ascii="Avenir Next" w:hAnsi="Avenir Next" w:cs="Arial"/>
          <w:color w:val="7B7B7B" w:themeColor="accent3" w:themeShade="BF"/>
          <w:sz w:val="22"/>
          <w:szCs w:val="22"/>
          <w:lang w:val="en-GB"/>
        </w:rPr>
        <w:t xml:space="preserve">. </w:t>
      </w:r>
      <w:r w:rsidR="000E7FC3">
        <w:rPr>
          <w:rFonts w:ascii="Avenir Next" w:hAnsi="Avenir Next" w:cs="Arial"/>
          <w:color w:val="7B7B7B" w:themeColor="accent3" w:themeShade="BF"/>
          <w:sz w:val="22"/>
          <w:szCs w:val="22"/>
          <w:lang w:val="en-GB"/>
        </w:rPr>
        <w:t xml:space="preserve">Notwithstanding subsection 365(f) </w:t>
      </w:r>
      <w:r w:rsidR="00C14567">
        <w:rPr>
          <w:rFonts w:ascii="Avenir Next" w:hAnsi="Avenir Next" w:cs="Arial"/>
          <w:color w:val="7B7B7B" w:themeColor="accent3" w:themeShade="BF"/>
          <w:sz w:val="22"/>
          <w:szCs w:val="22"/>
          <w:lang w:val="en-GB"/>
        </w:rPr>
        <w:t>that authorizes</w:t>
      </w:r>
      <w:r w:rsidR="000E7FC3">
        <w:rPr>
          <w:rFonts w:ascii="Avenir Next" w:hAnsi="Avenir Next" w:cs="Arial"/>
          <w:color w:val="7B7B7B" w:themeColor="accent3" w:themeShade="BF"/>
          <w:sz w:val="22"/>
          <w:szCs w:val="22"/>
          <w:lang w:val="en-GB"/>
        </w:rPr>
        <w:t xml:space="preserve"> the assignment </w:t>
      </w:r>
      <w:r w:rsidR="00427A90">
        <w:rPr>
          <w:rFonts w:ascii="Avenir Next" w:hAnsi="Avenir Next" w:cs="Arial"/>
          <w:color w:val="7B7B7B" w:themeColor="accent3" w:themeShade="BF"/>
          <w:sz w:val="22"/>
          <w:szCs w:val="22"/>
          <w:lang w:val="en-GB"/>
        </w:rPr>
        <w:t xml:space="preserve">by a debtor </w:t>
      </w:r>
      <w:r w:rsidR="000E7FC3">
        <w:rPr>
          <w:rFonts w:ascii="Avenir Next" w:hAnsi="Avenir Next" w:cs="Arial"/>
          <w:color w:val="7B7B7B" w:themeColor="accent3" w:themeShade="BF"/>
          <w:sz w:val="22"/>
          <w:szCs w:val="22"/>
          <w:lang w:val="en-GB"/>
        </w:rPr>
        <w:t xml:space="preserve">even where such assignment is prohibited contractually or by applicable law, subsection 365(c) </w:t>
      </w:r>
      <w:r w:rsidR="00261BC4">
        <w:rPr>
          <w:rFonts w:ascii="Avenir Next" w:hAnsi="Avenir Next" w:cs="Arial"/>
          <w:color w:val="7B7B7B" w:themeColor="accent3" w:themeShade="BF"/>
          <w:sz w:val="22"/>
          <w:szCs w:val="22"/>
          <w:lang w:val="en-GB"/>
        </w:rPr>
        <w:t>elaborates on</w:t>
      </w:r>
      <w:r w:rsidR="000E7FC3">
        <w:rPr>
          <w:rFonts w:ascii="Avenir Next" w:hAnsi="Avenir Next" w:cs="Arial"/>
          <w:color w:val="7B7B7B" w:themeColor="accent3" w:themeShade="BF"/>
          <w:sz w:val="22"/>
          <w:szCs w:val="22"/>
          <w:lang w:val="en-GB"/>
        </w:rPr>
        <w:t xml:space="preserve"> </w:t>
      </w:r>
      <w:r w:rsidR="00427A90">
        <w:rPr>
          <w:rFonts w:ascii="Avenir Next" w:hAnsi="Avenir Next" w:cs="Arial"/>
          <w:color w:val="7B7B7B" w:themeColor="accent3" w:themeShade="BF"/>
          <w:sz w:val="22"/>
          <w:szCs w:val="22"/>
          <w:lang w:val="en-GB"/>
        </w:rPr>
        <w:t xml:space="preserve">the existing </w:t>
      </w:r>
      <w:r w:rsidR="006F5DA6">
        <w:rPr>
          <w:rFonts w:ascii="Avenir Next" w:hAnsi="Avenir Next" w:cs="Arial"/>
          <w:color w:val="7B7B7B" w:themeColor="accent3" w:themeShade="BF"/>
          <w:sz w:val="22"/>
          <w:szCs w:val="22"/>
          <w:lang w:val="en-GB"/>
        </w:rPr>
        <w:t>restrictions</w:t>
      </w:r>
      <w:r w:rsidR="000E7FC3">
        <w:rPr>
          <w:rFonts w:ascii="Avenir Next" w:hAnsi="Avenir Next" w:cs="Arial"/>
          <w:color w:val="7B7B7B" w:themeColor="accent3" w:themeShade="BF"/>
          <w:sz w:val="22"/>
          <w:szCs w:val="22"/>
          <w:lang w:val="en-GB"/>
        </w:rPr>
        <w:t xml:space="preserve"> in the </w:t>
      </w:r>
      <w:r w:rsidR="00261BC4">
        <w:rPr>
          <w:rFonts w:ascii="Avenir Next" w:hAnsi="Avenir Next" w:cs="Arial"/>
          <w:color w:val="7B7B7B" w:themeColor="accent3" w:themeShade="BF"/>
          <w:sz w:val="22"/>
          <w:szCs w:val="22"/>
          <w:lang w:val="en-GB"/>
        </w:rPr>
        <w:t xml:space="preserve">assumption and </w:t>
      </w:r>
      <w:r w:rsidR="000E7FC3">
        <w:rPr>
          <w:rFonts w:ascii="Avenir Next" w:hAnsi="Avenir Next" w:cs="Arial"/>
          <w:color w:val="7B7B7B" w:themeColor="accent3" w:themeShade="BF"/>
          <w:sz w:val="22"/>
          <w:szCs w:val="22"/>
          <w:lang w:val="en-GB"/>
        </w:rPr>
        <w:t>assignment of IP licenses</w:t>
      </w:r>
      <w:r w:rsidR="00261BC4">
        <w:rPr>
          <w:rFonts w:ascii="Avenir Next" w:hAnsi="Avenir Next" w:cs="Arial"/>
          <w:color w:val="7B7B7B" w:themeColor="accent3" w:themeShade="BF"/>
          <w:sz w:val="22"/>
          <w:szCs w:val="22"/>
          <w:lang w:val="en-GB"/>
        </w:rPr>
        <w:t xml:space="preserve"> if the counterparty does not consent.</w:t>
      </w:r>
      <w:r w:rsidR="006F5DA6">
        <w:rPr>
          <w:rFonts w:ascii="Avenir Next" w:hAnsi="Avenir Next" w:cs="Arial"/>
          <w:color w:val="7B7B7B" w:themeColor="accent3" w:themeShade="BF"/>
          <w:sz w:val="22"/>
          <w:szCs w:val="22"/>
          <w:lang w:val="en-GB"/>
        </w:rPr>
        <w:t xml:space="preserve"> It is also important to note that</w:t>
      </w:r>
      <w:r w:rsidR="002D29AB">
        <w:rPr>
          <w:rFonts w:ascii="Avenir Next" w:hAnsi="Avenir Next" w:cs="Arial"/>
          <w:color w:val="7B7B7B" w:themeColor="accent3" w:themeShade="BF"/>
          <w:sz w:val="22"/>
          <w:szCs w:val="22"/>
          <w:lang w:val="en-GB"/>
        </w:rPr>
        <w:t xml:space="preserve"> t</w:t>
      </w:r>
      <w:r w:rsidR="00AE64F6">
        <w:rPr>
          <w:rFonts w:ascii="Avenir Next" w:hAnsi="Avenir Next" w:cs="Arial"/>
          <w:color w:val="7B7B7B" w:themeColor="accent3" w:themeShade="BF"/>
          <w:sz w:val="22"/>
          <w:szCs w:val="22"/>
          <w:lang w:val="en-GB"/>
        </w:rPr>
        <w:t xml:space="preserve">here are several </w:t>
      </w:r>
      <w:r w:rsidR="00A41F40">
        <w:rPr>
          <w:rFonts w:ascii="Avenir Next" w:hAnsi="Avenir Next" w:cs="Arial"/>
          <w:color w:val="7B7B7B" w:themeColor="accent3" w:themeShade="BF"/>
          <w:sz w:val="22"/>
          <w:szCs w:val="22"/>
          <w:lang w:val="en-GB"/>
        </w:rPr>
        <w:t>elements</w:t>
      </w:r>
      <w:r w:rsidR="00AE64F6">
        <w:rPr>
          <w:rFonts w:ascii="Avenir Next" w:hAnsi="Avenir Next" w:cs="Arial"/>
          <w:color w:val="7B7B7B" w:themeColor="accent3" w:themeShade="BF"/>
          <w:sz w:val="22"/>
          <w:szCs w:val="22"/>
          <w:lang w:val="en-GB"/>
        </w:rPr>
        <w:t xml:space="preserve"> involved in making an IP license appropriate to be assumed and assigned, such as the court, the characteristics of the license agreement, the type of the intellectual property and so on</w:t>
      </w:r>
      <w:r w:rsidR="0015025A">
        <w:rPr>
          <w:rFonts w:ascii="Avenir Next" w:hAnsi="Avenir Next" w:cs="Arial"/>
          <w:color w:val="7B7B7B" w:themeColor="accent3" w:themeShade="BF"/>
          <w:sz w:val="22"/>
          <w:szCs w:val="22"/>
          <w:lang w:val="en-GB"/>
        </w:rPr>
        <w:t>.</w:t>
      </w:r>
    </w:p>
    <w:p w14:paraId="1A8455B0" w14:textId="61D7FCBB" w:rsidR="002D29AB" w:rsidRDefault="002D29AB" w:rsidP="00290136">
      <w:pPr>
        <w:jc w:val="both"/>
        <w:rPr>
          <w:rFonts w:ascii="Avenir Next" w:hAnsi="Avenir Next" w:cs="Arial"/>
          <w:color w:val="7B7B7B" w:themeColor="accent3" w:themeShade="BF"/>
          <w:sz w:val="22"/>
          <w:szCs w:val="22"/>
          <w:lang w:val="en-GB"/>
        </w:rPr>
      </w:pPr>
    </w:p>
    <w:p w14:paraId="360769D3" w14:textId="212302FE" w:rsidR="002D29AB" w:rsidRPr="00295B3A" w:rsidRDefault="002D29AB" w:rsidP="00290136">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lang w:val="en-GB"/>
        </w:rPr>
        <w:t xml:space="preserve">In the present case, </w:t>
      </w:r>
      <w:proofErr w:type="spellStart"/>
      <w:r>
        <w:rPr>
          <w:rFonts w:ascii="Avenir Next" w:hAnsi="Avenir Next" w:cs="Arial"/>
          <w:color w:val="7B7B7B" w:themeColor="accent3" w:themeShade="BF"/>
          <w:sz w:val="22"/>
          <w:szCs w:val="22"/>
          <w:lang w:val="en-GB"/>
        </w:rPr>
        <w:t>GameMart</w:t>
      </w:r>
      <w:proofErr w:type="spellEnd"/>
      <w:r>
        <w:rPr>
          <w:rFonts w:ascii="Avenir Next" w:hAnsi="Avenir Next" w:cs="Arial"/>
          <w:color w:val="7B7B7B" w:themeColor="accent3" w:themeShade="BF"/>
          <w:sz w:val="22"/>
          <w:szCs w:val="22"/>
          <w:lang w:val="en-GB"/>
        </w:rPr>
        <w:t xml:space="preserve"> has an exclusive license to produce </w:t>
      </w:r>
      <w:proofErr w:type="spellStart"/>
      <w:r>
        <w:rPr>
          <w:rFonts w:ascii="Avenir Next" w:hAnsi="Avenir Next" w:cs="Arial"/>
          <w:color w:val="7B7B7B" w:themeColor="accent3" w:themeShade="BF"/>
          <w:sz w:val="22"/>
          <w:szCs w:val="22"/>
          <w:lang w:val="en-GB"/>
        </w:rPr>
        <w:t>Xblox</w:t>
      </w:r>
      <w:proofErr w:type="spellEnd"/>
      <w:r>
        <w:rPr>
          <w:rFonts w:ascii="Avenir Next" w:hAnsi="Avenir Next" w:cs="Arial"/>
          <w:color w:val="7B7B7B" w:themeColor="accent3" w:themeShade="BF"/>
          <w:sz w:val="22"/>
          <w:szCs w:val="22"/>
          <w:lang w:val="en-GB"/>
        </w:rPr>
        <w:t xml:space="preserve"> toys. In case </w:t>
      </w:r>
      <w:proofErr w:type="spellStart"/>
      <w:r>
        <w:rPr>
          <w:rFonts w:ascii="Avenir Next" w:hAnsi="Avenir Next" w:cs="Arial"/>
          <w:color w:val="7B7B7B" w:themeColor="accent3" w:themeShade="BF"/>
          <w:sz w:val="22"/>
          <w:szCs w:val="22"/>
          <w:lang w:val="en-GB"/>
        </w:rPr>
        <w:t>GameMart</w:t>
      </w:r>
      <w:proofErr w:type="spellEnd"/>
      <w:r>
        <w:rPr>
          <w:rFonts w:ascii="Avenir Next" w:hAnsi="Avenir Next" w:cs="Arial"/>
          <w:color w:val="7B7B7B" w:themeColor="accent3" w:themeShade="BF"/>
          <w:sz w:val="22"/>
          <w:szCs w:val="22"/>
          <w:lang w:val="en-GB"/>
        </w:rPr>
        <w:t xml:space="preserve"> enters Chapter 11 proceedings and decides to assume and assign the license agreement then</w:t>
      </w:r>
      <w:r w:rsidR="00697F9C">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pursuant to subsection 365(c)</w:t>
      </w:r>
      <w:r w:rsidR="00697F9C">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the transfer of the </w:t>
      </w:r>
      <w:proofErr w:type="spellStart"/>
      <w:r>
        <w:rPr>
          <w:rFonts w:ascii="Avenir Next" w:hAnsi="Avenir Next" w:cs="Arial"/>
          <w:color w:val="7B7B7B" w:themeColor="accent3" w:themeShade="BF"/>
          <w:sz w:val="22"/>
          <w:szCs w:val="22"/>
          <w:lang w:val="en-GB"/>
        </w:rPr>
        <w:t>Xblox</w:t>
      </w:r>
      <w:proofErr w:type="spellEnd"/>
      <w:r>
        <w:rPr>
          <w:rFonts w:ascii="Avenir Next" w:hAnsi="Avenir Next" w:cs="Arial"/>
          <w:color w:val="7B7B7B" w:themeColor="accent3" w:themeShade="BF"/>
          <w:sz w:val="22"/>
          <w:szCs w:val="22"/>
          <w:lang w:val="en-GB"/>
        </w:rPr>
        <w:t xml:space="preserve"> license </w:t>
      </w:r>
      <w:r w:rsidR="00697F9C">
        <w:rPr>
          <w:rFonts w:ascii="Avenir Next" w:hAnsi="Avenir Next" w:cs="Arial"/>
          <w:color w:val="7B7B7B" w:themeColor="accent3" w:themeShade="BF"/>
          <w:sz w:val="22"/>
          <w:szCs w:val="22"/>
          <w:lang w:val="en-GB"/>
        </w:rPr>
        <w:t>in</w:t>
      </w:r>
      <w:r>
        <w:rPr>
          <w:rFonts w:ascii="Avenir Next" w:hAnsi="Avenir Next" w:cs="Arial"/>
          <w:color w:val="7B7B7B" w:themeColor="accent3" w:themeShade="BF"/>
          <w:sz w:val="22"/>
          <w:szCs w:val="22"/>
          <w:lang w:val="en-GB"/>
        </w:rPr>
        <w:t xml:space="preserve"> a ‘363 sale’ requires the counterparty’s </w:t>
      </w:r>
      <w:r w:rsidR="003437F9">
        <w:rPr>
          <w:rFonts w:ascii="Avenir Next" w:hAnsi="Avenir Next" w:cs="Arial"/>
          <w:color w:val="7B7B7B" w:themeColor="accent3" w:themeShade="BF"/>
          <w:sz w:val="22"/>
          <w:szCs w:val="22"/>
          <w:lang w:val="en-GB"/>
        </w:rPr>
        <w:t>(</w:t>
      </w:r>
      <w:proofErr w:type="spellStart"/>
      <w:r>
        <w:rPr>
          <w:rFonts w:ascii="Avenir Next" w:hAnsi="Avenir Next" w:cs="Arial"/>
          <w:color w:val="7B7B7B" w:themeColor="accent3" w:themeShade="BF"/>
          <w:sz w:val="22"/>
          <w:szCs w:val="22"/>
          <w:lang w:val="en-GB"/>
        </w:rPr>
        <w:t>ToyCo</w:t>
      </w:r>
      <w:proofErr w:type="spellEnd"/>
      <w:r w:rsidR="003437F9" w:rsidRPr="003437F9">
        <w:rPr>
          <w:rFonts w:ascii="Avenir Next" w:hAnsi="Avenir Next" w:cs="Arial"/>
          <w:color w:val="7B7B7B" w:themeColor="accent3" w:themeShade="BF"/>
          <w:sz w:val="22"/>
          <w:szCs w:val="22"/>
          <w:lang w:val="en-GB"/>
        </w:rPr>
        <w:t xml:space="preserve"> </w:t>
      </w:r>
      <w:r w:rsidR="003437F9">
        <w:rPr>
          <w:rFonts w:ascii="Avenir Next" w:hAnsi="Avenir Next" w:cs="Arial"/>
          <w:color w:val="7B7B7B" w:themeColor="accent3" w:themeShade="BF"/>
          <w:sz w:val="22"/>
          <w:szCs w:val="22"/>
          <w:lang w:val="en-GB"/>
        </w:rPr>
        <w:t>as the licensor)</w:t>
      </w:r>
      <w:r>
        <w:rPr>
          <w:rFonts w:ascii="Avenir Next" w:hAnsi="Avenir Next" w:cs="Arial"/>
          <w:color w:val="7B7B7B" w:themeColor="accent3" w:themeShade="BF"/>
          <w:sz w:val="22"/>
          <w:szCs w:val="22"/>
          <w:lang w:val="en-GB"/>
        </w:rPr>
        <w:t xml:space="preserve"> consent</w:t>
      </w:r>
      <w:r w:rsidR="003437F9">
        <w:rPr>
          <w:rFonts w:ascii="Avenir Next" w:hAnsi="Avenir Next" w:cs="Arial"/>
          <w:color w:val="7B7B7B" w:themeColor="accent3" w:themeShade="BF"/>
          <w:sz w:val="22"/>
          <w:szCs w:val="22"/>
          <w:lang w:val="en-GB"/>
        </w:rPr>
        <w:t xml:space="preserve">. </w:t>
      </w:r>
      <w:r w:rsidR="00295B3A">
        <w:rPr>
          <w:rFonts w:ascii="Avenir Next" w:hAnsi="Avenir Next" w:cs="Arial"/>
          <w:color w:val="7B7B7B" w:themeColor="accent3" w:themeShade="BF"/>
          <w:sz w:val="22"/>
          <w:szCs w:val="22"/>
          <w:lang w:val="en-GB"/>
        </w:rPr>
        <w:t xml:space="preserve">This is due to the protections </w:t>
      </w:r>
      <w:r w:rsidR="00F64745">
        <w:rPr>
          <w:rFonts w:ascii="Avenir Next" w:hAnsi="Avenir Next" w:cs="Arial"/>
          <w:color w:val="7B7B7B" w:themeColor="accent3" w:themeShade="BF"/>
          <w:sz w:val="22"/>
          <w:szCs w:val="22"/>
        </w:rPr>
        <w:t>afforded</w:t>
      </w:r>
      <w:r w:rsidR="00295B3A">
        <w:rPr>
          <w:rFonts w:ascii="Avenir Next" w:hAnsi="Avenir Next" w:cs="Arial"/>
          <w:color w:val="7B7B7B" w:themeColor="accent3" w:themeShade="BF"/>
          <w:sz w:val="22"/>
          <w:szCs w:val="22"/>
        </w:rPr>
        <w:t xml:space="preserve"> </w:t>
      </w:r>
      <w:r w:rsidR="00453EA8">
        <w:rPr>
          <w:rFonts w:ascii="Avenir Next" w:hAnsi="Avenir Next" w:cs="Arial"/>
          <w:color w:val="7B7B7B" w:themeColor="accent3" w:themeShade="BF"/>
          <w:sz w:val="22"/>
          <w:szCs w:val="22"/>
        </w:rPr>
        <w:t xml:space="preserve">by the US Bankruptcy Code </w:t>
      </w:r>
      <w:r w:rsidR="00295B3A">
        <w:rPr>
          <w:rFonts w:ascii="Avenir Next" w:hAnsi="Avenir Next" w:cs="Arial"/>
          <w:color w:val="7B7B7B" w:themeColor="accent3" w:themeShade="BF"/>
          <w:sz w:val="22"/>
          <w:szCs w:val="22"/>
        </w:rPr>
        <w:t>to license agreements and IP rights in general</w:t>
      </w:r>
      <w:r w:rsidR="00F64745">
        <w:rPr>
          <w:rFonts w:ascii="Avenir Next" w:hAnsi="Avenir Next" w:cs="Arial"/>
          <w:color w:val="7B7B7B" w:themeColor="accent3" w:themeShade="BF"/>
          <w:sz w:val="22"/>
          <w:szCs w:val="22"/>
        </w:rPr>
        <w:t xml:space="preserve"> </w:t>
      </w:r>
      <w:r w:rsidR="00945701">
        <w:rPr>
          <w:rFonts w:ascii="Avenir Next" w:hAnsi="Avenir Next" w:cs="Arial"/>
          <w:color w:val="7B7B7B" w:themeColor="accent3" w:themeShade="BF"/>
          <w:sz w:val="22"/>
          <w:szCs w:val="22"/>
        </w:rPr>
        <w:t>as part of non-bankruptcy law (IP licensing law).</w:t>
      </w: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 xml:space="preserve">Can </w:t>
      </w:r>
      <w:proofErr w:type="spellStart"/>
      <w:r w:rsidRPr="00E01803">
        <w:rPr>
          <w:rFonts w:ascii="Avenir Next" w:hAnsi="Avenir Next"/>
        </w:rPr>
        <w:t>GameMart</w:t>
      </w:r>
      <w:proofErr w:type="spellEnd"/>
      <w:r w:rsidRPr="00E01803">
        <w:rPr>
          <w:rFonts w:ascii="Avenir Next" w:hAnsi="Avenir Next"/>
        </w:rPr>
        <w:t xml:space="preserve">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1329BF23" w14:textId="2EC42061" w:rsidR="00C42E00" w:rsidRPr="00C42E00" w:rsidRDefault="0006269F" w:rsidP="00C42E0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order to answer the question, first of all, </w:t>
      </w:r>
      <w:r w:rsidR="00B127DD">
        <w:rPr>
          <w:rFonts w:ascii="Avenir Next" w:hAnsi="Avenir Next" w:cs="Arial"/>
          <w:color w:val="7B7B7B" w:themeColor="accent3" w:themeShade="BF"/>
          <w:sz w:val="22"/>
          <w:szCs w:val="22"/>
          <w:lang w:val="en-GB"/>
        </w:rPr>
        <w:t xml:space="preserve">it </w:t>
      </w:r>
      <w:r w:rsidR="00515A57">
        <w:rPr>
          <w:rFonts w:ascii="Avenir Next" w:hAnsi="Avenir Next" w:cs="Arial"/>
          <w:color w:val="7B7B7B" w:themeColor="accent3" w:themeShade="BF"/>
          <w:sz w:val="22"/>
          <w:szCs w:val="22"/>
          <w:lang w:val="en-GB"/>
        </w:rPr>
        <w:t>would</w:t>
      </w:r>
      <w:r w:rsidR="00B127DD">
        <w:rPr>
          <w:rFonts w:ascii="Avenir Next" w:hAnsi="Avenir Next" w:cs="Arial"/>
          <w:color w:val="7B7B7B" w:themeColor="accent3" w:themeShade="BF"/>
          <w:sz w:val="22"/>
          <w:szCs w:val="22"/>
          <w:lang w:val="en-GB"/>
        </w:rPr>
        <w:t xml:space="preserve"> be appropriate to examine whether </w:t>
      </w:r>
      <w:r>
        <w:rPr>
          <w:rFonts w:ascii="Avenir Next" w:hAnsi="Avenir Next" w:cs="Arial"/>
          <w:color w:val="7B7B7B" w:themeColor="accent3" w:themeShade="BF"/>
          <w:sz w:val="22"/>
          <w:szCs w:val="22"/>
          <w:lang w:val="en-GB"/>
        </w:rPr>
        <w:t xml:space="preserve">the contract </w:t>
      </w:r>
      <w:r w:rsidR="00B127DD">
        <w:rPr>
          <w:rFonts w:ascii="Avenir Next" w:hAnsi="Avenir Next" w:cs="Arial"/>
          <w:color w:val="7B7B7B" w:themeColor="accent3" w:themeShade="BF"/>
          <w:sz w:val="22"/>
          <w:szCs w:val="22"/>
          <w:lang w:val="en-GB"/>
        </w:rPr>
        <w:t>is</w:t>
      </w:r>
      <w:r>
        <w:rPr>
          <w:rFonts w:ascii="Avenir Next" w:hAnsi="Avenir Next" w:cs="Arial"/>
          <w:color w:val="7B7B7B" w:themeColor="accent3" w:themeShade="BF"/>
          <w:sz w:val="22"/>
          <w:szCs w:val="22"/>
          <w:lang w:val="en-GB"/>
        </w:rPr>
        <w:t xml:space="preserve"> </w:t>
      </w:r>
      <w:r w:rsidR="002B5106">
        <w:rPr>
          <w:rFonts w:ascii="Avenir Next" w:hAnsi="Avenir Next" w:cs="Arial"/>
          <w:color w:val="7B7B7B" w:themeColor="accent3" w:themeShade="BF"/>
          <w:sz w:val="22"/>
          <w:szCs w:val="22"/>
          <w:lang w:val="en-GB"/>
        </w:rPr>
        <w:t>considered</w:t>
      </w:r>
      <w:r>
        <w:rPr>
          <w:rFonts w:ascii="Avenir Next" w:hAnsi="Avenir Next" w:cs="Arial"/>
          <w:color w:val="7B7B7B" w:themeColor="accent3" w:themeShade="BF"/>
          <w:sz w:val="22"/>
          <w:szCs w:val="22"/>
          <w:lang w:val="en-GB"/>
        </w:rPr>
        <w:t xml:space="preserve"> executory. </w:t>
      </w:r>
      <w:r w:rsidR="00A618F8">
        <w:rPr>
          <w:rFonts w:ascii="Avenir Next" w:hAnsi="Avenir Next" w:cs="Arial"/>
          <w:color w:val="7B7B7B" w:themeColor="accent3" w:themeShade="BF"/>
          <w:sz w:val="22"/>
          <w:szCs w:val="22"/>
          <w:lang w:val="en-GB"/>
        </w:rPr>
        <w:t>An e</w:t>
      </w:r>
      <w:r>
        <w:rPr>
          <w:rFonts w:ascii="Avenir Next" w:hAnsi="Avenir Next" w:cs="Arial"/>
          <w:color w:val="7B7B7B" w:themeColor="accent3" w:themeShade="BF"/>
          <w:sz w:val="22"/>
          <w:szCs w:val="22"/>
          <w:lang w:val="en-GB"/>
        </w:rPr>
        <w:t xml:space="preserve">xecutory contract, as </w:t>
      </w:r>
      <w:r w:rsidR="00304234">
        <w:rPr>
          <w:rFonts w:ascii="Avenir Next" w:hAnsi="Avenir Next" w:cs="Arial"/>
          <w:color w:val="7B7B7B" w:themeColor="accent3" w:themeShade="BF"/>
          <w:sz w:val="22"/>
          <w:szCs w:val="22"/>
          <w:lang w:val="en-GB"/>
        </w:rPr>
        <w:t>already mentioned</w:t>
      </w:r>
      <w:r>
        <w:rPr>
          <w:rFonts w:ascii="Avenir Next" w:hAnsi="Avenir Next" w:cs="Arial"/>
          <w:color w:val="7B7B7B" w:themeColor="accent3" w:themeShade="BF"/>
          <w:sz w:val="22"/>
          <w:szCs w:val="22"/>
          <w:lang w:val="en-GB"/>
        </w:rPr>
        <w:t xml:space="preserve"> in question 4.1 above, </w:t>
      </w:r>
      <w:r w:rsidR="00FE589F">
        <w:rPr>
          <w:rFonts w:ascii="Avenir Next" w:hAnsi="Avenir Next" w:cs="Arial"/>
          <w:color w:val="7B7B7B" w:themeColor="accent3" w:themeShade="BF"/>
          <w:sz w:val="22"/>
          <w:szCs w:val="22"/>
          <w:lang w:val="en-GB"/>
        </w:rPr>
        <w:t>refers to</w:t>
      </w:r>
      <w:r>
        <w:rPr>
          <w:rFonts w:ascii="Avenir Next" w:hAnsi="Avenir Next" w:cs="Arial"/>
          <w:color w:val="7B7B7B" w:themeColor="accent3" w:themeShade="BF"/>
          <w:sz w:val="22"/>
          <w:szCs w:val="22"/>
          <w:lang w:val="en-GB"/>
        </w:rPr>
        <w:t xml:space="preserve"> </w:t>
      </w:r>
      <w:r w:rsidR="00A618F8">
        <w:rPr>
          <w:rFonts w:ascii="Avenir Next" w:hAnsi="Avenir Next" w:cs="Arial"/>
          <w:color w:val="7B7B7B" w:themeColor="accent3" w:themeShade="BF"/>
          <w:sz w:val="22"/>
          <w:szCs w:val="22"/>
          <w:lang w:val="en-GB"/>
        </w:rPr>
        <w:t xml:space="preserve">a </w:t>
      </w:r>
      <w:r>
        <w:rPr>
          <w:rFonts w:ascii="Avenir Next" w:hAnsi="Avenir Next" w:cs="Arial"/>
          <w:color w:val="7B7B7B" w:themeColor="accent3" w:themeShade="BF"/>
          <w:sz w:val="22"/>
          <w:szCs w:val="22"/>
          <w:lang w:val="en-GB"/>
        </w:rPr>
        <w:t>contract with unperformed obligations on behalf of the two</w:t>
      </w:r>
      <w:r w:rsidR="009D3B0C">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counterparties</w:t>
      </w:r>
      <w:r w:rsidR="00A618F8">
        <w:rPr>
          <w:rFonts w:ascii="Avenir Next" w:hAnsi="Avenir Next" w:cs="Arial"/>
          <w:color w:val="7B7B7B" w:themeColor="accent3" w:themeShade="BF"/>
          <w:sz w:val="22"/>
          <w:szCs w:val="22"/>
          <w:lang w:val="en-GB"/>
        </w:rPr>
        <w:t>.</w:t>
      </w:r>
      <w:r w:rsidR="00077375" w:rsidRPr="00077375">
        <w:rPr>
          <w:rFonts w:ascii="Avenir Next" w:hAnsi="Avenir Next" w:cs="Arial"/>
          <w:color w:val="7B7B7B" w:themeColor="accent3" w:themeShade="BF"/>
          <w:sz w:val="22"/>
          <w:szCs w:val="22"/>
        </w:rPr>
        <w:t xml:space="preserve"> </w:t>
      </w:r>
      <w:r w:rsidR="00C42E00" w:rsidRPr="00C42E00">
        <w:rPr>
          <w:rFonts w:ascii="Avenir Next" w:hAnsi="Avenir Next" w:cs="Arial"/>
          <w:color w:val="7B7B7B" w:themeColor="accent3" w:themeShade="BF"/>
          <w:sz w:val="22"/>
          <w:szCs w:val="22"/>
          <w:lang w:val="en-GB"/>
        </w:rPr>
        <w:t xml:space="preserve">Secondly, it is important to </w:t>
      </w:r>
      <w:r w:rsidR="00B127DD">
        <w:rPr>
          <w:rFonts w:ascii="Avenir Next" w:hAnsi="Avenir Next" w:cs="Arial"/>
          <w:color w:val="7B7B7B" w:themeColor="accent3" w:themeShade="BF"/>
          <w:sz w:val="22"/>
          <w:szCs w:val="22"/>
          <w:lang w:val="en-GB"/>
        </w:rPr>
        <w:t>enquire</w:t>
      </w:r>
      <w:r w:rsidR="00C42E00" w:rsidRPr="00C42E00">
        <w:rPr>
          <w:rFonts w:ascii="Avenir Next" w:hAnsi="Avenir Next" w:cs="Arial"/>
          <w:color w:val="7B7B7B" w:themeColor="accent3" w:themeShade="BF"/>
          <w:sz w:val="22"/>
          <w:szCs w:val="22"/>
          <w:lang w:val="en-GB"/>
        </w:rPr>
        <w:t xml:space="preserve"> whether the lease agreement may be assignable without counterparty consent. Through a </w:t>
      </w:r>
      <w:r w:rsidR="00C42E00" w:rsidRPr="00C42E00">
        <w:rPr>
          <w:rFonts w:ascii="Avenir Next" w:hAnsi="Avenir Next" w:cs="Arial"/>
          <w:color w:val="7B7B7B" w:themeColor="accent3" w:themeShade="BF"/>
          <w:sz w:val="22"/>
          <w:szCs w:val="22"/>
          <w:lang w:val="en-GB"/>
        </w:rPr>
        <w:lastRenderedPageBreak/>
        <w:t>363 sale</w:t>
      </w:r>
      <w:r w:rsidR="00FE589F">
        <w:rPr>
          <w:rFonts w:ascii="Avenir Next" w:hAnsi="Avenir Next" w:cs="Arial"/>
          <w:color w:val="7B7B7B" w:themeColor="accent3" w:themeShade="BF"/>
          <w:sz w:val="22"/>
          <w:szCs w:val="22"/>
          <w:lang w:val="en-GB"/>
        </w:rPr>
        <w:t>,</w:t>
      </w:r>
      <w:r w:rsidR="00C42E00" w:rsidRPr="00C42E00">
        <w:rPr>
          <w:rFonts w:ascii="Avenir Next" w:hAnsi="Avenir Next" w:cs="Arial"/>
          <w:color w:val="7B7B7B" w:themeColor="accent3" w:themeShade="BF"/>
          <w:sz w:val="22"/>
          <w:szCs w:val="22"/>
          <w:lang w:val="en-GB"/>
        </w:rPr>
        <w:t xml:space="preserve"> the debtor is able to transfer its interests in contracts, </w:t>
      </w:r>
      <w:r w:rsidR="00D81B48">
        <w:rPr>
          <w:rFonts w:ascii="Avenir Next" w:hAnsi="Avenir Next" w:cs="Arial"/>
          <w:color w:val="7B7B7B" w:themeColor="accent3" w:themeShade="BF"/>
          <w:sz w:val="22"/>
          <w:szCs w:val="22"/>
          <w:lang w:val="en-GB"/>
        </w:rPr>
        <w:t>especially when</w:t>
      </w:r>
      <w:r w:rsidR="00B127DD">
        <w:rPr>
          <w:rFonts w:ascii="Avenir Next" w:hAnsi="Avenir Next" w:cs="Arial"/>
          <w:color w:val="7B7B7B" w:themeColor="accent3" w:themeShade="BF"/>
          <w:sz w:val="22"/>
          <w:szCs w:val="22"/>
          <w:lang w:val="en-GB"/>
        </w:rPr>
        <w:t xml:space="preserve"> </w:t>
      </w:r>
      <w:r w:rsidR="00D81B48">
        <w:rPr>
          <w:rFonts w:ascii="Avenir Next" w:hAnsi="Avenir Next" w:cs="Arial"/>
          <w:color w:val="7B7B7B" w:themeColor="accent3" w:themeShade="BF"/>
          <w:sz w:val="22"/>
          <w:szCs w:val="22"/>
          <w:lang w:val="en-GB"/>
        </w:rPr>
        <w:t>particular</w:t>
      </w:r>
      <w:r w:rsidR="00B127DD">
        <w:rPr>
          <w:rFonts w:ascii="Avenir Next" w:hAnsi="Avenir Next" w:cs="Arial"/>
          <w:color w:val="7B7B7B" w:themeColor="accent3" w:themeShade="BF"/>
          <w:sz w:val="22"/>
          <w:szCs w:val="22"/>
          <w:lang w:val="en-GB"/>
        </w:rPr>
        <w:t xml:space="preserve"> contracts are </w:t>
      </w:r>
      <w:r w:rsidR="00C42E00" w:rsidRPr="00C42E00">
        <w:rPr>
          <w:rFonts w:ascii="Avenir Next" w:hAnsi="Avenir Next" w:cs="Arial"/>
          <w:color w:val="7B7B7B" w:themeColor="accent3" w:themeShade="BF"/>
          <w:sz w:val="22"/>
          <w:szCs w:val="22"/>
          <w:lang w:val="en-GB"/>
        </w:rPr>
        <w:t xml:space="preserve">essential for the continuation of </w:t>
      </w:r>
      <w:r w:rsidR="00B127DD">
        <w:rPr>
          <w:rFonts w:ascii="Avenir Next" w:hAnsi="Avenir Next" w:cs="Arial"/>
          <w:color w:val="7B7B7B" w:themeColor="accent3" w:themeShade="BF"/>
          <w:sz w:val="22"/>
          <w:szCs w:val="22"/>
          <w:lang w:val="en-GB"/>
        </w:rPr>
        <w:t>its</w:t>
      </w:r>
      <w:r w:rsidR="00C42E00" w:rsidRPr="00C42E00">
        <w:rPr>
          <w:rFonts w:ascii="Avenir Next" w:hAnsi="Avenir Next" w:cs="Arial"/>
          <w:color w:val="7B7B7B" w:themeColor="accent3" w:themeShade="BF"/>
          <w:sz w:val="22"/>
          <w:szCs w:val="22"/>
          <w:lang w:val="en-GB"/>
        </w:rPr>
        <w:t xml:space="preserve"> business operation. Interestingly, section 365(c) eliminates </w:t>
      </w:r>
      <w:r w:rsidR="00FE589F">
        <w:rPr>
          <w:rFonts w:ascii="Avenir Next" w:hAnsi="Avenir Next" w:cs="Arial"/>
          <w:color w:val="7B7B7B" w:themeColor="accent3" w:themeShade="BF"/>
          <w:sz w:val="22"/>
          <w:szCs w:val="22"/>
          <w:lang w:val="en-GB"/>
        </w:rPr>
        <w:t>restrictions</w:t>
      </w:r>
      <w:r w:rsidR="00C42E00" w:rsidRPr="00C42E00">
        <w:rPr>
          <w:rFonts w:ascii="Avenir Next" w:hAnsi="Avenir Next" w:cs="Arial"/>
          <w:color w:val="7B7B7B" w:themeColor="accent3" w:themeShade="BF"/>
          <w:sz w:val="22"/>
          <w:szCs w:val="22"/>
          <w:lang w:val="en-GB"/>
        </w:rPr>
        <w:t xml:space="preserve"> on assignment present, for instance, either contractual</w:t>
      </w:r>
      <w:r w:rsidR="00FE589F">
        <w:rPr>
          <w:rFonts w:ascii="Avenir Next" w:hAnsi="Avenir Next" w:cs="Arial"/>
          <w:color w:val="7B7B7B" w:themeColor="accent3" w:themeShade="BF"/>
          <w:sz w:val="22"/>
          <w:szCs w:val="22"/>
          <w:lang w:val="en-GB"/>
        </w:rPr>
        <w:t>ly</w:t>
      </w:r>
      <w:r w:rsidR="00C42E00" w:rsidRPr="00C42E00">
        <w:rPr>
          <w:rFonts w:ascii="Avenir Next" w:hAnsi="Avenir Next" w:cs="Arial"/>
          <w:color w:val="7B7B7B" w:themeColor="accent3" w:themeShade="BF"/>
          <w:sz w:val="22"/>
          <w:szCs w:val="22"/>
          <w:lang w:val="en-GB"/>
        </w:rPr>
        <w:t xml:space="preserve"> or </w:t>
      </w:r>
      <w:r w:rsidR="00FE589F">
        <w:rPr>
          <w:rFonts w:ascii="Avenir Next" w:hAnsi="Avenir Next" w:cs="Arial"/>
          <w:color w:val="7B7B7B" w:themeColor="accent3" w:themeShade="BF"/>
          <w:sz w:val="22"/>
          <w:szCs w:val="22"/>
          <w:lang w:val="en-GB"/>
        </w:rPr>
        <w:t xml:space="preserve">in </w:t>
      </w:r>
      <w:r w:rsidR="00C42E00" w:rsidRPr="00C42E00">
        <w:rPr>
          <w:rFonts w:ascii="Avenir Next" w:hAnsi="Avenir Next" w:cs="Arial"/>
          <w:color w:val="7B7B7B" w:themeColor="accent3" w:themeShade="BF"/>
          <w:sz w:val="22"/>
          <w:szCs w:val="22"/>
          <w:lang w:val="en-GB"/>
        </w:rPr>
        <w:t xml:space="preserve">ipso facto clauses intended to terminate a contract upon </w:t>
      </w:r>
      <w:r w:rsidR="00B22D35">
        <w:rPr>
          <w:rFonts w:ascii="Avenir Next" w:hAnsi="Avenir Next" w:cs="Arial"/>
          <w:color w:val="7B7B7B" w:themeColor="accent3" w:themeShade="BF"/>
          <w:sz w:val="22"/>
          <w:szCs w:val="22"/>
          <w:lang w:val="en-GB"/>
        </w:rPr>
        <w:t xml:space="preserve">the </w:t>
      </w:r>
      <w:r w:rsidR="00C42E00" w:rsidRPr="00C42E00">
        <w:rPr>
          <w:rFonts w:ascii="Avenir Next" w:hAnsi="Avenir Next" w:cs="Arial"/>
          <w:color w:val="7B7B7B" w:themeColor="accent3" w:themeShade="BF"/>
          <w:sz w:val="22"/>
          <w:szCs w:val="22"/>
          <w:lang w:val="en-GB"/>
        </w:rPr>
        <w:t>filing of a bankruptcy petition.</w:t>
      </w:r>
    </w:p>
    <w:p w14:paraId="439668F9" w14:textId="77777777" w:rsidR="00C42E00" w:rsidRPr="00C42E00" w:rsidRDefault="00C42E00" w:rsidP="00C42E00">
      <w:pPr>
        <w:jc w:val="both"/>
        <w:rPr>
          <w:rFonts w:ascii="Avenir Next" w:hAnsi="Avenir Next" w:cs="Arial"/>
          <w:color w:val="7B7B7B" w:themeColor="accent3" w:themeShade="BF"/>
          <w:sz w:val="22"/>
          <w:szCs w:val="22"/>
          <w:lang w:val="en-GB"/>
        </w:rPr>
      </w:pPr>
    </w:p>
    <w:p w14:paraId="7AEDAEF7" w14:textId="12D9EC10" w:rsidR="00C42E00" w:rsidRPr="00C42E00" w:rsidRDefault="00A53BD3" w:rsidP="00C42E00">
      <w:pPr>
        <w:jc w:val="both"/>
        <w:rPr>
          <w:rFonts w:ascii="Avenir Next" w:hAnsi="Avenir Next" w:cs="Arial"/>
          <w:color w:val="7B7B7B" w:themeColor="accent3" w:themeShade="BF"/>
          <w:sz w:val="22"/>
          <w:szCs w:val="22"/>
        </w:rPr>
      </w:pPr>
      <w:proofErr w:type="spellStart"/>
      <w:r>
        <w:rPr>
          <w:rFonts w:ascii="Avenir Next" w:hAnsi="Avenir Next" w:cs="Arial"/>
          <w:color w:val="7B7B7B" w:themeColor="accent3" w:themeShade="BF"/>
          <w:sz w:val="22"/>
          <w:szCs w:val="22"/>
          <w:lang w:val="en-GB"/>
        </w:rPr>
        <w:t>GameMart</w:t>
      </w:r>
      <w:proofErr w:type="spellEnd"/>
      <w:r>
        <w:rPr>
          <w:rFonts w:ascii="Avenir Next" w:hAnsi="Avenir Next" w:cs="Arial"/>
          <w:color w:val="7B7B7B" w:themeColor="accent3" w:themeShade="BF"/>
          <w:sz w:val="22"/>
          <w:szCs w:val="22"/>
          <w:lang w:val="en-GB"/>
        </w:rPr>
        <w:t xml:space="preserve"> operates a factory in California that is subject to a long term lease.</w:t>
      </w:r>
      <w:r>
        <w:rPr>
          <w:rFonts w:ascii="Avenir Next" w:hAnsi="Avenir Next" w:cs="Arial"/>
          <w:color w:val="7B7B7B" w:themeColor="accent3" w:themeShade="BF"/>
          <w:sz w:val="22"/>
          <w:szCs w:val="22"/>
          <w:lang w:val="en-GB"/>
        </w:rPr>
        <w:t xml:space="preserve"> </w:t>
      </w:r>
      <w:r w:rsidR="00C42E00" w:rsidRPr="00C42E00">
        <w:rPr>
          <w:rFonts w:ascii="Avenir Next" w:hAnsi="Avenir Next" w:cs="Arial"/>
          <w:color w:val="7B7B7B" w:themeColor="accent3" w:themeShade="BF"/>
          <w:sz w:val="22"/>
          <w:szCs w:val="22"/>
          <w:lang w:val="en-GB"/>
        </w:rPr>
        <w:t xml:space="preserve">The lease contract between </w:t>
      </w:r>
      <w:proofErr w:type="spellStart"/>
      <w:r w:rsidR="00C42E00" w:rsidRPr="00C42E00">
        <w:rPr>
          <w:rFonts w:ascii="Avenir Next" w:hAnsi="Avenir Next" w:cs="Arial"/>
          <w:color w:val="7B7B7B" w:themeColor="accent3" w:themeShade="BF"/>
          <w:sz w:val="22"/>
          <w:szCs w:val="22"/>
          <w:lang w:val="en-GB"/>
        </w:rPr>
        <w:t>GameMart</w:t>
      </w:r>
      <w:proofErr w:type="spellEnd"/>
      <w:r w:rsidR="00C42E00" w:rsidRPr="00C42E00">
        <w:rPr>
          <w:rFonts w:ascii="Avenir Next" w:hAnsi="Avenir Next" w:cs="Arial"/>
          <w:color w:val="7B7B7B" w:themeColor="accent3" w:themeShade="BF"/>
          <w:sz w:val="22"/>
          <w:szCs w:val="22"/>
          <w:lang w:val="en-GB"/>
        </w:rPr>
        <w:t xml:space="preserve"> and Land Corp is executory </w:t>
      </w:r>
      <w:r w:rsidR="00F1375F">
        <w:rPr>
          <w:rFonts w:ascii="Avenir Next" w:hAnsi="Avenir Next" w:cs="Arial"/>
          <w:color w:val="7B7B7B" w:themeColor="accent3" w:themeShade="BF"/>
          <w:sz w:val="22"/>
          <w:szCs w:val="22"/>
          <w:lang w:val="en-GB"/>
        </w:rPr>
        <w:t>by virtue of</w:t>
      </w:r>
      <w:r w:rsidR="00C42E00" w:rsidRPr="00C42E00">
        <w:rPr>
          <w:rFonts w:ascii="Avenir Next" w:hAnsi="Avenir Next" w:cs="Arial"/>
          <w:color w:val="7B7B7B" w:themeColor="accent3" w:themeShade="BF"/>
          <w:sz w:val="22"/>
          <w:szCs w:val="22"/>
          <w:lang w:val="en-GB"/>
        </w:rPr>
        <w:t xml:space="preserve"> the parties' contractual rights </w:t>
      </w:r>
      <w:r w:rsidR="00F1375F">
        <w:rPr>
          <w:rFonts w:ascii="Avenir Next" w:hAnsi="Avenir Next" w:cs="Arial"/>
          <w:color w:val="7B7B7B" w:themeColor="accent3" w:themeShade="BF"/>
          <w:sz w:val="22"/>
          <w:szCs w:val="22"/>
          <w:lang w:val="en-GB"/>
        </w:rPr>
        <w:t xml:space="preserve">and obligations </w:t>
      </w:r>
      <w:r w:rsidR="00C42E00" w:rsidRPr="00C42E00">
        <w:rPr>
          <w:rFonts w:ascii="Avenir Next" w:hAnsi="Avenir Next" w:cs="Arial"/>
          <w:color w:val="7B7B7B" w:themeColor="accent3" w:themeShade="BF"/>
          <w:sz w:val="22"/>
          <w:szCs w:val="22"/>
          <w:lang w:val="en-GB"/>
        </w:rPr>
        <w:t xml:space="preserve">under the agreement. </w:t>
      </w:r>
      <w:r w:rsidR="00B515BB">
        <w:rPr>
          <w:rFonts w:ascii="Avenir Next" w:hAnsi="Avenir Next" w:cs="Arial"/>
          <w:color w:val="7B7B7B" w:themeColor="accent3" w:themeShade="BF"/>
          <w:sz w:val="22"/>
          <w:szCs w:val="22"/>
          <w:lang w:val="en-GB"/>
        </w:rPr>
        <w:t xml:space="preserve">The lease agreement explicitly prohibits assignment without </w:t>
      </w:r>
      <w:r w:rsidR="00CD6C37">
        <w:rPr>
          <w:rFonts w:ascii="Avenir Next" w:hAnsi="Avenir Next" w:cs="Arial"/>
          <w:color w:val="7B7B7B" w:themeColor="accent3" w:themeShade="BF"/>
          <w:sz w:val="22"/>
          <w:szCs w:val="22"/>
          <w:lang w:val="en-GB"/>
        </w:rPr>
        <w:t>the lessor</w:t>
      </w:r>
      <w:r w:rsidR="00CD6C37">
        <w:rPr>
          <w:rFonts w:ascii="Avenir Next" w:hAnsi="Avenir Next" w:cs="Arial"/>
          <w:color w:val="7B7B7B" w:themeColor="accent3" w:themeShade="BF"/>
          <w:sz w:val="22"/>
          <w:szCs w:val="22"/>
          <w:lang w:val="en-GB"/>
        </w:rPr>
        <w:t>’s</w:t>
      </w:r>
      <w:r w:rsidR="00F158AA">
        <w:rPr>
          <w:rFonts w:ascii="Avenir Next" w:hAnsi="Avenir Next" w:cs="Arial"/>
          <w:color w:val="7B7B7B" w:themeColor="accent3" w:themeShade="BF"/>
          <w:sz w:val="22"/>
          <w:szCs w:val="22"/>
          <w:lang w:val="en-GB"/>
        </w:rPr>
        <w:t xml:space="preserve"> (</w:t>
      </w:r>
      <w:r w:rsidR="00B515BB">
        <w:rPr>
          <w:rFonts w:ascii="Avenir Next" w:hAnsi="Avenir Next" w:cs="Arial"/>
          <w:color w:val="7B7B7B" w:themeColor="accent3" w:themeShade="BF"/>
          <w:sz w:val="22"/>
          <w:szCs w:val="22"/>
          <w:lang w:val="en-GB"/>
        </w:rPr>
        <w:t>Land Corp</w:t>
      </w:r>
      <w:r w:rsidR="00F158AA">
        <w:rPr>
          <w:rFonts w:ascii="Avenir Next" w:hAnsi="Avenir Next" w:cs="Arial"/>
          <w:color w:val="7B7B7B" w:themeColor="accent3" w:themeShade="BF"/>
          <w:sz w:val="22"/>
          <w:szCs w:val="22"/>
          <w:lang w:val="en-GB"/>
        </w:rPr>
        <w:t>)</w:t>
      </w:r>
      <w:r w:rsidR="00B515BB">
        <w:rPr>
          <w:rFonts w:ascii="Avenir Next" w:hAnsi="Avenir Next" w:cs="Arial"/>
          <w:color w:val="7B7B7B" w:themeColor="accent3" w:themeShade="BF"/>
          <w:sz w:val="22"/>
          <w:szCs w:val="22"/>
          <w:lang w:val="en-GB"/>
        </w:rPr>
        <w:t xml:space="preserve"> consent.</w:t>
      </w:r>
      <w:r w:rsidR="00B515BB" w:rsidRPr="00B515BB">
        <w:rPr>
          <w:rFonts w:ascii="Avenir Next" w:hAnsi="Avenir Next" w:cs="Arial"/>
          <w:color w:val="7B7B7B" w:themeColor="accent3" w:themeShade="BF"/>
          <w:sz w:val="22"/>
          <w:szCs w:val="22"/>
        </w:rPr>
        <w:t xml:space="preserve"> </w:t>
      </w:r>
      <w:r w:rsidR="00C328AE">
        <w:rPr>
          <w:rFonts w:ascii="Avenir Next" w:hAnsi="Avenir Next" w:cs="Arial"/>
          <w:color w:val="7B7B7B" w:themeColor="accent3" w:themeShade="BF"/>
          <w:sz w:val="22"/>
          <w:szCs w:val="22"/>
        </w:rPr>
        <w:t>However, p</w:t>
      </w:r>
      <w:proofErr w:type="spellStart"/>
      <w:r w:rsidR="00C42E00" w:rsidRPr="00C42E00">
        <w:rPr>
          <w:rFonts w:ascii="Avenir Next" w:hAnsi="Avenir Next" w:cs="Arial"/>
          <w:color w:val="7B7B7B" w:themeColor="accent3" w:themeShade="BF"/>
          <w:sz w:val="22"/>
          <w:szCs w:val="22"/>
          <w:lang w:val="en-GB"/>
        </w:rPr>
        <w:t>ursuant</w:t>
      </w:r>
      <w:proofErr w:type="spellEnd"/>
      <w:r w:rsidR="00C42E00" w:rsidRPr="00C42E00">
        <w:rPr>
          <w:rFonts w:ascii="Avenir Next" w:hAnsi="Avenir Next" w:cs="Arial"/>
          <w:color w:val="7B7B7B" w:themeColor="accent3" w:themeShade="BF"/>
          <w:sz w:val="22"/>
          <w:szCs w:val="22"/>
          <w:lang w:val="en-GB"/>
        </w:rPr>
        <w:t xml:space="preserve"> to subsection 365(c), this restriction is </w:t>
      </w:r>
      <w:r w:rsidR="00B22D35">
        <w:rPr>
          <w:rFonts w:ascii="Avenir Next" w:hAnsi="Avenir Next" w:cs="Arial"/>
          <w:color w:val="7B7B7B" w:themeColor="accent3" w:themeShade="BF"/>
          <w:sz w:val="22"/>
          <w:szCs w:val="22"/>
          <w:lang w:val="en-GB"/>
        </w:rPr>
        <w:t xml:space="preserve">statutorily </w:t>
      </w:r>
      <w:r w:rsidR="00C42E00" w:rsidRPr="00C42E00">
        <w:rPr>
          <w:rFonts w:ascii="Avenir Next" w:hAnsi="Avenir Next" w:cs="Arial"/>
          <w:color w:val="7B7B7B" w:themeColor="accent3" w:themeShade="BF"/>
          <w:sz w:val="22"/>
          <w:szCs w:val="22"/>
          <w:lang w:val="en-GB"/>
        </w:rPr>
        <w:t xml:space="preserve">eliminated. </w:t>
      </w:r>
      <w:proofErr w:type="spellStart"/>
      <w:r w:rsidR="00C42E00" w:rsidRPr="00C42E00">
        <w:rPr>
          <w:rFonts w:ascii="Avenir Next" w:hAnsi="Avenir Next" w:cs="Arial"/>
          <w:color w:val="7B7B7B" w:themeColor="accent3" w:themeShade="BF"/>
          <w:sz w:val="22"/>
          <w:szCs w:val="22"/>
          <w:lang w:val="en-GB"/>
        </w:rPr>
        <w:t>GameMart</w:t>
      </w:r>
      <w:proofErr w:type="spellEnd"/>
      <w:r w:rsidR="00C42E00" w:rsidRPr="00C42E00">
        <w:rPr>
          <w:rFonts w:ascii="Avenir Next" w:hAnsi="Avenir Next" w:cs="Arial"/>
          <w:color w:val="7B7B7B" w:themeColor="accent3" w:themeShade="BF"/>
          <w:sz w:val="22"/>
          <w:szCs w:val="22"/>
          <w:lang w:val="en-GB"/>
        </w:rPr>
        <w:t xml:space="preserve"> is</w:t>
      </w:r>
      <w:r w:rsidR="00B37102">
        <w:rPr>
          <w:rFonts w:ascii="Avenir Next" w:hAnsi="Avenir Next" w:cs="Arial"/>
          <w:color w:val="7B7B7B" w:themeColor="accent3" w:themeShade="BF"/>
          <w:sz w:val="22"/>
          <w:szCs w:val="22"/>
          <w:lang w:val="en-GB"/>
        </w:rPr>
        <w:t xml:space="preserve"> </w:t>
      </w:r>
      <w:r w:rsidR="00C42E00" w:rsidRPr="00C42E00">
        <w:rPr>
          <w:rFonts w:ascii="Avenir Next" w:hAnsi="Avenir Next" w:cs="Arial"/>
          <w:color w:val="7B7B7B" w:themeColor="accent3" w:themeShade="BF"/>
          <w:sz w:val="22"/>
          <w:szCs w:val="22"/>
          <w:lang w:val="en-GB"/>
        </w:rPr>
        <w:t>authorized to pursue a 363 sale without Land Corp's consent</w:t>
      </w:r>
      <w:r>
        <w:rPr>
          <w:rFonts w:ascii="Avenir Next" w:hAnsi="Avenir Next" w:cs="Arial"/>
          <w:color w:val="7B7B7B" w:themeColor="accent3" w:themeShade="BF"/>
          <w:sz w:val="22"/>
          <w:szCs w:val="22"/>
          <w:lang w:val="en-GB"/>
        </w:rPr>
        <w:t>.</w:t>
      </w: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A2E7D" w14:textId="77777777" w:rsidR="00633FB2" w:rsidRDefault="00633FB2" w:rsidP="00241B44">
      <w:r>
        <w:separator/>
      </w:r>
    </w:p>
  </w:endnote>
  <w:endnote w:type="continuationSeparator" w:id="0">
    <w:p w14:paraId="050EFEEB" w14:textId="77777777" w:rsidR="00633FB2" w:rsidRDefault="00633FB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Fonts w:ascii="Arial" w:hAnsi="Arial" w:cs="Arial"/>
        <w:b/>
      </w:rPr>
      <w:id w:val="-758512077"/>
      <w:docPartObj>
        <w:docPartGallery w:val="Page Numbers (Bottom of Page)"/>
        <w:docPartUnique/>
      </w:docPartObj>
    </w:sdtPr>
    <w:sdtEndPr>
      <w:rPr>
        <w:rStyle w:val="ab"/>
        <w:b w:val="0"/>
        <w:sz w:val="22"/>
        <w:szCs w:val="22"/>
      </w:rPr>
    </w:sdtEndPr>
    <w:sdtContent>
      <w:p w14:paraId="0AAD6B61" w14:textId="77777777" w:rsidR="00E450A4" w:rsidRPr="00FC7B47" w:rsidRDefault="00E450A4" w:rsidP="009B4976">
        <w:pPr>
          <w:pStyle w:val="aa"/>
          <w:framePr w:wrap="none" w:vAnchor="text" w:hAnchor="margin" w:xAlign="right" w:y="1"/>
          <w:rPr>
            <w:rStyle w:val="ab"/>
            <w:rFonts w:ascii="Arial" w:hAnsi="Arial" w:cs="Arial"/>
            <w:sz w:val="22"/>
            <w:szCs w:val="22"/>
          </w:rPr>
        </w:pPr>
        <w:r w:rsidRPr="00697EA1">
          <w:rPr>
            <w:rStyle w:val="ab"/>
            <w:rFonts w:ascii="Arial" w:hAnsi="Arial" w:cs="Arial"/>
            <w:b/>
          </w:rPr>
          <w:t xml:space="preserve">Page </w:t>
        </w:r>
        <w:r w:rsidRPr="00697EA1">
          <w:rPr>
            <w:rStyle w:val="ab"/>
            <w:rFonts w:ascii="Arial" w:hAnsi="Arial" w:cs="Arial"/>
            <w:b/>
            <w:sz w:val="22"/>
            <w:szCs w:val="22"/>
          </w:rPr>
          <w:fldChar w:fldCharType="begin"/>
        </w:r>
        <w:r w:rsidRPr="00697EA1">
          <w:rPr>
            <w:rStyle w:val="ab"/>
            <w:rFonts w:ascii="Arial" w:hAnsi="Arial" w:cs="Arial"/>
            <w:b/>
            <w:sz w:val="22"/>
            <w:szCs w:val="22"/>
          </w:rPr>
          <w:instrText xml:space="preserve"> PAGE </w:instrText>
        </w:r>
        <w:r w:rsidRPr="00697EA1">
          <w:rPr>
            <w:rStyle w:val="ab"/>
            <w:rFonts w:ascii="Arial" w:hAnsi="Arial" w:cs="Arial"/>
            <w:b/>
            <w:sz w:val="22"/>
            <w:szCs w:val="22"/>
          </w:rPr>
          <w:fldChar w:fldCharType="separate"/>
        </w:r>
        <w:r>
          <w:rPr>
            <w:rStyle w:val="ab"/>
            <w:rFonts w:ascii="Arial" w:hAnsi="Arial" w:cs="Arial"/>
            <w:b/>
            <w:noProof/>
            <w:sz w:val="22"/>
            <w:szCs w:val="22"/>
          </w:rPr>
          <w:t>10</w:t>
        </w:r>
        <w:r w:rsidRPr="00697EA1">
          <w:rPr>
            <w:rStyle w:val="ab"/>
            <w:rFonts w:ascii="Arial" w:hAnsi="Arial" w:cs="Arial"/>
            <w:b/>
            <w:sz w:val="22"/>
            <w:szCs w:val="22"/>
          </w:rPr>
          <w:fldChar w:fldCharType="end"/>
        </w:r>
      </w:p>
    </w:sdtContent>
  </w:sdt>
  <w:p w14:paraId="39FD1B0B" w14:textId="3A981440" w:rsidR="00E450A4" w:rsidRPr="00FC7B47" w:rsidRDefault="00445CE6" w:rsidP="00FC7B47">
    <w:pPr>
      <w:pStyle w:val="aa"/>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Fonts w:ascii="Avenir Next" w:hAnsi="Avenir Next" w:cs="Arial"/>
        <w:sz w:val="22"/>
        <w:szCs w:val="22"/>
      </w:rPr>
      <w:id w:val="-1409602822"/>
      <w:docPartObj>
        <w:docPartGallery w:val="Page Numbers (Bottom of Page)"/>
        <w:docPartUnique/>
      </w:docPartObj>
    </w:sdtPr>
    <w:sdtEndPr>
      <w:rPr>
        <w:rStyle w:val="ab"/>
        <w:sz w:val="18"/>
        <w:szCs w:val="18"/>
      </w:rPr>
    </w:sdtEndPr>
    <w:sdtContent>
      <w:p w14:paraId="0A05F8FD" w14:textId="301381CC" w:rsidR="009B4976" w:rsidRPr="00CE0ECD" w:rsidRDefault="009B4976" w:rsidP="00E23A7A">
        <w:pPr>
          <w:pStyle w:val="aa"/>
          <w:framePr w:wrap="none" w:vAnchor="text" w:hAnchor="margin" w:xAlign="right" w:y="1"/>
          <w:rPr>
            <w:rStyle w:val="ab"/>
            <w:rFonts w:ascii="Avenir Next" w:hAnsi="Avenir Next" w:cs="Arial"/>
            <w:sz w:val="18"/>
            <w:szCs w:val="18"/>
          </w:rPr>
        </w:pPr>
        <w:r w:rsidRPr="00494B81">
          <w:rPr>
            <w:rStyle w:val="ab"/>
            <w:rFonts w:ascii="Avenir Next" w:hAnsi="Avenir Next" w:cs="Arial"/>
            <w:sz w:val="22"/>
            <w:szCs w:val="22"/>
          </w:rPr>
          <w:t xml:space="preserve">Page </w:t>
        </w:r>
        <w:r w:rsidRPr="00494B81">
          <w:rPr>
            <w:rStyle w:val="ab"/>
            <w:rFonts w:ascii="Avenir Next" w:hAnsi="Avenir Next" w:cs="Arial"/>
            <w:sz w:val="22"/>
            <w:szCs w:val="22"/>
          </w:rPr>
          <w:fldChar w:fldCharType="begin"/>
        </w:r>
        <w:r w:rsidRPr="00494B81">
          <w:rPr>
            <w:rStyle w:val="ab"/>
            <w:rFonts w:ascii="Avenir Next" w:hAnsi="Avenir Next" w:cs="Arial"/>
            <w:sz w:val="22"/>
            <w:szCs w:val="22"/>
          </w:rPr>
          <w:instrText xml:space="preserve"> PAGE </w:instrText>
        </w:r>
        <w:r w:rsidRPr="00494B81">
          <w:rPr>
            <w:rStyle w:val="ab"/>
            <w:rFonts w:ascii="Avenir Next" w:hAnsi="Avenir Next" w:cs="Arial"/>
            <w:sz w:val="22"/>
            <w:szCs w:val="22"/>
          </w:rPr>
          <w:fldChar w:fldCharType="separate"/>
        </w:r>
        <w:r w:rsidRPr="00494B81">
          <w:rPr>
            <w:rStyle w:val="ab"/>
            <w:rFonts w:ascii="Avenir Next" w:hAnsi="Avenir Next" w:cs="Arial"/>
            <w:noProof/>
            <w:sz w:val="22"/>
            <w:szCs w:val="22"/>
          </w:rPr>
          <w:t>3</w:t>
        </w:r>
        <w:r w:rsidRPr="00494B81">
          <w:rPr>
            <w:rStyle w:val="ab"/>
            <w:rFonts w:ascii="Avenir Next" w:hAnsi="Avenir Next" w:cs="Arial"/>
            <w:sz w:val="22"/>
            <w:szCs w:val="22"/>
          </w:rPr>
          <w:fldChar w:fldCharType="end"/>
        </w:r>
      </w:p>
    </w:sdtContent>
  </w:sdt>
  <w:p w14:paraId="30F05E79" w14:textId="217A96A8" w:rsidR="00241FA3" w:rsidRPr="00494B81" w:rsidRDefault="006B219B" w:rsidP="009B4976">
    <w:pPr>
      <w:pStyle w:val="aa"/>
      <w:ind w:right="360"/>
      <w:rPr>
        <w:rFonts w:ascii="Avenir Next" w:hAnsi="Avenir Next" w:cs="Arial"/>
        <w:sz w:val="22"/>
        <w:szCs w:val="22"/>
        <w:lang w:val="en-GB"/>
      </w:rPr>
    </w:pPr>
    <w:r>
      <w:rPr>
        <w:rFonts w:ascii="Avenir Next" w:hAnsi="Avenir Next" w:cs="Arial"/>
        <w:sz w:val="22"/>
        <w:szCs w:val="22"/>
        <w:lang w:val="en-GB"/>
      </w:rPr>
      <w:t>202223-936</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3FFD9" w14:textId="77777777" w:rsidR="00633FB2" w:rsidRDefault="00633FB2" w:rsidP="00241B44">
      <w:r>
        <w:separator/>
      </w:r>
    </w:p>
  </w:footnote>
  <w:footnote w:type="continuationSeparator" w:id="0">
    <w:p w14:paraId="006E58A7" w14:textId="77777777" w:rsidR="00633FB2" w:rsidRDefault="00633FB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8005478">
    <w:abstractNumId w:val="21"/>
  </w:num>
  <w:num w:numId="2" w16cid:durableId="1264847798">
    <w:abstractNumId w:val="24"/>
  </w:num>
  <w:num w:numId="3" w16cid:durableId="1638608700">
    <w:abstractNumId w:val="4"/>
  </w:num>
  <w:num w:numId="4" w16cid:durableId="964383188">
    <w:abstractNumId w:val="8"/>
  </w:num>
  <w:num w:numId="5" w16cid:durableId="1899631809">
    <w:abstractNumId w:val="10"/>
  </w:num>
  <w:num w:numId="6" w16cid:durableId="1883323875">
    <w:abstractNumId w:val="27"/>
  </w:num>
  <w:num w:numId="7" w16cid:durableId="1346437340">
    <w:abstractNumId w:val="5"/>
  </w:num>
  <w:num w:numId="8" w16cid:durableId="267548042">
    <w:abstractNumId w:val="29"/>
  </w:num>
  <w:num w:numId="9" w16cid:durableId="934019570">
    <w:abstractNumId w:val="11"/>
  </w:num>
  <w:num w:numId="10" w16cid:durableId="764300752">
    <w:abstractNumId w:val="23"/>
  </w:num>
  <w:num w:numId="11" w16cid:durableId="477185543">
    <w:abstractNumId w:val="13"/>
  </w:num>
  <w:num w:numId="12" w16cid:durableId="349450912">
    <w:abstractNumId w:val="20"/>
  </w:num>
  <w:num w:numId="13" w16cid:durableId="286472055">
    <w:abstractNumId w:val="0"/>
  </w:num>
  <w:num w:numId="14" w16cid:durableId="491407152">
    <w:abstractNumId w:val="9"/>
  </w:num>
  <w:num w:numId="15" w16cid:durableId="1974552410">
    <w:abstractNumId w:val="16"/>
  </w:num>
  <w:num w:numId="16" w16cid:durableId="979575757">
    <w:abstractNumId w:val="7"/>
  </w:num>
  <w:num w:numId="17" w16cid:durableId="558319918">
    <w:abstractNumId w:val="3"/>
  </w:num>
  <w:num w:numId="18" w16cid:durableId="1542787516">
    <w:abstractNumId w:val="2"/>
  </w:num>
  <w:num w:numId="19" w16cid:durableId="1793396639">
    <w:abstractNumId w:val="25"/>
  </w:num>
  <w:num w:numId="20" w16cid:durableId="143860120">
    <w:abstractNumId w:val="6"/>
  </w:num>
  <w:num w:numId="21" w16cid:durableId="251277202">
    <w:abstractNumId w:val="22"/>
  </w:num>
  <w:num w:numId="22" w16cid:durableId="423041515">
    <w:abstractNumId w:val="30"/>
  </w:num>
  <w:num w:numId="23" w16cid:durableId="1473596384">
    <w:abstractNumId w:val="12"/>
  </w:num>
  <w:num w:numId="24" w16cid:durableId="436677796">
    <w:abstractNumId w:val="26"/>
  </w:num>
  <w:num w:numId="25" w16cid:durableId="1015307236">
    <w:abstractNumId w:val="17"/>
  </w:num>
  <w:num w:numId="26" w16cid:durableId="1533104508">
    <w:abstractNumId w:val="18"/>
  </w:num>
  <w:num w:numId="27" w16cid:durableId="519466082">
    <w:abstractNumId w:val="14"/>
  </w:num>
  <w:num w:numId="28" w16cid:durableId="1008407221">
    <w:abstractNumId w:val="28"/>
  </w:num>
  <w:num w:numId="29" w16cid:durableId="1594509765">
    <w:abstractNumId w:val="1"/>
  </w:num>
  <w:num w:numId="30" w16cid:durableId="1877428193">
    <w:abstractNumId w:val="15"/>
  </w:num>
  <w:num w:numId="31" w16cid:durableId="1580360474">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C24"/>
    <w:rsid w:val="00002478"/>
    <w:rsid w:val="00003BDE"/>
    <w:rsid w:val="0000459C"/>
    <w:rsid w:val="000074AD"/>
    <w:rsid w:val="00010BA0"/>
    <w:rsid w:val="00011D1A"/>
    <w:rsid w:val="0001237B"/>
    <w:rsid w:val="00013EDA"/>
    <w:rsid w:val="0001465A"/>
    <w:rsid w:val="00020557"/>
    <w:rsid w:val="00020A7C"/>
    <w:rsid w:val="00021FC2"/>
    <w:rsid w:val="00022E00"/>
    <w:rsid w:val="00024125"/>
    <w:rsid w:val="00024426"/>
    <w:rsid w:val="000250C7"/>
    <w:rsid w:val="00025D51"/>
    <w:rsid w:val="000260F1"/>
    <w:rsid w:val="00026E60"/>
    <w:rsid w:val="00026F16"/>
    <w:rsid w:val="00031EC2"/>
    <w:rsid w:val="00033B5B"/>
    <w:rsid w:val="000346E7"/>
    <w:rsid w:val="00035692"/>
    <w:rsid w:val="00037621"/>
    <w:rsid w:val="00037671"/>
    <w:rsid w:val="000377B1"/>
    <w:rsid w:val="00037CE3"/>
    <w:rsid w:val="00040FE2"/>
    <w:rsid w:val="00042C87"/>
    <w:rsid w:val="00043974"/>
    <w:rsid w:val="00043BAF"/>
    <w:rsid w:val="00044D46"/>
    <w:rsid w:val="00045088"/>
    <w:rsid w:val="000454B0"/>
    <w:rsid w:val="00045904"/>
    <w:rsid w:val="00047EDD"/>
    <w:rsid w:val="00050186"/>
    <w:rsid w:val="000502FD"/>
    <w:rsid w:val="00052504"/>
    <w:rsid w:val="00055D40"/>
    <w:rsid w:val="00057138"/>
    <w:rsid w:val="00062516"/>
    <w:rsid w:val="0006269F"/>
    <w:rsid w:val="00062BB6"/>
    <w:rsid w:val="00062D0A"/>
    <w:rsid w:val="00063267"/>
    <w:rsid w:val="00065166"/>
    <w:rsid w:val="000659CF"/>
    <w:rsid w:val="00066340"/>
    <w:rsid w:val="00067A16"/>
    <w:rsid w:val="000708A1"/>
    <w:rsid w:val="00073401"/>
    <w:rsid w:val="00073506"/>
    <w:rsid w:val="00075E6C"/>
    <w:rsid w:val="00077375"/>
    <w:rsid w:val="000778B1"/>
    <w:rsid w:val="00082265"/>
    <w:rsid w:val="00082609"/>
    <w:rsid w:val="00083EA5"/>
    <w:rsid w:val="000851CC"/>
    <w:rsid w:val="00086369"/>
    <w:rsid w:val="00090C72"/>
    <w:rsid w:val="00091EB7"/>
    <w:rsid w:val="00092135"/>
    <w:rsid w:val="00093BE8"/>
    <w:rsid w:val="000942E2"/>
    <w:rsid w:val="00097B45"/>
    <w:rsid w:val="00097D56"/>
    <w:rsid w:val="000A0AFF"/>
    <w:rsid w:val="000A2E97"/>
    <w:rsid w:val="000A33CD"/>
    <w:rsid w:val="000A407B"/>
    <w:rsid w:val="000A5379"/>
    <w:rsid w:val="000A5714"/>
    <w:rsid w:val="000A636A"/>
    <w:rsid w:val="000A68ED"/>
    <w:rsid w:val="000A7A3D"/>
    <w:rsid w:val="000A7DBA"/>
    <w:rsid w:val="000B4385"/>
    <w:rsid w:val="000B53CC"/>
    <w:rsid w:val="000B549B"/>
    <w:rsid w:val="000B5FF1"/>
    <w:rsid w:val="000B609F"/>
    <w:rsid w:val="000C0155"/>
    <w:rsid w:val="000C016A"/>
    <w:rsid w:val="000C06A5"/>
    <w:rsid w:val="000C4B3C"/>
    <w:rsid w:val="000C4C5B"/>
    <w:rsid w:val="000C7B6C"/>
    <w:rsid w:val="000D55A8"/>
    <w:rsid w:val="000D6BFF"/>
    <w:rsid w:val="000E1B87"/>
    <w:rsid w:val="000E23FC"/>
    <w:rsid w:val="000E4841"/>
    <w:rsid w:val="000E7FC3"/>
    <w:rsid w:val="000F1677"/>
    <w:rsid w:val="000F1F9F"/>
    <w:rsid w:val="000F2CA5"/>
    <w:rsid w:val="000F3D6C"/>
    <w:rsid w:val="000F3F5D"/>
    <w:rsid w:val="000F679B"/>
    <w:rsid w:val="000F76CB"/>
    <w:rsid w:val="000F7FC2"/>
    <w:rsid w:val="00100E84"/>
    <w:rsid w:val="00101707"/>
    <w:rsid w:val="001029FD"/>
    <w:rsid w:val="00102CC9"/>
    <w:rsid w:val="00103317"/>
    <w:rsid w:val="00103F8D"/>
    <w:rsid w:val="0011473D"/>
    <w:rsid w:val="00115C85"/>
    <w:rsid w:val="00117721"/>
    <w:rsid w:val="001179D7"/>
    <w:rsid w:val="0012224B"/>
    <w:rsid w:val="00123855"/>
    <w:rsid w:val="001239BB"/>
    <w:rsid w:val="001253E5"/>
    <w:rsid w:val="00126A4D"/>
    <w:rsid w:val="001270FD"/>
    <w:rsid w:val="0012735F"/>
    <w:rsid w:val="00130D76"/>
    <w:rsid w:val="001318FD"/>
    <w:rsid w:val="00132279"/>
    <w:rsid w:val="0013230F"/>
    <w:rsid w:val="00136254"/>
    <w:rsid w:val="001367C5"/>
    <w:rsid w:val="001400A1"/>
    <w:rsid w:val="001410E4"/>
    <w:rsid w:val="0014171F"/>
    <w:rsid w:val="001424E9"/>
    <w:rsid w:val="0014622C"/>
    <w:rsid w:val="00147B45"/>
    <w:rsid w:val="0015025A"/>
    <w:rsid w:val="00150DB3"/>
    <w:rsid w:val="001512E8"/>
    <w:rsid w:val="00152348"/>
    <w:rsid w:val="0015456D"/>
    <w:rsid w:val="00155FA2"/>
    <w:rsid w:val="00160679"/>
    <w:rsid w:val="00160DD6"/>
    <w:rsid w:val="00161C69"/>
    <w:rsid w:val="00161F1B"/>
    <w:rsid w:val="0016201F"/>
    <w:rsid w:val="00162829"/>
    <w:rsid w:val="00162E2C"/>
    <w:rsid w:val="001665F3"/>
    <w:rsid w:val="0017091F"/>
    <w:rsid w:val="00175B92"/>
    <w:rsid w:val="0017668D"/>
    <w:rsid w:val="00180548"/>
    <w:rsid w:val="00180AC4"/>
    <w:rsid w:val="00180CCE"/>
    <w:rsid w:val="00180D9E"/>
    <w:rsid w:val="0018267A"/>
    <w:rsid w:val="00182779"/>
    <w:rsid w:val="00182B6B"/>
    <w:rsid w:val="001830DF"/>
    <w:rsid w:val="00184B2C"/>
    <w:rsid w:val="00187F83"/>
    <w:rsid w:val="00191D02"/>
    <w:rsid w:val="001926B8"/>
    <w:rsid w:val="00194079"/>
    <w:rsid w:val="00196463"/>
    <w:rsid w:val="001966D9"/>
    <w:rsid w:val="00197E4B"/>
    <w:rsid w:val="001A06B1"/>
    <w:rsid w:val="001A648B"/>
    <w:rsid w:val="001A7723"/>
    <w:rsid w:val="001A7E9A"/>
    <w:rsid w:val="001B0F70"/>
    <w:rsid w:val="001B42B4"/>
    <w:rsid w:val="001B5016"/>
    <w:rsid w:val="001B74D1"/>
    <w:rsid w:val="001C4120"/>
    <w:rsid w:val="001C45FC"/>
    <w:rsid w:val="001C6B7F"/>
    <w:rsid w:val="001D0469"/>
    <w:rsid w:val="001D0A36"/>
    <w:rsid w:val="001D0F95"/>
    <w:rsid w:val="001D16D4"/>
    <w:rsid w:val="001D19FD"/>
    <w:rsid w:val="001D24DE"/>
    <w:rsid w:val="001D317A"/>
    <w:rsid w:val="001D4862"/>
    <w:rsid w:val="001D54F7"/>
    <w:rsid w:val="001D59B9"/>
    <w:rsid w:val="001E24B0"/>
    <w:rsid w:val="001E25B9"/>
    <w:rsid w:val="001E3B95"/>
    <w:rsid w:val="001E4204"/>
    <w:rsid w:val="001E49E0"/>
    <w:rsid w:val="001E7B5A"/>
    <w:rsid w:val="001E7C9D"/>
    <w:rsid w:val="001F1522"/>
    <w:rsid w:val="001F2099"/>
    <w:rsid w:val="001F6BF8"/>
    <w:rsid w:val="001F6DDA"/>
    <w:rsid w:val="001F7412"/>
    <w:rsid w:val="002003E8"/>
    <w:rsid w:val="00202DFE"/>
    <w:rsid w:val="0020725B"/>
    <w:rsid w:val="00210B4F"/>
    <w:rsid w:val="00210E71"/>
    <w:rsid w:val="002110F1"/>
    <w:rsid w:val="00214282"/>
    <w:rsid w:val="002158D9"/>
    <w:rsid w:val="002173E5"/>
    <w:rsid w:val="00220698"/>
    <w:rsid w:val="0022357A"/>
    <w:rsid w:val="00223917"/>
    <w:rsid w:val="00225013"/>
    <w:rsid w:val="002257BE"/>
    <w:rsid w:val="002342F3"/>
    <w:rsid w:val="00234C11"/>
    <w:rsid w:val="0024116D"/>
    <w:rsid w:val="002411DF"/>
    <w:rsid w:val="00241658"/>
    <w:rsid w:val="00241B44"/>
    <w:rsid w:val="00241FA3"/>
    <w:rsid w:val="00243769"/>
    <w:rsid w:val="002442D7"/>
    <w:rsid w:val="002458E4"/>
    <w:rsid w:val="00245EFB"/>
    <w:rsid w:val="00247412"/>
    <w:rsid w:val="00252B48"/>
    <w:rsid w:val="0025309A"/>
    <w:rsid w:val="002533EE"/>
    <w:rsid w:val="0025386E"/>
    <w:rsid w:val="00256B74"/>
    <w:rsid w:val="0025788E"/>
    <w:rsid w:val="00261819"/>
    <w:rsid w:val="00261BC4"/>
    <w:rsid w:val="00262CFD"/>
    <w:rsid w:val="00262D0E"/>
    <w:rsid w:val="002638B0"/>
    <w:rsid w:val="00263C59"/>
    <w:rsid w:val="00264754"/>
    <w:rsid w:val="0026647A"/>
    <w:rsid w:val="002666D1"/>
    <w:rsid w:val="002668D3"/>
    <w:rsid w:val="00267488"/>
    <w:rsid w:val="00267768"/>
    <w:rsid w:val="00267D06"/>
    <w:rsid w:val="0027047F"/>
    <w:rsid w:val="00270847"/>
    <w:rsid w:val="00270D5D"/>
    <w:rsid w:val="00270FCC"/>
    <w:rsid w:val="0027299F"/>
    <w:rsid w:val="0027392E"/>
    <w:rsid w:val="00273D7D"/>
    <w:rsid w:val="00280409"/>
    <w:rsid w:val="00280513"/>
    <w:rsid w:val="00283FC2"/>
    <w:rsid w:val="00284164"/>
    <w:rsid w:val="002849FC"/>
    <w:rsid w:val="00284EBE"/>
    <w:rsid w:val="002861CE"/>
    <w:rsid w:val="002863F6"/>
    <w:rsid w:val="0029007F"/>
    <w:rsid w:val="00290136"/>
    <w:rsid w:val="002903A7"/>
    <w:rsid w:val="002904C5"/>
    <w:rsid w:val="0029433F"/>
    <w:rsid w:val="00294829"/>
    <w:rsid w:val="00295B3A"/>
    <w:rsid w:val="00296273"/>
    <w:rsid w:val="0029690F"/>
    <w:rsid w:val="00297C8A"/>
    <w:rsid w:val="002A00AF"/>
    <w:rsid w:val="002A2A60"/>
    <w:rsid w:val="002A37BB"/>
    <w:rsid w:val="002A4F36"/>
    <w:rsid w:val="002A5143"/>
    <w:rsid w:val="002A5B69"/>
    <w:rsid w:val="002B0EF3"/>
    <w:rsid w:val="002B1513"/>
    <w:rsid w:val="002B1C45"/>
    <w:rsid w:val="002B3E29"/>
    <w:rsid w:val="002B5106"/>
    <w:rsid w:val="002B5D64"/>
    <w:rsid w:val="002B669B"/>
    <w:rsid w:val="002C13C8"/>
    <w:rsid w:val="002C3547"/>
    <w:rsid w:val="002C3D22"/>
    <w:rsid w:val="002C4932"/>
    <w:rsid w:val="002D0021"/>
    <w:rsid w:val="002D1ED3"/>
    <w:rsid w:val="002D299D"/>
    <w:rsid w:val="002D29AB"/>
    <w:rsid w:val="002D3473"/>
    <w:rsid w:val="002D576C"/>
    <w:rsid w:val="002D58E2"/>
    <w:rsid w:val="002D5AE9"/>
    <w:rsid w:val="002D5F63"/>
    <w:rsid w:val="002D6789"/>
    <w:rsid w:val="002D6E31"/>
    <w:rsid w:val="002D78C5"/>
    <w:rsid w:val="002D7F16"/>
    <w:rsid w:val="002E03AE"/>
    <w:rsid w:val="002E1C42"/>
    <w:rsid w:val="002E2805"/>
    <w:rsid w:val="002E3095"/>
    <w:rsid w:val="002E4D55"/>
    <w:rsid w:val="002E55F8"/>
    <w:rsid w:val="002E5E3E"/>
    <w:rsid w:val="002E6774"/>
    <w:rsid w:val="002E6C93"/>
    <w:rsid w:val="002F020E"/>
    <w:rsid w:val="002F145F"/>
    <w:rsid w:val="002F1956"/>
    <w:rsid w:val="002F3440"/>
    <w:rsid w:val="002F7401"/>
    <w:rsid w:val="002F75A3"/>
    <w:rsid w:val="002F7C40"/>
    <w:rsid w:val="00300765"/>
    <w:rsid w:val="0030079D"/>
    <w:rsid w:val="00301D2B"/>
    <w:rsid w:val="00302D9D"/>
    <w:rsid w:val="00303C2F"/>
    <w:rsid w:val="00303DF7"/>
    <w:rsid w:val="00304234"/>
    <w:rsid w:val="0031093E"/>
    <w:rsid w:val="00313485"/>
    <w:rsid w:val="003144EF"/>
    <w:rsid w:val="003150DB"/>
    <w:rsid w:val="0032045D"/>
    <w:rsid w:val="00321D84"/>
    <w:rsid w:val="0032223C"/>
    <w:rsid w:val="00323167"/>
    <w:rsid w:val="00324473"/>
    <w:rsid w:val="00325A8F"/>
    <w:rsid w:val="00326292"/>
    <w:rsid w:val="00326415"/>
    <w:rsid w:val="00327560"/>
    <w:rsid w:val="00330937"/>
    <w:rsid w:val="00330F31"/>
    <w:rsid w:val="00333636"/>
    <w:rsid w:val="00334648"/>
    <w:rsid w:val="0033768C"/>
    <w:rsid w:val="00337938"/>
    <w:rsid w:val="00340769"/>
    <w:rsid w:val="00341601"/>
    <w:rsid w:val="00341AA6"/>
    <w:rsid w:val="003437F9"/>
    <w:rsid w:val="00347411"/>
    <w:rsid w:val="00350229"/>
    <w:rsid w:val="003502EB"/>
    <w:rsid w:val="003505C1"/>
    <w:rsid w:val="003512D5"/>
    <w:rsid w:val="0035254A"/>
    <w:rsid w:val="00354A01"/>
    <w:rsid w:val="003555D7"/>
    <w:rsid w:val="00357057"/>
    <w:rsid w:val="00357B51"/>
    <w:rsid w:val="00361A0A"/>
    <w:rsid w:val="00361A9C"/>
    <w:rsid w:val="00364836"/>
    <w:rsid w:val="0036565C"/>
    <w:rsid w:val="003659B6"/>
    <w:rsid w:val="00365CD9"/>
    <w:rsid w:val="0036625E"/>
    <w:rsid w:val="0036731A"/>
    <w:rsid w:val="00367761"/>
    <w:rsid w:val="00373000"/>
    <w:rsid w:val="0037465A"/>
    <w:rsid w:val="00375536"/>
    <w:rsid w:val="003807B2"/>
    <w:rsid w:val="00380A4F"/>
    <w:rsid w:val="00381531"/>
    <w:rsid w:val="00381EA1"/>
    <w:rsid w:val="00382C98"/>
    <w:rsid w:val="0038411A"/>
    <w:rsid w:val="0038425B"/>
    <w:rsid w:val="0038533C"/>
    <w:rsid w:val="00386568"/>
    <w:rsid w:val="003865C7"/>
    <w:rsid w:val="00390B57"/>
    <w:rsid w:val="00392227"/>
    <w:rsid w:val="003948D5"/>
    <w:rsid w:val="00396821"/>
    <w:rsid w:val="003976DA"/>
    <w:rsid w:val="00397D3A"/>
    <w:rsid w:val="003A051E"/>
    <w:rsid w:val="003A18FF"/>
    <w:rsid w:val="003A2933"/>
    <w:rsid w:val="003A5488"/>
    <w:rsid w:val="003A5537"/>
    <w:rsid w:val="003A5A1B"/>
    <w:rsid w:val="003A66AC"/>
    <w:rsid w:val="003A75F4"/>
    <w:rsid w:val="003B170F"/>
    <w:rsid w:val="003B3C5F"/>
    <w:rsid w:val="003B4392"/>
    <w:rsid w:val="003B6C3D"/>
    <w:rsid w:val="003B7184"/>
    <w:rsid w:val="003B7E2D"/>
    <w:rsid w:val="003C3388"/>
    <w:rsid w:val="003C419A"/>
    <w:rsid w:val="003C4409"/>
    <w:rsid w:val="003C4471"/>
    <w:rsid w:val="003C53FE"/>
    <w:rsid w:val="003D0A6D"/>
    <w:rsid w:val="003D2FA0"/>
    <w:rsid w:val="003D545F"/>
    <w:rsid w:val="003D5EFB"/>
    <w:rsid w:val="003D7AE0"/>
    <w:rsid w:val="003D7B3B"/>
    <w:rsid w:val="003E0B16"/>
    <w:rsid w:val="003E22F7"/>
    <w:rsid w:val="003E2CD5"/>
    <w:rsid w:val="003E3E53"/>
    <w:rsid w:val="003E67D1"/>
    <w:rsid w:val="003E7A35"/>
    <w:rsid w:val="003E7EFB"/>
    <w:rsid w:val="003F0C46"/>
    <w:rsid w:val="003F54E9"/>
    <w:rsid w:val="003F655A"/>
    <w:rsid w:val="003F73CF"/>
    <w:rsid w:val="00401282"/>
    <w:rsid w:val="00401795"/>
    <w:rsid w:val="00402460"/>
    <w:rsid w:val="00403346"/>
    <w:rsid w:val="004035BA"/>
    <w:rsid w:val="00404329"/>
    <w:rsid w:val="004043FA"/>
    <w:rsid w:val="00404595"/>
    <w:rsid w:val="00405155"/>
    <w:rsid w:val="00405DC1"/>
    <w:rsid w:val="004066C5"/>
    <w:rsid w:val="00406992"/>
    <w:rsid w:val="00415F1F"/>
    <w:rsid w:val="0041714F"/>
    <w:rsid w:val="00417850"/>
    <w:rsid w:val="0042108F"/>
    <w:rsid w:val="004244B8"/>
    <w:rsid w:val="004248F6"/>
    <w:rsid w:val="004251BA"/>
    <w:rsid w:val="004273B0"/>
    <w:rsid w:val="00427A90"/>
    <w:rsid w:val="00430FED"/>
    <w:rsid w:val="00434A8C"/>
    <w:rsid w:val="00435A2C"/>
    <w:rsid w:val="00437297"/>
    <w:rsid w:val="00441418"/>
    <w:rsid w:val="004417DC"/>
    <w:rsid w:val="0044271C"/>
    <w:rsid w:val="004439F1"/>
    <w:rsid w:val="00444284"/>
    <w:rsid w:val="004453FC"/>
    <w:rsid w:val="00445CE6"/>
    <w:rsid w:val="00445EE6"/>
    <w:rsid w:val="00446E32"/>
    <w:rsid w:val="004470B3"/>
    <w:rsid w:val="00447ACF"/>
    <w:rsid w:val="00447E97"/>
    <w:rsid w:val="004503E8"/>
    <w:rsid w:val="00450485"/>
    <w:rsid w:val="00452A6F"/>
    <w:rsid w:val="004534C2"/>
    <w:rsid w:val="00453EA8"/>
    <w:rsid w:val="0045446F"/>
    <w:rsid w:val="00455018"/>
    <w:rsid w:val="00455738"/>
    <w:rsid w:val="00455EE1"/>
    <w:rsid w:val="0045683E"/>
    <w:rsid w:val="00456DB5"/>
    <w:rsid w:val="00457AC8"/>
    <w:rsid w:val="00462F7E"/>
    <w:rsid w:val="004630DF"/>
    <w:rsid w:val="00465F7E"/>
    <w:rsid w:val="00466442"/>
    <w:rsid w:val="00474E2C"/>
    <w:rsid w:val="00477C72"/>
    <w:rsid w:val="00481B60"/>
    <w:rsid w:val="004830F8"/>
    <w:rsid w:val="00484B73"/>
    <w:rsid w:val="00491355"/>
    <w:rsid w:val="00491675"/>
    <w:rsid w:val="00492AE8"/>
    <w:rsid w:val="00493855"/>
    <w:rsid w:val="00494B81"/>
    <w:rsid w:val="00495E79"/>
    <w:rsid w:val="0049789C"/>
    <w:rsid w:val="004A08D4"/>
    <w:rsid w:val="004A57DD"/>
    <w:rsid w:val="004A7B51"/>
    <w:rsid w:val="004A7D71"/>
    <w:rsid w:val="004A7EF3"/>
    <w:rsid w:val="004B0C44"/>
    <w:rsid w:val="004B11FD"/>
    <w:rsid w:val="004B2332"/>
    <w:rsid w:val="004B23A2"/>
    <w:rsid w:val="004B294B"/>
    <w:rsid w:val="004B322A"/>
    <w:rsid w:val="004B4BBD"/>
    <w:rsid w:val="004B578A"/>
    <w:rsid w:val="004C07CC"/>
    <w:rsid w:val="004C0ED3"/>
    <w:rsid w:val="004C14CA"/>
    <w:rsid w:val="004C2DAC"/>
    <w:rsid w:val="004C32AC"/>
    <w:rsid w:val="004D1A5A"/>
    <w:rsid w:val="004D1F72"/>
    <w:rsid w:val="004D2E5B"/>
    <w:rsid w:val="004D2FFF"/>
    <w:rsid w:val="004D3245"/>
    <w:rsid w:val="004D3721"/>
    <w:rsid w:val="004D4255"/>
    <w:rsid w:val="004D521B"/>
    <w:rsid w:val="004D5339"/>
    <w:rsid w:val="004D5863"/>
    <w:rsid w:val="004D64F9"/>
    <w:rsid w:val="004D7BC1"/>
    <w:rsid w:val="004E29AF"/>
    <w:rsid w:val="004E2CD5"/>
    <w:rsid w:val="004E30E2"/>
    <w:rsid w:val="004E3A6B"/>
    <w:rsid w:val="004E5AF5"/>
    <w:rsid w:val="004E622C"/>
    <w:rsid w:val="004E6D21"/>
    <w:rsid w:val="004F0101"/>
    <w:rsid w:val="004F11A6"/>
    <w:rsid w:val="004F2161"/>
    <w:rsid w:val="004F2543"/>
    <w:rsid w:val="004F36D0"/>
    <w:rsid w:val="004F42B8"/>
    <w:rsid w:val="004F49B5"/>
    <w:rsid w:val="004F525C"/>
    <w:rsid w:val="004F5344"/>
    <w:rsid w:val="004F5FDF"/>
    <w:rsid w:val="004F761E"/>
    <w:rsid w:val="004F76EF"/>
    <w:rsid w:val="004F7B99"/>
    <w:rsid w:val="0050312B"/>
    <w:rsid w:val="005036E6"/>
    <w:rsid w:val="00503A0A"/>
    <w:rsid w:val="0050566A"/>
    <w:rsid w:val="00506077"/>
    <w:rsid w:val="005114EF"/>
    <w:rsid w:val="00512FBA"/>
    <w:rsid w:val="005150FB"/>
    <w:rsid w:val="00515810"/>
    <w:rsid w:val="00515A57"/>
    <w:rsid w:val="00515A5F"/>
    <w:rsid w:val="005170A1"/>
    <w:rsid w:val="005177FE"/>
    <w:rsid w:val="005211D6"/>
    <w:rsid w:val="005216D0"/>
    <w:rsid w:val="0052263B"/>
    <w:rsid w:val="00524728"/>
    <w:rsid w:val="00524C97"/>
    <w:rsid w:val="005257EE"/>
    <w:rsid w:val="00526F89"/>
    <w:rsid w:val="00527D64"/>
    <w:rsid w:val="005331CA"/>
    <w:rsid w:val="005334D3"/>
    <w:rsid w:val="0053357A"/>
    <w:rsid w:val="005355B2"/>
    <w:rsid w:val="00536659"/>
    <w:rsid w:val="00536911"/>
    <w:rsid w:val="00537424"/>
    <w:rsid w:val="00537970"/>
    <w:rsid w:val="005400A2"/>
    <w:rsid w:val="0054028A"/>
    <w:rsid w:val="00540E3A"/>
    <w:rsid w:val="005411A5"/>
    <w:rsid w:val="00542322"/>
    <w:rsid w:val="00544127"/>
    <w:rsid w:val="00544887"/>
    <w:rsid w:val="005463A9"/>
    <w:rsid w:val="0054716C"/>
    <w:rsid w:val="005521C0"/>
    <w:rsid w:val="00553EB2"/>
    <w:rsid w:val="005574AF"/>
    <w:rsid w:val="00560534"/>
    <w:rsid w:val="00561B7E"/>
    <w:rsid w:val="00561DFF"/>
    <w:rsid w:val="00562699"/>
    <w:rsid w:val="0056331D"/>
    <w:rsid w:val="0056391B"/>
    <w:rsid w:val="005646F8"/>
    <w:rsid w:val="005650E2"/>
    <w:rsid w:val="00566D6C"/>
    <w:rsid w:val="00567AD7"/>
    <w:rsid w:val="005722A3"/>
    <w:rsid w:val="00572616"/>
    <w:rsid w:val="0057306A"/>
    <w:rsid w:val="0057517C"/>
    <w:rsid w:val="00575457"/>
    <w:rsid w:val="00575B2D"/>
    <w:rsid w:val="00576774"/>
    <w:rsid w:val="005770D5"/>
    <w:rsid w:val="00580B73"/>
    <w:rsid w:val="00580E63"/>
    <w:rsid w:val="00581095"/>
    <w:rsid w:val="00581955"/>
    <w:rsid w:val="00582FDD"/>
    <w:rsid w:val="005833D0"/>
    <w:rsid w:val="00583D8E"/>
    <w:rsid w:val="005843FE"/>
    <w:rsid w:val="005846F3"/>
    <w:rsid w:val="0058622F"/>
    <w:rsid w:val="00587019"/>
    <w:rsid w:val="00590484"/>
    <w:rsid w:val="005925FE"/>
    <w:rsid w:val="00592F82"/>
    <w:rsid w:val="00593A50"/>
    <w:rsid w:val="005950D6"/>
    <w:rsid w:val="0059600A"/>
    <w:rsid w:val="00597B8A"/>
    <w:rsid w:val="00597E2A"/>
    <w:rsid w:val="005A02B1"/>
    <w:rsid w:val="005A044C"/>
    <w:rsid w:val="005A0CCA"/>
    <w:rsid w:val="005A13B9"/>
    <w:rsid w:val="005A2D0D"/>
    <w:rsid w:val="005A2D46"/>
    <w:rsid w:val="005A5D4B"/>
    <w:rsid w:val="005A6EAB"/>
    <w:rsid w:val="005A6FF2"/>
    <w:rsid w:val="005A726D"/>
    <w:rsid w:val="005B0CCD"/>
    <w:rsid w:val="005B45AC"/>
    <w:rsid w:val="005B5DB1"/>
    <w:rsid w:val="005B5E07"/>
    <w:rsid w:val="005B67AC"/>
    <w:rsid w:val="005B79F4"/>
    <w:rsid w:val="005B7DBA"/>
    <w:rsid w:val="005C1509"/>
    <w:rsid w:val="005C3FBD"/>
    <w:rsid w:val="005C3FF5"/>
    <w:rsid w:val="005C449E"/>
    <w:rsid w:val="005C76FC"/>
    <w:rsid w:val="005D0132"/>
    <w:rsid w:val="005D1234"/>
    <w:rsid w:val="005D1293"/>
    <w:rsid w:val="005D267F"/>
    <w:rsid w:val="005D43E0"/>
    <w:rsid w:val="005D5530"/>
    <w:rsid w:val="005D58A3"/>
    <w:rsid w:val="005D6642"/>
    <w:rsid w:val="005D7864"/>
    <w:rsid w:val="005E081A"/>
    <w:rsid w:val="005E1B79"/>
    <w:rsid w:val="005E2A15"/>
    <w:rsid w:val="005E38EA"/>
    <w:rsid w:val="005E3BCB"/>
    <w:rsid w:val="005E40B6"/>
    <w:rsid w:val="005E4963"/>
    <w:rsid w:val="005E5E47"/>
    <w:rsid w:val="005E5F8E"/>
    <w:rsid w:val="005E6076"/>
    <w:rsid w:val="005E7008"/>
    <w:rsid w:val="005F026D"/>
    <w:rsid w:val="005F158E"/>
    <w:rsid w:val="005F1BD5"/>
    <w:rsid w:val="005F2AEA"/>
    <w:rsid w:val="005F2D0B"/>
    <w:rsid w:val="005F4B31"/>
    <w:rsid w:val="005F7636"/>
    <w:rsid w:val="006004A0"/>
    <w:rsid w:val="00602039"/>
    <w:rsid w:val="00603971"/>
    <w:rsid w:val="00610388"/>
    <w:rsid w:val="00610AC7"/>
    <w:rsid w:val="0061188A"/>
    <w:rsid w:val="00612CA5"/>
    <w:rsid w:val="006141EB"/>
    <w:rsid w:val="006153EC"/>
    <w:rsid w:val="0061786D"/>
    <w:rsid w:val="00617A81"/>
    <w:rsid w:val="00620CEA"/>
    <w:rsid w:val="00621A17"/>
    <w:rsid w:val="00622039"/>
    <w:rsid w:val="00622A51"/>
    <w:rsid w:val="00622C36"/>
    <w:rsid w:val="00623572"/>
    <w:rsid w:val="006245E3"/>
    <w:rsid w:val="006253B1"/>
    <w:rsid w:val="00626F46"/>
    <w:rsid w:val="00627CC9"/>
    <w:rsid w:val="00627E7B"/>
    <w:rsid w:val="00630542"/>
    <w:rsid w:val="00630641"/>
    <w:rsid w:val="00631EB1"/>
    <w:rsid w:val="00632E44"/>
    <w:rsid w:val="00633FB2"/>
    <w:rsid w:val="00634622"/>
    <w:rsid w:val="00635ACC"/>
    <w:rsid w:val="00636731"/>
    <w:rsid w:val="00636808"/>
    <w:rsid w:val="00641515"/>
    <w:rsid w:val="0064587D"/>
    <w:rsid w:val="00645E52"/>
    <w:rsid w:val="006471A2"/>
    <w:rsid w:val="00652FB5"/>
    <w:rsid w:val="00654951"/>
    <w:rsid w:val="00654C2F"/>
    <w:rsid w:val="0065519D"/>
    <w:rsid w:val="00655D70"/>
    <w:rsid w:val="00656208"/>
    <w:rsid w:val="00656EDD"/>
    <w:rsid w:val="00657087"/>
    <w:rsid w:val="006610CB"/>
    <w:rsid w:val="00662E93"/>
    <w:rsid w:val="006639DB"/>
    <w:rsid w:val="006654CD"/>
    <w:rsid w:val="006661EF"/>
    <w:rsid w:val="00666CBC"/>
    <w:rsid w:val="006670B8"/>
    <w:rsid w:val="0067404C"/>
    <w:rsid w:val="00674FBC"/>
    <w:rsid w:val="006765EB"/>
    <w:rsid w:val="006770B3"/>
    <w:rsid w:val="00677AEB"/>
    <w:rsid w:val="00677E1F"/>
    <w:rsid w:val="00680BF4"/>
    <w:rsid w:val="00680EF2"/>
    <w:rsid w:val="00684D49"/>
    <w:rsid w:val="00685FB4"/>
    <w:rsid w:val="00687A1D"/>
    <w:rsid w:val="00695933"/>
    <w:rsid w:val="0069731C"/>
    <w:rsid w:val="00697EA1"/>
    <w:rsid w:val="00697F9C"/>
    <w:rsid w:val="006A09C7"/>
    <w:rsid w:val="006A2646"/>
    <w:rsid w:val="006A2989"/>
    <w:rsid w:val="006A6530"/>
    <w:rsid w:val="006A6609"/>
    <w:rsid w:val="006A6D3C"/>
    <w:rsid w:val="006A7ACC"/>
    <w:rsid w:val="006B219B"/>
    <w:rsid w:val="006B3571"/>
    <w:rsid w:val="006B435A"/>
    <w:rsid w:val="006B4C64"/>
    <w:rsid w:val="006B7798"/>
    <w:rsid w:val="006C65F4"/>
    <w:rsid w:val="006C7649"/>
    <w:rsid w:val="006D0ED7"/>
    <w:rsid w:val="006D36F2"/>
    <w:rsid w:val="006D3F2D"/>
    <w:rsid w:val="006D5F06"/>
    <w:rsid w:val="006D6BD5"/>
    <w:rsid w:val="006E25FA"/>
    <w:rsid w:val="006E3EF5"/>
    <w:rsid w:val="006E481A"/>
    <w:rsid w:val="006E5298"/>
    <w:rsid w:val="006F2EB2"/>
    <w:rsid w:val="006F4A78"/>
    <w:rsid w:val="006F5AEB"/>
    <w:rsid w:val="006F5DA6"/>
    <w:rsid w:val="006F605A"/>
    <w:rsid w:val="006F6DFB"/>
    <w:rsid w:val="006F734A"/>
    <w:rsid w:val="006F7E3A"/>
    <w:rsid w:val="00700D83"/>
    <w:rsid w:val="00702823"/>
    <w:rsid w:val="00702D39"/>
    <w:rsid w:val="00702D83"/>
    <w:rsid w:val="007038D9"/>
    <w:rsid w:val="00704852"/>
    <w:rsid w:val="007050EB"/>
    <w:rsid w:val="00706106"/>
    <w:rsid w:val="007074E9"/>
    <w:rsid w:val="00707CCA"/>
    <w:rsid w:val="007126FB"/>
    <w:rsid w:val="00713DA4"/>
    <w:rsid w:val="00714BF1"/>
    <w:rsid w:val="00717C2C"/>
    <w:rsid w:val="00717C74"/>
    <w:rsid w:val="00717FCA"/>
    <w:rsid w:val="00720185"/>
    <w:rsid w:val="00720B36"/>
    <w:rsid w:val="00720D9E"/>
    <w:rsid w:val="00721383"/>
    <w:rsid w:val="00723CB2"/>
    <w:rsid w:val="007251BF"/>
    <w:rsid w:val="00725F30"/>
    <w:rsid w:val="007263BE"/>
    <w:rsid w:val="00727DF0"/>
    <w:rsid w:val="0073158B"/>
    <w:rsid w:val="00732E3C"/>
    <w:rsid w:val="007333CC"/>
    <w:rsid w:val="0073399A"/>
    <w:rsid w:val="0073474B"/>
    <w:rsid w:val="00735CDC"/>
    <w:rsid w:val="007434A7"/>
    <w:rsid w:val="00746543"/>
    <w:rsid w:val="007473E7"/>
    <w:rsid w:val="007474A2"/>
    <w:rsid w:val="0075088A"/>
    <w:rsid w:val="00752541"/>
    <w:rsid w:val="0075490F"/>
    <w:rsid w:val="007603F5"/>
    <w:rsid w:val="00764DB0"/>
    <w:rsid w:val="00764F46"/>
    <w:rsid w:val="00767381"/>
    <w:rsid w:val="0076764D"/>
    <w:rsid w:val="00767ADB"/>
    <w:rsid w:val="00767DCE"/>
    <w:rsid w:val="00772587"/>
    <w:rsid w:val="0077498C"/>
    <w:rsid w:val="00777C53"/>
    <w:rsid w:val="007809BC"/>
    <w:rsid w:val="00781257"/>
    <w:rsid w:val="007815AC"/>
    <w:rsid w:val="007821A5"/>
    <w:rsid w:val="00784128"/>
    <w:rsid w:val="00785F13"/>
    <w:rsid w:val="00787BCC"/>
    <w:rsid w:val="0079024C"/>
    <w:rsid w:val="00793173"/>
    <w:rsid w:val="007947E1"/>
    <w:rsid w:val="007A25AF"/>
    <w:rsid w:val="007A2A33"/>
    <w:rsid w:val="007A2D09"/>
    <w:rsid w:val="007A3D08"/>
    <w:rsid w:val="007A41C7"/>
    <w:rsid w:val="007A58DB"/>
    <w:rsid w:val="007B0809"/>
    <w:rsid w:val="007B3A6C"/>
    <w:rsid w:val="007B5C89"/>
    <w:rsid w:val="007B7145"/>
    <w:rsid w:val="007C151D"/>
    <w:rsid w:val="007C1DF1"/>
    <w:rsid w:val="007C1FCC"/>
    <w:rsid w:val="007C402C"/>
    <w:rsid w:val="007C545C"/>
    <w:rsid w:val="007C60F7"/>
    <w:rsid w:val="007C6201"/>
    <w:rsid w:val="007C7D76"/>
    <w:rsid w:val="007D0192"/>
    <w:rsid w:val="007D14AC"/>
    <w:rsid w:val="007D2129"/>
    <w:rsid w:val="007D4725"/>
    <w:rsid w:val="007D57A7"/>
    <w:rsid w:val="007D6945"/>
    <w:rsid w:val="007D7846"/>
    <w:rsid w:val="007D7C92"/>
    <w:rsid w:val="007E1154"/>
    <w:rsid w:val="007E2795"/>
    <w:rsid w:val="007E4525"/>
    <w:rsid w:val="007E513A"/>
    <w:rsid w:val="007E5D42"/>
    <w:rsid w:val="007E5F6A"/>
    <w:rsid w:val="007E6BA4"/>
    <w:rsid w:val="007F06C2"/>
    <w:rsid w:val="007F11F9"/>
    <w:rsid w:val="007F12AB"/>
    <w:rsid w:val="007F17F8"/>
    <w:rsid w:val="007F23C5"/>
    <w:rsid w:val="007F329A"/>
    <w:rsid w:val="007F41F8"/>
    <w:rsid w:val="007F42C3"/>
    <w:rsid w:val="007F5D50"/>
    <w:rsid w:val="007F659B"/>
    <w:rsid w:val="007F67F6"/>
    <w:rsid w:val="007F6951"/>
    <w:rsid w:val="007F7932"/>
    <w:rsid w:val="00801300"/>
    <w:rsid w:val="00803236"/>
    <w:rsid w:val="00803E23"/>
    <w:rsid w:val="0080454E"/>
    <w:rsid w:val="00804C32"/>
    <w:rsid w:val="00805305"/>
    <w:rsid w:val="00806302"/>
    <w:rsid w:val="00807119"/>
    <w:rsid w:val="008115CE"/>
    <w:rsid w:val="008139F1"/>
    <w:rsid w:val="00816DB6"/>
    <w:rsid w:val="00820031"/>
    <w:rsid w:val="00823ECF"/>
    <w:rsid w:val="0082483F"/>
    <w:rsid w:val="00824D0B"/>
    <w:rsid w:val="00826D88"/>
    <w:rsid w:val="0082734D"/>
    <w:rsid w:val="008279C0"/>
    <w:rsid w:val="00827EDF"/>
    <w:rsid w:val="008315F4"/>
    <w:rsid w:val="008321D2"/>
    <w:rsid w:val="008339E5"/>
    <w:rsid w:val="00834F92"/>
    <w:rsid w:val="00840199"/>
    <w:rsid w:val="00847040"/>
    <w:rsid w:val="00850958"/>
    <w:rsid w:val="008522B9"/>
    <w:rsid w:val="008522EB"/>
    <w:rsid w:val="008548E8"/>
    <w:rsid w:val="00854DAA"/>
    <w:rsid w:val="0085787D"/>
    <w:rsid w:val="00861C37"/>
    <w:rsid w:val="00863562"/>
    <w:rsid w:val="008639FD"/>
    <w:rsid w:val="00866598"/>
    <w:rsid w:val="008665A4"/>
    <w:rsid w:val="00870897"/>
    <w:rsid w:val="008723F3"/>
    <w:rsid w:val="00872941"/>
    <w:rsid w:val="00874E34"/>
    <w:rsid w:val="00875C7C"/>
    <w:rsid w:val="00876713"/>
    <w:rsid w:val="0087728B"/>
    <w:rsid w:val="00881DE6"/>
    <w:rsid w:val="00882F94"/>
    <w:rsid w:val="008837A6"/>
    <w:rsid w:val="008837AA"/>
    <w:rsid w:val="00883891"/>
    <w:rsid w:val="00890A88"/>
    <w:rsid w:val="0089145D"/>
    <w:rsid w:val="00894455"/>
    <w:rsid w:val="0089469B"/>
    <w:rsid w:val="00894AFB"/>
    <w:rsid w:val="00895C32"/>
    <w:rsid w:val="00895EF1"/>
    <w:rsid w:val="00897F8D"/>
    <w:rsid w:val="008A22E1"/>
    <w:rsid w:val="008A4DF2"/>
    <w:rsid w:val="008A6A3F"/>
    <w:rsid w:val="008A6CFE"/>
    <w:rsid w:val="008A771D"/>
    <w:rsid w:val="008A7803"/>
    <w:rsid w:val="008B1010"/>
    <w:rsid w:val="008B1515"/>
    <w:rsid w:val="008B1F6D"/>
    <w:rsid w:val="008B23EB"/>
    <w:rsid w:val="008B4F15"/>
    <w:rsid w:val="008B5333"/>
    <w:rsid w:val="008B6223"/>
    <w:rsid w:val="008C15CE"/>
    <w:rsid w:val="008C37A7"/>
    <w:rsid w:val="008C3D6C"/>
    <w:rsid w:val="008C63CC"/>
    <w:rsid w:val="008C66E0"/>
    <w:rsid w:val="008C7867"/>
    <w:rsid w:val="008D1B30"/>
    <w:rsid w:val="008D44A0"/>
    <w:rsid w:val="008D59CF"/>
    <w:rsid w:val="008D6E8F"/>
    <w:rsid w:val="008E286E"/>
    <w:rsid w:val="008E3339"/>
    <w:rsid w:val="008E788C"/>
    <w:rsid w:val="008E7AE2"/>
    <w:rsid w:val="008F028D"/>
    <w:rsid w:val="008F102B"/>
    <w:rsid w:val="008F190E"/>
    <w:rsid w:val="008F20FC"/>
    <w:rsid w:val="008F2C0B"/>
    <w:rsid w:val="008F3CFE"/>
    <w:rsid w:val="008F52AC"/>
    <w:rsid w:val="008F5FFE"/>
    <w:rsid w:val="008F66B1"/>
    <w:rsid w:val="008F79A4"/>
    <w:rsid w:val="009002BC"/>
    <w:rsid w:val="00902FA7"/>
    <w:rsid w:val="0090324D"/>
    <w:rsid w:val="00905A43"/>
    <w:rsid w:val="00905AEF"/>
    <w:rsid w:val="00911D98"/>
    <w:rsid w:val="009120C3"/>
    <w:rsid w:val="00912C79"/>
    <w:rsid w:val="00912DA1"/>
    <w:rsid w:val="009146A2"/>
    <w:rsid w:val="00916D83"/>
    <w:rsid w:val="00917DD3"/>
    <w:rsid w:val="009212E6"/>
    <w:rsid w:val="00921B8C"/>
    <w:rsid w:val="009250B5"/>
    <w:rsid w:val="0092565E"/>
    <w:rsid w:val="0093129F"/>
    <w:rsid w:val="009336A1"/>
    <w:rsid w:val="0093467C"/>
    <w:rsid w:val="00942123"/>
    <w:rsid w:val="00943DC6"/>
    <w:rsid w:val="00943FB5"/>
    <w:rsid w:val="0094404A"/>
    <w:rsid w:val="00945304"/>
    <w:rsid w:val="00945701"/>
    <w:rsid w:val="009507C4"/>
    <w:rsid w:val="0095207B"/>
    <w:rsid w:val="009547E1"/>
    <w:rsid w:val="00955420"/>
    <w:rsid w:val="00955F65"/>
    <w:rsid w:val="009577A1"/>
    <w:rsid w:val="00957B5D"/>
    <w:rsid w:val="00960D53"/>
    <w:rsid w:val="00961081"/>
    <w:rsid w:val="00962045"/>
    <w:rsid w:val="00963538"/>
    <w:rsid w:val="009769EA"/>
    <w:rsid w:val="00980E61"/>
    <w:rsid w:val="00982757"/>
    <w:rsid w:val="00982E1A"/>
    <w:rsid w:val="00983196"/>
    <w:rsid w:val="00983214"/>
    <w:rsid w:val="009844C4"/>
    <w:rsid w:val="00985AC1"/>
    <w:rsid w:val="00986498"/>
    <w:rsid w:val="00991428"/>
    <w:rsid w:val="00992676"/>
    <w:rsid w:val="00994A8E"/>
    <w:rsid w:val="009954B2"/>
    <w:rsid w:val="00996691"/>
    <w:rsid w:val="009967A4"/>
    <w:rsid w:val="00997EA2"/>
    <w:rsid w:val="009A1920"/>
    <w:rsid w:val="009A37A4"/>
    <w:rsid w:val="009A46D0"/>
    <w:rsid w:val="009A7B05"/>
    <w:rsid w:val="009A7DB5"/>
    <w:rsid w:val="009B0723"/>
    <w:rsid w:val="009B07AD"/>
    <w:rsid w:val="009B0883"/>
    <w:rsid w:val="009B15E2"/>
    <w:rsid w:val="009B16DD"/>
    <w:rsid w:val="009B366C"/>
    <w:rsid w:val="009B3952"/>
    <w:rsid w:val="009B42E5"/>
    <w:rsid w:val="009B4976"/>
    <w:rsid w:val="009B5A59"/>
    <w:rsid w:val="009B5F98"/>
    <w:rsid w:val="009C0B8E"/>
    <w:rsid w:val="009C13AF"/>
    <w:rsid w:val="009C18E2"/>
    <w:rsid w:val="009C1BC8"/>
    <w:rsid w:val="009C2442"/>
    <w:rsid w:val="009C34D1"/>
    <w:rsid w:val="009C3E14"/>
    <w:rsid w:val="009D0230"/>
    <w:rsid w:val="009D078C"/>
    <w:rsid w:val="009D0811"/>
    <w:rsid w:val="009D0EE1"/>
    <w:rsid w:val="009D1082"/>
    <w:rsid w:val="009D1A14"/>
    <w:rsid w:val="009D31AE"/>
    <w:rsid w:val="009D3B0C"/>
    <w:rsid w:val="009D4075"/>
    <w:rsid w:val="009D5B73"/>
    <w:rsid w:val="009D7756"/>
    <w:rsid w:val="009D7C3D"/>
    <w:rsid w:val="009E0327"/>
    <w:rsid w:val="009E1FDE"/>
    <w:rsid w:val="009E2324"/>
    <w:rsid w:val="009E2AEB"/>
    <w:rsid w:val="009E2E27"/>
    <w:rsid w:val="009E36F2"/>
    <w:rsid w:val="009E45DF"/>
    <w:rsid w:val="009E4703"/>
    <w:rsid w:val="009E4DE3"/>
    <w:rsid w:val="009E56A6"/>
    <w:rsid w:val="009E6171"/>
    <w:rsid w:val="009F275E"/>
    <w:rsid w:val="009F486E"/>
    <w:rsid w:val="00A00A93"/>
    <w:rsid w:val="00A024E7"/>
    <w:rsid w:val="00A047EE"/>
    <w:rsid w:val="00A04D79"/>
    <w:rsid w:val="00A06144"/>
    <w:rsid w:val="00A12463"/>
    <w:rsid w:val="00A1460C"/>
    <w:rsid w:val="00A162E5"/>
    <w:rsid w:val="00A16ADE"/>
    <w:rsid w:val="00A172C7"/>
    <w:rsid w:val="00A21D1A"/>
    <w:rsid w:val="00A21D5A"/>
    <w:rsid w:val="00A21E9E"/>
    <w:rsid w:val="00A2274A"/>
    <w:rsid w:val="00A22D64"/>
    <w:rsid w:val="00A23394"/>
    <w:rsid w:val="00A235B7"/>
    <w:rsid w:val="00A27A7A"/>
    <w:rsid w:val="00A3165E"/>
    <w:rsid w:val="00A329E9"/>
    <w:rsid w:val="00A33766"/>
    <w:rsid w:val="00A34ABE"/>
    <w:rsid w:val="00A358F6"/>
    <w:rsid w:val="00A365D8"/>
    <w:rsid w:val="00A37094"/>
    <w:rsid w:val="00A407EF"/>
    <w:rsid w:val="00A41F40"/>
    <w:rsid w:val="00A43459"/>
    <w:rsid w:val="00A46B4C"/>
    <w:rsid w:val="00A47A2F"/>
    <w:rsid w:val="00A50B3C"/>
    <w:rsid w:val="00A5117B"/>
    <w:rsid w:val="00A5246A"/>
    <w:rsid w:val="00A53BD3"/>
    <w:rsid w:val="00A55BF6"/>
    <w:rsid w:val="00A562C8"/>
    <w:rsid w:val="00A56D34"/>
    <w:rsid w:val="00A60074"/>
    <w:rsid w:val="00A618F8"/>
    <w:rsid w:val="00A63764"/>
    <w:rsid w:val="00A65B61"/>
    <w:rsid w:val="00A6627C"/>
    <w:rsid w:val="00A669B3"/>
    <w:rsid w:val="00A702DD"/>
    <w:rsid w:val="00A70F7D"/>
    <w:rsid w:val="00A71019"/>
    <w:rsid w:val="00A71311"/>
    <w:rsid w:val="00A7232A"/>
    <w:rsid w:val="00A73DCF"/>
    <w:rsid w:val="00A756C5"/>
    <w:rsid w:val="00A806EF"/>
    <w:rsid w:val="00A81029"/>
    <w:rsid w:val="00A811A1"/>
    <w:rsid w:val="00A82B18"/>
    <w:rsid w:val="00A82B32"/>
    <w:rsid w:val="00A83F34"/>
    <w:rsid w:val="00A84065"/>
    <w:rsid w:val="00A870FE"/>
    <w:rsid w:val="00A8778C"/>
    <w:rsid w:val="00A87AE4"/>
    <w:rsid w:val="00A94F58"/>
    <w:rsid w:val="00A95463"/>
    <w:rsid w:val="00A95BE6"/>
    <w:rsid w:val="00A96489"/>
    <w:rsid w:val="00A9724E"/>
    <w:rsid w:val="00AA0280"/>
    <w:rsid w:val="00AA10F3"/>
    <w:rsid w:val="00AA1F9F"/>
    <w:rsid w:val="00AA25C7"/>
    <w:rsid w:val="00AA5DA1"/>
    <w:rsid w:val="00AA7BE3"/>
    <w:rsid w:val="00AA7DD9"/>
    <w:rsid w:val="00AB1B65"/>
    <w:rsid w:val="00AB1DFA"/>
    <w:rsid w:val="00AB2425"/>
    <w:rsid w:val="00AB26E0"/>
    <w:rsid w:val="00AB2788"/>
    <w:rsid w:val="00AB4B8F"/>
    <w:rsid w:val="00AB685C"/>
    <w:rsid w:val="00AB6C2D"/>
    <w:rsid w:val="00AB6F87"/>
    <w:rsid w:val="00AC08F7"/>
    <w:rsid w:val="00AC3839"/>
    <w:rsid w:val="00AC5B33"/>
    <w:rsid w:val="00AC5EE2"/>
    <w:rsid w:val="00AC7082"/>
    <w:rsid w:val="00AD096C"/>
    <w:rsid w:val="00AD0B5D"/>
    <w:rsid w:val="00AD2D15"/>
    <w:rsid w:val="00AD4BE8"/>
    <w:rsid w:val="00AD5190"/>
    <w:rsid w:val="00AE0BEC"/>
    <w:rsid w:val="00AE19F2"/>
    <w:rsid w:val="00AE5078"/>
    <w:rsid w:val="00AE564F"/>
    <w:rsid w:val="00AE64F6"/>
    <w:rsid w:val="00AE6AED"/>
    <w:rsid w:val="00AF0370"/>
    <w:rsid w:val="00AF03E2"/>
    <w:rsid w:val="00AF228E"/>
    <w:rsid w:val="00AF37CB"/>
    <w:rsid w:val="00AF3FC7"/>
    <w:rsid w:val="00AF53EB"/>
    <w:rsid w:val="00AF6126"/>
    <w:rsid w:val="00AF71CB"/>
    <w:rsid w:val="00AF74D8"/>
    <w:rsid w:val="00AF7C01"/>
    <w:rsid w:val="00AF7C12"/>
    <w:rsid w:val="00B016A8"/>
    <w:rsid w:val="00B01E81"/>
    <w:rsid w:val="00B03233"/>
    <w:rsid w:val="00B0375D"/>
    <w:rsid w:val="00B07293"/>
    <w:rsid w:val="00B07950"/>
    <w:rsid w:val="00B07E9F"/>
    <w:rsid w:val="00B10961"/>
    <w:rsid w:val="00B127DD"/>
    <w:rsid w:val="00B12BCD"/>
    <w:rsid w:val="00B1355B"/>
    <w:rsid w:val="00B136BD"/>
    <w:rsid w:val="00B13C98"/>
    <w:rsid w:val="00B14819"/>
    <w:rsid w:val="00B15E2F"/>
    <w:rsid w:val="00B16D4B"/>
    <w:rsid w:val="00B17AA9"/>
    <w:rsid w:val="00B22D35"/>
    <w:rsid w:val="00B23CED"/>
    <w:rsid w:val="00B2483D"/>
    <w:rsid w:val="00B24DB9"/>
    <w:rsid w:val="00B24E76"/>
    <w:rsid w:val="00B25627"/>
    <w:rsid w:val="00B27E6E"/>
    <w:rsid w:val="00B316F2"/>
    <w:rsid w:val="00B32418"/>
    <w:rsid w:val="00B34EB6"/>
    <w:rsid w:val="00B367EB"/>
    <w:rsid w:val="00B37102"/>
    <w:rsid w:val="00B404BA"/>
    <w:rsid w:val="00B422BE"/>
    <w:rsid w:val="00B4296F"/>
    <w:rsid w:val="00B42FE3"/>
    <w:rsid w:val="00B4411A"/>
    <w:rsid w:val="00B44713"/>
    <w:rsid w:val="00B4557D"/>
    <w:rsid w:val="00B47B61"/>
    <w:rsid w:val="00B502DB"/>
    <w:rsid w:val="00B515BB"/>
    <w:rsid w:val="00B51DAB"/>
    <w:rsid w:val="00B52F99"/>
    <w:rsid w:val="00B53ADF"/>
    <w:rsid w:val="00B5429C"/>
    <w:rsid w:val="00B56103"/>
    <w:rsid w:val="00B56642"/>
    <w:rsid w:val="00B56F88"/>
    <w:rsid w:val="00B57353"/>
    <w:rsid w:val="00B57A31"/>
    <w:rsid w:val="00B6127A"/>
    <w:rsid w:val="00B64929"/>
    <w:rsid w:val="00B64BE5"/>
    <w:rsid w:val="00B70A52"/>
    <w:rsid w:val="00B70FFA"/>
    <w:rsid w:val="00B72502"/>
    <w:rsid w:val="00B72B81"/>
    <w:rsid w:val="00B73107"/>
    <w:rsid w:val="00B73480"/>
    <w:rsid w:val="00B736DF"/>
    <w:rsid w:val="00B743D6"/>
    <w:rsid w:val="00B74FBD"/>
    <w:rsid w:val="00B77A1A"/>
    <w:rsid w:val="00B77B19"/>
    <w:rsid w:val="00B77F46"/>
    <w:rsid w:val="00B82586"/>
    <w:rsid w:val="00B829A3"/>
    <w:rsid w:val="00B83BDE"/>
    <w:rsid w:val="00B85B52"/>
    <w:rsid w:val="00B85B86"/>
    <w:rsid w:val="00B86044"/>
    <w:rsid w:val="00B8662A"/>
    <w:rsid w:val="00B86AD4"/>
    <w:rsid w:val="00B86C2A"/>
    <w:rsid w:val="00B86DB1"/>
    <w:rsid w:val="00B87030"/>
    <w:rsid w:val="00B871D1"/>
    <w:rsid w:val="00B875E4"/>
    <w:rsid w:val="00B87869"/>
    <w:rsid w:val="00B87ED7"/>
    <w:rsid w:val="00B90AAF"/>
    <w:rsid w:val="00B91DC7"/>
    <w:rsid w:val="00B92485"/>
    <w:rsid w:val="00B9639B"/>
    <w:rsid w:val="00BA2FDC"/>
    <w:rsid w:val="00BA31C6"/>
    <w:rsid w:val="00BA3932"/>
    <w:rsid w:val="00BA39D9"/>
    <w:rsid w:val="00BA603D"/>
    <w:rsid w:val="00BA79DA"/>
    <w:rsid w:val="00BB0F2B"/>
    <w:rsid w:val="00BB3DDF"/>
    <w:rsid w:val="00BB3E3B"/>
    <w:rsid w:val="00BB7109"/>
    <w:rsid w:val="00BB7CBB"/>
    <w:rsid w:val="00BC4D5F"/>
    <w:rsid w:val="00BC57F5"/>
    <w:rsid w:val="00BC5B7A"/>
    <w:rsid w:val="00BC5E97"/>
    <w:rsid w:val="00BC63D9"/>
    <w:rsid w:val="00BD0767"/>
    <w:rsid w:val="00BD1637"/>
    <w:rsid w:val="00BD1AEB"/>
    <w:rsid w:val="00BD460E"/>
    <w:rsid w:val="00BD4799"/>
    <w:rsid w:val="00BD4A58"/>
    <w:rsid w:val="00BD5E0D"/>
    <w:rsid w:val="00BD7337"/>
    <w:rsid w:val="00BE08AF"/>
    <w:rsid w:val="00BE15B6"/>
    <w:rsid w:val="00BE1FC1"/>
    <w:rsid w:val="00BE4FF3"/>
    <w:rsid w:val="00BF50F7"/>
    <w:rsid w:val="00BF5B58"/>
    <w:rsid w:val="00BF66E3"/>
    <w:rsid w:val="00BF7E83"/>
    <w:rsid w:val="00C00775"/>
    <w:rsid w:val="00C0164A"/>
    <w:rsid w:val="00C024D3"/>
    <w:rsid w:val="00C02F29"/>
    <w:rsid w:val="00C04365"/>
    <w:rsid w:val="00C05A9F"/>
    <w:rsid w:val="00C06815"/>
    <w:rsid w:val="00C068AB"/>
    <w:rsid w:val="00C1039B"/>
    <w:rsid w:val="00C14547"/>
    <w:rsid w:val="00C14567"/>
    <w:rsid w:val="00C16C2F"/>
    <w:rsid w:val="00C17269"/>
    <w:rsid w:val="00C20839"/>
    <w:rsid w:val="00C20AFE"/>
    <w:rsid w:val="00C21215"/>
    <w:rsid w:val="00C22A25"/>
    <w:rsid w:val="00C303D1"/>
    <w:rsid w:val="00C31830"/>
    <w:rsid w:val="00C328AE"/>
    <w:rsid w:val="00C33776"/>
    <w:rsid w:val="00C3401F"/>
    <w:rsid w:val="00C35671"/>
    <w:rsid w:val="00C35971"/>
    <w:rsid w:val="00C35B77"/>
    <w:rsid w:val="00C362AA"/>
    <w:rsid w:val="00C376EB"/>
    <w:rsid w:val="00C4295D"/>
    <w:rsid w:val="00C42A49"/>
    <w:rsid w:val="00C42E00"/>
    <w:rsid w:val="00C45186"/>
    <w:rsid w:val="00C452BC"/>
    <w:rsid w:val="00C46A92"/>
    <w:rsid w:val="00C46EC1"/>
    <w:rsid w:val="00C471E8"/>
    <w:rsid w:val="00C473F6"/>
    <w:rsid w:val="00C50031"/>
    <w:rsid w:val="00C518F9"/>
    <w:rsid w:val="00C51EA5"/>
    <w:rsid w:val="00C52796"/>
    <w:rsid w:val="00C52977"/>
    <w:rsid w:val="00C534F7"/>
    <w:rsid w:val="00C53E2C"/>
    <w:rsid w:val="00C54928"/>
    <w:rsid w:val="00C550C8"/>
    <w:rsid w:val="00C56B61"/>
    <w:rsid w:val="00C56FD5"/>
    <w:rsid w:val="00C57451"/>
    <w:rsid w:val="00C606C3"/>
    <w:rsid w:val="00C61E21"/>
    <w:rsid w:val="00C620F4"/>
    <w:rsid w:val="00C64B79"/>
    <w:rsid w:val="00C651D6"/>
    <w:rsid w:val="00C66CF8"/>
    <w:rsid w:val="00C67099"/>
    <w:rsid w:val="00C72848"/>
    <w:rsid w:val="00C7736C"/>
    <w:rsid w:val="00C773A1"/>
    <w:rsid w:val="00C80D1C"/>
    <w:rsid w:val="00C82D87"/>
    <w:rsid w:val="00C84210"/>
    <w:rsid w:val="00C8712A"/>
    <w:rsid w:val="00C87D0D"/>
    <w:rsid w:val="00C87E0A"/>
    <w:rsid w:val="00C902C8"/>
    <w:rsid w:val="00C908DE"/>
    <w:rsid w:val="00C90B24"/>
    <w:rsid w:val="00C919D1"/>
    <w:rsid w:val="00C91A46"/>
    <w:rsid w:val="00C95C52"/>
    <w:rsid w:val="00C963D3"/>
    <w:rsid w:val="00CA16F7"/>
    <w:rsid w:val="00CA483B"/>
    <w:rsid w:val="00CA5866"/>
    <w:rsid w:val="00CA5A4A"/>
    <w:rsid w:val="00CB07FD"/>
    <w:rsid w:val="00CB1983"/>
    <w:rsid w:val="00CB2CBB"/>
    <w:rsid w:val="00CB50EF"/>
    <w:rsid w:val="00CB6578"/>
    <w:rsid w:val="00CB718C"/>
    <w:rsid w:val="00CB7CAC"/>
    <w:rsid w:val="00CC4818"/>
    <w:rsid w:val="00CC5335"/>
    <w:rsid w:val="00CC5BA4"/>
    <w:rsid w:val="00CC5E85"/>
    <w:rsid w:val="00CD0B20"/>
    <w:rsid w:val="00CD22A2"/>
    <w:rsid w:val="00CD4998"/>
    <w:rsid w:val="00CD6278"/>
    <w:rsid w:val="00CD635E"/>
    <w:rsid w:val="00CD6C37"/>
    <w:rsid w:val="00CD70D5"/>
    <w:rsid w:val="00CE0ECD"/>
    <w:rsid w:val="00CE1035"/>
    <w:rsid w:val="00CE199A"/>
    <w:rsid w:val="00CE66CA"/>
    <w:rsid w:val="00CE6E50"/>
    <w:rsid w:val="00CF1A17"/>
    <w:rsid w:val="00CF2819"/>
    <w:rsid w:val="00CF46B8"/>
    <w:rsid w:val="00CF4F9D"/>
    <w:rsid w:val="00CF689C"/>
    <w:rsid w:val="00CF70DC"/>
    <w:rsid w:val="00D0044F"/>
    <w:rsid w:val="00D02218"/>
    <w:rsid w:val="00D041E0"/>
    <w:rsid w:val="00D04AFE"/>
    <w:rsid w:val="00D06A30"/>
    <w:rsid w:val="00D1014D"/>
    <w:rsid w:val="00D14135"/>
    <w:rsid w:val="00D14336"/>
    <w:rsid w:val="00D148DC"/>
    <w:rsid w:val="00D15F2E"/>
    <w:rsid w:val="00D16514"/>
    <w:rsid w:val="00D16A9E"/>
    <w:rsid w:val="00D17184"/>
    <w:rsid w:val="00D17E57"/>
    <w:rsid w:val="00D17FDC"/>
    <w:rsid w:val="00D21021"/>
    <w:rsid w:val="00D21D8C"/>
    <w:rsid w:val="00D22BA6"/>
    <w:rsid w:val="00D234DE"/>
    <w:rsid w:val="00D260C1"/>
    <w:rsid w:val="00D26B33"/>
    <w:rsid w:val="00D275D3"/>
    <w:rsid w:val="00D27A1D"/>
    <w:rsid w:val="00D27DA5"/>
    <w:rsid w:val="00D316F2"/>
    <w:rsid w:val="00D32320"/>
    <w:rsid w:val="00D33884"/>
    <w:rsid w:val="00D33C24"/>
    <w:rsid w:val="00D3434E"/>
    <w:rsid w:val="00D34584"/>
    <w:rsid w:val="00D35C8A"/>
    <w:rsid w:val="00D414D9"/>
    <w:rsid w:val="00D51294"/>
    <w:rsid w:val="00D53719"/>
    <w:rsid w:val="00D54FB2"/>
    <w:rsid w:val="00D55CB4"/>
    <w:rsid w:val="00D56D3A"/>
    <w:rsid w:val="00D61CC1"/>
    <w:rsid w:val="00D63EFD"/>
    <w:rsid w:val="00D64470"/>
    <w:rsid w:val="00D66AB1"/>
    <w:rsid w:val="00D67AF5"/>
    <w:rsid w:val="00D74A76"/>
    <w:rsid w:val="00D81B48"/>
    <w:rsid w:val="00D834B9"/>
    <w:rsid w:val="00D83C39"/>
    <w:rsid w:val="00D84752"/>
    <w:rsid w:val="00D86B3B"/>
    <w:rsid w:val="00D8748A"/>
    <w:rsid w:val="00D90ECB"/>
    <w:rsid w:val="00D9126A"/>
    <w:rsid w:val="00D91B6E"/>
    <w:rsid w:val="00D93196"/>
    <w:rsid w:val="00D9565D"/>
    <w:rsid w:val="00DA0DC0"/>
    <w:rsid w:val="00DA1D45"/>
    <w:rsid w:val="00DA2280"/>
    <w:rsid w:val="00DA2857"/>
    <w:rsid w:val="00DA2BF3"/>
    <w:rsid w:val="00DA7AB8"/>
    <w:rsid w:val="00DB159B"/>
    <w:rsid w:val="00DB243C"/>
    <w:rsid w:val="00DB4354"/>
    <w:rsid w:val="00DB482A"/>
    <w:rsid w:val="00DB4899"/>
    <w:rsid w:val="00DB50FB"/>
    <w:rsid w:val="00DB56F2"/>
    <w:rsid w:val="00DB6379"/>
    <w:rsid w:val="00DB6EF5"/>
    <w:rsid w:val="00DC00EF"/>
    <w:rsid w:val="00DC1831"/>
    <w:rsid w:val="00DC1FE7"/>
    <w:rsid w:val="00DC3089"/>
    <w:rsid w:val="00DC359F"/>
    <w:rsid w:val="00DC4420"/>
    <w:rsid w:val="00DC5FE5"/>
    <w:rsid w:val="00DC64D2"/>
    <w:rsid w:val="00DC68FB"/>
    <w:rsid w:val="00DC7074"/>
    <w:rsid w:val="00DD0802"/>
    <w:rsid w:val="00DD1E50"/>
    <w:rsid w:val="00DD2E11"/>
    <w:rsid w:val="00DD49E7"/>
    <w:rsid w:val="00DD6B7A"/>
    <w:rsid w:val="00DE03AF"/>
    <w:rsid w:val="00DE121C"/>
    <w:rsid w:val="00DE1CCE"/>
    <w:rsid w:val="00DE27E5"/>
    <w:rsid w:val="00DE2CE6"/>
    <w:rsid w:val="00DE3970"/>
    <w:rsid w:val="00DE3C18"/>
    <w:rsid w:val="00DE464B"/>
    <w:rsid w:val="00DE4A44"/>
    <w:rsid w:val="00DE5357"/>
    <w:rsid w:val="00DE54A7"/>
    <w:rsid w:val="00DE6633"/>
    <w:rsid w:val="00DE7E9B"/>
    <w:rsid w:val="00DF12B5"/>
    <w:rsid w:val="00DF158F"/>
    <w:rsid w:val="00DF1EDC"/>
    <w:rsid w:val="00DF4D45"/>
    <w:rsid w:val="00DF742D"/>
    <w:rsid w:val="00DF75F8"/>
    <w:rsid w:val="00DF7A3A"/>
    <w:rsid w:val="00E00C00"/>
    <w:rsid w:val="00E00D8B"/>
    <w:rsid w:val="00E01803"/>
    <w:rsid w:val="00E02836"/>
    <w:rsid w:val="00E03A4C"/>
    <w:rsid w:val="00E06588"/>
    <w:rsid w:val="00E07C5A"/>
    <w:rsid w:val="00E13648"/>
    <w:rsid w:val="00E15BA9"/>
    <w:rsid w:val="00E1674B"/>
    <w:rsid w:val="00E20226"/>
    <w:rsid w:val="00E20D41"/>
    <w:rsid w:val="00E22071"/>
    <w:rsid w:val="00E22DE4"/>
    <w:rsid w:val="00E2554C"/>
    <w:rsid w:val="00E26E10"/>
    <w:rsid w:val="00E26E19"/>
    <w:rsid w:val="00E30E60"/>
    <w:rsid w:val="00E31DF3"/>
    <w:rsid w:val="00E31E4F"/>
    <w:rsid w:val="00E32160"/>
    <w:rsid w:val="00E33A5F"/>
    <w:rsid w:val="00E363DD"/>
    <w:rsid w:val="00E36CE0"/>
    <w:rsid w:val="00E41578"/>
    <w:rsid w:val="00E419D1"/>
    <w:rsid w:val="00E421C6"/>
    <w:rsid w:val="00E42B79"/>
    <w:rsid w:val="00E450A4"/>
    <w:rsid w:val="00E470AC"/>
    <w:rsid w:val="00E50394"/>
    <w:rsid w:val="00E506BE"/>
    <w:rsid w:val="00E544E2"/>
    <w:rsid w:val="00E55547"/>
    <w:rsid w:val="00E55918"/>
    <w:rsid w:val="00E57A1C"/>
    <w:rsid w:val="00E57C44"/>
    <w:rsid w:val="00E6302B"/>
    <w:rsid w:val="00E6452F"/>
    <w:rsid w:val="00E64F45"/>
    <w:rsid w:val="00E65EEF"/>
    <w:rsid w:val="00E6742D"/>
    <w:rsid w:val="00E70003"/>
    <w:rsid w:val="00E70690"/>
    <w:rsid w:val="00E71CB0"/>
    <w:rsid w:val="00E72063"/>
    <w:rsid w:val="00E724DE"/>
    <w:rsid w:val="00E72812"/>
    <w:rsid w:val="00E734DC"/>
    <w:rsid w:val="00E74440"/>
    <w:rsid w:val="00E74E77"/>
    <w:rsid w:val="00E75BCA"/>
    <w:rsid w:val="00E76077"/>
    <w:rsid w:val="00E76D7E"/>
    <w:rsid w:val="00E77C3D"/>
    <w:rsid w:val="00E83AB4"/>
    <w:rsid w:val="00E84C31"/>
    <w:rsid w:val="00E8594B"/>
    <w:rsid w:val="00E90991"/>
    <w:rsid w:val="00E909F0"/>
    <w:rsid w:val="00E90D47"/>
    <w:rsid w:val="00E91098"/>
    <w:rsid w:val="00E93993"/>
    <w:rsid w:val="00E93E10"/>
    <w:rsid w:val="00E95726"/>
    <w:rsid w:val="00E9597C"/>
    <w:rsid w:val="00E976B8"/>
    <w:rsid w:val="00E977E4"/>
    <w:rsid w:val="00EA0913"/>
    <w:rsid w:val="00EA35EA"/>
    <w:rsid w:val="00EA3E82"/>
    <w:rsid w:val="00EA435F"/>
    <w:rsid w:val="00EA439E"/>
    <w:rsid w:val="00EA5B00"/>
    <w:rsid w:val="00EA5B9D"/>
    <w:rsid w:val="00EA78AC"/>
    <w:rsid w:val="00EB146B"/>
    <w:rsid w:val="00EB45AC"/>
    <w:rsid w:val="00EB4FBC"/>
    <w:rsid w:val="00EB52CF"/>
    <w:rsid w:val="00EC256B"/>
    <w:rsid w:val="00EC441F"/>
    <w:rsid w:val="00EC4755"/>
    <w:rsid w:val="00EC4D20"/>
    <w:rsid w:val="00ED0BC4"/>
    <w:rsid w:val="00ED220D"/>
    <w:rsid w:val="00ED2DE8"/>
    <w:rsid w:val="00ED2ED3"/>
    <w:rsid w:val="00ED447D"/>
    <w:rsid w:val="00ED49F8"/>
    <w:rsid w:val="00ED738F"/>
    <w:rsid w:val="00ED74BC"/>
    <w:rsid w:val="00EE0995"/>
    <w:rsid w:val="00EE0DE6"/>
    <w:rsid w:val="00EE13E6"/>
    <w:rsid w:val="00EE1EB0"/>
    <w:rsid w:val="00EE4971"/>
    <w:rsid w:val="00EE5A4D"/>
    <w:rsid w:val="00EF090E"/>
    <w:rsid w:val="00EF1760"/>
    <w:rsid w:val="00EF39C6"/>
    <w:rsid w:val="00EF4353"/>
    <w:rsid w:val="00EF54B2"/>
    <w:rsid w:val="00EF5572"/>
    <w:rsid w:val="00EF6155"/>
    <w:rsid w:val="00EF64CE"/>
    <w:rsid w:val="00F03051"/>
    <w:rsid w:val="00F03060"/>
    <w:rsid w:val="00F033DA"/>
    <w:rsid w:val="00F06403"/>
    <w:rsid w:val="00F06503"/>
    <w:rsid w:val="00F10516"/>
    <w:rsid w:val="00F13691"/>
    <w:rsid w:val="00F1375F"/>
    <w:rsid w:val="00F13FB1"/>
    <w:rsid w:val="00F15091"/>
    <w:rsid w:val="00F158AA"/>
    <w:rsid w:val="00F16A2B"/>
    <w:rsid w:val="00F2252D"/>
    <w:rsid w:val="00F247F0"/>
    <w:rsid w:val="00F27CD8"/>
    <w:rsid w:val="00F30351"/>
    <w:rsid w:val="00F310D1"/>
    <w:rsid w:val="00F3219B"/>
    <w:rsid w:val="00F3323E"/>
    <w:rsid w:val="00F341F4"/>
    <w:rsid w:val="00F34F9D"/>
    <w:rsid w:val="00F35CCE"/>
    <w:rsid w:val="00F5524B"/>
    <w:rsid w:val="00F56818"/>
    <w:rsid w:val="00F60538"/>
    <w:rsid w:val="00F616BB"/>
    <w:rsid w:val="00F61833"/>
    <w:rsid w:val="00F61DD2"/>
    <w:rsid w:val="00F63308"/>
    <w:rsid w:val="00F63678"/>
    <w:rsid w:val="00F64745"/>
    <w:rsid w:val="00F66AFF"/>
    <w:rsid w:val="00F71433"/>
    <w:rsid w:val="00F71BA4"/>
    <w:rsid w:val="00F7227A"/>
    <w:rsid w:val="00F73A46"/>
    <w:rsid w:val="00F73CD5"/>
    <w:rsid w:val="00F744D6"/>
    <w:rsid w:val="00F77858"/>
    <w:rsid w:val="00F77DC2"/>
    <w:rsid w:val="00F83CA5"/>
    <w:rsid w:val="00F84270"/>
    <w:rsid w:val="00F9014B"/>
    <w:rsid w:val="00F903F8"/>
    <w:rsid w:val="00F92140"/>
    <w:rsid w:val="00F93424"/>
    <w:rsid w:val="00F97C5B"/>
    <w:rsid w:val="00FA3D50"/>
    <w:rsid w:val="00FA4440"/>
    <w:rsid w:val="00FA49CD"/>
    <w:rsid w:val="00FA5058"/>
    <w:rsid w:val="00FB21EE"/>
    <w:rsid w:val="00FB2968"/>
    <w:rsid w:val="00FB4CA3"/>
    <w:rsid w:val="00FB5411"/>
    <w:rsid w:val="00FB7FBD"/>
    <w:rsid w:val="00FC044E"/>
    <w:rsid w:val="00FC374A"/>
    <w:rsid w:val="00FC43EC"/>
    <w:rsid w:val="00FC7A1B"/>
    <w:rsid w:val="00FC7AC7"/>
    <w:rsid w:val="00FC7B47"/>
    <w:rsid w:val="00FD035C"/>
    <w:rsid w:val="00FD1A35"/>
    <w:rsid w:val="00FD2EA4"/>
    <w:rsid w:val="00FD36C5"/>
    <w:rsid w:val="00FD4C7E"/>
    <w:rsid w:val="00FD6310"/>
    <w:rsid w:val="00FD7C7B"/>
    <w:rsid w:val="00FE0A8D"/>
    <w:rsid w:val="00FE1D12"/>
    <w:rsid w:val="00FE2122"/>
    <w:rsid w:val="00FE2A86"/>
    <w:rsid w:val="00FE2DE2"/>
    <w:rsid w:val="00FE45A4"/>
    <w:rsid w:val="00FE5225"/>
    <w:rsid w:val="00FE589F"/>
    <w:rsid w:val="00FE5AA0"/>
    <w:rsid w:val="00FE5DB8"/>
    <w:rsid w:val="00FE5E40"/>
    <w:rsid w:val="00FF098F"/>
    <w:rsid w:val="00FF14FD"/>
    <w:rsid w:val="00FF296F"/>
    <w:rsid w:val="00FF4F51"/>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
    <w:basedOn w:val="a"/>
    <w:link w:val="Char"/>
    <w:uiPriority w:val="99"/>
    <w:unhideWhenUsed/>
    <w:rsid w:val="00241B44"/>
    <w:rPr>
      <w:szCs w:val="20"/>
    </w:rPr>
  </w:style>
  <w:style w:type="character" w:customStyle="1" w:styleId="Char">
    <w:name w:val="Κείμενο υποσημείωσης Char"/>
    <w:aliases w:val="fn Char,Fußnotentext Char Char Char Char Char,Fußnotentext Char Char Char Char Char Char Char,Fußnotentext Char Char Char Char Char Char Char Char Char,Fußnotentextf Char,footnotes Char,Footnote Text Char2 Char Char,ft Char"/>
    <w:basedOn w:val="a0"/>
    <w:link w:val="a4"/>
    <w:uiPriority w:val="99"/>
    <w:rsid w:val="00241B44"/>
    <w:rPr>
      <w:sz w:val="20"/>
      <w:szCs w:val="20"/>
    </w:rPr>
  </w:style>
  <w:style w:type="character" w:styleId="a5">
    <w:name w:val="footnote reference"/>
    <w:aliases w:val="fr,Footnote Refernece,BVI fnr,callout,16 Point,Superscript 6 Point,Footnote Reference Superscript,Ref,de nota al pie,-E Fußnotenzeichen,number,SUPERS,EN Footnote Reference,-E Fuﬂnotenzeichen,-E Fuûnotenzeichen,Footnote numbe"/>
    <w:basedOn w:val="a0"/>
    <w:uiPriority w:val="99"/>
    <w:unhideWhenUsed/>
    <w:qFormat/>
    <w:rsid w:val="00241B44"/>
    <w:rPr>
      <w:vertAlign w:val="superscript"/>
    </w:rPr>
  </w:style>
  <w:style w:type="character" w:styleId="-">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6">
    <w:name w:val="annotation reference"/>
    <w:basedOn w:val="a0"/>
    <w:uiPriority w:val="99"/>
    <w:semiHidden/>
    <w:unhideWhenUsed/>
    <w:rsid w:val="008B5333"/>
    <w:rPr>
      <w:sz w:val="16"/>
      <w:szCs w:val="16"/>
    </w:rPr>
  </w:style>
  <w:style w:type="paragraph" w:styleId="a7">
    <w:name w:val="annotation text"/>
    <w:basedOn w:val="a"/>
    <w:link w:val="Char0"/>
    <w:uiPriority w:val="99"/>
    <w:semiHidden/>
    <w:unhideWhenUsed/>
    <w:rsid w:val="008B5333"/>
    <w:rPr>
      <w:szCs w:val="20"/>
    </w:rPr>
  </w:style>
  <w:style w:type="character" w:customStyle="1" w:styleId="Char0">
    <w:name w:val="Κείμενο σχολίου Char"/>
    <w:basedOn w:val="a0"/>
    <w:link w:val="a7"/>
    <w:uiPriority w:val="99"/>
    <w:semiHidden/>
    <w:rsid w:val="008B5333"/>
    <w:rPr>
      <w:rFonts w:eastAsia="Times New Roman"/>
      <w:sz w:val="20"/>
      <w:szCs w:val="20"/>
    </w:rPr>
  </w:style>
  <w:style w:type="paragraph" w:styleId="a8">
    <w:name w:val="annotation subject"/>
    <w:basedOn w:val="a7"/>
    <w:next w:val="a7"/>
    <w:link w:val="Char1"/>
    <w:uiPriority w:val="99"/>
    <w:semiHidden/>
    <w:unhideWhenUsed/>
    <w:rsid w:val="008B5333"/>
    <w:rPr>
      <w:b/>
      <w:bCs/>
    </w:rPr>
  </w:style>
  <w:style w:type="character" w:customStyle="1" w:styleId="Char1">
    <w:name w:val="Θέμα σχολίου Char"/>
    <w:basedOn w:val="Char0"/>
    <w:link w:val="a8"/>
    <w:uiPriority w:val="99"/>
    <w:semiHidden/>
    <w:rsid w:val="008B5333"/>
    <w:rPr>
      <w:rFonts w:eastAsia="Times New Roman"/>
      <w:b/>
      <w:bCs/>
      <w:sz w:val="20"/>
      <w:szCs w:val="20"/>
    </w:rPr>
  </w:style>
  <w:style w:type="paragraph" w:styleId="a9">
    <w:name w:val="Balloon Text"/>
    <w:basedOn w:val="a"/>
    <w:link w:val="Char2"/>
    <w:uiPriority w:val="99"/>
    <w:semiHidden/>
    <w:unhideWhenUsed/>
    <w:rsid w:val="008B5333"/>
    <w:rPr>
      <w:rFonts w:ascii="Tahoma" w:hAnsi="Tahoma" w:cs="Tahoma"/>
      <w:sz w:val="16"/>
      <w:szCs w:val="16"/>
    </w:rPr>
  </w:style>
  <w:style w:type="character" w:customStyle="1" w:styleId="Char2">
    <w:name w:val="Κείμενο πλαισίου Char"/>
    <w:basedOn w:val="a0"/>
    <w:link w:val="a9"/>
    <w:uiPriority w:val="99"/>
    <w:semiHidden/>
    <w:rsid w:val="008B5333"/>
    <w:rPr>
      <w:rFonts w:ascii="Tahoma" w:eastAsia="Times New Roman" w:hAnsi="Tahoma" w:cs="Tahoma"/>
      <w:sz w:val="16"/>
      <w:szCs w:val="16"/>
    </w:rPr>
  </w:style>
  <w:style w:type="paragraph" w:styleId="aa">
    <w:name w:val="footer"/>
    <w:basedOn w:val="a"/>
    <w:link w:val="Char3"/>
    <w:uiPriority w:val="99"/>
    <w:unhideWhenUsed/>
    <w:rsid w:val="00FC7B47"/>
    <w:pPr>
      <w:tabs>
        <w:tab w:val="center" w:pos="4513"/>
        <w:tab w:val="right" w:pos="9026"/>
      </w:tabs>
    </w:pPr>
  </w:style>
  <w:style w:type="character" w:customStyle="1" w:styleId="Char3">
    <w:name w:val="Υποσέλιδο Char"/>
    <w:basedOn w:val="a0"/>
    <w:link w:val="aa"/>
    <w:uiPriority w:val="99"/>
    <w:rsid w:val="00FC7B47"/>
    <w:rPr>
      <w:rFonts w:eastAsia="Times New Roman"/>
      <w:sz w:val="20"/>
    </w:rPr>
  </w:style>
  <w:style w:type="character" w:styleId="ab">
    <w:name w:val="page number"/>
    <w:basedOn w:val="a0"/>
    <w:uiPriority w:val="99"/>
    <w:semiHidden/>
    <w:unhideWhenUsed/>
    <w:rsid w:val="00FC7B47"/>
  </w:style>
  <w:style w:type="paragraph" w:styleId="ac">
    <w:name w:val="header"/>
    <w:basedOn w:val="a"/>
    <w:link w:val="Char4"/>
    <w:uiPriority w:val="99"/>
    <w:unhideWhenUsed/>
    <w:rsid w:val="00FC7B47"/>
    <w:pPr>
      <w:tabs>
        <w:tab w:val="center" w:pos="4513"/>
        <w:tab w:val="right" w:pos="9026"/>
      </w:tabs>
    </w:pPr>
  </w:style>
  <w:style w:type="character" w:customStyle="1" w:styleId="Char4">
    <w:name w:val="Κεφαλίδα Char"/>
    <w:basedOn w:val="a0"/>
    <w:link w:val="ac"/>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0">
    <w:name w:val="FollowedHyperlink"/>
    <w:basedOn w:val="a0"/>
    <w:uiPriority w:val="99"/>
    <w:semiHidden/>
    <w:unhideWhenUsed/>
    <w:rsid w:val="00E6452F"/>
    <w:rPr>
      <w:color w:val="954F72" w:themeColor="followedHyperlink"/>
      <w:u w:val="single"/>
    </w:rPr>
  </w:style>
  <w:style w:type="character" w:styleId="ad">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a"/>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2609">
      <w:bodyDiv w:val="1"/>
      <w:marLeft w:val="0"/>
      <w:marRight w:val="0"/>
      <w:marTop w:val="0"/>
      <w:marBottom w:val="0"/>
      <w:divBdr>
        <w:top w:val="none" w:sz="0" w:space="0" w:color="auto"/>
        <w:left w:val="none" w:sz="0" w:space="0" w:color="auto"/>
        <w:bottom w:val="none" w:sz="0" w:space="0" w:color="auto"/>
        <w:right w:val="none" w:sz="0" w:space="0" w:color="auto"/>
      </w:divBdr>
      <w:divsChild>
        <w:div w:id="705255240">
          <w:marLeft w:val="240"/>
          <w:marRight w:val="0"/>
          <w:marTop w:val="60"/>
          <w:marBottom w:val="60"/>
          <w:divBdr>
            <w:top w:val="none" w:sz="0" w:space="0" w:color="auto"/>
            <w:left w:val="none" w:sz="0" w:space="0" w:color="auto"/>
            <w:bottom w:val="none" w:sz="0" w:space="0" w:color="auto"/>
            <w:right w:val="none" w:sz="0" w:space="0" w:color="auto"/>
          </w:divBdr>
          <w:divsChild>
            <w:div w:id="2027557497">
              <w:marLeft w:val="0"/>
              <w:marRight w:val="0"/>
              <w:marTop w:val="0"/>
              <w:marBottom w:val="0"/>
              <w:divBdr>
                <w:top w:val="none" w:sz="0" w:space="0" w:color="auto"/>
                <w:left w:val="none" w:sz="0" w:space="0" w:color="auto"/>
                <w:bottom w:val="none" w:sz="0" w:space="0" w:color="auto"/>
                <w:right w:val="none" w:sz="0" w:space="0" w:color="auto"/>
              </w:divBdr>
            </w:div>
          </w:divsChild>
        </w:div>
        <w:div w:id="521086893">
          <w:marLeft w:val="240"/>
          <w:marRight w:val="0"/>
          <w:marTop w:val="60"/>
          <w:marBottom w:val="60"/>
          <w:divBdr>
            <w:top w:val="none" w:sz="0" w:space="0" w:color="auto"/>
            <w:left w:val="none" w:sz="0" w:space="0" w:color="auto"/>
            <w:bottom w:val="none" w:sz="0" w:space="0" w:color="auto"/>
            <w:right w:val="none" w:sz="0" w:space="0" w:color="auto"/>
          </w:divBdr>
          <w:divsChild>
            <w:div w:id="2046100301">
              <w:marLeft w:val="0"/>
              <w:marRight w:val="0"/>
              <w:marTop w:val="0"/>
              <w:marBottom w:val="0"/>
              <w:divBdr>
                <w:top w:val="none" w:sz="0" w:space="0" w:color="auto"/>
                <w:left w:val="none" w:sz="0" w:space="0" w:color="auto"/>
                <w:bottom w:val="none" w:sz="0" w:space="0" w:color="auto"/>
                <w:right w:val="none" w:sz="0" w:space="0" w:color="auto"/>
              </w:divBdr>
            </w:div>
          </w:divsChild>
        </w:div>
        <w:div w:id="1678606308">
          <w:marLeft w:val="240"/>
          <w:marRight w:val="0"/>
          <w:marTop w:val="60"/>
          <w:marBottom w:val="60"/>
          <w:divBdr>
            <w:top w:val="none" w:sz="0" w:space="0" w:color="auto"/>
            <w:left w:val="none" w:sz="0" w:space="0" w:color="auto"/>
            <w:bottom w:val="none" w:sz="0" w:space="0" w:color="auto"/>
            <w:right w:val="none" w:sz="0" w:space="0" w:color="auto"/>
          </w:divBdr>
          <w:divsChild>
            <w:div w:id="7962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0667">
      <w:bodyDiv w:val="1"/>
      <w:marLeft w:val="0"/>
      <w:marRight w:val="0"/>
      <w:marTop w:val="0"/>
      <w:marBottom w:val="0"/>
      <w:divBdr>
        <w:top w:val="none" w:sz="0" w:space="0" w:color="auto"/>
        <w:left w:val="none" w:sz="0" w:space="0" w:color="auto"/>
        <w:bottom w:val="none" w:sz="0" w:space="0" w:color="auto"/>
        <w:right w:val="none" w:sz="0" w:space="0" w:color="auto"/>
      </w:divBdr>
      <w:divsChild>
        <w:div w:id="22217748">
          <w:marLeft w:val="240"/>
          <w:marRight w:val="0"/>
          <w:marTop w:val="60"/>
          <w:marBottom w:val="60"/>
          <w:divBdr>
            <w:top w:val="none" w:sz="0" w:space="0" w:color="auto"/>
            <w:left w:val="none" w:sz="0" w:space="0" w:color="auto"/>
            <w:bottom w:val="none" w:sz="0" w:space="0" w:color="auto"/>
            <w:right w:val="none" w:sz="0" w:space="0" w:color="auto"/>
          </w:divBdr>
          <w:divsChild>
            <w:div w:id="1937975566">
              <w:marLeft w:val="0"/>
              <w:marRight w:val="0"/>
              <w:marTop w:val="0"/>
              <w:marBottom w:val="0"/>
              <w:divBdr>
                <w:top w:val="none" w:sz="0" w:space="0" w:color="auto"/>
                <w:left w:val="none" w:sz="0" w:space="0" w:color="auto"/>
                <w:bottom w:val="none" w:sz="0" w:space="0" w:color="auto"/>
                <w:right w:val="none" w:sz="0" w:space="0" w:color="auto"/>
              </w:divBdr>
            </w:div>
          </w:divsChild>
        </w:div>
        <w:div w:id="784348886">
          <w:marLeft w:val="240"/>
          <w:marRight w:val="0"/>
          <w:marTop w:val="60"/>
          <w:marBottom w:val="60"/>
          <w:divBdr>
            <w:top w:val="none" w:sz="0" w:space="0" w:color="auto"/>
            <w:left w:val="none" w:sz="0" w:space="0" w:color="auto"/>
            <w:bottom w:val="none" w:sz="0" w:space="0" w:color="auto"/>
            <w:right w:val="none" w:sz="0" w:space="0" w:color="auto"/>
          </w:divBdr>
          <w:divsChild>
            <w:div w:id="2082680026">
              <w:marLeft w:val="0"/>
              <w:marRight w:val="0"/>
              <w:marTop w:val="0"/>
              <w:marBottom w:val="0"/>
              <w:divBdr>
                <w:top w:val="none" w:sz="0" w:space="0" w:color="auto"/>
                <w:left w:val="none" w:sz="0" w:space="0" w:color="auto"/>
                <w:bottom w:val="none" w:sz="0" w:space="0" w:color="auto"/>
                <w:right w:val="none" w:sz="0" w:space="0" w:color="auto"/>
              </w:divBdr>
            </w:div>
          </w:divsChild>
        </w:div>
        <w:div w:id="1378311716">
          <w:marLeft w:val="240"/>
          <w:marRight w:val="0"/>
          <w:marTop w:val="60"/>
          <w:marBottom w:val="60"/>
          <w:divBdr>
            <w:top w:val="none" w:sz="0" w:space="0" w:color="auto"/>
            <w:left w:val="none" w:sz="0" w:space="0" w:color="auto"/>
            <w:bottom w:val="none" w:sz="0" w:space="0" w:color="auto"/>
            <w:right w:val="none" w:sz="0" w:space="0" w:color="auto"/>
          </w:divBdr>
          <w:divsChild>
            <w:div w:id="1167401011">
              <w:marLeft w:val="0"/>
              <w:marRight w:val="0"/>
              <w:marTop w:val="0"/>
              <w:marBottom w:val="0"/>
              <w:divBdr>
                <w:top w:val="none" w:sz="0" w:space="0" w:color="auto"/>
                <w:left w:val="none" w:sz="0" w:space="0" w:color="auto"/>
                <w:bottom w:val="none" w:sz="0" w:space="0" w:color="auto"/>
                <w:right w:val="none" w:sz="0" w:space="0" w:color="auto"/>
              </w:divBdr>
            </w:div>
          </w:divsChild>
        </w:div>
        <w:div w:id="241984686">
          <w:marLeft w:val="240"/>
          <w:marRight w:val="0"/>
          <w:marTop w:val="60"/>
          <w:marBottom w:val="60"/>
          <w:divBdr>
            <w:top w:val="none" w:sz="0" w:space="0" w:color="auto"/>
            <w:left w:val="none" w:sz="0" w:space="0" w:color="auto"/>
            <w:bottom w:val="none" w:sz="0" w:space="0" w:color="auto"/>
            <w:right w:val="none" w:sz="0" w:space="0" w:color="auto"/>
          </w:divBdr>
          <w:divsChild>
            <w:div w:id="72175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9022</Words>
  <Characters>48725</Characters>
  <Application>Microsoft Office Word</Application>
  <DocSecurity>0</DocSecurity>
  <Lines>406</Lines>
  <Paragraphs>115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Marion Giannakou</cp:lastModifiedBy>
  <cp:revision>1078</cp:revision>
  <cp:lastPrinted>2019-08-27T05:42:00Z</cp:lastPrinted>
  <dcterms:created xsi:type="dcterms:W3CDTF">2022-07-01T09:50:00Z</dcterms:created>
  <dcterms:modified xsi:type="dcterms:W3CDTF">2023-02-27T22:55:00Z</dcterms:modified>
</cp:coreProperties>
</file>