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submit</w:t>
      </w:r>
      <w:proofErr w:type="gramEnd"/>
      <w:r w:rsidRPr="00E2622D">
        <w:rPr>
          <w:rFonts w:ascii="Avenir Next" w:hAnsi="Avenir Next" w:cs="Arial"/>
          <w:sz w:val="22"/>
          <w:szCs w:val="22"/>
          <w:lang w:val="en-GB"/>
        </w:rPr>
        <w:t xml:space="preserve">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 xml:space="preserve">Please also include the filename as </w:t>
      </w:r>
      <w:proofErr w:type="gramStart"/>
      <w:r w:rsidRPr="00E2622D">
        <w:rPr>
          <w:rFonts w:ascii="Avenir Next Demi Bold" w:hAnsi="Avenir Next Demi Bold" w:cs="Arial"/>
          <w:b/>
          <w:bCs/>
          <w:sz w:val="22"/>
          <w:szCs w:val="22"/>
          <w:lang w:val="en-GB"/>
        </w:rPr>
        <w:t>a footer</w:t>
      </w:r>
      <w:proofErr w:type="gramEnd"/>
      <w:r w:rsidRPr="00E2622D">
        <w:rPr>
          <w:rFonts w:ascii="Avenir Next Demi Bold" w:hAnsi="Avenir Next Demi Bold" w:cs="Arial"/>
          <w:b/>
          <w:bCs/>
          <w:sz w:val="22"/>
          <w:szCs w:val="22"/>
          <w:lang w:val="en-GB"/>
        </w:rPr>
        <w:t xml:space="preserve">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proofErr w:type="gramStart"/>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proofErr w:type="gramStart"/>
      <w:r w:rsidRPr="00E2622D">
        <w:rPr>
          <w:rFonts w:ascii="Avenir Next" w:hAnsi="Avenir Next" w:cs="Arial"/>
          <w:sz w:val="22"/>
          <w:szCs w:val="22"/>
          <w:lang w:val="en-GB"/>
        </w:rPr>
        <w:t>Questions 1.1.</w:t>
      </w:r>
      <w:proofErr w:type="gramEnd"/>
      <w:r w:rsidRPr="00E2622D">
        <w:rPr>
          <w:rFonts w:ascii="Avenir Next" w:hAnsi="Avenir Next" w:cs="Arial"/>
          <w:sz w:val="22"/>
          <w:szCs w:val="22"/>
          <w:lang w:val="en-GB"/>
        </w:rPr>
        <w:t xml:space="preserve">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C566AA">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6F5EF6" w:rsidRDefault="00436884" w:rsidP="00C566AA">
      <w:pPr>
        <w:pStyle w:val="ListParagraph"/>
        <w:numPr>
          <w:ilvl w:val="0"/>
          <w:numId w:val="1"/>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C566AA">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C566AA">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C566A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C566A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6F5EF6" w:rsidRDefault="00436884" w:rsidP="00C566AA">
      <w:pPr>
        <w:pStyle w:val="ListParagraph"/>
        <w:numPr>
          <w:ilvl w:val="0"/>
          <w:numId w:val="2"/>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C566AA">
      <w:pPr>
        <w:pStyle w:val="ListParagraph"/>
        <w:numPr>
          <w:ilvl w:val="0"/>
          <w:numId w:val="2"/>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Pr="006F5EF6" w:rsidRDefault="00853A74" w:rsidP="00C566AA">
      <w:pPr>
        <w:pStyle w:val="ListParagraph"/>
        <w:numPr>
          <w:ilvl w:val="0"/>
          <w:numId w:val="3"/>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C566A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C566AA">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C566A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C566A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6F5EF6" w:rsidRDefault="00436884" w:rsidP="00C566AA">
      <w:pPr>
        <w:pStyle w:val="ListParagraph"/>
        <w:numPr>
          <w:ilvl w:val="0"/>
          <w:numId w:val="4"/>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C566A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C566A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66A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66A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6F5EF6" w:rsidRDefault="00C504E5" w:rsidP="00C566AA">
      <w:pPr>
        <w:pStyle w:val="ListParagraph"/>
        <w:numPr>
          <w:ilvl w:val="0"/>
          <w:numId w:val="5"/>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 xml:space="preserve">Both the foreign main proceedings in South Africa and the foreign non-main proceedings in </w:t>
      </w:r>
      <w:r w:rsidR="004137C3" w:rsidRPr="006F5EF6">
        <w:rPr>
          <w:rFonts w:ascii="Avenir Next" w:hAnsi="Avenir Next" w:cs="Arial"/>
          <w:sz w:val="22"/>
          <w:szCs w:val="22"/>
          <w:highlight w:val="yellow"/>
          <w:lang w:val="en-GB"/>
        </w:rPr>
        <w:t xml:space="preserve">Argentina </w:t>
      </w:r>
      <w:r w:rsidRPr="006F5EF6">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66A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C566A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C566A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C566A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F5EF6" w:rsidRDefault="00B72F5F" w:rsidP="00C566AA">
      <w:pPr>
        <w:pStyle w:val="ListParagraph"/>
        <w:numPr>
          <w:ilvl w:val="0"/>
          <w:numId w:val="6"/>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F5EF6">
        <w:rPr>
          <w:rFonts w:ascii="Avenir Next" w:hAnsi="Avenir Next" w:cs="Arial"/>
          <w:sz w:val="22"/>
          <w:szCs w:val="22"/>
          <w:highlight w:val="yellow"/>
          <w:lang w:val="en-GB"/>
        </w:rPr>
        <w:t>will</w:t>
      </w:r>
      <w:r w:rsidRPr="006F5EF6">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C566A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C566AA">
      <w:pPr>
        <w:pStyle w:val="ListParagraph"/>
        <w:numPr>
          <w:ilvl w:val="0"/>
          <w:numId w:val="7"/>
        </w:numPr>
        <w:ind w:left="426"/>
        <w:jc w:val="both"/>
        <w:rPr>
          <w:rFonts w:ascii="Avenir Next" w:hAnsi="Avenir Next" w:cs="Arial"/>
          <w:sz w:val="22"/>
          <w:szCs w:val="22"/>
          <w:lang w:val="en-GB"/>
        </w:rPr>
      </w:pPr>
      <w:r w:rsidRPr="006F5EF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C566A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C566A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C566A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C566A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C566A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6F5EF6" w:rsidRDefault="00436884" w:rsidP="00C566AA">
      <w:pPr>
        <w:pStyle w:val="ListParagraph"/>
        <w:numPr>
          <w:ilvl w:val="0"/>
          <w:numId w:val="8"/>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C566A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C566A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6F5EF6" w:rsidRDefault="00436884" w:rsidP="00C566AA">
      <w:pPr>
        <w:pStyle w:val="ListParagraph"/>
        <w:numPr>
          <w:ilvl w:val="0"/>
          <w:numId w:val="9"/>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C566A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F5EF6" w:rsidRDefault="00436884" w:rsidP="00C566AA">
      <w:pPr>
        <w:pStyle w:val="ListParagraph"/>
        <w:numPr>
          <w:ilvl w:val="0"/>
          <w:numId w:val="10"/>
        </w:numPr>
        <w:ind w:left="426"/>
        <w:jc w:val="both"/>
        <w:rPr>
          <w:rFonts w:ascii="Avenir Next" w:hAnsi="Avenir Next" w:cs="Arial"/>
          <w:sz w:val="22"/>
          <w:szCs w:val="22"/>
          <w:highlight w:val="yellow"/>
          <w:lang w:val="en-GB"/>
        </w:rPr>
      </w:pPr>
      <w:r w:rsidRPr="006F5EF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F5EF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C566AA">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C566A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C566A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3AA397C3" w:rsidR="00CB56CE" w:rsidRPr="00B77352" w:rsidRDefault="000233B0"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0C1807">
        <w:rPr>
          <w:rFonts w:ascii="Avenir Next" w:hAnsi="Avenir Next" w:cs="Arial"/>
          <w:color w:val="808080" w:themeColor="background1" w:themeShade="80"/>
          <w:sz w:val="22"/>
          <w:szCs w:val="22"/>
          <w:lang w:val="en-GB"/>
        </w:rPr>
        <w:t xml:space="preserve">he Model Law has no precise definition of COMI </w:t>
      </w:r>
      <w:r w:rsidR="002D41D7">
        <w:rPr>
          <w:rFonts w:ascii="Avenir Next" w:hAnsi="Avenir Next" w:cs="Arial"/>
          <w:color w:val="808080" w:themeColor="background1" w:themeShade="80"/>
          <w:sz w:val="22"/>
          <w:szCs w:val="22"/>
          <w:lang w:val="en-GB"/>
        </w:rPr>
        <w:t>therefore;</w:t>
      </w:r>
      <w:r w:rsidR="000C1807">
        <w:rPr>
          <w:rFonts w:ascii="Avenir Next" w:hAnsi="Avenir Next" w:cs="Arial"/>
          <w:color w:val="808080" w:themeColor="background1" w:themeShade="80"/>
          <w:sz w:val="22"/>
          <w:szCs w:val="22"/>
          <w:lang w:val="en-GB"/>
        </w:rPr>
        <w:t xml:space="preserve"> it is difficult to determine the COMI of a Debtor in the absence of a definition of COMI. Thus, in order to determine t</w:t>
      </w:r>
      <w:r w:rsidR="002D41D7">
        <w:rPr>
          <w:rFonts w:ascii="Avenir Next" w:hAnsi="Avenir Next" w:cs="Arial"/>
          <w:color w:val="808080" w:themeColor="background1" w:themeShade="80"/>
          <w:sz w:val="22"/>
          <w:szCs w:val="22"/>
          <w:lang w:val="en-GB"/>
        </w:rPr>
        <w:t>he COMI of a Debtor recourse is made to the commencement date of the foreign proceeding.</w:t>
      </w:r>
      <w:r w:rsidR="0051581D">
        <w:rPr>
          <w:rFonts w:ascii="Avenir Next" w:hAnsi="Avenir Next" w:cs="Arial"/>
          <w:color w:val="808080" w:themeColor="background1" w:themeShade="80"/>
          <w:sz w:val="22"/>
          <w:szCs w:val="22"/>
          <w:lang w:val="en-GB"/>
        </w:rPr>
        <w:t xml:space="preserve"> In other words, the appropriate date for determining the COMI of a debtor is the date of commencement of a foreign proceeding.]</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5C70B2FF" w14:textId="77777777" w:rsidR="00995358" w:rsidRDefault="009802E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the Statement relates to the “Timely Notice” provision under Article 14 of the Model Law. The Concept under Article 14</w:t>
      </w:r>
      <w:r w:rsidR="00995358">
        <w:rPr>
          <w:rFonts w:ascii="Avenir Next" w:hAnsi="Avenir Next" w:cs="Arial"/>
          <w:color w:val="808080" w:themeColor="background1" w:themeShade="80"/>
          <w:sz w:val="22"/>
          <w:szCs w:val="22"/>
          <w:lang w:val="en-GB"/>
        </w:rPr>
        <w:t xml:space="preserve"> of the Model Law</w:t>
      </w:r>
      <w:r>
        <w:rPr>
          <w:rFonts w:ascii="Avenir Next" w:hAnsi="Avenir Next" w:cs="Arial"/>
          <w:color w:val="808080" w:themeColor="background1" w:themeShade="80"/>
          <w:sz w:val="22"/>
          <w:szCs w:val="22"/>
          <w:lang w:val="en-GB"/>
        </w:rPr>
        <w:t xml:space="preserve"> is that </w:t>
      </w:r>
      <w:r w:rsidR="001C4474">
        <w:rPr>
          <w:rFonts w:ascii="Avenir Next" w:hAnsi="Avenir Next" w:cs="Arial"/>
          <w:color w:val="808080" w:themeColor="background1" w:themeShade="80"/>
          <w:sz w:val="22"/>
          <w:szCs w:val="22"/>
          <w:lang w:val="en-GB"/>
        </w:rPr>
        <w:t>foreign c</w:t>
      </w:r>
      <w:r>
        <w:rPr>
          <w:rFonts w:ascii="Avenir Next" w:hAnsi="Avenir Next" w:cs="Arial"/>
          <w:color w:val="808080" w:themeColor="background1" w:themeShade="80"/>
          <w:sz w:val="22"/>
          <w:szCs w:val="22"/>
          <w:lang w:val="en-GB"/>
        </w:rPr>
        <w:t xml:space="preserve">reditors </w:t>
      </w:r>
      <w:r w:rsidR="001C4474">
        <w:rPr>
          <w:rFonts w:ascii="Avenir Next" w:hAnsi="Avenir Next" w:cs="Arial"/>
          <w:color w:val="808080" w:themeColor="background1" w:themeShade="80"/>
          <w:sz w:val="22"/>
          <w:szCs w:val="22"/>
          <w:lang w:val="en-GB"/>
        </w:rPr>
        <w:t xml:space="preserve">must be notified whenever notification is required for local creditors in the enacting state. </w:t>
      </w:r>
      <w:r w:rsidR="00995358">
        <w:rPr>
          <w:rFonts w:ascii="Avenir Next" w:hAnsi="Avenir Next" w:cs="Arial"/>
          <w:color w:val="808080" w:themeColor="background1" w:themeShade="80"/>
          <w:sz w:val="22"/>
          <w:szCs w:val="22"/>
          <w:lang w:val="en-GB"/>
        </w:rPr>
        <w:t xml:space="preserve">Article 14 </w:t>
      </w:r>
      <w:r w:rsidR="00995358">
        <w:rPr>
          <w:rFonts w:ascii="Avenir Next" w:hAnsi="Avenir Next" w:cs="Arial"/>
          <w:color w:val="808080" w:themeColor="background1" w:themeShade="80"/>
          <w:sz w:val="22"/>
          <w:szCs w:val="22"/>
          <w:lang w:val="en-GB"/>
        </w:rPr>
        <w:lastRenderedPageBreak/>
        <w:t>of the Model Law is premised on the equal treatment of the Creditors whether local or foreign in relation to timely notice.</w:t>
      </w:r>
    </w:p>
    <w:p w14:paraId="66BF1B45" w14:textId="77777777" w:rsidR="00ED6F60" w:rsidRDefault="0099535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The “Safe Conduct Rule” is provided for under Article 10 of the Model Law and the concept is that the Court in the enacting state is barred from assuming jurisdiction over the assets of the Debtor </w:t>
      </w:r>
      <w:r w:rsidR="00ED6F60">
        <w:rPr>
          <w:rFonts w:ascii="Avenir Next" w:hAnsi="Avenir Next" w:cs="Arial"/>
          <w:color w:val="808080" w:themeColor="background1" w:themeShade="80"/>
          <w:sz w:val="22"/>
          <w:szCs w:val="22"/>
          <w:lang w:val="en-GB"/>
        </w:rPr>
        <w:t>on the premise that the foreign representative has lodged an application for the recognition of a foreign proceeding.</w:t>
      </w:r>
    </w:p>
    <w:p w14:paraId="428DC0DA" w14:textId="596EEF73" w:rsidR="00867A8F" w:rsidRPr="00B77352" w:rsidRDefault="00ED6F60"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Statement 3</w:t>
      </w:r>
      <w:r w:rsidR="00D237C4">
        <w:rPr>
          <w:rFonts w:ascii="Avenir Next" w:hAnsi="Avenir Next" w:cs="Arial"/>
          <w:color w:val="808080" w:themeColor="background1" w:themeShade="80"/>
          <w:sz w:val="22"/>
          <w:szCs w:val="22"/>
          <w:lang w:val="en-GB"/>
        </w:rPr>
        <w:t>.</w:t>
      </w:r>
      <w:proofErr w:type="gramEnd"/>
      <w:r w:rsidR="00D237C4">
        <w:rPr>
          <w:rFonts w:ascii="Avenir Next" w:hAnsi="Avenir Next" w:cs="Arial"/>
          <w:color w:val="808080" w:themeColor="background1" w:themeShade="80"/>
          <w:sz w:val="22"/>
          <w:szCs w:val="22"/>
          <w:lang w:val="en-GB"/>
        </w:rPr>
        <w:t xml:space="preserve"> This statement relates to Article 16 of the Model Law and deals with the concept of rebuttable presumption in relation to the Centre of Main interest (“COMI”) of the Debtor in the absence of a precise definition of “COMI” in the Model Law. </w:t>
      </w:r>
      <w:r w:rsidR="00995358">
        <w:rPr>
          <w:rFonts w:ascii="Avenir Next" w:hAnsi="Avenir Next" w:cs="Arial"/>
          <w:color w:val="808080" w:themeColor="background1" w:themeShade="80"/>
          <w:sz w:val="22"/>
          <w:szCs w:val="22"/>
          <w:lang w:val="en-GB"/>
        </w:rPr>
        <w:t xml:space="preserve"> </w:t>
      </w:r>
      <w:r w:rsidR="001C4474">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3F4C80C7" w:rsidR="00867A8F" w:rsidRPr="00B77352" w:rsidRDefault="00CA24B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substantive issue for determination in the IBA case appeal was whether as a matter of settled practice the court can be called upon to exercise its power to grant the indefinite Moratorium Continuation where to do so would firstly prevent the English Creditors from enforcing their English law</w:t>
      </w:r>
      <w:r w:rsidR="00ED2BCA">
        <w:rPr>
          <w:rFonts w:ascii="Avenir Next" w:hAnsi="Avenir Next" w:cs="Arial"/>
          <w:color w:val="808080" w:themeColor="background1" w:themeShade="80"/>
          <w:sz w:val="22"/>
          <w:szCs w:val="22"/>
          <w:lang w:val="en-GB"/>
        </w:rPr>
        <w:t xml:space="preserve"> rights in accordance with the Gibbs Rule and secondly prolong the stay after the Azeri reconstruction has come to an end. In answering the preceding questions, the Court of Appeal authoritatively held, “an English court could only properly grant the indefinite Moratorium Continuation if it were satisfied of two things; first, the stay would have to be necessary to protect the interest of IBA’s creditors and secondly, the stay would have to be an appropriate way of achieving such protection.” In light of the foregoing two requirements the Court of Appeal held that none of the two conditions were satisfied in the case. In other words, the Court can only grant the indefinite </w:t>
      </w:r>
      <w:r w:rsidR="0058073B">
        <w:rPr>
          <w:rFonts w:ascii="Avenir Next" w:hAnsi="Avenir Next" w:cs="Arial"/>
          <w:color w:val="808080" w:themeColor="background1" w:themeShade="80"/>
          <w:sz w:val="22"/>
          <w:szCs w:val="22"/>
          <w:lang w:val="en-GB"/>
        </w:rPr>
        <w:t xml:space="preserve">Moratorium Continuation if it is </w:t>
      </w:r>
      <w:proofErr w:type="gramStart"/>
      <w:r w:rsidR="0058073B">
        <w:rPr>
          <w:rFonts w:ascii="Avenir Next" w:hAnsi="Avenir Next" w:cs="Arial"/>
          <w:color w:val="808080" w:themeColor="background1" w:themeShade="80"/>
          <w:sz w:val="22"/>
          <w:szCs w:val="22"/>
          <w:lang w:val="en-GB"/>
        </w:rPr>
        <w:t>best avenue</w:t>
      </w:r>
      <w:proofErr w:type="gramEnd"/>
      <w:r w:rsidR="0058073B">
        <w:rPr>
          <w:rFonts w:ascii="Avenir Next" w:hAnsi="Avenir Next" w:cs="Arial"/>
          <w:color w:val="808080" w:themeColor="background1" w:themeShade="80"/>
          <w:sz w:val="22"/>
          <w:szCs w:val="22"/>
          <w:lang w:val="en-GB"/>
        </w:rPr>
        <w:t xml:space="preserve"> of protecting the interest of the creditors and if that is the best way of achieving such protection.</w:t>
      </w:r>
      <w:r w:rsidR="00ED2BCA">
        <w:rPr>
          <w:rFonts w:ascii="Avenir Next" w:hAnsi="Avenir Next" w:cs="Arial"/>
          <w:color w:val="808080" w:themeColor="background1" w:themeShade="80"/>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8B2EDFE" w:rsidR="00867A8F" w:rsidRPr="00B77352" w:rsidRDefault="00643A0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in an enacting State is vested with discretionally power under Article 21 of the MLCBI where necessary to protect the assets or interest of the Debtor and at the request of the forei</w:t>
      </w:r>
      <w:r w:rsidR="003202C5">
        <w:rPr>
          <w:rFonts w:ascii="Avenir Next" w:hAnsi="Avenir Next" w:cs="Arial"/>
          <w:color w:val="808080" w:themeColor="background1" w:themeShade="80"/>
          <w:sz w:val="22"/>
          <w:szCs w:val="22"/>
          <w:lang w:val="en-GB"/>
        </w:rPr>
        <w:t xml:space="preserve">gn representative to grant appropriate reliefs which may inter alia include stay of commencement or </w:t>
      </w:r>
      <w:r w:rsidR="00F02AF0">
        <w:rPr>
          <w:rFonts w:ascii="Avenir Next" w:hAnsi="Avenir Next" w:cs="Arial"/>
          <w:color w:val="808080" w:themeColor="background1" w:themeShade="80"/>
          <w:sz w:val="22"/>
          <w:szCs w:val="22"/>
          <w:lang w:val="en-GB"/>
        </w:rPr>
        <w:t>continuation</w:t>
      </w:r>
      <w:r w:rsidR="003202C5">
        <w:rPr>
          <w:rFonts w:ascii="Avenir Next" w:hAnsi="Avenir Next" w:cs="Arial"/>
          <w:color w:val="808080" w:themeColor="background1" w:themeShade="80"/>
          <w:sz w:val="22"/>
          <w:szCs w:val="22"/>
          <w:lang w:val="en-GB"/>
        </w:rPr>
        <w:t xml:space="preserve"> of personal proceedings, stay of execution against the Debtor’s assets etc. The foreign representative in the foreign main proceedings has the duty under Article 18 of the MLCBI to timely inform the court in the enacting state of any substantial change in the status of the recognized foreign proceeding or the status of his or her appointment. The foreign Representative is enjoined to inform the court of any other foreign proceeding pertaining to the same Debtor that he or she </w:t>
      </w:r>
      <w:r w:rsidR="00E81962">
        <w:rPr>
          <w:rFonts w:ascii="Avenir Next" w:hAnsi="Avenir Next" w:cs="Arial"/>
          <w:color w:val="808080" w:themeColor="background1" w:themeShade="80"/>
          <w:sz w:val="22"/>
          <w:szCs w:val="22"/>
          <w:lang w:val="en-GB"/>
        </w:rPr>
        <w:t>has knowledge of.</w:t>
      </w:r>
      <w:r>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F0003B5" w:rsidR="00867A8F" w:rsidRPr="00B77352" w:rsidRDefault="00F02AF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fundamental benefit of recognition in the enacting State under the Model Law</w:t>
      </w:r>
      <w:r w:rsidR="00ED19F9">
        <w:rPr>
          <w:rFonts w:ascii="Avenir Next" w:hAnsi="Avenir Next" w:cs="Arial"/>
          <w:color w:val="808080" w:themeColor="background1" w:themeShade="80"/>
          <w:sz w:val="22"/>
          <w:szCs w:val="22"/>
          <w:lang w:val="en-GB"/>
        </w:rPr>
        <w:t xml:space="preserve"> is that it eliminates the need of opening separate insolvency proceedings in the enacting state. On the other hand, it is a known fact that many countries lack legislative framework for cooperation between Judges in different countries or jurisdiction therefore, the Model Law fills a gap by empowering courts to offer cooperation in certain areas. The purpose of cooperation is to enable the Courts and insolvency representatives from two or more </w:t>
      </w:r>
      <w:r w:rsidR="00286970">
        <w:rPr>
          <w:rFonts w:ascii="Avenir Next" w:hAnsi="Avenir Next" w:cs="Arial"/>
          <w:color w:val="808080" w:themeColor="background1" w:themeShade="80"/>
          <w:sz w:val="22"/>
          <w:szCs w:val="22"/>
          <w:lang w:val="en-GB"/>
        </w:rPr>
        <w:t>countries to</w:t>
      </w:r>
      <w:r w:rsidR="00ED19F9">
        <w:rPr>
          <w:rFonts w:ascii="Avenir Next" w:hAnsi="Avenir Next" w:cs="Arial"/>
          <w:color w:val="808080" w:themeColor="background1" w:themeShade="80"/>
          <w:sz w:val="22"/>
          <w:szCs w:val="22"/>
          <w:lang w:val="en-GB"/>
        </w:rPr>
        <w:t xml:space="preserve"> be more efficient and achieve the best results as well as to promote consistency of treatment of the various stakeholders across </w:t>
      </w:r>
      <w:r w:rsidR="006F0638">
        <w:rPr>
          <w:rFonts w:ascii="Avenir Next" w:hAnsi="Avenir Next" w:cs="Arial"/>
          <w:color w:val="808080" w:themeColor="background1" w:themeShade="80"/>
          <w:sz w:val="22"/>
          <w:szCs w:val="22"/>
          <w:lang w:val="en-GB"/>
        </w:rPr>
        <w:t>the diverse jurisdictions. It is important to note that a foreign representative is a stakeholder in cross boarder insolvency, therefore stands to benefit upon being granted a recognition application and certain rights accrue to a foreign representative. In most cases</w:t>
      </w:r>
      <w:r w:rsidR="00825354">
        <w:rPr>
          <w:rFonts w:ascii="Avenir Next" w:hAnsi="Avenir Next" w:cs="Arial"/>
          <w:color w:val="808080" w:themeColor="background1" w:themeShade="80"/>
          <w:sz w:val="22"/>
          <w:szCs w:val="22"/>
          <w:lang w:val="en-GB"/>
        </w:rPr>
        <w:t>,</w:t>
      </w:r>
      <w:r w:rsidR="006F0638">
        <w:rPr>
          <w:rFonts w:ascii="Avenir Next" w:hAnsi="Avenir Next" w:cs="Arial"/>
          <w:color w:val="808080" w:themeColor="background1" w:themeShade="80"/>
          <w:sz w:val="22"/>
          <w:szCs w:val="22"/>
          <w:lang w:val="en-GB"/>
        </w:rPr>
        <w:t xml:space="preserve"> the rights that accrue to a foreign representative are access rights. Thus, Article 9 of the Model Law provides for the right of direct access by the foreign representative to courts of the enacting State.</w:t>
      </w:r>
      <w:r w:rsidR="00286970">
        <w:rPr>
          <w:rFonts w:ascii="Avenir Next" w:hAnsi="Avenir Next" w:cs="Arial"/>
          <w:color w:val="808080" w:themeColor="background1" w:themeShade="80"/>
          <w:sz w:val="22"/>
          <w:szCs w:val="22"/>
          <w:lang w:val="en-GB"/>
        </w:rPr>
        <w:t xml:space="preserve"> This right is of great benefit to the foreign representative on the ground that the foreign representative has the right to access the courts in the enacting state. Article 11 provides for the right of audience to the foreign representative in the Courts of the enacting State without meeting the licencing requirements in that jurisdiction. </w:t>
      </w:r>
      <w:proofErr w:type="gramStart"/>
      <w:r w:rsidR="00853BF1">
        <w:rPr>
          <w:rFonts w:ascii="Avenir Next" w:hAnsi="Avenir Next" w:cs="Arial"/>
          <w:color w:val="808080" w:themeColor="background1" w:themeShade="80"/>
          <w:sz w:val="22"/>
          <w:szCs w:val="22"/>
          <w:lang w:val="en-GB"/>
        </w:rPr>
        <w:t>Articles 25 (1) of the Model Law enjoin</w:t>
      </w:r>
      <w:r w:rsidR="00825354">
        <w:rPr>
          <w:rFonts w:ascii="Avenir Next" w:hAnsi="Avenir Next" w:cs="Arial"/>
          <w:color w:val="808080" w:themeColor="background1" w:themeShade="80"/>
          <w:sz w:val="22"/>
          <w:szCs w:val="22"/>
          <w:lang w:val="en-GB"/>
        </w:rPr>
        <w:t>s</w:t>
      </w:r>
      <w:proofErr w:type="gramEnd"/>
      <w:r w:rsidR="00286970">
        <w:rPr>
          <w:rFonts w:ascii="Avenir Next" w:hAnsi="Avenir Next" w:cs="Arial"/>
          <w:color w:val="808080" w:themeColor="background1" w:themeShade="80"/>
          <w:sz w:val="22"/>
          <w:szCs w:val="22"/>
          <w:lang w:val="en-GB"/>
        </w:rPr>
        <w:t xml:space="preserve"> the court to cooperate to the maximum extent possible with a foreign </w:t>
      </w:r>
      <w:r w:rsidR="00853BF1">
        <w:rPr>
          <w:rFonts w:ascii="Avenir Next" w:hAnsi="Avenir Next" w:cs="Arial"/>
          <w:color w:val="808080" w:themeColor="background1" w:themeShade="80"/>
          <w:sz w:val="22"/>
          <w:szCs w:val="22"/>
          <w:lang w:val="en-GB"/>
        </w:rPr>
        <w:t>representative whereas</w:t>
      </w:r>
      <w:r w:rsidR="00286970">
        <w:rPr>
          <w:rFonts w:ascii="Avenir Next" w:hAnsi="Avenir Next" w:cs="Arial"/>
          <w:color w:val="808080" w:themeColor="background1" w:themeShade="80"/>
          <w:sz w:val="22"/>
          <w:szCs w:val="22"/>
          <w:lang w:val="en-GB"/>
        </w:rPr>
        <w:t xml:space="preserve"> Article 25(2) </w:t>
      </w:r>
      <w:r w:rsidR="00853BF1">
        <w:rPr>
          <w:rFonts w:ascii="Avenir Next" w:hAnsi="Avenir Next" w:cs="Arial"/>
          <w:color w:val="808080" w:themeColor="background1" w:themeShade="80"/>
          <w:sz w:val="22"/>
          <w:szCs w:val="22"/>
          <w:lang w:val="en-GB"/>
        </w:rPr>
        <w:t>of the Model Law provides for direct communication between the Court and the foreign representative. The preceding provisions of the Model Law are of great benefit to the foreign representative on the ground that the provisions make it easy for the foreign representative to discharge his duties in insolvency proceedings at the same footing with a local representative without any discrimination.</w:t>
      </w:r>
      <w:r w:rsidR="00867A8F" w:rsidRPr="00B77352">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65AD8727" w:rsidR="00867A8F" w:rsidRPr="00B77352" w:rsidRDefault="0043466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for recognition is granted pursuant to Article 17 of the Model Law. However, for the Court to grant the application for recognition the evidential requirements under Article 15 (2) of the Model Law must be satisfied and these are as follows; 1. </w:t>
      </w:r>
      <w:r w:rsidR="00AB12D4">
        <w:rPr>
          <w:rFonts w:ascii="Avenir Next" w:hAnsi="Avenir Next" w:cs="Arial"/>
          <w:color w:val="808080" w:themeColor="background1" w:themeShade="80"/>
          <w:sz w:val="22"/>
          <w:szCs w:val="22"/>
          <w:lang w:val="en-GB"/>
        </w:rPr>
        <w:t xml:space="preserve">The recognition </w:t>
      </w:r>
      <w:r w:rsidR="00AB12D4">
        <w:rPr>
          <w:rFonts w:ascii="Avenir Next" w:hAnsi="Avenir Next" w:cs="Arial"/>
          <w:color w:val="808080" w:themeColor="background1" w:themeShade="80"/>
          <w:sz w:val="22"/>
          <w:szCs w:val="22"/>
          <w:lang w:val="en-GB"/>
        </w:rPr>
        <w:lastRenderedPageBreak/>
        <w:t>application must be accompanied by a certified copy of the decision commencing the foreign proceedings and appointment of the foreign representative</w:t>
      </w:r>
      <w:r w:rsidR="00DD40D9">
        <w:rPr>
          <w:rFonts w:ascii="Avenir Next" w:hAnsi="Avenir Next" w:cs="Arial"/>
          <w:color w:val="808080" w:themeColor="background1" w:themeShade="80"/>
          <w:sz w:val="22"/>
          <w:szCs w:val="22"/>
          <w:lang w:val="en-GB"/>
        </w:rPr>
        <w:t xml:space="preserve"> or</w:t>
      </w:r>
      <w:r w:rsidR="00AB12D4">
        <w:rPr>
          <w:rFonts w:ascii="Avenir Next" w:hAnsi="Avenir Next" w:cs="Arial"/>
          <w:color w:val="808080" w:themeColor="background1" w:themeShade="80"/>
          <w:sz w:val="22"/>
          <w:szCs w:val="22"/>
          <w:lang w:val="en-GB"/>
        </w:rPr>
        <w:t xml:space="preserve"> 2. A certificate from the foreign Court speaking to the existence of the foreign proceeding and appointment of the foreign representative. In the absence of any of the evidence above, the application must be accompanied by any other evidence acceptable to the court which must speak to the </w:t>
      </w:r>
      <w:r w:rsidR="00E64D8A">
        <w:rPr>
          <w:rFonts w:ascii="Avenir Next" w:hAnsi="Avenir Next" w:cs="Arial"/>
          <w:color w:val="808080" w:themeColor="background1" w:themeShade="80"/>
          <w:sz w:val="22"/>
          <w:szCs w:val="22"/>
          <w:lang w:val="en-GB"/>
        </w:rPr>
        <w:t>existence of the foreign proceeding and appointment of the foreign representative.</w:t>
      </w:r>
      <w:r w:rsidR="00DD40D9">
        <w:rPr>
          <w:rFonts w:ascii="Avenir Next" w:hAnsi="Avenir Next" w:cs="Arial"/>
          <w:color w:val="808080" w:themeColor="background1" w:themeShade="80"/>
          <w:sz w:val="22"/>
          <w:szCs w:val="22"/>
          <w:lang w:val="en-GB"/>
        </w:rPr>
        <w:t xml:space="preserve"> It is important to note that Article 1 under paragraph 2 excludes certain proceedings from the application thus, proceedings pertaining to Banks and insurance companies are excluded on the ground that they require a special regulatory regime</w:t>
      </w:r>
      <w:r w:rsidR="00C86388">
        <w:rPr>
          <w:rFonts w:ascii="Avenir Next" w:hAnsi="Avenir Next" w:cs="Arial"/>
          <w:color w:val="808080" w:themeColor="background1" w:themeShade="80"/>
          <w:sz w:val="22"/>
          <w:szCs w:val="22"/>
          <w:lang w:val="en-GB"/>
        </w:rPr>
        <w:t>. The other issue that must be considered is the public policy exception under Article 6 of the Model Law which is a safe net for the safeguard of the sovereignty of the enacting state which the Model Law respects. Thus, the Court will give judicial scrutiny to the above issues if the recognition application is to be successful.</w:t>
      </w:r>
      <w:r w:rsidR="00AB12D4">
        <w:rPr>
          <w:rFonts w:ascii="Avenir Next" w:hAnsi="Avenir Next" w:cs="Arial"/>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1D478CE" w:rsidR="00867A8F" w:rsidRPr="00B77352" w:rsidRDefault="0099304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answering the question it is important to differentiate between Article 19 and Article 21 of the Model Law. Thus, Article 19 deals with pre recognition reliefs which the court is empowered to grant upon filing the application for recognition whereas Article 21 anchored on post recognition reliefs which the court is empowered to grant. </w:t>
      </w:r>
      <w:r w:rsidR="00BE5B4D">
        <w:rPr>
          <w:rFonts w:ascii="Avenir Next" w:hAnsi="Avenir Next" w:cs="Arial"/>
          <w:color w:val="808080" w:themeColor="background1" w:themeShade="80"/>
          <w:sz w:val="22"/>
          <w:szCs w:val="22"/>
          <w:lang w:val="en-GB"/>
        </w:rPr>
        <w:t xml:space="preserve">The Court is empowered to grant the following pre recognition reliefs under Article 19, stay of execution against the debtor’s assets, an order entrusting the administration or realization of the all or part of the debtor’s assets located in the enacting state to the foreign representative or any other person designated by the court. It is worthy of note that Article 19 reliefs are mainly interim reliefs aimed to protect the assets of the </w:t>
      </w:r>
      <w:r w:rsidR="00ED16B4">
        <w:rPr>
          <w:rFonts w:ascii="Avenir Next" w:hAnsi="Avenir Next" w:cs="Arial"/>
          <w:color w:val="808080" w:themeColor="background1" w:themeShade="80"/>
          <w:sz w:val="22"/>
          <w:szCs w:val="22"/>
          <w:lang w:val="en-GB"/>
        </w:rPr>
        <w:t>debtor or</w:t>
      </w:r>
      <w:r w:rsidR="00BE5B4D">
        <w:rPr>
          <w:rFonts w:ascii="Avenir Next" w:hAnsi="Avenir Next" w:cs="Arial"/>
          <w:color w:val="808080" w:themeColor="background1" w:themeShade="80"/>
          <w:sz w:val="22"/>
          <w:szCs w:val="22"/>
          <w:lang w:val="en-GB"/>
        </w:rPr>
        <w:t xml:space="preserve"> interest of the creditors. On the other hand, Article 21 post recognition reliefs are discretionally in nature and include the following reliefs</w:t>
      </w:r>
      <w:r w:rsidR="00ED16B4">
        <w:rPr>
          <w:rFonts w:ascii="Avenir Next" w:hAnsi="Avenir Next" w:cs="Arial"/>
          <w:color w:val="808080" w:themeColor="background1" w:themeShade="80"/>
          <w:sz w:val="22"/>
          <w:szCs w:val="22"/>
          <w:lang w:val="en-GB"/>
        </w:rPr>
        <w:t>;</w:t>
      </w:r>
      <w:r w:rsidR="00BE5B4D">
        <w:rPr>
          <w:rFonts w:ascii="Avenir Next" w:hAnsi="Avenir Next" w:cs="Arial"/>
          <w:color w:val="808080" w:themeColor="background1" w:themeShade="80"/>
          <w:sz w:val="22"/>
          <w:szCs w:val="22"/>
          <w:lang w:val="en-GB"/>
        </w:rPr>
        <w:t xml:space="preserve"> Staying of commencem</w:t>
      </w:r>
      <w:r w:rsidR="00ED16B4">
        <w:rPr>
          <w:rFonts w:ascii="Avenir Next" w:hAnsi="Avenir Next" w:cs="Arial"/>
          <w:color w:val="808080" w:themeColor="background1" w:themeShade="80"/>
          <w:sz w:val="22"/>
          <w:szCs w:val="22"/>
          <w:lang w:val="en-GB"/>
        </w:rPr>
        <w:t xml:space="preserve">ent or continuation of individual proceedings pertaining to the debtor’s assets, rights, obligations and liabilities, stay of execution against the </w:t>
      </w:r>
      <w:r w:rsidR="00FD08A9">
        <w:rPr>
          <w:rFonts w:ascii="Avenir Next" w:hAnsi="Avenir Next" w:cs="Arial"/>
          <w:color w:val="808080" w:themeColor="background1" w:themeShade="80"/>
          <w:sz w:val="22"/>
          <w:szCs w:val="22"/>
          <w:lang w:val="en-GB"/>
        </w:rPr>
        <w:t>debtor’s</w:t>
      </w:r>
      <w:r w:rsidR="00ED16B4">
        <w:rPr>
          <w:rFonts w:ascii="Avenir Next" w:hAnsi="Avenir Next" w:cs="Arial"/>
          <w:color w:val="808080" w:themeColor="background1" w:themeShade="80"/>
          <w:sz w:val="22"/>
          <w:szCs w:val="22"/>
          <w:lang w:val="en-GB"/>
        </w:rPr>
        <w:t xml:space="preserve"> assets if not automatically stayed pursuant to Article 20 (1), (b) of the Model Law, suspension of the right to transfer, encumber or otherwise dispose of any assets of the debtor if not automatically stayed under Article 20 (1), (c) of the Model Law, entrusting the administration of the assets of the Debtor in the enacting State to the foreign representative or any person appointed by the Court.</w:t>
      </w:r>
      <w:r w:rsidR="00EE02FE">
        <w:rPr>
          <w:rFonts w:ascii="Avenir Next" w:hAnsi="Avenir Next" w:cs="Arial"/>
          <w:color w:val="808080" w:themeColor="background1" w:themeShade="80"/>
          <w:sz w:val="22"/>
          <w:szCs w:val="22"/>
          <w:lang w:val="en-GB"/>
        </w:rPr>
        <w:t xml:space="preserve"> The condition to be considered in granting the reliefs stated above are </w:t>
      </w:r>
      <w:r w:rsidR="00FD08A9">
        <w:rPr>
          <w:rFonts w:ascii="Avenir Next" w:hAnsi="Avenir Next" w:cs="Arial"/>
          <w:color w:val="808080" w:themeColor="background1" w:themeShade="80"/>
          <w:sz w:val="22"/>
          <w:szCs w:val="22"/>
          <w:lang w:val="en-GB"/>
        </w:rPr>
        <w:t>whether the court is satisfied that the interest of the local creditors in the enacting state are adequately protected. The limitations under Article 21 are that the Court has no jurisdiction to grant an indefinite continuation of the automatic moratorium and enforcement of a Judgment in default is unattainable under the Model law]</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6D30B336" w:rsidR="00867A8F" w:rsidRPr="00B77352" w:rsidRDefault="002F61B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Igor </w:t>
      </w:r>
      <w:proofErr w:type="spellStart"/>
      <w:r>
        <w:rPr>
          <w:rFonts w:ascii="Avenir Next" w:hAnsi="Avenir Next" w:cs="Arial"/>
          <w:color w:val="808080" w:themeColor="background1" w:themeShade="80"/>
          <w:sz w:val="22"/>
          <w:szCs w:val="22"/>
          <w:lang w:val="en-GB"/>
        </w:rPr>
        <w:t>vitalievich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w:t>
      </w:r>
      <w:proofErr w:type="spellEnd"/>
      <w:r>
        <w:rPr>
          <w:rFonts w:ascii="Avenir Next" w:hAnsi="Avenir Next" w:cs="Arial"/>
          <w:color w:val="808080" w:themeColor="background1" w:themeShade="80"/>
          <w:sz w:val="22"/>
          <w:szCs w:val="22"/>
          <w:lang w:val="en-GB"/>
        </w:rPr>
        <w:t xml:space="preserve">-Murat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[2021] EWHC 392 the question that confronted the Court was whether under Article 21 a worldwide freezing order that was granted as provisional relief under Article 19 could continue after recognition in the UK of a Russian bankruptc</w:t>
      </w:r>
      <w:r w:rsidR="00205EC8">
        <w:rPr>
          <w:rFonts w:ascii="Avenir Next" w:hAnsi="Avenir Next" w:cs="Arial"/>
          <w:color w:val="808080" w:themeColor="background1" w:themeShade="80"/>
          <w:sz w:val="22"/>
          <w:szCs w:val="22"/>
          <w:lang w:val="en-GB"/>
        </w:rPr>
        <w:t>y as a foreign main proceeding. The Court held that ”bankruptcy regime offers other forms of protection which mean that relief in the form of freezing order or similar injunctions are simply not warranted”. On the basis of the above case, the reason why the worldwide freezing order is unlikely to continue is post recognition ex article 21 of the Model Law is that the insolvency or bankruptcy regime has other</w:t>
      </w:r>
      <w:r w:rsidR="00B1536C">
        <w:rPr>
          <w:rFonts w:ascii="Avenir Next" w:hAnsi="Avenir Next" w:cs="Arial"/>
          <w:color w:val="808080" w:themeColor="background1" w:themeShade="80"/>
          <w:sz w:val="22"/>
          <w:szCs w:val="22"/>
          <w:lang w:val="en-GB"/>
        </w:rPr>
        <w:t xml:space="preserve"> adequate</w:t>
      </w:r>
      <w:r w:rsidR="00205EC8">
        <w:rPr>
          <w:rFonts w:ascii="Avenir Next" w:hAnsi="Avenir Next" w:cs="Arial"/>
          <w:color w:val="808080" w:themeColor="background1" w:themeShade="80"/>
          <w:sz w:val="22"/>
          <w:szCs w:val="22"/>
          <w:lang w:val="en-GB"/>
        </w:rPr>
        <w:t xml:space="preserve"> </w:t>
      </w:r>
      <w:r w:rsidR="00B1536C">
        <w:rPr>
          <w:rFonts w:ascii="Avenir Next" w:hAnsi="Avenir Next" w:cs="Arial"/>
          <w:color w:val="808080" w:themeColor="background1" w:themeShade="80"/>
          <w:sz w:val="22"/>
          <w:szCs w:val="22"/>
          <w:lang w:val="en-GB"/>
        </w:rPr>
        <w:t>remedies which offer protection equal to the worldwide freezing order. For example the automatic stay under Article 20 of the Model Law is one such protection which renders the continuation of the freezing order unnecessary.</w:t>
      </w:r>
      <w:r w:rsidR="00205EC8">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lastRenderedPageBreak/>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C566A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C566A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C566AA">
      <w:pPr>
        <w:pStyle w:val="ListParagraph"/>
        <w:numPr>
          <w:ilvl w:val="0"/>
          <w:numId w:val="11"/>
        </w:numPr>
        <w:ind w:left="426"/>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C566AA">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C566AA">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encumbrances and </w:t>
      </w:r>
      <w:proofErr w:type="gramStart"/>
      <w:r w:rsidRPr="00E2622D">
        <w:rPr>
          <w:rFonts w:ascii="Avenir Next" w:hAnsi="Avenir Next" w:cs="Arial"/>
          <w:color w:val="000000"/>
          <w:sz w:val="22"/>
          <w:szCs w:val="22"/>
          <w:lang w:val="en-GB" w:eastAsia="en-GB"/>
        </w:rPr>
        <w:t>restrictions being</w:t>
      </w:r>
      <w:proofErr w:type="gramEnd"/>
      <w:r w:rsidRPr="00E2622D">
        <w:rPr>
          <w:rFonts w:ascii="Avenir Next" w:hAnsi="Avenir Next" w:cs="Arial"/>
          <w:color w:val="000000"/>
          <w:sz w:val="22"/>
          <w:szCs w:val="22"/>
          <w:lang w:val="en-GB" w:eastAsia="en-GB"/>
        </w:rPr>
        <w:t xml:space="preserve">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C566AA">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E2622D">
        <w:rPr>
          <w:rFonts w:ascii="Avenir Next" w:hAnsi="Avenir Next" w:cs="Arial"/>
          <w:color w:val="000000"/>
          <w:sz w:val="22"/>
          <w:szCs w:val="22"/>
          <w:lang w:val="en-GB" w:eastAsia="en-GB"/>
        </w:rPr>
        <w:t>the</w:t>
      </w:r>
      <w:proofErr w:type="gramEnd"/>
      <w:r w:rsidRPr="00E2622D">
        <w:rPr>
          <w:rFonts w:ascii="Avenir Next" w:hAnsi="Avenir Next" w:cs="Arial"/>
          <w:color w:val="000000"/>
          <w:sz w:val="22"/>
          <w:szCs w:val="22"/>
          <w:lang w:val="en-GB" w:eastAsia="en-GB"/>
        </w:rPr>
        <w:t xml:space="preserv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w:t>
      </w:r>
      <w:proofErr w:type="gramStart"/>
      <w:r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 xml:space="preserve">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C566A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C566A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C566A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C566A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C566A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w:t>
      </w:r>
      <w:proofErr w:type="gramStart"/>
      <w:r w:rsidRPr="00E2622D">
        <w:rPr>
          <w:rFonts w:ascii="Avenir Next" w:hAnsi="Avenir Next" w:cs="Arial"/>
          <w:color w:val="000000"/>
          <w:sz w:val="22"/>
          <w:szCs w:val="22"/>
          <w:lang w:val="en-GB" w:eastAsia="en-GB"/>
        </w:rPr>
        <w:t xml:space="preserve">is a </w:t>
      </w:r>
      <w:r w:rsidR="008512FA" w:rsidRPr="00E2622D">
        <w:rPr>
          <w:rFonts w:ascii="Avenir Next" w:hAnsi="Avenir Next" w:cs="Arial"/>
          <w:color w:val="000000"/>
          <w:sz w:val="22"/>
          <w:szCs w:val="22"/>
          <w:lang w:val="en-GB" w:eastAsia="en-GB"/>
        </w:rPr>
        <w:t>“</w:t>
      </w:r>
      <w:proofErr w:type="gramEnd"/>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B49B97D" w14:textId="77777777" w:rsidR="004B5ABB" w:rsidRDefault="004B5ABB" w:rsidP="00957951">
      <w:pPr>
        <w:ind w:left="720" w:hanging="720"/>
        <w:jc w:val="both"/>
        <w:rPr>
          <w:rFonts w:ascii="Avenir Next" w:hAnsi="Avenir Next" w:cs="Arial"/>
          <w:color w:val="000000"/>
          <w:sz w:val="22"/>
          <w:szCs w:val="22"/>
          <w:lang w:val="en-GB" w:eastAsia="en-GB"/>
        </w:rPr>
      </w:pPr>
    </w:p>
    <w:p w14:paraId="7855A9FE" w14:textId="504B7295" w:rsidR="004B5ABB" w:rsidRDefault="004B5ABB" w:rsidP="00957951">
      <w:pPr>
        <w:ind w:left="720" w:hanging="720"/>
        <w:jc w:val="both"/>
        <w:rPr>
          <w:rFonts w:ascii="Avenir Next" w:hAnsi="Avenir Next" w:cs="Arial"/>
          <w:color w:val="000000"/>
          <w:sz w:val="22"/>
          <w:szCs w:val="22"/>
          <w:lang w:val="en-GB" w:eastAsia="en-GB"/>
        </w:rPr>
      </w:pPr>
      <w:r w:rsidRPr="004B5ABB">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 xml:space="preserve">The starting point in this discussion is the definition of “foreign proceeding” under article 2 of the Model Law. Thus, the elements of the definition of foreign proceedings are as follows; </w:t>
      </w:r>
    </w:p>
    <w:p w14:paraId="79779677" w14:textId="79A04AFA" w:rsidR="004B5ABB" w:rsidRDefault="004B5ABB"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 proceeding(including an interim proceeding)</w:t>
      </w:r>
    </w:p>
    <w:p w14:paraId="15694804" w14:textId="77864C8B" w:rsidR="004B5ABB" w:rsidRDefault="004B5ABB"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either judicial or administration</w:t>
      </w:r>
    </w:p>
    <w:p w14:paraId="0DE6EB29" w14:textId="7ABC8D28" w:rsidR="004B5ABB" w:rsidRDefault="004B5ABB"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collective</w:t>
      </w:r>
      <w:r w:rsidR="00115DE6">
        <w:rPr>
          <w:rFonts w:ascii="Avenir Next" w:hAnsi="Avenir Next" w:cs="Arial"/>
          <w:color w:val="000000"/>
          <w:sz w:val="22"/>
          <w:szCs w:val="22"/>
          <w:lang w:val="en-GB" w:eastAsia="en-GB"/>
        </w:rPr>
        <w:t xml:space="preserve"> in nature</w:t>
      </w:r>
    </w:p>
    <w:p w14:paraId="2E803B08" w14:textId="1A3CCD23" w:rsidR="00115DE6" w:rsidRDefault="00115DE6"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That is in a foreign state </w:t>
      </w:r>
    </w:p>
    <w:p w14:paraId="299681E5" w14:textId="512BDD8D" w:rsidR="00115DE6" w:rsidRDefault="00115DE6"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That is authorised or conducted under a law relating to insolvency</w:t>
      </w:r>
    </w:p>
    <w:p w14:paraId="1ADF3B13" w14:textId="5DD04121" w:rsidR="00115DE6" w:rsidRDefault="00115DE6"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In which the assets and affairs of the debtor are subject to control or supervision by a foreign court and</w:t>
      </w:r>
    </w:p>
    <w:p w14:paraId="195F7545" w14:textId="431EA1C5" w:rsidR="00115DE6" w:rsidRDefault="00115DE6" w:rsidP="00C566AA">
      <w:pPr>
        <w:pStyle w:val="ListParagraph"/>
        <w:numPr>
          <w:ilvl w:val="0"/>
          <w:numId w:val="15"/>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Which proceeding is for the purpose of reorganization or </w:t>
      </w:r>
      <w:proofErr w:type="gramStart"/>
      <w:r>
        <w:rPr>
          <w:rFonts w:ascii="Avenir Next" w:hAnsi="Avenir Next" w:cs="Arial"/>
          <w:color w:val="000000"/>
          <w:sz w:val="22"/>
          <w:szCs w:val="22"/>
          <w:lang w:val="en-GB" w:eastAsia="en-GB"/>
        </w:rPr>
        <w:t>liquidation.</w:t>
      </w:r>
      <w:proofErr w:type="gramEnd"/>
      <w:r>
        <w:rPr>
          <w:rFonts w:ascii="Avenir Next" w:hAnsi="Avenir Next" w:cs="Arial"/>
          <w:color w:val="000000"/>
          <w:sz w:val="22"/>
          <w:szCs w:val="22"/>
          <w:lang w:val="en-GB" w:eastAsia="en-GB"/>
        </w:rPr>
        <w:t xml:space="preserve"> </w:t>
      </w:r>
    </w:p>
    <w:p w14:paraId="0930D810" w14:textId="68ECCA55" w:rsidR="00115DE6" w:rsidRPr="00115DE6" w:rsidRDefault="00115DE6" w:rsidP="00115DE6">
      <w:pPr>
        <w:ind w:left="75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In light of the above elements, it is clear that the elements when applied to the facts of the question fit in the definition of the “foreign proceedings” however, due to the special procedure attendant to the liquidation of Banks as can be seen from the facts of the question Banks may be excluded from the definition of foreign proceedings under Article 2 (a</w:t>
      </w:r>
      <w:bookmarkStart w:id="28" w:name="_GoBack"/>
      <w:bookmarkEnd w:id="28"/>
      <w:r w:rsidR="00F011D5">
        <w:rPr>
          <w:rFonts w:ascii="Avenir Next" w:hAnsi="Avenir Next" w:cs="Arial"/>
          <w:color w:val="000000"/>
          <w:sz w:val="22"/>
          <w:szCs w:val="22"/>
          <w:lang w:val="en-GB" w:eastAsia="en-GB"/>
        </w:rPr>
        <w:t>) as</w:t>
      </w:r>
      <w:r>
        <w:rPr>
          <w:rFonts w:ascii="Avenir Next" w:hAnsi="Avenir Next" w:cs="Arial"/>
          <w:color w:val="000000"/>
          <w:sz w:val="22"/>
          <w:szCs w:val="22"/>
          <w:lang w:val="en-GB" w:eastAsia="en-GB"/>
        </w:rPr>
        <w:t xml:space="preserve"> the mainly require a special regulatory regime as the one given in the question. Therefore the Bank’s liquidation does not comprises a “foreign proceeding” within the meaning of Article 2 (a) of the MLCBI</w:t>
      </w:r>
      <w:r w:rsidR="009032DF">
        <w:rPr>
          <w:rFonts w:ascii="Avenir Next" w:hAnsi="Avenir Next" w:cs="Arial"/>
          <w:color w:val="000000"/>
          <w:sz w:val="22"/>
          <w:szCs w:val="22"/>
          <w:lang w:val="en-GB" w:eastAsia="en-GB"/>
        </w:rPr>
        <w:t>.</w:t>
      </w:r>
      <w:r w:rsidR="00F011D5">
        <w:rPr>
          <w:rFonts w:ascii="Avenir Next" w:hAnsi="Avenir Next" w:cs="Arial"/>
          <w:color w:val="000000"/>
          <w:sz w:val="22"/>
          <w:szCs w:val="22"/>
          <w:lang w:val="en-GB" w:eastAsia="en-GB"/>
        </w:rPr>
        <w:t>]</w:t>
      </w:r>
      <w:r w:rsidR="009032DF">
        <w:rPr>
          <w:rFonts w:ascii="Avenir Next" w:hAnsi="Avenir Next" w:cs="Arial"/>
          <w:color w:val="000000"/>
          <w:sz w:val="22"/>
          <w:szCs w:val="22"/>
          <w:lang w:val="en-GB" w:eastAsia="en-GB"/>
        </w:rPr>
        <w:t xml:space="preserve"> </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proofErr w:type="gramStart"/>
      <w:r w:rsidR="008A7470" w:rsidRPr="00E2622D">
        <w:rPr>
          <w:rFonts w:ascii="Avenir Next" w:hAnsi="Avenir Next" w:cs="Arial"/>
          <w:color w:val="000000"/>
          <w:sz w:val="22"/>
          <w:szCs w:val="22"/>
          <w:lang w:val="en-GB" w:eastAsia="en-GB"/>
        </w:rPr>
        <w:t>whether</w:t>
      </w:r>
      <w:proofErr w:type="gramEnd"/>
      <w:r w:rsidR="008A7470" w:rsidRPr="00E2622D">
        <w:rPr>
          <w:rFonts w:ascii="Avenir Next" w:hAnsi="Avenir Next" w:cs="Arial"/>
          <w:color w:val="000000"/>
          <w:sz w:val="22"/>
          <w:szCs w:val="22"/>
          <w:lang w:val="en-GB" w:eastAsia="en-GB"/>
        </w:rPr>
        <w:t xml:space="preserve">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9FD3014" w14:textId="6563D1CF" w:rsidR="009032DF" w:rsidRDefault="009032DF" w:rsidP="009032DF">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                </w:t>
      </w:r>
      <w:proofErr w:type="gramStart"/>
      <w:r>
        <w:rPr>
          <w:rFonts w:ascii="Avenir Next" w:hAnsi="Avenir Next" w:cs="Arial"/>
          <w:color w:val="000000"/>
          <w:sz w:val="22"/>
          <w:szCs w:val="22"/>
          <w:lang w:val="en-GB" w:eastAsia="en-GB"/>
        </w:rPr>
        <w:t>[ The</w:t>
      </w:r>
      <w:proofErr w:type="gramEnd"/>
      <w:r>
        <w:rPr>
          <w:rFonts w:ascii="Avenir Next" w:hAnsi="Avenir Next" w:cs="Arial"/>
          <w:color w:val="000000"/>
          <w:sz w:val="22"/>
          <w:szCs w:val="22"/>
          <w:lang w:val="en-GB" w:eastAsia="en-GB"/>
        </w:rPr>
        <w:t xml:space="preserve"> elements of the definition of a “foreign representative” under Article 2 (d) of the           MLCBI are as follows;</w:t>
      </w:r>
    </w:p>
    <w:p w14:paraId="1C7C6C5B" w14:textId="20EFB33C" w:rsidR="009032DF" w:rsidRDefault="009032DF" w:rsidP="00C566AA">
      <w:pPr>
        <w:pStyle w:val="ListParagraph"/>
        <w:numPr>
          <w:ilvl w:val="0"/>
          <w:numId w:val="16"/>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 person or body, including one appointed on an interim basis</w:t>
      </w:r>
    </w:p>
    <w:p w14:paraId="26BBC490" w14:textId="40DA32BE" w:rsidR="009032DF" w:rsidRDefault="009032DF" w:rsidP="00C566AA">
      <w:pPr>
        <w:pStyle w:val="ListParagraph"/>
        <w:numPr>
          <w:ilvl w:val="0"/>
          <w:numId w:val="16"/>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Authorised in a foreign proceeding</w:t>
      </w:r>
    </w:p>
    <w:p w14:paraId="0DD98C00" w14:textId="102CE649" w:rsidR="009032DF" w:rsidRDefault="009032DF" w:rsidP="00C566AA">
      <w:pPr>
        <w:pStyle w:val="ListParagraph"/>
        <w:numPr>
          <w:ilvl w:val="0"/>
          <w:numId w:val="16"/>
        </w:num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To administer the reorganisation or liquidation of the debtor’s assets or affairs or to act as representative of the foreign proceeding.</w:t>
      </w:r>
    </w:p>
    <w:p w14:paraId="51EE9D4C" w14:textId="04CCA957" w:rsidR="009032DF" w:rsidRDefault="009032DF" w:rsidP="009032DF">
      <w:pPr>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On the basis of the above elements and the facts of the question it is very clear that there no assets of the Bank in England to be managed or administered by the foreign representative on behalf of the Bank. The </w:t>
      </w:r>
      <w:r w:rsidR="00B2247E">
        <w:rPr>
          <w:rFonts w:ascii="Avenir Next" w:hAnsi="Avenir Next" w:cs="Arial"/>
          <w:color w:val="000000"/>
          <w:sz w:val="22"/>
          <w:szCs w:val="22"/>
          <w:lang w:val="en-GB" w:eastAsia="en-GB"/>
        </w:rPr>
        <w:t xml:space="preserve">proceedings instituted in England are against various Defendants arising out of the </w:t>
      </w:r>
      <w:proofErr w:type="gramStart"/>
      <w:r w:rsidR="00B2247E">
        <w:rPr>
          <w:rFonts w:ascii="Avenir Next" w:hAnsi="Avenir Next" w:cs="Arial"/>
          <w:color w:val="000000"/>
          <w:sz w:val="22"/>
          <w:szCs w:val="22"/>
          <w:lang w:val="en-GB" w:eastAsia="en-GB"/>
        </w:rPr>
        <w:lastRenderedPageBreak/>
        <w:t>allegations</w:t>
      </w:r>
      <w:proofErr w:type="gramEnd"/>
      <w:r w:rsidR="00B2247E">
        <w:rPr>
          <w:rFonts w:ascii="Avenir Next" w:hAnsi="Avenir Next" w:cs="Arial"/>
          <w:color w:val="000000"/>
          <w:sz w:val="22"/>
          <w:szCs w:val="22"/>
          <w:lang w:val="en-GB" w:eastAsia="en-GB"/>
        </w:rPr>
        <w:t xml:space="preserve"> of fraud and such proceedings do not meet the threshold of the definition of foreign proceedings as provided for under Article 2(a) of the MLCBI therefore</w:t>
      </w:r>
      <w:r w:rsidR="00825354">
        <w:rPr>
          <w:rFonts w:ascii="Avenir Next" w:hAnsi="Avenir Next" w:cs="Arial"/>
          <w:color w:val="000000"/>
          <w:sz w:val="22"/>
          <w:szCs w:val="22"/>
          <w:lang w:val="en-GB" w:eastAsia="en-GB"/>
        </w:rPr>
        <w:t>,</w:t>
      </w:r>
      <w:r w:rsidR="00B2247E">
        <w:rPr>
          <w:rFonts w:ascii="Avenir Next" w:hAnsi="Avenir Next" w:cs="Arial"/>
          <w:color w:val="000000"/>
          <w:sz w:val="22"/>
          <w:szCs w:val="22"/>
          <w:lang w:val="en-GB" w:eastAsia="en-GB"/>
        </w:rPr>
        <w:t xml:space="preserve"> the Applicants do not fall within the description of foreign representatives.</w:t>
      </w:r>
      <w:r w:rsidR="00825354">
        <w:rPr>
          <w:rFonts w:ascii="Avenir Next" w:hAnsi="Avenir Next" w:cs="Arial"/>
          <w:color w:val="000000"/>
          <w:sz w:val="22"/>
          <w:szCs w:val="22"/>
          <w:lang w:val="en-GB" w:eastAsia="en-GB"/>
        </w:rPr>
        <w:t>]</w:t>
      </w:r>
    </w:p>
    <w:p w14:paraId="2B32C98D" w14:textId="77777777" w:rsidR="00B2247E" w:rsidRPr="009032DF" w:rsidRDefault="00B2247E" w:rsidP="009032DF">
      <w:pPr>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While not all facts provided in the fact pattern given for this Question 4 are </w:t>
      </w:r>
      <w:proofErr w:type="gramStart"/>
      <w:r w:rsidRPr="00A70BBC">
        <w:rPr>
          <w:rFonts w:ascii="Avenir Next Demi Bold" w:hAnsi="Avenir Next Demi Bold" w:cs="Arial"/>
          <w:b/>
          <w:bCs/>
          <w:sz w:val="22"/>
          <w:szCs w:val="22"/>
          <w:lang w:val="en-GB"/>
        </w:rPr>
        <w:t>immediately</w:t>
      </w:r>
      <w:proofErr w:type="gramEnd"/>
      <w:r w:rsidRPr="00A70BBC">
        <w:rPr>
          <w:rFonts w:ascii="Avenir Next Demi Bold" w:hAnsi="Avenir Next Demi Bold" w:cs="Arial"/>
          <w:b/>
          <w:bCs/>
          <w:sz w:val="22"/>
          <w:szCs w:val="22"/>
          <w:lang w:val="en-GB"/>
        </w:rPr>
        <w:t xml:space="preserve">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DDDE3" w14:textId="77777777" w:rsidR="00C566AA" w:rsidRDefault="00C566AA" w:rsidP="00241B44">
      <w:r>
        <w:separator/>
      </w:r>
    </w:p>
  </w:endnote>
  <w:endnote w:type="continuationSeparator" w:id="0">
    <w:p w14:paraId="2B44818E" w14:textId="77777777" w:rsidR="00C566AA" w:rsidRDefault="00C566A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8880920"/>
      <w:docPartObj>
        <w:docPartGallery w:val="Page Numbers (Bottom of Page)"/>
        <w:docPartUnique/>
      </w:docPartObj>
    </w:sdtPr>
    <w:sdtContent>
      <w:p w14:paraId="75DFA1A2" w14:textId="6BA13D30" w:rsidR="00115DE6" w:rsidRDefault="00115DE6"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115DE6" w:rsidRDefault="00115DE6" w:rsidP="00A7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9987" w14:textId="6E59C970" w:rsidR="00115DE6" w:rsidRPr="000300E0" w:rsidRDefault="00115DE6" w:rsidP="009802E8">
    <w:pPr>
      <w:pStyle w:val="Footer"/>
      <w:framePr w:wrap="none" w:vAnchor="text" w:hAnchor="margin" w:xAlign="right" w:y="1"/>
      <w:rPr>
        <w:rStyle w:val="PageNumber"/>
        <w:rFonts w:ascii="Avenir Next" w:hAnsi="Avenir Next"/>
        <w:sz w:val="22"/>
        <w:szCs w:val="22"/>
      </w:rPr>
    </w:pPr>
  </w:p>
  <w:p w14:paraId="6BA38AA4" w14:textId="0591D1DD" w:rsidR="00115DE6" w:rsidRDefault="00115DE6" w:rsidP="000300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6495926"/>
      <w:docPartObj>
        <w:docPartGallery w:val="Page Numbers (Bottom of Page)"/>
        <w:docPartUnique/>
      </w:docPartObj>
    </w:sdtPr>
    <w:sdtContent>
      <w:p w14:paraId="1F7F18A2" w14:textId="560E059B" w:rsidR="00115DE6" w:rsidRDefault="00115DE6" w:rsidP="00980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115DE6" w:rsidRPr="000300E0" w:rsidRDefault="00115DE6" w:rsidP="000300E0">
    <w:pPr>
      <w:pStyle w:val="Footer"/>
      <w:ind w:right="360"/>
      <w:rPr>
        <w:rFonts w:ascii="Avenir Next" w:hAnsi="Avenir Next" w:cs="Arial"/>
        <w:sz w:val="22"/>
        <w:szCs w:val="22"/>
      </w:rPr>
    </w:pPr>
  </w:p>
  <w:p w14:paraId="01028C96" w14:textId="77777777" w:rsidR="00115DE6" w:rsidRDefault="00115D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5745" w14:textId="0A2F9B83" w:rsidR="00115DE6" w:rsidRPr="00B46CE2" w:rsidRDefault="00115DE6" w:rsidP="000300E0">
    <w:pPr>
      <w:pStyle w:val="Footer"/>
      <w:ind w:right="360"/>
      <w:rPr>
        <w:rFonts w:ascii="Avenir Next" w:hAnsi="Avenir Next"/>
        <w:sz w:val="22"/>
        <w:szCs w:val="22"/>
      </w:rPr>
    </w:pPr>
    <w:r>
      <w:rPr>
        <w:rFonts w:ascii="Avenir Next" w:hAnsi="Avenir Next"/>
        <w:sz w:val="22"/>
        <w:szCs w:val="22"/>
      </w:rPr>
      <w:t>20223-775</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115DE6" w:rsidRPr="000300E0" w:rsidRDefault="00115DE6"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F011D5">
          <w:rPr>
            <w:rStyle w:val="PageNumber"/>
            <w:rFonts w:ascii="Avenir Next" w:hAnsi="Avenir Next"/>
            <w:noProof/>
            <w:sz w:val="22"/>
            <w:szCs w:val="22"/>
          </w:rPr>
          <w:t>14</w:t>
        </w:r>
        <w:r w:rsidRPr="000300E0">
          <w:rPr>
            <w:rStyle w:val="PageNumber"/>
            <w:rFonts w:ascii="Avenir Next" w:hAnsi="Avenir Next"/>
            <w:sz w:val="22"/>
            <w:szCs w:val="22"/>
          </w:rPr>
          <w:fldChar w:fldCharType="end"/>
        </w:r>
      </w:p>
    </w:sdtContent>
  </w:sdt>
  <w:p w14:paraId="4C5B12BE" w14:textId="77777777" w:rsidR="00115DE6" w:rsidRPr="000300E0" w:rsidRDefault="00115DE6"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115DE6" w:rsidRDefault="00115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784E" w14:textId="77777777" w:rsidR="00C566AA" w:rsidRDefault="00C566AA" w:rsidP="00241B44">
      <w:r>
        <w:separator/>
      </w:r>
    </w:p>
  </w:footnote>
  <w:footnote w:type="continuationSeparator" w:id="0">
    <w:p w14:paraId="11646032" w14:textId="77777777" w:rsidR="00C566AA" w:rsidRDefault="00C566AA"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933061"/>
    <w:multiLevelType w:val="hybridMultilevel"/>
    <w:tmpl w:val="8084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052D24"/>
    <w:multiLevelType w:val="hybridMultilevel"/>
    <w:tmpl w:val="4BB859D2"/>
    <w:lvl w:ilvl="0" w:tplc="99885B5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3"/>
  </w:num>
  <w:num w:numId="5">
    <w:abstractNumId w:val="15"/>
  </w:num>
  <w:num w:numId="6">
    <w:abstractNumId w:val="14"/>
  </w:num>
  <w:num w:numId="7">
    <w:abstractNumId w:val="13"/>
  </w:num>
  <w:num w:numId="8">
    <w:abstractNumId w:val="4"/>
  </w:num>
  <w:num w:numId="9">
    <w:abstractNumId w:val="5"/>
  </w:num>
  <w:num w:numId="10">
    <w:abstractNumId w:val="10"/>
  </w:num>
  <w:num w:numId="11">
    <w:abstractNumId w:val="0"/>
  </w:num>
  <w:num w:numId="12">
    <w:abstractNumId w:val="7"/>
  </w:num>
  <w:num w:numId="13">
    <w:abstractNumId w:val="8"/>
  </w:num>
  <w:num w:numId="14">
    <w:abstractNumId w:val="2"/>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1E0C"/>
    <w:rsid w:val="000077DD"/>
    <w:rsid w:val="00010BA0"/>
    <w:rsid w:val="00011778"/>
    <w:rsid w:val="00020557"/>
    <w:rsid w:val="000232A1"/>
    <w:rsid w:val="000233B0"/>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1807"/>
    <w:rsid w:val="000C6BB9"/>
    <w:rsid w:val="000D32A9"/>
    <w:rsid w:val="000D55A8"/>
    <w:rsid w:val="000E4841"/>
    <w:rsid w:val="000E6325"/>
    <w:rsid w:val="000F1677"/>
    <w:rsid w:val="000F3D6C"/>
    <w:rsid w:val="000F579C"/>
    <w:rsid w:val="00101707"/>
    <w:rsid w:val="00114082"/>
    <w:rsid w:val="0011473D"/>
    <w:rsid w:val="00115C85"/>
    <w:rsid w:val="00115DE6"/>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474"/>
    <w:rsid w:val="001C45FC"/>
    <w:rsid w:val="001D02C5"/>
    <w:rsid w:val="001D4862"/>
    <w:rsid w:val="001E25B9"/>
    <w:rsid w:val="001E49E0"/>
    <w:rsid w:val="001E60C3"/>
    <w:rsid w:val="001E7B5A"/>
    <w:rsid w:val="001F7412"/>
    <w:rsid w:val="00200FDD"/>
    <w:rsid w:val="00201874"/>
    <w:rsid w:val="00202133"/>
    <w:rsid w:val="0020264E"/>
    <w:rsid w:val="00205EC8"/>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86970"/>
    <w:rsid w:val="0029433F"/>
    <w:rsid w:val="00294829"/>
    <w:rsid w:val="00294F3B"/>
    <w:rsid w:val="0029690F"/>
    <w:rsid w:val="002A1EEC"/>
    <w:rsid w:val="002A2A60"/>
    <w:rsid w:val="002B1C45"/>
    <w:rsid w:val="002C13C8"/>
    <w:rsid w:val="002C3547"/>
    <w:rsid w:val="002D0021"/>
    <w:rsid w:val="002D3473"/>
    <w:rsid w:val="002D41D7"/>
    <w:rsid w:val="002D5C95"/>
    <w:rsid w:val="002E00F8"/>
    <w:rsid w:val="002E1BB5"/>
    <w:rsid w:val="002E2322"/>
    <w:rsid w:val="002E38E2"/>
    <w:rsid w:val="002F1956"/>
    <w:rsid w:val="002F3440"/>
    <w:rsid w:val="002F4EC0"/>
    <w:rsid w:val="002F61B5"/>
    <w:rsid w:val="002F71BE"/>
    <w:rsid w:val="002F75A3"/>
    <w:rsid w:val="002F78CA"/>
    <w:rsid w:val="00303C2F"/>
    <w:rsid w:val="00312911"/>
    <w:rsid w:val="003144EF"/>
    <w:rsid w:val="003148CA"/>
    <w:rsid w:val="00315506"/>
    <w:rsid w:val="003202C5"/>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663"/>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5ABB"/>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581D"/>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073B"/>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3A0D"/>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0638"/>
    <w:rsid w:val="006F2CE3"/>
    <w:rsid w:val="006F5EF6"/>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30A6"/>
    <w:rsid w:val="008241C4"/>
    <w:rsid w:val="0082483F"/>
    <w:rsid w:val="00825354"/>
    <w:rsid w:val="008264CB"/>
    <w:rsid w:val="008279C0"/>
    <w:rsid w:val="00835FD1"/>
    <w:rsid w:val="0084683C"/>
    <w:rsid w:val="008512FA"/>
    <w:rsid w:val="00853A74"/>
    <w:rsid w:val="00853BF1"/>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E5ABC"/>
    <w:rsid w:val="008F18EF"/>
    <w:rsid w:val="008F20FC"/>
    <w:rsid w:val="008F2B24"/>
    <w:rsid w:val="008F5FFE"/>
    <w:rsid w:val="009032DF"/>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2E8"/>
    <w:rsid w:val="00980314"/>
    <w:rsid w:val="009816D0"/>
    <w:rsid w:val="00991428"/>
    <w:rsid w:val="00992676"/>
    <w:rsid w:val="00993041"/>
    <w:rsid w:val="00995358"/>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12D4"/>
    <w:rsid w:val="00AB685C"/>
    <w:rsid w:val="00AB6C2D"/>
    <w:rsid w:val="00AC08F7"/>
    <w:rsid w:val="00AC3839"/>
    <w:rsid w:val="00AC7082"/>
    <w:rsid w:val="00AD3FEA"/>
    <w:rsid w:val="00AD7BBD"/>
    <w:rsid w:val="00AF228E"/>
    <w:rsid w:val="00B04137"/>
    <w:rsid w:val="00B1112C"/>
    <w:rsid w:val="00B11D19"/>
    <w:rsid w:val="00B12936"/>
    <w:rsid w:val="00B14819"/>
    <w:rsid w:val="00B1536C"/>
    <w:rsid w:val="00B17AA9"/>
    <w:rsid w:val="00B2247E"/>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E5B4D"/>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6AA"/>
    <w:rsid w:val="00C56B61"/>
    <w:rsid w:val="00C606C3"/>
    <w:rsid w:val="00C620F4"/>
    <w:rsid w:val="00C668B6"/>
    <w:rsid w:val="00C67ECE"/>
    <w:rsid w:val="00C7161B"/>
    <w:rsid w:val="00C72848"/>
    <w:rsid w:val="00C7736C"/>
    <w:rsid w:val="00C82D87"/>
    <w:rsid w:val="00C841ED"/>
    <w:rsid w:val="00C85F17"/>
    <w:rsid w:val="00C86388"/>
    <w:rsid w:val="00C8712A"/>
    <w:rsid w:val="00C91324"/>
    <w:rsid w:val="00C914F7"/>
    <w:rsid w:val="00C963D3"/>
    <w:rsid w:val="00CA24B6"/>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237C4"/>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40D9"/>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D8A"/>
    <w:rsid w:val="00E64F45"/>
    <w:rsid w:val="00E6742D"/>
    <w:rsid w:val="00E71CB0"/>
    <w:rsid w:val="00E73529"/>
    <w:rsid w:val="00E77C3D"/>
    <w:rsid w:val="00E81962"/>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16B4"/>
    <w:rsid w:val="00ED19F9"/>
    <w:rsid w:val="00ED2BCA"/>
    <w:rsid w:val="00ED3771"/>
    <w:rsid w:val="00ED4AB7"/>
    <w:rsid w:val="00ED6A32"/>
    <w:rsid w:val="00ED6F60"/>
    <w:rsid w:val="00EE02FE"/>
    <w:rsid w:val="00EE4971"/>
    <w:rsid w:val="00EF090E"/>
    <w:rsid w:val="00F011D5"/>
    <w:rsid w:val="00F02AF0"/>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08A9"/>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7944-E81A-4095-B1C2-F49E7FE9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CHIBELUKA EMMANUEL</cp:lastModifiedBy>
  <cp:revision>16</cp:revision>
  <cp:lastPrinted>2019-08-27T05:42:00Z</cp:lastPrinted>
  <dcterms:created xsi:type="dcterms:W3CDTF">2022-07-22T09:49:00Z</dcterms:created>
  <dcterms:modified xsi:type="dcterms:W3CDTF">2023-02-27T19:09:00Z</dcterms:modified>
</cp:coreProperties>
</file>