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E15CA7" w:rsidRDefault="00436884" w:rsidP="00436884">
      <w:pPr>
        <w:pStyle w:val="ListParagraph"/>
        <w:numPr>
          <w:ilvl w:val="0"/>
          <w:numId w:val="12"/>
        </w:numPr>
        <w:ind w:left="426"/>
        <w:jc w:val="both"/>
        <w:rPr>
          <w:rFonts w:ascii="Avenir Next" w:hAnsi="Avenir Next" w:cs="Arial"/>
          <w:sz w:val="22"/>
          <w:szCs w:val="22"/>
          <w:highlight w:val="yellow"/>
          <w:lang w:val="en-GB"/>
        </w:rPr>
      </w:pPr>
      <w:r w:rsidRPr="00E15CA7">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Law is to provide a fair and efficient administration of cross-border insolvencies that protects all creditors and the </w:t>
      </w:r>
      <w:proofErr w:type="gramStart"/>
      <w:r w:rsidRPr="00E2622D">
        <w:rPr>
          <w:rFonts w:ascii="Avenir Next" w:hAnsi="Avenir Next" w:cs="Arial"/>
          <w:sz w:val="22"/>
          <w:szCs w:val="22"/>
          <w:lang w:val="en-GB"/>
        </w:rPr>
        <w:t>debtor</w:t>
      </w:r>
      <w:proofErr w:type="gramEnd"/>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A36DF6" w:rsidRDefault="00436884" w:rsidP="00436884">
      <w:pPr>
        <w:pStyle w:val="ListParagraph"/>
        <w:numPr>
          <w:ilvl w:val="0"/>
          <w:numId w:val="14"/>
        </w:numPr>
        <w:ind w:left="426"/>
        <w:jc w:val="both"/>
        <w:rPr>
          <w:rFonts w:ascii="Avenir Next" w:hAnsi="Avenir Next" w:cs="Arial"/>
          <w:sz w:val="22"/>
          <w:szCs w:val="22"/>
          <w:highlight w:val="yellow"/>
          <w:lang w:val="en-GB"/>
        </w:rPr>
      </w:pPr>
      <w:proofErr w:type="gramStart"/>
      <w:r w:rsidRPr="00A36DF6">
        <w:rPr>
          <w:rFonts w:ascii="Avenir Next" w:hAnsi="Avenir Next" w:cs="Arial"/>
          <w:sz w:val="22"/>
          <w:szCs w:val="22"/>
          <w:highlight w:val="yellow"/>
          <w:lang w:val="en-GB"/>
        </w:rPr>
        <w:t>All of</w:t>
      </w:r>
      <w:proofErr w:type="gramEnd"/>
      <w:r w:rsidRPr="00A36DF6">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351323" w:rsidRDefault="00853A74" w:rsidP="00853A74">
      <w:pPr>
        <w:pStyle w:val="ListParagraph"/>
        <w:numPr>
          <w:ilvl w:val="0"/>
          <w:numId w:val="16"/>
        </w:numPr>
        <w:ind w:left="426"/>
        <w:jc w:val="both"/>
        <w:rPr>
          <w:rFonts w:ascii="Avenir Next" w:hAnsi="Avenir Next" w:cs="Arial"/>
          <w:sz w:val="22"/>
          <w:szCs w:val="22"/>
          <w:highlight w:val="yellow"/>
          <w:lang w:val="en-GB"/>
        </w:rPr>
      </w:pPr>
      <w:r w:rsidRPr="00351323">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351323" w:rsidRDefault="00436884" w:rsidP="00436884">
      <w:pPr>
        <w:pStyle w:val="ListParagraph"/>
        <w:numPr>
          <w:ilvl w:val="0"/>
          <w:numId w:val="18"/>
        </w:numPr>
        <w:ind w:left="426"/>
        <w:jc w:val="both"/>
        <w:rPr>
          <w:rFonts w:ascii="Avenir Next" w:hAnsi="Avenir Next" w:cs="Arial"/>
          <w:sz w:val="22"/>
          <w:szCs w:val="22"/>
          <w:highlight w:val="yellow"/>
          <w:lang w:val="en-GB"/>
        </w:rPr>
      </w:pPr>
      <w:r w:rsidRPr="00351323">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372523" w:rsidRDefault="00C504E5" w:rsidP="00C504E5">
      <w:pPr>
        <w:pStyle w:val="ListParagraph"/>
        <w:numPr>
          <w:ilvl w:val="0"/>
          <w:numId w:val="20"/>
        </w:numPr>
        <w:ind w:left="426"/>
        <w:jc w:val="both"/>
        <w:rPr>
          <w:rFonts w:ascii="Avenir Next" w:hAnsi="Avenir Next" w:cs="Arial"/>
          <w:sz w:val="22"/>
          <w:szCs w:val="22"/>
          <w:highlight w:val="yellow"/>
          <w:lang w:val="en-GB"/>
        </w:rPr>
      </w:pPr>
      <w:r w:rsidRPr="00372523">
        <w:rPr>
          <w:rFonts w:ascii="Avenir Next" w:hAnsi="Avenir Next" w:cs="Arial"/>
          <w:sz w:val="22"/>
          <w:szCs w:val="22"/>
          <w:highlight w:val="yellow"/>
          <w:lang w:val="en-GB"/>
        </w:rPr>
        <w:t xml:space="preserve">Both the foreign main proceedings in South Africa and the foreign non-main proceedings in </w:t>
      </w:r>
      <w:r w:rsidR="004137C3" w:rsidRPr="00372523">
        <w:rPr>
          <w:rFonts w:ascii="Avenir Next" w:hAnsi="Avenir Next" w:cs="Arial"/>
          <w:sz w:val="22"/>
          <w:szCs w:val="22"/>
          <w:highlight w:val="yellow"/>
          <w:lang w:val="en-GB"/>
        </w:rPr>
        <w:t xml:space="preserve">Argentina </w:t>
      </w:r>
      <w:r w:rsidRPr="00372523">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8D5C82" w:rsidRDefault="00B72F5F" w:rsidP="00114082">
      <w:pPr>
        <w:pStyle w:val="ListParagraph"/>
        <w:numPr>
          <w:ilvl w:val="0"/>
          <w:numId w:val="26"/>
        </w:numPr>
        <w:ind w:left="426"/>
        <w:jc w:val="both"/>
        <w:rPr>
          <w:rFonts w:ascii="Avenir Next" w:hAnsi="Avenir Next" w:cs="Arial"/>
          <w:sz w:val="22"/>
          <w:szCs w:val="22"/>
          <w:highlight w:val="yellow"/>
          <w:lang w:val="en-GB"/>
        </w:rPr>
      </w:pPr>
      <w:r w:rsidRPr="008D5C82">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D5C82">
        <w:rPr>
          <w:rFonts w:ascii="Avenir Next" w:hAnsi="Avenir Next" w:cs="Arial"/>
          <w:sz w:val="22"/>
          <w:szCs w:val="22"/>
          <w:highlight w:val="yellow"/>
          <w:lang w:val="en-GB"/>
        </w:rPr>
        <w:t>will</w:t>
      </w:r>
      <w:r w:rsidRPr="008D5C82">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327B8B" w:rsidRDefault="00436884" w:rsidP="00436884">
      <w:pPr>
        <w:pStyle w:val="ListParagraph"/>
        <w:numPr>
          <w:ilvl w:val="0"/>
          <w:numId w:val="27"/>
        </w:numPr>
        <w:ind w:left="426"/>
        <w:jc w:val="both"/>
        <w:rPr>
          <w:rFonts w:ascii="Avenir Next" w:hAnsi="Avenir Next" w:cs="Arial"/>
          <w:sz w:val="22"/>
          <w:szCs w:val="22"/>
          <w:highlight w:val="yellow"/>
          <w:lang w:val="en-GB"/>
        </w:rPr>
      </w:pPr>
      <w:r w:rsidRPr="00327B8B">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F37AAC" w:rsidRDefault="00436884" w:rsidP="00436884">
      <w:pPr>
        <w:pStyle w:val="ListParagraph"/>
        <w:numPr>
          <w:ilvl w:val="0"/>
          <w:numId w:val="28"/>
        </w:numPr>
        <w:ind w:left="426"/>
        <w:jc w:val="both"/>
        <w:rPr>
          <w:rFonts w:ascii="Avenir Next" w:hAnsi="Avenir Next" w:cs="Arial"/>
          <w:sz w:val="22"/>
          <w:szCs w:val="22"/>
          <w:lang w:val="en-GB"/>
        </w:rPr>
      </w:pPr>
      <w:r w:rsidRPr="00F37AAC">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F37AAC" w:rsidRDefault="00436884" w:rsidP="00436884">
      <w:pPr>
        <w:pStyle w:val="ListParagraph"/>
        <w:numPr>
          <w:ilvl w:val="0"/>
          <w:numId w:val="28"/>
        </w:numPr>
        <w:ind w:left="426"/>
        <w:jc w:val="both"/>
        <w:rPr>
          <w:rFonts w:ascii="Avenir Next" w:hAnsi="Avenir Next" w:cs="Arial"/>
          <w:sz w:val="22"/>
          <w:szCs w:val="22"/>
          <w:highlight w:val="yellow"/>
          <w:lang w:val="en-GB"/>
        </w:rPr>
      </w:pPr>
      <w:proofErr w:type="gramStart"/>
      <w:r w:rsidRPr="00F37AAC">
        <w:rPr>
          <w:rFonts w:ascii="Avenir Next" w:hAnsi="Avenir Next" w:cs="Arial"/>
          <w:sz w:val="22"/>
          <w:szCs w:val="22"/>
          <w:highlight w:val="yellow"/>
          <w:lang w:val="en-GB"/>
        </w:rPr>
        <w:t>All of</w:t>
      </w:r>
      <w:proofErr w:type="gramEnd"/>
      <w:r w:rsidRPr="00F37AAC">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347D4" w:rsidRDefault="00436884" w:rsidP="00436884">
      <w:pPr>
        <w:pStyle w:val="ListParagraph"/>
        <w:numPr>
          <w:ilvl w:val="0"/>
          <w:numId w:val="29"/>
        </w:numPr>
        <w:ind w:left="426"/>
        <w:jc w:val="both"/>
        <w:rPr>
          <w:rFonts w:ascii="Avenir Next" w:hAnsi="Avenir Next" w:cs="Arial"/>
          <w:sz w:val="22"/>
          <w:szCs w:val="22"/>
          <w:highlight w:val="yellow"/>
          <w:lang w:val="en-GB"/>
        </w:rPr>
      </w:pPr>
      <w:r w:rsidRPr="003347D4">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436884">
      <w:pPr>
        <w:pStyle w:val="ListParagraph"/>
        <w:numPr>
          <w:ilvl w:val="0"/>
          <w:numId w:val="30"/>
        </w:numPr>
        <w:ind w:left="426"/>
        <w:jc w:val="both"/>
        <w:rPr>
          <w:rFonts w:ascii="Avenir Next" w:hAnsi="Avenir Next" w:cs="Arial"/>
          <w:sz w:val="22"/>
          <w:szCs w:val="22"/>
          <w:lang w:val="en-GB"/>
        </w:rPr>
      </w:pPr>
      <w:r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C40E9E" w:rsidRDefault="00436884" w:rsidP="00436884">
      <w:pPr>
        <w:pStyle w:val="ListParagraph"/>
        <w:numPr>
          <w:ilvl w:val="0"/>
          <w:numId w:val="30"/>
        </w:numPr>
        <w:spacing w:line="276" w:lineRule="auto"/>
        <w:ind w:left="426"/>
        <w:jc w:val="both"/>
        <w:rPr>
          <w:rFonts w:ascii="Avenir Next" w:hAnsi="Avenir Next" w:cs="Arial"/>
          <w:b/>
          <w:sz w:val="22"/>
          <w:szCs w:val="22"/>
          <w:highlight w:val="yellow"/>
          <w:lang w:val="en-GB"/>
        </w:rPr>
      </w:pPr>
      <w:r w:rsidRPr="00C40E9E">
        <w:rPr>
          <w:rFonts w:ascii="Avenir Next" w:hAnsi="Avenir Next" w:cs="Arial"/>
          <w:sz w:val="22"/>
          <w:szCs w:val="22"/>
          <w:highlight w:val="yellow"/>
          <w:lang w:val="en-GB"/>
        </w:rPr>
        <w:t>All foreign creditors</w:t>
      </w:r>
      <w:r w:rsidR="002654E8" w:rsidRPr="00C40E9E">
        <w:rPr>
          <w:rFonts w:ascii="Avenir Next" w:hAnsi="Avenir Next" w:cs="Arial"/>
          <w:sz w:val="22"/>
          <w:szCs w:val="22"/>
          <w:highlight w:val="yellow"/>
          <w:lang w:val="en-GB"/>
        </w:rPr>
        <w:t>’</w:t>
      </w:r>
      <w:r w:rsidRPr="00C40E9E">
        <w:rPr>
          <w:rFonts w:ascii="Avenir Next" w:hAnsi="Avenir Next" w:cs="Arial"/>
          <w:sz w:val="22"/>
          <w:szCs w:val="22"/>
          <w:highlight w:val="yellow"/>
          <w:lang w:val="en-GB"/>
        </w:rPr>
        <w:t xml:space="preserve"> claims are</w:t>
      </w:r>
      <w:r w:rsidR="002654E8" w:rsidRPr="00C40E9E">
        <w:rPr>
          <w:rFonts w:ascii="Avenir Next" w:hAnsi="Avenir Next" w:cs="Arial"/>
          <w:sz w:val="22"/>
          <w:szCs w:val="22"/>
          <w:highlight w:val="yellow"/>
          <w:lang w:val="en-GB"/>
        </w:rPr>
        <w:t>,</w:t>
      </w:r>
      <w:r w:rsidRPr="00C40E9E">
        <w:rPr>
          <w:rFonts w:ascii="Avenir Next" w:hAnsi="Avenir Next" w:cs="Arial"/>
          <w:sz w:val="22"/>
          <w:szCs w:val="22"/>
          <w:highlight w:val="yellow"/>
          <w:lang w:val="en-GB"/>
        </w:rPr>
        <w:t xml:space="preserve"> as a minimum</w:t>
      </w:r>
      <w:r w:rsidR="002654E8" w:rsidRPr="00C40E9E">
        <w:rPr>
          <w:rFonts w:ascii="Avenir Next" w:hAnsi="Avenir Next" w:cs="Arial"/>
          <w:sz w:val="22"/>
          <w:szCs w:val="22"/>
          <w:highlight w:val="yellow"/>
          <w:lang w:val="en-GB"/>
        </w:rPr>
        <w:t>,</w:t>
      </w:r>
      <w:r w:rsidRPr="00C40E9E">
        <w:rPr>
          <w:rFonts w:ascii="Avenir Next" w:hAnsi="Avenir Next" w:cs="Arial"/>
          <w:sz w:val="22"/>
          <w:szCs w:val="22"/>
          <w:highlight w:val="yellow"/>
          <w:lang w:val="en-GB"/>
        </w:rPr>
        <w:t xml:space="preserve"> considered </w:t>
      </w:r>
      <w:r w:rsidR="002654E8" w:rsidRPr="00C40E9E">
        <w:rPr>
          <w:rFonts w:ascii="Avenir Next" w:hAnsi="Avenir Next" w:cs="Arial"/>
          <w:sz w:val="22"/>
          <w:szCs w:val="22"/>
          <w:highlight w:val="yellow"/>
          <w:lang w:val="en-GB"/>
        </w:rPr>
        <w:t>to be</w:t>
      </w:r>
      <w:r w:rsidRPr="00C40E9E">
        <w:rPr>
          <w:rFonts w:ascii="Avenir Next" w:hAnsi="Avenir Next" w:cs="Arial"/>
          <w:sz w:val="22"/>
          <w:szCs w:val="22"/>
          <w:highlight w:val="yellow"/>
          <w:lang w:val="en-GB"/>
        </w:rPr>
        <w:t xml:space="preserve"> unsecured</w:t>
      </w:r>
      <w:r w:rsidR="004137C3" w:rsidRPr="00C40E9E">
        <w:rPr>
          <w:rFonts w:ascii="Avenir Next" w:hAnsi="Avenir Next" w:cs="Arial"/>
          <w:sz w:val="22"/>
          <w:szCs w:val="22"/>
          <w:highlight w:val="yellow"/>
          <w:lang w:val="en-GB"/>
        </w:rPr>
        <w:t xml:space="preserve"> claims</w:t>
      </w:r>
      <w:r w:rsidRPr="00C40E9E">
        <w:rPr>
          <w:rFonts w:ascii="Avenir Next" w:hAnsi="Avenir Next" w:cs="Arial"/>
          <w:sz w:val="22"/>
          <w:szCs w:val="22"/>
          <w:highlight w:val="yellow"/>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0248E14" w:rsidR="00436884" w:rsidRPr="003312A4"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36A903F0" w14:textId="77777777" w:rsidR="003312A4" w:rsidRPr="003312A4" w:rsidRDefault="003312A4" w:rsidP="003312A4">
      <w:pPr>
        <w:pStyle w:val="ListParagraph"/>
        <w:rPr>
          <w:rFonts w:ascii="Avenir Next" w:hAnsi="Avenir Next" w:cs="Arial"/>
          <w:b/>
          <w:sz w:val="22"/>
          <w:szCs w:val="22"/>
          <w:lang w:val="en-GB"/>
        </w:rPr>
      </w:pPr>
    </w:p>
    <w:p w14:paraId="756B765F" w14:textId="77777777" w:rsidR="003312A4" w:rsidRPr="00E2622D" w:rsidRDefault="003312A4" w:rsidP="003312A4">
      <w:pPr>
        <w:pStyle w:val="ListParagraph"/>
        <w:spacing w:line="276" w:lineRule="auto"/>
        <w:ind w:left="426"/>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2AD457A1" w14:textId="354A4CBB" w:rsidR="00251828" w:rsidRPr="00927E95" w:rsidRDefault="00251828" w:rsidP="00251828">
      <w:pPr>
        <w:jc w:val="both"/>
        <w:rPr>
          <w:rFonts w:ascii="Arial" w:hAnsi="Arial" w:cs="Arial"/>
          <w:sz w:val="22"/>
          <w:szCs w:val="22"/>
          <w:highlight w:val="yellow"/>
        </w:rPr>
      </w:pPr>
      <w:r w:rsidRPr="00927E95">
        <w:rPr>
          <w:rFonts w:ascii="Arial" w:hAnsi="Arial" w:cs="Arial"/>
          <w:sz w:val="22"/>
          <w:szCs w:val="22"/>
          <w:highlight w:val="yellow"/>
        </w:rPr>
        <w:t>The Model Law does not define the term COMI. Uncertainty and unpredictability resulting from the interpretation of the COMI concept in article 16 of the MLCBI over time prompted a proposal to UNCITRAL in 2010 to provide additional information and advice on the idea. On July 18, 2013, the UNCITRAL Model Law on Cross-Border Insolvency Guide to Enactment and Interpretation (GEI) was adopted.</w:t>
      </w:r>
    </w:p>
    <w:p w14:paraId="2F327290" w14:textId="77777777" w:rsidR="00251828" w:rsidRPr="00927E95" w:rsidRDefault="00251828" w:rsidP="00251828">
      <w:pPr>
        <w:jc w:val="both"/>
        <w:rPr>
          <w:rFonts w:ascii="Arial" w:hAnsi="Arial" w:cs="Arial"/>
          <w:sz w:val="22"/>
          <w:szCs w:val="22"/>
          <w:highlight w:val="yellow"/>
        </w:rPr>
      </w:pPr>
    </w:p>
    <w:p w14:paraId="3D61C532" w14:textId="77777777" w:rsidR="00251828" w:rsidRPr="00072ED6" w:rsidRDefault="00251828" w:rsidP="00251828">
      <w:pPr>
        <w:autoSpaceDE w:val="0"/>
        <w:autoSpaceDN w:val="0"/>
        <w:adjustRightInd w:val="0"/>
        <w:jc w:val="both"/>
        <w:rPr>
          <w:rFonts w:ascii="Arial" w:hAnsi="Arial" w:cs="Arial"/>
          <w:sz w:val="22"/>
          <w:szCs w:val="22"/>
        </w:rPr>
      </w:pPr>
      <w:r w:rsidRPr="00927E95">
        <w:rPr>
          <w:rFonts w:ascii="Arial" w:hAnsi="Arial" w:cs="Arial"/>
          <w:sz w:val="22"/>
          <w:szCs w:val="22"/>
          <w:highlight w:val="yellow"/>
        </w:rPr>
        <w:t>The date by which the debtor's COMI (or establishment) is to be ascertained is discussed by the GEI at paragraphs 157–160. The GEI suggests that the appropriate date is the date of commencement of the foreign proceeding. The GEI at paragraph 159 notes that, having regard to the evidence required to accompany an application for recognition under article 15 and the relevance accorded to the decision commencing the foreign proceeding and appointing the foreign representative, the date of commencement of that proceeding is the appropriate date for determining COMI.</w:t>
      </w:r>
    </w:p>
    <w:p w14:paraId="0E8C2C3F" w14:textId="328A1A12" w:rsidR="00B77352" w:rsidRDefault="00B77352" w:rsidP="00251828">
      <w:pPr>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lastRenderedPageBreak/>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3AB16101" w14:textId="77777777" w:rsidR="00251828" w:rsidRDefault="00251828" w:rsidP="00436884">
      <w:pPr>
        <w:ind w:left="720" w:hanging="720"/>
        <w:jc w:val="both"/>
        <w:rPr>
          <w:rFonts w:ascii="Avenir Next" w:hAnsi="Avenir Next" w:cs="Arial"/>
          <w:sz w:val="22"/>
          <w:szCs w:val="22"/>
          <w:lang w:val="en-GB"/>
        </w:rPr>
      </w:pPr>
      <w:r>
        <w:rPr>
          <w:rFonts w:ascii="Avenir Next" w:hAnsi="Avenir Next" w:cs="Arial"/>
          <w:sz w:val="22"/>
          <w:szCs w:val="22"/>
          <w:lang w:val="en-GB"/>
        </w:rPr>
        <w:tab/>
      </w:r>
      <w:r>
        <w:rPr>
          <w:rFonts w:ascii="Avenir Next" w:hAnsi="Avenir Next" w:cs="Arial"/>
          <w:sz w:val="22"/>
          <w:szCs w:val="22"/>
          <w:lang w:val="en-GB"/>
        </w:rPr>
        <w:tab/>
      </w:r>
    </w:p>
    <w:p w14:paraId="61610003" w14:textId="6ABE5F1F" w:rsidR="00436884" w:rsidRPr="00D53BA9" w:rsidRDefault="00251828" w:rsidP="00251828">
      <w:pPr>
        <w:ind w:left="1440"/>
        <w:jc w:val="both"/>
        <w:rPr>
          <w:rFonts w:ascii="Arial" w:hAnsi="Arial" w:cs="Arial"/>
          <w:sz w:val="22"/>
          <w:szCs w:val="22"/>
          <w:highlight w:val="yellow"/>
        </w:rPr>
      </w:pPr>
      <w:r w:rsidRPr="00D53BA9">
        <w:rPr>
          <w:rFonts w:ascii="Arial" w:hAnsi="Arial" w:cs="Arial"/>
          <w:sz w:val="22"/>
          <w:szCs w:val="22"/>
          <w:highlight w:val="yellow"/>
          <w:lang w:val="en-GB"/>
        </w:rPr>
        <w:t>Article 14 -</w:t>
      </w:r>
      <w:r w:rsidRPr="00D53BA9">
        <w:rPr>
          <w:rFonts w:ascii="Arial" w:hAnsi="Arial" w:cs="Arial"/>
          <w:sz w:val="22"/>
          <w:szCs w:val="22"/>
          <w:highlight w:val="yellow"/>
        </w:rPr>
        <w:t xml:space="preserve"> </w:t>
      </w:r>
      <w:r w:rsidRPr="00D53BA9">
        <w:rPr>
          <w:rFonts w:ascii="Arial" w:hAnsi="Arial" w:cs="Arial"/>
          <w:sz w:val="22"/>
          <w:szCs w:val="22"/>
          <w:highlight w:val="yellow"/>
        </w:rPr>
        <w:t>Notification to foreign creditors of a proceeding under [identify laws of the enacting State relating to insolvency</w:t>
      </w:r>
      <w:r w:rsidRPr="00D53BA9">
        <w:rPr>
          <w:rFonts w:ascii="Arial" w:hAnsi="Arial" w:cs="Arial"/>
          <w:sz w:val="22"/>
          <w:szCs w:val="22"/>
          <w:highlight w:val="yellow"/>
        </w:rPr>
        <w:t>]</w:t>
      </w:r>
    </w:p>
    <w:p w14:paraId="3B3D17A2" w14:textId="77777777" w:rsidR="00D53BA9" w:rsidRPr="00D53BA9" w:rsidRDefault="00D53BA9" w:rsidP="00D53BA9">
      <w:pPr>
        <w:ind w:left="1440"/>
        <w:jc w:val="both"/>
        <w:rPr>
          <w:rFonts w:ascii="Arial" w:hAnsi="Arial" w:cs="Arial"/>
          <w:sz w:val="22"/>
          <w:szCs w:val="22"/>
          <w:highlight w:val="yellow"/>
        </w:rPr>
      </w:pPr>
    </w:p>
    <w:p w14:paraId="4879733E" w14:textId="0F9E8F77" w:rsidR="00D53BA9" w:rsidRPr="00D53BA9" w:rsidRDefault="00D53BA9" w:rsidP="00D53BA9">
      <w:pPr>
        <w:ind w:left="1440"/>
        <w:jc w:val="both"/>
        <w:rPr>
          <w:rFonts w:ascii="Arial" w:hAnsi="Arial" w:cs="Arial"/>
          <w:sz w:val="22"/>
          <w:szCs w:val="22"/>
        </w:rPr>
      </w:pPr>
      <w:r w:rsidRPr="00D53BA9">
        <w:rPr>
          <w:rFonts w:ascii="Arial" w:hAnsi="Arial" w:cs="Arial"/>
          <w:sz w:val="22"/>
          <w:szCs w:val="22"/>
          <w:highlight w:val="yellow"/>
        </w:rPr>
        <w:t>The key objective of notifying foreign creditors as provided in paragraph 1 of Article 14 is to inform them of the commencement of the insolvency proceeding and of the time limit t</w:t>
      </w:r>
      <w:r w:rsidRPr="00D53BA9">
        <w:rPr>
          <w:rFonts w:ascii="Arial" w:hAnsi="Arial" w:cs="Arial"/>
          <w:sz w:val="22"/>
          <w:szCs w:val="22"/>
          <w:highlight w:val="yellow"/>
        </w:rPr>
        <w:t>o</w:t>
      </w:r>
      <w:r w:rsidRPr="00D53BA9">
        <w:rPr>
          <w:rFonts w:ascii="Arial" w:hAnsi="Arial" w:cs="Arial"/>
          <w:sz w:val="22"/>
          <w:szCs w:val="22"/>
          <w:highlight w:val="yellow"/>
        </w:rPr>
        <w:t xml:space="preserve"> file their claims. In addition, as a logical extension of the </w:t>
      </w:r>
      <w:r w:rsidRPr="00D53BA9">
        <w:rPr>
          <w:rFonts w:ascii="Arial" w:hAnsi="Arial" w:cs="Arial"/>
          <w:sz w:val="22"/>
          <w:szCs w:val="22"/>
          <w:highlight w:val="yellow"/>
        </w:rPr>
        <w:t xml:space="preserve">concept of </w:t>
      </w:r>
      <w:r w:rsidRPr="00D53BA9">
        <w:rPr>
          <w:rFonts w:ascii="Arial" w:hAnsi="Arial" w:cs="Arial"/>
          <w:sz w:val="22"/>
          <w:szCs w:val="22"/>
          <w:highlight w:val="yellow"/>
        </w:rPr>
        <w:t>equal treatment concept established by article 13, article 14 stipulates that foreign creditors must be informed whenever notification is necessary for creditors in the enacting State.</w:t>
      </w:r>
    </w:p>
    <w:p w14:paraId="24541369" w14:textId="77777777" w:rsidR="00D53BA9" w:rsidRPr="00D53BA9" w:rsidRDefault="00D53BA9" w:rsidP="00251828">
      <w:pPr>
        <w:ind w:left="1440"/>
        <w:jc w:val="both"/>
        <w:rPr>
          <w:rFonts w:ascii="Arial" w:hAnsi="Arial" w:cs="Arial"/>
          <w:sz w:val="22"/>
          <w:szCs w:val="22"/>
          <w:lang w:val="en-GB"/>
        </w:rPr>
      </w:pPr>
    </w:p>
    <w:p w14:paraId="6856114D" w14:textId="77777777" w:rsidR="00251828" w:rsidRPr="00E2622D" w:rsidRDefault="00251828" w:rsidP="00436884">
      <w:pPr>
        <w:ind w:left="720" w:hanging="720"/>
        <w:jc w:val="both"/>
        <w:rPr>
          <w:rFonts w:ascii="Avenir Next" w:hAnsi="Avenir Next" w:cs="Arial"/>
          <w:sz w:val="22"/>
          <w:szCs w:val="22"/>
          <w:lang w:val="en-GB"/>
        </w:rPr>
      </w:pPr>
    </w:p>
    <w:p w14:paraId="614A51A6" w14:textId="5DA09F32" w:rsidR="00436884" w:rsidRDefault="00436884" w:rsidP="00436884">
      <w:pPr>
        <w:ind w:left="1440" w:hanging="1440"/>
        <w:jc w:val="both"/>
        <w:rPr>
          <w:rFonts w:ascii="Avenir Next" w:hAnsi="Avenir Next" w:cs="Arial"/>
          <w:i/>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6082E8E" w14:textId="32EF0548" w:rsidR="00D53BA9" w:rsidRDefault="00D53BA9" w:rsidP="00436884">
      <w:pPr>
        <w:ind w:left="1440" w:hanging="1440"/>
        <w:jc w:val="both"/>
        <w:rPr>
          <w:rFonts w:ascii="Avenir Next" w:hAnsi="Avenir Next" w:cs="Arial"/>
          <w:sz w:val="22"/>
          <w:szCs w:val="22"/>
          <w:lang w:val="en-GB"/>
        </w:rPr>
      </w:pPr>
    </w:p>
    <w:p w14:paraId="2A484DE2" w14:textId="58F91971" w:rsidR="005C2655" w:rsidRPr="005C2655" w:rsidRDefault="00D53BA9" w:rsidP="00436884">
      <w:pPr>
        <w:ind w:left="1440" w:hanging="1440"/>
        <w:jc w:val="both"/>
        <w:rPr>
          <w:rFonts w:ascii="Avenir Next" w:hAnsi="Avenir Next" w:cs="Arial"/>
          <w:sz w:val="22"/>
          <w:szCs w:val="22"/>
          <w:highlight w:val="yellow"/>
          <w:lang w:val="en-GB"/>
        </w:rPr>
      </w:pPr>
      <w:r>
        <w:rPr>
          <w:rFonts w:ascii="Avenir Next" w:hAnsi="Avenir Next" w:cs="Arial"/>
          <w:sz w:val="22"/>
          <w:szCs w:val="22"/>
          <w:lang w:val="en-GB"/>
        </w:rPr>
        <w:tab/>
      </w:r>
      <w:r w:rsidRPr="005C2655">
        <w:rPr>
          <w:rFonts w:ascii="Avenir Next" w:hAnsi="Avenir Next" w:cs="Arial"/>
          <w:sz w:val="22"/>
          <w:szCs w:val="22"/>
          <w:highlight w:val="yellow"/>
          <w:lang w:val="en-GB"/>
        </w:rPr>
        <w:t xml:space="preserve">Article 10 </w:t>
      </w:r>
      <w:r w:rsidR="005C2655" w:rsidRPr="005C2655">
        <w:rPr>
          <w:rFonts w:ascii="Avenir Next" w:hAnsi="Avenir Next" w:cs="Arial"/>
          <w:sz w:val="22"/>
          <w:szCs w:val="22"/>
          <w:highlight w:val="yellow"/>
          <w:lang w:val="en-GB"/>
        </w:rPr>
        <w:t>– Limited Jurisdiction</w:t>
      </w:r>
    </w:p>
    <w:p w14:paraId="7B2B2FFB" w14:textId="59799DC0" w:rsidR="00436884" w:rsidRDefault="00D53BA9" w:rsidP="005C2655">
      <w:pPr>
        <w:ind w:left="1440" w:hanging="1440"/>
        <w:jc w:val="both"/>
        <w:rPr>
          <w:rFonts w:ascii="Avenir Next" w:hAnsi="Avenir Next" w:cs="Arial"/>
          <w:sz w:val="22"/>
          <w:szCs w:val="22"/>
          <w:lang w:val="en-GB"/>
        </w:rPr>
      </w:pPr>
      <w:r w:rsidRPr="005C2655">
        <w:rPr>
          <w:rFonts w:ascii="Avenir Next" w:hAnsi="Avenir Next" w:cs="Arial"/>
          <w:sz w:val="22"/>
          <w:szCs w:val="22"/>
          <w:highlight w:val="yellow"/>
          <w:lang w:val="en-GB"/>
        </w:rPr>
        <w:tab/>
        <w:t xml:space="preserve">The Safe Conduct Rule </w:t>
      </w:r>
      <w:r w:rsidR="005C2655" w:rsidRPr="005C2655">
        <w:rPr>
          <w:rFonts w:ascii="Avenir Next" w:hAnsi="Avenir Next" w:cs="Arial"/>
          <w:sz w:val="22"/>
          <w:szCs w:val="22"/>
          <w:highlight w:val="yellow"/>
          <w:lang w:val="en-GB"/>
        </w:rPr>
        <w:t>warrants</w:t>
      </w:r>
      <w:r w:rsidRPr="005C2655">
        <w:rPr>
          <w:rFonts w:ascii="Avenir Next" w:hAnsi="Avenir Next" w:cs="Arial"/>
          <w:sz w:val="22"/>
          <w:szCs w:val="22"/>
          <w:highlight w:val="yellow"/>
          <w:lang w:val="en-GB"/>
        </w:rPr>
        <w:t xml:space="preserve"> that Courts in the </w:t>
      </w:r>
      <w:r w:rsidR="005C2655" w:rsidRPr="005C2655">
        <w:rPr>
          <w:rFonts w:ascii="Avenir Next" w:hAnsi="Avenir Next" w:cs="Arial"/>
          <w:sz w:val="22"/>
          <w:szCs w:val="22"/>
          <w:highlight w:val="yellow"/>
          <w:lang w:val="en-GB"/>
        </w:rPr>
        <w:t xml:space="preserve">in the enacting state </w:t>
      </w:r>
      <w:r w:rsidR="005C2655" w:rsidRPr="005C2655">
        <w:rPr>
          <w:highlight w:val="yellow"/>
        </w:rPr>
        <w:t>law w</w:t>
      </w:r>
      <w:r w:rsidR="005C2655" w:rsidRPr="005C2655">
        <w:rPr>
          <w:highlight w:val="yellow"/>
        </w:rPr>
        <w:t xml:space="preserve">ill not </w:t>
      </w:r>
      <w:r w:rsidR="005C2655" w:rsidRPr="005C2655">
        <w:rPr>
          <w:highlight w:val="yellow"/>
        </w:rPr>
        <w:t xml:space="preserve"> assume control over all of the debtor's assets just because the foreign representative has applied to have a foreign proceeding recognized</w:t>
      </w:r>
      <w:r w:rsidR="005C2655" w:rsidRPr="005C2655">
        <w:rPr>
          <w:highlight w:val="yellow"/>
        </w:rPr>
        <w:t xml:space="preserve">. </w:t>
      </w:r>
      <w:r w:rsidR="005C2655" w:rsidRPr="005C2655">
        <w:rPr>
          <w:rFonts w:ascii="Avenir Next" w:hAnsi="Avenir Next" w:cs="Arial"/>
          <w:sz w:val="22"/>
          <w:szCs w:val="22"/>
          <w:highlight w:val="yellow"/>
          <w:lang w:val="en-GB"/>
        </w:rPr>
        <w:t xml:space="preserve">This article addresses the </w:t>
      </w:r>
      <w:r w:rsidR="005C2655" w:rsidRPr="005C2655">
        <w:rPr>
          <w:rFonts w:ascii="Avenir Next" w:hAnsi="Avenir Next" w:cs="Arial"/>
          <w:sz w:val="22"/>
          <w:szCs w:val="22"/>
          <w:highlight w:val="yellow"/>
          <w:lang w:val="en-GB"/>
        </w:rPr>
        <w:t>fears</w:t>
      </w:r>
      <w:r w:rsidR="005C2655" w:rsidRPr="005C2655">
        <w:rPr>
          <w:rFonts w:ascii="Avenir Next" w:hAnsi="Avenir Next" w:cs="Arial"/>
          <w:sz w:val="22"/>
          <w:szCs w:val="22"/>
          <w:highlight w:val="yellow"/>
          <w:lang w:val="en-GB"/>
        </w:rPr>
        <w:t xml:space="preserve"> of foreign representatives and creditors over exposure to an all-encompassing jurisdiction brought on by an application under the Model Law.</w:t>
      </w:r>
    </w:p>
    <w:p w14:paraId="11C4D68A" w14:textId="77777777" w:rsidR="005C2655" w:rsidRDefault="005C2655" w:rsidP="005C2655">
      <w:pPr>
        <w:ind w:left="1440" w:hanging="144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7D35B40D" w:rsidR="00CB56CE" w:rsidRPr="00927E95" w:rsidRDefault="00095DBA" w:rsidP="00095DBA">
      <w:pPr>
        <w:autoSpaceDE w:val="0"/>
        <w:autoSpaceDN w:val="0"/>
        <w:adjustRightInd w:val="0"/>
        <w:ind w:left="1440"/>
        <w:rPr>
          <w:rFonts w:ascii="Arial" w:eastAsia="MS Mincho" w:hAnsi="Arial" w:cs="Arial"/>
          <w:sz w:val="22"/>
          <w:szCs w:val="22"/>
          <w:highlight w:val="yellow"/>
        </w:rPr>
      </w:pPr>
      <w:r w:rsidRPr="00927E95">
        <w:rPr>
          <w:rFonts w:ascii="Arial" w:eastAsia="MS Mincho" w:hAnsi="Arial" w:cs="Arial"/>
          <w:sz w:val="22"/>
          <w:szCs w:val="22"/>
          <w:highlight w:val="yellow"/>
        </w:rPr>
        <w:t>Article 31.</w:t>
      </w:r>
      <w:r w:rsidRPr="00927E95">
        <w:rPr>
          <w:rFonts w:ascii="Arial" w:eastAsia="MS Mincho" w:hAnsi="Arial" w:cs="Arial"/>
          <w:sz w:val="22"/>
          <w:szCs w:val="22"/>
          <w:highlight w:val="yellow"/>
        </w:rPr>
        <w:t> </w:t>
      </w:r>
      <w:r w:rsidRPr="00927E95">
        <w:rPr>
          <w:rFonts w:ascii="Arial" w:eastAsia="MS Mincho" w:hAnsi="Arial" w:cs="Arial"/>
          <w:sz w:val="22"/>
          <w:szCs w:val="22"/>
          <w:highlight w:val="yellow"/>
        </w:rPr>
        <w:t>Presumption of insolvency based on recognition of</w:t>
      </w:r>
      <w:r w:rsidRPr="00927E95">
        <w:rPr>
          <w:rFonts w:ascii="Arial" w:eastAsia="MS Mincho" w:hAnsi="Arial" w:cs="Arial"/>
          <w:sz w:val="22"/>
          <w:szCs w:val="22"/>
          <w:highlight w:val="yellow"/>
        </w:rPr>
        <w:t xml:space="preserve"> </w:t>
      </w:r>
      <w:r w:rsidRPr="00927E95">
        <w:rPr>
          <w:rFonts w:ascii="Arial" w:eastAsia="MS Mincho" w:hAnsi="Arial" w:cs="Arial"/>
          <w:sz w:val="22"/>
          <w:szCs w:val="22"/>
          <w:highlight w:val="yellow"/>
        </w:rPr>
        <w:t xml:space="preserve">a foreign main </w:t>
      </w:r>
      <w:proofErr w:type="gramStart"/>
      <w:r w:rsidRPr="00927E95">
        <w:rPr>
          <w:rFonts w:ascii="Arial" w:eastAsia="MS Mincho" w:hAnsi="Arial" w:cs="Arial"/>
          <w:sz w:val="22"/>
          <w:szCs w:val="22"/>
          <w:highlight w:val="yellow"/>
        </w:rPr>
        <w:t>proceeding</w:t>
      </w:r>
      <w:proofErr w:type="gramEnd"/>
    </w:p>
    <w:p w14:paraId="613CC620" w14:textId="77777777" w:rsidR="00095DBA" w:rsidRPr="00927E95" w:rsidRDefault="00095DBA" w:rsidP="00095DBA">
      <w:pPr>
        <w:autoSpaceDE w:val="0"/>
        <w:autoSpaceDN w:val="0"/>
        <w:adjustRightInd w:val="0"/>
        <w:ind w:left="1440"/>
        <w:rPr>
          <w:rFonts w:ascii="Arial" w:eastAsia="MS Mincho" w:hAnsi="Arial" w:cs="Arial"/>
          <w:sz w:val="22"/>
          <w:szCs w:val="22"/>
          <w:highlight w:val="yellow"/>
        </w:rPr>
      </w:pPr>
    </w:p>
    <w:p w14:paraId="0696AD89" w14:textId="77777777" w:rsidR="00095DBA" w:rsidRPr="00095DBA" w:rsidRDefault="00095DBA" w:rsidP="00095DBA">
      <w:pPr>
        <w:ind w:left="1440"/>
        <w:jc w:val="both"/>
        <w:rPr>
          <w:rFonts w:ascii="Arial" w:hAnsi="Arial" w:cs="Arial"/>
          <w:sz w:val="22"/>
          <w:szCs w:val="22"/>
        </w:rPr>
      </w:pPr>
      <w:r w:rsidRPr="00927E95">
        <w:rPr>
          <w:rFonts w:ascii="Arial" w:hAnsi="Arial" w:cs="Arial"/>
          <w:sz w:val="22"/>
          <w:szCs w:val="22"/>
          <w:highlight w:val="yellow"/>
        </w:rPr>
        <w:t>Article 31 of the Model Law establishes a rebuttable presumption that the recognition of a foreign primary procedure is evidence that the debtor is insolvent for the purposes of initiating a domestic insolvency process for the debtor in the enacting state.</w:t>
      </w:r>
    </w:p>
    <w:p w14:paraId="71DB897F" w14:textId="77777777" w:rsidR="00415537" w:rsidRPr="00095DBA" w:rsidRDefault="00415537" w:rsidP="00707FC8">
      <w:pPr>
        <w:ind w:left="720" w:hanging="720"/>
        <w:jc w:val="both"/>
        <w:rPr>
          <w:rFonts w:ascii="Arial" w:hAnsi="Arial"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45025E0C" w14:textId="77777777" w:rsidR="00517EFD" w:rsidRPr="00517EFD" w:rsidRDefault="00517EFD" w:rsidP="00517EFD">
      <w:pPr>
        <w:jc w:val="both"/>
        <w:rPr>
          <w:rFonts w:ascii="Arial" w:hAnsi="Arial" w:cs="Arial"/>
          <w:color w:val="000000"/>
          <w:sz w:val="22"/>
          <w:szCs w:val="22"/>
          <w:highlight w:val="yellow"/>
          <w:shd w:val="clear" w:color="auto" w:fill="FFFFFF"/>
        </w:rPr>
      </w:pPr>
      <w:r w:rsidRPr="00517EFD">
        <w:rPr>
          <w:rFonts w:ascii="Arial" w:hAnsi="Arial" w:cs="Arial"/>
          <w:sz w:val="22"/>
          <w:szCs w:val="22"/>
          <w:highlight w:val="yellow"/>
        </w:rPr>
        <w:t xml:space="preserve">The International Bank of Azerbaijan (“IBA”) entered into a voluntary restructuring process under Azeri law. Following the commencement of this process, </w:t>
      </w:r>
      <w:r w:rsidRPr="00517EFD">
        <w:rPr>
          <w:rFonts w:ascii="Arial" w:hAnsi="Arial" w:cs="Arial"/>
          <w:color w:val="000000"/>
          <w:sz w:val="22"/>
          <w:szCs w:val="22"/>
          <w:highlight w:val="yellow"/>
          <w:shd w:val="clear" w:color="auto" w:fill="FFFFFF"/>
        </w:rPr>
        <w:t>an application was made for an indefinite debt moratorium under an Azeri restructuring proceeding. The proceeding was recognized by the High Court as a main proceeding under the </w:t>
      </w:r>
      <w:r w:rsidRPr="00517EFD">
        <w:rPr>
          <w:rStyle w:val="Emphasis"/>
          <w:rFonts w:ascii="Arial" w:hAnsi="Arial" w:cs="Arial"/>
          <w:color w:val="000000"/>
          <w:sz w:val="22"/>
          <w:szCs w:val="22"/>
          <w:highlight w:val="yellow"/>
          <w:shd w:val="clear" w:color="auto" w:fill="FFFFFF"/>
        </w:rPr>
        <w:t>Cross Border Insolvency Regulations 2006 </w:t>
      </w:r>
      <w:r w:rsidRPr="00517EFD">
        <w:rPr>
          <w:rFonts w:ascii="Arial" w:hAnsi="Arial" w:cs="Arial"/>
          <w:color w:val="000000"/>
          <w:sz w:val="22"/>
          <w:szCs w:val="22"/>
          <w:highlight w:val="yellow"/>
          <w:shd w:val="clear" w:color="auto" w:fill="FFFFFF"/>
        </w:rPr>
        <w:t xml:space="preserve">(CBIR), giving rise to an initial moratorium that prevented creditors from commencing or continuing any action against the IBA in England. </w:t>
      </w:r>
    </w:p>
    <w:p w14:paraId="2E10E450" w14:textId="77777777" w:rsidR="00517EFD" w:rsidRPr="00517EFD" w:rsidRDefault="00517EFD" w:rsidP="00517EFD">
      <w:pPr>
        <w:jc w:val="both"/>
        <w:rPr>
          <w:rFonts w:ascii="Arial" w:hAnsi="Arial" w:cs="Arial"/>
          <w:color w:val="000000"/>
          <w:sz w:val="22"/>
          <w:szCs w:val="22"/>
          <w:highlight w:val="yellow"/>
          <w:shd w:val="clear" w:color="auto" w:fill="FFFFFF"/>
        </w:rPr>
      </w:pPr>
    </w:p>
    <w:p w14:paraId="297DF288" w14:textId="77777777" w:rsidR="00517EFD" w:rsidRPr="00E91278" w:rsidRDefault="00517EFD" w:rsidP="00517EFD">
      <w:pPr>
        <w:shd w:val="clear" w:color="auto" w:fill="FFFFFF"/>
        <w:spacing w:after="100" w:afterAutospacing="1"/>
        <w:jc w:val="both"/>
        <w:rPr>
          <w:rFonts w:ascii="Arial" w:hAnsi="Arial" w:cs="Arial"/>
          <w:color w:val="000000"/>
          <w:sz w:val="22"/>
          <w:szCs w:val="22"/>
          <w:highlight w:val="yellow"/>
        </w:rPr>
      </w:pPr>
      <w:r w:rsidRPr="00517EFD">
        <w:rPr>
          <w:rFonts w:ascii="Arial" w:hAnsi="Arial" w:cs="Arial"/>
          <w:color w:val="000000"/>
          <w:sz w:val="22"/>
          <w:szCs w:val="22"/>
          <w:highlight w:val="yellow"/>
        </w:rPr>
        <w:t xml:space="preserve">It </w:t>
      </w:r>
      <w:proofErr w:type="gramStart"/>
      <w:r w:rsidRPr="00517EFD">
        <w:rPr>
          <w:rFonts w:ascii="Arial" w:hAnsi="Arial" w:cs="Arial"/>
          <w:color w:val="000000"/>
          <w:sz w:val="22"/>
          <w:szCs w:val="22"/>
          <w:highlight w:val="yellow"/>
        </w:rPr>
        <w:t xml:space="preserve">was </w:t>
      </w:r>
      <w:r w:rsidRPr="00E91278">
        <w:rPr>
          <w:rFonts w:ascii="Arial" w:hAnsi="Arial" w:cs="Arial"/>
          <w:color w:val="000000"/>
          <w:sz w:val="22"/>
          <w:szCs w:val="22"/>
          <w:highlight w:val="yellow"/>
        </w:rPr>
        <w:t xml:space="preserve"> argued</w:t>
      </w:r>
      <w:proofErr w:type="gramEnd"/>
      <w:r w:rsidRPr="00E91278">
        <w:rPr>
          <w:rFonts w:ascii="Arial" w:hAnsi="Arial" w:cs="Arial"/>
          <w:color w:val="000000"/>
          <w:sz w:val="22"/>
          <w:szCs w:val="22"/>
          <w:highlight w:val="yellow"/>
        </w:rPr>
        <w:t xml:space="preserve"> that the application of the rule in Gibbs, was limited by the powers under Article 21 of the CBIR which provide that an English Court may grant any appropriate relief necessary to protect the interests of creditors (in effect, asking the Court to “sideline or circumvent the established common law rights of the English creditors by an appeal to the principle of modified universalism”). The Court assessed whether that moratorium was: 1) necessary to protect the interests of creditors; and 2) an appropriate means of achieving that protection.</w:t>
      </w:r>
    </w:p>
    <w:p w14:paraId="5FCE1F40" w14:textId="77777777" w:rsidR="00517EFD" w:rsidRPr="00517EFD" w:rsidRDefault="00517EFD" w:rsidP="00517EFD">
      <w:pPr>
        <w:jc w:val="both"/>
        <w:rPr>
          <w:rFonts w:ascii="Arial" w:hAnsi="Arial" w:cs="Arial"/>
          <w:sz w:val="22"/>
          <w:szCs w:val="22"/>
        </w:rPr>
      </w:pPr>
      <w:r w:rsidRPr="00E91278">
        <w:rPr>
          <w:rFonts w:ascii="Arial" w:hAnsi="Arial" w:cs="Arial"/>
          <w:color w:val="000000"/>
          <w:sz w:val="22"/>
          <w:szCs w:val="22"/>
          <w:highlight w:val="yellow"/>
        </w:rPr>
        <w:lastRenderedPageBreak/>
        <w:t>The Court found that neither of those conditions were satisfied. Lord Justice Henderson said that extending the moratorium was not necessary to protect the interests of IBA’s other creditors as they had already received everything to which they were entitled under the Azeri restructuring proceeding (which was at an end).</w:t>
      </w:r>
    </w:p>
    <w:p w14:paraId="3417DB7A" w14:textId="1B3FE37F" w:rsidR="00CB56CE" w:rsidRPr="00517EFD"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23F7D75C" w14:textId="77777777" w:rsidR="00C65643" w:rsidRPr="00C65643" w:rsidRDefault="00C65643" w:rsidP="00C65643">
      <w:pPr>
        <w:jc w:val="both"/>
        <w:rPr>
          <w:rFonts w:ascii="Arial" w:hAnsi="Arial" w:cs="Arial"/>
          <w:sz w:val="22"/>
          <w:szCs w:val="22"/>
          <w:highlight w:val="yellow"/>
        </w:rPr>
      </w:pPr>
      <w:r w:rsidRPr="00C65643">
        <w:rPr>
          <w:rFonts w:ascii="Arial" w:hAnsi="Arial" w:cs="Arial"/>
          <w:sz w:val="22"/>
          <w:szCs w:val="22"/>
          <w:highlight w:val="yellow"/>
        </w:rPr>
        <w:t xml:space="preserve">Pursuant to article 12 the court, upon recognition </w:t>
      </w:r>
      <w:r w:rsidRPr="00C65643">
        <w:rPr>
          <w:rFonts w:ascii="Arial" w:hAnsi="Arial" w:cs="Arial"/>
          <w:sz w:val="22"/>
          <w:szCs w:val="22"/>
          <w:highlight w:val="yellow"/>
          <w:lang w:val="en-GB"/>
        </w:rPr>
        <w:t>of a foreign main proceeding</w:t>
      </w:r>
      <w:r w:rsidRPr="00C65643">
        <w:rPr>
          <w:rFonts w:ascii="Arial" w:hAnsi="Arial" w:cs="Arial"/>
          <w:sz w:val="22"/>
          <w:szCs w:val="22"/>
          <w:highlight w:val="yellow"/>
        </w:rPr>
        <w:t xml:space="preserve"> </w:t>
      </w:r>
      <w:r w:rsidRPr="00C65643">
        <w:rPr>
          <w:rFonts w:ascii="Arial" w:hAnsi="Arial" w:cs="Arial"/>
          <w:sz w:val="22"/>
          <w:szCs w:val="22"/>
          <w:highlight w:val="yellow"/>
          <w:lang w:val="en-GB"/>
        </w:rPr>
        <w:t xml:space="preserve">in an enacting State, where a domestic proceeding has already been opened in respect of the debtor should allow the foreign representative </w:t>
      </w:r>
      <w:r w:rsidRPr="00C65643">
        <w:rPr>
          <w:rFonts w:ascii="Arial" w:hAnsi="Arial" w:cs="Arial"/>
          <w:sz w:val="22"/>
          <w:szCs w:val="22"/>
          <w:highlight w:val="yellow"/>
        </w:rPr>
        <w:t xml:space="preserve">to participate in insolvency-related proceedings conducted in the enacting State under the law of that State. Article 23 also allows the initiation in the enacting State of an action to avoid or otherwise render ineffective acts detrimental to creditors. In accordance with article 24 the Court can also allow the foreign representative to intervene in any local proceedings in which the debtor is a party. </w:t>
      </w:r>
    </w:p>
    <w:p w14:paraId="07701A44" w14:textId="77777777" w:rsidR="00C65643" w:rsidRPr="00C65643" w:rsidRDefault="00C65643" w:rsidP="00C65643">
      <w:pPr>
        <w:jc w:val="both"/>
        <w:rPr>
          <w:rFonts w:ascii="Arial" w:hAnsi="Arial" w:cs="Arial"/>
          <w:sz w:val="22"/>
          <w:szCs w:val="22"/>
          <w:highlight w:val="yellow"/>
        </w:rPr>
      </w:pPr>
    </w:p>
    <w:p w14:paraId="760DBC29" w14:textId="70805CAC" w:rsidR="00C65643" w:rsidRPr="00C65643" w:rsidRDefault="00C65643" w:rsidP="00C65643">
      <w:pPr>
        <w:jc w:val="both"/>
        <w:rPr>
          <w:rFonts w:ascii="Arial" w:hAnsi="Arial" w:cs="Arial"/>
          <w:sz w:val="22"/>
          <w:szCs w:val="22"/>
          <w:highlight w:val="yellow"/>
        </w:rPr>
      </w:pPr>
      <w:r w:rsidRPr="00C65643">
        <w:rPr>
          <w:rFonts w:ascii="Arial" w:hAnsi="Arial" w:cs="Arial"/>
          <w:sz w:val="22"/>
          <w:szCs w:val="22"/>
          <w:highlight w:val="yellow"/>
        </w:rPr>
        <w:t>The court may, upon recognition of a foreign proceeding, whether main or non-main, upon application by the foreign representative, entrust the distribution of all or a portion of the debtor's assets situated in this State to the foreign representative, or another person designated by the court, provided that the court is satisfied that the interests of creditors in this State are sufficiently safeguarded.</w:t>
      </w:r>
    </w:p>
    <w:p w14:paraId="56005093" w14:textId="77777777" w:rsidR="00C65643" w:rsidRDefault="00C65643" w:rsidP="00C65643">
      <w:pPr>
        <w:spacing w:after="160" w:line="259" w:lineRule="auto"/>
        <w:jc w:val="both"/>
        <w:rPr>
          <w:rFonts w:ascii="Arial" w:hAnsi="Arial" w:cs="Arial"/>
          <w:highlight w:val="yellow"/>
          <w:lang w:val="en-GB"/>
        </w:rPr>
      </w:pPr>
    </w:p>
    <w:p w14:paraId="5F5FD1B0" w14:textId="17CC8E4C" w:rsidR="00C65643" w:rsidRPr="00C65643" w:rsidRDefault="00C65643" w:rsidP="00C65643">
      <w:pPr>
        <w:spacing w:after="160" w:line="259" w:lineRule="auto"/>
        <w:jc w:val="both"/>
        <w:rPr>
          <w:rFonts w:ascii="Arial" w:hAnsi="Arial" w:cs="Arial"/>
          <w:kern w:val="2"/>
          <w:sz w:val="22"/>
          <w:szCs w:val="22"/>
          <w:highlight w:val="yellow"/>
        </w:rPr>
      </w:pPr>
      <w:r w:rsidRPr="00441F73">
        <w:rPr>
          <w:rFonts w:ascii="Arial" w:hAnsi="Arial" w:cs="Arial"/>
          <w:highlight w:val="yellow"/>
          <w:lang w:val="en-GB"/>
        </w:rPr>
        <w:t>T</w:t>
      </w:r>
      <w:r w:rsidRPr="00441F73">
        <w:rPr>
          <w:rFonts w:ascii="Arial" w:hAnsi="Arial" w:cs="Arial"/>
          <w:sz w:val="22"/>
          <w:szCs w:val="22"/>
          <w:highlight w:val="yellow"/>
          <w:lang w:val="en-GB"/>
        </w:rPr>
        <w:t>he foreign representative in the foreign main proceeding</w:t>
      </w:r>
      <w:r w:rsidRPr="00441F73">
        <w:rPr>
          <w:rFonts w:ascii="Arial" w:hAnsi="Arial" w:cs="Arial"/>
          <w:highlight w:val="yellow"/>
          <w:lang w:val="en-GB"/>
        </w:rPr>
        <w:t xml:space="preserve"> has an </w:t>
      </w:r>
      <w:r w:rsidRPr="00441F73">
        <w:rPr>
          <w:rFonts w:ascii="Arial" w:hAnsi="Arial" w:cs="Arial"/>
          <w:sz w:val="22"/>
          <w:szCs w:val="22"/>
          <w:highlight w:val="yellow"/>
          <w:lang w:val="en-GB"/>
        </w:rPr>
        <w:t>ongoing duty of information towards the court in the enacting State</w:t>
      </w:r>
      <w:r w:rsidRPr="00441F73">
        <w:rPr>
          <w:rFonts w:ascii="Arial" w:hAnsi="Arial" w:cs="Arial"/>
          <w:highlight w:val="yellow"/>
          <w:lang w:val="en-GB"/>
        </w:rPr>
        <w:t xml:space="preserve"> in accordance with article 18. </w:t>
      </w:r>
      <w:r w:rsidRPr="00441F73">
        <w:rPr>
          <w:rFonts w:ascii="Arial" w:hAnsi="Arial" w:cs="Arial"/>
          <w:sz w:val="22"/>
          <w:szCs w:val="22"/>
          <w:highlight w:val="yellow"/>
        </w:rPr>
        <w:t>The foreign representative</w:t>
      </w:r>
      <w:r>
        <w:rPr>
          <w:rFonts w:ascii="Arial" w:hAnsi="Arial" w:cs="Arial"/>
          <w:kern w:val="2"/>
          <w:sz w:val="22"/>
          <w:szCs w:val="22"/>
          <w:highlight w:val="yellow"/>
        </w:rPr>
        <w:t xml:space="preserve"> </w:t>
      </w:r>
      <w:r w:rsidRPr="00441F73">
        <w:rPr>
          <w:rFonts w:ascii="Arial" w:hAnsi="Arial" w:cs="Arial"/>
          <w:sz w:val="22"/>
          <w:szCs w:val="22"/>
          <w:highlight w:val="yellow"/>
        </w:rPr>
        <w:t xml:space="preserve">shall inform the court promptly of: </w:t>
      </w:r>
      <w:r w:rsidRPr="00441F73">
        <w:rPr>
          <w:rFonts w:ascii="Arial" w:hAnsi="Arial" w:cs="Arial"/>
          <w:i/>
          <w:iCs/>
          <w:sz w:val="22"/>
          <w:szCs w:val="22"/>
          <w:highlight w:val="yellow"/>
        </w:rPr>
        <w:t xml:space="preserve">(a) </w:t>
      </w:r>
      <w:r w:rsidRPr="00441F73">
        <w:rPr>
          <w:rFonts w:ascii="Arial" w:hAnsi="Arial" w:cs="Arial"/>
          <w:sz w:val="22"/>
          <w:szCs w:val="22"/>
          <w:highlight w:val="yellow"/>
        </w:rPr>
        <w:t xml:space="preserve">Any substantial change in the status of the recognized foreign proceeding or the status of the foreign representative’s appointment; and </w:t>
      </w:r>
      <w:r w:rsidRPr="00441F73">
        <w:rPr>
          <w:rFonts w:ascii="Arial" w:hAnsi="Arial" w:cs="Arial"/>
          <w:i/>
          <w:iCs/>
          <w:sz w:val="22"/>
          <w:szCs w:val="22"/>
          <w:highlight w:val="yellow"/>
        </w:rPr>
        <w:t xml:space="preserve">(b) </w:t>
      </w:r>
      <w:r w:rsidRPr="00441F73">
        <w:rPr>
          <w:rFonts w:ascii="Arial" w:hAnsi="Arial" w:cs="Arial"/>
          <w:sz w:val="22"/>
          <w:szCs w:val="22"/>
          <w:highlight w:val="yellow"/>
        </w:rPr>
        <w:t>Any other foreign proceeding regarding the same debtor that becomes known to the foreign representative. The GEI at paragraphs 168-</w:t>
      </w:r>
      <w:proofErr w:type="gramStart"/>
      <w:r w:rsidRPr="00441F73">
        <w:rPr>
          <w:rFonts w:ascii="Arial" w:hAnsi="Arial" w:cs="Arial"/>
          <w:sz w:val="22"/>
          <w:szCs w:val="22"/>
          <w:highlight w:val="yellow"/>
        </w:rPr>
        <w:t>169  notes</w:t>
      </w:r>
      <w:proofErr w:type="gramEnd"/>
      <w:r w:rsidRPr="00441F73">
        <w:rPr>
          <w:rFonts w:ascii="Arial" w:hAnsi="Arial" w:cs="Arial"/>
          <w:sz w:val="22"/>
          <w:szCs w:val="22"/>
          <w:highlight w:val="yellow"/>
        </w:rPr>
        <w:t xml:space="preserve"> it is possible that,</w:t>
      </w:r>
      <w:r w:rsidRPr="00441F73">
        <w:rPr>
          <w:rFonts w:ascii="Arial" w:hAnsi="Arial" w:cs="Arial"/>
          <w:highlight w:val="yellow"/>
        </w:rPr>
        <w:t xml:space="preserve"> </w:t>
      </w:r>
      <w:r w:rsidRPr="00441F73">
        <w:rPr>
          <w:rFonts w:ascii="Arial" w:hAnsi="Arial" w:cs="Arial"/>
          <w:sz w:val="22"/>
          <w:szCs w:val="22"/>
          <w:highlight w:val="yellow"/>
        </w:rPr>
        <w:t>after the application for recognition or the decision on recognition has been made, changes may occur in the foreign</w:t>
      </w:r>
      <w:r w:rsidRPr="00441F73">
        <w:rPr>
          <w:rFonts w:ascii="Arial" w:hAnsi="Arial" w:cs="Arial"/>
          <w:highlight w:val="yellow"/>
        </w:rPr>
        <w:t xml:space="preserve"> </w:t>
      </w:r>
      <w:r w:rsidRPr="00441F73">
        <w:rPr>
          <w:rFonts w:ascii="Arial" w:hAnsi="Arial" w:cs="Arial"/>
          <w:sz w:val="22"/>
          <w:szCs w:val="22"/>
          <w:highlight w:val="yellow"/>
        </w:rPr>
        <w:t xml:space="preserve">proceeding that would have affected a decision on relief or recognition had those facts been known at the time the application or decision was made. </w:t>
      </w:r>
    </w:p>
    <w:p w14:paraId="08AF1BDA" w14:textId="40CC21AF" w:rsidR="00C65643" w:rsidRDefault="00C65643" w:rsidP="00867A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lastRenderedPageBreak/>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307A5F6E" w14:textId="77777777" w:rsidR="00AE32C9" w:rsidRPr="00AE32C9" w:rsidRDefault="00AE32C9" w:rsidP="00AE32C9">
      <w:pPr>
        <w:jc w:val="both"/>
        <w:rPr>
          <w:rFonts w:ascii="Arial" w:hAnsi="Arial" w:cs="Arial"/>
          <w:sz w:val="22"/>
          <w:szCs w:val="22"/>
          <w:highlight w:val="yellow"/>
        </w:rPr>
      </w:pPr>
      <w:r w:rsidRPr="00AE32C9">
        <w:rPr>
          <w:rFonts w:ascii="Arial" w:hAnsi="Arial" w:cs="Arial"/>
          <w:sz w:val="22"/>
          <w:szCs w:val="22"/>
          <w:highlight w:val="yellow"/>
        </w:rPr>
        <w:t>In order to enable and promote a unified approach to cross-border bankruptcy, the Model Law offers a framework for collaboration between jurisdictions. These include: (a) granting access to the courts of the enacting State to the person in charge of a foreign insolvency proceeding (referred to as the "foreign representative"), allowing the foreign representative to request a temporary "breathing space," and enabling the courts of the enacting State to decide whether any additional relief or coordination between the relevant jurisdictions is necessary for the best resolution of the insolvency.</w:t>
      </w:r>
    </w:p>
    <w:p w14:paraId="61ABDB6C" w14:textId="77777777" w:rsidR="00AE32C9" w:rsidRPr="00AE32C9" w:rsidRDefault="00AE32C9" w:rsidP="00AE32C9">
      <w:pPr>
        <w:jc w:val="both"/>
        <w:rPr>
          <w:rFonts w:ascii="Arial" w:hAnsi="Arial" w:cs="Arial"/>
          <w:sz w:val="22"/>
          <w:szCs w:val="22"/>
          <w:highlight w:val="yellow"/>
        </w:rPr>
      </w:pPr>
    </w:p>
    <w:p w14:paraId="190D9D9F" w14:textId="77777777" w:rsidR="00AE32C9" w:rsidRPr="00AE32C9" w:rsidRDefault="00AE32C9" w:rsidP="00AE32C9">
      <w:pPr>
        <w:jc w:val="both"/>
        <w:rPr>
          <w:rFonts w:ascii="Arial" w:hAnsi="Arial" w:cs="Arial"/>
          <w:sz w:val="22"/>
          <w:szCs w:val="22"/>
          <w:highlight w:val="yellow"/>
        </w:rPr>
      </w:pPr>
      <w:r w:rsidRPr="00AE32C9">
        <w:rPr>
          <w:rFonts w:ascii="Arial" w:hAnsi="Arial" w:cs="Arial"/>
          <w:sz w:val="22"/>
          <w:szCs w:val="22"/>
          <w:highlight w:val="yellow"/>
        </w:rPr>
        <w:t>A foreign representation has the right to apply immediately to a court in the enacting state under Article 9. Article 9.2 grants the foreign representative from State B the ability to sue and be sued. Pursuant to paragraph 2 of article 13, foreign creditors have the same rights with regard to the beginning of and participation in a procedure under the laws of State A. Additionally, except in cases where an equivalent local claim (such as a claim for a penalty or a deferred-payment claim) has a rank lower than the general non-preference claims, the claims of foreign creditors from state B may not be ranked lower than the class of general non-preference claims from state A.</w:t>
      </w:r>
    </w:p>
    <w:p w14:paraId="3A649901" w14:textId="77777777" w:rsidR="00AE32C9" w:rsidRPr="00AE32C9" w:rsidRDefault="00AE32C9" w:rsidP="00AE32C9">
      <w:pPr>
        <w:jc w:val="both"/>
        <w:rPr>
          <w:rFonts w:ascii="Arial" w:hAnsi="Arial" w:cs="Arial"/>
          <w:sz w:val="22"/>
          <w:szCs w:val="22"/>
          <w:highlight w:val="yellow"/>
        </w:rPr>
      </w:pPr>
    </w:p>
    <w:p w14:paraId="404E96B4" w14:textId="77777777" w:rsidR="00AE32C9" w:rsidRPr="00AE32C9" w:rsidRDefault="00AE32C9" w:rsidP="00AE32C9">
      <w:pPr>
        <w:jc w:val="both"/>
        <w:rPr>
          <w:rFonts w:ascii="Arial" w:hAnsi="Arial" w:cs="Arial"/>
          <w:sz w:val="22"/>
          <w:szCs w:val="22"/>
          <w:highlight w:val="yellow"/>
        </w:rPr>
      </w:pPr>
    </w:p>
    <w:p w14:paraId="21F83AFA" w14:textId="77777777" w:rsidR="00AE32C9" w:rsidRPr="00774655" w:rsidRDefault="00AE32C9" w:rsidP="00AE32C9">
      <w:pPr>
        <w:jc w:val="both"/>
        <w:rPr>
          <w:rFonts w:ascii="Arial" w:hAnsi="Arial" w:cs="Arial"/>
          <w:sz w:val="22"/>
          <w:szCs w:val="22"/>
        </w:rPr>
      </w:pPr>
      <w:r w:rsidRPr="00AE32C9">
        <w:rPr>
          <w:rFonts w:ascii="Arial" w:hAnsi="Arial" w:cs="Arial"/>
          <w:sz w:val="22"/>
          <w:szCs w:val="22"/>
          <w:highlight w:val="yellow"/>
        </w:rPr>
        <w:t xml:space="preserve">Additionally, the Court in State A may work directly with foreign courts or their representatives under the provisions of Article 25. Article 26 highlights the significant role inventing and putting into practice cooperative agreements that insolvency representatives, within the bounds of their authority, might play. The different </w:t>
      </w:r>
      <w:proofErr w:type="gramStart"/>
      <w:r w:rsidRPr="00AE32C9">
        <w:rPr>
          <w:rFonts w:ascii="Arial" w:hAnsi="Arial" w:cs="Arial"/>
          <w:sz w:val="22"/>
          <w:szCs w:val="22"/>
          <w:highlight w:val="yellow"/>
        </w:rPr>
        <w:t>areas  of</w:t>
      </w:r>
      <w:proofErr w:type="gramEnd"/>
      <w:r w:rsidRPr="00AE32C9">
        <w:rPr>
          <w:rFonts w:ascii="Arial" w:hAnsi="Arial" w:cs="Arial"/>
          <w:sz w:val="22"/>
          <w:szCs w:val="22"/>
          <w:highlight w:val="yellow"/>
        </w:rPr>
        <w:t xml:space="preserve"> cooperation that are permitted by articles 25 and 26 are listed generally in article 27.</w:t>
      </w:r>
    </w:p>
    <w:p w14:paraId="4AFB5C84" w14:textId="77777777" w:rsidR="00AE32C9" w:rsidRPr="00774655" w:rsidRDefault="00AE32C9" w:rsidP="00AE32C9">
      <w:pPr>
        <w:jc w:val="both"/>
        <w:rPr>
          <w:rFonts w:ascii="Arial" w:hAnsi="Arial" w:cs="Arial"/>
          <w:sz w:val="22"/>
          <w:szCs w:val="22"/>
        </w:rPr>
      </w:pP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105DAED6" w14:textId="77777777" w:rsidR="00FA108A" w:rsidRPr="00FA108A" w:rsidRDefault="00FA108A" w:rsidP="00867A8F">
      <w:pPr>
        <w:ind w:left="720" w:hanging="720"/>
        <w:jc w:val="both"/>
        <w:rPr>
          <w:rFonts w:ascii="Arial" w:hAnsi="Arial" w:cs="Arial"/>
          <w:b/>
          <w:bCs/>
          <w:sz w:val="22"/>
          <w:szCs w:val="22"/>
          <w:highlight w:val="yellow"/>
          <w:lang w:val="en-GB"/>
        </w:rPr>
      </w:pPr>
      <w:bookmarkStart w:id="3" w:name="_Hlk128325170"/>
    </w:p>
    <w:p w14:paraId="39370C28" w14:textId="77777777" w:rsidR="00FA108A" w:rsidRPr="00FA108A" w:rsidRDefault="00FA108A" w:rsidP="00867A8F">
      <w:pPr>
        <w:ind w:left="720" w:hanging="720"/>
        <w:jc w:val="both"/>
        <w:rPr>
          <w:rFonts w:ascii="Arial" w:hAnsi="Arial" w:cs="Arial"/>
          <w:sz w:val="22"/>
          <w:szCs w:val="22"/>
          <w:highlight w:val="yellow"/>
          <w:lang w:val="en-GB"/>
        </w:rPr>
      </w:pPr>
      <w:r w:rsidRPr="00FA108A">
        <w:rPr>
          <w:rFonts w:ascii="Arial" w:hAnsi="Arial" w:cs="Arial"/>
          <w:sz w:val="22"/>
          <w:szCs w:val="22"/>
          <w:highlight w:val="yellow"/>
          <w:lang w:val="en-GB"/>
        </w:rPr>
        <w:t xml:space="preserve">The </w:t>
      </w:r>
      <w:r w:rsidRPr="00FA108A">
        <w:rPr>
          <w:rFonts w:ascii="Arial" w:hAnsi="Arial" w:cs="Arial"/>
          <w:sz w:val="22"/>
          <w:szCs w:val="22"/>
          <w:highlight w:val="yellow"/>
          <w:lang w:val="en-GB"/>
        </w:rPr>
        <w:t>evidence, restrictions, exclusions and limitations that must be considered, as well as the</w:t>
      </w:r>
    </w:p>
    <w:p w14:paraId="7718884D" w14:textId="6AFF14F5" w:rsidR="00FA108A" w:rsidRPr="00FA108A" w:rsidRDefault="00FA108A" w:rsidP="00FA108A">
      <w:pPr>
        <w:ind w:left="720" w:hanging="720"/>
        <w:jc w:val="both"/>
        <w:rPr>
          <w:rFonts w:ascii="Arial" w:hAnsi="Arial" w:cs="Arial"/>
          <w:sz w:val="22"/>
          <w:szCs w:val="22"/>
          <w:highlight w:val="yellow"/>
          <w:lang w:val="en-GB"/>
        </w:rPr>
      </w:pPr>
      <w:r w:rsidRPr="00FA108A">
        <w:rPr>
          <w:rFonts w:ascii="Arial" w:hAnsi="Arial" w:cs="Arial"/>
          <w:sz w:val="22"/>
          <w:szCs w:val="22"/>
          <w:highlight w:val="yellow"/>
          <w:lang w:val="en-GB"/>
        </w:rPr>
        <w:t>J</w:t>
      </w:r>
      <w:r w:rsidRPr="00FA108A">
        <w:rPr>
          <w:rFonts w:ascii="Arial" w:hAnsi="Arial" w:cs="Arial"/>
          <w:sz w:val="22"/>
          <w:szCs w:val="22"/>
          <w:highlight w:val="yellow"/>
          <w:lang w:val="en-GB"/>
        </w:rPr>
        <w:t>udicial</w:t>
      </w:r>
      <w:r w:rsidRPr="00FA108A">
        <w:rPr>
          <w:rFonts w:ascii="Arial" w:hAnsi="Arial" w:cs="Arial"/>
          <w:sz w:val="22"/>
          <w:szCs w:val="22"/>
          <w:highlight w:val="yellow"/>
          <w:lang w:val="en-GB"/>
        </w:rPr>
        <w:t xml:space="preserve"> </w:t>
      </w:r>
      <w:r w:rsidRPr="00FA108A">
        <w:rPr>
          <w:rFonts w:ascii="Arial" w:hAnsi="Arial" w:cs="Arial"/>
          <w:sz w:val="22"/>
          <w:szCs w:val="22"/>
          <w:highlight w:val="yellow"/>
          <w:lang w:val="en-GB"/>
        </w:rPr>
        <w:t>scrutiny that must be overcome for a recognition application to be successful</w:t>
      </w:r>
      <w:r w:rsidRPr="00FA108A">
        <w:rPr>
          <w:rFonts w:ascii="Arial" w:hAnsi="Arial" w:cs="Arial"/>
          <w:sz w:val="22"/>
          <w:szCs w:val="22"/>
          <w:highlight w:val="yellow"/>
          <w:lang w:val="en-GB"/>
        </w:rPr>
        <w:t xml:space="preserve"> include:</w:t>
      </w:r>
    </w:p>
    <w:p w14:paraId="2EF370C9" w14:textId="77777777" w:rsidR="00FA108A" w:rsidRPr="00FA108A" w:rsidRDefault="00FA108A" w:rsidP="00867A8F">
      <w:pPr>
        <w:ind w:left="720" w:hanging="720"/>
        <w:jc w:val="both"/>
        <w:rPr>
          <w:rFonts w:ascii="Arial" w:hAnsi="Arial" w:cs="Arial"/>
          <w:b/>
          <w:bCs/>
          <w:sz w:val="22"/>
          <w:szCs w:val="22"/>
          <w:highlight w:val="yellow"/>
          <w:lang w:val="en-GB"/>
        </w:rPr>
      </w:pPr>
    </w:p>
    <w:p w14:paraId="7E2E2DF8" w14:textId="77777777" w:rsidR="00FA108A" w:rsidRDefault="00FA108A" w:rsidP="00867A8F">
      <w:pPr>
        <w:ind w:left="720" w:hanging="720"/>
        <w:jc w:val="both"/>
        <w:rPr>
          <w:rFonts w:ascii="Avenir Next" w:hAnsi="Avenir Next" w:cs="Arial"/>
          <w:b/>
          <w:bCs/>
          <w:sz w:val="22"/>
          <w:szCs w:val="22"/>
          <w:highlight w:val="yellow"/>
          <w:lang w:val="en-GB"/>
        </w:rPr>
      </w:pPr>
    </w:p>
    <w:p w14:paraId="3937CDFF" w14:textId="4C3A9335" w:rsidR="00867A8F" w:rsidRPr="00031961" w:rsidRDefault="004C7326" w:rsidP="00867A8F">
      <w:pPr>
        <w:ind w:left="720" w:hanging="720"/>
        <w:jc w:val="both"/>
        <w:rPr>
          <w:rFonts w:ascii="Avenir Next" w:hAnsi="Avenir Next" w:cs="Arial"/>
          <w:b/>
          <w:bCs/>
          <w:sz w:val="22"/>
          <w:szCs w:val="22"/>
          <w:lang w:val="en-GB"/>
        </w:rPr>
      </w:pPr>
      <w:r w:rsidRPr="00031961">
        <w:rPr>
          <w:rFonts w:ascii="Avenir Next" w:hAnsi="Avenir Next" w:cs="Arial"/>
          <w:b/>
          <w:bCs/>
          <w:sz w:val="22"/>
          <w:szCs w:val="22"/>
          <w:highlight w:val="yellow"/>
          <w:lang w:val="en-GB"/>
        </w:rPr>
        <w:t>Evidence</w:t>
      </w:r>
    </w:p>
    <w:p w14:paraId="168C5B07" w14:textId="218CD0AB" w:rsidR="00031961" w:rsidRDefault="00031961" w:rsidP="00867A8F">
      <w:pPr>
        <w:ind w:left="720" w:hanging="720"/>
        <w:jc w:val="both"/>
        <w:rPr>
          <w:rFonts w:ascii="Avenir Next" w:hAnsi="Avenir Next" w:cs="Arial"/>
          <w:sz w:val="22"/>
          <w:szCs w:val="22"/>
          <w:lang w:val="en-GB"/>
        </w:rPr>
      </w:pPr>
    </w:p>
    <w:p w14:paraId="0760D0E5" w14:textId="77777777" w:rsidR="00031961" w:rsidRPr="00244791" w:rsidRDefault="00031961" w:rsidP="00031961">
      <w:pPr>
        <w:autoSpaceDE w:val="0"/>
        <w:autoSpaceDN w:val="0"/>
        <w:adjustRightInd w:val="0"/>
        <w:rPr>
          <w:rFonts w:ascii="Arial" w:eastAsiaTheme="minorHAnsi" w:hAnsi="Arial" w:cs="Arial"/>
          <w:sz w:val="22"/>
          <w:szCs w:val="22"/>
          <w:highlight w:val="yellow"/>
          <w14:ligatures w14:val="standardContextual"/>
        </w:rPr>
      </w:pPr>
      <w:r w:rsidRPr="00244791">
        <w:rPr>
          <w:rFonts w:ascii="Arial" w:eastAsiaTheme="minorHAnsi" w:hAnsi="Arial" w:cs="Arial"/>
          <w:sz w:val="22"/>
          <w:szCs w:val="22"/>
          <w:highlight w:val="yellow"/>
          <w14:ligatures w14:val="standardContextual"/>
        </w:rPr>
        <w:t>Article 15 (2) of the model law provides that when an application for recognition of a foreign proceeding is made</w:t>
      </w:r>
      <w:r w:rsidRPr="00244791">
        <w:rPr>
          <w:rFonts w:ascii="TimesLTStd-Italic" w:eastAsiaTheme="minorHAnsi" w:hAnsi="TimesLTStd-Italic" w:cs="TimesLTStd-Italic"/>
          <w:i/>
          <w:iCs/>
          <w:szCs w:val="20"/>
          <w:highlight w:val="yellow"/>
          <w14:ligatures w14:val="standardContextual"/>
        </w:rPr>
        <w:t xml:space="preserve"> </w:t>
      </w:r>
      <w:proofErr w:type="gramStart"/>
      <w:r w:rsidRPr="00244791">
        <w:rPr>
          <w:rFonts w:ascii="Arial" w:eastAsiaTheme="minorHAnsi" w:hAnsi="Arial" w:cs="Arial"/>
          <w:sz w:val="22"/>
          <w:szCs w:val="22"/>
          <w:highlight w:val="yellow"/>
          <w14:ligatures w14:val="standardContextual"/>
        </w:rPr>
        <w:t>An</w:t>
      </w:r>
      <w:proofErr w:type="gramEnd"/>
      <w:r w:rsidRPr="00244791">
        <w:rPr>
          <w:rFonts w:ascii="Arial" w:eastAsiaTheme="minorHAnsi" w:hAnsi="Arial" w:cs="Arial"/>
          <w:sz w:val="22"/>
          <w:szCs w:val="22"/>
          <w:highlight w:val="yellow"/>
          <w14:ligatures w14:val="standardContextual"/>
        </w:rPr>
        <w:t xml:space="preserve"> application for recognition shall be accompanied by:</w:t>
      </w:r>
    </w:p>
    <w:p w14:paraId="283A95CB" w14:textId="77777777" w:rsidR="00031961" w:rsidRPr="00244791" w:rsidRDefault="00031961" w:rsidP="00031961">
      <w:pPr>
        <w:autoSpaceDE w:val="0"/>
        <w:autoSpaceDN w:val="0"/>
        <w:adjustRightInd w:val="0"/>
        <w:ind w:left="720"/>
        <w:rPr>
          <w:rFonts w:ascii="Arial" w:eastAsiaTheme="minorHAnsi" w:hAnsi="Arial" w:cs="Arial"/>
          <w:sz w:val="22"/>
          <w:szCs w:val="22"/>
          <w:highlight w:val="yellow"/>
          <w14:ligatures w14:val="standardContextual"/>
        </w:rPr>
      </w:pPr>
      <w:r w:rsidRPr="00244791">
        <w:rPr>
          <w:rFonts w:ascii="Arial" w:eastAsiaTheme="minorHAnsi" w:hAnsi="Arial" w:cs="Arial"/>
          <w:sz w:val="22"/>
          <w:szCs w:val="22"/>
          <w:highlight w:val="yellow"/>
          <w14:ligatures w14:val="standardContextual"/>
        </w:rPr>
        <w:t>(a) A certified copy of the decision commencing the foreign proceeding and appointing the foreign</w:t>
      </w:r>
      <w:r>
        <w:rPr>
          <w:rFonts w:ascii="Arial" w:eastAsiaTheme="minorHAnsi" w:hAnsi="Arial" w:cs="Arial"/>
          <w:sz w:val="22"/>
          <w:szCs w:val="22"/>
          <w:highlight w:val="yellow"/>
          <w14:ligatures w14:val="standardContextual"/>
        </w:rPr>
        <w:t xml:space="preserve"> </w:t>
      </w:r>
      <w:r w:rsidRPr="00244791">
        <w:rPr>
          <w:rFonts w:ascii="Arial" w:eastAsiaTheme="minorHAnsi" w:hAnsi="Arial" w:cs="Arial"/>
          <w:sz w:val="22"/>
          <w:szCs w:val="22"/>
          <w:highlight w:val="yellow"/>
          <w14:ligatures w14:val="standardContextual"/>
        </w:rPr>
        <w:t>representative; or</w:t>
      </w:r>
    </w:p>
    <w:p w14:paraId="6A9153DA" w14:textId="77777777" w:rsidR="00031961" w:rsidRPr="00244791" w:rsidRDefault="00031961" w:rsidP="00031961">
      <w:pPr>
        <w:autoSpaceDE w:val="0"/>
        <w:autoSpaceDN w:val="0"/>
        <w:adjustRightInd w:val="0"/>
        <w:rPr>
          <w:rFonts w:ascii="Arial" w:eastAsiaTheme="minorHAnsi" w:hAnsi="Arial" w:cs="Arial"/>
          <w:sz w:val="22"/>
          <w:szCs w:val="22"/>
          <w:highlight w:val="yellow"/>
          <w14:ligatures w14:val="standardContextual"/>
        </w:rPr>
      </w:pPr>
      <w:r w:rsidRPr="00244791">
        <w:rPr>
          <w:rFonts w:ascii="Arial" w:eastAsiaTheme="minorHAnsi" w:hAnsi="Arial" w:cs="Arial"/>
          <w:sz w:val="22"/>
          <w:szCs w:val="22"/>
          <w:highlight w:val="yellow"/>
          <w14:ligatures w14:val="standardContextual"/>
        </w:rPr>
        <w:t>(b) A certificate from the foreign court affirming the existence of the foreign proceeding and of the</w:t>
      </w:r>
      <w:r>
        <w:rPr>
          <w:rFonts w:ascii="Arial" w:eastAsiaTheme="minorHAnsi" w:hAnsi="Arial" w:cs="Arial"/>
          <w:sz w:val="22"/>
          <w:szCs w:val="22"/>
          <w:highlight w:val="yellow"/>
          <w14:ligatures w14:val="standardContextual"/>
        </w:rPr>
        <w:t xml:space="preserve"> </w:t>
      </w:r>
      <w:r w:rsidRPr="00244791">
        <w:rPr>
          <w:rFonts w:ascii="Arial" w:eastAsiaTheme="minorHAnsi" w:hAnsi="Arial" w:cs="Arial"/>
          <w:sz w:val="22"/>
          <w:szCs w:val="22"/>
          <w:highlight w:val="yellow"/>
          <w14:ligatures w14:val="standardContextual"/>
        </w:rPr>
        <w:t>appointment of the foreign representative; or</w:t>
      </w:r>
    </w:p>
    <w:p w14:paraId="644ABA7E" w14:textId="77777777" w:rsidR="00031961" w:rsidRPr="00244791" w:rsidRDefault="00031961" w:rsidP="00031961">
      <w:pPr>
        <w:autoSpaceDE w:val="0"/>
        <w:autoSpaceDN w:val="0"/>
        <w:adjustRightInd w:val="0"/>
        <w:rPr>
          <w:rFonts w:ascii="Arial" w:eastAsiaTheme="minorHAnsi" w:hAnsi="Arial" w:cs="Arial"/>
          <w:sz w:val="22"/>
          <w:szCs w:val="22"/>
          <w:highlight w:val="yellow"/>
          <w14:ligatures w14:val="standardContextual"/>
        </w:rPr>
      </w:pPr>
      <w:r w:rsidRPr="00244791">
        <w:rPr>
          <w:rFonts w:ascii="Arial" w:eastAsiaTheme="minorHAnsi" w:hAnsi="Arial" w:cs="Arial"/>
          <w:sz w:val="22"/>
          <w:szCs w:val="22"/>
          <w:highlight w:val="yellow"/>
          <w14:ligatures w14:val="standardContextual"/>
        </w:rPr>
        <w:lastRenderedPageBreak/>
        <w:t>(c) In the absence of evidence referred to in subparagraphs (a) and (b), any other evidence acceptable</w:t>
      </w:r>
      <w:r>
        <w:rPr>
          <w:rFonts w:ascii="Arial" w:eastAsiaTheme="minorHAnsi" w:hAnsi="Arial" w:cs="Arial"/>
          <w:sz w:val="22"/>
          <w:szCs w:val="22"/>
          <w:highlight w:val="yellow"/>
          <w14:ligatures w14:val="standardContextual"/>
        </w:rPr>
        <w:t xml:space="preserve"> </w:t>
      </w:r>
      <w:r w:rsidRPr="00244791">
        <w:rPr>
          <w:rFonts w:ascii="Arial" w:eastAsiaTheme="minorHAnsi" w:hAnsi="Arial" w:cs="Arial"/>
          <w:sz w:val="22"/>
          <w:szCs w:val="22"/>
          <w:highlight w:val="yellow"/>
          <w14:ligatures w14:val="standardContextual"/>
        </w:rPr>
        <w:t>to the court of the existence of the foreign proceeding and of the appointment of the foreign representative.</w:t>
      </w:r>
    </w:p>
    <w:p w14:paraId="21E16DFC" w14:textId="77777777" w:rsidR="00031961" w:rsidRPr="00244791" w:rsidRDefault="00031961" w:rsidP="00031961">
      <w:pPr>
        <w:autoSpaceDE w:val="0"/>
        <w:autoSpaceDN w:val="0"/>
        <w:adjustRightInd w:val="0"/>
        <w:rPr>
          <w:rFonts w:ascii="Arial" w:eastAsiaTheme="minorHAnsi" w:hAnsi="Arial" w:cs="Arial"/>
          <w:sz w:val="22"/>
          <w:szCs w:val="22"/>
          <w:highlight w:val="yellow"/>
          <w14:ligatures w14:val="standardContextual"/>
        </w:rPr>
      </w:pPr>
    </w:p>
    <w:p w14:paraId="604519D6" w14:textId="77777777" w:rsidR="00031961" w:rsidRPr="00FD32D4" w:rsidRDefault="00031961" w:rsidP="00031961">
      <w:pPr>
        <w:jc w:val="both"/>
        <w:rPr>
          <w:rFonts w:ascii="Arial" w:hAnsi="Arial" w:cs="Arial"/>
          <w:sz w:val="22"/>
          <w:szCs w:val="22"/>
          <w:highlight w:val="yellow"/>
        </w:rPr>
      </w:pPr>
      <w:proofErr w:type="gramStart"/>
      <w:r w:rsidRPr="00FD32D4">
        <w:rPr>
          <w:rFonts w:ascii="Arial" w:hAnsi="Arial" w:cs="Arial"/>
          <w:sz w:val="22"/>
          <w:szCs w:val="22"/>
          <w:highlight w:val="yellow"/>
        </w:rPr>
        <w:t>Consequently</w:t>
      </w:r>
      <w:proofErr w:type="gramEnd"/>
      <w:r w:rsidRPr="00FD32D4">
        <w:rPr>
          <w:rFonts w:ascii="Arial" w:hAnsi="Arial" w:cs="Arial"/>
          <w:sz w:val="22"/>
          <w:szCs w:val="22"/>
          <w:highlight w:val="yellow"/>
        </w:rPr>
        <w:t xml:space="preserve"> subparagraph C allows the court to take into account additional, acceptable evidence. The court may, but is not obligated to, ask for a translation of some or all of the documents presented with the request for recognition under paragraph 4.</w:t>
      </w:r>
    </w:p>
    <w:p w14:paraId="55FD16E9" w14:textId="77777777" w:rsidR="00031961" w:rsidRPr="00FD32D4" w:rsidRDefault="00031961" w:rsidP="00031961">
      <w:pPr>
        <w:autoSpaceDE w:val="0"/>
        <w:autoSpaceDN w:val="0"/>
        <w:adjustRightInd w:val="0"/>
        <w:jc w:val="both"/>
        <w:rPr>
          <w:rFonts w:ascii="Arial" w:eastAsiaTheme="minorHAnsi" w:hAnsi="Arial" w:cs="Arial"/>
          <w:sz w:val="22"/>
          <w:szCs w:val="22"/>
          <w:highlight w:val="yellow"/>
          <w14:ligatures w14:val="standardContextual"/>
        </w:rPr>
      </w:pPr>
    </w:p>
    <w:p w14:paraId="6964BF42" w14:textId="77777777" w:rsidR="00031961" w:rsidRPr="00244791" w:rsidRDefault="00031961" w:rsidP="00031961">
      <w:pPr>
        <w:autoSpaceDE w:val="0"/>
        <w:autoSpaceDN w:val="0"/>
        <w:adjustRightInd w:val="0"/>
        <w:rPr>
          <w:rFonts w:ascii="Arial" w:eastAsiaTheme="minorHAnsi" w:hAnsi="Arial" w:cs="Arial"/>
          <w:sz w:val="22"/>
          <w:szCs w:val="22"/>
          <w:highlight w:val="yellow"/>
          <w14:ligatures w14:val="standardContextual"/>
        </w:rPr>
      </w:pPr>
    </w:p>
    <w:p w14:paraId="2B786F4E" w14:textId="45AFD1DD" w:rsidR="00031961" w:rsidRPr="00244791" w:rsidRDefault="00031961" w:rsidP="00031961">
      <w:pPr>
        <w:autoSpaceDE w:val="0"/>
        <w:autoSpaceDN w:val="0"/>
        <w:adjustRightInd w:val="0"/>
        <w:rPr>
          <w:rFonts w:ascii="Arial" w:eastAsiaTheme="minorHAnsi" w:hAnsi="Arial" w:cs="Arial"/>
          <w:sz w:val="22"/>
          <w:szCs w:val="22"/>
          <w:highlight w:val="yellow"/>
          <w14:ligatures w14:val="standardContextual"/>
        </w:rPr>
      </w:pPr>
      <w:r w:rsidRPr="00244791">
        <w:rPr>
          <w:rFonts w:ascii="Arial" w:eastAsiaTheme="minorHAnsi" w:hAnsi="Arial" w:cs="Arial"/>
          <w:sz w:val="22"/>
          <w:szCs w:val="22"/>
          <w:highlight w:val="yellow"/>
          <w14:ligatures w14:val="standardContextual"/>
        </w:rPr>
        <w:t>The UNICTRAL Digest on Case Law Under the MLCBI reports that with respect to the “evidence required under paragraph 2, in a case where no certified documents were available as required under subparagraphs 2 (a) and (b), other evidence held to be sufficient to satisfy the requirement, including: (a) verified copies of minutes, court orders, reports to creditors</w:t>
      </w:r>
      <w:r w:rsidR="00927E95">
        <w:rPr>
          <w:rFonts w:ascii="Arial" w:eastAsiaTheme="minorHAnsi" w:hAnsi="Arial" w:cs="Arial"/>
          <w:sz w:val="22"/>
          <w:szCs w:val="22"/>
          <w:highlight w:val="yellow"/>
          <w14:ligatures w14:val="standardContextual"/>
        </w:rPr>
        <w:t xml:space="preserve">  </w:t>
      </w:r>
      <w:r w:rsidRPr="00244791">
        <w:rPr>
          <w:rFonts w:ascii="Arial" w:eastAsiaTheme="minorHAnsi" w:hAnsi="Arial" w:cs="Arial"/>
          <w:sz w:val="22"/>
          <w:szCs w:val="22"/>
          <w:highlight w:val="yellow"/>
          <w14:ligatures w14:val="standardContextual"/>
        </w:rPr>
        <w:t>and company searches in relation to the appointment and activities of the foreign representative of the debtor; (b) relevant correspondence with the registrar of companies and the relevant court registry and company searches in relation to a change in the status of the foreign proceeding,</w:t>
      </w:r>
      <w:r w:rsidR="00927E95">
        <w:rPr>
          <w:rFonts w:ascii="Arial" w:eastAsiaTheme="minorHAnsi" w:hAnsi="Arial" w:cs="Arial"/>
          <w:sz w:val="22"/>
          <w:szCs w:val="22"/>
          <w:highlight w:val="yellow"/>
          <w14:ligatures w14:val="standardContextual"/>
        </w:rPr>
        <w:t xml:space="preserve"> </w:t>
      </w:r>
      <w:r w:rsidRPr="00244791">
        <w:rPr>
          <w:rFonts w:ascii="Arial" w:eastAsiaTheme="minorHAnsi" w:hAnsi="Arial" w:cs="Arial"/>
          <w:sz w:val="22"/>
          <w:szCs w:val="22"/>
          <w:highlight w:val="yellow"/>
          <w14:ligatures w14:val="standardContextual"/>
        </w:rPr>
        <w:t xml:space="preserve">verified copies of the notices relating to that change; and (c) registration of the foreign representative as the liquidator of the debtor. </w:t>
      </w:r>
    </w:p>
    <w:p w14:paraId="4652CD24" w14:textId="77777777" w:rsidR="00031961" w:rsidRPr="00244791" w:rsidRDefault="00031961" w:rsidP="00031961">
      <w:pPr>
        <w:autoSpaceDE w:val="0"/>
        <w:autoSpaceDN w:val="0"/>
        <w:adjustRightInd w:val="0"/>
        <w:rPr>
          <w:rFonts w:ascii="Arial" w:eastAsiaTheme="minorHAnsi" w:hAnsi="Arial" w:cs="Arial"/>
          <w:sz w:val="22"/>
          <w:szCs w:val="22"/>
          <w:highlight w:val="yellow"/>
          <w14:ligatures w14:val="standardContextual"/>
        </w:rPr>
      </w:pPr>
    </w:p>
    <w:p w14:paraId="70E4E99A" w14:textId="400C9862" w:rsidR="00031961" w:rsidRPr="00927E95" w:rsidRDefault="00031961" w:rsidP="00031961">
      <w:pPr>
        <w:autoSpaceDE w:val="0"/>
        <w:autoSpaceDN w:val="0"/>
        <w:adjustRightInd w:val="0"/>
        <w:rPr>
          <w:rFonts w:ascii="Arial" w:eastAsiaTheme="minorHAnsi" w:hAnsi="Arial" w:cs="Arial"/>
          <w:sz w:val="22"/>
          <w:szCs w:val="22"/>
          <w:highlight w:val="yellow"/>
          <w14:ligatures w14:val="standardContextual"/>
        </w:rPr>
      </w:pPr>
      <w:r w:rsidRPr="00244791">
        <w:rPr>
          <w:rFonts w:ascii="Arial" w:eastAsiaTheme="minorHAnsi" w:hAnsi="Arial" w:cs="Arial"/>
          <w:sz w:val="22"/>
          <w:szCs w:val="22"/>
          <w:highlight w:val="yellow"/>
          <w14:ligatures w14:val="standardContextual"/>
        </w:rPr>
        <w:t>A document from the foreign corporate regulator showing that liquidators had been appointed to the debtor pursuant to the applicable legislation has also been relied upon under article 15, paragraph 2, on the basis that the regulator was an “authority” within the meaning of article</w:t>
      </w:r>
      <w:r w:rsidR="00927E95">
        <w:rPr>
          <w:rFonts w:ascii="Arial" w:eastAsiaTheme="minorHAnsi" w:hAnsi="Arial" w:cs="Arial"/>
          <w:sz w:val="22"/>
          <w:szCs w:val="22"/>
          <w:highlight w:val="yellow"/>
          <w14:ligatures w14:val="standardContextual"/>
        </w:rPr>
        <w:t xml:space="preserve"> </w:t>
      </w:r>
      <w:r w:rsidRPr="00244791">
        <w:rPr>
          <w:rFonts w:ascii="Arial" w:eastAsiaTheme="minorHAnsi" w:hAnsi="Arial" w:cs="Arial"/>
          <w:sz w:val="22"/>
          <w:szCs w:val="22"/>
          <w:highlight w:val="yellow"/>
          <w14:ligatures w14:val="standardContextual"/>
        </w:rPr>
        <w:t>2, subparagraph (c), of the MLCBI. “</w:t>
      </w:r>
    </w:p>
    <w:p w14:paraId="322E01A5" w14:textId="77777777" w:rsidR="00031961" w:rsidRPr="004C7326" w:rsidRDefault="00031961" w:rsidP="00867A8F">
      <w:pPr>
        <w:ind w:left="720" w:hanging="720"/>
        <w:jc w:val="both"/>
        <w:rPr>
          <w:rFonts w:ascii="Avenir Next" w:hAnsi="Avenir Next" w:cs="Arial"/>
          <w:sz w:val="22"/>
          <w:szCs w:val="22"/>
          <w:lang w:val="en-GB"/>
        </w:rPr>
      </w:pPr>
    </w:p>
    <w:p w14:paraId="5B2FEA03" w14:textId="2FE8A8B5" w:rsidR="004C7326" w:rsidRDefault="004C7326" w:rsidP="00867A8F">
      <w:pPr>
        <w:ind w:left="720" w:hanging="720"/>
        <w:jc w:val="both"/>
        <w:rPr>
          <w:rFonts w:ascii="Arial" w:hAnsi="Arial" w:cs="Arial"/>
          <w:sz w:val="22"/>
          <w:szCs w:val="22"/>
          <w:highlight w:val="yellow"/>
          <w:u w:val="single"/>
          <w:lang w:val="en-GB"/>
        </w:rPr>
      </w:pPr>
      <w:r w:rsidRPr="00C22D49">
        <w:rPr>
          <w:rFonts w:ascii="Arial" w:hAnsi="Arial" w:cs="Arial"/>
          <w:sz w:val="22"/>
          <w:szCs w:val="22"/>
          <w:highlight w:val="yellow"/>
          <w:u w:val="single"/>
          <w:lang w:val="en-GB"/>
        </w:rPr>
        <w:t>Restrictions</w:t>
      </w:r>
    </w:p>
    <w:p w14:paraId="0B9CEB58" w14:textId="77777777" w:rsidR="00C22D49" w:rsidRPr="00C22D49" w:rsidRDefault="00C22D49" w:rsidP="00867A8F">
      <w:pPr>
        <w:ind w:left="720" w:hanging="720"/>
        <w:jc w:val="both"/>
        <w:rPr>
          <w:rFonts w:ascii="Arial" w:hAnsi="Arial" w:cs="Arial"/>
          <w:sz w:val="22"/>
          <w:szCs w:val="22"/>
          <w:highlight w:val="yellow"/>
          <w:u w:val="single"/>
          <w:lang w:val="en-GB"/>
        </w:rPr>
      </w:pPr>
    </w:p>
    <w:p w14:paraId="47C850E9" w14:textId="563BF759" w:rsidR="00C22D49" w:rsidRPr="00C22D49" w:rsidRDefault="00C22D49" w:rsidP="00C22D49">
      <w:pPr>
        <w:ind w:left="720" w:hanging="720"/>
        <w:jc w:val="both"/>
        <w:rPr>
          <w:rFonts w:ascii="Arial" w:hAnsi="Arial" w:cs="Arial"/>
          <w:sz w:val="22"/>
          <w:szCs w:val="22"/>
          <w:highlight w:val="yellow"/>
          <w:lang w:val="en-GB"/>
        </w:rPr>
      </w:pPr>
      <w:r w:rsidRPr="00C22D49">
        <w:rPr>
          <w:rFonts w:ascii="Arial" w:hAnsi="Arial" w:cs="Arial"/>
          <w:sz w:val="22"/>
          <w:szCs w:val="22"/>
          <w:highlight w:val="yellow"/>
          <w:lang w:val="en-GB"/>
        </w:rPr>
        <w:t xml:space="preserve">According to Article 28, a proceeding under the insolvency laws of the enacting State </w:t>
      </w:r>
      <w:proofErr w:type="spellStart"/>
      <w:r w:rsidRPr="00C22D49">
        <w:rPr>
          <w:rFonts w:ascii="Arial" w:hAnsi="Arial" w:cs="Arial"/>
          <w:sz w:val="22"/>
          <w:szCs w:val="22"/>
          <w:highlight w:val="yellow"/>
          <w:lang w:val="en-GB"/>
        </w:rPr>
        <w:t>mayonly</w:t>
      </w:r>
      <w:proofErr w:type="spellEnd"/>
      <w:r w:rsidRPr="00C22D49">
        <w:rPr>
          <w:rFonts w:ascii="Arial" w:hAnsi="Arial" w:cs="Arial"/>
          <w:sz w:val="22"/>
          <w:szCs w:val="22"/>
          <w:highlight w:val="yellow"/>
          <w:lang w:val="en-GB"/>
        </w:rPr>
        <w:t xml:space="preserve"> </w:t>
      </w:r>
    </w:p>
    <w:p w14:paraId="6AD4DF6C" w14:textId="77777777" w:rsidR="00C22D49" w:rsidRPr="00C22D49" w:rsidRDefault="00C22D49" w:rsidP="00C22D49">
      <w:pPr>
        <w:ind w:left="720" w:hanging="720"/>
        <w:jc w:val="both"/>
        <w:rPr>
          <w:rFonts w:ascii="Arial" w:hAnsi="Arial" w:cs="Arial"/>
          <w:sz w:val="22"/>
          <w:szCs w:val="22"/>
          <w:highlight w:val="yellow"/>
          <w:lang w:val="en-GB"/>
        </w:rPr>
      </w:pPr>
      <w:r w:rsidRPr="00C22D49">
        <w:rPr>
          <w:rFonts w:ascii="Arial" w:hAnsi="Arial" w:cs="Arial"/>
          <w:sz w:val="22"/>
          <w:szCs w:val="22"/>
          <w:highlight w:val="yellow"/>
          <w:lang w:val="en-GB"/>
        </w:rPr>
        <w:t>be started after recognition of a foreign main proceeding if the debtor has assets there. The</w:t>
      </w:r>
    </w:p>
    <w:p w14:paraId="72D33F17" w14:textId="77777777" w:rsidR="00C22D49" w:rsidRDefault="00C22D49" w:rsidP="00C22D49">
      <w:pPr>
        <w:ind w:left="720" w:hanging="720"/>
        <w:jc w:val="both"/>
        <w:rPr>
          <w:rFonts w:ascii="Arial" w:hAnsi="Arial" w:cs="Arial"/>
          <w:sz w:val="22"/>
          <w:szCs w:val="22"/>
          <w:highlight w:val="yellow"/>
          <w:lang w:val="en-GB"/>
        </w:rPr>
      </w:pPr>
      <w:r w:rsidRPr="00C22D49">
        <w:rPr>
          <w:rFonts w:ascii="Arial" w:hAnsi="Arial" w:cs="Arial"/>
          <w:sz w:val="22"/>
          <w:szCs w:val="22"/>
          <w:highlight w:val="yellow"/>
          <w:lang w:val="en-GB"/>
        </w:rPr>
        <w:t>effects of that proceeding shall therefore be limited and is restricted to the debtor's assets</w:t>
      </w:r>
    </w:p>
    <w:p w14:paraId="7AF1F41C" w14:textId="766D1E61" w:rsidR="00C22D49" w:rsidRDefault="00C22D49" w:rsidP="00C22D49">
      <w:pPr>
        <w:ind w:left="720" w:hanging="720"/>
        <w:jc w:val="both"/>
        <w:rPr>
          <w:rFonts w:ascii="Arial" w:hAnsi="Arial" w:cs="Arial"/>
          <w:sz w:val="22"/>
          <w:szCs w:val="22"/>
          <w:highlight w:val="yellow"/>
          <w:lang w:val="en-GB"/>
        </w:rPr>
      </w:pPr>
      <w:r w:rsidRPr="00C22D49">
        <w:rPr>
          <w:rFonts w:ascii="Arial" w:hAnsi="Arial" w:cs="Arial"/>
          <w:sz w:val="22"/>
          <w:szCs w:val="22"/>
          <w:highlight w:val="yellow"/>
          <w:lang w:val="en-GB"/>
        </w:rPr>
        <w:t>located</w:t>
      </w:r>
      <w:r>
        <w:rPr>
          <w:rFonts w:ascii="Arial" w:hAnsi="Arial" w:cs="Arial"/>
          <w:sz w:val="22"/>
          <w:szCs w:val="22"/>
          <w:highlight w:val="yellow"/>
          <w:lang w:val="en-GB"/>
        </w:rPr>
        <w:t xml:space="preserve"> </w:t>
      </w:r>
      <w:r w:rsidRPr="00C22D49">
        <w:rPr>
          <w:rFonts w:ascii="Arial" w:hAnsi="Arial" w:cs="Arial"/>
          <w:sz w:val="22"/>
          <w:szCs w:val="22"/>
          <w:highlight w:val="yellow"/>
          <w:lang w:val="en-GB"/>
        </w:rPr>
        <w:t xml:space="preserve">in this State and, to the extent necessary to implement cooperation and </w:t>
      </w:r>
      <w:proofErr w:type="gramStart"/>
      <w:r w:rsidRPr="00C22D49">
        <w:rPr>
          <w:rFonts w:ascii="Arial" w:hAnsi="Arial" w:cs="Arial"/>
          <w:sz w:val="22"/>
          <w:szCs w:val="22"/>
          <w:highlight w:val="yellow"/>
          <w:lang w:val="en-GB"/>
        </w:rPr>
        <w:t>coordination</w:t>
      </w:r>
      <w:proofErr w:type="gramEnd"/>
    </w:p>
    <w:p w14:paraId="79C9BC1B" w14:textId="77777777" w:rsidR="00C22D49" w:rsidRDefault="00C22D49" w:rsidP="00C22D49">
      <w:pPr>
        <w:ind w:left="720" w:hanging="720"/>
        <w:jc w:val="both"/>
        <w:rPr>
          <w:rFonts w:ascii="Arial" w:hAnsi="Arial" w:cs="Arial"/>
          <w:sz w:val="22"/>
          <w:szCs w:val="22"/>
          <w:highlight w:val="yellow"/>
          <w:lang w:val="en-GB"/>
        </w:rPr>
      </w:pPr>
      <w:r w:rsidRPr="00C22D49">
        <w:rPr>
          <w:rFonts w:ascii="Arial" w:hAnsi="Arial" w:cs="Arial"/>
          <w:sz w:val="22"/>
          <w:szCs w:val="22"/>
          <w:highlight w:val="yellow"/>
          <w:lang w:val="en-GB"/>
        </w:rPr>
        <w:t>under</w:t>
      </w:r>
      <w:r>
        <w:rPr>
          <w:rFonts w:ascii="Arial" w:hAnsi="Arial" w:cs="Arial"/>
          <w:sz w:val="22"/>
          <w:szCs w:val="22"/>
          <w:highlight w:val="yellow"/>
          <w:lang w:val="en-GB"/>
        </w:rPr>
        <w:t xml:space="preserve"> </w:t>
      </w:r>
      <w:r w:rsidRPr="00C22D49">
        <w:rPr>
          <w:rFonts w:ascii="Arial" w:hAnsi="Arial" w:cs="Arial"/>
          <w:sz w:val="22"/>
          <w:szCs w:val="22"/>
          <w:highlight w:val="yellow"/>
          <w:lang w:val="en-GB"/>
        </w:rPr>
        <w:t>Articles 25, 26, and 27, to other assets of the debtor that, under the law of the State.</w:t>
      </w:r>
    </w:p>
    <w:p w14:paraId="759050DF" w14:textId="5A088C2E" w:rsidR="00C22D49" w:rsidRDefault="00C22D49" w:rsidP="00C22D49">
      <w:pPr>
        <w:ind w:left="720" w:hanging="720"/>
        <w:jc w:val="both"/>
        <w:rPr>
          <w:rFonts w:ascii="Arial" w:hAnsi="Arial" w:cs="Arial"/>
          <w:sz w:val="22"/>
          <w:szCs w:val="22"/>
          <w:highlight w:val="yellow"/>
          <w:lang w:val="en-GB"/>
        </w:rPr>
      </w:pPr>
      <w:r w:rsidRPr="00C22D49">
        <w:rPr>
          <w:rFonts w:ascii="Arial" w:hAnsi="Arial" w:cs="Arial"/>
          <w:sz w:val="22"/>
          <w:szCs w:val="22"/>
          <w:highlight w:val="yellow"/>
          <w:lang w:val="en-GB"/>
        </w:rPr>
        <w:t>Foreign</w:t>
      </w:r>
      <w:r>
        <w:rPr>
          <w:rFonts w:ascii="Arial" w:hAnsi="Arial" w:cs="Arial"/>
          <w:sz w:val="22"/>
          <w:szCs w:val="22"/>
          <w:highlight w:val="yellow"/>
          <w:lang w:val="en-GB"/>
        </w:rPr>
        <w:t xml:space="preserve"> </w:t>
      </w:r>
      <w:r w:rsidRPr="00C22D49">
        <w:rPr>
          <w:rFonts w:ascii="Arial" w:hAnsi="Arial" w:cs="Arial"/>
          <w:sz w:val="22"/>
          <w:szCs w:val="22"/>
          <w:highlight w:val="yellow"/>
          <w:lang w:val="en-GB"/>
        </w:rPr>
        <w:t xml:space="preserve">proceedings and concurrent domestic insolvency proceedings can exist </w:t>
      </w:r>
      <w:r w:rsidRPr="00C22D49">
        <w:rPr>
          <w:rFonts w:ascii="Arial" w:hAnsi="Arial" w:cs="Arial"/>
          <w:sz w:val="22"/>
          <w:szCs w:val="22"/>
          <w:highlight w:val="yellow"/>
          <w:lang w:val="en-GB"/>
        </w:rPr>
        <w:t>together.</w:t>
      </w:r>
    </w:p>
    <w:p w14:paraId="0752EB6E" w14:textId="77777777" w:rsidR="00C22D49" w:rsidRDefault="00C22D49" w:rsidP="00C22D49">
      <w:pPr>
        <w:ind w:left="720" w:hanging="720"/>
        <w:jc w:val="both"/>
        <w:rPr>
          <w:rFonts w:ascii="Arial" w:hAnsi="Arial" w:cs="Arial"/>
          <w:sz w:val="22"/>
          <w:szCs w:val="22"/>
          <w:highlight w:val="yellow"/>
          <w:lang w:val="en-GB"/>
        </w:rPr>
      </w:pPr>
      <w:r w:rsidRPr="00C22D49">
        <w:rPr>
          <w:rFonts w:ascii="Arial" w:hAnsi="Arial" w:cs="Arial"/>
          <w:sz w:val="22"/>
          <w:szCs w:val="22"/>
          <w:highlight w:val="yellow"/>
          <w:lang w:val="en-GB"/>
        </w:rPr>
        <w:t>however any</w:t>
      </w:r>
      <w:r>
        <w:rPr>
          <w:rFonts w:ascii="Arial" w:hAnsi="Arial" w:cs="Arial"/>
          <w:sz w:val="22"/>
          <w:szCs w:val="22"/>
          <w:highlight w:val="yellow"/>
          <w:lang w:val="en-GB"/>
        </w:rPr>
        <w:t xml:space="preserve"> </w:t>
      </w:r>
      <w:r w:rsidRPr="00C22D49">
        <w:rPr>
          <w:rFonts w:ascii="Arial" w:hAnsi="Arial" w:cs="Arial"/>
          <w:sz w:val="22"/>
          <w:szCs w:val="22"/>
          <w:highlight w:val="yellow"/>
          <w:lang w:val="en-GB"/>
        </w:rPr>
        <w:t xml:space="preserve">relief the foreign representative seeks under Article 19 and </w:t>
      </w:r>
      <w:proofErr w:type="gramStart"/>
      <w:r w:rsidRPr="00C22D49">
        <w:rPr>
          <w:rFonts w:ascii="Arial" w:hAnsi="Arial" w:cs="Arial"/>
          <w:sz w:val="22"/>
          <w:szCs w:val="22"/>
          <w:highlight w:val="yellow"/>
          <w:lang w:val="en-GB"/>
        </w:rPr>
        <w:t>21  is</w:t>
      </w:r>
      <w:proofErr w:type="gramEnd"/>
      <w:r w:rsidRPr="00C22D49">
        <w:rPr>
          <w:rFonts w:ascii="Arial" w:hAnsi="Arial" w:cs="Arial"/>
          <w:sz w:val="22"/>
          <w:szCs w:val="22"/>
          <w:highlight w:val="yellow"/>
          <w:lang w:val="en-GB"/>
        </w:rPr>
        <w:t xml:space="preserve"> however</w:t>
      </w:r>
    </w:p>
    <w:p w14:paraId="6D821EE7" w14:textId="399B722A" w:rsidR="00C22D49" w:rsidRPr="00C22D49" w:rsidRDefault="00C22D49" w:rsidP="00C22D49">
      <w:pPr>
        <w:ind w:left="720" w:hanging="720"/>
        <w:jc w:val="both"/>
        <w:rPr>
          <w:rFonts w:ascii="Arial" w:hAnsi="Arial" w:cs="Arial"/>
          <w:sz w:val="22"/>
          <w:szCs w:val="22"/>
          <w:highlight w:val="yellow"/>
          <w:lang w:val="en-GB"/>
        </w:rPr>
      </w:pPr>
      <w:r w:rsidRPr="00C22D49">
        <w:rPr>
          <w:rFonts w:ascii="Arial" w:hAnsi="Arial" w:cs="Arial"/>
          <w:sz w:val="22"/>
          <w:szCs w:val="22"/>
          <w:highlight w:val="yellow"/>
          <w:lang w:val="en-GB"/>
        </w:rPr>
        <w:t xml:space="preserve">restricted and </w:t>
      </w:r>
      <w:proofErr w:type="gramStart"/>
      <w:r w:rsidRPr="00C22D49">
        <w:rPr>
          <w:rFonts w:ascii="Arial" w:hAnsi="Arial" w:cs="Arial"/>
          <w:sz w:val="22"/>
          <w:szCs w:val="22"/>
          <w:highlight w:val="yellow"/>
          <w:lang w:val="en-GB"/>
        </w:rPr>
        <w:t>must</w:t>
      </w:r>
      <w:proofErr w:type="gramEnd"/>
      <w:r w:rsidRPr="00C22D49">
        <w:rPr>
          <w:rFonts w:ascii="Arial" w:hAnsi="Arial" w:cs="Arial"/>
          <w:sz w:val="22"/>
          <w:szCs w:val="22"/>
          <w:highlight w:val="yellow"/>
          <w:lang w:val="en-GB"/>
        </w:rPr>
        <w:t xml:space="preserve"> consistent with domestic insolvency proceedings.</w:t>
      </w:r>
    </w:p>
    <w:p w14:paraId="783397D4" w14:textId="77777777" w:rsidR="00031961" w:rsidRDefault="00031961" w:rsidP="00867A8F">
      <w:pPr>
        <w:ind w:left="720" w:hanging="720"/>
        <w:jc w:val="both"/>
        <w:rPr>
          <w:rFonts w:ascii="Avenir Next" w:hAnsi="Avenir Next" w:cs="Arial"/>
          <w:sz w:val="22"/>
          <w:szCs w:val="22"/>
          <w:lang w:val="en-GB"/>
        </w:rPr>
      </w:pPr>
    </w:p>
    <w:p w14:paraId="52A4C0FA" w14:textId="533372A9" w:rsidR="004C7326" w:rsidRPr="00FA108A" w:rsidRDefault="004C7326" w:rsidP="00867A8F">
      <w:pPr>
        <w:ind w:left="720" w:hanging="720"/>
        <w:jc w:val="both"/>
        <w:rPr>
          <w:rFonts w:ascii="Arial" w:hAnsi="Arial" w:cs="Arial"/>
          <w:sz w:val="22"/>
          <w:szCs w:val="22"/>
          <w:u w:val="single"/>
          <w:lang w:val="en-GB"/>
        </w:rPr>
      </w:pPr>
      <w:r w:rsidRPr="00FA108A">
        <w:rPr>
          <w:rFonts w:ascii="Arial" w:hAnsi="Arial" w:cs="Arial"/>
          <w:sz w:val="22"/>
          <w:szCs w:val="22"/>
          <w:highlight w:val="yellow"/>
          <w:u w:val="single"/>
          <w:lang w:val="en-GB"/>
        </w:rPr>
        <w:t>Exclusions</w:t>
      </w:r>
    </w:p>
    <w:p w14:paraId="16076DE3" w14:textId="77777777" w:rsidR="007B5036" w:rsidRPr="000B7CBE" w:rsidRDefault="007B5036" w:rsidP="007B5036">
      <w:pPr>
        <w:rPr>
          <w:highlight w:val="yellow"/>
        </w:rPr>
      </w:pPr>
    </w:p>
    <w:p w14:paraId="360F50B7" w14:textId="77777777" w:rsidR="007B5036" w:rsidRPr="005631B3" w:rsidRDefault="007B5036" w:rsidP="007B5036">
      <w:pPr>
        <w:jc w:val="both"/>
        <w:rPr>
          <w:rFonts w:ascii="Arial" w:hAnsi="Arial" w:cs="Arial"/>
          <w:sz w:val="22"/>
          <w:szCs w:val="22"/>
        </w:rPr>
      </w:pPr>
      <w:bookmarkStart w:id="4" w:name="_Hlk128390549"/>
      <w:r w:rsidRPr="000B7CBE">
        <w:rPr>
          <w:rFonts w:ascii="Arial" w:hAnsi="Arial" w:cs="Arial"/>
          <w:sz w:val="22"/>
          <w:szCs w:val="22"/>
          <w:highlight w:val="yellow"/>
        </w:rPr>
        <w:t xml:space="preserve">The enacting state has the option to exempt specific proceedings from application under the Model Law's pursuant to Article 1  paragraph 2. While it has been specifically stated that banks and insurance companies are examples of businesses that the enacting state may choose to exclude from the Model Law, the Model Law should, in theory, apply to any proceedings that qualify as foreign proceedings within the meaning of Article 2(a) of the Model Law. </w:t>
      </w:r>
      <w:bookmarkEnd w:id="4"/>
      <w:r w:rsidRPr="000B7CBE">
        <w:rPr>
          <w:rFonts w:ascii="Arial" w:hAnsi="Arial" w:cs="Arial"/>
          <w:sz w:val="22"/>
          <w:szCs w:val="22"/>
          <w:highlight w:val="yellow"/>
        </w:rPr>
        <w:t>There may however be additional businesses, such as public utility firms, that the State may require special cross-border resolutions or that are excluded for policy reasons.</w:t>
      </w:r>
    </w:p>
    <w:p w14:paraId="217F8434" w14:textId="77777777" w:rsidR="00190F03" w:rsidRDefault="00190F03" w:rsidP="00190F03">
      <w:pPr>
        <w:autoSpaceDE w:val="0"/>
        <w:autoSpaceDN w:val="0"/>
        <w:adjustRightInd w:val="0"/>
        <w:rPr>
          <w:rFonts w:ascii="TimesLTStd-Roman" w:eastAsia="MS Mincho" w:hAnsi="TimesLTStd-Roman" w:cs="TimesLTStd-Roman"/>
          <w:szCs w:val="20"/>
        </w:rPr>
      </w:pPr>
    </w:p>
    <w:p w14:paraId="35B83267" w14:textId="77777777" w:rsidR="00FA108A" w:rsidRPr="00FA108A" w:rsidRDefault="00FA108A" w:rsidP="00FA108A">
      <w:pPr>
        <w:jc w:val="both"/>
        <w:rPr>
          <w:rFonts w:ascii="Arial" w:hAnsi="Arial" w:cs="Arial"/>
          <w:sz w:val="22"/>
          <w:szCs w:val="22"/>
          <w:highlight w:val="yellow"/>
        </w:rPr>
      </w:pPr>
      <w:r w:rsidRPr="00FA108A">
        <w:rPr>
          <w:rFonts w:ascii="Arial" w:hAnsi="Arial" w:cs="Arial"/>
          <w:sz w:val="22"/>
          <w:szCs w:val="22"/>
          <w:highlight w:val="yellow"/>
        </w:rPr>
        <w:t>The Model Law's public policy exemption provides the option to limit or exclude any action taken in support of the foreign proceeding on the basis of overriding public policy grounds.</w:t>
      </w:r>
    </w:p>
    <w:p w14:paraId="76727098" w14:textId="77777777" w:rsidR="00FA108A" w:rsidRPr="00FA108A" w:rsidRDefault="00FA108A" w:rsidP="00FA108A">
      <w:pPr>
        <w:jc w:val="both"/>
        <w:rPr>
          <w:rFonts w:ascii="Arial" w:hAnsi="Arial" w:cs="Arial"/>
          <w:sz w:val="22"/>
          <w:szCs w:val="22"/>
          <w:highlight w:val="yellow"/>
        </w:rPr>
      </w:pPr>
    </w:p>
    <w:p w14:paraId="1F567134" w14:textId="77777777" w:rsidR="00FA108A" w:rsidRPr="001E022A" w:rsidRDefault="00FA108A" w:rsidP="00FA108A">
      <w:pPr>
        <w:jc w:val="both"/>
        <w:rPr>
          <w:rFonts w:ascii="Arial" w:hAnsi="Arial" w:cs="Arial"/>
          <w:sz w:val="22"/>
          <w:szCs w:val="22"/>
        </w:rPr>
      </w:pPr>
      <w:r w:rsidRPr="00FA108A">
        <w:rPr>
          <w:rFonts w:ascii="Arial" w:hAnsi="Arial" w:cs="Arial"/>
          <w:sz w:val="22"/>
          <w:szCs w:val="22"/>
          <w:highlight w:val="yellow"/>
        </w:rPr>
        <w:t>The courts have also ruled that foreign proceedings and redress accessible under article 21 must be of a form that is admissible as evidence under the law of the recognizing court and not manifestly against public policy under article 6. Yet it is important to remember that Article 6 is only meant to be used in extraordinary situations involving issues that are fundamentally important to the State that enacted it.</w:t>
      </w:r>
    </w:p>
    <w:p w14:paraId="716F2D0E" w14:textId="77777777" w:rsidR="00190F03" w:rsidRDefault="00190F03" w:rsidP="00867A8F">
      <w:pPr>
        <w:ind w:left="720" w:hanging="720"/>
        <w:jc w:val="both"/>
        <w:rPr>
          <w:rFonts w:ascii="TimesLTStd-Roman" w:eastAsia="MS Mincho" w:hAnsi="TimesLTStd-Roman" w:cs="TimesLTStd-Roman"/>
          <w:szCs w:val="20"/>
        </w:rPr>
      </w:pPr>
    </w:p>
    <w:p w14:paraId="69294F09" w14:textId="7941EEB2" w:rsidR="004C7326" w:rsidRPr="00190F03" w:rsidRDefault="004C7326" w:rsidP="00867A8F">
      <w:pPr>
        <w:ind w:left="720" w:hanging="720"/>
        <w:jc w:val="both"/>
        <w:rPr>
          <w:rFonts w:ascii="Arial" w:hAnsi="Arial" w:cs="Arial"/>
          <w:sz w:val="22"/>
          <w:szCs w:val="22"/>
          <w:highlight w:val="yellow"/>
          <w:u w:val="single"/>
          <w:lang w:val="en-GB"/>
        </w:rPr>
      </w:pPr>
      <w:r w:rsidRPr="00190F03">
        <w:rPr>
          <w:rFonts w:ascii="Arial" w:hAnsi="Arial" w:cs="Arial"/>
          <w:sz w:val="22"/>
          <w:szCs w:val="22"/>
          <w:highlight w:val="yellow"/>
          <w:u w:val="single"/>
          <w:lang w:val="en-GB"/>
        </w:rPr>
        <w:t xml:space="preserve">Limitations- </w:t>
      </w:r>
    </w:p>
    <w:p w14:paraId="68FBB634" w14:textId="77777777" w:rsidR="00190F03" w:rsidRPr="00190F03" w:rsidRDefault="00190F03" w:rsidP="00190F03">
      <w:pPr>
        <w:autoSpaceDE w:val="0"/>
        <w:autoSpaceDN w:val="0"/>
        <w:adjustRightInd w:val="0"/>
        <w:rPr>
          <w:rFonts w:ascii="Arial" w:eastAsiaTheme="minorHAnsi" w:hAnsi="Arial" w:cs="Arial"/>
          <w:sz w:val="22"/>
          <w:szCs w:val="22"/>
          <w:highlight w:val="yellow"/>
          <w14:ligatures w14:val="standardContextual"/>
        </w:rPr>
      </w:pPr>
    </w:p>
    <w:p w14:paraId="5C93B576" w14:textId="0F5F2D57" w:rsidR="00190F03" w:rsidRPr="00190F03" w:rsidRDefault="00190F03" w:rsidP="00190F03">
      <w:pPr>
        <w:autoSpaceDE w:val="0"/>
        <w:autoSpaceDN w:val="0"/>
        <w:adjustRightInd w:val="0"/>
        <w:rPr>
          <w:rFonts w:ascii="Arial" w:eastAsiaTheme="minorHAnsi" w:hAnsi="Arial" w:cs="Arial"/>
          <w:sz w:val="22"/>
          <w:szCs w:val="22"/>
          <w:highlight w:val="yellow"/>
          <w14:ligatures w14:val="standardContextual"/>
        </w:rPr>
      </w:pPr>
      <w:r w:rsidRPr="00190F03">
        <w:rPr>
          <w:rFonts w:ascii="Arial" w:eastAsiaTheme="minorHAnsi" w:hAnsi="Arial" w:cs="Arial"/>
          <w:sz w:val="22"/>
          <w:szCs w:val="22"/>
          <w:highlight w:val="yellow"/>
          <w14:ligatures w14:val="standardContextual"/>
        </w:rPr>
        <w:t xml:space="preserve">Article </w:t>
      </w:r>
      <w:r w:rsidRPr="00190F03">
        <w:rPr>
          <w:rFonts w:ascii="Arial" w:eastAsiaTheme="minorHAnsi" w:hAnsi="Arial" w:cs="Arial"/>
          <w:sz w:val="22"/>
          <w:szCs w:val="22"/>
          <w:highlight w:val="yellow"/>
          <w14:ligatures w14:val="standardContextual"/>
        </w:rPr>
        <w:t xml:space="preserve">2 states that </w:t>
      </w:r>
      <w:proofErr w:type="gramStart"/>
      <w:r w:rsidRPr="00190F03">
        <w:rPr>
          <w:rFonts w:ascii="Arial" w:eastAsiaTheme="minorHAnsi" w:hAnsi="Arial" w:cs="Arial"/>
          <w:sz w:val="22"/>
          <w:szCs w:val="22"/>
          <w:highlight w:val="yellow"/>
          <w14:ligatures w14:val="standardContextual"/>
        </w:rPr>
        <w:t>“ Upon</w:t>
      </w:r>
      <w:proofErr w:type="gramEnd"/>
      <w:r w:rsidRPr="00190F03">
        <w:rPr>
          <w:rFonts w:ascii="Arial" w:eastAsiaTheme="minorHAnsi" w:hAnsi="Arial" w:cs="Arial"/>
          <w:sz w:val="22"/>
          <w:szCs w:val="22"/>
          <w:highlight w:val="yellow"/>
          <w14:ligatures w14:val="standardContextual"/>
        </w:rPr>
        <w:t xml:space="preserve"> recognition of a foreign proceeding that is a foreign main proceeding,</w:t>
      </w:r>
      <w:r>
        <w:rPr>
          <w:rFonts w:ascii="Arial" w:eastAsiaTheme="minorHAnsi" w:hAnsi="Arial" w:cs="Arial"/>
          <w:sz w:val="22"/>
          <w:szCs w:val="22"/>
          <w:highlight w:val="yellow"/>
          <w14:ligatures w14:val="standardContextual"/>
        </w:rPr>
        <w:t xml:space="preserve"> </w:t>
      </w:r>
      <w:r w:rsidRPr="00190F03">
        <w:rPr>
          <w:rFonts w:ascii="Arial" w:eastAsiaTheme="minorHAnsi" w:hAnsi="Arial" w:cs="Arial"/>
          <w:sz w:val="22"/>
          <w:szCs w:val="22"/>
          <w:highlight w:val="yellow"/>
          <w14:ligatures w14:val="standardContextual"/>
        </w:rPr>
        <w:t xml:space="preserve">(a) Commencement or continuation of individual actions or individual proceedings concerning the debtor’s assets, rights, obligations or liabilities is stayed. However, paragraph 2 indicates that the scope, and the modification or termination, of the stay and suspension referred to in paragraph 1 of this article are subject to </w:t>
      </w:r>
      <w:r w:rsidRPr="00190F03">
        <w:rPr>
          <w:rFonts w:ascii="Arial" w:eastAsiaTheme="minorHAnsi" w:hAnsi="Arial" w:cs="Arial"/>
          <w:i/>
          <w:iCs/>
          <w:sz w:val="22"/>
          <w:szCs w:val="22"/>
          <w:highlight w:val="yellow"/>
          <w14:ligatures w14:val="standardContextual"/>
        </w:rPr>
        <w:t xml:space="preserve">any provisions of law of the enacting State relating to insolvency that apply to exceptions and limitations, </w:t>
      </w:r>
      <w:proofErr w:type="gramStart"/>
      <w:r w:rsidRPr="00190F03">
        <w:rPr>
          <w:rFonts w:ascii="Arial" w:eastAsiaTheme="minorHAnsi" w:hAnsi="Arial" w:cs="Arial"/>
          <w:i/>
          <w:iCs/>
          <w:sz w:val="22"/>
          <w:szCs w:val="22"/>
          <w:highlight w:val="yellow"/>
          <w14:ligatures w14:val="standardContextual"/>
        </w:rPr>
        <w:t>modifications</w:t>
      </w:r>
      <w:proofErr w:type="gramEnd"/>
      <w:r w:rsidRPr="00190F03">
        <w:rPr>
          <w:rFonts w:ascii="Arial" w:eastAsiaTheme="minorHAnsi" w:hAnsi="Arial" w:cs="Arial"/>
          <w:i/>
          <w:iCs/>
          <w:sz w:val="22"/>
          <w:szCs w:val="22"/>
          <w:highlight w:val="yellow"/>
          <w14:ligatures w14:val="standardContextual"/>
        </w:rPr>
        <w:t xml:space="preserve"> or termination in respect of the stay and suspension referred</w:t>
      </w:r>
      <w:r w:rsidRPr="00190F03">
        <w:rPr>
          <w:rFonts w:ascii="Arial" w:eastAsiaTheme="minorHAnsi" w:hAnsi="Arial" w:cs="Arial"/>
          <w:sz w:val="22"/>
          <w:szCs w:val="22"/>
          <w:highlight w:val="yellow"/>
          <w14:ligatures w14:val="standardContextual"/>
        </w:rPr>
        <w:t xml:space="preserve"> t</w:t>
      </w:r>
      <w:r w:rsidRPr="00190F03">
        <w:rPr>
          <w:rFonts w:ascii="Arial" w:eastAsiaTheme="minorHAnsi" w:hAnsi="Arial" w:cs="Arial"/>
          <w:i/>
          <w:iCs/>
          <w:sz w:val="22"/>
          <w:szCs w:val="22"/>
          <w:highlight w:val="yellow"/>
          <w14:ligatures w14:val="standardContextual"/>
        </w:rPr>
        <w:t>o in paragraph 1 of this article</w:t>
      </w:r>
      <w:r w:rsidRPr="00190F03">
        <w:rPr>
          <w:rFonts w:ascii="Arial" w:eastAsiaTheme="minorHAnsi" w:hAnsi="Arial" w:cs="Arial"/>
          <w:sz w:val="22"/>
          <w:szCs w:val="22"/>
          <w:highlight w:val="yellow"/>
          <w14:ligatures w14:val="standardContextual"/>
        </w:rPr>
        <w:t>.</w:t>
      </w:r>
    </w:p>
    <w:p w14:paraId="29A55612" w14:textId="77777777" w:rsidR="00190F03" w:rsidRPr="00190F03" w:rsidRDefault="00190F03" w:rsidP="00190F03">
      <w:pPr>
        <w:autoSpaceDE w:val="0"/>
        <w:autoSpaceDN w:val="0"/>
        <w:adjustRightInd w:val="0"/>
        <w:rPr>
          <w:rFonts w:ascii="Arial" w:eastAsiaTheme="minorHAnsi" w:hAnsi="Arial" w:cs="Arial"/>
          <w:sz w:val="22"/>
          <w:szCs w:val="22"/>
          <w:highlight w:val="yellow"/>
          <w14:ligatures w14:val="standardContextual"/>
        </w:rPr>
      </w:pPr>
    </w:p>
    <w:p w14:paraId="46E3C116" w14:textId="77777777" w:rsidR="00190F03" w:rsidRPr="00190F03" w:rsidRDefault="00190F03" w:rsidP="00190F03">
      <w:pPr>
        <w:autoSpaceDE w:val="0"/>
        <w:autoSpaceDN w:val="0"/>
        <w:adjustRightInd w:val="0"/>
        <w:rPr>
          <w:rFonts w:ascii="Arial" w:eastAsiaTheme="minorHAnsi" w:hAnsi="Arial" w:cs="Arial"/>
          <w:sz w:val="22"/>
          <w:szCs w:val="22"/>
          <w:highlight w:val="yellow"/>
          <w14:ligatures w14:val="standardContextual"/>
        </w:rPr>
      </w:pPr>
    </w:p>
    <w:p w14:paraId="2A734CF3" w14:textId="30F777F2" w:rsidR="00190F03" w:rsidRPr="00190F03" w:rsidRDefault="00190F03" w:rsidP="00190F03">
      <w:pPr>
        <w:autoSpaceDE w:val="0"/>
        <w:autoSpaceDN w:val="0"/>
        <w:adjustRightInd w:val="0"/>
        <w:rPr>
          <w:rFonts w:ascii="Arial" w:eastAsiaTheme="minorHAnsi" w:hAnsi="Arial" w:cs="Arial"/>
          <w:sz w:val="22"/>
          <w:szCs w:val="22"/>
          <w:highlight w:val="yellow"/>
          <w14:ligatures w14:val="standardContextual"/>
        </w:rPr>
      </w:pPr>
      <w:r w:rsidRPr="00190F03">
        <w:rPr>
          <w:rFonts w:ascii="Arial" w:eastAsiaTheme="minorHAnsi" w:hAnsi="Arial" w:cs="Arial"/>
          <w:sz w:val="22"/>
          <w:szCs w:val="22"/>
          <w:highlight w:val="yellow"/>
          <w14:ligatures w14:val="standardContextual"/>
        </w:rPr>
        <w:t xml:space="preserve">The </w:t>
      </w:r>
      <w:r>
        <w:rPr>
          <w:rFonts w:ascii="Arial" w:eastAsiaTheme="minorHAnsi" w:hAnsi="Arial" w:cs="Arial"/>
          <w:sz w:val="22"/>
          <w:szCs w:val="22"/>
          <w:highlight w:val="yellow"/>
          <w14:ligatures w14:val="standardContextual"/>
        </w:rPr>
        <w:t>d</w:t>
      </w:r>
      <w:r w:rsidRPr="00190F03">
        <w:rPr>
          <w:rFonts w:ascii="Arial" w:eastAsiaTheme="minorHAnsi" w:hAnsi="Arial" w:cs="Arial"/>
          <w:sz w:val="22"/>
          <w:szCs w:val="22"/>
          <w:highlight w:val="yellow"/>
          <w14:ligatures w14:val="standardContextual"/>
        </w:rPr>
        <w:t xml:space="preserve">igest of case law stated that “in a case where the question concerned an </w:t>
      </w:r>
      <w:proofErr w:type="gramStart"/>
      <w:r w:rsidRPr="00190F03">
        <w:rPr>
          <w:rFonts w:ascii="Arial" w:eastAsiaTheme="minorHAnsi" w:hAnsi="Arial" w:cs="Arial"/>
          <w:sz w:val="22"/>
          <w:szCs w:val="22"/>
          <w:highlight w:val="yellow"/>
          <w14:ligatures w14:val="standardContextual"/>
        </w:rPr>
        <w:t>arbitration</w:t>
      </w:r>
      <w:proofErr w:type="gramEnd"/>
    </w:p>
    <w:p w14:paraId="245BC598" w14:textId="77F8A35B" w:rsidR="00190F03" w:rsidRPr="000B7CBE" w:rsidRDefault="00190F03" w:rsidP="00190F03">
      <w:pPr>
        <w:autoSpaceDE w:val="0"/>
        <w:autoSpaceDN w:val="0"/>
        <w:adjustRightInd w:val="0"/>
        <w:jc w:val="both"/>
        <w:rPr>
          <w:rFonts w:ascii="Arial" w:hAnsi="Arial" w:cs="Arial"/>
          <w:sz w:val="22"/>
          <w:szCs w:val="22"/>
          <w:lang w:val="en-GB"/>
        </w:rPr>
      </w:pPr>
      <w:r w:rsidRPr="00190F03">
        <w:rPr>
          <w:rFonts w:ascii="Arial" w:eastAsiaTheme="minorHAnsi" w:hAnsi="Arial" w:cs="Arial"/>
          <w:sz w:val="22"/>
          <w:szCs w:val="22"/>
          <w:highlight w:val="yellow"/>
          <w14:ligatures w14:val="standardContextual"/>
        </w:rPr>
        <w:t xml:space="preserve">conducted in a foreign State after the commencement of the recognition proceeding, the recognizing court held that the scope of the automatic stay under that State’s enactment of Article 20 was limited to proceedings that could have an impact on the debtor’s property located in, or within the territorial jurisdiction of, that State.” This highlights that there may </w:t>
      </w:r>
      <w:r w:rsidRPr="00190F03">
        <w:rPr>
          <w:rFonts w:ascii="Arial" w:eastAsiaTheme="minorHAnsi" w:hAnsi="Arial" w:cs="Arial"/>
          <w:sz w:val="22"/>
          <w:szCs w:val="22"/>
          <w:highlight w:val="yellow"/>
          <w14:ligatures w14:val="standardContextual"/>
        </w:rPr>
        <w:t xml:space="preserve">be </w:t>
      </w:r>
      <w:r>
        <w:rPr>
          <w:rFonts w:ascii="Arial" w:eastAsiaTheme="minorHAnsi" w:hAnsi="Arial" w:cs="Arial"/>
          <w:sz w:val="22"/>
          <w:szCs w:val="22"/>
          <w:highlight w:val="yellow"/>
          <w14:ligatures w14:val="standardContextual"/>
        </w:rPr>
        <w:t>l</w:t>
      </w:r>
      <w:r w:rsidRPr="00190F03">
        <w:rPr>
          <w:rFonts w:ascii="Arial" w:hAnsi="Arial" w:cs="Arial"/>
          <w:sz w:val="22"/>
          <w:szCs w:val="22"/>
          <w:highlight w:val="yellow"/>
          <w:lang w:val="en-GB"/>
        </w:rPr>
        <w:t>imitations</w:t>
      </w:r>
      <w:r w:rsidRPr="00190F03">
        <w:rPr>
          <w:rFonts w:ascii="Arial" w:hAnsi="Arial" w:cs="Arial"/>
          <w:sz w:val="22"/>
          <w:szCs w:val="22"/>
          <w:highlight w:val="yellow"/>
          <w:lang w:val="en-GB"/>
        </w:rPr>
        <w:t xml:space="preserve"> that must be considered, for a recognition application to be successful.</w:t>
      </w:r>
    </w:p>
    <w:p w14:paraId="2C9AF31E" w14:textId="4F6D9F70" w:rsidR="00C22D49" w:rsidRDefault="00C22D49" w:rsidP="00867A8F">
      <w:pPr>
        <w:ind w:left="720" w:hanging="720"/>
        <w:jc w:val="both"/>
        <w:rPr>
          <w:rFonts w:ascii="Avenir Next" w:hAnsi="Avenir Next" w:cs="Arial"/>
          <w:sz w:val="22"/>
          <w:szCs w:val="22"/>
          <w:lang w:val="en-GB"/>
        </w:rPr>
      </w:pPr>
    </w:p>
    <w:p w14:paraId="713C0C0F" w14:textId="2CE67087" w:rsidR="0017257C" w:rsidRPr="004C7326" w:rsidRDefault="0017257C" w:rsidP="00707FC8">
      <w:pPr>
        <w:jc w:val="both"/>
        <w:rPr>
          <w:rFonts w:ascii="Avenir Next" w:hAnsi="Avenir Next" w:cs="Arial"/>
          <w:sz w:val="22"/>
          <w:szCs w:val="22"/>
          <w:shd w:val="clear" w:color="auto" w:fill="FFFFFF"/>
          <w:lang w:val="en-GB"/>
        </w:rPr>
      </w:pPr>
    </w:p>
    <w:bookmarkEnd w:id="3"/>
    <w:p w14:paraId="2896F8FA" w14:textId="77777777" w:rsidR="004E552A" w:rsidRPr="00E73937" w:rsidRDefault="004E552A" w:rsidP="004E552A">
      <w:pPr>
        <w:pStyle w:val="BodyText"/>
        <w:kinsoku w:val="0"/>
        <w:overflowPunct w:val="0"/>
        <w:spacing w:line="223" w:lineRule="exact"/>
        <w:ind w:left="0"/>
        <w:jc w:val="both"/>
        <w:rPr>
          <w:rFonts w:ascii="Arial" w:hAnsi="Arial" w:cs="Arial"/>
          <w:sz w:val="22"/>
          <w:szCs w:val="22"/>
          <w:highlight w:val="yellow"/>
          <w:u w:val="single"/>
          <w:lang w:val="en-GB"/>
        </w:rPr>
      </w:pPr>
      <w:r w:rsidRPr="00E73937">
        <w:rPr>
          <w:rFonts w:ascii="Arial" w:hAnsi="Arial" w:cs="Arial"/>
          <w:sz w:val="22"/>
          <w:szCs w:val="22"/>
          <w:highlight w:val="yellow"/>
          <w:u w:val="single"/>
          <w:lang w:val="en-GB"/>
        </w:rPr>
        <w:t>Judicial Scrutiny</w:t>
      </w:r>
    </w:p>
    <w:p w14:paraId="42DA52DB" w14:textId="77777777" w:rsidR="004E552A" w:rsidRDefault="004E552A" w:rsidP="004E552A">
      <w:pPr>
        <w:pStyle w:val="BodyText"/>
        <w:kinsoku w:val="0"/>
        <w:overflowPunct w:val="0"/>
        <w:spacing w:line="223" w:lineRule="exact"/>
        <w:ind w:left="0"/>
        <w:jc w:val="both"/>
        <w:rPr>
          <w:rFonts w:ascii="Arial" w:hAnsi="Arial" w:cs="Arial"/>
          <w:sz w:val="22"/>
          <w:szCs w:val="22"/>
          <w:highlight w:val="yellow"/>
          <w:lang w:val="en-GB"/>
        </w:rPr>
      </w:pPr>
    </w:p>
    <w:p w14:paraId="4CA972B3" w14:textId="77777777" w:rsidR="004E552A" w:rsidRPr="00E23D20" w:rsidRDefault="004E552A" w:rsidP="004E552A">
      <w:pPr>
        <w:pStyle w:val="BodyText"/>
        <w:kinsoku w:val="0"/>
        <w:overflowPunct w:val="0"/>
        <w:spacing w:line="223" w:lineRule="exact"/>
        <w:ind w:left="0"/>
        <w:jc w:val="both"/>
        <w:rPr>
          <w:rFonts w:ascii="Arial" w:hAnsi="Arial" w:cs="Arial"/>
          <w:sz w:val="22"/>
          <w:szCs w:val="22"/>
          <w:highlight w:val="yellow"/>
        </w:rPr>
      </w:pPr>
      <w:r w:rsidRPr="001B1BAF">
        <w:rPr>
          <w:rFonts w:ascii="Arial" w:hAnsi="Arial" w:cs="Arial"/>
          <w:sz w:val="22"/>
          <w:szCs w:val="22"/>
          <w:highlight w:val="yellow"/>
          <w:lang w:val="en-GB"/>
        </w:rPr>
        <w:t xml:space="preserve">The Court has </w:t>
      </w:r>
      <w:bookmarkStart w:id="5" w:name="Article 2. Definitions"/>
      <w:bookmarkStart w:id="6" w:name="Article 2, subparagraph (a)"/>
      <w:bookmarkStart w:id="7" w:name="_bookmark0"/>
      <w:bookmarkEnd w:id="5"/>
      <w:bookmarkEnd w:id="6"/>
      <w:bookmarkEnd w:id="7"/>
      <w:r w:rsidRPr="001B1BAF">
        <w:rPr>
          <w:rFonts w:ascii="Arial" w:hAnsi="Arial" w:cs="Arial"/>
          <w:sz w:val="22"/>
          <w:szCs w:val="22"/>
          <w:highlight w:val="yellow"/>
        </w:rPr>
        <w:t>con</w:t>
      </w:r>
      <w:r w:rsidRPr="00E23D20">
        <w:rPr>
          <w:rFonts w:ascii="Arial" w:hAnsi="Arial" w:cs="Arial"/>
          <w:sz w:val="22"/>
          <w:szCs w:val="22"/>
          <w:highlight w:val="yellow"/>
        </w:rPr>
        <w:t xml:space="preserve">firmed that the characteristics of </w:t>
      </w:r>
      <w:r w:rsidRPr="001B1BAF">
        <w:rPr>
          <w:rFonts w:ascii="Arial" w:hAnsi="Arial" w:cs="Arial"/>
          <w:sz w:val="22"/>
          <w:szCs w:val="22"/>
          <w:highlight w:val="yellow"/>
        </w:rPr>
        <w:t xml:space="preserve">Article 2 (a) </w:t>
      </w:r>
      <w:r w:rsidRPr="00E23D20">
        <w:rPr>
          <w:rFonts w:ascii="Arial" w:hAnsi="Arial" w:cs="Arial"/>
          <w:sz w:val="22"/>
          <w:szCs w:val="22"/>
          <w:highlight w:val="yellow"/>
        </w:rPr>
        <w:t xml:space="preserve">are cumulative and should be </w:t>
      </w:r>
      <w:proofErr w:type="gramStart"/>
      <w:r w:rsidRPr="00E23D20">
        <w:rPr>
          <w:rFonts w:ascii="Arial" w:hAnsi="Arial" w:cs="Arial"/>
          <w:sz w:val="22"/>
          <w:szCs w:val="22"/>
          <w:highlight w:val="yellow"/>
        </w:rPr>
        <w:t>considered as a whole</w:t>
      </w:r>
      <w:proofErr w:type="gramEnd"/>
      <w:r w:rsidRPr="00E23D20">
        <w:rPr>
          <w:rFonts w:ascii="Arial" w:hAnsi="Arial" w:cs="Arial"/>
          <w:sz w:val="22"/>
          <w:szCs w:val="22"/>
          <w:highlight w:val="yellow"/>
        </w:rPr>
        <w:t>.</w:t>
      </w:r>
      <w:r w:rsidRPr="001B1BAF">
        <w:rPr>
          <w:rFonts w:ascii="Arial" w:hAnsi="Arial" w:cs="Arial"/>
          <w:sz w:val="22"/>
          <w:szCs w:val="22"/>
          <w:highlight w:val="yellow"/>
        </w:rPr>
        <w:t xml:space="preserve"> </w:t>
      </w:r>
      <w:r w:rsidRPr="00E23D20">
        <w:rPr>
          <w:rFonts w:ascii="Arial" w:hAnsi="Arial" w:cs="Arial"/>
          <w:sz w:val="22"/>
          <w:szCs w:val="22"/>
          <w:highlight w:val="yellow"/>
        </w:rPr>
        <w:t>The inquiry to be made is factual in nature and, in view of article 8, the elements should be interpreted and applied in the light of</w:t>
      </w:r>
      <w:r w:rsidRPr="001B1BAF">
        <w:rPr>
          <w:rFonts w:ascii="Arial" w:hAnsi="Arial" w:cs="Arial"/>
          <w:sz w:val="22"/>
          <w:szCs w:val="22"/>
          <w:highlight w:val="yellow"/>
        </w:rPr>
        <w:t xml:space="preserve"> </w:t>
      </w:r>
      <w:r w:rsidRPr="00E23D20">
        <w:rPr>
          <w:rFonts w:ascii="Arial" w:hAnsi="Arial" w:cs="Arial"/>
          <w:sz w:val="22"/>
          <w:szCs w:val="22"/>
          <w:highlight w:val="yellow"/>
        </w:rPr>
        <w:t>their international origins.</w:t>
      </w:r>
    </w:p>
    <w:p w14:paraId="1BA22063" w14:textId="77777777" w:rsidR="004E552A" w:rsidRPr="001B1BAF" w:rsidRDefault="004E552A" w:rsidP="004E552A">
      <w:pPr>
        <w:ind w:left="720" w:hanging="720"/>
        <w:jc w:val="both"/>
        <w:rPr>
          <w:rFonts w:ascii="Arial" w:hAnsi="Arial" w:cs="Arial"/>
          <w:sz w:val="22"/>
          <w:szCs w:val="22"/>
          <w:highlight w:val="yellow"/>
          <w:lang w:val="en-GB"/>
        </w:rPr>
      </w:pPr>
    </w:p>
    <w:p w14:paraId="35C123E6" w14:textId="77777777" w:rsidR="004E552A" w:rsidRPr="001B1BAF" w:rsidRDefault="004E552A" w:rsidP="004E552A">
      <w:pPr>
        <w:jc w:val="both"/>
        <w:rPr>
          <w:rFonts w:ascii="Arial" w:hAnsi="Arial" w:cs="Arial"/>
          <w:sz w:val="22"/>
          <w:szCs w:val="22"/>
          <w:highlight w:val="yellow"/>
          <w:shd w:val="clear" w:color="auto" w:fill="FFFFFF"/>
          <w:lang w:val="en-GB"/>
        </w:rPr>
      </w:pPr>
      <w:r w:rsidRPr="001B1BAF">
        <w:rPr>
          <w:rFonts w:ascii="Arial" w:hAnsi="Arial" w:cs="Arial"/>
          <w:sz w:val="22"/>
          <w:szCs w:val="22"/>
          <w:highlight w:val="yellow"/>
          <w:shd w:val="clear" w:color="auto" w:fill="FFFFFF"/>
          <w:lang w:val="en-GB"/>
        </w:rPr>
        <w:t>Article 17 of the UNCITRAL Model Law gives the receiving court the authority to recognize a foreign proceeding. If it is shown that the justifications for making a recognition order were "fully or partially absent or have ceased to exist," the receiving court may reconsider its decision to treat the foreign case as "main" or "non-main."</w:t>
      </w:r>
    </w:p>
    <w:p w14:paraId="4D8AEF4B" w14:textId="77777777" w:rsidR="004E552A" w:rsidRPr="001B1BAF" w:rsidRDefault="004E552A" w:rsidP="004E552A">
      <w:pPr>
        <w:jc w:val="both"/>
        <w:rPr>
          <w:rFonts w:ascii="Arial" w:hAnsi="Arial" w:cs="Arial"/>
          <w:sz w:val="22"/>
          <w:szCs w:val="22"/>
          <w:highlight w:val="yellow"/>
          <w:shd w:val="clear" w:color="auto" w:fill="FFFFFF"/>
          <w:lang w:val="en-GB"/>
        </w:rPr>
      </w:pPr>
    </w:p>
    <w:p w14:paraId="660AE7AF" w14:textId="77777777" w:rsidR="004E552A" w:rsidRPr="001B1BAF" w:rsidRDefault="004E552A" w:rsidP="004E552A">
      <w:pPr>
        <w:jc w:val="both"/>
        <w:rPr>
          <w:rFonts w:ascii="Arial" w:hAnsi="Arial" w:cs="Arial"/>
          <w:sz w:val="22"/>
          <w:szCs w:val="22"/>
          <w:highlight w:val="yellow"/>
        </w:rPr>
      </w:pPr>
      <w:r w:rsidRPr="001B1BAF">
        <w:rPr>
          <w:rFonts w:ascii="Arial" w:hAnsi="Arial" w:cs="Arial"/>
          <w:sz w:val="22"/>
          <w:szCs w:val="22"/>
          <w:highlight w:val="yellow"/>
        </w:rPr>
        <w:t>According to any applicable domestic law, a decision on recognition may also be appealed or subject to review. An appellate court may consider the case's merits in its entirety, including its factual components, under some national laws' appeal procedures. The provisions of the UNCITRAL Model Law have no bearing on a State's domestic appeal procedures.</w:t>
      </w:r>
    </w:p>
    <w:p w14:paraId="4B6723CD" w14:textId="77777777" w:rsidR="004E552A" w:rsidRPr="001B1BAF" w:rsidRDefault="004E552A" w:rsidP="004E552A">
      <w:pPr>
        <w:jc w:val="both"/>
        <w:rPr>
          <w:rFonts w:ascii="Arial" w:hAnsi="Arial" w:cs="Arial"/>
          <w:sz w:val="22"/>
          <w:szCs w:val="22"/>
          <w:highlight w:val="yellow"/>
          <w:shd w:val="clear" w:color="auto" w:fill="FFFFFF"/>
          <w:lang w:val="en-GB"/>
        </w:rPr>
      </w:pPr>
    </w:p>
    <w:p w14:paraId="1F77AA0F" w14:textId="77777777" w:rsidR="00867A8F" w:rsidRPr="004C7326"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0617CF3" w14:textId="77777777" w:rsidR="00E26872" w:rsidRPr="00E26872" w:rsidRDefault="00E26872" w:rsidP="00E26872">
      <w:pPr>
        <w:rPr>
          <w:rFonts w:ascii="Arial" w:hAnsi="Arial" w:cs="Arial"/>
          <w:b/>
          <w:bCs/>
          <w:sz w:val="22"/>
          <w:szCs w:val="22"/>
          <w:highlight w:val="yellow"/>
          <w:u w:val="single"/>
        </w:rPr>
      </w:pPr>
      <w:r w:rsidRPr="00E26872">
        <w:rPr>
          <w:rFonts w:ascii="Arial" w:hAnsi="Arial" w:cs="Arial"/>
          <w:b/>
          <w:bCs/>
          <w:sz w:val="22"/>
          <w:szCs w:val="22"/>
          <w:highlight w:val="yellow"/>
          <w:u w:val="single"/>
        </w:rPr>
        <w:t xml:space="preserve">Pre recognition relief </w:t>
      </w:r>
    </w:p>
    <w:p w14:paraId="57034806" w14:textId="77777777" w:rsidR="00E26872" w:rsidRPr="00E26872" w:rsidRDefault="00E26872" w:rsidP="00E26872">
      <w:pPr>
        <w:rPr>
          <w:highlight w:val="yellow"/>
        </w:rPr>
      </w:pPr>
    </w:p>
    <w:p w14:paraId="33EEEE8A" w14:textId="77777777" w:rsidR="00E26872" w:rsidRPr="00E26872" w:rsidRDefault="00E26872" w:rsidP="00E26872">
      <w:pPr>
        <w:autoSpaceDE w:val="0"/>
        <w:autoSpaceDN w:val="0"/>
        <w:adjustRightInd w:val="0"/>
        <w:rPr>
          <w:rFonts w:ascii="Arial" w:hAnsi="Arial" w:cs="Arial"/>
          <w:sz w:val="22"/>
          <w:szCs w:val="22"/>
          <w:highlight w:val="yellow"/>
        </w:rPr>
      </w:pPr>
      <w:r w:rsidRPr="00E26872">
        <w:rPr>
          <w:rFonts w:ascii="Arial" w:hAnsi="Arial" w:cs="Arial"/>
          <w:sz w:val="22"/>
          <w:szCs w:val="22"/>
          <w:highlight w:val="yellow"/>
        </w:rPr>
        <w:t>Article 19 provides that the Court may grant urgent pre- recognition relief from the time of filing an application for recognition until the application is decided upon, at the request of the foreign representative, where it is urgently needed to protect the assets of the debtor or the interests of the creditors. Additionally, relief can also be granted of a provisional nature, including:</w:t>
      </w:r>
    </w:p>
    <w:p w14:paraId="7041EE3C" w14:textId="77777777" w:rsidR="00E26872" w:rsidRPr="00E26872" w:rsidRDefault="00E26872" w:rsidP="00E26872">
      <w:pPr>
        <w:autoSpaceDE w:val="0"/>
        <w:autoSpaceDN w:val="0"/>
        <w:adjustRightInd w:val="0"/>
        <w:ind w:firstLine="720"/>
        <w:rPr>
          <w:rFonts w:ascii="Arial" w:hAnsi="Arial" w:cs="Arial"/>
          <w:sz w:val="22"/>
          <w:szCs w:val="22"/>
          <w:highlight w:val="yellow"/>
        </w:rPr>
      </w:pPr>
      <w:r w:rsidRPr="00E26872">
        <w:rPr>
          <w:rFonts w:ascii="Arial" w:hAnsi="Arial" w:cs="Arial"/>
          <w:sz w:val="22"/>
          <w:szCs w:val="22"/>
          <w:highlight w:val="yellow"/>
        </w:rPr>
        <w:t xml:space="preserve">(a) Staying execution against the debtor’s </w:t>
      </w:r>
      <w:proofErr w:type="gramStart"/>
      <w:r w:rsidRPr="00E26872">
        <w:rPr>
          <w:rFonts w:ascii="Arial" w:hAnsi="Arial" w:cs="Arial"/>
          <w:sz w:val="22"/>
          <w:szCs w:val="22"/>
          <w:highlight w:val="yellow"/>
        </w:rPr>
        <w:t>assets;</w:t>
      </w:r>
      <w:proofErr w:type="gramEnd"/>
    </w:p>
    <w:p w14:paraId="2C5D664A" w14:textId="77777777" w:rsidR="00E26872" w:rsidRPr="00E26872" w:rsidRDefault="00E26872" w:rsidP="00E26872">
      <w:pPr>
        <w:autoSpaceDE w:val="0"/>
        <w:autoSpaceDN w:val="0"/>
        <w:adjustRightInd w:val="0"/>
        <w:ind w:left="720"/>
        <w:rPr>
          <w:rFonts w:ascii="Arial" w:hAnsi="Arial" w:cs="Arial"/>
          <w:sz w:val="22"/>
          <w:szCs w:val="22"/>
          <w:highlight w:val="yellow"/>
        </w:rPr>
      </w:pPr>
      <w:r w:rsidRPr="00E26872">
        <w:rPr>
          <w:rFonts w:ascii="Arial" w:hAnsi="Arial" w:cs="Arial"/>
          <w:sz w:val="22"/>
          <w:szCs w:val="22"/>
          <w:highlight w:val="yellow"/>
        </w:rPr>
        <w:t>(b) Entrusting the administration or realization of all or part of the debtor’s assets located in this State.</w:t>
      </w:r>
    </w:p>
    <w:p w14:paraId="1629ED57" w14:textId="77777777" w:rsidR="00E26872" w:rsidRPr="00E26872" w:rsidRDefault="00E26872" w:rsidP="00E26872">
      <w:pPr>
        <w:autoSpaceDE w:val="0"/>
        <w:autoSpaceDN w:val="0"/>
        <w:adjustRightInd w:val="0"/>
        <w:rPr>
          <w:rFonts w:ascii="Arial" w:hAnsi="Arial" w:cs="Arial"/>
          <w:sz w:val="22"/>
          <w:szCs w:val="22"/>
          <w:highlight w:val="yellow"/>
        </w:rPr>
      </w:pPr>
      <w:r w:rsidRPr="00E26872">
        <w:rPr>
          <w:rFonts w:ascii="Arial" w:hAnsi="Arial" w:cs="Arial"/>
          <w:sz w:val="22"/>
          <w:szCs w:val="22"/>
          <w:highlight w:val="yellow"/>
        </w:rPr>
        <w:lastRenderedPageBreak/>
        <w:t>to the foreign representative or another person designated by the court, in order to protect and preserve the value of assets that, by their nature or because of other circumstances, are perishable, susceptible to devaluation or otherwise in jeopardy.</w:t>
      </w:r>
    </w:p>
    <w:p w14:paraId="6182EEE1" w14:textId="77777777" w:rsidR="00E26872" w:rsidRPr="00E26872" w:rsidRDefault="00E26872" w:rsidP="00E26872">
      <w:pPr>
        <w:autoSpaceDE w:val="0"/>
        <w:autoSpaceDN w:val="0"/>
        <w:adjustRightInd w:val="0"/>
        <w:rPr>
          <w:rFonts w:ascii="TimesLTStd-Italic" w:hAnsi="TimesLTStd-Italic" w:cs="TimesLTStd-Italic"/>
          <w:highlight w:val="yellow"/>
        </w:rPr>
      </w:pPr>
    </w:p>
    <w:p w14:paraId="77132A7E" w14:textId="77777777" w:rsidR="00E26872" w:rsidRPr="00E26872" w:rsidRDefault="00E26872" w:rsidP="00E26872">
      <w:pPr>
        <w:autoSpaceDE w:val="0"/>
        <w:autoSpaceDN w:val="0"/>
        <w:adjustRightInd w:val="0"/>
        <w:rPr>
          <w:rFonts w:ascii="TimesLTStd-Italic" w:hAnsi="TimesLTStd-Italic" w:cs="TimesLTStd-Italic"/>
          <w:i/>
          <w:iCs/>
          <w:highlight w:val="yellow"/>
        </w:rPr>
      </w:pPr>
    </w:p>
    <w:p w14:paraId="74508C24" w14:textId="77777777" w:rsidR="000F070B" w:rsidRDefault="000F070B" w:rsidP="00E26872">
      <w:pPr>
        <w:autoSpaceDE w:val="0"/>
        <w:autoSpaceDN w:val="0"/>
        <w:adjustRightInd w:val="0"/>
        <w:jc w:val="both"/>
        <w:rPr>
          <w:rFonts w:ascii="Arial" w:hAnsi="Arial" w:cs="Arial"/>
          <w:sz w:val="22"/>
          <w:szCs w:val="22"/>
          <w:highlight w:val="yellow"/>
        </w:rPr>
      </w:pPr>
    </w:p>
    <w:p w14:paraId="35520E2C" w14:textId="1CFE9124" w:rsidR="00E26872" w:rsidRPr="000F070B" w:rsidRDefault="000F070B" w:rsidP="00E26872">
      <w:pPr>
        <w:autoSpaceDE w:val="0"/>
        <w:autoSpaceDN w:val="0"/>
        <w:adjustRightInd w:val="0"/>
        <w:jc w:val="both"/>
        <w:rPr>
          <w:rFonts w:ascii="Arial" w:hAnsi="Arial" w:cs="Arial"/>
          <w:sz w:val="22"/>
          <w:szCs w:val="22"/>
          <w:highlight w:val="yellow"/>
        </w:rPr>
      </w:pPr>
      <w:r w:rsidRPr="000F070B">
        <w:rPr>
          <w:rFonts w:ascii="Arial" w:hAnsi="Arial" w:cs="Arial"/>
          <w:sz w:val="22"/>
          <w:szCs w:val="22"/>
          <w:highlight w:val="yellow"/>
        </w:rPr>
        <w:t xml:space="preserve">According to the UNCITRAL Digest of Cases, this can include "circumstances where efforts by creditors to control or possess assets or terminate unfavorable contracts, require security deposits, tighten credit terms, or take other detrimental business actions against the creditor would interfere with the court's ability to exercise its jurisdiction under the MLCBI, interfere with and harm the debtor's efforts to administer its estates in accordance with the foreign proceeding, </w:t>
      </w:r>
      <w:r w:rsidR="00E26872" w:rsidRPr="000F070B">
        <w:rPr>
          <w:rFonts w:ascii="Arial" w:hAnsi="Arial" w:cs="Arial"/>
          <w:sz w:val="22"/>
          <w:szCs w:val="22"/>
          <w:highlight w:val="yellow"/>
        </w:rPr>
        <w:t>and undermine the foreign representative’s efforts to achieve an equitable result for the benefit of all the debtor’s creditors, causing immediate and irreparable injury.”</w:t>
      </w:r>
    </w:p>
    <w:p w14:paraId="27F68521" w14:textId="77777777" w:rsidR="00E26872" w:rsidRPr="000F070B" w:rsidRDefault="00E26872" w:rsidP="00E26872">
      <w:pPr>
        <w:autoSpaceDE w:val="0"/>
        <w:autoSpaceDN w:val="0"/>
        <w:adjustRightInd w:val="0"/>
        <w:rPr>
          <w:rFonts w:ascii="TimesLTStd-Italic" w:hAnsi="TimesLTStd-Italic" w:cs="TimesLTStd-Italic"/>
          <w:i/>
          <w:iCs/>
          <w:highlight w:val="yellow"/>
        </w:rPr>
      </w:pPr>
    </w:p>
    <w:p w14:paraId="375DFFFB" w14:textId="77777777" w:rsidR="00E26872" w:rsidRPr="00E26872" w:rsidRDefault="00E26872" w:rsidP="00E26872">
      <w:pPr>
        <w:autoSpaceDE w:val="0"/>
        <w:autoSpaceDN w:val="0"/>
        <w:adjustRightInd w:val="0"/>
        <w:rPr>
          <w:rFonts w:ascii="TimesLTStd-Italic" w:hAnsi="TimesLTStd-Italic" w:cs="TimesLTStd-Italic"/>
          <w:i/>
          <w:iCs/>
          <w:highlight w:val="yellow"/>
        </w:rPr>
      </w:pPr>
    </w:p>
    <w:p w14:paraId="2C32147B" w14:textId="77777777" w:rsidR="00E26872" w:rsidRPr="00E26872" w:rsidRDefault="00E26872" w:rsidP="00E26872">
      <w:pPr>
        <w:autoSpaceDE w:val="0"/>
        <w:autoSpaceDN w:val="0"/>
        <w:adjustRightInd w:val="0"/>
        <w:jc w:val="both"/>
        <w:rPr>
          <w:rFonts w:ascii="Arial" w:hAnsi="Arial" w:cs="Arial"/>
          <w:sz w:val="22"/>
          <w:szCs w:val="22"/>
          <w:highlight w:val="yellow"/>
        </w:rPr>
      </w:pPr>
      <w:r w:rsidRPr="00E26872">
        <w:rPr>
          <w:rFonts w:ascii="Arial" w:hAnsi="Arial" w:cs="Arial"/>
          <w:sz w:val="22"/>
          <w:szCs w:val="22"/>
          <w:highlight w:val="yellow"/>
        </w:rPr>
        <w:t xml:space="preserve">Paragraph 1 (c) also provides that any of the relief mentioned in paragraph 1 (c), (d) and (g) of article 21. Paragraph 3 however stipulates the relief granted therein would terminate when the application for recognition is decided upon unless extended under paragraph 1 (f) of article 21. </w:t>
      </w:r>
    </w:p>
    <w:p w14:paraId="1848736D" w14:textId="77777777" w:rsidR="00E26872" w:rsidRPr="00E26872" w:rsidRDefault="00E26872" w:rsidP="00E26872">
      <w:pPr>
        <w:autoSpaceDE w:val="0"/>
        <w:autoSpaceDN w:val="0"/>
        <w:adjustRightInd w:val="0"/>
        <w:jc w:val="both"/>
        <w:rPr>
          <w:rFonts w:ascii="Arial" w:hAnsi="Arial" w:cs="Arial"/>
          <w:sz w:val="22"/>
          <w:szCs w:val="22"/>
          <w:highlight w:val="yellow"/>
        </w:rPr>
      </w:pPr>
    </w:p>
    <w:p w14:paraId="7E82DDD2" w14:textId="06BC13EE" w:rsidR="000F070B" w:rsidRPr="00F73BDC" w:rsidRDefault="000F070B" w:rsidP="00F73BDC">
      <w:pPr>
        <w:jc w:val="both"/>
        <w:rPr>
          <w:rFonts w:ascii="Arial" w:hAnsi="Arial" w:cs="Arial"/>
          <w:sz w:val="22"/>
          <w:szCs w:val="22"/>
        </w:rPr>
      </w:pPr>
      <w:r w:rsidRPr="00F73BDC">
        <w:rPr>
          <w:rFonts w:ascii="Arial" w:hAnsi="Arial" w:cs="Arial"/>
          <w:sz w:val="22"/>
          <w:szCs w:val="22"/>
          <w:highlight w:val="yellow"/>
        </w:rPr>
        <w:t>At paragraphs 170-175 of the Guide to Enactment and Interpretation of the UNCITRAL MLCBI (GEI), it is highlighted that article 19 gives the court the authority to grant, upon the request of the foreign representative, the type of relief that is often only accessible in collective insolvency proceedings, as opposed to the particular types of relief that may be awarded under rules of civil procedure prior to the start of insolvency proceedings</w:t>
      </w:r>
      <w:r w:rsidRPr="00F73BDC">
        <w:rPr>
          <w:rFonts w:ascii="Arial" w:hAnsi="Arial" w:cs="Arial"/>
          <w:sz w:val="22"/>
          <w:szCs w:val="22"/>
          <w:highlight w:val="yellow"/>
        </w:rPr>
        <w:t>.</w:t>
      </w:r>
    </w:p>
    <w:p w14:paraId="24CABC5B" w14:textId="77777777" w:rsidR="000F070B" w:rsidRDefault="000F070B" w:rsidP="00E26872">
      <w:pPr>
        <w:autoSpaceDE w:val="0"/>
        <w:autoSpaceDN w:val="0"/>
        <w:adjustRightInd w:val="0"/>
        <w:jc w:val="both"/>
        <w:rPr>
          <w:rFonts w:ascii="Arial" w:hAnsi="Arial" w:cs="Arial"/>
          <w:sz w:val="22"/>
          <w:szCs w:val="22"/>
          <w:highlight w:val="yellow"/>
        </w:rPr>
      </w:pPr>
    </w:p>
    <w:p w14:paraId="46F5B64A" w14:textId="32E3783C" w:rsidR="00E26872" w:rsidRDefault="00E26872" w:rsidP="00E26872">
      <w:pPr>
        <w:autoSpaceDE w:val="0"/>
        <w:autoSpaceDN w:val="0"/>
        <w:adjustRightInd w:val="0"/>
        <w:jc w:val="both"/>
        <w:rPr>
          <w:rFonts w:ascii="Arial" w:hAnsi="Arial" w:cs="Arial"/>
          <w:sz w:val="22"/>
          <w:szCs w:val="22"/>
        </w:rPr>
      </w:pPr>
      <w:r w:rsidRPr="00E26872">
        <w:rPr>
          <w:rFonts w:ascii="Arial" w:hAnsi="Arial" w:cs="Arial"/>
          <w:sz w:val="22"/>
          <w:szCs w:val="22"/>
          <w:highlight w:val="yellow"/>
        </w:rPr>
        <w:t>Additionally, paragraph 4 of Article 19 provides that the court may refuse to grant relief under this article if such relief would interfere with the administration of a foreign main proceeding.</w:t>
      </w:r>
    </w:p>
    <w:p w14:paraId="5B88582F" w14:textId="18ABDA5E" w:rsidR="00E70E7C" w:rsidRDefault="00E70E7C" w:rsidP="00E26872">
      <w:pPr>
        <w:autoSpaceDE w:val="0"/>
        <w:autoSpaceDN w:val="0"/>
        <w:adjustRightInd w:val="0"/>
        <w:jc w:val="both"/>
        <w:rPr>
          <w:rFonts w:ascii="Arial" w:hAnsi="Arial" w:cs="Arial"/>
          <w:sz w:val="22"/>
          <w:szCs w:val="22"/>
        </w:rPr>
      </w:pPr>
    </w:p>
    <w:p w14:paraId="13E51314" w14:textId="5619B251" w:rsidR="00E70E7C" w:rsidRPr="00E70E7C" w:rsidRDefault="00E70E7C" w:rsidP="00E26872">
      <w:pPr>
        <w:autoSpaceDE w:val="0"/>
        <w:autoSpaceDN w:val="0"/>
        <w:adjustRightInd w:val="0"/>
        <w:jc w:val="both"/>
        <w:rPr>
          <w:rFonts w:ascii="Arial" w:hAnsi="Arial" w:cs="Arial"/>
          <w:b/>
          <w:bCs/>
          <w:sz w:val="22"/>
          <w:szCs w:val="22"/>
          <w:u w:val="single"/>
        </w:rPr>
      </w:pPr>
    </w:p>
    <w:p w14:paraId="32DAB547" w14:textId="0C1B11EB" w:rsidR="00E70E7C" w:rsidRPr="00E70E7C" w:rsidRDefault="00E70E7C" w:rsidP="00E26872">
      <w:pPr>
        <w:autoSpaceDE w:val="0"/>
        <w:autoSpaceDN w:val="0"/>
        <w:adjustRightInd w:val="0"/>
        <w:jc w:val="both"/>
        <w:rPr>
          <w:rFonts w:ascii="Arial" w:hAnsi="Arial" w:cs="Arial"/>
          <w:b/>
          <w:bCs/>
          <w:sz w:val="22"/>
          <w:szCs w:val="22"/>
          <w:u w:val="single"/>
        </w:rPr>
      </w:pPr>
      <w:r w:rsidRPr="00E70E7C">
        <w:rPr>
          <w:rFonts w:ascii="Arial" w:hAnsi="Arial" w:cs="Arial"/>
          <w:b/>
          <w:bCs/>
          <w:sz w:val="22"/>
          <w:szCs w:val="22"/>
          <w:u w:val="single"/>
        </w:rPr>
        <w:t>Post recognition Relief</w:t>
      </w:r>
    </w:p>
    <w:p w14:paraId="5B5F1D7B" w14:textId="058B2AA8" w:rsidR="00E26872" w:rsidRDefault="00E26872" w:rsidP="00E26872">
      <w:pPr>
        <w:autoSpaceDE w:val="0"/>
        <w:autoSpaceDN w:val="0"/>
        <w:adjustRightInd w:val="0"/>
        <w:jc w:val="both"/>
        <w:rPr>
          <w:rFonts w:ascii="Arial" w:hAnsi="Arial" w:cs="Arial"/>
          <w:sz w:val="22"/>
          <w:szCs w:val="22"/>
        </w:rPr>
      </w:pPr>
    </w:p>
    <w:p w14:paraId="46F0310B" w14:textId="07964DD0" w:rsidR="00E70E7C" w:rsidRDefault="00E70E7C" w:rsidP="00E26872">
      <w:pPr>
        <w:autoSpaceDE w:val="0"/>
        <w:autoSpaceDN w:val="0"/>
        <w:adjustRightInd w:val="0"/>
        <w:jc w:val="both"/>
        <w:rPr>
          <w:rFonts w:ascii="Arial" w:hAnsi="Arial" w:cs="Arial"/>
          <w:sz w:val="22"/>
          <w:szCs w:val="22"/>
        </w:rPr>
      </w:pPr>
    </w:p>
    <w:p w14:paraId="597B6742" w14:textId="77777777" w:rsidR="00DC152B" w:rsidRPr="006E4E8F" w:rsidRDefault="00DC152B" w:rsidP="00DC152B">
      <w:pPr>
        <w:autoSpaceDE w:val="0"/>
        <w:autoSpaceDN w:val="0"/>
        <w:adjustRightInd w:val="0"/>
        <w:rPr>
          <w:rFonts w:ascii="TimesLTStd-Italic" w:hAnsi="TimesLTStd-Italic" w:cs="TimesLTStd-Italic"/>
          <w:i/>
          <w:iCs/>
          <w:szCs w:val="20"/>
          <w:highlight w:val="yellow"/>
        </w:rPr>
      </w:pPr>
      <w:r w:rsidRPr="006E4E8F">
        <w:rPr>
          <w:rFonts w:ascii="Arial" w:hAnsi="Arial" w:cs="Arial"/>
          <w:sz w:val="22"/>
          <w:szCs w:val="22"/>
          <w:highlight w:val="yellow"/>
        </w:rPr>
        <w:t>Post recognition relief can be granted under Article 21 upon recognition of a foreign proceeding. Paragraph 1 states that “upon recognition of a foreign proceeding, whether main or non-main, where necessary to protect the assets of the debtor or the interests of the creditors, the court may, at the request of the foreign representative, grant any appropriate relief, including:</w:t>
      </w:r>
    </w:p>
    <w:p w14:paraId="6E352687" w14:textId="77777777" w:rsidR="00DC152B" w:rsidRPr="006E4E8F" w:rsidRDefault="00DC152B" w:rsidP="00DC152B">
      <w:pPr>
        <w:autoSpaceDE w:val="0"/>
        <w:autoSpaceDN w:val="0"/>
        <w:adjustRightInd w:val="0"/>
        <w:ind w:left="720"/>
        <w:rPr>
          <w:rFonts w:ascii="Arial" w:hAnsi="Arial" w:cs="Arial"/>
          <w:sz w:val="22"/>
          <w:szCs w:val="22"/>
          <w:highlight w:val="yellow"/>
        </w:rPr>
      </w:pPr>
      <w:r w:rsidRPr="006E4E8F">
        <w:rPr>
          <w:rFonts w:ascii="Arial" w:hAnsi="Arial" w:cs="Arial"/>
          <w:i/>
          <w:iCs/>
          <w:sz w:val="22"/>
          <w:szCs w:val="22"/>
          <w:highlight w:val="yellow"/>
        </w:rPr>
        <w:t xml:space="preserve">(a) </w:t>
      </w:r>
      <w:r w:rsidRPr="006E4E8F">
        <w:rPr>
          <w:rFonts w:ascii="Arial" w:hAnsi="Arial" w:cs="Arial"/>
          <w:sz w:val="22"/>
          <w:szCs w:val="22"/>
          <w:highlight w:val="yellow"/>
        </w:rPr>
        <w:t xml:space="preserve">Staying the commencement or continuation of individual actions or individual proceedings concerning the debtor’s assets, rights, obligations or liabilities, to the extent they have not been stayed under paragraph 1 </w:t>
      </w:r>
      <w:r w:rsidRPr="006E4E8F">
        <w:rPr>
          <w:rFonts w:ascii="Arial" w:hAnsi="Arial" w:cs="Arial"/>
          <w:i/>
          <w:iCs/>
          <w:sz w:val="22"/>
          <w:szCs w:val="22"/>
          <w:highlight w:val="yellow"/>
        </w:rPr>
        <w:t xml:space="preserve">(a) </w:t>
      </w:r>
      <w:r w:rsidRPr="006E4E8F">
        <w:rPr>
          <w:rFonts w:ascii="Arial" w:hAnsi="Arial" w:cs="Arial"/>
          <w:sz w:val="22"/>
          <w:szCs w:val="22"/>
          <w:highlight w:val="yellow"/>
        </w:rPr>
        <w:t xml:space="preserve">of article </w:t>
      </w:r>
      <w:proofErr w:type="gramStart"/>
      <w:r w:rsidRPr="006E4E8F">
        <w:rPr>
          <w:rFonts w:ascii="Arial" w:hAnsi="Arial" w:cs="Arial"/>
          <w:sz w:val="22"/>
          <w:szCs w:val="22"/>
          <w:highlight w:val="yellow"/>
        </w:rPr>
        <w:t>20;</w:t>
      </w:r>
      <w:proofErr w:type="gramEnd"/>
    </w:p>
    <w:p w14:paraId="0813FF95" w14:textId="77777777" w:rsidR="00DC152B" w:rsidRPr="006E4E8F" w:rsidRDefault="00DC152B" w:rsidP="00DC152B">
      <w:pPr>
        <w:autoSpaceDE w:val="0"/>
        <w:autoSpaceDN w:val="0"/>
        <w:adjustRightInd w:val="0"/>
        <w:ind w:left="720"/>
        <w:rPr>
          <w:rFonts w:ascii="Arial" w:hAnsi="Arial" w:cs="Arial"/>
          <w:i/>
          <w:iCs/>
          <w:sz w:val="22"/>
          <w:szCs w:val="22"/>
          <w:highlight w:val="yellow"/>
        </w:rPr>
      </w:pPr>
      <w:r w:rsidRPr="006E4E8F">
        <w:rPr>
          <w:rFonts w:ascii="Arial" w:hAnsi="Arial" w:cs="Arial"/>
          <w:i/>
          <w:iCs/>
          <w:sz w:val="22"/>
          <w:szCs w:val="22"/>
          <w:highlight w:val="yellow"/>
        </w:rPr>
        <w:t xml:space="preserve">(b) </w:t>
      </w:r>
      <w:r w:rsidRPr="006E4E8F">
        <w:rPr>
          <w:rFonts w:ascii="Arial" w:hAnsi="Arial" w:cs="Arial"/>
          <w:sz w:val="22"/>
          <w:szCs w:val="22"/>
          <w:highlight w:val="yellow"/>
        </w:rPr>
        <w:t xml:space="preserve">Staying execution against the debtor’s assets to the extent it has not been stayed under paragraph 1 </w:t>
      </w:r>
      <w:r w:rsidRPr="006E4E8F">
        <w:rPr>
          <w:rFonts w:ascii="Arial" w:hAnsi="Arial" w:cs="Arial"/>
          <w:i/>
          <w:iCs/>
          <w:sz w:val="22"/>
          <w:szCs w:val="22"/>
          <w:highlight w:val="yellow"/>
        </w:rPr>
        <w:t xml:space="preserve">(b) </w:t>
      </w:r>
      <w:r w:rsidRPr="006E4E8F">
        <w:rPr>
          <w:rFonts w:ascii="Arial" w:hAnsi="Arial" w:cs="Arial"/>
          <w:sz w:val="22"/>
          <w:szCs w:val="22"/>
          <w:highlight w:val="yellow"/>
        </w:rPr>
        <w:t xml:space="preserve">of article </w:t>
      </w:r>
      <w:proofErr w:type="gramStart"/>
      <w:r w:rsidRPr="006E4E8F">
        <w:rPr>
          <w:rFonts w:ascii="Arial" w:hAnsi="Arial" w:cs="Arial"/>
          <w:sz w:val="22"/>
          <w:szCs w:val="22"/>
          <w:highlight w:val="yellow"/>
        </w:rPr>
        <w:t>20;</w:t>
      </w:r>
      <w:proofErr w:type="gramEnd"/>
    </w:p>
    <w:p w14:paraId="0240B865" w14:textId="77777777" w:rsidR="00DC152B" w:rsidRPr="006E4E8F" w:rsidRDefault="00DC152B" w:rsidP="00DC152B">
      <w:pPr>
        <w:autoSpaceDE w:val="0"/>
        <w:autoSpaceDN w:val="0"/>
        <w:adjustRightInd w:val="0"/>
        <w:ind w:left="720"/>
        <w:rPr>
          <w:rFonts w:ascii="Arial" w:hAnsi="Arial" w:cs="Arial"/>
          <w:sz w:val="22"/>
          <w:szCs w:val="22"/>
          <w:highlight w:val="yellow"/>
        </w:rPr>
      </w:pPr>
      <w:r w:rsidRPr="006E4E8F">
        <w:rPr>
          <w:rFonts w:ascii="Arial" w:hAnsi="Arial" w:cs="Arial"/>
          <w:i/>
          <w:iCs/>
          <w:sz w:val="22"/>
          <w:szCs w:val="22"/>
          <w:highlight w:val="yellow"/>
        </w:rPr>
        <w:t xml:space="preserve">(c) </w:t>
      </w:r>
      <w:r w:rsidRPr="006E4E8F">
        <w:rPr>
          <w:rFonts w:ascii="Arial" w:hAnsi="Arial" w:cs="Arial"/>
          <w:sz w:val="22"/>
          <w:szCs w:val="22"/>
          <w:highlight w:val="yellow"/>
        </w:rPr>
        <w:t xml:space="preserve">Suspending the right to transfer, encumber or otherwise dispose of any assets of the debtor to the extent this right has not been suspended under paragraph 1 </w:t>
      </w:r>
      <w:r w:rsidRPr="006E4E8F">
        <w:rPr>
          <w:rFonts w:ascii="Arial" w:hAnsi="Arial" w:cs="Arial"/>
          <w:i/>
          <w:iCs/>
          <w:sz w:val="22"/>
          <w:szCs w:val="22"/>
          <w:highlight w:val="yellow"/>
        </w:rPr>
        <w:t xml:space="preserve">(c) </w:t>
      </w:r>
      <w:r w:rsidRPr="006E4E8F">
        <w:rPr>
          <w:rFonts w:ascii="Arial" w:hAnsi="Arial" w:cs="Arial"/>
          <w:sz w:val="22"/>
          <w:szCs w:val="22"/>
          <w:highlight w:val="yellow"/>
        </w:rPr>
        <w:t xml:space="preserve">of article </w:t>
      </w:r>
      <w:proofErr w:type="gramStart"/>
      <w:r w:rsidRPr="006E4E8F">
        <w:rPr>
          <w:rFonts w:ascii="Arial" w:hAnsi="Arial" w:cs="Arial"/>
          <w:sz w:val="22"/>
          <w:szCs w:val="22"/>
          <w:highlight w:val="yellow"/>
        </w:rPr>
        <w:t>20;</w:t>
      </w:r>
      <w:proofErr w:type="gramEnd"/>
    </w:p>
    <w:p w14:paraId="07EEB630" w14:textId="77777777" w:rsidR="00DC152B" w:rsidRPr="006E4E8F" w:rsidRDefault="00DC152B" w:rsidP="00DC152B">
      <w:pPr>
        <w:autoSpaceDE w:val="0"/>
        <w:autoSpaceDN w:val="0"/>
        <w:adjustRightInd w:val="0"/>
        <w:ind w:left="720"/>
        <w:rPr>
          <w:rFonts w:ascii="Arial" w:hAnsi="Arial" w:cs="Arial"/>
          <w:sz w:val="22"/>
          <w:szCs w:val="22"/>
          <w:highlight w:val="yellow"/>
        </w:rPr>
      </w:pPr>
      <w:r w:rsidRPr="006E4E8F">
        <w:rPr>
          <w:rFonts w:ascii="Arial" w:hAnsi="Arial" w:cs="Arial"/>
          <w:i/>
          <w:iCs/>
          <w:sz w:val="22"/>
          <w:szCs w:val="22"/>
          <w:highlight w:val="yellow"/>
        </w:rPr>
        <w:t xml:space="preserve">(d) </w:t>
      </w:r>
      <w:r w:rsidRPr="006E4E8F">
        <w:rPr>
          <w:rFonts w:ascii="Arial" w:hAnsi="Arial" w:cs="Arial"/>
          <w:sz w:val="22"/>
          <w:szCs w:val="22"/>
          <w:highlight w:val="yellow"/>
        </w:rPr>
        <w:t xml:space="preserve">Providing for the examination of witnesses, the taking of evidence or the delivery of information concerning the debtor’s assets, affairs, rights, obligations or </w:t>
      </w:r>
      <w:proofErr w:type="gramStart"/>
      <w:r w:rsidRPr="006E4E8F">
        <w:rPr>
          <w:rFonts w:ascii="Arial" w:hAnsi="Arial" w:cs="Arial"/>
          <w:sz w:val="22"/>
          <w:szCs w:val="22"/>
          <w:highlight w:val="yellow"/>
        </w:rPr>
        <w:t>liabilities;</w:t>
      </w:r>
      <w:proofErr w:type="gramEnd"/>
    </w:p>
    <w:p w14:paraId="6BD00B74" w14:textId="77777777" w:rsidR="00DC152B" w:rsidRPr="006E4E8F" w:rsidRDefault="00DC152B" w:rsidP="00DC152B">
      <w:pPr>
        <w:autoSpaceDE w:val="0"/>
        <w:autoSpaceDN w:val="0"/>
        <w:adjustRightInd w:val="0"/>
        <w:ind w:left="720"/>
        <w:rPr>
          <w:rFonts w:ascii="Arial" w:hAnsi="Arial" w:cs="Arial"/>
          <w:sz w:val="22"/>
          <w:szCs w:val="22"/>
          <w:highlight w:val="yellow"/>
        </w:rPr>
      </w:pPr>
      <w:r w:rsidRPr="006E4E8F">
        <w:rPr>
          <w:rFonts w:ascii="Arial" w:hAnsi="Arial" w:cs="Arial"/>
          <w:i/>
          <w:iCs/>
          <w:sz w:val="22"/>
          <w:szCs w:val="22"/>
          <w:highlight w:val="yellow"/>
        </w:rPr>
        <w:t xml:space="preserve">(e) </w:t>
      </w:r>
      <w:r w:rsidRPr="006E4E8F">
        <w:rPr>
          <w:rFonts w:ascii="Arial" w:hAnsi="Arial" w:cs="Arial"/>
          <w:sz w:val="22"/>
          <w:szCs w:val="22"/>
          <w:highlight w:val="yellow"/>
        </w:rPr>
        <w:t xml:space="preserve">Entrusting the administration or realization of all or part of the debtor’s assets located in this State to the foreign </w:t>
      </w:r>
      <w:proofErr w:type="gramStart"/>
      <w:r w:rsidRPr="006E4E8F">
        <w:rPr>
          <w:rFonts w:ascii="Arial" w:hAnsi="Arial" w:cs="Arial"/>
          <w:sz w:val="22"/>
          <w:szCs w:val="22"/>
          <w:highlight w:val="yellow"/>
        </w:rPr>
        <w:t>representative</w:t>
      </w:r>
      <w:proofErr w:type="gramEnd"/>
      <w:r w:rsidRPr="006E4E8F">
        <w:rPr>
          <w:rFonts w:ascii="Arial" w:hAnsi="Arial" w:cs="Arial"/>
          <w:sz w:val="22"/>
          <w:szCs w:val="22"/>
          <w:highlight w:val="yellow"/>
        </w:rPr>
        <w:t xml:space="preserve"> or another person designated by the court;</w:t>
      </w:r>
    </w:p>
    <w:p w14:paraId="275464EF" w14:textId="77777777" w:rsidR="00DC152B" w:rsidRPr="006E4E8F" w:rsidRDefault="00DC152B" w:rsidP="00DC152B">
      <w:pPr>
        <w:autoSpaceDE w:val="0"/>
        <w:autoSpaceDN w:val="0"/>
        <w:adjustRightInd w:val="0"/>
        <w:ind w:firstLine="720"/>
        <w:rPr>
          <w:rFonts w:ascii="Arial" w:hAnsi="Arial" w:cs="Arial"/>
          <w:sz w:val="22"/>
          <w:szCs w:val="22"/>
          <w:highlight w:val="yellow"/>
        </w:rPr>
      </w:pPr>
      <w:r w:rsidRPr="006E4E8F">
        <w:rPr>
          <w:rFonts w:ascii="Arial" w:hAnsi="Arial" w:cs="Arial"/>
          <w:i/>
          <w:iCs/>
          <w:sz w:val="22"/>
          <w:szCs w:val="22"/>
          <w:highlight w:val="yellow"/>
        </w:rPr>
        <w:t xml:space="preserve">(f) </w:t>
      </w:r>
      <w:r w:rsidRPr="006E4E8F">
        <w:rPr>
          <w:rFonts w:ascii="Arial" w:hAnsi="Arial" w:cs="Arial"/>
          <w:sz w:val="22"/>
          <w:szCs w:val="22"/>
          <w:highlight w:val="yellow"/>
        </w:rPr>
        <w:t xml:space="preserve">Extending relief granted under paragraph 1 of article </w:t>
      </w:r>
      <w:proofErr w:type="gramStart"/>
      <w:r w:rsidRPr="006E4E8F">
        <w:rPr>
          <w:rFonts w:ascii="Arial" w:hAnsi="Arial" w:cs="Arial"/>
          <w:sz w:val="22"/>
          <w:szCs w:val="22"/>
          <w:highlight w:val="yellow"/>
        </w:rPr>
        <w:t>19;</w:t>
      </w:r>
      <w:proofErr w:type="gramEnd"/>
    </w:p>
    <w:p w14:paraId="6BB0DC7E" w14:textId="77777777" w:rsidR="00DC152B" w:rsidRPr="006E4E8F" w:rsidRDefault="00DC152B" w:rsidP="00DC152B">
      <w:pPr>
        <w:autoSpaceDE w:val="0"/>
        <w:autoSpaceDN w:val="0"/>
        <w:adjustRightInd w:val="0"/>
        <w:ind w:left="720"/>
        <w:rPr>
          <w:rFonts w:ascii="Arial" w:hAnsi="Arial" w:cs="Arial"/>
          <w:i/>
          <w:iCs/>
          <w:sz w:val="22"/>
          <w:szCs w:val="22"/>
          <w:highlight w:val="yellow"/>
        </w:rPr>
      </w:pPr>
      <w:r w:rsidRPr="006E4E8F">
        <w:rPr>
          <w:rFonts w:ascii="Arial" w:hAnsi="Arial" w:cs="Arial"/>
          <w:i/>
          <w:iCs/>
          <w:sz w:val="22"/>
          <w:szCs w:val="22"/>
          <w:highlight w:val="yellow"/>
        </w:rPr>
        <w:t xml:space="preserve">(g) </w:t>
      </w:r>
      <w:r w:rsidRPr="006E4E8F">
        <w:rPr>
          <w:rFonts w:ascii="Arial" w:hAnsi="Arial" w:cs="Arial"/>
          <w:sz w:val="22"/>
          <w:szCs w:val="22"/>
          <w:highlight w:val="yellow"/>
        </w:rPr>
        <w:t>Granting any additional relief that may be available under the laws of</w:t>
      </w:r>
      <w:r w:rsidRPr="006E4E8F">
        <w:rPr>
          <w:rFonts w:ascii="Arial" w:hAnsi="Arial" w:cs="Arial"/>
          <w:i/>
          <w:iCs/>
          <w:sz w:val="22"/>
          <w:szCs w:val="22"/>
          <w:highlight w:val="yellow"/>
        </w:rPr>
        <w:t xml:space="preserve"> the </w:t>
      </w:r>
      <w:r w:rsidRPr="006E4E8F">
        <w:rPr>
          <w:rFonts w:ascii="Arial" w:hAnsi="Arial" w:cs="Arial"/>
          <w:sz w:val="22"/>
          <w:szCs w:val="22"/>
          <w:highlight w:val="yellow"/>
        </w:rPr>
        <w:t>State.</w:t>
      </w:r>
    </w:p>
    <w:p w14:paraId="7B07CC66" w14:textId="77777777" w:rsidR="00DC152B" w:rsidRPr="006E4E8F" w:rsidRDefault="00DC152B" w:rsidP="00DC152B">
      <w:pPr>
        <w:autoSpaceDE w:val="0"/>
        <w:autoSpaceDN w:val="0"/>
        <w:adjustRightInd w:val="0"/>
        <w:rPr>
          <w:rFonts w:ascii="TimesLTStd-Roman" w:hAnsi="TimesLTStd-Roman" w:cs="TimesLTStd-Roman"/>
          <w:highlight w:val="yellow"/>
        </w:rPr>
      </w:pPr>
    </w:p>
    <w:p w14:paraId="7539645B" w14:textId="77777777" w:rsidR="00DC152B" w:rsidRPr="006E4E8F" w:rsidRDefault="00DC152B" w:rsidP="00DC152B">
      <w:pPr>
        <w:autoSpaceDE w:val="0"/>
        <w:autoSpaceDN w:val="0"/>
        <w:adjustRightInd w:val="0"/>
        <w:jc w:val="both"/>
        <w:rPr>
          <w:rFonts w:ascii="Arial" w:hAnsi="Arial" w:cs="Arial"/>
          <w:sz w:val="22"/>
          <w:szCs w:val="22"/>
          <w:highlight w:val="yellow"/>
        </w:rPr>
      </w:pPr>
      <w:r w:rsidRPr="006E4E8F">
        <w:rPr>
          <w:rFonts w:ascii="Arial" w:hAnsi="Arial" w:cs="Arial"/>
          <w:sz w:val="22"/>
          <w:szCs w:val="22"/>
          <w:highlight w:val="yellow"/>
        </w:rPr>
        <w:lastRenderedPageBreak/>
        <w:t xml:space="preserve">The Court may also under paragraph 2 at the request of the foreign representative, entrust the distribution of all or part of the debtor’s assets located in this State to the foreign </w:t>
      </w:r>
      <w:proofErr w:type="gramStart"/>
      <w:r w:rsidRPr="006E4E8F">
        <w:rPr>
          <w:rFonts w:ascii="Arial" w:hAnsi="Arial" w:cs="Arial"/>
          <w:sz w:val="22"/>
          <w:szCs w:val="22"/>
          <w:highlight w:val="yellow"/>
        </w:rPr>
        <w:t>representative</w:t>
      </w:r>
      <w:proofErr w:type="gramEnd"/>
      <w:r w:rsidRPr="006E4E8F">
        <w:rPr>
          <w:rFonts w:ascii="Arial" w:hAnsi="Arial" w:cs="Arial"/>
          <w:sz w:val="22"/>
          <w:szCs w:val="22"/>
          <w:highlight w:val="yellow"/>
        </w:rPr>
        <w:t xml:space="preserve"> or another person designated by the court, provided that the court is satisfied that the interests of creditors in this State are adequately protected.</w:t>
      </w:r>
    </w:p>
    <w:p w14:paraId="35CBE847" w14:textId="77777777" w:rsidR="00DC152B" w:rsidRPr="006E4E8F" w:rsidRDefault="00DC152B" w:rsidP="00DC152B">
      <w:pPr>
        <w:autoSpaceDE w:val="0"/>
        <w:autoSpaceDN w:val="0"/>
        <w:adjustRightInd w:val="0"/>
        <w:jc w:val="both"/>
        <w:rPr>
          <w:rFonts w:ascii="Arial" w:hAnsi="Arial" w:cs="Arial"/>
          <w:sz w:val="22"/>
          <w:szCs w:val="22"/>
          <w:highlight w:val="yellow"/>
        </w:rPr>
      </w:pPr>
    </w:p>
    <w:p w14:paraId="6A9AB0F3" w14:textId="77777777" w:rsidR="00DC152B" w:rsidRPr="006E4E8F" w:rsidRDefault="00DC152B" w:rsidP="00DC152B">
      <w:pPr>
        <w:autoSpaceDE w:val="0"/>
        <w:autoSpaceDN w:val="0"/>
        <w:adjustRightInd w:val="0"/>
        <w:jc w:val="both"/>
        <w:rPr>
          <w:rFonts w:ascii="Arial" w:hAnsi="Arial" w:cs="Arial"/>
          <w:sz w:val="22"/>
          <w:szCs w:val="22"/>
          <w:highlight w:val="yellow"/>
        </w:rPr>
      </w:pPr>
      <w:r w:rsidRPr="006E4E8F">
        <w:rPr>
          <w:rFonts w:ascii="Arial" w:hAnsi="Arial" w:cs="Arial"/>
          <w:sz w:val="22"/>
          <w:szCs w:val="22"/>
          <w:highlight w:val="yellow"/>
        </w:rPr>
        <w:t>It is also mandated under paragraph 3 that in granting relief under this article to a representative of a foreign non-main proceeding, the court must be satisfied that the relief relates to assets that, under the law of this State, should be administered in the foreign non-main proceeding or concerns information required in that proceeding.</w:t>
      </w:r>
    </w:p>
    <w:p w14:paraId="4B834D38" w14:textId="77777777" w:rsidR="00DC152B" w:rsidRPr="006E4E8F" w:rsidRDefault="00DC152B" w:rsidP="00DC152B">
      <w:pPr>
        <w:autoSpaceDE w:val="0"/>
        <w:autoSpaceDN w:val="0"/>
        <w:adjustRightInd w:val="0"/>
        <w:jc w:val="both"/>
        <w:rPr>
          <w:rFonts w:ascii="Arial" w:hAnsi="Arial" w:cs="Arial"/>
          <w:sz w:val="22"/>
          <w:szCs w:val="22"/>
          <w:highlight w:val="yellow"/>
        </w:rPr>
      </w:pPr>
    </w:p>
    <w:p w14:paraId="07362940" w14:textId="77777777" w:rsidR="00DC152B" w:rsidRPr="006E4E8F" w:rsidRDefault="00DC152B" w:rsidP="00DC152B">
      <w:pPr>
        <w:autoSpaceDE w:val="0"/>
        <w:autoSpaceDN w:val="0"/>
        <w:adjustRightInd w:val="0"/>
        <w:jc w:val="both"/>
        <w:rPr>
          <w:rFonts w:ascii="Arial" w:hAnsi="Arial" w:cs="Arial"/>
          <w:sz w:val="22"/>
          <w:szCs w:val="22"/>
          <w:highlight w:val="yellow"/>
        </w:rPr>
      </w:pPr>
      <w:r w:rsidRPr="006E4E8F">
        <w:rPr>
          <w:rFonts w:ascii="Arial" w:hAnsi="Arial" w:cs="Arial"/>
          <w:sz w:val="22"/>
          <w:szCs w:val="22"/>
          <w:highlight w:val="yellow"/>
        </w:rPr>
        <w:t xml:space="preserve">Thus, it can be seen that Article 21 provides a very wide range of power that enables </w:t>
      </w:r>
      <w:proofErr w:type="gramStart"/>
      <w:r w:rsidRPr="006E4E8F">
        <w:rPr>
          <w:rFonts w:ascii="Arial" w:hAnsi="Arial" w:cs="Arial"/>
          <w:sz w:val="22"/>
          <w:szCs w:val="22"/>
          <w:highlight w:val="yellow"/>
        </w:rPr>
        <w:t>courts</w:t>
      </w:r>
      <w:proofErr w:type="gramEnd"/>
    </w:p>
    <w:p w14:paraId="43D92FCD" w14:textId="77777777" w:rsidR="00DC152B" w:rsidRPr="006E4E8F" w:rsidRDefault="00DC152B" w:rsidP="00DC152B">
      <w:pPr>
        <w:autoSpaceDE w:val="0"/>
        <w:autoSpaceDN w:val="0"/>
        <w:adjustRightInd w:val="0"/>
        <w:jc w:val="both"/>
        <w:rPr>
          <w:rFonts w:ascii="Arial" w:hAnsi="Arial" w:cs="Arial"/>
          <w:sz w:val="22"/>
          <w:szCs w:val="22"/>
          <w:highlight w:val="yellow"/>
        </w:rPr>
      </w:pPr>
      <w:r w:rsidRPr="006E4E8F">
        <w:rPr>
          <w:rFonts w:ascii="Arial" w:hAnsi="Arial" w:cs="Arial"/>
          <w:sz w:val="22"/>
          <w:szCs w:val="22"/>
          <w:highlight w:val="yellow"/>
        </w:rPr>
        <w:t>to grant any appropriate relief to effectuate the purpose of the MLCBI and to protect assets of the debtor or the interests of creditors. The issue of whether granting relief under article 21 is suitable must be resolved by the court, at its discretion and after recognition has been ordered.</w:t>
      </w:r>
    </w:p>
    <w:p w14:paraId="1FA3C1CE" w14:textId="77777777" w:rsidR="00DC152B" w:rsidRPr="006E4E8F" w:rsidRDefault="00DC152B" w:rsidP="00DC152B">
      <w:pPr>
        <w:autoSpaceDE w:val="0"/>
        <w:autoSpaceDN w:val="0"/>
        <w:adjustRightInd w:val="0"/>
        <w:rPr>
          <w:rFonts w:ascii="TimesLTStd-Roman" w:hAnsi="TimesLTStd-Roman" w:cs="TimesLTStd-Roman"/>
          <w:highlight w:val="yellow"/>
        </w:rPr>
      </w:pPr>
    </w:p>
    <w:p w14:paraId="5C05506A" w14:textId="77777777" w:rsidR="00DC152B" w:rsidRDefault="00DC152B" w:rsidP="00DC152B">
      <w:pPr>
        <w:autoSpaceDE w:val="0"/>
        <w:autoSpaceDN w:val="0"/>
        <w:adjustRightInd w:val="0"/>
        <w:jc w:val="both"/>
        <w:rPr>
          <w:rFonts w:ascii="Arial" w:hAnsi="Arial" w:cs="Arial"/>
          <w:sz w:val="22"/>
          <w:szCs w:val="22"/>
          <w:highlight w:val="yellow"/>
        </w:rPr>
      </w:pPr>
      <w:r w:rsidRPr="006E4E8F">
        <w:rPr>
          <w:rFonts w:ascii="Arial" w:hAnsi="Arial" w:cs="Arial"/>
          <w:sz w:val="22"/>
          <w:szCs w:val="22"/>
          <w:highlight w:val="yellow"/>
        </w:rPr>
        <w:t xml:space="preserve">The relief that can be granted under article 21, paragraph 1, is limited in several ways in that the relief must be necessary to protect the interests of the creditors (meaning the interests of the general body of creditors as a whole) or, as an alternative, to protect the assets of the debtor. Also, the relief is subject to the public policy exception under article 6. Additionally, pursuant to article 22, paragraph 1, any relief sought must be balanced. </w:t>
      </w:r>
      <w:proofErr w:type="gramStart"/>
      <w:r w:rsidRPr="006E4E8F">
        <w:rPr>
          <w:rFonts w:ascii="Arial" w:hAnsi="Arial" w:cs="Arial"/>
          <w:sz w:val="22"/>
          <w:szCs w:val="22"/>
          <w:highlight w:val="yellow"/>
        </w:rPr>
        <w:t>Therefore</w:t>
      </w:r>
      <w:proofErr w:type="gramEnd"/>
      <w:r w:rsidRPr="006E4E8F">
        <w:rPr>
          <w:rFonts w:ascii="Arial" w:hAnsi="Arial" w:cs="Arial"/>
          <w:sz w:val="22"/>
          <w:szCs w:val="22"/>
          <w:highlight w:val="yellow"/>
        </w:rPr>
        <w:t xml:space="preserve"> the relief granted to the foreign representative and the interests of those affected by such relief, must not unduly </w:t>
      </w:r>
      <w:proofErr w:type="spellStart"/>
      <w:r w:rsidRPr="006E4E8F">
        <w:rPr>
          <w:rFonts w:ascii="Arial" w:hAnsi="Arial" w:cs="Arial"/>
          <w:sz w:val="22"/>
          <w:szCs w:val="22"/>
          <w:highlight w:val="yellow"/>
        </w:rPr>
        <w:t>favour</w:t>
      </w:r>
      <w:proofErr w:type="spellEnd"/>
      <w:r w:rsidRPr="006E4E8F">
        <w:rPr>
          <w:rFonts w:ascii="Arial" w:hAnsi="Arial" w:cs="Arial"/>
          <w:sz w:val="22"/>
          <w:szCs w:val="22"/>
          <w:highlight w:val="yellow"/>
        </w:rPr>
        <w:t xml:space="preserve"> one group of creditors over another. </w:t>
      </w:r>
    </w:p>
    <w:p w14:paraId="16940E27" w14:textId="77777777" w:rsidR="00DC152B" w:rsidRDefault="00DC152B" w:rsidP="00DC152B">
      <w:pPr>
        <w:autoSpaceDE w:val="0"/>
        <w:autoSpaceDN w:val="0"/>
        <w:adjustRightInd w:val="0"/>
        <w:jc w:val="both"/>
        <w:rPr>
          <w:rFonts w:ascii="Arial" w:hAnsi="Arial" w:cs="Arial"/>
          <w:sz w:val="22"/>
          <w:szCs w:val="22"/>
          <w:highlight w:val="yellow"/>
        </w:rPr>
      </w:pPr>
    </w:p>
    <w:p w14:paraId="3AD64608" w14:textId="5EF84B9C" w:rsidR="00867A8F" w:rsidRPr="0047262A" w:rsidRDefault="00DC152B" w:rsidP="00E70E7C">
      <w:pPr>
        <w:autoSpaceDE w:val="0"/>
        <w:autoSpaceDN w:val="0"/>
        <w:adjustRightInd w:val="0"/>
        <w:jc w:val="both"/>
        <w:rPr>
          <w:rFonts w:ascii="Arial" w:hAnsi="Arial" w:cs="Arial"/>
          <w:sz w:val="22"/>
          <w:szCs w:val="22"/>
        </w:rPr>
      </w:pPr>
      <w:r w:rsidRPr="006E4E8F">
        <w:rPr>
          <w:rFonts w:ascii="Arial" w:hAnsi="Arial" w:cs="Arial"/>
          <w:sz w:val="22"/>
          <w:szCs w:val="22"/>
          <w:highlight w:val="yellow"/>
        </w:rPr>
        <w:t xml:space="preserve">Article 22 permits the court to subject the relief granted under article 21 to any conditions it considers appropriate. The turnover of assets to the foreign representative in paragraph 2 is subject to the </w:t>
      </w:r>
      <w:r w:rsidR="0047262A" w:rsidRPr="006E4E8F">
        <w:rPr>
          <w:rFonts w:ascii="Arial" w:hAnsi="Arial" w:cs="Arial"/>
          <w:sz w:val="22"/>
          <w:szCs w:val="22"/>
          <w:highlight w:val="yellow"/>
        </w:rPr>
        <w:t>stipulation</w:t>
      </w:r>
      <w:r w:rsidRPr="006E4E8F">
        <w:rPr>
          <w:rFonts w:ascii="Arial" w:hAnsi="Arial" w:cs="Arial"/>
          <w:sz w:val="22"/>
          <w:szCs w:val="22"/>
          <w:highlight w:val="yellow"/>
        </w:rPr>
        <w:t xml:space="preserve"> that the interests of local creditors are adequately protected, as well as to the broader protection of article 22, paragraph 1, and the possibility that the court may subject that turnover to conditions under article 22, paragraph 2.</w:t>
      </w:r>
      <w:r w:rsidR="00E70E7C" w:rsidRPr="00E70E7C">
        <w:rPr>
          <w:rFonts w:ascii="Arial" w:eastAsia="MS Mincho" w:hAnsi="Arial" w:cs="Arial"/>
          <w:sz w:val="22"/>
          <w:szCs w:val="22"/>
          <w:highlight w:val="yellow"/>
        </w:rPr>
        <w:t>Further paragraph 3 goes on to state that t</w:t>
      </w:r>
      <w:r w:rsidR="002918EA" w:rsidRPr="00E70E7C">
        <w:rPr>
          <w:rFonts w:ascii="Arial" w:eastAsia="MS Mincho" w:hAnsi="Arial" w:cs="Arial"/>
          <w:sz w:val="22"/>
          <w:szCs w:val="22"/>
          <w:highlight w:val="yellow"/>
        </w:rPr>
        <w:t>he court may, at the request of the foreign representative or a person affected by relief granted under</w:t>
      </w:r>
      <w:r w:rsidR="00E70E7C" w:rsidRPr="00E70E7C">
        <w:rPr>
          <w:rFonts w:ascii="Arial" w:eastAsia="MS Mincho" w:hAnsi="Arial" w:cs="Arial"/>
          <w:sz w:val="22"/>
          <w:szCs w:val="22"/>
          <w:highlight w:val="yellow"/>
        </w:rPr>
        <w:t xml:space="preserve"> </w:t>
      </w:r>
      <w:r w:rsidR="002918EA" w:rsidRPr="00E70E7C">
        <w:rPr>
          <w:rFonts w:ascii="Arial" w:eastAsia="MS Mincho" w:hAnsi="Arial" w:cs="Arial"/>
          <w:sz w:val="22"/>
          <w:szCs w:val="22"/>
          <w:highlight w:val="yellow"/>
        </w:rPr>
        <w:t>article 19 or 21, or at its own motion, modify or terminate such relief</w:t>
      </w:r>
      <w:r w:rsidR="00E70E7C">
        <w:rPr>
          <w:rFonts w:ascii="Arial" w:eastAsia="MS Mincho" w:hAnsi="Arial" w:cs="Arial"/>
          <w:sz w:val="22"/>
          <w:szCs w:val="22"/>
        </w:rPr>
        <w:t>.</w:t>
      </w:r>
    </w:p>
    <w:p w14:paraId="21A67231" w14:textId="09778AA2" w:rsidR="00867A8F" w:rsidRPr="00E70E7C" w:rsidRDefault="00867A8F" w:rsidP="00E70E7C">
      <w:pPr>
        <w:ind w:left="720" w:hanging="720"/>
        <w:jc w:val="both"/>
        <w:rPr>
          <w:rFonts w:ascii="Arial" w:hAnsi="Arial"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705917ED" w14:textId="77777777" w:rsidR="00CF49B0" w:rsidRPr="00CF49B0" w:rsidRDefault="00CF49B0" w:rsidP="00CF49B0">
      <w:pPr>
        <w:jc w:val="both"/>
        <w:rPr>
          <w:rFonts w:ascii="Arial" w:hAnsi="Arial" w:cs="Arial"/>
          <w:sz w:val="22"/>
          <w:szCs w:val="22"/>
          <w:highlight w:val="yellow"/>
        </w:rPr>
      </w:pPr>
      <w:r w:rsidRPr="00CF49B0">
        <w:rPr>
          <w:rFonts w:ascii="Arial" w:hAnsi="Arial" w:cs="Arial"/>
          <w:sz w:val="22"/>
          <w:szCs w:val="22"/>
          <w:highlight w:val="yellow"/>
        </w:rPr>
        <w:t xml:space="preserve">In the recent case of </w:t>
      </w:r>
      <w:proofErr w:type="spellStart"/>
      <w:r w:rsidRPr="00CF49B0">
        <w:rPr>
          <w:rFonts w:ascii="Arial" w:hAnsi="Arial" w:cs="Arial"/>
          <w:sz w:val="22"/>
          <w:szCs w:val="22"/>
          <w:highlight w:val="yellow"/>
        </w:rPr>
        <w:t>Protasov</w:t>
      </w:r>
      <w:proofErr w:type="spellEnd"/>
      <w:r w:rsidRPr="00CF49B0">
        <w:rPr>
          <w:rFonts w:ascii="Arial" w:hAnsi="Arial" w:cs="Arial"/>
          <w:sz w:val="22"/>
          <w:szCs w:val="22"/>
          <w:highlight w:val="yellow"/>
        </w:rPr>
        <w:t xml:space="preserve"> v. </w:t>
      </w:r>
      <w:proofErr w:type="spellStart"/>
      <w:r w:rsidRPr="00CF49B0">
        <w:rPr>
          <w:rFonts w:ascii="Arial" w:hAnsi="Arial" w:cs="Arial"/>
          <w:sz w:val="22"/>
          <w:szCs w:val="22"/>
          <w:highlight w:val="yellow"/>
        </w:rPr>
        <w:t>Derev</w:t>
      </w:r>
      <w:proofErr w:type="spellEnd"/>
      <w:r w:rsidRPr="00CF49B0">
        <w:rPr>
          <w:rFonts w:ascii="Arial" w:hAnsi="Arial" w:cs="Arial"/>
          <w:sz w:val="22"/>
          <w:szCs w:val="22"/>
          <w:highlight w:val="yellow"/>
        </w:rPr>
        <w:t>, the High Court of Justice ruled that there was no justification for a provisional freezing order to continue following the recognition of foreign bankruptcy proceedings under the UNICTRAL Model Law on Cross-Border Insolvency (the Model Law), which was put into effect in England and Wales by the Cross-Border Insolvency Regulations 2006 (the Regulations).</w:t>
      </w:r>
    </w:p>
    <w:p w14:paraId="24F7CD78" w14:textId="77777777" w:rsidR="00CF49B0" w:rsidRPr="00CF49B0" w:rsidRDefault="00CF49B0" w:rsidP="00CF49B0">
      <w:pPr>
        <w:rPr>
          <w:highlight w:val="yellow"/>
        </w:rPr>
      </w:pPr>
    </w:p>
    <w:p w14:paraId="51923D80" w14:textId="77777777" w:rsidR="00CF49B0" w:rsidRPr="00CF49B0" w:rsidRDefault="00CF49B0" w:rsidP="00CF49B0">
      <w:pPr>
        <w:jc w:val="both"/>
        <w:rPr>
          <w:rFonts w:ascii="Arial" w:hAnsi="Arial" w:cs="Arial"/>
          <w:sz w:val="22"/>
          <w:szCs w:val="22"/>
          <w:highlight w:val="yellow"/>
        </w:rPr>
      </w:pPr>
      <w:r w:rsidRPr="00CF49B0">
        <w:rPr>
          <w:rFonts w:ascii="Arial" w:hAnsi="Arial" w:cs="Arial"/>
          <w:sz w:val="22"/>
          <w:szCs w:val="22"/>
          <w:highlight w:val="yellow"/>
        </w:rPr>
        <w:t>The Court considered whether it would be appropriate to extend the freezing order in this matter after noting that Article 19(2) specifies that any interim relief expires when the application for recognition is decided unless expressly extended under Article 21(f).</w:t>
      </w:r>
    </w:p>
    <w:p w14:paraId="724E2739" w14:textId="77777777" w:rsidR="00CF49B0" w:rsidRPr="00CF49B0" w:rsidRDefault="00CF49B0" w:rsidP="00CF49B0">
      <w:pPr>
        <w:jc w:val="both"/>
        <w:rPr>
          <w:rFonts w:ascii="Arial" w:hAnsi="Arial" w:cs="Arial"/>
          <w:sz w:val="22"/>
          <w:szCs w:val="22"/>
          <w:highlight w:val="yellow"/>
        </w:rPr>
      </w:pPr>
    </w:p>
    <w:p w14:paraId="3B4399BD" w14:textId="77777777" w:rsidR="00CF49B0" w:rsidRPr="00CF49B0" w:rsidRDefault="00CF49B0" w:rsidP="00CF49B0">
      <w:pPr>
        <w:jc w:val="both"/>
        <w:rPr>
          <w:rFonts w:ascii="Arial" w:hAnsi="Arial" w:cs="Arial"/>
          <w:sz w:val="22"/>
          <w:szCs w:val="22"/>
          <w:highlight w:val="yellow"/>
        </w:rPr>
      </w:pPr>
      <w:r w:rsidRPr="00CF49B0">
        <w:rPr>
          <w:rFonts w:ascii="Arial" w:hAnsi="Arial" w:cs="Arial"/>
          <w:sz w:val="22"/>
          <w:szCs w:val="22"/>
          <w:highlight w:val="yellow"/>
        </w:rPr>
        <w:t xml:space="preserve">The Court noted that in accordance with Article 20(1)(c), the bankrupt's rights to deal with any of his assets are suspended upon recognition of foreign proceedings. The scope and effect of the suspension are the same as if the bankruptcy order had been made in accordance with the Insolvency Act 1986 (IA 1986), and it is subject to the same court's powers, prohibitions, </w:t>
      </w:r>
      <w:r w:rsidRPr="00CF49B0">
        <w:rPr>
          <w:rFonts w:ascii="Arial" w:hAnsi="Arial" w:cs="Arial"/>
          <w:sz w:val="22"/>
          <w:szCs w:val="22"/>
          <w:highlight w:val="yellow"/>
        </w:rPr>
        <w:lastRenderedPageBreak/>
        <w:t>limitations, and conditions as would be in place under English law, as stated in Article 20(2)(a) and (b).</w:t>
      </w:r>
    </w:p>
    <w:p w14:paraId="2B6DAE05" w14:textId="77777777" w:rsidR="00CF49B0" w:rsidRPr="00CF49B0" w:rsidRDefault="00CF49B0" w:rsidP="00CF49B0">
      <w:pPr>
        <w:jc w:val="both"/>
        <w:rPr>
          <w:rFonts w:ascii="Arial" w:hAnsi="Arial" w:cs="Arial"/>
          <w:sz w:val="22"/>
          <w:szCs w:val="22"/>
          <w:highlight w:val="yellow"/>
        </w:rPr>
      </w:pPr>
    </w:p>
    <w:p w14:paraId="29B9BECC" w14:textId="6160EFC3" w:rsidR="00CF49B0" w:rsidRPr="00B46ECA" w:rsidRDefault="00CF49B0" w:rsidP="00CF49B0">
      <w:pPr>
        <w:jc w:val="both"/>
        <w:rPr>
          <w:rFonts w:ascii="Arial" w:hAnsi="Arial" w:cs="Arial"/>
          <w:sz w:val="22"/>
          <w:szCs w:val="22"/>
        </w:rPr>
      </w:pPr>
      <w:r w:rsidRPr="00CF49B0">
        <w:rPr>
          <w:rFonts w:ascii="Arial" w:hAnsi="Arial" w:cs="Arial"/>
          <w:sz w:val="22"/>
          <w:szCs w:val="22"/>
          <w:highlight w:val="yellow"/>
        </w:rPr>
        <w:t>The Court noted that in accordance with Article 20(1)(c), the bankrupt's rights to deal with any of his assets are suspended upon recognition of foreign proceedings. Additionally, in accordance with Article 20(2)(a) and (b), the suspension's scope and impact are the same as if the bankruptcy order had been issued in accordance with the Insolvency Act 1986 (IA 1986), and it is subject to the same court's authority, restrictions, conditions, and prohibitions as would be the case under English law.</w:t>
      </w:r>
      <w:r w:rsidRPr="00CF49B0">
        <w:rPr>
          <w:rFonts w:ascii="Arial" w:hAnsi="Arial" w:cs="Arial"/>
          <w:sz w:val="22"/>
          <w:szCs w:val="22"/>
          <w:highlight w:val="yellow"/>
        </w:rPr>
        <w:t xml:space="preserve"> Thus a worldwide freezing order granted as a pre-recognition interim relief is unlikely to continue post-recognition ex article 21 MLCBI.</w:t>
      </w:r>
    </w:p>
    <w:p w14:paraId="55D96ECD" w14:textId="77777777" w:rsidR="00CF49B0" w:rsidRPr="00B46ECA" w:rsidRDefault="00CF49B0" w:rsidP="00CF49B0">
      <w:pPr>
        <w:pStyle w:val="NormalWeb"/>
        <w:shd w:val="clear" w:color="auto" w:fill="FFFFFF"/>
        <w:spacing w:before="0" w:beforeAutospacing="0" w:after="300" w:afterAutospacing="0"/>
        <w:jc w:val="both"/>
        <w:rPr>
          <w:rFonts w:ascii="Arial" w:hAnsi="Arial" w:cs="Arial"/>
          <w:sz w:val="22"/>
          <w:szCs w:val="22"/>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8"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9"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10" w:name="para20"/>
      <w:bookmarkEnd w:id="9"/>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11" w:name="para21"/>
      <w:bookmarkEnd w:id="10"/>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12" w:name="para22"/>
      <w:bookmarkEnd w:id="11"/>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13" w:name="para23"/>
      <w:bookmarkEnd w:id="12"/>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14" w:name="para24"/>
      <w:bookmarkEnd w:id="13"/>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5" w:name="para25"/>
      <w:bookmarkEnd w:id="14"/>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5"/>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6"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7" w:name="para27"/>
      <w:bookmarkEnd w:id="16"/>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7"/>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8" w:name="para28"/>
      <w:r w:rsidRPr="00E2622D">
        <w:rPr>
          <w:rFonts w:ascii="Avenir Next" w:hAnsi="Avenir Next" w:cs="Arial"/>
          <w:color w:val="000000"/>
          <w:sz w:val="22"/>
          <w:szCs w:val="22"/>
          <w:lang w:val="en-GB" w:eastAsia="en-GB"/>
        </w:rPr>
        <w:lastRenderedPageBreak/>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8"/>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9"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9"/>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20"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21" w:name="para31"/>
      <w:bookmarkEnd w:id="20"/>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21"/>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22"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23" w:name="para33"/>
      <w:bookmarkEnd w:id="22"/>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4" w:name="para34"/>
      <w:bookmarkEnd w:id="23"/>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5" w:name="para35"/>
      <w:bookmarkEnd w:id="24"/>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5"/>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6"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6"/>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7"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7"/>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lastRenderedPageBreak/>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8"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8"/>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9"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9"/>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30"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1" w:name="para40"/>
      <w:bookmarkEnd w:id="30"/>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Ms </w:t>
      </w:r>
      <w:bookmarkStart w:id="32" w:name="_Hlk128395544"/>
      <w:r w:rsidRPr="00E2622D">
        <w:rPr>
          <w:rFonts w:ascii="Avenir Next" w:hAnsi="Avenir Next" w:cs="Arial"/>
          <w:color w:val="000000"/>
          <w:sz w:val="22"/>
          <w:szCs w:val="22"/>
          <w:lang w:val="en-GB" w:eastAsia="en-GB"/>
        </w:rPr>
        <w:t>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bookmarkEnd w:id="32"/>
      <w:r w:rsidRPr="00E2622D">
        <w:rPr>
          <w:rFonts w:ascii="Avenir Next" w:hAnsi="Avenir Next" w:cs="Arial"/>
          <w:color w:val="000000"/>
          <w:sz w:val="22"/>
          <w:szCs w:val="22"/>
          <w:lang w:val="en-GB" w:eastAsia="en-GB"/>
        </w:rPr>
        <w:t>.</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33" w:name="para41"/>
      <w:bookmarkEnd w:id="31"/>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33"/>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8"/>
    <w:p w14:paraId="6D8F5E51" w14:textId="6B1A49DE" w:rsidR="0077498C" w:rsidRDefault="0077498C" w:rsidP="00707FC8">
      <w:pPr>
        <w:jc w:val="both"/>
        <w:rPr>
          <w:rFonts w:ascii="Avenir Next" w:hAnsi="Avenir Next" w:cs="Arial"/>
          <w:color w:val="000000" w:themeColor="text1"/>
          <w:sz w:val="22"/>
          <w:szCs w:val="22"/>
          <w:lang w:val="en-GB"/>
        </w:rPr>
      </w:pPr>
    </w:p>
    <w:p w14:paraId="6A90B791" w14:textId="183F48D3" w:rsidR="00463F5B" w:rsidRDefault="00715265" w:rsidP="00707FC8">
      <w:pPr>
        <w:jc w:val="both"/>
        <w:rPr>
          <w:rFonts w:ascii="Avenir Next" w:hAnsi="Avenir Next" w:cs="Arial"/>
          <w:color w:val="000000" w:themeColor="text1"/>
          <w:sz w:val="22"/>
          <w:szCs w:val="22"/>
          <w:lang w:val="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t xml:space="preserve">whether the Bank’s liquidation comprises a “foreign proceeding” within the meaning of article 2(a) of the MLCBI </w:t>
      </w:r>
      <w:r w:rsidRPr="00A70BBC">
        <w:rPr>
          <w:rFonts w:ascii="Avenir Next Demi Bold" w:hAnsi="Avenir Next Demi Bold" w:cs="Arial"/>
          <w:b/>
          <w:bCs/>
          <w:color w:val="000000"/>
          <w:sz w:val="22"/>
          <w:szCs w:val="22"/>
          <w:lang w:val="en-GB" w:eastAsia="en-GB"/>
        </w:rPr>
        <w:t>[maximum 10 marks]</w:t>
      </w:r>
    </w:p>
    <w:p w14:paraId="7A518E0C" w14:textId="77777777" w:rsidR="00715265" w:rsidRDefault="00715265" w:rsidP="00715265"/>
    <w:p w14:paraId="1A2E2431" w14:textId="77777777" w:rsidR="00715265" w:rsidRDefault="00715265" w:rsidP="00715265">
      <w:pPr>
        <w:autoSpaceDE w:val="0"/>
        <w:autoSpaceDN w:val="0"/>
        <w:adjustRightInd w:val="0"/>
        <w:jc w:val="both"/>
        <w:rPr>
          <w:rFonts w:ascii="Arial" w:eastAsiaTheme="minorHAnsi" w:hAnsi="Arial" w:cs="Arial"/>
          <w:sz w:val="22"/>
          <w:szCs w:val="22"/>
          <w:highlight w:val="yellow"/>
          <w14:ligatures w14:val="standardContextual"/>
        </w:rPr>
      </w:pPr>
      <w:r>
        <w:rPr>
          <w:rFonts w:ascii="Arial" w:eastAsiaTheme="minorHAnsi" w:hAnsi="Arial" w:cs="Arial"/>
          <w:sz w:val="22"/>
          <w:szCs w:val="22"/>
          <w:highlight w:val="yellow"/>
          <w14:ligatures w14:val="standardContextual"/>
        </w:rPr>
        <w:t>Answer:</w:t>
      </w:r>
    </w:p>
    <w:p w14:paraId="38E74C07" w14:textId="3E3ECF87" w:rsidR="00715265" w:rsidRPr="00927E95" w:rsidRDefault="00715265" w:rsidP="00715265">
      <w:pPr>
        <w:autoSpaceDE w:val="0"/>
        <w:autoSpaceDN w:val="0"/>
        <w:adjustRightInd w:val="0"/>
        <w:jc w:val="both"/>
        <w:rPr>
          <w:rFonts w:ascii="Arial" w:eastAsiaTheme="minorHAnsi" w:hAnsi="Arial" w:cs="Arial"/>
          <w:sz w:val="22"/>
          <w:szCs w:val="22"/>
          <w:highlight w:val="yellow"/>
          <w14:ligatures w14:val="standardContextual"/>
        </w:rPr>
      </w:pPr>
      <w:r w:rsidRPr="007B0554">
        <w:rPr>
          <w:rFonts w:ascii="Arial" w:eastAsiaTheme="minorHAnsi" w:hAnsi="Arial" w:cs="Arial"/>
          <w:sz w:val="22"/>
          <w:szCs w:val="22"/>
          <w:highlight w:val="yellow"/>
          <w14:ligatures w14:val="standardContextual"/>
        </w:rPr>
        <w:t xml:space="preserve">The term foreign proceeding within the meaning of article 2 (a) of the MLCBI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 Paragraph (b) further states that foreign main proceeding means a foreign proceeding taking place in the State where the debtor has the </w:t>
      </w:r>
      <w:proofErr w:type="spellStart"/>
      <w:r w:rsidRPr="007B0554">
        <w:rPr>
          <w:rFonts w:ascii="Arial" w:eastAsiaTheme="minorHAnsi" w:hAnsi="Arial" w:cs="Arial"/>
          <w:sz w:val="22"/>
          <w:szCs w:val="22"/>
          <w:highlight w:val="yellow"/>
          <w14:ligatures w14:val="standardContextual"/>
        </w:rPr>
        <w:t>centre</w:t>
      </w:r>
      <w:proofErr w:type="spellEnd"/>
      <w:r w:rsidRPr="007B0554">
        <w:rPr>
          <w:rFonts w:ascii="Arial" w:eastAsiaTheme="minorHAnsi" w:hAnsi="Arial" w:cs="Arial"/>
          <w:sz w:val="22"/>
          <w:szCs w:val="22"/>
          <w:highlight w:val="yellow"/>
          <w14:ligatures w14:val="standardContextual"/>
        </w:rPr>
        <w:t xml:space="preserve"> of its main interests. This is contrasted by paragraph (c) which defines “Foreign non-main proceeding” as a foreign proceeding, other than a foreign main proceeding, taking place in a State where the debtor has an establishment within the meaning of subparagraph (f).  Paragraph f describes “establishment” as any place of operations where the debtor carries out a non-transitory economic activity with human means and goods or services.</w:t>
      </w:r>
    </w:p>
    <w:p w14:paraId="1C5C71E6" w14:textId="77777777" w:rsidR="00715265" w:rsidRPr="007B0554" w:rsidRDefault="00715265" w:rsidP="00715265">
      <w:pPr>
        <w:autoSpaceDE w:val="0"/>
        <w:autoSpaceDN w:val="0"/>
        <w:adjustRightInd w:val="0"/>
        <w:rPr>
          <w:rFonts w:ascii="TimesLTStd-Roman" w:eastAsiaTheme="minorHAnsi" w:hAnsi="TimesLTStd-Roman" w:cs="TimesLTStd-Roman"/>
          <w:szCs w:val="20"/>
          <w:highlight w:val="yellow"/>
          <w14:ligatures w14:val="standardContextual"/>
        </w:rPr>
      </w:pPr>
    </w:p>
    <w:p w14:paraId="218A57BA" w14:textId="77777777" w:rsidR="00715265" w:rsidRPr="007B0554" w:rsidRDefault="00715265" w:rsidP="00715265">
      <w:pPr>
        <w:autoSpaceDE w:val="0"/>
        <w:autoSpaceDN w:val="0"/>
        <w:adjustRightInd w:val="0"/>
        <w:rPr>
          <w:rFonts w:ascii="Arial" w:eastAsiaTheme="minorHAnsi" w:hAnsi="Arial" w:cs="Arial"/>
          <w:sz w:val="22"/>
          <w:szCs w:val="22"/>
          <w:highlight w:val="yellow"/>
          <w14:ligatures w14:val="standardContextual"/>
        </w:rPr>
      </w:pPr>
      <w:r w:rsidRPr="007B0554">
        <w:rPr>
          <w:rFonts w:ascii="Arial" w:eastAsiaTheme="minorHAnsi" w:hAnsi="Arial" w:cs="Arial"/>
          <w:sz w:val="22"/>
          <w:szCs w:val="22"/>
          <w:highlight w:val="yellow"/>
          <w14:ligatures w14:val="standardContextual"/>
        </w:rPr>
        <w:t xml:space="preserve">Therefore in order for the liquidation of Commercial Bank for Business Corporation (the Bank) to qualify </w:t>
      </w:r>
      <w:proofErr w:type="gramStart"/>
      <w:r w:rsidRPr="007B0554">
        <w:rPr>
          <w:rFonts w:ascii="Arial" w:eastAsiaTheme="minorHAnsi" w:hAnsi="Arial" w:cs="Arial"/>
          <w:sz w:val="22"/>
          <w:szCs w:val="22"/>
          <w:highlight w:val="yellow"/>
          <w14:ligatures w14:val="standardContextual"/>
        </w:rPr>
        <w:t>as  foreign</w:t>
      </w:r>
      <w:proofErr w:type="gramEnd"/>
      <w:r w:rsidRPr="007B0554">
        <w:rPr>
          <w:rFonts w:ascii="Arial" w:eastAsiaTheme="minorHAnsi" w:hAnsi="Arial" w:cs="Arial"/>
          <w:sz w:val="22"/>
          <w:szCs w:val="22"/>
          <w:highlight w:val="yellow"/>
          <w14:ligatures w14:val="standardContextual"/>
        </w:rPr>
        <w:t xml:space="preserve"> proceeding within the meaning of article 2 the following elements must be met: </w:t>
      </w:r>
    </w:p>
    <w:p w14:paraId="535445DF" w14:textId="77777777" w:rsidR="00715265" w:rsidRPr="007B0554" w:rsidRDefault="00715265" w:rsidP="00715265">
      <w:pPr>
        <w:autoSpaceDE w:val="0"/>
        <w:autoSpaceDN w:val="0"/>
        <w:adjustRightInd w:val="0"/>
        <w:rPr>
          <w:rFonts w:ascii="Arial" w:eastAsiaTheme="minorHAnsi" w:hAnsi="Arial" w:cs="Arial"/>
          <w:sz w:val="22"/>
          <w:szCs w:val="22"/>
          <w:highlight w:val="yellow"/>
          <w14:ligatures w14:val="standardContextual"/>
        </w:rPr>
      </w:pPr>
    </w:p>
    <w:p w14:paraId="63096AE7" w14:textId="77777777" w:rsidR="00715265" w:rsidRPr="007B0554" w:rsidRDefault="00715265" w:rsidP="00715265">
      <w:pPr>
        <w:pStyle w:val="ListParagraph"/>
        <w:numPr>
          <w:ilvl w:val="0"/>
          <w:numId w:val="50"/>
        </w:numPr>
        <w:autoSpaceDE w:val="0"/>
        <w:autoSpaceDN w:val="0"/>
        <w:adjustRightInd w:val="0"/>
        <w:rPr>
          <w:rFonts w:ascii="Arial" w:eastAsiaTheme="minorHAnsi" w:hAnsi="Arial" w:cs="Arial"/>
          <w:sz w:val="22"/>
          <w:szCs w:val="22"/>
          <w:highlight w:val="yellow"/>
          <w14:ligatures w14:val="standardContextual"/>
        </w:rPr>
      </w:pPr>
      <w:r w:rsidRPr="007B0554">
        <w:rPr>
          <w:rFonts w:ascii="Arial" w:eastAsiaTheme="minorHAnsi" w:hAnsi="Arial" w:cs="Arial"/>
          <w:sz w:val="22"/>
          <w:szCs w:val="22"/>
          <w:highlight w:val="yellow"/>
          <w14:ligatures w14:val="standardContextual"/>
        </w:rPr>
        <w:t xml:space="preserve">The proceeding must be of judicial or administrative </w:t>
      </w:r>
      <w:proofErr w:type="gramStart"/>
      <w:r w:rsidRPr="007B0554">
        <w:rPr>
          <w:rFonts w:ascii="Arial" w:eastAsiaTheme="minorHAnsi" w:hAnsi="Arial" w:cs="Arial"/>
          <w:sz w:val="22"/>
          <w:szCs w:val="22"/>
          <w:highlight w:val="yellow"/>
          <w14:ligatures w14:val="standardContextual"/>
        </w:rPr>
        <w:t>nature;</w:t>
      </w:r>
      <w:proofErr w:type="gramEnd"/>
    </w:p>
    <w:p w14:paraId="7B571986" w14:textId="77777777" w:rsidR="00715265" w:rsidRPr="007B0554" w:rsidRDefault="00715265" w:rsidP="00715265">
      <w:pPr>
        <w:pStyle w:val="ListParagraph"/>
        <w:numPr>
          <w:ilvl w:val="0"/>
          <w:numId w:val="50"/>
        </w:numPr>
        <w:autoSpaceDE w:val="0"/>
        <w:autoSpaceDN w:val="0"/>
        <w:adjustRightInd w:val="0"/>
        <w:rPr>
          <w:rFonts w:ascii="Arial" w:eastAsiaTheme="minorHAnsi" w:hAnsi="Arial" w:cs="Arial"/>
          <w:sz w:val="22"/>
          <w:szCs w:val="22"/>
          <w:highlight w:val="yellow"/>
          <w14:ligatures w14:val="standardContextual"/>
        </w:rPr>
      </w:pPr>
      <w:r w:rsidRPr="007B0554">
        <w:rPr>
          <w:rFonts w:ascii="Arial" w:eastAsiaTheme="minorHAnsi" w:hAnsi="Arial" w:cs="Arial"/>
          <w:sz w:val="22"/>
          <w:szCs w:val="22"/>
          <w:highlight w:val="yellow"/>
          <w14:ligatures w14:val="standardContextual"/>
        </w:rPr>
        <w:t xml:space="preserve">In a foreign </w:t>
      </w:r>
      <w:proofErr w:type="gramStart"/>
      <w:r w:rsidRPr="007B0554">
        <w:rPr>
          <w:rFonts w:ascii="Arial" w:eastAsiaTheme="minorHAnsi" w:hAnsi="Arial" w:cs="Arial"/>
          <w:sz w:val="22"/>
          <w:szCs w:val="22"/>
          <w:highlight w:val="yellow"/>
          <w14:ligatures w14:val="standardContextual"/>
        </w:rPr>
        <w:t>state;</w:t>
      </w:r>
      <w:proofErr w:type="gramEnd"/>
    </w:p>
    <w:p w14:paraId="577B2250" w14:textId="77777777" w:rsidR="00715265" w:rsidRPr="007B0554" w:rsidRDefault="00715265" w:rsidP="00715265">
      <w:pPr>
        <w:pStyle w:val="ListParagraph"/>
        <w:numPr>
          <w:ilvl w:val="0"/>
          <w:numId w:val="50"/>
        </w:numPr>
        <w:autoSpaceDE w:val="0"/>
        <w:autoSpaceDN w:val="0"/>
        <w:adjustRightInd w:val="0"/>
        <w:rPr>
          <w:rFonts w:ascii="Arial" w:eastAsiaTheme="minorHAnsi" w:hAnsi="Arial" w:cs="Arial"/>
          <w:sz w:val="22"/>
          <w:szCs w:val="22"/>
          <w:highlight w:val="yellow"/>
          <w14:ligatures w14:val="standardContextual"/>
        </w:rPr>
      </w:pPr>
      <w:r w:rsidRPr="007B0554">
        <w:rPr>
          <w:rFonts w:ascii="Arial" w:eastAsiaTheme="minorHAnsi" w:hAnsi="Arial" w:cs="Arial"/>
          <w:sz w:val="22"/>
          <w:szCs w:val="22"/>
          <w:highlight w:val="yellow"/>
          <w14:ligatures w14:val="standardContextual"/>
        </w:rPr>
        <w:t xml:space="preserve">Authorized or conducted under a law relating to </w:t>
      </w:r>
      <w:proofErr w:type="gramStart"/>
      <w:r w:rsidRPr="007B0554">
        <w:rPr>
          <w:rFonts w:ascii="Arial" w:eastAsiaTheme="minorHAnsi" w:hAnsi="Arial" w:cs="Arial"/>
          <w:sz w:val="22"/>
          <w:szCs w:val="22"/>
          <w:highlight w:val="yellow"/>
          <w14:ligatures w14:val="standardContextual"/>
        </w:rPr>
        <w:t>insolvency;</w:t>
      </w:r>
      <w:proofErr w:type="gramEnd"/>
    </w:p>
    <w:p w14:paraId="29E041FD" w14:textId="77777777" w:rsidR="00715265" w:rsidRPr="007B0554" w:rsidRDefault="00715265" w:rsidP="00715265">
      <w:pPr>
        <w:pStyle w:val="ListParagraph"/>
        <w:numPr>
          <w:ilvl w:val="0"/>
          <w:numId w:val="50"/>
        </w:numPr>
        <w:autoSpaceDE w:val="0"/>
        <w:autoSpaceDN w:val="0"/>
        <w:adjustRightInd w:val="0"/>
        <w:rPr>
          <w:rFonts w:ascii="Arial" w:eastAsiaTheme="minorHAnsi" w:hAnsi="Arial" w:cs="Arial"/>
          <w:sz w:val="22"/>
          <w:szCs w:val="22"/>
          <w:highlight w:val="yellow"/>
          <w14:ligatures w14:val="standardContextual"/>
        </w:rPr>
      </w:pPr>
      <w:r w:rsidRPr="007B0554">
        <w:rPr>
          <w:rFonts w:ascii="Arial" w:eastAsiaTheme="minorHAnsi" w:hAnsi="Arial" w:cs="Arial"/>
          <w:sz w:val="22"/>
          <w:szCs w:val="22"/>
          <w:highlight w:val="yellow"/>
          <w14:ligatures w14:val="standardContextual"/>
        </w:rPr>
        <w:t xml:space="preserve">The proceeding is for the purpose of reorganization or </w:t>
      </w:r>
      <w:proofErr w:type="gramStart"/>
      <w:r w:rsidRPr="007B0554">
        <w:rPr>
          <w:rFonts w:ascii="Arial" w:eastAsiaTheme="minorHAnsi" w:hAnsi="Arial" w:cs="Arial"/>
          <w:sz w:val="22"/>
          <w:szCs w:val="22"/>
          <w:highlight w:val="yellow"/>
          <w14:ligatures w14:val="standardContextual"/>
        </w:rPr>
        <w:t>liquidation;</w:t>
      </w:r>
      <w:proofErr w:type="gramEnd"/>
    </w:p>
    <w:p w14:paraId="1B50421B" w14:textId="77777777" w:rsidR="00715265" w:rsidRPr="007B0554" w:rsidRDefault="00715265" w:rsidP="00715265">
      <w:pPr>
        <w:pStyle w:val="ListParagraph"/>
        <w:numPr>
          <w:ilvl w:val="0"/>
          <w:numId w:val="50"/>
        </w:numPr>
        <w:autoSpaceDE w:val="0"/>
        <w:autoSpaceDN w:val="0"/>
        <w:adjustRightInd w:val="0"/>
        <w:rPr>
          <w:rFonts w:ascii="Arial" w:eastAsiaTheme="minorHAnsi" w:hAnsi="Arial" w:cs="Arial"/>
          <w:sz w:val="22"/>
          <w:szCs w:val="22"/>
          <w:highlight w:val="yellow"/>
          <w14:ligatures w14:val="standardContextual"/>
        </w:rPr>
      </w:pPr>
      <w:r w:rsidRPr="007B0554">
        <w:rPr>
          <w:rFonts w:ascii="Arial" w:eastAsiaTheme="minorHAnsi" w:hAnsi="Arial" w:cs="Arial"/>
          <w:sz w:val="22"/>
          <w:szCs w:val="22"/>
          <w:highlight w:val="yellow"/>
          <w14:ligatures w14:val="standardContextual"/>
        </w:rPr>
        <w:t xml:space="preserve">Collective in nature </w:t>
      </w:r>
      <w:proofErr w:type="spellStart"/>
      <w:r w:rsidRPr="007B0554">
        <w:rPr>
          <w:rFonts w:ascii="Arial" w:eastAsiaTheme="minorHAnsi" w:hAnsi="Arial" w:cs="Arial"/>
          <w:sz w:val="22"/>
          <w:szCs w:val="22"/>
          <w:highlight w:val="yellow"/>
          <w14:ligatures w14:val="standardContextual"/>
        </w:rPr>
        <w:t>i.e</w:t>
      </w:r>
      <w:proofErr w:type="spellEnd"/>
      <w:r w:rsidRPr="007B0554">
        <w:rPr>
          <w:rFonts w:ascii="Arial" w:eastAsiaTheme="minorHAnsi" w:hAnsi="Arial" w:cs="Arial"/>
          <w:sz w:val="22"/>
          <w:szCs w:val="22"/>
          <w:highlight w:val="yellow"/>
          <w14:ligatures w14:val="standardContextual"/>
        </w:rPr>
        <w:t xml:space="preserve"> whether substantially all of the assets and </w:t>
      </w:r>
      <w:proofErr w:type="gramStart"/>
      <w:r w:rsidRPr="007B0554">
        <w:rPr>
          <w:rFonts w:ascii="Arial" w:eastAsiaTheme="minorHAnsi" w:hAnsi="Arial" w:cs="Arial"/>
          <w:sz w:val="22"/>
          <w:szCs w:val="22"/>
          <w:highlight w:val="yellow"/>
          <w14:ligatures w14:val="standardContextual"/>
        </w:rPr>
        <w:t>liabilities  are</w:t>
      </w:r>
      <w:proofErr w:type="gramEnd"/>
      <w:r w:rsidRPr="007B0554">
        <w:rPr>
          <w:rFonts w:ascii="Arial" w:eastAsiaTheme="minorHAnsi" w:hAnsi="Arial" w:cs="Arial"/>
          <w:sz w:val="22"/>
          <w:szCs w:val="22"/>
          <w:highlight w:val="yellow"/>
          <w14:ligatures w14:val="standardContextual"/>
        </w:rPr>
        <w:t xml:space="preserve"> dealt with in the proceedings subject to the exceptions and exclusions of the local law;</w:t>
      </w:r>
    </w:p>
    <w:p w14:paraId="7104CC50" w14:textId="77777777" w:rsidR="00715265" w:rsidRPr="007B0554" w:rsidRDefault="00715265" w:rsidP="00715265">
      <w:pPr>
        <w:pStyle w:val="ListParagraph"/>
        <w:numPr>
          <w:ilvl w:val="0"/>
          <w:numId w:val="50"/>
        </w:numPr>
        <w:autoSpaceDE w:val="0"/>
        <w:autoSpaceDN w:val="0"/>
        <w:adjustRightInd w:val="0"/>
        <w:rPr>
          <w:rFonts w:ascii="Arial" w:eastAsiaTheme="minorHAnsi" w:hAnsi="Arial" w:cs="Arial"/>
          <w:sz w:val="22"/>
          <w:szCs w:val="22"/>
          <w:highlight w:val="yellow"/>
          <w14:ligatures w14:val="standardContextual"/>
        </w:rPr>
      </w:pPr>
      <w:r w:rsidRPr="007B0554">
        <w:rPr>
          <w:rFonts w:ascii="Arial" w:eastAsiaTheme="minorHAnsi" w:hAnsi="Arial" w:cs="Arial"/>
          <w:sz w:val="22"/>
          <w:szCs w:val="22"/>
          <w:highlight w:val="yellow"/>
          <w14:ligatures w14:val="standardContextual"/>
        </w:rPr>
        <w:t>The assets and affairs of the debtor are subject to control or supervision by a foreign court.</w:t>
      </w:r>
    </w:p>
    <w:p w14:paraId="601F1657" w14:textId="77777777" w:rsidR="00715265" w:rsidRPr="007B0554" w:rsidRDefault="00715265" w:rsidP="00715265">
      <w:pPr>
        <w:pStyle w:val="ListParagraph"/>
        <w:kinsoku w:val="0"/>
        <w:overflowPunct w:val="0"/>
        <w:autoSpaceDE w:val="0"/>
        <w:autoSpaceDN w:val="0"/>
        <w:adjustRightInd w:val="0"/>
        <w:spacing w:line="223" w:lineRule="exact"/>
        <w:ind w:right="117"/>
        <w:rPr>
          <w:rFonts w:ascii="Times New Roman" w:eastAsiaTheme="minorHAnsi" w:hAnsi="Times New Roman" w:cs="Times New Roman"/>
          <w:szCs w:val="20"/>
          <w:highlight w:val="yellow"/>
          <w14:ligatures w14:val="standardContextual"/>
        </w:rPr>
      </w:pPr>
    </w:p>
    <w:p w14:paraId="23A8FC6C" w14:textId="77777777" w:rsidR="00715265" w:rsidRPr="007B0554" w:rsidRDefault="00715265" w:rsidP="00715265">
      <w:pPr>
        <w:kinsoku w:val="0"/>
        <w:overflowPunct w:val="0"/>
        <w:autoSpaceDE w:val="0"/>
        <w:autoSpaceDN w:val="0"/>
        <w:adjustRightInd w:val="0"/>
        <w:rPr>
          <w:rFonts w:ascii="Arial" w:eastAsiaTheme="minorHAnsi" w:hAnsi="Arial" w:cs="Arial"/>
          <w:sz w:val="22"/>
          <w:szCs w:val="22"/>
          <w:highlight w:val="yellow"/>
          <w14:ligatures w14:val="standardContextual"/>
        </w:rPr>
      </w:pPr>
      <w:r w:rsidRPr="007B0554">
        <w:rPr>
          <w:rFonts w:ascii="Arial" w:eastAsiaTheme="minorHAnsi" w:hAnsi="Arial" w:cs="Arial"/>
          <w:sz w:val="22"/>
          <w:szCs w:val="22"/>
          <w:highlight w:val="yellow"/>
          <w14:ligatures w14:val="standardContextual"/>
        </w:rPr>
        <w:lastRenderedPageBreak/>
        <w:t>Case law has affirmed that the characteristics of the subparagraph are cumulative and should be considered as a whole</w:t>
      </w:r>
      <w:r w:rsidRPr="007B0554">
        <w:rPr>
          <w:rStyle w:val="FootnoteReference"/>
          <w:rFonts w:ascii="Arial" w:eastAsiaTheme="minorHAnsi" w:hAnsi="Arial" w:cs="Arial"/>
          <w:sz w:val="22"/>
          <w:szCs w:val="22"/>
          <w:highlight w:val="yellow"/>
          <w14:ligatures w14:val="standardContextual"/>
        </w:rPr>
        <w:footnoteReference w:id="1"/>
      </w:r>
      <w:r w:rsidRPr="007B0554">
        <w:rPr>
          <w:rFonts w:ascii="Arial" w:eastAsiaTheme="minorHAnsi" w:hAnsi="Arial" w:cs="Arial"/>
          <w:sz w:val="22"/>
          <w:szCs w:val="22"/>
          <w:highlight w:val="yellow"/>
          <w14:ligatures w14:val="standardContextual"/>
        </w:rPr>
        <w:t>.</w:t>
      </w:r>
    </w:p>
    <w:p w14:paraId="24E87588" w14:textId="77777777" w:rsidR="00715265" w:rsidRPr="007B0554" w:rsidRDefault="00715265" w:rsidP="00715265">
      <w:pPr>
        <w:autoSpaceDE w:val="0"/>
        <w:autoSpaceDN w:val="0"/>
        <w:adjustRightInd w:val="0"/>
        <w:rPr>
          <w:rFonts w:ascii="Arial" w:eastAsiaTheme="minorHAnsi" w:hAnsi="Arial" w:cs="Arial"/>
          <w:sz w:val="22"/>
          <w:szCs w:val="22"/>
          <w:highlight w:val="yellow"/>
          <w14:ligatures w14:val="standardContextual"/>
        </w:rPr>
      </w:pPr>
    </w:p>
    <w:p w14:paraId="04F1A206" w14:textId="77777777" w:rsidR="00715265" w:rsidRPr="007B0554" w:rsidRDefault="00715265" w:rsidP="00715265">
      <w:pPr>
        <w:autoSpaceDE w:val="0"/>
        <w:autoSpaceDN w:val="0"/>
        <w:adjustRightInd w:val="0"/>
        <w:jc w:val="both"/>
        <w:rPr>
          <w:rFonts w:ascii="Arial" w:hAnsi="Arial" w:cs="Arial"/>
          <w:sz w:val="22"/>
          <w:szCs w:val="22"/>
          <w:highlight w:val="yellow"/>
        </w:rPr>
      </w:pPr>
      <w:r w:rsidRPr="007B0554">
        <w:rPr>
          <w:rFonts w:ascii="Arial" w:eastAsiaTheme="minorHAnsi" w:hAnsi="Arial" w:cs="Arial"/>
          <w:sz w:val="22"/>
          <w:szCs w:val="22"/>
          <w:highlight w:val="yellow"/>
          <w14:ligatures w14:val="standardContextual"/>
        </w:rPr>
        <w:t>It is noted that t</w:t>
      </w:r>
      <w:r w:rsidRPr="007B0554">
        <w:rPr>
          <w:rFonts w:ascii="Arial" w:hAnsi="Arial" w:cs="Arial"/>
          <w:sz w:val="22"/>
          <w:szCs w:val="22"/>
          <w:highlight w:val="yellow"/>
        </w:rPr>
        <w:t xml:space="preserve">he enacting state has the option to exempt specific proceedings from application under the Model Law's pursuant to Article 1 paragraph 2. </w:t>
      </w:r>
      <w:r w:rsidRPr="007B0554">
        <w:rPr>
          <w:rFonts w:ascii="Arial" w:hAnsi="Arial" w:cs="Arial"/>
          <w:color w:val="212121"/>
          <w:sz w:val="22"/>
          <w:szCs w:val="22"/>
          <w:highlight w:val="yellow"/>
          <w:shd w:val="clear" w:color="auto" w:fill="FFFFFF"/>
        </w:rPr>
        <w:t>England adopted it by enacting the </w:t>
      </w:r>
      <w:r w:rsidRPr="007B0554">
        <w:rPr>
          <w:rStyle w:val="sssh"/>
          <w:rFonts w:ascii="Arial" w:hAnsi="Arial" w:cs="Arial"/>
          <w:color w:val="212121"/>
          <w:sz w:val="22"/>
          <w:szCs w:val="22"/>
          <w:highlight w:val="yellow"/>
          <w:bdr w:val="none" w:sz="0" w:space="0" w:color="auto" w:frame="1"/>
          <w:shd w:val="clear" w:color="auto" w:fill="B2EBF2"/>
        </w:rPr>
        <w:t>Cross Border Insolvency Regulations</w:t>
      </w:r>
      <w:r w:rsidRPr="007B0554">
        <w:rPr>
          <w:rFonts w:ascii="Arial" w:hAnsi="Arial" w:cs="Arial"/>
          <w:color w:val="212121"/>
          <w:sz w:val="22"/>
          <w:szCs w:val="22"/>
          <w:highlight w:val="yellow"/>
          <w:shd w:val="clear" w:color="auto" w:fill="FFFFFF"/>
        </w:rPr>
        <w:t> 2006 with effect from 4 April 2006, making some modifications to the text of the UNCITRAL Model Law.</w:t>
      </w:r>
      <w:r w:rsidRPr="007B0554">
        <w:rPr>
          <w:rFonts w:ascii="Arial" w:hAnsi="Arial" w:cs="Arial"/>
          <w:sz w:val="22"/>
          <w:szCs w:val="22"/>
          <w:highlight w:val="yellow"/>
        </w:rPr>
        <w:t xml:space="preserve"> </w:t>
      </w:r>
    </w:p>
    <w:p w14:paraId="44E17BD3" w14:textId="77777777" w:rsidR="00715265" w:rsidRPr="007B0554" w:rsidRDefault="00715265" w:rsidP="00715265">
      <w:pPr>
        <w:autoSpaceDE w:val="0"/>
        <w:autoSpaceDN w:val="0"/>
        <w:adjustRightInd w:val="0"/>
        <w:jc w:val="both"/>
        <w:rPr>
          <w:rFonts w:ascii="Arial" w:hAnsi="Arial" w:cs="Arial"/>
          <w:color w:val="212121"/>
          <w:sz w:val="22"/>
          <w:szCs w:val="22"/>
          <w:highlight w:val="yellow"/>
          <w:shd w:val="clear" w:color="auto" w:fill="FFFFFF"/>
        </w:rPr>
      </w:pPr>
    </w:p>
    <w:p w14:paraId="1958179C" w14:textId="77777777" w:rsidR="00715265" w:rsidRPr="007B0554" w:rsidRDefault="00715265" w:rsidP="00715265">
      <w:pPr>
        <w:autoSpaceDE w:val="0"/>
        <w:autoSpaceDN w:val="0"/>
        <w:adjustRightInd w:val="0"/>
        <w:jc w:val="both"/>
        <w:rPr>
          <w:rFonts w:ascii="Arial" w:hAnsi="Arial" w:cs="Arial"/>
          <w:color w:val="212121"/>
          <w:sz w:val="22"/>
          <w:szCs w:val="22"/>
          <w:highlight w:val="yellow"/>
          <w:shd w:val="clear" w:color="auto" w:fill="FFFFFF"/>
        </w:rPr>
      </w:pPr>
      <w:r w:rsidRPr="007B0554">
        <w:rPr>
          <w:rFonts w:ascii="Arial" w:hAnsi="Arial" w:cs="Arial"/>
          <w:color w:val="212121"/>
          <w:sz w:val="22"/>
          <w:szCs w:val="22"/>
          <w:highlight w:val="yellow"/>
          <w:shd w:val="clear" w:color="auto" w:fill="FFFFFF"/>
        </w:rPr>
        <w:t xml:space="preserve">Under CBIR 2006 a case involving </w:t>
      </w:r>
      <w:proofErr w:type="spellStart"/>
      <w:r w:rsidRPr="007B0554">
        <w:rPr>
          <w:rFonts w:ascii="Arial" w:hAnsi="Arial" w:cs="Arial"/>
          <w:color w:val="212121"/>
          <w:sz w:val="22"/>
          <w:szCs w:val="22"/>
          <w:highlight w:val="yellow"/>
          <w:shd w:val="clear" w:color="auto" w:fill="FFFFFF"/>
        </w:rPr>
        <w:t>Ukranian</w:t>
      </w:r>
      <w:proofErr w:type="spellEnd"/>
      <w:r w:rsidRPr="007B0554">
        <w:rPr>
          <w:rFonts w:ascii="Arial" w:hAnsi="Arial" w:cs="Arial"/>
          <w:color w:val="212121"/>
          <w:sz w:val="22"/>
          <w:szCs w:val="22"/>
          <w:highlight w:val="yellow"/>
          <w:shd w:val="clear" w:color="auto" w:fill="FFFFFF"/>
        </w:rPr>
        <w:t xml:space="preserve"> debtor bank in liquidation with an individual appointed by DFG (the official body appointed in the liquidation); where both the DGF and the individual were found to foreign representatives within the meaning of the </w:t>
      </w:r>
      <w:r w:rsidRPr="007B0554">
        <w:rPr>
          <w:rStyle w:val="sssh"/>
          <w:rFonts w:ascii="Arial" w:hAnsi="Arial" w:cs="Arial"/>
          <w:b/>
          <w:bCs/>
          <w:color w:val="212121"/>
          <w:sz w:val="22"/>
          <w:szCs w:val="22"/>
          <w:highlight w:val="yellow"/>
          <w:bdr w:val="none" w:sz="0" w:space="0" w:color="auto" w:frame="1"/>
          <w:shd w:val="clear" w:color="auto" w:fill="B2EBF2"/>
        </w:rPr>
        <w:t>CBIR</w:t>
      </w:r>
      <w:r w:rsidRPr="007B0554">
        <w:rPr>
          <w:rFonts w:ascii="Arial" w:hAnsi="Arial" w:cs="Arial"/>
          <w:color w:val="212121"/>
          <w:sz w:val="22"/>
          <w:szCs w:val="22"/>
          <w:highlight w:val="yellow"/>
          <w:shd w:val="clear" w:color="auto" w:fill="FFFFFF"/>
        </w:rPr>
        <w:t xml:space="preserve"> 2006, notwithstanding that their powers were not joint and several. </w:t>
      </w:r>
      <w:r w:rsidRPr="007B0554">
        <w:rPr>
          <w:rStyle w:val="FootnoteReference"/>
          <w:rFonts w:ascii="Arial" w:hAnsi="Arial" w:cs="Arial"/>
          <w:color w:val="212121"/>
          <w:sz w:val="22"/>
          <w:szCs w:val="22"/>
          <w:highlight w:val="yellow"/>
          <w:shd w:val="clear" w:color="auto" w:fill="FFFFFF"/>
        </w:rPr>
        <w:footnoteReference w:id="2"/>
      </w:r>
      <w:r w:rsidRPr="007B0554">
        <w:rPr>
          <w:rFonts w:ascii="Arial" w:hAnsi="Arial" w:cs="Arial"/>
          <w:color w:val="212121"/>
          <w:sz w:val="22"/>
          <w:szCs w:val="22"/>
          <w:highlight w:val="yellow"/>
          <w:shd w:val="clear" w:color="auto" w:fill="FFFFFF"/>
        </w:rPr>
        <w:t xml:space="preserve"> Thus applying the foregoing to this </w:t>
      </w:r>
      <w:proofErr w:type="gramStart"/>
      <w:r w:rsidRPr="007B0554">
        <w:rPr>
          <w:rFonts w:ascii="Arial" w:hAnsi="Arial" w:cs="Arial"/>
          <w:color w:val="212121"/>
          <w:sz w:val="22"/>
          <w:szCs w:val="22"/>
          <w:highlight w:val="yellow"/>
          <w:shd w:val="clear" w:color="auto" w:fill="FFFFFF"/>
        </w:rPr>
        <w:t>scenario</w:t>
      </w:r>
      <w:proofErr w:type="gramEnd"/>
      <w:r w:rsidRPr="007B0554">
        <w:rPr>
          <w:rFonts w:ascii="Arial" w:hAnsi="Arial" w:cs="Arial"/>
          <w:color w:val="212121"/>
          <w:sz w:val="22"/>
          <w:szCs w:val="22"/>
          <w:highlight w:val="yellow"/>
          <w:shd w:val="clear" w:color="auto" w:fill="FFFFFF"/>
        </w:rPr>
        <w:t xml:space="preserve"> the proceedings herein are not excluded from recognition under English law.</w:t>
      </w:r>
    </w:p>
    <w:p w14:paraId="638E79DC" w14:textId="77777777" w:rsidR="00715265" w:rsidRPr="007B0554" w:rsidRDefault="00715265" w:rsidP="00715265">
      <w:pPr>
        <w:autoSpaceDE w:val="0"/>
        <w:autoSpaceDN w:val="0"/>
        <w:adjustRightInd w:val="0"/>
        <w:jc w:val="both"/>
        <w:rPr>
          <w:rFonts w:ascii="Arial" w:hAnsi="Arial" w:cs="Arial"/>
          <w:color w:val="212121"/>
          <w:sz w:val="22"/>
          <w:szCs w:val="22"/>
          <w:highlight w:val="yellow"/>
          <w:shd w:val="clear" w:color="auto" w:fill="FFFFFF"/>
        </w:rPr>
      </w:pPr>
    </w:p>
    <w:p w14:paraId="6BE5E3FB" w14:textId="77777777" w:rsidR="00715265" w:rsidRPr="007B0554" w:rsidRDefault="00715265" w:rsidP="00715265">
      <w:pPr>
        <w:autoSpaceDE w:val="0"/>
        <w:autoSpaceDN w:val="0"/>
        <w:adjustRightInd w:val="0"/>
        <w:jc w:val="both"/>
        <w:rPr>
          <w:rFonts w:ascii="Arial" w:hAnsi="Arial" w:cs="Arial"/>
          <w:color w:val="212121"/>
          <w:sz w:val="22"/>
          <w:szCs w:val="22"/>
          <w:highlight w:val="yellow"/>
          <w:shd w:val="clear" w:color="auto" w:fill="FFFFFF"/>
        </w:rPr>
      </w:pPr>
      <w:proofErr w:type="gramStart"/>
      <w:r w:rsidRPr="007B0554">
        <w:rPr>
          <w:rFonts w:ascii="Arial" w:hAnsi="Arial" w:cs="Arial"/>
          <w:color w:val="212121"/>
          <w:sz w:val="22"/>
          <w:szCs w:val="22"/>
          <w:highlight w:val="yellow"/>
          <w:shd w:val="clear" w:color="auto" w:fill="FFFFFF"/>
        </w:rPr>
        <w:t>Additionally</w:t>
      </w:r>
      <w:proofErr w:type="gramEnd"/>
      <w:r w:rsidRPr="007B0554">
        <w:rPr>
          <w:rFonts w:ascii="Arial" w:hAnsi="Arial" w:cs="Arial"/>
          <w:color w:val="212121"/>
          <w:sz w:val="22"/>
          <w:szCs w:val="22"/>
          <w:highlight w:val="yellow"/>
          <w:shd w:val="clear" w:color="auto" w:fill="FFFFFF"/>
        </w:rPr>
        <w:t xml:space="preserve"> the main issue to consider is whether the bank’s liquidation was a ‘judicial or administrative’ proceeding subject to the control and supervision of a ‘foreign court’, so as to qualify for recognition.</w:t>
      </w:r>
    </w:p>
    <w:p w14:paraId="6D680612" w14:textId="77777777" w:rsidR="00715265" w:rsidRPr="007B0554" w:rsidRDefault="00715265" w:rsidP="00715265">
      <w:pPr>
        <w:autoSpaceDE w:val="0"/>
        <w:autoSpaceDN w:val="0"/>
        <w:adjustRightInd w:val="0"/>
        <w:jc w:val="both"/>
        <w:rPr>
          <w:rFonts w:ascii="Arial" w:hAnsi="Arial" w:cs="Arial"/>
          <w:color w:val="212121"/>
          <w:sz w:val="22"/>
          <w:szCs w:val="22"/>
          <w:highlight w:val="yellow"/>
          <w:shd w:val="clear" w:color="auto" w:fill="FFFFFF"/>
        </w:rPr>
      </w:pPr>
    </w:p>
    <w:p w14:paraId="4ABDE456" w14:textId="77777777" w:rsidR="00715265" w:rsidRPr="007B0554" w:rsidRDefault="00715265" w:rsidP="00715265">
      <w:pPr>
        <w:shd w:val="clear" w:color="auto" w:fill="FFFFFF"/>
        <w:textAlignment w:val="baseline"/>
        <w:rPr>
          <w:rFonts w:ascii="Arial" w:hAnsi="Arial" w:cs="Arial"/>
          <w:color w:val="212121"/>
          <w:sz w:val="22"/>
          <w:szCs w:val="22"/>
          <w:highlight w:val="yellow"/>
          <w:bdr w:val="none" w:sz="0" w:space="0" w:color="auto" w:frame="1"/>
        </w:rPr>
      </w:pPr>
      <w:r w:rsidRPr="007B0554">
        <w:rPr>
          <w:rFonts w:ascii="Arial" w:hAnsi="Arial" w:cs="Arial"/>
          <w:color w:val="212121"/>
          <w:sz w:val="22"/>
          <w:szCs w:val="22"/>
          <w:highlight w:val="yellow"/>
        </w:rPr>
        <w:t xml:space="preserve">The Bank herein has been liquidated per the procedure initiated by the DGF and </w:t>
      </w:r>
      <w:proofErr w:type="spellStart"/>
      <w:r w:rsidRPr="007B0554">
        <w:rPr>
          <w:rFonts w:ascii="Arial" w:hAnsi="Arial" w:cs="Arial"/>
          <w:color w:val="212121"/>
          <w:sz w:val="22"/>
          <w:szCs w:val="22"/>
          <w:highlight w:val="yellow"/>
        </w:rPr>
        <w:t>Ms</w:t>
      </w:r>
      <w:proofErr w:type="spellEnd"/>
      <w:r w:rsidRPr="007B0554">
        <w:rPr>
          <w:rFonts w:ascii="Arial" w:hAnsi="Arial" w:cs="Arial"/>
          <w:color w:val="212121"/>
          <w:sz w:val="22"/>
          <w:szCs w:val="22"/>
          <w:highlight w:val="yellow"/>
        </w:rPr>
        <w:t xml:space="preserve"> G has been duly appointed as the leading bank liquidation professional. The DGF is a governmental body in Country A and has the power to act in a bank’s interim or provisional liquidation and its ultimate liquidation. The DGF law confirms that it is an economically independent institution from the National Bank and neither the </w:t>
      </w:r>
      <w:r w:rsidRPr="00DB70AA">
        <w:rPr>
          <w:rFonts w:ascii="Arial" w:hAnsi="Arial" w:cs="Arial"/>
          <w:color w:val="212121"/>
          <w:sz w:val="22"/>
          <w:szCs w:val="22"/>
          <w:highlight w:val="yellow"/>
          <w:bdr w:val="none" w:sz="0" w:space="0" w:color="auto" w:frame="1"/>
        </w:rPr>
        <w:t>public authorities nor the National Bank had the ability to interfere in the exercise of the DGF’s functions and powers</w:t>
      </w:r>
      <w:r w:rsidRPr="007B0554">
        <w:rPr>
          <w:rFonts w:ascii="Arial" w:hAnsi="Arial" w:cs="Arial"/>
          <w:color w:val="212121"/>
          <w:sz w:val="22"/>
          <w:szCs w:val="22"/>
          <w:highlight w:val="yellow"/>
          <w:bdr w:val="none" w:sz="0" w:space="0" w:color="auto" w:frame="1"/>
        </w:rPr>
        <w:t xml:space="preserve">. Article 77 of the LBBA confirms that the DGF automatically becomes liquidator of the bank on the date it receives confirmation of the NB’s decision to revoke the bank’s </w:t>
      </w:r>
      <w:proofErr w:type="spellStart"/>
      <w:r w:rsidRPr="007B0554">
        <w:rPr>
          <w:rFonts w:ascii="Arial" w:hAnsi="Arial" w:cs="Arial"/>
          <w:color w:val="212121"/>
          <w:sz w:val="22"/>
          <w:szCs w:val="22"/>
          <w:highlight w:val="yellow"/>
          <w:bdr w:val="none" w:sz="0" w:space="0" w:color="auto" w:frame="1"/>
        </w:rPr>
        <w:t>licence</w:t>
      </w:r>
      <w:proofErr w:type="spellEnd"/>
      <w:r w:rsidRPr="007B0554">
        <w:rPr>
          <w:rFonts w:ascii="Arial" w:hAnsi="Arial" w:cs="Arial"/>
          <w:color w:val="212121"/>
          <w:sz w:val="22"/>
          <w:szCs w:val="22"/>
          <w:highlight w:val="yellow"/>
          <w:bdr w:val="none" w:sz="0" w:space="0" w:color="auto" w:frame="1"/>
        </w:rPr>
        <w:t xml:space="preserve">. Thus, the DGF appointment is not under the control of the court. However Judicial Review is an option to anyone unhappy with the actions taken by the DGF and </w:t>
      </w:r>
      <w:proofErr w:type="spellStart"/>
      <w:r w:rsidRPr="007B0554">
        <w:rPr>
          <w:rFonts w:ascii="Arial" w:hAnsi="Arial" w:cs="Arial"/>
          <w:color w:val="212121"/>
          <w:sz w:val="22"/>
          <w:szCs w:val="22"/>
          <w:highlight w:val="yellow"/>
          <w:bdr w:val="none" w:sz="0" w:space="0" w:color="auto" w:frame="1"/>
        </w:rPr>
        <w:t>Ms</w:t>
      </w:r>
      <w:proofErr w:type="spellEnd"/>
      <w:r w:rsidRPr="007B0554">
        <w:rPr>
          <w:rFonts w:ascii="Arial" w:hAnsi="Arial" w:cs="Arial"/>
          <w:color w:val="212121"/>
          <w:sz w:val="22"/>
          <w:szCs w:val="22"/>
          <w:highlight w:val="yellow"/>
          <w:bdr w:val="none" w:sz="0" w:space="0" w:color="auto" w:frame="1"/>
        </w:rPr>
        <w:t xml:space="preserve"> G. its representative.</w:t>
      </w:r>
    </w:p>
    <w:p w14:paraId="71EDA48F" w14:textId="77777777" w:rsidR="00715265" w:rsidRPr="007B0554" w:rsidRDefault="00715265" w:rsidP="00715265">
      <w:pPr>
        <w:shd w:val="clear" w:color="auto" w:fill="FFFFFF"/>
        <w:textAlignment w:val="baseline"/>
        <w:rPr>
          <w:rFonts w:ascii="Arial" w:hAnsi="Arial" w:cs="Arial"/>
          <w:color w:val="212121"/>
          <w:sz w:val="22"/>
          <w:szCs w:val="22"/>
          <w:highlight w:val="yellow"/>
          <w:bdr w:val="none" w:sz="0" w:space="0" w:color="auto" w:frame="1"/>
        </w:rPr>
      </w:pPr>
    </w:p>
    <w:p w14:paraId="44CF02AD" w14:textId="77777777" w:rsidR="00715265" w:rsidRPr="007B0554" w:rsidRDefault="00715265" w:rsidP="00715265">
      <w:pPr>
        <w:shd w:val="clear" w:color="auto" w:fill="FFFFFF"/>
        <w:jc w:val="both"/>
        <w:textAlignment w:val="baseline"/>
        <w:rPr>
          <w:rFonts w:ascii="Arial" w:hAnsi="Arial" w:cs="Arial"/>
          <w:color w:val="212121"/>
          <w:sz w:val="22"/>
          <w:szCs w:val="22"/>
          <w:highlight w:val="yellow"/>
        </w:rPr>
      </w:pPr>
      <w:r w:rsidRPr="007B0554">
        <w:rPr>
          <w:rFonts w:ascii="Arial" w:hAnsi="Arial" w:cs="Arial"/>
          <w:color w:val="212121"/>
          <w:sz w:val="22"/>
          <w:szCs w:val="22"/>
          <w:highlight w:val="yellow"/>
          <w:bdr w:val="none" w:sz="0" w:space="0" w:color="auto" w:frame="1"/>
        </w:rPr>
        <w:t xml:space="preserve">Consequently, I find that </w:t>
      </w:r>
      <w:r w:rsidRPr="00DB70AA">
        <w:rPr>
          <w:rFonts w:ascii="Arial" w:hAnsi="Arial" w:cs="Arial"/>
          <w:color w:val="212121"/>
          <w:sz w:val="22"/>
          <w:szCs w:val="22"/>
          <w:highlight w:val="yellow"/>
        </w:rPr>
        <w:t xml:space="preserve">proceedings </w:t>
      </w:r>
      <w:r w:rsidRPr="007B0554">
        <w:rPr>
          <w:rFonts w:ascii="Arial" w:hAnsi="Arial" w:cs="Arial"/>
          <w:color w:val="212121"/>
          <w:sz w:val="22"/>
          <w:szCs w:val="22"/>
          <w:highlight w:val="yellow"/>
        </w:rPr>
        <w:t xml:space="preserve">herein qualify as foreign proceedings since they are administered by the DGF and </w:t>
      </w:r>
      <w:proofErr w:type="spellStart"/>
      <w:r w:rsidRPr="007B0554">
        <w:rPr>
          <w:rFonts w:ascii="Arial" w:hAnsi="Arial" w:cs="Arial"/>
          <w:color w:val="212121"/>
          <w:sz w:val="22"/>
          <w:szCs w:val="22"/>
          <w:highlight w:val="yellow"/>
        </w:rPr>
        <w:t>Ms</w:t>
      </w:r>
      <w:proofErr w:type="spellEnd"/>
      <w:r w:rsidRPr="007B0554">
        <w:rPr>
          <w:rFonts w:ascii="Arial" w:hAnsi="Arial" w:cs="Arial"/>
          <w:color w:val="212121"/>
          <w:sz w:val="22"/>
          <w:szCs w:val="22"/>
          <w:highlight w:val="yellow"/>
        </w:rPr>
        <w:t xml:space="preserve"> G (whose appointment had to satisfy the requirement under Article 35 (1) as an authorized person.) The </w:t>
      </w:r>
      <w:r w:rsidRPr="00DB70AA">
        <w:rPr>
          <w:rFonts w:ascii="Arial" w:hAnsi="Arial" w:cs="Arial"/>
          <w:color w:val="212121"/>
          <w:sz w:val="22"/>
          <w:szCs w:val="22"/>
          <w:highlight w:val="yellow"/>
        </w:rPr>
        <w:t xml:space="preserve">administrative body </w:t>
      </w:r>
      <w:r w:rsidRPr="007B0554">
        <w:rPr>
          <w:rFonts w:ascii="Arial" w:hAnsi="Arial" w:cs="Arial"/>
          <w:color w:val="212121"/>
          <w:sz w:val="22"/>
          <w:szCs w:val="22"/>
          <w:highlight w:val="yellow"/>
        </w:rPr>
        <w:t xml:space="preserve">(DGF) and </w:t>
      </w:r>
      <w:proofErr w:type="spellStart"/>
      <w:r w:rsidRPr="007B0554">
        <w:rPr>
          <w:rFonts w:ascii="Arial" w:hAnsi="Arial" w:cs="Arial"/>
          <w:color w:val="212121"/>
          <w:sz w:val="22"/>
          <w:szCs w:val="22"/>
          <w:highlight w:val="yellow"/>
        </w:rPr>
        <w:t>Ms</w:t>
      </w:r>
      <w:proofErr w:type="spellEnd"/>
      <w:r w:rsidRPr="007B0554">
        <w:rPr>
          <w:rFonts w:ascii="Arial" w:hAnsi="Arial" w:cs="Arial"/>
          <w:color w:val="212121"/>
          <w:sz w:val="22"/>
          <w:szCs w:val="22"/>
          <w:highlight w:val="yellow"/>
        </w:rPr>
        <w:t xml:space="preserve"> G were </w:t>
      </w:r>
      <w:r w:rsidRPr="00DB70AA">
        <w:rPr>
          <w:rFonts w:ascii="Arial" w:hAnsi="Arial" w:cs="Arial"/>
          <w:color w:val="212121"/>
          <w:sz w:val="22"/>
          <w:szCs w:val="22"/>
          <w:highlight w:val="yellow"/>
        </w:rPr>
        <w:t xml:space="preserve">competent to control or supervise the proceeding. </w:t>
      </w:r>
    </w:p>
    <w:p w14:paraId="54A68315" w14:textId="77777777" w:rsidR="00715265" w:rsidRPr="007B0554" w:rsidRDefault="00715265" w:rsidP="00715265">
      <w:pPr>
        <w:shd w:val="clear" w:color="auto" w:fill="FFFFFF"/>
        <w:textAlignment w:val="baseline"/>
        <w:rPr>
          <w:rFonts w:ascii="Arial" w:hAnsi="Arial" w:cs="Arial"/>
          <w:color w:val="212121"/>
          <w:sz w:val="22"/>
          <w:szCs w:val="22"/>
          <w:highlight w:val="yellow"/>
        </w:rPr>
      </w:pPr>
    </w:p>
    <w:p w14:paraId="12FFAD79" w14:textId="77777777" w:rsidR="00715265" w:rsidRPr="007C7E8E" w:rsidRDefault="00715265" w:rsidP="00715265">
      <w:pPr>
        <w:autoSpaceDE w:val="0"/>
        <w:autoSpaceDN w:val="0"/>
        <w:adjustRightInd w:val="0"/>
        <w:jc w:val="both"/>
        <w:rPr>
          <w:rFonts w:ascii="Arial" w:eastAsiaTheme="minorHAnsi" w:hAnsi="Arial" w:cs="Arial"/>
          <w:sz w:val="22"/>
          <w:szCs w:val="22"/>
          <w14:ligatures w14:val="standardContextual"/>
        </w:rPr>
      </w:pPr>
      <w:r w:rsidRPr="007B0554">
        <w:rPr>
          <w:rFonts w:ascii="Arial" w:hAnsi="Arial" w:cs="Arial"/>
          <w:color w:val="212121"/>
          <w:sz w:val="22"/>
          <w:szCs w:val="22"/>
          <w:highlight w:val="yellow"/>
        </w:rPr>
        <w:t>Further the other elements such as proceedings i</w:t>
      </w:r>
      <w:r w:rsidRPr="007B0554">
        <w:rPr>
          <w:rFonts w:ascii="Arial" w:eastAsiaTheme="minorHAnsi" w:hAnsi="Arial" w:cs="Arial"/>
          <w:sz w:val="22"/>
          <w:szCs w:val="22"/>
          <w:highlight w:val="yellow"/>
          <w14:ligatures w14:val="standardContextual"/>
        </w:rPr>
        <w:t>n a foreign state, authorized or conducted under insolvency are satisfied per the fact given. The proceedings are collective in nature since it concerns more than one creditor and depositors of the bank and control of the bank has been taken over by the DGF. Therefore, I am of the view that the Bank’s liquidation comprises a foreign proceeding within the meaning of article 2 (a) of the MLCBI.</w:t>
      </w:r>
    </w:p>
    <w:p w14:paraId="75AEC38F" w14:textId="77777777" w:rsidR="00715265" w:rsidRPr="007C7E8E" w:rsidRDefault="00715265" w:rsidP="00715265">
      <w:pPr>
        <w:autoSpaceDE w:val="0"/>
        <w:autoSpaceDN w:val="0"/>
        <w:adjustRightInd w:val="0"/>
        <w:jc w:val="both"/>
        <w:rPr>
          <w:rFonts w:ascii="Arial" w:eastAsiaTheme="minorHAnsi" w:hAnsi="Arial" w:cs="Arial"/>
          <w:sz w:val="22"/>
          <w:szCs w:val="22"/>
          <w14:ligatures w14:val="standardContextual"/>
        </w:rPr>
      </w:pPr>
    </w:p>
    <w:p w14:paraId="4C914587" w14:textId="77777777" w:rsidR="00715265" w:rsidRPr="00DB70AA" w:rsidRDefault="00715265" w:rsidP="00715265">
      <w:pPr>
        <w:shd w:val="clear" w:color="auto" w:fill="FFFFFF"/>
        <w:jc w:val="both"/>
        <w:textAlignment w:val="baseline"/>
        <w:rPr>
          <w:rFonts w:ascii="Arial" w:hAnsi="Arial" w:cs="Arial"/>
          <w:color w:val="212121"/>
          <w:sz w:val="22"/>
          <w:szCs w:val="22"/>
        </w:rPr>
      </w:pPr>
    </w:p>
    <w:p w14:paraId="7C251A31" w14:textId="77777777" w:rsidR="00715265" w:rsidRDefault="00715265" w:rsidP="00715265">
      <w:pPr>
        <w:autoSpaceDE w:val="0"/>
        <w:autoSpaceDN w:val="0"/>
        <w:adjustRightInd w:val="0"/>
        <w:jc w:val="both"/>
        <w:rPr>
          <w:rFonts w:ascii="Arial" w:hAnsi="Arial" w:cs="Arial"/>
          <w:color w:val="212121"/>
          <w:sz w:val="22"/>
          <w:szCs w:val="22"/>
          <w:shd w:val="clear" w:color="auto" w:fill="FFFFFF"/>
        </w:rPr>
      </w:pPr>
    </w:p>
    <w:p w14:paraId="4586C14E" w14:textId="77777777" w:rsidR="00715265" w:rsidRDefault="00715265" w:rsidP="00707FC8">
      <w:pPr>
        <w:jc w:val="both"/>
        <w:rPr>
          <w:rFonts w:ascii="Avenir Next" w:hAnsi="Avenir Next" w:cs="Arial"/>
          <w:color w:val="000000" w:themeColor="text1"/>
          <w:sz w:val="22"/>
          <w:szCs w:val="22"/>
          <w:lang w:val="en-GB"/>
        </w:rPr>
      </w:pPr>
    </w:p>
    <w:p w14:paraId="46D8FBC1" w14:textId="0D3EF15C" w:rsidR="00463F5B" w:rsidRDefault="00463F5B" w:rsidP="00707FC8">
      <w:pPr>
        <w:jc w:val="both"/>
        <w:rPr>
          <w:rFonts w:ascii="Avenir Next" w:hAnsi="Avenir Next" w:cs="Arial"/>
          <w:color w:val="000000" w:themeColor="text1"/>
          <w:sz w:val="22"/>
          <w:szCs w:val="22"/>
          <w:lang w:val="en-GB"/>
        </w:rPr>
      </w:pPr>
      <w:bookmarkStart w:id="34" w:name="_Hlk128395100"/>
    </w:p>
    <w:p w14:paraId="12E43E88" w14:textId="77777777" w:rsidR="00E51E21" w:rsidRPr="00E2622D" w:rsidRDefault="00E51E21" w:rsidP="00E51E2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t xml:space="preserve">whether the Applicants fall within the description of “foreign representatives” as defined by article 2(d) of the MLCBI </w:t>
      </w:r>
      <w:r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42BE0C85" w14:textId="0FF329B4" w:rsidR="00463F5B" w:rsidRDefault="00463F5B" w:rsidP="00707FC8">
      <w:pPr>
        <w:jc w:val="both"/>
        <w:rPr>
          <w:rFonts w:ascii="Avenir Next" w:hAnsi="Avenir Next" w:cs="Arial"/>
          <w:color w:val="000000" w:themeColor="text1"/>
          <w:sz w:val="22"/>
          <w:szCs w:val="22"/>
          <w:lang w:val="en-GB"/>
        </w:rPr>
      </w:pPr>
    </w:p>
    <w:bookmarkEnd w:id="34"/>
    <w:p w14:paraId="1590D8D3" w14:textId="77777777" w:rsidR="00D45A5D" w:rsidRPr="00B40428" w:rsidRDefault="00D45A5D" w:rsidP="00D45A5D">
      <w:pPr>
        <w:pStyle w:val="NormalWeb"/>
        <w:shd w:val="clear" w:color="auto" w:fill="FFFFFF"/>
        <w:spacing w:before="0" w:beforeAutospacing="0" w:after="0" w:afterAutospacing="0"/>
        <w:textAlignment w:val="baseline"/>
        <w:rPr>
          <w:rFonts w:ascii="Arial" w:hAnsi="Arial" w:cs="Arial"/>
          <w:color w:val="212121"/>
          <w:sz w:val="22"/>
          <w:szCs w:val="22"/>
        </w:rPr>
      </w:pPr>
    </w:p>
    <w:p w14:paraId="70DADAD6" w14:textId="77777777" w:rsidR="00D45A5D" w:rsidRPr="00B40428" w:rsidRDefault="00D45A5D" w:rsidP="00D45A5D">
      <w:pPr>
        <w:autoSpaceDE w:val="0"/>
        <w:autoSpaceDN w:val="0"/>
        <w:adjustRightInd w:val="0"/>
        <w:jc w:val="both"/>
        <w:rPr>
          <w:rFonts w:ascii="Arial" w:hAnsi="Arial" w:cs="Arial"/>
          <w:sz w:val="22"/>
          <w:szCs w:val="22"/>
          <w:highlight w:val="yellow"/>
        </w:rPr>
      </w:pPr>
      <w:r w:rsidRPr="00B40428">
        <w:rPr>
          <w:rFonts w:ascii="Arial" w:hAnsi="Arial" w:cs="Arial"/>
          <w:color w:val="212121"/>
          <w:sz w:val="22"/>
          <w:szCs w:val="22"/>
          <w:highlight w:val="yellow"/>
        </w:rPr>
        <w:t xml:space="preserve">Article 2 (d) defines “foreign representatives” as </w:t>
      </w:r>
      <w:r w:rsidRPr="00B40428">
        <w:rPr>
          <w:rFonts w:ascii="Arial" w:hAnsi="Arial" w:cs="Arial"/>
          <w:sz w:val="22"/>
          <w:szCs w:val="22"/>
          <w:highlight w:val="yellow"/>
        </w:rPr>
        <w:t>a person or body, including one appointed on an interim basis authorized in a foreign proceeding to administer the reorganization or the liquidation of the debtor’s assets or affairs or to act as a representative of the foreign proceeding</w:t>
      </w:r>
      <w:r w:rsidRPr="00B40428">
        <w:rPr>
          <w:rFonts w:ascii="Arial" w:hAnsi="Arial" w:cs="Arial"/>
          <w:highlight w:val="yellow"/>
        </w:rPr>
        <w:t>.</w:t>
      </w:r>
    </w:p>
    <w:p w14:paraId="170A28D3" w14:textId="77777777" w:rsidR="00D45A5D" w:rsidRPr="00B40428" w:rsidRDefault="00D45A5D" w:rsidP="00D45A5D">
      <w:pPr>
        <w:pStyle w:val="NormalWeb"/>
        <w:shd w:val="clear" w:color="auto" w:fill="FFFFFF"/>
        <w:spacing w:before="0" w:beforeAutospacing="0" w:after="0" w:afterAutospacing="0"/>
        <w:jc w:val="both"/>
        <w:textAlignment w:val="baseline"/>
        <w:rPr>
          <w:rFonts w:ascii="Arial" w:hAnsi="Arial" w:cs="Arial"/>
          <w:color w:val="212121"/>
          <w:sz w:val="22"/>
          <w:szCs w:val="22"/>
          <w:highlight w:val="yellow"/>
        </w:rPr>
      </w:pPr>
    </w:p>
    <w:p w14:paraId="7BCCDB79" w14:textId="77777777" w:rsidR="00D45A5D" w:rsidRPr="00B40428" w:rsidRDefault="00D45A5D" w:rsidP="00D45A5D">
      <w:pPr>
        <w:pStyle w:val="NormalWeb"/>
        <w:shd w:val="clear" w:color="auto" w:fill="FFFFFF"/>
        <w:spacing w:before="0" w:beforeAutospacing="0" w:after="0" w:afterAutospacing="0"/>
        <w:jc w:val="both"/>
        <w:textAlignment w:val="baseline"/>
        <w:rPr>
          <w:rFonts w:ascii="Arial" w:hAnsi="Arial" w:cs="Arial"/>
          <w:color w:val="000000"/>
          <w:sz w:val="22"/>
          <w:szCs w:val="22"/>
          <w:highlight w:val="yellow"/>
          <w:lang w:val="en-GB" w:eastAsia="en-GB"/>
        </w:rPr>
      </w:pPr>
      <w:r w:rsidRPr="00B40428">
        <w:rPr>
          <w:rFonts w:ascii="Arial" w:hAnsi="Arial" w:cs="Arial"/>
          <w:color w:val="212121"/>
          <w:sz w:val="22"/>
          <w:szCs w:val="22"/>
          <w:highlight w:val="yellow"/>
        </w:rPr>
        <w:t xml:space="preserve">In this scenario </w:t>
      </w:r>
      <w:proofErr w:type="spellStart"/>
      <w:r w:rsidRPr="00B40428">
        <w:rPr>
          <w:rFonts w:ascii="Arial" w:hAnsi="Arial" w:cs="Arial"/>
          <w:color w:val="212121"/>
          <w:sz w:val="22"/>
          <w:szCs w:val="22"/>
          <w:highlight w:val="yellow"/>
        </w:rPr>
        <w:t>Ms</w:t>
      </w:r>
      <w:proofErr w:type="spellEnd"/>
      <w:r w:rsidRPr="00B40428">
        <w:rPr>
          <w:rFonts w:ascii="Arial" w:hAnsi="Arial" w:cs="Arial"/>
          <w:color w:val="212121"/>
          <w:sz w:val="22"/>
          <w:szCs w:val="22"/>
          <w:highlight w:val="yellow"/>
        </w:rPr>
        <w:t xml:space="preserve"> G </w:t>
      </w:r>
      <w:r w:rsidRPr="00B40428">
        <w:rPr>
          <w:rFonts w:ascii="Arial" w:hAnsi="Arial" w:cs="Arial"/>
          <w:color w:val="000000"/>
          <w:sz w:val="22"/>
          <w:szCs w:val="22"/>
          <w:highlight w:val="yellow"/>
          <w:lang w:val="en-GB" w:eastAsia="en-GB"/>
        </w:rPr>
        <w:t xml:space="preserve">appointment was pursuant to a Decision of the Executive Board of the Directors of the DGF, No 1513 (Resolution 1513). Resolution 1513 notes that Ms G is a “leading bank liquidation professional”. Under the appointment Ms G was delegated all liquidation powers in respect of the Bank set out in the DGF Law and </w:t>
      </w:r>
      <w:proofErr w:type="gramStart"/>
      <w:r w:rsidRPr="00B40428">
        <w:rPr>
          <w:rFonts w:ascii="Arial" w:hAnsi="Arial" w:cs="Arial"/>
          <w:color w:val="000000"/>
          <w:sz w:val="22"/>
          <w:szCs w:val="22"/>
          <w:highlight w:val="yellow"/>
          <w:lang w:val="en-GB" w:eastAsia="en-GB"/>
        </w:rPr>
        <w:t>in particular articles</w:t>
      </w:r>
      <w:proofErr w:type="gramEnd"/>
      <w:r w:rsidRPr="00B40428">
        <w:rPr>
          <w:rFonts w:ascii="Arial" w:hAnsi="Arial" w:cs="Arial"/>
          <w:color w:val="000000"/>
          <w:sz w:val="22"/>
          <w:szCs w:val="22"/>
          <w:highlight w:val="yellow"/>
          <w:lang w:val="en-GB" w:eastAsia="en-GB"/>
        </w:rPr>
        <w:t xml:space="preserve"> 37, 38, 47-52, 521 and 53 of the DGF Law, including the authority to sign all agreements related to the sale of the bank’s assets in the manner prescribed by the DGF Law. </w:t>
      </w:r>
    </w:p>
    <w:p w14:paraId="7D0CB354" w14:textId="77777777" w:rsidR="00D45A5D" w:rsidRPr="00B40428" w:rsidRDefault="00D45A5D" w:rsidP="00D45A5D">
      <w:pPr>
        <w:pStyle w:val="NormalWeb"/>
        <w:shd w:val="clear" w:color="auto" w:fill="FFFFFF"/>
        <w:spacing w:before="0" w:beforeAutospacing="0" w:after="0" w:afterAutospacing="0"/>
        <w:jc w:val="both"/>
        <w:textAlignment w:val="baseline"/>
        <w:rPr>
          <w:rFonts w:ascii="Arial" w:hAnsi="Arial" w:cs="Arial"/>
          <w:color w:val="000000"/>
          <w:sz w:val="22"/>
          <w:szCs w:val="22"/>
          <w:highlight w:val="yellow"/>
          <w:lang w:val="en-GB" w:eastAsia="en-GB"/>
        </w:rPr>
      </w:pPr>
    </w:p>
    <w:p w14:paraId="6B489FD0" w14:textId="77777777" w:rsidR="00D45A5D" w:rsidRPr="00B40428" w:rsidRDefault="00D45A5D" w:rsidP="00D45A5D">
      <w:pPr>
        <w:pStyle w:val="NormalWeb"/>
        <w:shd w:val="clear" w:color="auto" w:fill="FFFFFF"/>
        <w:spacing w:before="0" w:beforeAutospacing="0" w:after="0" w:afterAutospacing="0"/>
        <w:jc w:val="both"/>
        <w:textAlignment w:val="baseline"/>
        <w:rPr>
          <w:rFonts w:ascii="Arial" w:hAnsi="Arial" w:cs="Arial"/>
          <w:color w:val="000000"/>
          <w:sz w:val="22"/>
          <w:szCs w:val="22"/>
          <w:highlight w:val="yellow"/>
          <w:lang w:val="en-GB" w:eastAsia="en-GB"/>
        </w:rPr>
      </w:pPr>
      <w:r w:rsidRPr="00B40428">
        <w:rPr>
          <w:rFonts w:ascii="Arial" w:hAnsi="Arial" w:cs="Arial"/>
          <w:color w:val="000000"/>
          <w:sz w:val="22"/>
          <w:szCs w:val="22"/>
          <w:highlight w:val="yellow"/>
          <w:lang w:val="en-GB" w:eastAsia="en-GB"/>
        </w:rPr>
        <w:t xml:space="preserve">Further 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 vested in the DGF as the Bank’s formally appointed liquidator. Thus, there is a division of power and responsibility between Ms G and DGF. Also, the powers vested in either party are not joint. However, relying on </w:t>
      </w:r>
    </w:p>
    <w:p w14:paraId="5C27E9F8" w14:textId="77777777" w:rsidR="00D45A5D" w:rsidRPr="00B40428" w:rsidRDefault="00D45A5D" w:rsidP="00D45A5D">
      <w:pPr>
        <w:pStyle w:val="NormalWeb"/>
        <w:shd w:val="clear" w:color="auto" w:fill="FFFFFF"/>
        <w:spacing w:before="0" w:beforeAutospacing="0" w:after="0" w:afterAutospacing="0"/>
        <w:textAlignment w:val="baseline"/>
        <w:rPr>
          <w:rFonts w:ascii="Arial" w:hAnsi="Arial" w:cs="Arial"/>
          <w:color w:val="000000"/>
          <w:sz w:val="22"/>
          <w:szCs w:val="22"/>
          <w:highlight w:val="yellow"/>
          <w:lang w:val="en-GB" w:eastAsia="en-GB"/>
        </w:rPr>
      </w:pPr>
    </w:p>
    <w:p w14:paraId="0247AF3B" w14:textId="77777777" w:rsidR="00D45A5D" w:rsidRPr="00B40428" w:rsidRDefault="00D45A5D" w:rsidP="00D45A5D">
      <w:pPr>
        <w:autoSpaceDE w:val="0"/>
        <w:autoSpaceDN w:val="0"/>
        <w:adjustRightInd w:val="0"/>
        <w:jc w:val="both"/>
        <w:rPr>
          <w:rFonts w:ascii="Arial" w:hAnsi="Arial" w:cs="Arial"/>
          <w:sz w:val="22"/>
          <w:szCs w:val="22"/>
          <w:highlight w:val="yellow"/>
        </w:rPr>
      </w:pPr>
      <w:r w:rsidRPr="00B40428">
        <w:rPr>
          <w:rFonts w:ascii="Arial" w:hAnsi="Arial" w:cs="Arial"/>
          <w:sz w:val="22"/>
          <w:szCs w:val="22"/>
          <w:highlight w:val="yellow"/>
        </w:rPr>
        <w:t>The digest on case law</w:t>
      </w:r>
      <w:r w:rsidRPr="00B40428">
        <w:rPr>
          <w:rStyle w:val="FootnoteReference"/>
          <w:rFonts w:ascii="Arial" w:hAnsi="Arial" w:cs="Arial"/>
          <w:sz w:val="22"/>
          <w:szCs w:val="22"/>
          <w:highlight w:val="yellow"/>
        </w:rPr>
        <w:footnoteReference w:id="3"/>
      </w:r>
      <w:r w:rsidRPr="00B40428">
        <w:rPr>
          <w:rFonts w:ascii="Arial" w:hAnsi="Arial" w:cs="Arial"/>
          <w:sz w:val="22"/>
          <w:szCs w:val="22"/>
          <w:highlight w:val="yellow"/>
        </w:rPr>
        <w:t xml:space="preserve"> states that the courts have indicated that the focus is upon the authorization being provided “in the context of” or “in the course of” the proceeding, while the MLCBI does not define the words “person” or “body”, courts have found that a foreign representative might be a firm of accountants, if otherwise qualified, on the basis that a firm can constitute a “person” as required by subparagraph </w:t>
      </w:r>
      <w:r w:rsidRPr="00B40428">
        <w:rPr>
          <w:rFonts w:ascii="Arial" w:hAnsi="Arial" w:cs="Arial"/>
          <w:i/>
          <w:iCs/>
          <w:sz w:val="22"/>
          <w:szCs w:val="22"/>
          <w:highlight w:val="yellow"/>
        </w:rPr>
        <w:t>(d)</w:t>
      </w:r>
      <w:r w:rsidRPr="00B40428">
        <w:rPr>
          <w:rFonts w:ascii="Arial" w:hAnsi="Arial" w:cs="Arial"/>
          <w:sz w:val="22"/>
          <w:szCs w:val="22"/>
          <w:highlight w:val="yellow"/>
        </w:rPr>
        <w:t xml:space="preserve">,91 and a “body” has been interpreted as meaning “an artificial person created by a legal authority”. </w:t>
      </w:r>
    </w:p>
    <w:p w14:paraId="131A1FA3" w14:textId="77777777" w:rsidR="00D45A5D" w:rsidRPr="00B40428" w:rsidRDefault="00D45A5D" w:rsidP="00D45A5D">
      <w:pPr>
        <w:autoSpaceDE w:val="0"/>
        <w:autoSpaceDN w:val="0"/>
        <w:adjustRightInd w:val="0"/>
        <w:jc w:val="both"/>
        <w:rPr>
          <w:rFonts w:ascii="Arial" w:hAnsi="Arial" w:cs="Arial"/>
          <w:sz w:val="22"/>
          <w:szCs w:val="22"/>
          <w:highlight w:val="yellow"/>
        </w:rPr>
      </w:pPr>
    </w:p>
    <w:p w14:paraId="6C3C6258" w14:textId="77777777" w:rsidR="00D45A5D" w:rsidRPr="00B40428" w:rsidRDefault="00D45A5D" w:rsidP="00D45A5D">
      <w:pPr>
        <w:autoSpaceDE w:val="0"/>
        <w:autoSpaceDN w:val="0"/>
        <w:adjustRightInd w:val="0"/>
        <w:jc w:val="both"/>
        <w:rPr>
          <w:rFonts w:ascii="Arial" w:hAnsi="Arial" w:cs="Arial"/>
          <w:sz w:val="22"/>
          <w:szCs w:val="22"/>
        </w:rPr>
      </w:pPr>
      <w:r w:rsidRPr="004F75D2">
        <w:rPr>
          <w:rFonts w:ascii="Arial" w:hAnsi="Arial" w:cs="Arial"/>
          <w:sz w:val="22"/>
          <w:szCs w:val="22"/>
          <w:highlight w:val="yellow"/>
        </w:rPr>
        <w:t>I find instructive that guidance given at paragraph 86 of the Guide to the Enactment and Interpretation of the Model Law (GEI) which states “Subparagraph (d) recognizes that the foreign</w:t>
      </w:r>
      <w:r w:rsidRPr="00B40428">
        <w:rPr>
          <w:rFonts w:ascii="Arial" w:hAnsi="Arial" w:cs="Arial"/>
          <w:sz w:val="22"/>
          <w:szCs w:val="22"/>
          <w:highlight w:val="yellow"/>
        </w:rPr>
        <w:t xml:space="preserve"> representative may be a person authorized in the foreign proceedings to administer those proceedings, which would include seeking recognition, relief and cooperation in another jurisdiction, or they may simply be a person authorized specifically for the purposes of representing those proceedings. The Model Law does not specify that the foreign representative must be authorized by the court (as defined in article 2, subparagraph (e)) and the definition is thus sufficiently broad to include appointments that might be made by a special agency other than the court.” </w:t>
      </w:r>
      <w:r w:rsidRPr="00B40428">
        <w:rPr>
          <w:rFonts w:ascii="Arial" w:hAnsi="Arial" w:cs="Arial"/>
          <w:highlight w:val="yellow"/>
        </w:rPr>
        <w:t xml:space="preserve"> Thus Ms. G appointment was made by the board to the DGF would be proper and further </w:t>
      </w:r>
      <w:r w:rsidRPr="00B40428">
        <w:rPr>
          <w:rFonts w:ascii="Arial" w:hAnsi="Arial" w:cs="Arial"/>
          <w:color w:val="212121"/>
          <w:sz w:val="22"/>
          <w:szCs w:val="22"/>
          <w:highlight w:val="yellow"/>
        </w:rPr>
        <w:t xml:space="preserve">relying on the reasoning of the court in </w:t>
      </w:r>
      <w:r w:rsidRPr="00B40428">
        <w:rPr>
          <w:rFonts w:ascii="Arial" w:hAnsi="Arial" w:cs="Arial"/>
          <w:sz w:val="22"/>
          <w:szCs w:val="22"/>
          <w:highlight w:val="yellow"/>
        </w:rPr>
        <w:t>Re</w:t>
      </w:r>
      <w:r w:rsidRPr="00B40428">
        <w:rPr>
          <w:rStyle w:val="ssit"/>
          <w:rFonts w:ascii="Arial" w:hAnsi="Arial" w:cs="Arial"/>
          <w:sz w:val="22"/>
          <w:szCs w:val="22"/>
          <w:highlight w:val="yellow"/>
          <w:bdr w:val="none" w:sz="0" w:space="0" w:color="auto" w:frame="1"/>
          <w:shd w:val="clear" w:color="auto" w:fill="FFFFFF"/>
        </w:rPr>
        <w:t xml:space="preserve"> PJSC Bank Finance and </w:t>
      </w:r>
      <w:proofErr w:type="gramStart"/>
      <w:r w:rsidRPr="00B40428">
        <w:rPr>
          <w:rStyle w:val="ssit"/>
          <w:rFonts w:ascii="Arial" w:hAnsi="Arial" w:cs="Arial"/>
          <w:sz w:val="22"/>
          <w:szCs w:val="22"/>
          <w:highlight w:val="yellow"/>
          <w:bdr w:val="none" w:sz="0" w:space="0" w:color="auto" w:frame="1"/>
          <w:shd w:val="clear" w:color="auto" w:fill="FFFFFF"/>
        </w:rPr>
        <w:t>Credit</w:t>
      </w:r>
      <w:r w:rsidRPr="00B40428">
        <w:rPr>
          <w:rStyle w:val="ssit"/>
          <w:rFonts w:ascii="Arial" w:hAnsi="Arial" w:cs="Arial"/>
          <w:highlight w:val="yellow"/>
          <w:bdr w:val="none" w:sz="0" w:space="0" w:color="auto" w:frame="1"/>
          <w:shd w:val="clear" w:color="auto" w:fill="FFFFFF"/>
        </w:rPr>
        <w:t xml:space="preserve">, </w:t>
      </w:r>
      <w:r w:rsidRPr="00B40428">
        <w:rPr>
          <w:rFonts w:ascii="Arial" w:hAnsi="Arial" w:cs="Arial"/>
          <w:color w:val="212121"/>
          <w:sz w:val="22"/>
          <w:szCs w:val="22"/>
          <w:highlight w:val="yellow"/>
        </w:rPr>
        <w:t xml:space="preserve"> I</w:t>
      </w:r>
      <w:proofErr w:type="gramEnd"/>
      <w:r w:rsidRPr="00B40428">
        <w:rPr>
          <w:rFonts w:ascii="Arial" w:hAnsi="Arial" w:cs="Arial"/>
          <w:color w:val="212121"/>
          <w:sz w:val="22"/>
          <w:szCs w:val="22"/>
          <w:highlight w:val="yellow"/>
        </w:rPr>
        <w:t xml:space="preserve"> am of the view that both </w:t>
      </w:r>
      <w:proofErr w:type="spellStart"/>
      <w:r w:rsidRPr="00B40428">
        <w:rPr>
          <w:rFonts w:ascii="Arial" w:hAnsi="Arial" w:cs="Arial"/>
          <w:color w:val="212121"/>
          <w:sz w:val="22"/>
          <w:szCs w:val="22"/>
          <w:highlight w:val="yellow"/>
        </w:rPr>
        <w:t>Ms</w:t>
      </w:r>
      <w:proofErr w:type="spellEnd"/>
      <w:r w:rsidRPr="00B40428">
        <w:rPr>
          <w:rFonts w:ascii="Arial" w:hAnsi="Arial" w:cs="Arial"/>
          <w:color w:val="212121"/>
          <w:sz w:val="22"/>
          <w:szCs w:val="22"/>
          <w:highlight w:val="yellow"/>
        </w:rPr>
        <w:t xml:space="preserve"> G. and the DGF qualify as foreign representatives.</w:t>
      </w:r>
    </w:p>
    <w:p w14:paraId="6395A84D" w14:textId="77777777" w:rsidR="00D45A5D" w:rsidRPr="00B40428" w:rsidRDefault="00D45A5D" w:rsidP="00D45A5D">
      <w:pPr>
        <w:rPr>
          <w:rFonts w:ascii="Arial" w:hAnsi="Arial" w:cs="Arial"/>
          <w:sz w:val="22"/>
          <w:szCs w:val="22"/>
        </w:rPr>
      </w:pPr>
    </w:p>
    <w:p w14:paraId="3B335F76" w14:textId="77777777" w:rsidR="00463F5B" w:rsidRPr="00E2622D" w:rsidRDefault="00463F5B"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6A7D" w14:textId="77777777" w:rsidR="004827F2" w:rsidRDefault="004827F2" w:rsidP="00241B44">
      <w:r>
        <w:separator/>
      </w:r>
    </w:p>
  </w:endnote>
  <w:endnote w:type="continuationSeparator" w:id="0">
    <w:p w14:paraId="51868189" w14:textId="77777777" w:rsidR="004827F2" w:rsidRDefault="004827F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TimesLTStd-Italic">
    <w:altName w:val="Times New Roman"/>
    <w:panose1 w:val="00000000000000000000"/>
    <w:charset w:val="00"/>
    <w:family w:val="roman"/>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0F5FF529"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8216CB">
          <w:rPr>
            <w:rStyle w:val="PageNumber"/>
          </w:rPr>
          <w:fldChar w:fldCharType="separate"/>
        </w:r>
        <w:r w:rsidR="008216CB">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192A17E" w:rsidR="000300E0" w:rsidRPr="002E5532" w:rsidRDefault="002E5532" w:rsidP="002E5532">
    <w:pPr>
      <w:rPr>
        <w:rFonts w:ascii="Arial" w:hAnsi="Arial" w:cs="Arial"/>
        <w:szCs w:val="20"/>
      </w:rPr>
    </w:pPr>
    <w:r w:rsidRPr="002E5532">
      <w:rPr>
        <w:rFonts w:ascii="Arial" w:hAnsi="Arial" w:cs="Arial"/>
        <w:szCs w:val="20"/>
        <w:shd w:val="clear" w:color="auto" w:fill="FFFFFF"/>
      </w:rPr>
      <w:t>202122-643</w:t>
    </w:r>
    <w:r w:rsidR="00B46CE2" w:rsidRPr="002E5532">
      <w:rPr>
        <w:rFonts w:ascii="Arial" w:hAnsi="Arial" w:cs="Arial"/>
        <w:szCs w:val="20"/>
      </w:rPr>
      <w:t>.assessment2A</w:t>
    </w:r>
  </w:p>
  <w:sdt>
    <w:sdtPr>
      <w:rPr>
        <w:rStyle w:val="PageNumber"/>
        <w:rFonts w:ascii="Arial" w:hAnsi="Arial" w:cs="Arial"/>
        <w:szCs w:val="20"/>
      </w:rPr>
      <w:id w:val="-1213347160"/>
      <w:docPartObj>
        <w:docPartGallery w:val="Page Numbers (Bottom of Page)"/>
        <w:docPartUnique/>
      </w:docPartObj>
    </w:sdtPr>
    <w:sdtContent>
      <w:p w14:paraId="33CCA177" w14:textId="77777777" w:rsidR="00B46CE2" w:rsidRPr="002E5532" w:rsidRDefault="00B46CE2" w:rsidP="00B46CE2">
        <w:pPr>
          <w:pStyle w:val="Footer"/>
          <w:framePr w:w="1071" w:h="331" w:hRule="exact" w:wrap="none" w:vAnchor="text" w:hAnchor="page" w:x="9641" w:y="-303"/>
          <w:rPr>
            <w:rStyle w:val="PageNumber"/>
            <w:rFonts w:ascii="Arial" w:hAnsi="Arial" w:cs="Arial"/>
            <w:szCs w:val="20"/>
          </w:rPr>
        </w:pPr>
        <w:r w:rsidRPr="002E5532">
          <w:rPr>
            <w:rStyle w:val="PageNumber"/>
            <w:rFonts w:ascii="Arial" w:hAnsi="Arial" w:cs="Arial"/>
            <w:szCs w:val="20"/>
          </w:rPr>
          <w:t xml:space="preserve">Page </w:t>
        </w:r>
        <w:r w:rsidRPr="002E5532">
          <w:rPr>
            <w:rStyle w:val="PageNumber"/>
            <w:rFonts w:ascii="Arial" w:hAnsi="Arial" w:cs="Arial"/>
            <w:szCs w:val="20"/>
          </w:rPr>
          <w:fldChar w:fldCharType="begin"/>
        </w:r>
        <w:r w:rsidRPr="002E5532">
          <w:rPr>
            <w:rStyle w:val="PageNumber"/>
            <w:rFonts w:ascii="Arial" w:hAnsi="Arial" w:cs="Arial"/>
            <w:szCs w:val="20"/>
          </w:rPr>
          <w:instrText xml:space="preserve"> PAGE </w:instrText>
        </w:r>
        <w:r w:rsidRPr="002E5532">
          <w:rPr>
            <w:rStyle w:val="PageNumber"/>
            <w:rFonts w:ascii="Arial" w:hAnsi="Arial" w:cs="Arial"/>
            <w:szCs w:val="20"/>
          </w:rPr>
          <w:fldChar w:fldCharType="separate"/>
        </w:r>
        <w:r w:rsidRPr="002E5532">
          <w:rPr>
            <w:rStyle w:val="PageNumber"/>
            <w:rFonts w:ascii="Arial" w:hAnsi="Arial" w:cs="Arial"/>
            <w:noProof/>
            <w:szCs w:val="20"/>
          </w:rPr>
          <w:t>2</w:t>
        </w:r>
        <w:r w:rsidRPr="002E5532">
          <w:rPr>
            <w:rStyle w:val="PageNumber"/>
            <w:rFonts w:ascii="Arial" w:hAnsi="Arial" w:cs="Arial"/>
            <w:szCs w:val="20"/>
          </w:rPr>
          <w:fldChar w:fldCharType="end"/>
        </w:r>
      </w:p>
    </w:sdtContent>
  </w:sdt>
  <w:p w14:paraId="4C5B12BE" w14:textId="77777777" w:rsidR="00B46CE2" w:rsidRPr="002E5532" w:rsidRDefault="00B46CE2" w:rsidP="00B46CE2">
    <w:pPr>
      <w:pStyle w:val="Footer"/>
      <w:framePr w:w="1071" w:h="331" w:hRule="exact" w:wrap="none" w:vAnchor="text" w:hAnchor="page" w:x="9641" w:y="-303"/>
      <w:ind w:right="360"/>
      <w:rPr>
        <w:rStyle w:val="PageNumber"/>
        <w:rFonts w:ascii="Arial" w:hAnsi="Arial" w:cs="Arial"/>
        <w:szCs w:val="20"/>
      </w:rPr>
    </w:pPr>
  </w:p>
  <w:p w14:paraId="0F0D1FDF" w14:textId="77777777" w:rsidR="00B46CE2" w:rsidRPr="002E5532" w:rsidRDefault="00B46CE2">
    <w:pPr>
      <w:rPr>
        <w:rFonts w:ascii="Arial" w:hAnsi="Arial"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B0EB" w14:textId="77777777" w:rsidR="004827F2" w:rsidRDefault="004827F2" w:rsidP="00241B44">
      <w:r>
        <w:separator/>
      </w:r>
    </w:p>
  </w:footnote>
  <w:footnote w:type="continuationSeparator" w:id="0">
    <w:p w14:paraId="70D5B529" w14:textId="77777777" w:rsidR="004827F2" w:rsidRDefault="004827F2" w:rsidP="00241B44">
      <w:r>
        <w:continuationSeparator/>
      </w:r>
    </w:p>
  </w:footnote>
  <w:footnote w:id="1">
    <w:p w14:paraId="007DBF69" w14:textId="77777777" w:rsidR="00715265" w:rsidRPr="007C7E8E" w:rsidRDefault="00715265" w:rsidP="00715265">
      <w:pPr>
        <w:autoSpaceDE w:val="0"/>
        <w:autoSpaceDN w:val="0"/>
        <w:adjustRightInd w:val="0"/>
        <w:rPr>
          <w:rFonts w:ascii="Arial" w:eastAsiaTheme="minorHAnsi" w:hAnsi="Arial" w:cs="Arial"/>
          <w:sz w:val="18"/>
          <w:szCs w:val="18"/>
          <w14:ligatures w14:val="standardContextual"/>
        </w:rPr>
      </w:pPr>
      <w:r w:rsidRPr="007C7E8E">
        <w:rPr>
          <w:rStyle w:val="FootnoteReference"/>
          <w:rFonts w:ascii="Arial" w:hAnsi="Arial" w:cs="Arial"/>
          <w:sz w:val="18"/>
          <w:szCs w:val="18"/>
        </w:rPr>
        <w:footnoteRef/>
      </w:r>
      <w:r w:rsidRPr="007C7E8E">
        <w:rPr>
          <w:rFonts w:ascii="Arial" w:hAnsi="Arial" w:cs="Arial"/>
          <w:sz w:val="18"/>
          <w:szCs w:val="18"/>
        </w:rPr>
        <w:t xml:space="preserve"> Digest on Case law </w:t>
      </w:r>
      <w:r w:rsidRPr="007C7E8E">
        <w:rPr>
          <w:rFonts w:ascii="Arial" w:eastAsiaTheme="minorHAnsi" w:hAnsi="Arial" w:cs="Arial"/>
          <w:sz w:val="18"/>
          <w:szCs w:val="18"/>
          <w14:ligatures w14:val="standardContextual"/>
        </w:rPr>
        <w:t>on the UNCITRAL Model Law on Cross-Border Insolvency at page 17.</w:t>
      </w:r>
    </w:p>
  </w:footnote>
  <w:footnote w:id="2">
    <w:p w14:paraId="7324C3C8" w14:textId="77777777" w:rsidR="00715265" w:rsidRPr="007C7E8E" w:rsidRDefault="00715265" w:rsidP="00715265">
      <w:pPr>
        <w:pStyle w:val="FootnoteText"/>
        <w:rPr>
          <w:rFonts w:ascii="Arial" w:hAnsi="Arial" w:cs="Arial"/>
          <w:sz w:val="18"/>
          <w:szCs w:val="18"/>
        </w:rPr>
      </w:pPr>
      <w:r w:rsidRPr="007C7E8E">
        <w:rPr>
          <w:rStyle w:val="FootnoteReference"/>
          <w:rFonts w:ascii="Arial" w:hAnsi="Arial" w:cs="Arial"/>
          <w:sz w:val="18"/>
          <w:szCs w:val="18"/>
        </w:rPr>
        <w:footnoteRef/>
      </w:r>
      <w:r w:rsidRPr="007C7E8E">
        <w:rPr>
          <w:rFonts w:ascii="Arial" w:hAnsi="Arial" w:cs="Arial"/>
          <w:sz w:val="18"/>
          <w:szCs w:val="18"/>
        </w:rPr>
        <w:t xml:space="preserve"> See Re</w:t>
      </w:r>
      <w:r w:rsidRPr="007C7E8E">
        <w:rPr>
          <w:rStyle w:val="ssit"/>
          <w:rFonts w:ascii="Arial" w:hAnsi="Arial" w:cs="Arial"/>
          <w:sz w:val="18"/>
          <w:szCs w:val="18"/>
          <w:bdr w:val="none" w:sz="0" w:space="0" w:color="auto" w:frame="1"/>
          <w:shd w:val="clear" w:color="auto" w:fill="FFFFFF"/>
        </w:rPr>
        <w:t xml:space="preserve"> PJSC Bank Finance and </w:t>
      </w:r>
      <w:proofErr w:type="gramStart"/>
      <w:r w:rsidRPr="007C7E8E">
        <w:rPr>
          <w:rStyle w:val="ssit"/>
          <w:rFonts w:ascii="Arial" w:hAnsi="Arial" w:cs="Arial"/>
          <w:sz w:val="18"/>
          <w:szCs w:val="18"/>
          <w:bdr w:val="none" w:sz="0" w:space="0" w:color="auto" w:frame="1"/>
          <w:shd w:val="clear" w:color="auto" w:fill="FFFFFF"/>
        </w:rPr>
        <w:t>Credit</w:t>
      </w:r>
      <w:r w:rsidRPr="007C7E8E">
        <w:rPr>
          <w:rFonts w:ascii="Arial" w:hAnsi="Arial" w:cs="Arial"/>
          <w:sz w:val="18"/>
          <w:szCs w:val="18"/>
          <w:shd w:val="clear" w:color="auto" w:fill="FFFFFF"/>
        </w:rPr>
        <w:t> </w:t>
      </w:r>
      <w:r w:rsidRPr="007C7E8E">
        <w:rPr>
          <w:rFonts w:ascii="Arial" w:hAnsi="Arial" w:cs="Arial"/>
          <w:sz w:val="18"/>
          <w:szCs w:val="18"/>
        </w:rPr>
        <w:t>,</w:t>
      </w:r>
      <w:proofErr w:type="gramEnd"/>
      <w:r w:rsidRPr="007C7E8E">
        <w:rPr>
          <w:rFonts w:ascii="Arial" w:hAnsi="Arial" w:cs="Arial"/>
          <w:sz w:val="18"/>
          <w:szCs w:val="18"/>
        </w:rPr>
        <w:t xml:space="preserve"> </w:t>
      </w:r>
      <w:r w:rsidRPr="007C7E8E">
        <w:rPr>
          <w:rFonts w:ascii="Arial" w:hAnsi="Arial" w:cs="Arial"/>
          <w:sz w:val="18"/>
          <w:szCs w:val="18"/>
          <w:shd w:val="clear" w:color="auto" w:fill="FFFFFF"/>
        </w:rPr>
        <w:t xml:space="preserve">Lexis PSL News Analysis </w:t>
      </w:r>
      <w:r w:rsidRPr="007C7E8E">
        <w:rPr>
          <w:rStyle w:val="ssbf"/>
          <w:rFonts w:ascii="Arial" w:hAnsi="Arial" w:cs="Arial"/>
          <w:sz w:val="18"/>
          <w:szCs w:val="18"/>
          <w:bdr w:val="none" w:sz="0" w:space="0" w:color="auto" w:frame="1"/>
          <w:shd w:val="clear" w:color="auto" w:fill="FFFFFF"/>
        </w:rPr>
        <w:t>Published date:</w:t>
      </w:r>
      <w:r w:rsidRPr="007C7E8E">
        <w:rPr>
          <w:rFonts w:ascii="Arial" w:hAnsi="Arial" w:cs="Arial"/>
          <w:sz w:val="18"/>
          <w:szCs w:val="18"/>
          <w:shd w:val="clear" w:color="auto" w:fill="FFFFFF"/>
        </w:rPr>
        <w:t> 07/05/2021</w:t>
      </w:r>
    </w:p>
  </w:footnote>
  <w:footnote w:id="3">
    <w:p w14:paraId="7F66862F" w14:textId="77777777" w:rsidR="00D45A5D" w:rsidRDefault="00D45A5D" w:rsidP="00D45A5D">
      <w:pPr>
        <w:pStyle w:val="FootnoteText"/>
      </w:pPr>
      <w:r>
        <w:rPr>
          <w:rStyle w:val="FootnoteReference"/>
        </w:rPr>
        <w:footnoteRef/>
      </w:r>
      <w:r>
        <w:t xml:space="preserve"> Page 10 paragraph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62B409E"/>
    <w:multiLevelType w:val="hybridMultilevel"/>
    <w:tmpl w:val="7B90A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172866">
    <w:abstractNumId w:val="1"/>
  </w:num>
  <w:num w:numId="2" w16cid:durableId="2142261511">
    <w:abstractNumId w:val="49"/>
  </w:num>
  <w:num w:numId="3" w16cid:durableId="1626620671">
    <w:abstractNumId w:val="34"/>
  </w:num>
  <w:num w:numId="4" w16cid:durableId="509107739">
    <w:abstractNumId w:val="44"/>
  </w:num>
  <w:num w:numId="5" w16cid:durableId="1154221355">
    <w:abstractNumId w:val="6"/>
  </w:num>
  <w:num w:numId="6" w16cid:durableId="1431050870">
    <w:abstractNumId w:val="42"/>
  </w:num>
  <w:num w:numId="7" w16cid:durableId="731539097">
    <w:abstractNumId w:val="18"/>
  </w:num>
  <w:num w:numId="8" w16cid:durableId="998969302">
    <w:abstractNumId w:val="36"/>
  </w:num>
  <w:num w:numId="9" w16cid:durableId="1088379735">
    <w:abstractNumId w:val="21"/>
  </w:num>
  <w:num w:numId="10" w16cid:durableId="664750187">
    <w:abstractNumId w:val="12"/>
  </w:num>
  <w:num w:numId="11" w16cid:durableId="123040601">
    <w:abstractNumId w:val="24"/>
  </w:num>
  <w:num w:numId="12" w16cid:durableId="1957447063">
    <w:abstractNumId w:val="40"/>
  </w:num>
  <w:num w:numId="13" w16cid:durableId="420956407">
    <w:abstractNumId w:val="4"/>
  </w:num>
  <w:num w:numId="14" w16cid:durableId="1634099503">
    <w:abstractNumId w:val="31"/>
  </w:num>
  <w:num w:numId="15" w16cid:durableId="101343369">
    <w:abstractNumId w:val="13"/>
  </w:num>
  <w:num w:numId="16" w16cid:durableId="593132776">
    <w:abstractNumId w:val="14"/>
  </w:num>
  <w:num w:numId="17" w16cid:durableId="784932267">
    <w:abstractNumId w:val="26"/>
  </w:num>
  <w:num w:numId="18" w16cid:durableId="1363704161">
    <w:abstractNumId w:val="5"/>
  </w:num>
  <w:num w:numId="19" w16cid:durableId="75129347">
    <w:abstractNumId w:val="25"/>
  </w:num>
  <w:num w:numId="20" w16cid:durableId="1845392570">
    <w:abstractNumId w:val="48"/>
  </w:num>
  <w:num w:numId="21" w16cid:durableId="1823812957">
    <w:abstractNumId w:val="16"/>
  </w:num>
  <w:num w:numId="22" w16cid:durableId="974144656">
    <w:abstractNumId w:val="39"/>
  </w:num>
  <w:num w:numId="23" w16cid:durableId="1107040363">
    <w:abstractNumId w:val="46"/>
  </w:num>
  <w:num w:numId="24" w16cid:durableId="1242642412">
    <w:abstractNumId w:val="38"/>
  </w:num>
  <w:num w:numId="25" w16cid:durableId="880288769">
    <w:abstractNumId w:val="30"/>
  </w:num>
  <w:num w:numId="26" w16cid:durableId="468861434">
    <w:abstractNumId w:val="47"/>
  </w:num>
  <w:num w:numId="27" w16cid:durableId="245044502">
    <w:abstractNumId w:val="43"/>
  </w:num>
  <w:num w:numId="28" w16cid:durableId="1834448657">
    <w:abstractNumId w:val="8"/>
  </w:num>
  <w:num w:numId="29" w16cid:durableId="1736659834">
    <w:abstractNumId w:val="9"/>
  </w:num>
  <w:num w:numId="30" w16cid:durableId="100298343">
    <w:abstractNumId w:val="27"/>
  </w:num>
  <w:num w:numId="31" w16cid:durableId="1132095891">
    <w:abstractNumId w:val="2"/>
  </w:num>
  <w:num w:numId="32" w16cid:durableId="425812207">
    <w:abstractNumId w:val="29"/>
  </w:num>
  <w:num w:numId="33" w16cid:durableId="1877156197">
    <w:abstractNumId w:val="0"/>
  </w:num>
  <w:num w:numId="34" w16cid:durableId="1079448600">
    <w:abstractNumId w:val="35"/>
  </w:num>
  <w:num w:numId="35" w16cid:durableId="1904412124">
    <w:abstractNumId w:val="20"/>
  </w:num>
  <w:num w:numId="36" w16cid:durableId="1573782241">
    <w:abstractNumId w:val="37"/>
  </w:num>
  <w:num w:numId="37" w16cid:durableId="1931349656">
    <w:abstractNumId w:val="22"/>
  </w:num>
  <w:num w:numId="38" w16cid:durableId="80684007">
    <w:abstractNumId w:val="33"/>
  </w:num>
  <w:num w:numId="39" w16cid:durableId="1487742194">
    <w:abstractNumId w:val="3"/>
  </w:num>
  <w:num w:numId="40" w16cid:durableId="1503623082">
    <w:abstractNumId w:val="19"/>
  </w:num>
  <w:num w:numId="41" w16cid:durableId="1754161736">
    <w:abstractNumId w:val="41"/>
  </w:num>
  <w:num w:numId="42" w16cid:durableId="1755710121">
    <w:abstractNumId w:val="15"/>
  </w:num>
  <w:num w:numId="43" w16cid:durableId="36131222">
    <w:abstractNumId w:val="28"/>
  </w:num>
  <w:num w:numId="44" w16cid:durableId="1435512300">
    <w:abstractNumId w:val="11"/>
  </w:num>
  <w:num w:numId="45" w16cid:durableId="1504661579">
    <w:abstractNumId w:val="10"/>
  </w:num>
  <w:num w:numId="46" w16cid:durableId="297810279">
    <w:abstractNumId w:val="32"/>
  </w:num>
  <w:num w:numId="47" w16cid:durableId="1114208313">
    <w:abstractNumId w:val="17"/>
  </w:num>
  <w:num w:numId="48" w16cid:durableId="900411976">
    <w:abstractNumId w:val="7"/>
  </w:num>
  <w:num w:numId="49" w16cid:durableId="691493918">
    <w:abstractNumId w:val="45"/>
  </w:num>
  <w:num w:numId="50" w16cid:durableId="171268424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1961"/>
    <w:rsid w:val="000352C1"/>
    <w:rsid w:val="0003619C"/>
    <w:rsid w:val="00037621"/>
    <w:rsid w:val="00044D46"/>
    <w:rsid w:val="00045088"/>
    <w:rsid w:val="00045904"/>
    <w:rsid w:val="000464F7"/>
    <w:rsid w:val="00050519"/>
    <w:rsid w:val="0005141D"/>
    <w:rsid w:val="00060E02"/>
    <w:rsid w:val="00065166"/>
    <w:rsid w:val="00067A88"/>
    <w:rsid w:val="00070B92"/>
    <w:rsid w:val="00073474"/>
    <w:rsid w:val="00077D49"/>
    <w:rsid w:val="00082609"/>
    <w:rsid w:val="000851CC"/>
    <w:rsid w:val="00093BE8"/>
    <w:rsid w:val="00095DBA"/>
    <w:rsid w:val="000A68ED"/>
    <w:rsid w:val="000B4FEB"/>
    <w:rsid w:val="000B5FF1"/>
    <w:rsid w:val="000B609F"/>
    <w:rsid w:val="000C147F"/>
    <w:rsid w:val="000C6BB9"/>
    <w:rsid w:val="000D32A9"/>
    <w:rsid w:val="000D55A8"/>
    <w:rsid w:val="000E4841"/>
    <w:rsid w:val="000E6325"/>
    <w:rsid w:val="000F070B"/>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1F"/>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03"/>
    <w:rsid w:val="00190FD2"/>
    <w:rsid w:val="001966D9"/>
    <w:rsid w:val="001A24E7"/>
    <w:rsid w:val="001A2B78"/>
    <w:rsid w:val="001A7E9A"/>
    <w:rsid w:val="001B0F70"/>
    <w:rsid w:val="001B5016"/>
    <w:rsid w:val="001C45FC"/>
    <w:rsid w:val="001D02C5"/>
    <w:rsid w:val="001D4862"/>
    <w:rsid w:val="001D5894"/>
    <w:rsid w:val="001E25B9"/>
    <w:rsid w:val="001E49E0"/>
    <w:rsid w:val="001E60C3"/>
    <w:rsid w:val="001E7B5A"/>
    <w:rsid w:val="001F7412"/>
    <w:rsid w:val="00200FDD"/>
    <w:rsid w:val="00201874"/>
    <w:rsid w:val="00202133"/>
    <w:rsid w:val="0020264E"/>
    <w:rsid w:val="0020725B"/>
    <w:rsid w:val="002175BA"/>
    <w:rsid w:val="0022599E"/>
    <w:rsid w:val="00226224"/>
    <w:rsid w:val="002305E8"/>
    <w:rsid w:val="0023198D"/>
    <w:rsid w:val="0023317E"/>
    <w:rsid w:val="00234F2C"/>
    <w:rsid w:val="00240B0E"/>
    <w:rsid w:val="0024116D"/>
    <w:rsid w:val="00241B44"/>
    <w:rsid w:val="00245EFB"/>
    <w:rsid w:val="00250E19"/>
    <w:rsid w:val="00251828"/>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18EA"/>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E553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27B8B"/>
    <w:rsid w:val="00330937"/>
    <w:rsid w:val="00330F31"/>
    <w:rsid w:val="003312A4"/>
    <w:rsid w:val="0033442A"/>
    <w:rsid w:val="00334648"/>
    <w:rsid w:val="003347D4"/>
    <w:rsid w:val="0033768C"/>
    <w:rsid w:val="00337938"/>
    <w:rsid w:val="00340769"/>
    <w:rsid w:val="00341AA6"/>
    <w:rsid w:val="00342459"/>
    <w:rsid w:val="003427B9"/>
    <w:rsid w:val="00346B16"/>
    <w:rsid w:val="00351323"/>
    <w:rsid w:val="00361A0A"/>
    <w:rsid w:val="0036565C"/>
    <w:rsid w:val="0036625E"/>
    <w:rsid w:val="0036760B"/>
    <w:rsid w:val="00372523"/>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537"/>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3F5B"/>
    <w:rsid w:val="0047025B"/>
    <w:rsid w:val="0047262A"/>
    <w:rsid w:val="004827F2"/>
    <w:rsid w:val="00491675"/>
    <w:rsid w:val="00493855"/>
    <w:rsid w:val="0049508F"/>
    <w:rsid w:val="004A171E"/>
    <w:rsid w:val="004A57DD"/>
    <w:rsid w:val="004A7B51"/>
    <w:rsid w:val="004A7D71"/>
    <w:rsid w:val="004A7EF3"/>
    <w:rsid w:val="004B11FD"/>
    <w:rsid w:val="004B23A2"/>
    <w:rsid w:val="004C4E97"/>
    <w:rsid w:val="004C7326"/>
    <w:rsid w:val="004D1A5A"/>
    <w:rsid w:val="004D2FFF"/>
    <w:rsid w:val="004D3721"/>
    <w:rsid w:val="004D64F9"/>
    <w:rsid w:val="004E0549"/>
    <w:rsid w:val="004E2E92"/>
    <w:rsid w:val="004E30B0"/>
    <w:rsid w:val="004E552A"/>
    <w:rsid w:val="004E622C"/>
    <w:rsid w:val="004F5FDF"/>
    <w:rsid w:val="004F75D2"/>
    <w:rsid w:val="0050157D"/>
    <w:rsid w:val="00506803"/>
    <w:rsid w:val="0050682B"/>
    <w:rsid w:val="00507AAC"/>
    <w:rsid w:val="005177FE"/>
    <w:rsid w:val="00517EFD"/>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655"/>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7AE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15265"/>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B5036"/>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16CB"/>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D5C82"/>
    <w:rsid w:val="008E2DFA"/>
    <w:rsid w:val="008E3339"/>
    <w:rsid w:val="008E549B"/>
    <w:rsid w:val="008F18EF"/>
    <w:rsid w:val="008F20FC"/>
    <w:rsid w:val="008F2B24"/>
    <w:rsid w:val="008F5FFE"/>
    <w:rsid w:val="0090421A"/>
    <w:rsid w:val="00905A43"/>
    <w:rsid w:val="00907DC2"/>
    <w:rsid w:val="00912C79"/>
    <w:rsid w:val="009260A2"/>
    <w:rsid w:val="00927E95"/>
    <w:rsid w:val="00942123"/>
    <w:rsid w:val="00951031"/>
    <w:rsid w:val="0095207B"/>
    <w:rsid w:val="00954461"/>
    <w:rsid w:val="00955B55"/>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6DF6"/>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648E"/>
    <w:rsid w:val="00AD7BBD"/>
    <w:rsid w:val="00AE32C9"/>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2D49"/>
    <w:rsid w:val="00C23B79"/>
    <w:rsid w:val="00C33D50"/>
    <w:rsid w:val="00C35671"/>
    <w:rsid w:val="00C35B77"/>
    <w:rsid w:val="00C370D3"/>
    <w:rsid w:val="00C376EB"/>
    <w:rsid w:val="00C4003A"/>
    <w:rsid w:val="00C40E9E"/>
    <w:rsid w:val="00C46EC1"/>
    <w:rsid w:val="00C504E5"/>
    <w:rsid w:val="00C53E2C"/>
    <w:rsid w:val="00C550C8"/>
    <w:rsid w:val="00C56B61"/>
    <w:rsid w:val="00C606C3"/>
    <w:rsid w:val="00C620F4"/>
    <w:rsid w:val="00C65643"/>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9B0"/>
    <w:rsid w:val="00CF4F9D"/>
    <w:rsid w:val="00CF70DC"/>
    <w:rsid w:val="00D148DC"/>
    <w:rsid w:val="00D17FDC"/>
    <w:rsid w:val="00D444C5"/>
    <w:rsid w:val="00D45A5D"/>
    <w:rsid w:val="00D45AEA"/>
    <w:rsid w:val="00D5244F"/>
    <w:rsid w:val="00D52E4F"/>
    <w:rsid w:val="00D53BA9"/>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152B"/>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15CA7"/>
    <w:rsid w:val="00E23785"/>
    <w:rsid w:val="00E25B22"/>
    <w:rsid w:val="00E2622D"/>
    <w:rsid w:val="00E26872"/>
    <w:rsid w:val="00E26E19"/>
    <w:rsid w:val="00E27E3C"/>
    <w:rsid w:val="00E31DF3"/>
    <w:rsid w:val="00E32814"/>
    <w:rsid w:val="00E33448"/>
    <w:rsid w:val="00E33486"/>
    <w:rsid w:val="00E34181"/>
    <w:rsid w:val="00E450A4"/>
    <w:rsid w:val="00E506BE"/>
    <w:rsid w:val="00E51E21"/>
    <w:rsid w:val="00E55547"/>
    <w:rsid w:val="00E57410"/>
    <w:rsid w:val="00E6302B"/>
    <w:rsid w:val="00E6452F"/>
    <w:rsid w:val="00E64619"/>
    <w:rsid w:val="00E64F45"/>
    <w:rsid w:val="00E6742D"/>
    <w:rsid w:val="00E70E7C"/>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06621"/>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37AAC"/>
    <w:rsid w:val="00F55241"/>
    <w:rsid w:val="00F5524B"/>
    <w:rsid w:val="00F60538"/>
    <w:rsid w:val="00F61DD2"/>
    <w:rsid w:val="00F6523A"/>
    <w:rsid w:val="00F66AFF"/>
    <w:rsid w:val="00F71433"/>
    <w:rsid w:val="00F7241A"/>
    <w:rsid w:val="00F73BDC"/>
    <w:rsid w:val="00F83E76"/>
    <w:rsid w:val="00F87BEA"/>
    <w:rsid w:val="00F90A57"/>
    <w:rsid w:val="00F97C5B"/>
    <w:rsid w:val="00FA05D2"/>
    <w:rsid w:val="00FA108A"/>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Emphasis">
    <w:name w:val="Emphasis"/>
    <w:basedOn w:val="DefaultParagraphFont"/>
    <w:uiPriority w:val="20"/>
    <w:qFormat/>
    <w:rsid w:val="00517EFD"/>
    <w:rPr>
      <w:i/>
      <w:iCs/>
    </w:rPr>
  </w:style>
  <w:style w:type="paragraph" w:styleId="BodyText">
    <w:name w:val="Body Text"/>
    <w:basedOn w:val="Normal"/>
    <w:link w:val="BodyTextChar"/>
    <w:uiPriority w:val="1"/>
    <w:qFormat/>
    <w:rsid w:val="004E552A"/>
    <w:pPr>
      <w:autoSpaceDE w:val="0"/>
      <w:autoSpaceDN w:val="0"/>
      <w:adjustRightInd w:val="0"/>
      <w:ind w:left="40" w:right="117"/>
    </w:pPr>
    <w:rPr>
      <w:rFonts w:ascii="Times New Roman" w:eastAsiaTheme="minorHAnsi" w:hAnsi="Times New Roman" w:cs="Times New Roman"/>
      <w:szCs w:val="20"/>
      <w14:ligatures w14:val="standardContextual"/>
    </w:rPr>
  </w:style>
  <w:style w:type="character" w:customStyle="1" w:styleId="BodyTextChar">
    <w:name w:val="Body Text Char"/>
    <w:basedOn w:val="DefaultParagraphFont"/>
    <w:link w:val="BodyText"/>
    <w:uiPriority w:val="1"/>
    <w:rsid w:val="004E552A"/>
    <w:rPr>
      <w:rFonts w:ascii="Times New Roman" w:eastAsiaTheme="minorHAnsi" w:hAnsi="Times New Roman" w:cs="Times New Roman"/>
      <w:sz w:val="20"/>
      <w:szCs w:val="20"/>
      <w14:ligatures w14:val="standardContextual"/>
    </w:rPr>
  </w:style>
  <w:style w:type="character" w:customStyle="1" w:styleId="sssh">
    <w:name w:val="ss_sh"/>
    <w:basedOn w:val="DefaultParagraphFont"/>
    <w:rsid w:val="00715265"/>
  </w:style>
  <w:style w:type="character" w:customStyle="1" w:styleId="ssit">
    <w:name w:val="ss_it"/>
    <w:basedOn w:val="DefaultParagraphFont"/>
    <w:rsid w:val="00715265"/>
  </w:style>
  <w:style w:type="character" w:customStyle="1" w:styleId="ssbf">
    <w:name w:val="ss_bf"/>
    <w:basedOn w:val="DefaultParagraphFont"/>
    <w:rsid w:val="0071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85829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14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8322</Words>
  <Characters>47439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Stephine Narcisse</cp:lastModifiedBy>
  <cp:revision>3</cp:revision>
  <cp:lastPrinted>2019-08-27T05:42:00Z</cp:lastPrinted>
  <dcterms:created xsi:type="dcterms:W3CDTF">2023-02-27T18:10:00Z</dcterms:created>
  <dcterms:modified xsi:type="dcterms:W3CDTF">2023-02-27T18:12:00Z</dcterms:modified>
</cp:coreProperties>
</file>