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3F3340">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3F3340">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9F71F5" w:rsidRDefault="00436884" w:rsidP="003F3340">
      <w:pPr>
        <w:pStyle w:val="ListParagraph"/>
        <w:numPr>
          <w:ilvl w:val="0"/>
          <w:numId w:val="1"/>
        </w:numPr>
        <w:ind w:left="426"/>
        <w:jc w:val="both"/>
        <w:rPr>
          <w:rFonts w:ascii="Avenir Next" w:hAnsi="Avenir Next" w:cs="Arial"/>
          <w:sz w:val="22"/>
          <w:szCs w:val="22"/>
          <w:highlight w:val="yellow"/>
          <w:lang w:val="en-GB"/>
        </w:rPr>
      </w:pPr>
      <w:r w:rsidRPr="009F71F5">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3F3340">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3F3340">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3F3340">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3F3340">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200AC5" w:rsidRDefault="00436884" w:rsidP="003F3340">
      <w:pPr>
        <w:pStyle w:val="ListParagraph"/>
        <w:numPr>
          <w:ilvl w:val="0"/>
          <w:numId w:val="2"/>
        </w:numPr>
        <w:ind w:left="426"/>
        <w:jc w:val="both"/>
        <w:rPr>
          <w:rFonts w:ascii="Avenir Next" w:hAnsi="Avenir Next" w:cs="Arial"/>
          <w:sz w:val="22"/>
          <w:szCs w:val="22"/>
          <w:highlight w:val="yellow"/>
          <w:lang w:val="en-GB"/>
        </w:rPr>
      </w:pPr>
      <w:proofErr w:type="gramStart"/>
      <w:r w:rsidRPr="00200AC5">
        <w:rPr>
          <w:rFonts w:ascii="Avenir Next" w:hAnsi="Avenir Next" w:cs="Arial"/>
          <w:sz w:val="22"/>
          <w:szCs w:val="22"/>
          <w:highlight w:val="yellow"/>
          <w:lang w:val="en-GB"/>
        </w:rPr>
        <w:t>All of</w:t>
      </w:r>
      <w:proofErr w:type="gramEnd"/>
      <w:r w:rsidRPr="00200AC5">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sidRPr="00920C6B">
        <w:rPr>
          <w:rFonts w:ascii="Avenir Next" w:hAnsi="Avenir Next" w:cs="Arial"/>
          <w:sz w:val="22"/>
          <w:szCs w:val="22"/>
          <w:lang w:val="en-GB"/>
        </w:rPr>
        <w:t xml:space="preserve">challenges </w:t>
      </w:r>
      <w:r w:rsidR="00CC0EA0" w:rsidRPr="00920C6B">
        <w:rPr>
          <w:rFonts w:ascii="Avenir Next" w:hAnsi="Avenir Next" w:cs="Arial"/>
          <w:sz w:val="22"/>
          <w:szCs w:val="22"/>
          <w:lang w:val="en-GB"/>
        </w:rPr>
        <w:t>to</w:t>
      </w:r>
      <w:r w:rsidRPr="00920C6B">
        <w:rPr>
          <w:rFonts w:ascii="Avenir Next" w:hAnsi="Avenir Next" w:cs="Arial"/>
          <w:sz w:val="22"/>
          <w:szCs w:val="22"/>
          <w:lang w:val="en-GB"/>
        </w:rPr>
        <w:t xml:space="preserve"> a recognition application under the Model Law </w:t>
      </w:r>
      <w:r w:rsidRPr="00920C6B">
        <w:rPr>
          <w:rFonts w:ascii="Avenir Next Demi Bold" w:hAnsi="Avenir Next Demi Bold" w:cs="Arial"/>
          <w:b/>
          <w:bCs/>
          <w:sz w:val="22"/>
          <w:szCs w:val="22"/>
          <w:u w:val="single"/>
          <w:lang w:val="en-GB"/>
        </w:rPr>
        <w:t>is</w:t>
      </w:r>
      <w:r w:rsidRPr="00060E02">
        <w:rPr>
          <w:rFonts w:ascii="Avenir Next Demi Bold" w:hAnsi="Avenir Next Demi Bold" w:cs="Arial"/>
          <w:b/>
          <w:bCs/>
          <w:sz w:val="22"/>
          <w:szCs w:val="22"/>
          <w:u w:val="single"/>
          <w:lang w:val="en-GB"/>
        </w:rPr>
        <w:t xml:space="preserve">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3F3340">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3F3340">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2B4E93" w:rsidRDefault="00853A74" w:rsidP="003F3340">
      <w:pPr>
        <w:pStyle w:val="ListParagraph"/>
        <w:numPr>
          <w:ilvl w:val="0"/>
          <w:numId w:val="3"/>
        </w:numPr>
        <w:ind w:left="426"/>
        <w:jc w:val="both"/>
        <w:rPr>
          <w:rFonts w:ascii="Avenir Next" w:hAnsi="Avenir Next" w:cs="Arial"/>
          <w:sz w:val="22"/>
          <w:szCs w:val="22"/>
          <w:highlight w:val="yellow"/>
          <w:lang w:val="en-GB"/>
        </w:rPr>
      </w:pPr>
      <w:r w:rsidRPr="002B4E93">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3F3340">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3F3340">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rsidP="003F3340">
      <w:pPr>
        <w:pStyle w:val="ListParagraph"/>
        <w:numPr>
          <w:ilvl w:val="0"/>
          <w:numId w:val="4"/>
        </w:numPr>
        <w:ind w:left="426"/>
        <w:jc w:val="both"/>
        <w:rPr>
          <w:rFonts w:ascii="Avenir Next" w:hAnsi="Avenir Next" w:cs="Arial"/>
          <w:sz w:val="22"/>
          <w:szCs w:val="22"/>
          <w:lang w:val="en-GB"/>
        </w:rPr>
      </w:pPr>
      <w:r w:rsidRPr="005F6D0B">
        <w:rPr>
          <w:rFonts w:ascii="Avenir Next" w:hAnsi="Avenir Next" w:cs="Arial"/>
          <w:sz w:val="22"/>
          <w:szCs w:val="22"/>
          <w:highlight w:val="yellow"/>
          <w:lang w:val="en-GB"/>
        </w:rPr>
        <w:t>The public policy exception</w:t>
      </w:r>
      <w:r w:rsidRPr="00B77352">
        <w:rPr>
          <w:rFonts w:ascii="Avenir Next" w:hAnsi="Avenir Next" w:cs="Arial"/>
          <w:sz w:val="22"/>
          <w:szCs w:val="22"/>
          <w:lang w:val="en-GB"/>
        </w:rPr>
        <w:t>.</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3F3340">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3F3340">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In this scenario</w:t>
      </w:r>
      <w:r w:rsidRPr="0068547E">
        <w:rPr>
          <w:rFonts w:ascii="Avenir Next" w:hAnsi="Avenir Next" w:cs="Arial"/>
          <w:sz w:val="22"/>
          <w:szCs w:val="22"/>
          <w:lang w:val="en-GB"/>
        </w:rPr>
        <w:t xml:space="preserve">, </w:t>
      </w:r>
      <w:r w:rsidRPr="0068547E">
        <w:rPr>
          <w:rFonts w:ascii="Avenir Next Demi Bold" w:hAnsi="Avenir Next Demi Bold" w:cs="Arial"/>
          <w:b/>
          <w:bCs/>
          <w:sz w:val="22"/>
          <w:szCs w:val="22"/>
          <w:u w:val="single"/>
          <w:lang w:val="en-GB"/>
        </w:rPr>
        <w:t>which of the following statements is the most correct one</w:t>
      </w:r>
      <w:r w:rsidRPr="0068547E">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3F3340">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3F3340">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68547E" w:rsidRDefault="00C504E5" w:rsidP="003F3340">
      <w:pPr>
        <w:pStyle w:val="ListParagraph"/>
        <w:numPr>
          <w:ilvl w:val="0"/>
          <w:numId w:val="5"/>
        </w:numPr>
        <w:ind w:left="426"/>
        <w:jc w:val="both"/>
        <w:rPr>
          <w:rFonts w:ascii="Avenir Next" w:hAnsi="Avenir Next" w:cs="Arial"/>
          <w:sz w:val="22"/>
          <w:szCs w:val="22"/>
          <w:lang w:val="en-GB"/>
        </w:rPr>
      </w:pPr>
      <w:r w:rsidRPr="0068547E">
        <w:rPr>
          <w:rFonts w:ascii="Avenir Next" w:hAnsi="Avenir Next" w:cs="Arial"/>
          <w:sz w:val="22"/>
          <w:szCs w:val="22"/>
          <w:lang w:val="en-GB"/>
        </w:rPr>
        <w:t xml:space="preserve">Both the foreign main proceedings in South Africa and the foreign non-main proceedings in </w:t>
      </w:r>
      <w:r w:rsidR="004137C3" w:rsidRPr="0068547E">
        <w:rPr>
          <w:rFonts w:ascii="Avenir Next" w:hAnsi="Avenir Next" w:cs="Arial"/>
          <w:sz w:val="22"/>
          <w:szCs w:val="22"/>
          <w:lang w:val="en-GB"/>
        </w:rPr>
        <w:t xml:space="preserve">Argentina </w:t>
      </w:r>
      <w:r w:rsidRPr="0068547E">
        <w:rPr>
          <w:rFonts w:ascii="Avenir Next" w:hAnsi="Avenir Next" w:cs="Arial"/>
          <w:sz w:val="22"/>
          <w:szCs w:val="22"/>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273249" w:rsidRDefault="00C504E5" w:rsidP="003F3340">
      <w:pPr>
        <w:pStyle w:val="ListParagraph"/>
        <w:numPr>
          <w:ilvl w:val="0"/>
          <w:numId w:val="5"/>
        </w:numPr>
        <w:ind w:left="426"/>
        <w:jc w:val="both"/>
        <w:rPr>
          <w:rFonts w:ascii="Avenir Next" w:hAnsi="Avenir Next" w:cs="Arial"/>
          <w:sz w:val="22"/>
          <w:szCs w:val="22"/>
          <w:lang w:val="en-GB"/>
        </w:rPr>
      </w:pPr>
      <w:r w:rsidRPr="00273249">
        <w:rPr>
          <w:rFonts w:ascii="Avenir Next" w:hAnsi="Avenir Next" w:cs="Arial"/>
          <w:sz w:val="22"/>
          <w:szCs w:val="22"/>
          <w:lang w:val="en-GB"/>
        </w:rPr>
        <w:t xml:space="preserve">None of the statements in (a), (b) </w:t>
      </w:r>
      <w:r w:rsidR="002E00F8" w:rsidRPr="00273249">
        <w:rPr>
          <w:rFonts w:ascii="Avenir Next" w:hAnsi="Avenir Next" w:cs="Arial"/>
          <w:sz w:val="22"/>
          <w:szCs w:val="22"/>
          <w:lang w:val="en-GB"/>
        </w:rPr>
        <w:t>or</w:t>
      </w:r>
      <w:r w:rsidRPr="00273249">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w:t>
      </w:r>
      <w:r w:rsidRPr="00F34B16">
        <w:rPr>
          <w:rFonts w:ascii="Avenir Next" w:hAnsi="Avenir Next" w:cs="Arial"/>
          <w:sz w:val="22"/>
          <w:szCs w:val="22"/>
          <w:lang w:val="en-GB"/>
        </w:rPr>
        <w:t>concurrent proceedings</w:t>
      </w:r>
      <w:r w:rsidRPr="00E2622D">
        <w:rPr>
          <w:rFonts w:ascii="Avenir Next" w:hAnsi="Avenir Next" w:cs="Arial"/>
          <w:sz w:val="22"/>
          <w:szCs w:val="22"/>
          <w:lang w:val="en-GB"/>
        </w:rPr>
        <w:t xml:space="preserve">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3F3340">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3F3340">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3F3340">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8D494E" w:rsidRDefault="00B72F5F" w:rsidP="003F3340">
      <w:pPr>
        <w:pStyle w:val="ListParagraph"/>
        <w:numPr>
          <w:ilvl w:val="0"/>
          <w:numId w:val="6"/>
        </w:numPr>
        <w:ind w:left="426"/>
        <w:jc w:val="both"/>
        <w:rPr>
          <w:rFonts w:ascii="Avenir Next" w:hAnsi="Avenir Next" w:cs="Arial"/>
          <w:sz w:val="22"/>
          <w:szCs w:val="22"/>
          <w:highlight w:val="yellow"/>
          <w:lang w:val="en-GB"/>
        </w:rPr>
      </w:pPr>
      <w:r w:rsidRPr="008D494E">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8D494E">
        <w:rPr>
          <w:rFonts w:ascii="Avenir Next" w:hAnsi="Avenir Next" w:cs="Arial"/>
          <w:sz w:val="22"/>
          <w:szCs w:val="22"/>
          <w:highlight w:val="yellow"/>
          <w:lang w:val="en-GB"/>
        </w:rPr>
        <w:t>will</w:t>
      </w:r>
      <w:r w:rsidRPr="008D494E">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3F3340">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231ECC" w:rsidRDefault="00436884" w:rsidP="003F3340">
      <w:pPr>
        <w:pStyle w:val="ListParagraph"/>
        <w:numPr>
          <w:ilvl w:val="0"/>
          <w:numId w:val="7"/>
        </w:numPr>
        <w:ind w:left="426"/>
        <w:jc w:val="both"/>
        <w:rPr>
          <w:rFonts w:ascii="Avenir Next" w:hAnsi="Avenir Next" w:cs="Arial"/>
          <w:sz w:val="22"/>
          <w:szCs w:val="22"/>
          <w:highlight w:val="yellow"/>
          <w:lang w:val="en-GB"/>
        </w:rPr>
      </w:pPr>
      <w:r w:rsidRPr="00231ECC">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3F3340">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F34B16" w:rsidRDefault="00436884" w:rsidP="003F3340">
      <w:pPr>
        <w:pStyle w:val="ListParagraph"/>
        <w:numPr>
          <w:ilvl w:val="0"/>
          <w:numId w:val="7"/>
        </w:numPr>
        <w:ind w:left="426"/>
        <w:jc w:val="both"/>
        <w:rPr>
          <w:rFonts w:ascii="Avenir Next" w:hAnsi="Avenir Next" w:cs="Arial"/>
          <w:sz w:val="22"/>
          <w:szCs w:val="22"/>
          <w:lang w:val="en-GB"/>
        </w:rPr>
      </w:pPr>
      <w:proofErr w:type="gramStart"/>
      <w:r w:rsidRPr="00F34B16">
        <w:rPr>
          <w:rFonts w:ascii="Avenir Next" w:hAnsi="Avenir Next" w:cs="Arial"/>
          <w:sz w:val="22"/>
          <w:szCs w:val="22"/>
          <w:lang w:val="en-GB"/>
        </w:rPr>
        <w:t>All of</w:t>
      </w:r>
      <w:proofErr w:type="gramEnd"/>
      <w:r w:rsidRPr="00F34B16">
        <w:rPr>
          <w:rFonts w:ascii="Avenir Next" w:hAnsi="Avenir Next" w:cs="Arial"/>
          <w:sz w:val="22"/>
          <w:szCs w:val="22"/>
          <w:lang w:val="en-GB"/>
        </w:rPr>
        <w:t xml:space="preserve"> the above</w:t>
      </w:r>
      <w:r w:rsidR="00434292" w:rsidRPr="00F34B16">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3F3340">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3F3340">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3F3340">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F03BEE" w:rsidRDefault="00436884" w:rsidP="003F3340">
      <w:pPr>
        <w:pStyle w:val="ListParagraph"/>
        <w:numPr>
          <w:ilvl w:val="0"/>
          <w:numId w:val="8"/>
        </w:numPr>
        <w:ind w:left="426"/>
        <w:jc w:val="both"/>
        <w:rPr>
          <w:rFonts w:ascii="Avenir Next" w:hAnsi="Avenir Next" w:cs="Arial"/>
          <w:sz w:val="22"/>
          <w:szCs w:val="22"/>
          <w:highlight w:val="yellow"/>
          <w:lang w:val="en-GB"/>
        </w:rPr>
      </w:pPr>
      <w:proofErr w:type="gramStart"/>
      <w:r w:rsidRPr="00F03BEE">
        <w:rPr>
          <w:rFonts w:ascii="Avenir Next" w:hAnsi="Avenir Next" w:cs="Arial"/>
          <w:sz w:val="22"/>
          <w:szCs w:val="22"/>
          <w:highlight w:val="yellow"/>
          <w:lang w:val="en-GB"/>
        </w:rPr>
        <w:t>All of</w:t>
      </w:r>
      <w:proofErr w:type="gramEnd"/>
      <w:r w:rsidRPr="00F03BEE">
        <w:rPr>
          <w:rFonts w:ascii="Avenir Next" w:hAnsi="Avenir Next" w:cs="Arial"/>
          <w:sz w:val="22"/>
          <w:szCs w:val="22"/>
          <w:highlight w:val="yellow"/>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3F3340">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9656CD" w:rsidRDefault="00436884" w:rsidP="003F3340">
      <w:pPr>
        <w:pStyle w:val="ListParagraph"/>
        <w:numPr>
          <w:ilvl w:val="0"/>
          <w:numId w:val="9"/>
        </w:numPr>
        <w:ind w:left="426"/>
        <w:jc w:val="both"/>
        <w:rPr>
          <w:rFonts w:ascii="Avenir Next" w:hAnsi="Avenir Next" w:cs="Arial"/>
          <w:sz w:val="22"/>
          <w:szCs w:val="22"/>
          <w:lang w:val="en-GB"/>
        </w:rPr>
      </w:pPr>
      <w:r w:rsidRPr="009656C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9656CD" w:rsidRDefault="00436884" w:rsidP="003F3340">
      <w:pPr>
        <w:pStyle w:val="ListParagraph"/>
        <w:numPr>
          <w:ilvl w:val="0"/>
          <w:numId w:val="9"/>
        </w:numPr>
        <w:ind w:left="426"/>
        <w:jc w:val="both"/>
        <w:rPr>
          <w:rFonts w:ascii="Avenir Next" w:hAnsi="Avenir Next" w:cs="Arial"/>
          <w:sz w:val="22"/>
          <w:szCs w:val="22"/>
          <w:highlight w:val="yellow"/>
          <w:lang w:val="en-GB"/>
        </w:rPr>
      </w:pPr>
      <w:r w:rsidRPr="009656CD">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3F3340">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B77352" w:rsidRDefault="00436884" w:rsidP="003F3340">
      <w:pPr>
        <w:pStyle w:val="ListParagraph"/>
        <w:numPr>
          <w:ilvl w:val="0"/>
          <w:numId w:val="10"/>
        </w:numPr>
        <w:ind w:left="426"/>
        <w:jc w:val="both"/>
        <w:rPr>
          <w:rFonts w:ascii="Avenir Next" w:hAnsi="Avenir Next" w:cs="Arial"/>
          <w:sz w:val="22"/>
          <w:szCs w:val="22"/>
          <w:lang w:val="en-GB"/>
        </w:rPr>
      </w:pPr>
      <w:r w:rsidRPr="00B77352">
        <w:rPr>
          <w:rFonts w:ascii="Avenir Next" w:hAnsi="Avenir Next" w:cs="Arial"/>
          <w:sz w:val="22"/>
          <w:szCs w:val="22"/>
          <w:lang w:val="en-GB"/>
        </w:rPr>
        <w:t>A foreign creditor has the same rights regarding the commencement of, and participation in, a proceeding as creditors in this State</w:t>
      </w:r>
      <w:r w:rsidR="002654E8" w:rsidRPr="00B77352">
        <w:rPr>
          <w:rFonts w:ascii="Avenir Next" w:hAnsi="Avenir Next" w:cs="Arial"/>
          <w:sz w:val="22"/>
          <w:szCs w:val="22"/>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3F3340">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3F3340">
      <w:pPr>
        <w:pStyle w:val="ListParagraph"/>
        <w:numPr>
          <w:ilvl w:val="0"/>
          <w:numId w:val="10"/>
        </w:numPr>
        <w:spacing w:line="276" w:lineRule="auto"/>
        <w:ind w:left="426"/>
        <w:jc w:val="both"/>
        <w:rPr>
          <w:rFonts w:ascii="Avenir Next" w:hAnsi="Avenir Next" w:cs="Arial"/>
          <w:b/>
          <w:sz w:val="22"/>
          <w:szCs w:val="22"/>
          <w:lang w:val="en-GB"/>
        </w:rPr>
      </w:pPr>
      <w:r w:rsidRPr="00F3682B">
        <w:rPr>
          <w:rFonts w:ascii="Avenir Next" w:hAnsi="Avenir Next" w:cs="Arial"/>
          <w:sz w:val="22"/>
          <w:szCs w:val="22"/>
          <w:highlight w:val="yellow"/>
          <w:lang w:val="en-GB"/>
        </w:rPr>
        <w:t>All foreign creditors</w:t>
      </w:r>
      <w:r w:rsidR="002654E8" w:rsidRPr="00F3682B">
        <w:rPr>
          <w:rFonts w:ascii="Avenir Next" w:hAnsi="Avenir Next" w:cs="Arial"/>
          <w:sz w:val="22"/>
          <w:szCs w:val="22"/>
          <w:highlight w:val="yellow"/>
          <w:lang w:val="en-GB"/>
        </w:rPr>
        <w:t>’</w:t>
      </w:r>
      <w:r w:rsidRPr="00F3682B">
        <w:rPr>
          <w:rFonts w:ascii="Avenir Next" w:hAnsi="Avenir Next" w:cs="Arial"/>
          <w:sz w:val="22"/>
          <w:szCs w:val="22"/>
          <w:highlight w:val="yellow"/>
          <w:lang w:val="en-GB"/>
        </w:rPr>
        <w:t xml:space="preserve"> claims are</w:t>
      </w:r>
      <w:r w:rsidR="002654E8" w:rsidRPr="00F3682B">
        <w:rPr>
          <w:rFonts w:ascii="Avenir Next" w:hAnsi="Avenir Next" w:cs="Arial"/>
          <w:sz w:val="22"/>
          <w:szCs w:val="22"/>
          <w:highlight w:val="yellow"/>
          <w:lang w:val="en-GB"/>
        </w:rPr>
        <w:t>,</w:t>
      </w:r>
      <w:r w:rsidRPr="00F3682B">
        <w:rPr>
          <w:rFonts w:ascii="Avenir Next" w:hAnsi="Avenir Next" w:cs="Arial"/>
          <w:sz w:val="22"/>
          <w:szCs w:val="22"/>
          <w:highlight w:val="yellow"/>
          <w:lang w:val="en-GB"/>
        </w:rPr>
        <w:t xml:space="preserve"> as a minimum</w:t>
      </w:r>
      <w:r w:rsidR="002654E8" w:rsidRPr="00F3682B">
        <w:rPr>
          <w:rFonts w:ascii="Avenir Next" w:hAnsi="Avenir Next" w:cs="Arial"/>
          <w:sz w:val="22"/>
          <w:szCs w:val="22"/>
          <w:highlight w:val="yellow"/>
          <w:lang w:val="en-GB"/>
        </w:rPr>
        <w:t>,</w:t>
      </w:r>
      <w:r w:rsidRPr="00F3682B">
        <w:rPr>
          <w:rFonts w:ascii="Avenir Next" w:hAnsi="Avenir Next" w:cs="Arial"/>
          <w:sz w:val="22"/>
          <w:szCs w:val="22"/>
          <w:highlight w:val="yellow"/>
          <w:lang w:val="en-GB"/>
        </w:rPr>
        <w:t xml:space="preserve"> considered </w:t>
      </w:r>
      <w:r w:rsidR="002654E8" w:rsidRPr="00F3682B">
        <w:rPr>
          <w:rFonts w:ascii="Avenir Next" w:hAnsi="Avenir Next" w:cs="Arial"/>
          <w:sz w:val="22"/>
          <w:szCs w:val="22"/>
          <w:highlight w:val="yellow"/>
          <w:lang w:val="en-GB"/>
        </w:rPr>
        <w:t>to be</w:t>
      </w:r>
      <w:r w:rsidRPr="00F3682B">
        <w:rPr>
          <w:rFonts w:ascii="Avenir Next" w:hAnsi="Avenir Next" w:cs="Arial"/>
          <w:sz w:val="22"/>
          <w:szCs w:val="22"/>
          <w:highlight w:val="yellow"/>
          <w:lang w:val="en-GB"/>
        </w:rPr>
        <w:t xml:space="preserve"> unsecured</w:t>
      </w:r>
      <w:r w:rsidR="004137C3" w:rsidRPr="00F3682B">
        <w:rPr>
          <w:rFonts w:ascii="Avenir Next" w:hAnsi="Avenir Next" w:cs="Arial"/>
          <w:sz w:val="22"/>
          <w:szCs w:val="22"/>
          <w:highlight w:val="yellow"/>
          <w:lang w:val="en-GB"/>
        </w:rPr>
        <w:t xml:space="preserve"> claims</w:t>
      </w:r>
      <w:r w:rsidRPr="00F3682B">
        <w:rPr>
          <w:rFonts w:ascii="Avenir Next" w:hAnsi="Avenir Next" w:cs="Arial"/>
          <w:sz w:val="22"/>
          <w:szCs w:val="22"/>
          <w:highlight w:val="yellow"/>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3F3340">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52FBD9F6" w14:textId="77777777" w:rsidR="006D38FB" w:rsidRDefault="006D38FB" w:rsidP="00707FC8">
      <w:pPr>
        <w:jc w:val="both"/>
        <w:rPr>
          <w:rFonts w:ascii="Avenir Next Demi Bold" w:hAnsi="Avenir Next Demi Bold" w:cs="Arial"/>
          <w:b/>
          <w:bCs/>
          <w:sz w:val="22"/>
          <w:szCs w:val="22"/>
          <w:lang w:val="en-GB"/>
        </w:rPr>
      </w:pPr>
    </w:p>
    <w:p w14:paraId="4FC20A3B" w14:textId="35B3EF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494E3F99" w:rsidR="009B07AD" w:rsidRDefault="009B07AD" w:rsidP="00707FC8">
      <w:pPr>
        <w:jc w:val="both"/>
        <w:rPr>
          <w:rFonts w:ascii="Avenir Next" w:hAnsi="Avenir Next" w:cs="Arial"/>
          <w:sz w:val="22"/>
          <w:szCs w:val="22"/>
          <w:lang w:val="en-GB"/>
        </w:rPr>
      </w:pPr>
    </w:p>
    <w:p w14:paraId="75E16274" w14:textId="77777777" w:rsidR="00817F01" w:rsidRDefault="00B96DC3" w:rsidP="001F0D95">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 and foremost, MLCBI does not define the concept of COMI</w:t>
      </w:r>
      <w:r w:rsidR="00B92F7A">
        <w:rPr>
          <w:rFonts w:ascii="Avenir Next" w:hAnsi="Avenir Next" w:cs="Arial"/>
          <w:color w:val="808080" w:themeColor="background1" w:themeShade="80"/>
          <w:sz w:val="22"/>
          <w:szCs w:val="22"/>
          <w:lang w:val="en-GB"/>
        </w:rPr>
        <w:t xml:space="preserve">. </w:t>
      </w:r>
      <w:proofErr w:type="gramStart"/>
      <w:r w:rsidR="00B92F7A">
        <w:rPr>
          <w:rFonts w:ascii="Avenir Next" w:hAnsi="Avenir Next" w:cs="Arial"/>
          <w:color w:val="808080" w:themeColor="background1" w:themeShade="80"/>
          <w:sz w:val="22"/>
          <w:szCs w:val="22"/>
          <w:lang w:val="en-GB"/>
        </w:rPr>
        <w:t>H</w:t>
      </w:r>
      <w:r>
        <w:rPr>
          <w:rFonts w:ascii="Avenir Next" w:hAnsi="Avenir Next" w:cs="Arial"/>
          <w:color w:val="808080" w:themeColor="background1" w:themeShade="80"/>
          <w:sz w:val="22"/>
          <w:szCs w:val="22"/>
          <w:lang w:val="en-GB"/>
        </w:rPr>
        <w:t>owever</w:t>
      </w:r>
      <w:proofErr w:type="gramEnd"/>
      <w:r>
        <w:rPr>
          <w:rFonts w:ascii="Avenir Next" w:hAnsi="Avenir Next" w:cs="Arial"/>
          <w:color w:val="808080" w:themeColor="background1" w:themeShade="80"/>
          <w:sz w:val="22"/>
          <w:szCs w:val="22"/>
          <w:lang w:val="en-GB"/>
        </w:rPr>
        <w:t xml:space="preserve"> </w:t>
      </w:r>
      <w:r w:rsidR="00B64E64">
        <w:rPr>
          <w:rFonts w:ascii="Avenir Next" w:hAnsi="Avenir Next" w:cs="Arial"/>
          <w:color w:val="808080" w:themeColor="background1" w:themeShade="80"/>
          <w:sz w:val="22"/>
          <w:szCs w:val="22"/>
          <w:lang w:val="en-GB"/>
        </w:rPr>
        <w:t>the UNCITRAL Guide to</w:t>
      </w:r>
      <w:r w:rsidR="00AB61DC">
        <w:rPr>
          <w:rFonts w:ascii="Avenir Next" w:hAnsi="Avenir Next" w:cs="Arial"/>
          <w:color w:val="808080" w:themeColor="background1" w:themeShade="80"/>
          <w:sz w:val="22"/>
          <w:szCs w:val="22"/>
          <w:lang w:val="en-GB"/>
        </w:rPr>
        <w:t xml:space="preserve"> </w:t>
      </w:r>
      <w:r w:rsidR="00B64E64">
        <w:rPr>
          <w:rFonts w:ascii="Avenir Next" w:hAnsi="Avenir Next" w:cs="Arial"/>
          <w:color w:val="808080" w:themeColor="background1" w:themeShade="80"/>
          <w:sz w:val="22"/>
          <w:szCs w:val="22"/>
          <w:lang w:val="en-GB"/>
        </w:rPr>
        <w:t>Enactment pr</w:t>
      </w:r>
      <w:r w:rsidR="00AB61DC">
        <w:rPr>
          <w:rFonts w:ascii="Avenir Next" w:hAnsi="Avenir Next" w:cs="Arial"/>
          <w:color w:val="808080" w:themeColor="background1" w:themeShade="80"/>
          <w:sz w:val="22"/>
          <w:szCs w:val="22"/>
          <w:lang w:val="en-GB"/>
        </w:rPr>
        <w:t>ov</w:t>
      </w:r>
      <w:r w:rsidR="001F0D95">
        <w:rPr>
          <w:rFonts w:ascii="Avenir Next" w:hAnsi="Avenir Next" w:cs="Arial"/>
          <w:color w:val="808080" w:themeColor="background1" w:themeShade="80"/>
          <w:sz w:val="22"/>
          <w:szCs w:val="22"/>
          <w:lang w:val="en-GB"/>
        </w:rPr>
        <w:t xml:space="preserve">ides </w:t>
      </w:r>
      <w:r w:rsidR="00DC6D9C">
        <w:rPr>
          <w:rFonts w:ascii="Avenir Next" w:hAnsi="Avenir Next" w:cs="Arial"/>
          <w:color w:val="808080" w:themeColor="background1" w:themeShade="80"/>
          <w:sz w:val="22"/>
          <w:szCs w:val="22"/>
          <w:lang w:val="en-GB"/>
        </w:rPr>
        <w:t>guidance that is very much aligned with the European Insolvency Regulation (EIR)</w:t>
      </w:r>
      <w:r w:rsidR="009E3E07">
        <w:rPr>
          <w:rFonts w:ascii="Avenir Next" w:hAnsi="Avenir Next" w:cs="Arial"/>
          <w:color w:val="808080" w:themeColor="background1" w:themeShade="80"/>
          <w:sz w:val="22"/>
          <w:szCs w:val="22"/>
          <w:lang w:val="en-GB"/>
        </w:rPr>
        <w:t xml:space="preserve">, focusing on the location of debtor’s central administration and whether that location </w:t>
      </w:r>
      <w:r w:rsidR="007C73FD">
        <w:rPr>
          <w:rFonts w:ascii="Avenir Next" w:hAnsi="Avenir Next" w:cs="Arial"/>
          <w:color w:val="808080" w:themeColor="background1" w:themeShade="80"/>
          <w:sz w:val="22"/>
          <w:szCs w:val="22"/>
          <w:lang w:val="en-GB"/>
        </w:rPr>
        <w:t xml:space="preserve">can be easily pinpointed by the creditors. </w:t>
      </w:r>
      <w:proofErr w:type="gramStart"/>
      <w:r w:rsidR="00196412">
        <w:rPr>
          <w:rFonts w:ascii="Avenir Next" w:hAnsi="Avenir Next" w:cs="Arial"/>
          <w:color w:val="808080" w:themeColor="background1" w:themeShade="80"/>
          <w:sz w:val="22"/>
          <w:szCs w:val="22"/>
          <w:lang w:val="en-GB"/>
        </w:rPr>
        <w:t>Both of these</w:t>
      </w:r>
      <w:proofErr w:type="gramEnd"/>
      <w:r w:rsidR="00196412">
        <w:rPr>
          <w:rFonts w:ascii="Avenir Next" w:hAnsi="Avenir Next" w:cs="Arial"/>
          <w:color w:val="808080" w:themeColor="background1" w:themeShade="80"/>
          <w:sz w:val="22"/>
          <w:szCs w:val="22"/>
          <w:lang w:val="en-GB"/>
        </w:rPr>
        <w:t xml:space="preserve"> criteria need to be addressed</w:t>
      </w:r>
      <w:r w:rsidR="00D24816">
        <w:rPr>
          <w:rFonts w:ascii="Avenir Next" w:hAnsi="Avenir Next" w:cs="Arial"/>
          <w:color w:val="808080" w:themeColor="background1" w:themeShade="80"/>
          <w:sz w:val="22"/>
          <w:szCs w:val="22"/>
          <w:lang w:val="en-GB"/>
        </w:rPr>
        <w:t xml:space="preserve"> </w:t>
      </w:r>
      <w:r w:rsidR="00196412">
        <w:rPr>
          <w:rFonts w:ascii="Avenir Next" w:hAnsi="Avenir Next" w:cs="Arial"/>
          <w:color w:val="808080" w:themeColor="background1" w:themeShade="80"/>
          <w:sz w:val="22"/>
          <w:szCs w:val="22"/>
          <w:lang w:val="en-GB"/>
        </w:rPr>
        <w:t>by the court</w:t>
      </w:r>
      <w:r w:rsidR="00D24816">
        <w:rPr>
          <w:rFonts w:ascii="Avenir Next" w:hAnsi="Avenir Next" w:cs="Arial"/>
          <w:color w:val="808080" w:themeColor="background1" w:themeShade="80"/>
          <w:sz w:val="22"/>
          <w:szCs w:val="22"/>
          <w:lang w:val="en-GB"/>
        </w:rPr>
        <w:t xml:space="preserve">, although the court has </w:t>
      </w:r>
      <w:r w:rsidR="00906920">
        <w:rPr>
          <w:rFonts w:ascii="Avenir Next" w:hAnsi="Avenir Next" w:cs="Arial"/>
          <w:color w:val="808080" w:themeColor="background1" w:themeShade="80"/>
          <w:sz w:val="22"/>
          <w:szCs w:val="22"/>
          <w:lang w:val="en-GB"/>
        </w:rPr>
        <w:t xml:space="preserve">(depending on the circumstances of a particular case) the </w:t>
      </w:r>
      <w:r w:rsidR="00D24816">
        <w:rPr>
          <w:rFonts w:ascii="Avenir Next" w:hAnsi="Avenir Next" w:cs="Arial"/>
          <w:color w:val="808080" w:themeColor="background1" w:themeShade="80"/>
          <w:sz w:val="22"/>
          <w:szCs w:val="22"/>
          <w:lang w:val="en-GB"/>
        </w:rPr>
        <w:t xml:space="preserve">freedom to weigh the </w:t>
      </w:r>
      <w:r w:rsidR="005F3EE0">
        <w:rPr>
          <w:rFonts w:ascii="Avenir Next" w:hAnsi="Avenir Next" w:cs="Arial"/>
          <w:color w:val="808080" w:themeColor="background1" w:themeShade="80"/>
          <w:sz w:val="22"/>
          <w:szCs w:val="22"/>
          <w:lang w:val="en-GB"/>
        </w:rPr>
        <w:t xml:space="preserve">relative </w:t>
      </w:r>
      <w:r w:rsidR="00D24816">
        <w:rPr>
          <w:rFonts w:ascii="Avenir Next" w:hAnsi="Avenir Next" w:cs="Arial"/>
          <w:color w:val="808080" w:themeColor="background1" w:themeShade="80"/>
          <w:sz w:val="22"/>
          <w:szCs w:val="22"/>
          <w:lang w:val="en-GB"/>
        </w:rPr>
        <w:t>importance of each factor in</w:t>
      </w:r>
      <w:r w:rsidR="009228BA">
        <w:rPr>
          <w:rFonts w:ascii="Avenir Next" w:hAnsi="Avenir Next" w:cs="Arial"/>
          <w:color w:val="808080" w:themeColor="background1" w:themeShade="80"/>
          <w:sz w:val="22"/>
          <w:szCs w:val="22"/>
          <w:lang w:val="en-GB"/>
        </w:rPr>
        <w:t xml:space="preserve"> its decision making</w:t>
      </w:r>
      <w:r w:rsidR="005F3EE0">
        <w:rPr>
          <w:rFonts w:ascii="Avenir Next" w:hAnsi="Avenir Next" w:cs="Arial"/>
          <w:color w:val="808080" w:themeColor="background1" w:themeShade="80"/>
          <w:sz w:val="22"/>
          <w:szCs w:val="22"/>
          <w:lang w:val="en-GB"/>
        </w:rPr>
        <w:t>.</w:t>
      </w:r>
      <w:r w:rsidR="009228BA">
        <w:rPr>
          <w:rFonts w:ascii="Avenir Next" w:hAnsi="Avenir Next" w:cs="Arial"/>
          <w:color w:val="808080" w:themeColor="background1" w:themeShade="80"/>
          <w:sz w:val="22"/>
          <w:szCs w:val="22"/>
          <w:lang w:val="en-GB"/>
        </w:rPr>
        <w:t xml:space="preserve"> </w:t>
      </w:r>
    </w:p>
    <w:p w14:paraId="09308286" w14:textId="77777777" w:rsidR="00817F01" w:rsidRDefault="00817F01" w:rsidP="001F0D95">
      <w:pPr>
        <w:rPr>
          <w:rFonts w:ascii="Avenir Next" w:hAnsi="Avenir Next" w:cs="Arial"/>
          <w:color w:val="808080" w:themeColor="background1" w:themeShade="80"/>
          <w:sz w:val="22"/>
          <w:szCs w:val="22"/>
          <w:lang w:val="en-GB"/>
        </w:rPr>
      </w:pPr>
    </w:p>
    <w:p w14:paraId="5CE27F49" w14:textId="628AFD9E" w:rsidR="00196412" w:rsidRDefault="005F3EE0" w:rsidP="001F0D95">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196412">
        <w:rPr>
          <w:rFonts w:ascii="Avenir Next" w:hAnsi="Avenir Next" w:cs="Arial"/>
          <w:color w:val="808080" w:themeColor="background1" w:themeShade="80"/>
          <w:sz w:val="22"/>
          <w:szCs w:val="22"/>
          <w:lang w:val="en-GB"/>
        </w:rPr>
        <w:t>n addition</w:t>
      </w:r>
      <w:r>
        <w:rPr>
          <w:rFonts w:ascii="Avenir Next" w:hAnsi="Avenir Next" w:cs="Arial"/>
          <w:color w:val="808080" w:themeColor="background1" w:themeShade="80"/>
          <w:sz w:val="22"/>
          <w:szCs w:val="22"/>
          <w:lang w:val="en-GB"/>
        </w:rPr>
        <w:t xml:space="preserve">, court could also opt to </w:t>
      </w:r>
      <w:r w:rsidR="002C2F8A">
        <w:rPr>
          <w:rFonts w:ascii="Avenir Next" w:hAnsi="Avenir Next" w:cs="Arial"/>
          <w:color w:val="808080" w:themeColor="background1" w:themeShade="80"/>
          <w:sz w:val="22"/>
          <w:szCs w:val="22"/>
          <w:lang w:val="en-GB"/>
        </w:rPr>
        <w:t xml:space="preserve">rely on </w:t>
      </w:r>
      <w:r w:rsidR="00A16030">
        <w:rPr>
          <w:rFonts w:ascii="Avenir Next" w:hAnsi="Avenir Next" w:cs="Arial"/>
          <w:color w:val="808080" w:themeColor="background1" w:themeShade="80"/>
          <w:sz w:val="22"/>
          <w:szCs w:val="22"/>
          <w:lang w:val="en-GB"/>
        </w:rPr>
        <w:t xml:space="preserve">other relevant factors to come up with its ruling on a debtor’s COMI, including the location </w:t>
      </w:r>
      <w:r w:rsidR="007E4895">
        <w:rPr>
          <w:rFonts w:ascii="Avenir Next" w:hAnsi="Avenir Next" w:cs="Arial"/>
          <w:color w:val="808080" w:themeColor="background1" w:themeShade="80"/>
          <w:sz w:val="22"/>
          <w:szCs w:val="22"/>
          <w:lang w:val="en-GB"/>
        </w:rPr>
        <w:t xml:space="preserve">of employees, the jurisdiction of law applicable to most disputes, amongst others. </w:t>
      </w:r>
      <w:r w:rsidR="004D0E15">
        <w:rPr>
          <w:rFonts w:ascii="Avenir Next" w:hAnsi="Avenir Next" w:cs="Arial"/>
          <w:color w:val="808080" w:themeColor="background1" w:themeShade="80"/>
          <w:sz w:val="22"/>
          <w:szCs w:val="22"/>
          <w:lang w:val="en-GB"/>
        </w:rPr>
        <w:t xml:space="preserve">This would suggest that </w:t>
      </w:r>
      <w:r w:rsidR="00B5189D">
        <w:rPr>
          <w:rFonts w:ascii="Avenir Next" w:hAnsi="Avenir Next" w:cs="Arial"/>
          <w:color w:val="808080" w:themeColor="background1" w:themeShade="80"/>
          <w:sz w:val="22"/>
          <w:szCs w:val="22"/>
          <w:lang w:val="en-GB"/>
        </w:rPr>
        <w:t>the debtor has some optionality when it comes to choosing its COMI (aka “forum shopping”) to generate an outcome that may not be entirely favourable to creditors.</w:t>
      </w:r>
    </w:p>
    <w:p w14:paraId="52713A99" w14:textId="5CE1DD17" w:rsidR="00B5189D" w:rsidRDefault="00B5189D" w:rsidP="001F0D95">
      <w:pPr>
        <w:rPr>
          <w:rFonts w:ascii="Avenir Next" w:hAnsi="Avenir Next" w:cs="Arial"/>
          <w:color w:val="808080" w:themeColor="background1" w:themeShade="80"/>
          <w:sz w:val="22"/>
          <w:szCs w:val="22"/>
          <w:lang w:val="en-GB"/>
        </w:rPr>
      </w:pPr>
    </w:p>
    <w:p w14:paraId="5FEBAF91" w14:textId="3C550D49" w:rsidR="00B5189D" w:rsidRDefault="00B5189D" w:rsidP="001F0D95">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limit the impact of potential “forum shopping”</w:t>
      </w:r>
      <w:r w:rsidR="00FE78A1">
        <w:rPr>
          <w:rFonts w:ascii="Avenir Next" w:hAnsi="Avenir Next" w:cs="Arial"/>
          <w:color w:val="808080" w:themeColor="background1" w:themeShade="80"/>
          <w:sz w:val="22"/>
          <w:szCs w:val="22"/>
          <w:lang w:val="en-GB"/>
        </w:rPr>
        <w:t xml:space="preserve"> MLCBI </w:t>
      </w:r>
      <w:r w:rsidR="004E4141">
        <w:rPr>
          <w:rFonts w:ascii="Avenir Next" w:hAnsi="Avenir Next" w:cs="Arial"/>
          <w:color w:val="808080" w:themeColor="background1" w:themeShade="80"/>
          <w:sz w:val="22"/>
          <w:szCs w:val="22"/>
          <w:lang w:val="en-GB"/>
        </w:rPr>
        <w:t>has narrowed down</w:t>
      </w:r>
      <w:r w:rsidR="00FE78A1">
        <w:rPr>
          <w:rFonts w:ascii="Avenir Next" w:hAnsi="Avenir Next" w:cs="Arial"/>
          <w:color w:val="808080" w:themeColor="background1" w:themeShade="80"/>
          <w:sz w:val="22"/>
          <w:szCs w:val="22"/>
          <w:lang w:val="en-GB"/>
        </w:rPr>
        <w:t xml:space="preserve"> the </w:t>
      </w:r>
      <w:proofErr w:type="gramStart"/>
      <w:r w:rsidR="00FE78A1">
        <w:rPr>
          <w:rFonts w:ascii="Avenir Next" w:hAnsi="Avenir Next" w:cs="Arial"/>
          <w:color w:val="808080" w:themeColor="background1" w:themeShade="80"/>
          <w:sz w:val="22"/>
          <w:szCs w:val="22"/>
          <w:lang w:val="en-GB"/>
        </w:rPr>
        <w:t>time period</w:t>
      </w:r>
      <w:proofErr w:type="gramEnd"/>
      <w:r w:rsidR="00FE78A1">
        <w:rPr>
          <w:rFonts w:ascii="Avenir Next" w:hAnsi="Avenir Next" w:cs="Arial"/>
          <w:color w:val="808080" w:themeColor="background1" w:themeShade="80"/>
          <w:sz w:val="22"/>
          <w:szCs w:val="22"/>
          <w:lang w:val="en-GB"/>
        </w:rPr>
        <w:t xml:space="preserve"> for the identification of COMI</w:t>
      </w:r>
      <w:r w:rsidR="004E4141">
        <w:rPr>
          <w:rFonts w:ascii="Avenir Next" w:hAnsi="Avenir Next" w:cs="Arial"/>
          <w:color w:val="808080" w:themeColor="background1" w:themeShade="80"/>
          <w:sz w:val="22"/>
          <w:szCs w:val="22"/>
          <w:lang w:val="en-GB"/>
        </w:rPr>
        <w:t xml:space="preserve"> (or the debtor’s establishment) to the date of commencement of the foreign proceedings. </w:t>
      </w:r>
      <w:r w:rsidR="009372CD">
        <w:rPr>
          <w:rFonts w:ascii="Avenir Next" w:hAnsi="Avenir Next" w:cs="Arial"/>
          <w:color w:val="808080" w:themeColor="background1" w:themeShade="80"/>
          <w:sz w:val="22"/>
          <w:szCs w:val="22"/>
          <w:lang w:val="en-GB"/>
        </w:rPr>
        <w:t>Naturally</w:t>
      </w:r>
      <w:r w:rsidR="007E68AE">
        <w:rPr>
          <w:rFonts w:ascii="Avenir Next" w:hAnsi="Avenir Next" w:cs="Arial"/>
          <w:color w:val="808080" w:themeColor="background1" w:themeShade="80"/>
          <w:sz w:val="22"/>
          <w:szCs w:val="22"/>
          <w:lang w:val="en-GB"/>
        </w:rPr>
        <w:t xml:space="preserve">, some </w:t>
      </w:r>
      <w:r w:rsidR="008273F1">
        <w:rPr>
          <w:rFonts w:ascii="Avenir Next" w:hAnsi="Avenir Next" w:cs="Arial"/>
          <w:color w:val="808080" w:themeColor="background1" w:themeShade="80"/>
          <w:sz w:val="22"/>
          <w:szCs w:val="22"/>
          <w:lang w:val="en-GB"/>
        </w:rPr>
        <w:t xml:space="preserve">debtors may try to manipulate this definition by moving its </w:t>
      </w:r>
      <w:r w:rsidR="00AC58EE">
        <w:rPr>
          <w:rFonts w:ascii="Avenir Next" w:hAnsi="Avenir Next" w:cs="Arial"/>
          <w:color w:val="808080" w:themeColor="background1" w:themeShade="80"/>
          <w:sz w:val="22"/>
          <w:szCs w:val="22"/>
          <w:lang w:val="en-GB"/>
        </w:rPr>
        <w:t>aspect</w:t>
      </w:r>
      <w:r w:rsidR="00532A2C">
        <w:rPr>
          <w:rFonts w:ascii="Avenir Next" w:hAnsi="Avenir Next" w:cs="Arial"/>
          <w:color w:val="808080" w:themeColor="background1" w:themeShade="80"/>
          <w:sz w:val="22"/>
          <w:szCs w:val="22"/>
          <w:lang w:val="en-GB"/>
        </w:rPr>
        <w:t xml:space="preserve">s of </w:t>
      </w:r>
      <w:r w:rsidR="008273F1">
        <w:rPr>
          <w:rFonts w:ascii="Avenir Next" w:hAnsi="Avenir Next" w:cs="Arial"/>
          <w:color w:val="808080" w:themeColor="background1" w:themeShade="80"/>
          <w:sz w:val="22"/>
          <w:szCs w:val="22"/>
          <w:lang w:val="en-GB"/>
        </w:rPr>
        <w:t>COMI just prior to the initiation of foreign proceedings</w:t>
      </w:r>
      <w:r w:rsidR="0021753C">
        <w:rPr>
          <w:rFonts w:ascii="Avenir Next" w:hAnsi="Avenir Next" w:cs="Arial"/>
          <w:color w:val="808080" w:themeColor="background1" w:themeShade="80"/>
          <w:sz w:val="22"/>
          <w:szCs w:val="22"/>
          <w:lang w:val="en-GB"/>
        </w:rPr>
        <w:t>. H</w:t>
      </w:r>
      <w:r w:rsidR="00532A2C">
        <w:rPr>
          <w:rFonts w:ascii="Avenir Next" w:hAnsi="Avenir Next" w:cs="Arial"/>
          <w:color w:val="808080" w:themeColor="background1" w:themeShade="80"/>
          <w:sz w:val="22"/>
          <w:szCs w:val="22"/>
          <w:lang w:val="en-GB"/>
        </w:rPr>
        <w:t>owever</w:t>
      </w:r>
      <w:r w:rsidR="0021753C">
        <w:rPr>
          <w:rFonts w:ascii="Avenir Next" w:hAnsi="Avenir Next" w:cs="Arial"/>
          <w:color w:val="808080" w:themeColor="background1" w:themeShade="80"/>
          <w:sz w:val="22"/>
          <w:szCs w:val="22"/>
          <w:lang w:val="en-GB"/>
        </w:rPr>
        <w:t>,</w:t>
      </w:r>
      <w:r w:rsidR="00532A2C">
        <w:rPr>
          <w:rFonts w:ascii="Avenir Next" w:hAnsi="Avenir Next" w:cs="Arial"/>
          <w:color w:val="808080" w:themeColor="background1" w:themeShade="80"/>
          <w:sz w:val="22"/>
          <w:szCs w:val="22"/>
          <w:lang w:val="en-GB"/>
        </w:rPr>
        <w:t xml:space="preserve"> this is likely to fail the second prong of the test in that creditors are unlikely </w:t>
      </w:r>
      <w:r w:rsidR="00817F01">
        <w:rPr>
          <w:rFonts w:ascii="Avenir Next" w:hAnsi="Avenir Next" w:cs="Arial"/>
          <w:color w:val="808080" w:themeColor="background1" w:themeShade="80"/>
          <w:sz w:val="22"/>
          <w:szCs w:val="22"/>
          <w:lang w:val="en-GB"/>
        </w:rPr>
        <w:t xml:space="preserve">to </w:t>
      </w:r>
      <w:r w:rsidR="003E33BC">
        <w:rPr>
          <w:rFonts w:ascii="Avenir Next" w:hAnsi="Avenir Next" w:cs="Arial"/>
          <w:color w:val="808080" w:themeColor="background1" w:themeShade="80"/>
          <w:sz w:val="22"/>
          <w:szCs w:val="22"/>
          <w:lang w:val="en-GB"/>
        </w:rPr>
        <w:t xml:space="preserve">associate the </w:t>
      </w:r>
      <w:r w:rsidR="00DE1A30">
        <w:rPr>
          <w:rFonts w:ascii="Avenir Next" w:hAnsi="Avenir Next" w:cs="Arial"/>
          <w:color w:val="808080" w:themeColor="background1" w:themeShade="80"/>
          <w:sz w:val="22"/>
          <w:szCs w:val="22"/>
          <w:lang w:val="en-GB"/>
        </w:rPr>
        <w:t xml:space="preserve">new COMI with </w:t>
      </w:r>
      <w:r w:rsidR="0021753C">
        <w:rPr>
          <w:rFonts w:ascii="Avenir Next" w:hAnsi="Avenir Next" w:cs="Arial"/>
          <w:color w:val="808080" w:themeColor="background1" w:themeShade="80"/>
          <w:sz w:val="22"/>
          <w:szCs w:val="22"/>
          <w:lang w:val="en-GB"/>
        </w:rPr>
        <w:t>the debtor.</w:t>
      </w:r>
    </w:p>
    <w:p w14:paraId="25EB86F5" w14:textId="57A52BE3" w:rsidR="0021753C" w:rsidRDefault="0021753C" w:rsidP="001F0D95">
      <w:pPr>
        <w:rPr>
          <w:rFonts w:ascii="Avenir Next" w:hAnsi="Avenir Next" w:cs="Arial"/>
          <w:color w:val="808080" w:themeColor="background1" w:themeShade="80"/>
          <w:sz w:val="22"/>
          <w:szCs w:val="22"/>
          <w:lang w:val="en-GB"/>
        </w:rPr>
      </w:pPr>
    </w:p>
    <w:p w14:paraId="63649C4C" w14:textId="0B7F4FAE" w:rsidR="00196412" w:rsidRDefault="0021753C" w:rsidP="001F0D95">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Nevertheless, there is some debate around whether COMI definition should be relaxed in order to </w:t>
      </w:r>
      <w:r w:rsidR="004C59B9">
        <w:rPr>
          <w:rFonts w:ascii="Avenir Next" w:hAnsi="Avenir Next" w:cs="Arial"/>
          <w:color w:val="808080" w:themeColor="background1" w:themeShade="80"/>
          <w:sz w:val="22"/>
          <w:szCs w:val="22"/>
          <w:lang w:val="en-GB"/>
        </w:rPr>
        <w:t xml:space="preserve">achieve more optimal recoveries for creditors, especially </w:t>
      </w:r>
      <w:r w:rsidR="00344DFE">
        <w:rPr>
          <w:rFonts w:ascii="Avenir Next" w:hAnsi="Avenir Next" w:cs="Arial"/>
          <w:color w:val="808080" w:themeColor="background1" w:themeShade="80"/>
          <w:sz w:val="22"/>
          <w:szCs w:val="22"/>
          <w:lang w:val="en-GB"/>
        </w:rPr>
        <w:t>in situations where the</w:t>
      </w:r>
      <w:r w:rsidR="004C59B9">
        <w:rPr>
          <w:rFonts w:ascii="Avenir Next" w:hAnsi="Avenir Next" w:cs="Arial"/>
          <w:color w:val="808080" w:themeColor="background1" w:themeShade="80"/>
          <w:sz w:val="22"/>
          <w:szCs w:val="22"/>
          <w:lang w:val="en-GB"/>
        </w:rPr>
        <w:t xml:space="preserve"> debtor</w:t>
      </w:r>
      <w:r w:rsidR="00344DFE">
        <w:rPr>
          <w:rFonts w:ascii="Avenir Next" w:hAnsi="Avenir Next" w:cs="Arial"/>
          <w:color w:val="808080" w:themeColor="background1" w:themeShade="80"/>
          <w:sz w:val="22"/>
          <w:szCs w:val="22"/>
          <w:lang w:val="en-GB"/>
        </w:rPr>
        <w:t xml:space="preserve"> is</w:t>
      </w:r>
      <w:r w:rsidR="004C59B9">
        <w:rPr>
          <w:rFonts w:ascii="Avenir Next" w:hAnsi="Avenir Next" w:cs="Arial"/>
          <w:color w:val="808080" w:themeColor="background1" w:themeShade="80"/>
          <w:sz w:val="22"/>
          <w:szCs w:val="22"/>
          <w:lang w:val="en-GB"/>
        </w:rPr>
        <w:t xml:space="preserve"> located in</w:t>
      </w:r>
      <w:r w:rsidR="00344DFE">
        <w:rPr>
          <w:rFonts w:ascii="Avenir Next" w:hAnsi="Avenir Next" w:cs="Arial"/>
          <w:color w:val="808080" w:themeColor="background1" w:themeShade="80"/>
          <w:sz w:val="22"/>
          <w:szCs w:val="22"/>
          <w:lang w:val="en-GB"/>
        </w:rPr>
        <w:t xml:space="preserve"> </w:t>
      </w:r>
      <w:r w:rsidR="00344DFE">
        <w:rPr>
          <w:rFonts w:ascii="Avenir Next" w:hAnsi="Avenir Next" w:cs="Arial"/>
          <w:color w:val="808080" w:themeColor="background1" w:themeShade="80"/>
          <w:sz w:val="22"/>
          <w:szCs w:val="22"/>
          <w:lang w:val="en-GB"/>
        </w:rPr>
        <w:lastRenderedPageBreak/>
        <w:t>a</w:t>
      </w:r>
      <w:r w:rsidR="004C59B9">
        <w:rPr>
          <w:rFonts w:ascii="Avenir Next" w:hAnsi="Avenir Next" w:cs="Arial"/>
          <w:color w:val="808080" w:themeColor="background1" w:themeShade="80"/>
          <w:sz w:val="22"/>
          <w:szCs w:val="22"/>
          <w:lang w:val="en-GB"/>
        </w:rPr>
        <w:t xml:space="preserve"> jurisdiction that ha</w:t>
      </w:r>
      <w:r w:rsidR="00344DFE">
        <w:rPr>
          <w:rFonts w:ascii="Avenir Next" w:hAnsi="Avenir Next" w:cs="Arial"/>
          <w:color w:val="808080" w:themeColor="background1" w:themeShade="80"/>
          <w:sz w:val="22"/>
          <w:szCs w:val="22"/>
          <w:lang w:val="en-GB"/>
        </w:rPr>
        <w:t>s</w:t>
      </w:r>
      <w:r w:rsidR="004C59B9">
        <w:rPr>
          <w:rFonts w:ascii="Avenir Next" w:hAnsi="Avenir Next" w:cs="Arial"/>
          <w:color w:val="808080" w:themeColor="background1" w:themeShade="80"/>
          <w:sz w:val="22"/>
          <w:szCs w:val="22"/>
          <w:lang w:val="en-GB"/>
        </w:rPr>
        <w:t xml:space="preserve"> developing bankruptcy laws.</w:t>
      </w:r>
      <w:r w:rsidR="007C5DD9">
        <w:rPr>
          <w:rStyle w:val="FootnoteReference"/>
          <w:rFonts w:ascii="Avenir Next" w:hAnsi="Avenir Next" w:cs="Arial"/>
          <w:color w:val="808080" w:themeColor="background1" w:themeShade="80"/>
          <w:sz w:val="22"/>
          <w:szCs w:val="22"/>
          <w:lang w:val="en-GB"/>
        </w:rPr>
        <w:footnoteReference w:id="1"/>
      </w:r>
      <w:r w:rsidR="004C59B9">
        <w:rPr>
          <w:rFonts w:ascii="Avenir Next" w:hAnsi="Avenir Next" w:cs="Arial"/>
          <w:color w:val="808080" w:themeColor="background1" w:themeShade="80"/>
          <w:sz w:val="22"/>
          <w:szCs w:val="22"/>
          <w:lang w:val="en-GB"/>
        </w:rPr>
        <w:t xml:space="preserve"> </w:t>
      </w:r>
      <w:r w:rsidR="00CA33CF">
        <w:rPr>
          <w:rFonts w:ascii="Avenir Next" w:hAnsi="Avenir Next" w:cs="Arial"/>
          <w:color w:val="808080" w:themeColor="background1" w:themeShade="80"/>
          <w:sz w:val="22"/>
          <w:szCs w:val="22"/>
          <w:lang w:val="en-GB"/>
        </w:rPr>
        <w:t xml:space="preserve">Having been part of a couple of cross border insolvencies myself, I can </w:t>
      </w:r>
      <w:r w:rsidR="00A2511B">
        <w:rPr>
          <w:rFonts w:ascii="Avenir Next" w:hAnsi="Avenir Next" w:cs="Arial"/>
          <w:color w:val="808080" w:themeColor="background1" w:themeShade="80"/>
          <w:sz w:val="22"/>
          <w:szCs w:val="22"/>
          <w:lang w:val="en-GB"/>
        </w:rPr>
        <w:t>understand why an</w:t>
      </w:r>
      <w:r w:rsidR="00CA33CF">
        <w:rPr>
          <w:rFonts w:ascii="Avenir Next" w:hAnsi="Avenir Next" w:cs="Arial"/>
          <w:color w:val="808080" w:themeColor="background1" w:themeShade="80"/>
          <w:sz w:val="22"/>
          <w:szCs w:val="22"/>
          <w:lang w:val="en-GB"/>
        </w:rPr>
        <w:t xml:space="preserve"> estate </w:t>
      </w:r>
      <w:r w:rsidR="00A2511B">
        <w:rPr>
          <w:rFonts w:ascii="Avenir Next" w:hAnsi="Avenir Next" w:cs="Arial"/>
          <w:color w:val="808080" w:themeColor="background1" w:themeShade="80"/>
          <w:sz w:val="22"/>
          <w:szCs w:val="22"/>
          <w:lang w:val="en-GB"/>
        </w:rPr>
        <w:t>with</w:t>
      </w:r>
      <w:r w:rsidR="00CA33CF">
        <w:rPr>
          <w:rFonts w:ascii="Avenir Next" w:hAnsi="Avenir Next" w:cs="Arial"/>
          <w:color w:val="808080" w:themeColor="background1" w:themeShade="80"/>
          <w:sz w:val="22"/>
          <w:szCs w:val="22"/>
          <w:lang w:val="en-GB"/>
        </w:rPr>
        <w:t xml:space="preserve"> money to forum shop </w:t>
      </w:r>
      <w:r w:rsidR="005C4B59">
        <w:rPr>
          <w:rFonts w:ascii="Avenir Next" w:hAnsi="Avenir Next" w:cs="Arial"/>
          <w:color w:val="808080" w:themeColor="background1" w:themeShade="80"/>
          <w:sz w:val="22"/>
          <w:szCs w:val="22"/>
          <w:lang w:val="en-GB"/>
        </w:rPr>
        <w:t>may</w:t>
      </w:r>
      <w:r w:rsidR="00A2511B">
        <w:rPr>
          <w:rFonts w:ascii="Avenir Next" w:hAnsi="Avenir Next" w:cs="Arial"/>
          <w:color w:val="808080" w:themeColor="background1" w:themeShade="80"/>
          <w:sz w:val="22"/>
          <w:szCs w:val="22"/>
          <w:lang w:val="en-GB"/>
        </w:rPr>
        <w:t xml:space="preserve"> prefer</w:t>
      </w:r>
      <w:r w:rsidR="00D1794A">
        <w:rPr>
          <w:rFonts w:ascii="Avenir Next" w:hAnsi="Avenir Next" w:cs="Arial"/>
          <w:color w:val="808080" w:themeColor="background1" w:themeShade="80"/>
          <w:sz w:val="22"/>
          <w:szCs w:val="22"/>
          <w:lang w:val="en-GB"/>
        </w:rPr>
        <w:t xml:space="preserve"> to </w:t>
      </w:r>
      <w:r w:rsidR="00BA2AE4">
        <w:rPr>
          <w:rFonts w:ascii="Avenir Next" w:hAnsi="Avenir Next" w:cs="Arial"/>
          <w:color w:val="808080" w:themeColor="background1" w:themeShade="80"/>
          <w:sz w:val="22"/>
          <w:szCs w:val="22"/>
          <w:lang w:val="en-GB"/>
        </w:rPr>
        <w:t xml:space="preserve">use the US for bankruptcy proceedings given the </w:t>
      </w:r>
      <w:r w:rsidR="00220D8B">
        <w:rPr>
          <w:rFonts w:ascii="Avenir Next" w:hAnsi="Avenir Next" w:cs="Arial"/>
          <w:color w:val="808080" w:themeColor="background1" w:themeShade="80"/>
          <w:sz w:val="22"/>
          <w:szCs w:val="22"/>
          <w:lang w:val="en-GB"/>
        </w:rPr>
        <w:t xml:space="preserve">worldwide stay </w:t>
      </w:r>
      <w:r w:rsidR="005C4B59">
        <w:rPr>
          <w:rFonts w:ascii="Avenir Next" w:hAnsi="Avenir Next" w:cs="Arial"/>
          <w:color w:val="808080" w:themeColor="background1" w:themeShade="80"/>
          <w:sz w:val="22"/>
          <w:szCs w:val="22"/>
          <w:lang w:val="en-GB"/>
        </w:rPr>
        <w:t>of execution</w:t>
      </w:r>
      <w:r w:rsidR="00220D8B">
        <w:rPr>
          <w:rFonts w:ascii="Avenir Next" w:hAnsi="Avenir Next" w:cs="Arial"/>
          <w:color w:val="808080" w:themeColor="background1" w:themeShade="80"/>
          <w:sz w:val="22"/>
          <w:szCs w:val="22"/>
          <w:lang w:val="en-GB"/>
        </w:rPr>
        <w:t xml:space="preserve"> (and the contempt of court </w:t>
      </w:r>
      <w:r w:rsidR="002D1039">
        <w:rPr>
          <w:rFonts w:ascii="Avenir Next" w:hAnsi="Avenir Next" w:cs="Arial"/>
          <w:color w:val="808080" w:themeColor="background1" w:themeShade="80"/>
          <w:sz w:val="22"/>
          <w:szCs w:val="22"/>
          <w:lang w:val="en-GB"/>
        </w:rPr>
        <w:t>non-compliant creditors would face)</w:t>
      </w:r>
      <w:r w:rsidR="00264313">
        <w:rPr>
          <w:rFonts w:ascii="Avenir Next" w:hAnsi="Avenir Next" w:cs="Arial"/>
          <w:color w:val="808080" w:themeColor="background1" w:themeShade="80"/>
          <w:sz w:val="22"/>
          <w:szCs w:val="22"/>
          <w:lang w:val="en-GB"/>
        </w:rPr>
        <w:t>. In addition, threat from the</w:t>
      </w:r>
      <w:r w:rsidR="002D1039">
        <w:rPr>
          <w:rFonts w:ascii="Avenir Next" w:hAnsi="Avenir Next" w:cs="Arial"/>
          <w:color w:val="808080" w:themeColor="background1" w:themeShade="80"/>
          <w:sz w:val="22"/>
          <w:szCs w:val="22"/>
          <w:lang w:val="en-GB"/>
        </w:rPr>
        <w:t xml:space="preserve"> long arm of the US DOJ</w:t>
      </w:r>
      <w:r w:rsidR="005D4686">
        <w:rPr>
          <w:rFonts w:ascii="Avenir Next" w:hAnsi="Avenir Next" w:cs="Arial"/>
          <w:color w:val="808080" w:themeColor="background1" w:themeShade="80"/>
          <w:sz w:val="22"/>
          <w:szCs w:val="22"/>
          <w:lang w:val="en-GB"/>
        </w:rPr>
        <w:t xml:space="preserve"> </w:t>
      </w:r>
      <w:r w:rsidR="00264313">
        <w:rPr>
          <w:rFonts w:ascii="Avenir Next" w:hAnsi="Avenir Next" w:cs="Arial"/>
          <w:color w:val="808080" w:themeColor="background1" w:themeShade="80"/>
          <w:sz w:val="22"/>
          <w:szCs w:val="22"/>
          <w:lang w:val="en-GB"/>
        </w:rPr>
        <w:t>against third parties</w:t>
      </w:r>
      <w:r w:rsidR="00557263">
        <w:rPr>
          <w:rFonts w:ascii="Avenir Next" w:hAnsi="Avenir Next" w:cs="Arial"/>
          <w:color w:val="808080" w:themeColor="background1" w:themeShade="80"/>
          <w:sz w:val="22"/>
          <w:szCs w:val="22"/>
          <w:lang w:val="en-GB"/>
        </w:rPr>
        <w:t xml:space="preserve"> whose actions </w:t>
      </w:r>
      <w:r w:rsidR="0029312E">
        <w:rPr>
          <w:rFonts w:ascii="Avenir Next" w:hAnsi="Avenir Next" w:cs="Arial"/>
          <w:color w:val="808080" w:themeColor="background1" w:themeShade="80"/>
          <w:sz w:val="22"/>
          <w:szCs w:val="22"/>
          <w:lang w:val="en-GB"/>
        </w:rPr>
        <w:t>may have</w:t>
      </w:r>
      <w:r w:rsidR="00C51499">
        <w:rPr>
          <w:rFonts w:ascii="Avenir Next" w:hAnsi="Avenir Next" w:cs="Arial"/>
          <w:color w:val="808080" w:themeColor="background1" w:themeShade="80"/>
          <w:sz w:val="22"/>
          <w:szCs w:val="22"/>
          <w:lang w:val="en-GB"/>
        </w:rPr>
        <w:t xml:space="preserve"> had</w:t>
      </w:r>
      <w:r w:rsidR="0029312E">
        <w:rPr>
          <w:rFonts w:ascii="Avenir Next" w:hAnsi="Avenir Next" w:cs="Arial"/>
          <w:color w:val="808080" w:themeColor="background1" w:themeShade="80"/>
          <w:sz w:val="22"/>
          <w:szCs w:val="22"/>
          <w:lang w:val="en-GB"/>
        </w:rPr>
        <w:t xml:space="preserve"> </w:t>
      </w:r>
      <w:r w:rsidR="00557263">
        <w:rPr>
          <w:rFonts w:ascii="Avenir Next" w:hAnsi="Avenir Next" w:cs="Arial"/>
          <w:color w:val="808080" w:themeColor="background1" w:themeShade="80"/>
          <w:sz w:val="22"/>
          <w:szCs w:val="22"/>
          <w:lang w:val="en-GB"/>
        </w:rPr>
        <w:t>a detrimental impact on the bankruptcy of the debtor</w:t>
      </w:r>
      <w:r w:rsidR="002F3941">
        <w:rPr>
          <w:rFonts w:ascii="Avenir Next" w:hAnsi="Avenir Next" w:cs="Arial"/>
          <w:color w:val="808080" w:themeColor="background1" w:themeShade="80"/>
          <w:sz w:val="22"/>
          <w:szCs w:val="22"/>
          <w:lang w:val="en-GB"/>
        </w:rPr>
        <w:t xml:space="preserve"> </w:t>
      </w:r>
      <w:r w:rsidR="0029312E">
        <w:rPr>
          <w:rFonts w:ascii="Avenir Next" w:hAnsi="Avenir Next" w:cs="Arial"/>
          <w:color w:val="808080" w:themeColor="background1" w:themeShade="80"/>
          <w:sz w:val="22"/>
          <w:szCs w:val="22"/>
          <w:lang w:val="en-GB"/>
        </w:rPr>
        <w:t xml:space="preserve">could </w:t>
      </w:r>
      <w:r w:rsidR="00557263">
        <w:rPr>
          <w:rFonts w:ascii="Avenir Next" w:hAnsi="Avenir Next" w:cs="Arial"/>
          <w:color w:val="808080" w:themeColor="background1" w:themeShade="80"/>
          <w:sz w:val="22"/>
          <w:szCs w:val="22"/>
          <w:lang w:val="en-GB"/>
        </w:rPr>
        <w:t xml:space="preserve">also </w:t>
      </w:r>
      <w:r w:rsidR="002F3941">
        <w:rPr>
          <w:rFonts w:ascii="Avenir Next" w:hAnsi="Avenir Next" w:cs="Arial"/>
          <w:color w:val="808080" w:themeColor="background1" w:themeShade="80"/>
          <w:sz w:val="22"/>
          <w:szCs w:val="22"/>
          <w:lang w:val="en-GB"/>
        </w:rPr>
        <w:t>be</w:t>
      </w:r>
      <w:r w:rsidR="00557263">
        <w:rPr>
          <w:rFonts w:ascii="Avenir Next" w:hAnsi="Avenir Next" w:cs="Arial"/>
          <w:color w:val="808080" w:themeColor="background1" w:themeShade="80"/>
          <w:sz w:val="22"/>
          <w:szCs w:val="22"/>
          <w:lang w:val="en-GB"/>
        </w:rPr>
        <w:t xml:space="preserve"> helpful</w:t>
      </w:r>
      <w:r w:rsidR="002D1039">
        <w:rPr>
          <w:rFonts w:ascii="Avenir Next" w:hAnsi="Avenir Next" w:cs="Arial"/>
          <w:color w:val="808080" w:themeColor="background1" w:themeShade="80"/>
          <w:sz w:val="22"/>
          <w:szCs w:val="22"/>
          <w:lang w:val="en-GB"/>
        </w:rPr>
        <w:t xml:space="preserve">. </w:t>
      </w:r>
      <w:r w:rsidR="007D3740">
        <w:rPr>
          <w:rFonts w:ascii="Avenir Next" w:hAnsi="Avenir Next" w:cs="Arial"/>
          <w:color w:val="808080" w:themeColor="background1" w:themeShade="80"/>
          <w:sz w:val="22"/>
          <w:szCs w:val="22"/>
          <w:lang w:val="en-GB"/>
        </w:rPr>
        <w:t>That said, I do not wholeheartedly endorse this view,</w:t>
      </w:r>
      <w:r w:rsidR="005355E7">
        <w:rPr>
          <w:rFonts w:ascii="Avenir Next" w:hAnsi="Avenir Next" w:cs="Arial"/>
          <w:color w:val="808080" w:themeColor="background1" w:themeShade="80"/>
          <w:sz w:val="22"/>
          <w:szCs w:val="22"/>
          <w:lang w:val="en-GB"/>
        </w:rPr>
        <w:t xml:space="preserve"> </w:t>
      </w:r>
      <w:r w:rsidR="00F52006">
        <w:rPr>
          <w:rFonts w:ascii="Avenir Next" w:hAnsi="Avenir Next" w:cs="Arial"/>
          <w:color w:val="808080" w:themeColor="background1" w:themeShade="80"/>
          <w:sz w:val="22"/>
          <w:szCs w:val="22"/>
          <w:lang w:val="en-GB"/>
        </w:rPr>
        <w:t>and would have to put it to the test through further research</w:t>
      </w:r>
      <w:r w:rsidR="00133E3F">
        <w:rPr>
          <w:rFonts w:ascii="Avenir Next" w:hAnsi="Avenir Next" w:cs="Arial"/>
          <w:color w:val="808080" w:themeColor="background1" w:themeShade="80"/>
          <w:sz w:val="22"/>
          <w:szCs w:val="22"/>
          <w:lang w:val="en-GB"/>
        </w:rPr>
        <w:t>.</w:t>
      </w:r>
      <w:r w:rsidR="00775982">
        <w:rPr>
          <w:rFonts w:ascii="Avenir Next" w:hAnsi="Avenir Next" w:cs="Arial"/>
          <w:color w:val="808080" w:themeColor="background1" w:themeShade="80"/>
          <w:sz w:val="22"/>
          <w:szCs w:val="22"/>
          <w:lang w:val="en-GB"/>
        </w:rPr>
        <w:t xml:space="preserve">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w:t>
      </w:r>
      <w:proofErr w:type="gramStart"/>
      <w:r w:rsidRPr="00E2622D">
        <w:rPr>
          <w:rFonts w:ascii="Avenir Next" w:hAnsi="Avenir Next" w:cs="Arial"/>
          <w:sz w:val="22"/>
          <w:szCs w:val="22"/>
          <w:lang w:val="en-GB"/>
        </w:rPr>
        <w:t>particular provisions / concepts</w:t>
      </w:r>
      <w:proofErr w:type="gramEnd"/>
      <w:r w:rsidRPr="00E2622D">
        <w:rPr>
          <w:rFonts w:ascii="Avenir Next" w:hAnsi="Avenir Next"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303FB84B" w14:textId="77777777" w:rsidR="00C155A6" w:rsidRDefault="00277C04" w:rsidP="00EF6E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1: </w:t>
      </w:r>
      <w:r w:rsidR="0010442A">
        <w:rPr>
          <w:rFonts w:ascii="Avenir Next" w:hAnsi="Avenir Next" w:cs="Arial"/>
          <w:color w:val="808080" w:themeColor="background1" w:themeShade="80"/>
          <w:sz w:val="22"/>
          <w:szCs w:val="22"/>
          <w:lang w:val="en-GB"/>
        </w:rPr>
        <w:t>Article 14 / Timely Notice /</w:t>
      </w:r>
      <w:r w:rsidR="00017E36">
        <w:rPr>
          <w:rFonts w:ascii="Avenir Next" w:hAnsi="Avenir Next" w:cs="Arial"/>
          <w:color w:val="808080" w:themeColor="background1" w:themeShade="80"/>
          <w:sz w:val="22"/>
          <w:szCs w:val="22"/>
          <w:lang w:val="en-GB"/>
        </w:rPr>
        <w:t xml:space="preserve"> based on the equal treatment principle, this provision requires that foreign creditors are notified contemporaneously </w:t>
      </w:r>
      <w:r w:rsidR="00693515">
        <w:rPr>
          <w:rFonts w:ascii="Avenir Next" w:hAnsi="Avenir Next" w:cs="Arial"/>
          <w:color w:val="808080" w:themeColor="background1" w:themeShade="80"/>
          <w:sz w:val="22"/>
          <w:szCs w:val="22"/>
          <w:lang w:val="en-GB"/>
        </w:rPr>
        <w:t>along with domestic creditors</w:t>
      </w:r>
      <w:r w:rsidR="00646084">
        <w:rPr>
          <w:rFonts w:ascii="Avenir Next" w:hAnsi="Avenir Next" w:cs="Arial"/>
          <w:color w:val="808080" w:themeColor="background1" w:themeShade="80"/>
          <w:sz w:val="22"/>
          <w:szCs w:val="22"/>
          <w:lang w:val="en-GB"/>
        </w:rPr>
        <w:t xml:space="preserve"> in the enacting State</w:t>
      </w:r>
      <w:r w:rsidR="00C155A6">
        <w:rPr>
          <w:rFonts w:ascii="Avenir Next" w:hAnsi="Avenir Next" w:cs="Arial"/>
          <w:color w:val="808080" w:themeColor="background1" w:themeShade="80"/>
          <w:sz w:val="22"/>
          <w:szCs w:val="22"/>
          <w:lang w:val="en-GB"/>
        </w:rPr>
        <w:t>.</w:t>
      </w:r>
    </w:p>
    <w:p w14:paraId="390068D9" w14:textId="77777777" w:rsidR="00C155A6" w:rsidRDefault="00C155A6" w:rsidP="00EF6EA7">
      <w:pPr>
        <w:jc w:val="both"/>
        <w:rPr>
          <w:rFonts w:ascii="Avenir Next" w:hAnsi="Avenir Next" w:cs="Arial"/>
          <w:color w:val="808080" w:themeColor="background1" w:themeShade="80"/>
          <w:sz w:val="22"/>
          <w:szCs w:val="22"/>
          <w:lang w:val="en-GB"/>
        </w:rPr>
      </w:pPr>
    </w:p>
    <w:p w14:paraId="3A528B41" w14:textId="52BCDD6E" w:rsidR="00CB56CE" w:rsidRDefault="00C155A6" w:rsidP="00EF6E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2: </w:t>
      </w:r>
      <w:r w:rsidR="00B80C9B">
        <w:rPr>
          <w:rFonts w:ascii="Avenir Next" w:hAnsi="Avenir Next" w:cs="Arial"/>
          <w:color w:val="808080" w:themeColor="background1" w:themeShade="80"/>
          <w:sz w:val="22"/>
          <w:szCs w:val="22"/>
          <w:lang w:val="en-GB"/>
        </w:rPr>
        <w:t xml:space="preserve">Article 10 / Safe Conduct Rule / ensures that </w:t>
      </w:r>
      <w:r w:rsidR="00A87F98">
        <w:rPr>
          <w:rFonts w:ascii="Avenir Next" w:hAnsi="Avenir Next" w:cs="Arial"/>
          <w:color w:val="808080" w:themeColor="background1" w:themeShade="80"/>
          <w:sz w:val="22"/>
          <w:szCs w:val="22"/>
          <w:lang w:val="en-GB"/>
        </w:rPr>
        <w:t xml:space="preserve">assets of the debtor </w:t>
      </w:r>
      <w:r w:rsidR="00FE6DF3">
        <w:rPr>
          <w:rFonts w:ascii="Avenir Next" w:hAnsi="Avenir Next" w:cs="Arial"/>
          <w:color w:val="808080" w:themeColor="background1" w:themeShade="80"/>
          <w:sz w:val="22"/>
          <w:szCs w:val="22"/>
          <w:lang w:val="en-GB"/>
        </w:rPr>
        <w:t xml:space="preserve">are not subsumed by the court in the enacting State purely </w:t>
      </w:r>
      <w:proofErr w:type="gramStart"/>
      <w:r w:rsidR="00FE6DF3">
        <w:rPr>
          <w:rFonts w:ascii="Avenir Next" w:hAnsi="Avenir Next" w:cs="Arial"/>
          <w:color w:val="808080" w:themeColor="background1" w:themeShade="80"/>
          <w:sz w:val="22"/>
          <w:szCs w:val="22"/>
          <w:lang w:val="en-GB"/>
        </w:rPr>
        <w:t>on the basis of</w:t>
      </w:r>
      <w:proofErr w:type="gramEnd"/>
      <w:r w:rsidR="00FE6DF3">
        <w:rPr>
          <w:rFonts w:ascii="Avenir Next" w:hAnsi="Avenir Next" w:cs="Arial"/>
          <w:color w:val="808080" w:themeColor="background1" w:themeShade="80"/>
          <w:sz w:val="22"/>
          <w:szCs w:val="22"/>
          <w:lang w:val="en-GB"/>
        </w:rPr>
        <w:t xml:space="preserve"> the foreign representati</w:t>
      </w:r>
      <w:r w:rsidR="00C54A6C">
        <w:rPr>
          <w:rFonts w:ascii="Avenir Next" w:hAnsi="Avenir Next" w:cs="Arial"/>
          <w:color w:val="808080" w:themeColor="background1" w:themeShade="80"/>
          <w:sz w:val="22"/>
          <w:szCs w:val="22"/>
          <w:lang w:val="en-GB"/>
        </w:rPr>
        <w:t xml:space="preserve">ve making an application for the recognition of a foreign proceeding. </w:t>
      </w:r>
      <w:r w:rsidR="00CF54F2">
        <w:rPr>
          <w:rFonts w:ascii="Avenir Next" w:hAnsi="Avenir Next" w:cs="Arial"/>
          <w:color w:val="808080" w:themeColor="background1" w:themeShade="80"/>
          <w:sz w:val="22"/>
          <w:szCs w:val="22"/>
          <w:lang w:val="en-GB"/>
        </w:rPr>
        <w:t xml:space="preserve"> </w:t>
      </w:r>
    </w:p>
    <w:p w14:paraId="32879450" w14:textId="16518241" w:rsidR="0051192F" w:rsidRDefault="0051192F" w:rsidP="00EF6EA7">
      <w:pPr>
        <w:jc w:val="both"/>
        <w:rPr>
          <w:rFonts w:ascii="Avenir Next" w:hAnsi="Avenir Next" w:cs="Arial"/>
          <w:color w:val="808080" w:themeColor="background1" w:themeShade="80"/>
          <w:sz w:val="22"/>
          <w:szCs w:val="22"/>
          <w:lang w:val="en-GB"/>
        </w:rPr>
      </w:pPr>
    </w:p>
    <w:p w14:paraId="4FFEAC23" w14:textId="5788BDE9" w:rsidR="0051192F" w:rsidRDefault="0051192F" w:rsidP="00EF6EA7">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Statement 3: </w:t>
      </w:r>
      <w:r w:rsidR="00711502">
        <w:rPr>
          <w:rFonts w:ascii="Avenir Next" w:hAnsi="Avenir Next" w:cs="Arial"/>
          <w:color w:val="808080" w:themeColor="background1" w:themeShade="80"/>
          <w:sz w:val="22"/>
          <w:szCs w:val="22"/>
          <w:lang w:val="en-GB"/>
        </w:rPr>
        <w:t xml:space="preserve">Article 16 / </w:t>
      </w:r>
      <w:r w:rsidR="002B669F">
        <w:rPr>
          <w:rFonts w:ascii="Avenir Next" w:hAnsi="Avenir Next" w:cs="Arial"/>
          <w:color w:val="808080" w:themeColor="background1" w:themeShade="80"/>
          <w:sz w:val="22"/>
          <w:szCs w:val="22"/>
          <w:lang w:val="en-GB"/>
        </w:rPr>
        <w:t xml:space="preserve">COMI / allows </w:t>
      </w:r>
      <w:r w:rsidR="00790779">
        <w:rPr>
          <w:rFonts w:ascii="Avenir Next" w:hAnsi="Avenir Next" w:cs="Arial"/>
          <w:color w:val="808080" w:themeColor="background1" w:themeShade="80"/>
          <w:sz w:val="22"/>
          <w:szCs w:val="22"/>
          <w:lang w:val="en-GB"/>
        </w:rPr>
        <w:t xml:space="preserve">for the court in the enacting State to challenge the COMI of a </w:t>
      </w:r>
      <w:r w:rsidR="00CB36DF">
        <w:rPr>
          <w:rFonts w:ascii="Avenir Next" w:hAnsi="Avenir Next" w:cs="Arial"/>
          <w:color w:val="808080" w:themeColor="background1" w:themeShade="80"/>
          <w:sz w:val="22"/>
          <w:szCs w:val="22"/>
          <w:lang w:val="en-GB"/>
        </w:rPr>
        <w:t xml:space="preserve">petitioning debtor, especially in circumstances where </w:t>
      </w:r>
      <w:r w:rsidR="00F15613">
        <w:rPr>
          <w:rFonts w:ascii="Avenir Next" w:hAnsi="Avenir Next" w:cs="Arial"/>
          <w:color w:val="808080" w:themeColor="background1" w:themeShade="80"/>
          <w:sz w:val="22"/>
          <w:szCs w:val="22"/>
          <w:lang w:val="en-GB"/>
        </w:rPr>
        <w:t xml:space="preserve">only </w:t>
      </w:r>
      <w:r w:rsidR="00CB36DF">
        <w:rPr>
          <w:rFonts w:ascii="Avenir Next" w:hAnsi="Avenir Next" w:cs="Arial"/>
          <w:color w:val="808080" w:themeColor="background1" w:themeShade="80"/>
          <w:sz w:val="22"/>
          <w:szCs w:val="22"/>
          <w:lang w:val="en-GB"/>
        </w:rPr>
        <w:t xml:space="preserve">the debtor’s </w:t>
      </w:r>
      <w:r w:rsidR="00F15613">
        <w:rPr>
          <w:rFonts w:ascii="Avenir Next" w:hAnsi="Avenir Next" w:cs="Arial"/>
          <w:color w:val="808080" w:themeColor="background1" w:themeShade="80"/>
          <w:sz w:val="22"/>
          <w:szCs w:val="22"/>
          <w:lang w:val="en-GB"/>
        </w:rPr>
        <w:t xml:space="preserve">registered office is located but there is no other physical (or other) presence that would tie it to </w:t>
      </w:r>
      <w:r w:rsidR="008A7FCE">
        <w:rPr>
          <w:rFonts w:ascii="Avenir Next" w:hAnsi="Avenir Next" w:cs="Arial"/>
          <w:color w:val="808080" w:themeColor="background1" w:themeShade="80"/>
          <w:sz w:val="22"/>
          <w:szCs w:val="22"/>
          <w:lang w:val="en-GB"/>
        </w:rPr>
        <w:t>the jurisdiction.</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1460A968" w:rsidR="00867A8F" w:rsidRDefault="00282121" w:rsidP="00C140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start with it would be helpful to contextualize the </w:t>
      </w:r>
      <w:r w:rsidR="000834DF">
        <w:rPr>
          <w:rFonts w:ascii="Avenir Next" w:hAnsi="Avenir Next" w:cs="Arial"/>
          <w:color w:val="808080" w:themeColor="background1" w:themeShade="80"/>
          <w:sz w:val="22"/>
          <w:szCs w:val="22"/>
          <w:lang w:val="en-GB"/>
        </w:rPr>
        <w:t xml:space="preserve">1890 </w:t>
      </w:r>
      <w:r w:rsidR="009E27D3">
        <w:rPr>
          <w:rFonts w:ascii="Avenir Next" w:hAnsi="Avenir Next" w:cs="Arial"/>
          <w:color w:val="808080" w:themeColor="background1" w:themeShade="80"/>
          <w:sz w:val="22"/>
          <w:szCs w:val="22"/>
          <w:lang w:val="en-GB"/>
        </w:rPr>
        <w:t>Gibbs</w:t>
      </w:r>
      <w:r w:rsidR="000834DF">
        <w:rPr>
          <w:rFonts w:ascii="Avenir Next" w:hAnsi="Avenir Next" w:cs="Arial"/>
          <w:color w:val="808080" w:themeColor="background1" w:themeShade="80"/>
          <w:sz w:val="22"/>
          <w:szCs w:val="22"/>
          <w:lang w:val="en-GB"/>
        </w:rPr>
        <w:t xml:space="preserve"> case </w:t>
      </w:r>
      <w:r w:rsidR="00EE4D60">
        <w:rPr>
          <w:rFonts w:ascii="Avenir Next" w:hAnsi="Avenir Next" w:cs="Arial"/>
          <w:color w:val="808080" w:themeColor="background1" w:themeShade="80"/>
          <w:sz w:val="22"/>
          <w:szCs w:val="22"/>
          <w:lang w:val="en-GB"/>
        </w:rPr>
        <w:t xml:space="preserve">(Antony Gibbs &amp; Sons v La </w:t>
      </w:r>
      <w:proofErr w:type="spellStart"/>
      <w:r w:rsidR="00EE4D60">
        <w:rPr>
          <w:rFonts w:ascii="Avenir Next" w:hAnsi="Avenir Next" w:cs="Arial"/>
          <w:color w:val="808080" w:themeColor="background1" w:themeShade="80"/>
          <w:sz w:val="22"/>
          <w:szCs w:val="22"/>
          <w:lang w:val="en-GB"/>
        </w:rPr>
        <w:t>Societe</w:t>
      </w:r>
      <w:proofErr w:type="spellEnd"/>
      <w:r w:rsidR="00EE4D60">
        <w:rPr>
          <w:rFonts w:ascii="Avenir Next" w:hAnsi="Avenir Next" w:cs="Arial"/>
          <w:color w:val="808080" w:themeColor="background1" w:themeShade="80"/>
          <w:sz w:val="22"/>
          <w:szCs w:val="22"/>
          <w:lang w:val="en-GB"/>
        </w:rPr>
        <w:t xml:space="preserve"> </w:t>
      </w:r>
      <w:proofErr w:type="spellStart"/>
      <w:r w:rsidR="00EE4D60">
        <w:rPr>
          <w:rFonts w:ascii="Avenir Next" w:hAnsi="Avenir Next" w:cs="Arial"/>
          <w:color w:val="808080" w:themeColor="background1" w:themeShade="80"/>
          <w:sz w:val="22"/>
          <w:szCs w:val="22"/>
          <w:lang w:val="en-GB"/>
        </w:rPr>
        <w:t>Industrielle</w:t>
      </w:r>
      <w:proofErr w:type="spellEnd"/>
      <w:r w:rsidR="00EE4D60">
        <w:rPr>
          <w:rFonts w:ascii="Avenir Next" w:hAnsi="Avenir Next" w:cs="Arial"/>
          <w:color w:val="808080" w:themeColor="background1" w:themeShade="80"/>
          <w:sz w:val="22"/>
          <w:szCs w:val="22"/>
          <w:lang w:val="en-GB"/>
        </w:rPr>
        <w:t xml:space="preserve"> </w:t>
      </w:r>
      <w:r w:rsidR="000834DF">
        <w:rPr>
          <w:rFonts w:ascii="Avenir Next" w:hAnsi="Avenir Next" w:cs="Arial"/>
          <w:color w:val="808080" w:themeColor="background1" w:themeShade="80"/>
          <w:sz w:val="22"/>
          <w:szCs w:val="22"/>
          <w:lang w:val="en-GB"/>
        </w:rPr>
        <w:t xml:space="preserve">et Commerciale des </w:t>
      </w:r>
      <w:proofErr w:type="spellStart"/>
      <w:r w:rsidR="000834DF">
        <w:rPr>
          <w:rFonts w:ascii="Avenir Next" w:hAnsi="Avenir Next" w:cs="Arial"/>
          <w:color w:val="808080" w:themeColor="background1" w:themeShade="80"/>
          <w:sz w:val="22"/>
          <w:szCs w:val="22"/>
          <w:lang w:val="en-GB"/>
        </w:rPr>
        <w:t>Metaux</w:t>
      </w:r>
      <w:proofErr w:type="spellEnd"/>
      <w:r w:rsidR="000834DF">
        <w:rPr>
          <w:rFonts w:ascii="Avenir Next" w:hAnsi="Avenir Next" w:cs="Arial"/>
          <w:color w:val="808080" w:themeColor="background1" w:themeShade="80"/>
          <w:sz w:val="22"/>
          <w:szCs w:val="22"/>
          <w:lang w:val="en-GB"/>
        </w:rPr>
        <w:t>)</w:t>
      </w:r>
      <w:r w:rsidR="009E27D3">
        <w:rPr>
          <w:rFonts w:ascii="Avenir Next" w:hAnsi="Avenir Next" w:cs="Arial"/>
          <w:color w:val="808080" w:themeColor="background1" w:themeShade="80"/>
          <w:sz w:val="22"/>
          <w:szCs w:val="22"/>
          <w:lang w:val="en-GB"/>
        </w:rPr>
        <w:t xml:space="preserve"> which forms the basis for this analysis</w:t>
      </w:r>
      <w:r w:rsidR="001E1142">
        <w:rPr>
          <w:rFonts w:ascii="Avenir Next" w:hAnsi="Avenir Next" w:cs="Arial"/>
          <w:color w:val="808080" w:themeColor="background1" w:themeShade="80"/>
          <w:sz w:val="22"/>
          <w:szCs w:val="22"/>
          <w:lang w:val="en-GB"/>
        </w:rPr>
        <w:t xml:space="preserve">, and for that purpose we will rely on the summary provided by US Bankruptcy Judge Martin Glenn: “(…) the essence of the decision is that where a debtor, in the case domiciled in France, made a contracted governed by English law and to be performed in </w:t>
      </w:r>
      <w:proofErr w:type="spellStart"/>
      <w:r w:rsidR="001E1142">
        <w:rPr>
          <w:rFonts w:ascii="Avenir Next" w:hAnsi="Avenir Next" w:cs="Arial"/>
          <w:color w:val="808080" w:themeColor="background1" w:themeShade="80"/>
          <w:sz w:val="22"/>
          <w:szCs w:val="22"/>
          <w:lang w:val="en-GB"/>
        </w:rPr>
        <w:t>Englad</w:t>
      </w:r>
      <w:proofErr w:type="spellEnd"/>
      <w:r w:rsidR="001E1142">
        <w:rPr>
          <w:rFonts w:ascii="Avenir Next" w:hAnsi="Avenir Next" w:cs="Arial"/>
          <w:color w:val="808080" w:themeColor="background1" w:themeShade="80"/>
          <w:sz w:val="22"/>
          <w:szCs w:val="22"/>
          <w:lang w:val="en-GB"/>
        </w:rPr>
        <w:t>, was declared a bankrupt and its debts discharge</w:t>
      </w:r>
      <w:r w:rsidR="000F06B7">
        <w:rPr>
          <w:rFonts w:ascii="Avenir Next" w:hAnsi="Avenir Next" w:cs="Arial"/>
          <w:color w:val="808080" w:themeColor="background1" w:themeShade="80"/>
          <w:sz w:val="22"/>
          <w:szCs w:val="22"/>
          <w:lang w:val="en-GB"/>
        </w:rPr>
        <w:t>d under foreign law in a foreign proceeding (the French law in a French proceeding), the plaintiff was not bound by the discharge and could maintain an action on the contract and recover damages in an English court. (…)”</w:t>
      </w:r>
      <w:r w:rsidR="00C1402F">
        <w:rPr>
          <w:rFonts w:ascii="Avenir Next" w:hAnsi="Avenir Next" w:cs="Arial"/>
          <w:color w:val="808080" w:themeColor="background1" w:themeShade="80"/>
          <w:sz w:val="22"/>
          <w:szCs w:val="22"/>
          <w:lang w:val="en-GB"/>
        </w:rPr>
        <w:t>.</w:t>
      </w:r>
      <w:r w:rsidR="00C1402F">
        <w:rPr>
          <w:rStyle w:val="FootnoteReference"/>
          <w:rFonts w:ascii="Avenir Next" w:hAnsi="Avenir Next" w:cs="Arial"/>
          <w:color w:val="808080" w:themeColor="background1" w:themeShade="80"/>
          <w:sz w:val="22"/>
          <w:szCs w:val="22"/>
          <w:lang w:val="en-GB"/>
        </w:rPr>
        <w:footnoteReference w:id="2"/>
      </w:r>
    </w:p>
    <w:p w14:paraId="511CAE17" w14:textId="544F86FD" w:rsidR="00D02997" w:rsidRDefault="00D02997" w:rsidP="00C1402F">
      <w:pPr>
        <w:jc w:val="both"/>
        <w:rPr>
          <w:rFonts w:ascii="Avenir Next" w:hAnsi="Avenir Next" w:cs="Arial"/>
          <w:color w:val="808080" w:themeColor="background1" w:themeShade="80"/>
          <w:sz w:val="22"/>
          <w:szCs w:val="22"/>
          <w:lang w:val="en-GB"/>
        </w:rPr>
      </w:pPr>
    </w:p>
    <w:p w14:paraId="09FA8190" w14:textId="0064F452" w:rsidR="00D02997" w:rsidRDefault="00D02997" w:rsidP="00C140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of IBA appeal, </w:t>
      </w:r>
      <w:r w:rsidR="00DC485C">
        <w:rPr>
          <w:rFonts w:ascii="Avenir Next" w:hAnsi="Avenir Next" w:cs="Arial"/>
          <w:color w:val="808080" w:themeColor="background1" w:themeShade="80"/>
          <w:sz w:val="22"/>
          <w:szCs w:val="22"/>
          <w:lang w:val="en-GB"/>
        </w:rPr>
        <w:t xml:space="preserve">the English Court of Appeal </w:t>
      </w:r>
      <w:r w:rsidR="00DF1182">
        <w:rPr>
          <w:rFonts w:ascii="Avenir Next" w:hAnsi="Avenir Next" w:cs="Arial"/>
          <w:color w:val="808080" w:themeColor="background1" w:themeShade="80"/>
          <w:sz w:val="22"/>
          <w:szCs w:val="22"/>
          <w:lang w:val="en-GB"/>
        </w:rPr>
        <w:t xml:space="preserve">had considered two questions before deciding on </w:t>
      </w:r>
      <w:proofErr w:type="gramStart"/>
      <w:r w:rsidR="00DF1182">
        <w:rPr>
          <w:rFonts w:ascii="Avenir Next" w:hAnsi="Avenir Next" w:cs="Arial"/>
          <w:color w:val="808080" w:themeColor="background1" w:themeShade="80"/>
          <w:sz w:val="22"/>
          <w:szCs w:val="22"/>
          <w:lang w:val="en-GB"/>
        </w:rPr>
        <w:t xml:space="preserve">whether </w:t>
      </w:r>
      <w:r w:rsidR="00FD2343">
        <w:rPr>
          <w:rFonts w:ascii="Avenir Next" w:hAnsi="Avenir Next" w:cs="Arial"/>
          <w:color w:val="808080" w:themeColor="background1" w:themeShade="80"/>
          <w:sz w:val="22"/>
          <w:szCs w:val="22"/>
          <w:lang w:val="en-GB"/>
        </w:rPr>
        <w:t>or not</w:t>
      </w:r>
      <w:proofErr w:type="gramEnd"/>
      <w:r w:rsidR="00FD2343">
        <w:rPr>
          <w:rFonts w:ascii="Avenir Next" w:hAnsi="Avenir Next" w:cs="Arial"/>
          <w:color w:val="808080" w:themeColor="background1" w:themeShade="80"/>
          <w:sz w:val="22"/>
          <w:szCs w:val="22"/>
          <w:lang w:val="en-GB"/>
        </w:rPr>
        <w:t xml:space="preserve"> to exercise its power in relation to the indefinite Moratorium Continuation.</w:t>
      </w:r>
    </w:p>
    <w:p w14:paraId="50A06D28" w14:textId="35886DB3" w:rsidR="00FD2343" w:rsidRDefault="00FD2343" w:rsidP="00C1402F">
      <w:pPr>
        <w:jc w:val="both"/>
        <w:rPr>
          <w:rFonts w:ascii="Avenir Next" w:hAnsi="Avenir Next" w:cs="Arial"/>
          <w:color w:val="808080" w:themeColor="background1" w:themeShade="80"/>
          <w:sz w:val="22"/>
          <w:szCs w:val="22"/>
          <w:lang w:val="en-GB"/>
        </w:rPr>
      </w:pPr>
    </w:p>
    <w:p w14:paraId="59D7DECA" w14:textId="100D5DC7" w:rsidR="000E398D" w:rsidRDefault="00FD2343" w:rsidP="00C140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it wanted to make sure that </w:t>
      </w:r>
      <w:r w:rsidR="005D4C1E">
        <w:rPr>
          <w:rFonts w:ascii="Avenir Next" w:hAnsi="Avenir Next" w:cs="Arial"/>
          <w:color w:val="808080" w:themeColor="background1" w:themeShade="80"/>
          <w:sz w:val="22"/>
          <w:szCs w:val="22"/>
          <w:lang w:val="en-GB"/>
        </w:rPr>
        <w:t xml:space="preserve">its decision was not </w:t>
      </w:r>
      <w:r w:rsidR="00E0325E">
        <w:rPr>
          <w:rFonts w:ascii="Avenir Next" w:hAnsi="Avenir Next" w:cs="Arial"/>
          <w:color w:val="808080" w:themeColor="background1" w:themeShade="80"/>
          <w:sz w:val="22"/>
          <w:szCs w:val="22"/>
          <w:lang w:val="en-GB"/>
        </w:rPr>
        <w:t xml:space="preserve">unnecessarily </w:t>
      </w:r>
      <w:r w:rsidR="005D4C1E">
        <w:rPr>
          <w:rFonts w:ascii="Avenir Next" w:hAnsi="Avenir Next" w:cs="Arial"/>
          <w:color w:val="808080" w:themeColor="background1" w:themeShade="80"/>
          <w:sz w:val="22"/>
          <w:szCs w:val="22"/>
          <w:lang w:val="en-GB"/>
        </w:rPr>
        <w:t>preventing English creditors from exercising its rights under English law</w:t>
      </w:r>
      <w:r w:rsidR="00676A70">
        <w:rPr>
          <w:rFonts w:ascii="Avenir Next" w:hAnsi="Avenir Next" w:cs="Arial"/>
          <w:color w:val="808080" w:themeColor="background1" w:themeShade="80"/>
          <w:sz w:val="22"/>
          <w:szCs w:val="22"/>
          <w:lang w:val="en-GB"/>
        </w:rPr>
        <w:t xml:space="preserve">, in </w:t>
      </w:r>
      <w:r w:rsidR="00EC3F17">
        <w:rPr>
          <w:rFonts w:ascii="Avenir Next" w:hAnsi="Avenir Next" w:cs="Arial"/>
          <w:color w:val="808080" w:themeColor="background1" w:themeShade="80"/>
          <w:sz w:val="22"/>
          <w:szCs w:val="22"/>
          <w:lang w:val="en-GB"/>
        </w:rPr>
        <w:t>contravention to</w:t>
      </w:r>
      <w:r w:rsidR="00676A70">
        <w:rPr>
          <w:rFonts w:ascii="Avenir Next" w:hAnsi="Avenir Next" w:cs="Arial"/>
          <w:color w:val="808080" w:themeColor="background1" w:themeShade="80"/>
          <w:sz w:val="22"/>
          <w:szCs w:val="22"/>
          <w:lang w:val="en-GB"/>
        </w:rPr>
        <w:t xml:space="preserve"> the Gibbs Rule</w:t>
      </w:r>
      <w:r w:rsidR="000148EE">
        <w:rPr>
          <w:rFonts w:ascii="Avenir Next" w:hAnsi="Avenir Next" w:cs="Arial"/>
          <w:color w:val="808080" w:themeColor="background1" w:themeShade="80"/>
          <w:sz w:val="22"/>
          <w:szCs w:val="22"/>
          <w:lang w:val="en-GB"/>
        </w:rPr>
        <w:t xml:space="preserve">. Considering that the </w:t>
      </w:r>
      <w:r w:rsidR="004C664A">
        <w:rPr>
          <w:rFonts w:ascii="Avenir Next" w:hAnsi="Avenir Next" w:cs="Arial"/>
          <w:color w:val="808080" w:themeColor="background1" w:themeShade="80"/>
          <w:sz w:val="22"/>
          <w:szCs w:val="22"/>
          <w:lang w:val="en-GB"/>
        </w:rPr>
        <w:t>IBA restructuring was successfully concluded under Azeri courts in Azerb</w:t>
      </w:r>
      <w:r w:rsidR="0058047D">
        <w:rPr>
          <w:rFonts w:ascii="Avenir Next" w:hAnsi="Avenir Next" w:cs="Arial"/>
          <w:color w:val="808080" w:themeColor="background1" w:themeShade="80"/>
          <w:sz w:val="22"/>
          <w:szCs w:val="22"/>
          <w:lang w:val="en-GB"/>
        </w:rPr>
        <w:t>a</w:t>
      </w:r>
      <w:r w:rsidR="004C664A">
        <w:rPr>
          <w:rFonts w:ascii="Avenir Next" w:hAnsi="Avenir Next" w:cs="Arial"/>
          <w:color w:val="808080" w:themeColor="background1" w:themeShade="80"/>
          <w:sz w:val="22"/>
          <w:szCs w:val="22"/>
          <w:lang w:val="en-GB"/>
        </w:rPr>
        <w:t>ija</w:t>
      </w:r>
      <w:r w:rsidR="00474513">
        <w:rPr>
          <w:rFonts w:ascii="Avenir Next" w:hAnsi="Avenir Next" w:cs="Arial"/>
          <w:color w:val="808080" w:themeColor="background1" w:themeShade="80"/>
          <w:sz w:val="22"/>
          <w:szCs w:val="22"/>
          <w:lang w:val="en-GB"/>
        </w:rPr>
        <w:t>n</w:t>
      </w:r>
      <w:r w:rsidR="004C664A">
        <w:rPr>
          <w:rFonts w:ascii="Avenir Next" w:hAnsi="Avenir Next" w:cs="Arial"/>
          <w:color w:val="808080" w:themeColor="background1" w:themeShade="80"/>
          <w:sz w:val="22"/>
          <w:szCs w:val="22"/>
          <w:lang w:val="en-GB"/>
        </w:rPr>
        <w:t xml:space="preserve"> and was binding on</w:t>
      </w:r>
      <w:r>
        <w:rPr>
          <w:rFonts w:ascii="Avenir Next" w:hAnsi="Avenir Next" w:cs="Arial"/>
          <w:color w:val="808080" w:themeColor="background1" w:themeShade="80"/>
          <w:sz w:val="22"/>
          <w:szCs w:val="22"/>
          <w:lang w:val="en-GB"/>
        </w:rPr>
        <w:t xml:space="preserve"> </w:t>
      </w:r>
      <w:r w:rsidR="0058047D">
        <w:rPr>
          <w:rFonts w:ascii="Avenir Next" w:hAnsi="Avenir Next" w:cs="Arial"/>
          <w:color w:val="808080" w:themeColor="background1" w:themeShade="80"/>
          <w:sz w:val="22"/>
          <w:szCs w:val="22"/>
          <w:lang w:val="en-GB"/>
        </w:rPr>
        <w:t xml:space="preserve">all creditors (including English law creditors), it seemed that </w:t>
      </w:r>
      <w:r w:rsidR="00E354C7">
        <w:rPr>
          <w:rFonts w:ascii="Avenir Next" w:hAnsi="Avenir Next" w:cs="Arial"/>
          <w:color w:val="808080" w:themeColor="background1" w:themeShade="80"/>
          <w:sz w:val="22"/>
          <w:szCs w:val="22"/>
          <w:lang w:val="en-GB"/>
        </w:rPr>
        <w:t>the general body of IBA creditors w</w:t>
      </w:r>
      <w:r w:rsidR="004003AD">
        <w:rPr>
          <w:rFonts w:ascii="Avenir Next" w:hAnsi="Avenir Next" w:cs="Arial"/>
          <w:color w:val="808080" w:themeColor="background1" w:themeShade="80"/>
          <w:sz w:val="22"/>
          <w:szCs w:val="22"/>
          <w:lang w:val="en-GB"/>
        </w:rPr>
        <w:t>ere sufficiently protected. Furthermore, if the IBA creditors</w:t>
      </w:r>
      <w:r w:rsidR="00CB2475">
        <w:rPr>
          <w:rFonts w:ascii="Avenir Next" w:hAnsi="Avenir Next" w:cs="Arial"/>
          <w:color w:val="808080" w:themeColor="background1" w:themeShade="80"/>
          <w:sz w:val="22"/>
          <w:szCs w:val="22"/>
          <w:lang w:val="en-GB"/>
        </w:rPr>
        <w:t xml:space="preserve">’ worries about </w:t>
      </w:r>
      <w:r w:rsidR="00F54B44">
        <w:rPr>
          <w:rFonts w:ascii="Avenir Next" w:hAnsi="Avenir Next" w:cs="Arial"/>
          <w:color w:val="808080" w:themeColor="background1" w:themeShade="80"/>
          <w:sz w:val="22"/>
          <w:szCs w:val="22"/>
          <w:lang w:val="en-GB"/>
        </w:rPr>
        <w:t>the claims from</w:t>
      </w:r>
      <w:r w:rsidR="00451981">
        <w:rPr>
          <w:rFonts w:ascii="Avenir Next" w:hAnsi="Avenir Next" w:cs="Arial"/>
          <w:color w:val="808080" w:themeColor="background1" w:themeShade="80"/>
          <w:sz w:val="22"/>
          <w:szCs w:val="22"/>
          <w:lang w:val="en-GB"/>
        </w:rPr>
        <w:t xml:space="preserve"> </w:t>
      </w:r>
      <w:r w:rsidR="00F54B44">
        <w:rPr>
          <w:rFonts w:ascii="Avenir Next" w:hAnsi="Avenir Next" w:cs="Arial"/>
          <w:color w:val="808080" w:themeColor="background1" w:themeShade="80"/>
          <w:sz w:val="22"/>
          <w:szCs w:val="22"/>
          <w:lang w:val="en-GB"/>
        </w:rPr>
        <w:t>the Challenging Creditors</w:t>
      </w:r>
      <w:r w:rsidR="00D3084A">
        <w:rPr>
          <w:rFonts w:ascii="Avenir Next" w:hAnsi="Avenir Next" w:cs="Arial"/>
          <w:color w:val="808080" w:themeColor="background1" w:themeShade="80"/>
          <w:sz w:val="22"/>
          <w:szCs w:val="22"/>
          <w:lang w:val="en-GB"/>
        </w:rPr>
        <w:t>, they could have used an English law scheme as a threat to cram down the dissenting creditors</w:t>
      </w:r>
      <w:r w:rsidR="00FD3E44">
        <w:rPr>
          <w:rFonts w:ascii="Avenir Next" w:hAnsi="Avenir Next" w:cs="Arial"/>
          <w:color w:val="808080" w:themeColor="background1" w:themeShade="80"/>
          <w:sz w:val="22"/>
          <w:szCs w:val="22"/>
          <w:lang w:val="en-GB"/>
        </w:rPr>
        <w:t xml:space="preserve">. </w:t>
      </w:r>
      <w:r w:rsidR="0056604A">
        <w:rPr>
          <w:rFonts w:ascii="Avenir Next" w:hAnsi="Avenir Next" w:cs="Arial"/>
          <w:color w:val="808080" w:themeColor="background1" w:themeShade="80"/>
          <w:sz w:val="22"/>
          <w:szCs w:val="22"/>
          <w:lang w:val="en-GB"/>
        </w:rPr>
        <w:t xml:space="preserve">Taking </w:t>
      </w:r>
      <w:proofErr w:type="gramStart"/>
      <w:r w:rsidR="0056604A">
        <w:rPr>
          <w:rFonts w:ascii="Avenir Next" w:hAnsi="Avenir Next" w:cs="Arial"/>
          <w:color w:val="808080" w:themeColor="background1" w:themeShade="80"/>
          <w:sz w:val="22"/>
          <w:szCs w:val="22"/>
          <w:lang w:val="en-GB"/>
        </w:rPr>
        <w:t>both of these</w:t>
      </w:r>
      <w:proofErr w:type="gramEnd"/>
      <w:r w:rsidR="0056604A">
        <w:rPr>
          <w:rFonts w:ascii="Avenir Next" w:hAnsi="Avenir Next" w:cs="Arial"/>
          <w:color w:val="808080" w:themeColor="background1" w:themeShade="80"/>
          <w:sz w:val="22"/>
          <w:szCs w:val="22"/>
          <w:lang w:val="en-GB"/>
        </w:rPr>
        <w:t xml:space="preserve"> points into account (i.e., binding nature of the IBA restructuring under Azeri law and the </w:t>
      </w:r>
      <w:r w:rsidR="00D23371">
        <w:rPr>
          <w:rFonts w:ascii="Avenir Next" w:hAnsi="Avenir Next" w:cs="Arial"/>
          <w:color w:val="808080" w:themeColor="background1" w:themeShade="80"/>
          <w:sz w:val="22"/>
          <w:szCs w:val="22"/>
          <w:lang w:val="en-GB"/>
        </w:rPr>
        <w:t xml:space="preserve">lack of use of a UK scheme), the </w:t>
      </w:r>
      <w:r w:rsidR="00EC3F17">
        <w:rPr>
          <w:rFonts w:ascii="Avenir Next" w:hAnsi="Avenir Next" w:cs="Arial"/>
          <w:color w:val="808080" w:themeColor="background1" w:themeShade="80"/>
          <w:sz w:val="22"/>
          <w:szCs w:val="22"/>
          <w:lang w:val="en-GB"/>
        </w:rPr>
        <w:t xml:space="preserve">Court of Appeal ruled that the threat to IBA creditors </w:t>
      </w:r>
      <w:r w:rsidR="00BF4E59">
        <w:rPr>
          <w:rFonts w:ascii="Avenir Next" w:hAnsi="Avenir Next" w:cs="Arial"/>
          <w:color w:val="808080" w:themeColor="background1" w:themeShade="80"/>
          <w:sz w:val="22"/>
          <w:szCs w:val="22"/>
          <w:lang w:val="en-GB"/>
        </w:rPr>
        <w:t xml:space="preserve">from Challenging Creditors </w:t>
      </w:r>
      <w:r w:rsidR="00EC3F17">
        <w:rPr>
          <w:rFonts w:ascii="Avenir Next" w:hAnsi="Avenir Next" w:cs="Arial"/>
          <w:color w:val="808080" w:themeColor="background1" w:themeShade="80"/>
          <w:sz w:val="22"/>
          <w:szCs w:val="22"/>
          <w:lang w:val="en-GB"/>
        </w:rPr>
        <w:t xml:space="preserve">was </w:t>
      </w:r>
      <w:r w:rsidR="006E700E">
        <w:rPr>
          <w:rFonts w:ascii="Avenir Next" w:hAnsi="Avenir Next" w:cs="Arial"/>
          <w:color w:val="808080" w:themeColor="background1" w:themeShade="80"/>
          <w:sz w:val="22"/>
          <w:szCs w:val="22"/>
          <w:lang w:val="en-GB"/>
        </w:rPr>
        <w:t xml:space="preserve">indirect and </w:t>
      </w:r>
      <w:r w:rsidR="003F57BD">
        <w:rPr>
          <w:rFonts w:ascii="Avenir Next" w:hAnsi="Avenir Next" w:cs="Arial"/>
          <w:color w:val="808080" w:themeColor="background1" w:themeShade="80"/>
          <w:sz w:val="22"/>
          <w:szCs w:val="22"/>
          <w:lang w:val="en-GB"/>
        </w:rPr>
        <w:t xml:space="preserve">unknown, and therefore </w:t>
      </w:r>
      <w:r w:rsidR="00BF4E59">
        <w:rPr>
          <w:rFonts w:ascii="Avenir Next" w:hAnsi="Avenir Next" w:cs="Arial"/>
          <w:color w:val="808080" w:themeColor="background1" w:themeShade="80"/>
          <w:sz w:val="22"/>
          <w:szCs w:val="22"/>
          <w:lang w:val="en-GB"/>
        </w:rPr>
        <w:t xml:space="preserve">not sufficient for the purposes of extending the </w:t>
      </w:r>
      <w:r w:rsidR="0000359B">
        <w:rPr>
          <w:rFonts w:ascii="Avenir Next" w:hAnsi="Avenir Next" w:cs="Arial"/>
          <w:color w:val="808080" w:themeColor="background1" w:themeShade="80"/>
          <w:sz w:val="22"/>
          <w:szCs w:val="22"/>
          <w:lang w:val="en-GB"/>
        </w:rPr>
        <w:t xml:space="preserve">indefinite Moratorium Continuation. </w:t>
      </w:r>
    </w:p>
    <w:p w14:paraId="639C8FDC" w14:textId="0847C67D" w:rsidR="000378E4" w:rsidRDefault="000378E4" w:rsidP="00C1402F">
      <w:pPr>
        <w:jc w:val="both"/>
        <w:rPr>
          <w:rFonts w:ascii="Avenir Next" w:hAnsi="Avenir Next" w:cs="Arial"/>
          <w:color w:val="808080" w:themeColor="background1" w:themeShade="80"/>
          <w:sz w:val="22"/>
          <w:szCs w:val="22"/>
          <w:lang w:val="en-GB"/>
        </w:rPr>
      </w:pPr>
    </w:p>
    <w:p w14:paraId="44965B8A" w14:textId="317E6444" w:rsidR="000378E4" w:rsidRDefault="00726F91" w:rsidP="00C140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 point was that </w:t>
      </w:r>
      <w:r w:rsidR="009B69DE">
        <w:rPr>
          <w:rFonts w:ascii="Avenir Next" w:hAnsi="Avenir Next" w:cs="Arial"/>
          <w:color w:val="808080" w:themeColor="background1" w:themeShade="80"/>
          <w:sz w:val="22"/>
          <w:szCs w:val="22"/>
          <w:lang w:val="en-GB"/>
        </w:rPr>
        <w:t xml:space="preserve">since the </w:t>
      </w:r>
      <w:r w:rsidR="009F4763">
        <w:rPr>
          <w:rFonts w:ascii="Avenir Next" w:hAnsi="Avenir Next" w:cs="Arial"/>
          <w:color w:val="808080" w:themeColor="background1" w:themeShade="80"/>
          <w:sz w:val="22"/>
          <w:szCs w:val="22"/>
          <w:lang w:val="en-GB"/>
        </w:rPr>
        <w:t xml:space="preserve">foreign main proceedings have come to an end in Azerbaijan, </w:t>
      </w:r>
      <w:r w:rsidR="006971AA">
        <w:rPr>
          <w:rFonts w:ascii="Avenir Next" w:hAnsi="Avenir Next" w:cs="Arial"/>
          <w:color w:val="808080" w:themeColor="background1" w:themeShade="80"/>
          <w:sz w:val="22"/>
          <w:szCs w:val="22"/>
          <w:lang w:val="en-GB"/>
        </w:rPr>
        <w:t xml:space="preserve">with the IBA restructuring being concluded successfully under Azeri law, </w:t>
      </w:r>
      <w:r w:rsidR="003E49C4">
        <w:rPr>
          <w:rFonts w:ascii="Avenir Next" w:hAnsi="Avenir Next" w:cs="Arial"/>
          <w:color w:val="808080" w:themeColor="background1" w:themeShade="80"/>
          <w:sz w:val="22"/>
          <w:szCs w:val="22"/>
          <w:lang w:val="en-GB"/>
        </w:rPr>
        <w:t xml:space="preserve">foreign representative no longer warranted support of the English courts </w:t>
      </w:r>
      <w:r w:rsidR="00F063CD">
        <w:rPr>
          <w:rFonts w:ascii="Avenir Next" w:hAnsi="Avenir Next" w:cs="Arial"/>
          <w:color w:val="808080" w:themeColor="background1" w:themeShade="80"/>
          <w:sz w:val="22"/>
          <w:szCs w:val="22"/>
          <w:lang w:val="en-GB"/>
        </w:rPr>
        <w:t xml:space="preserve">and any relief previously granted under the Model Law should cease. </w:t>
      </w:r>
      <w:r w:rsidR="00F8096E">
        <w:rPr>
          <w:rFonts w:ascii="Avenir Next" w:hAnsi="Avenir Next" w:cs="Arial"/>
          <w:color w:val="808080" w:themeColor="background1" w:themeShade="80"/>
          <w:sz w:val="22"/>
          <w:szCs w:val="22"/>
          <w:lang w:val="en-GB"/>
        </w:rPr>
        <w:t>In addition</w:t>
      </w:r>
      <w:r w:rsidR="00493C0F">
        <w:rPr>
          <w:rFonts w:ascii="Avenir Next" w:hAnsi="Avenir Next" w:cs="Arial"/>
          <w:color w:val="808080" w:themeColor="background1" w:themeShade="80"/>
          <w:sz w:val="22"/>
          <w:szCs w:val="22"/>
          <w:lang w:val="en-GB"/>
        </w:rPr>
        <w:t>,</w:t>
      </w:r>
      <w:r w:rsidR="00F8096E">
        <w:rPr>
          <w:rFonts w:ascii="Avenir Next" w:hAnsi="Avenir Next" w:cs="Arial"/>
          <w:color w:val="808080" w:themeColor="background1" w:themeShade="80"/>
          <w:sz w:val="22"/>
          <w:szCs w:val="22"/>
          <w:lang w:val="en-GB"/>
        </w:rPr>
        <w:t xml:space="preserve"> </w:t>
      </w:r>
      <w:r w:rsidR="00CA6913">
        <w:rPr>
          <w:rFonts w:ascii="Avenir Next" w:hAnsi="Avenir Next" w:cs="Arial"/>
          <w:color w:val="808080" w:themeColor="background1" w:themeShade="80"/>
          <w:sz w:val="22"/>
          <w:szCs w:val="22"/>
          <w:lang w:val="en-GB"/>
        </w:rPr>
        <w:t xml:space="preserve">Model Law does not address the continuation of relief after the foreign proceedings have come to an end. </w:t>
      </w:r>
      <w:r w:rsidR="00493C0F">
        <w:rPr>
          <w:rFonts w:ascii="Avenir Next" w:hAnsi="Avenir Next" w:cs="Arial"/>
          <w:color w:val="808080" w:themeColor="background1" w:themeShade="80"/>
          <w:sz w:val="22"/>
          <w:szCs w:val="22"/>
          <w:lang w:val="en-GB"/>
        </w:rPr>
        <w:t>Therefore, the Court of Appeal voted not to exercise its power to grant the Indefinite Moratorium Continuation.</w:t>
      </w:r>
    </w:p>
    <w:p w14:paraId="3DFCFF6E" w14:textId="2DDFFECC" w:rsidR="00F8096E" w:rsidRDefault="00F8096E" w:rsidP="00C1402F">
      <w:pPr>
        <w:jc w:val="both"/>
        <w:rPr>
          <w:rFonts w:ascii="Avenir Next" w:hAnsi="Avenir Next" w:cs="Arial"/>
          <w:color w:val="808080" w:themeColor="background1" w:themeShade="80"/>
          <w:sz w:val="22"/>
          <w:szCs w:val="22"/>
          <w:lang w:val="en-GB"/>
        </w:rPr>
      </w:pPr>
    </w:p>
    <w:p w14:paraId="4DE54185" w14:textId="55EE8AAF" w:rsidR="00FD2343" w:rsidRPr="007E5196" w:rsidRDefault="007E5196" w:rsidP="00C1402F">
      <w:pPr>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(P</w:t>
      </w:r>
      <w:r w:rsidRPr="007E5196">
        <w:rPr>
          <w:rFonts w:ascii="Avenir Next" w:hAnsi="Avenir Next" w:cs="Arial"/>
          <w:i/>
          <w:iCs/>
          <w:color w:val="808080" w:themeColor="background1" w:themeShade="80"/>
          <w:sz w:val="22"/>
          <w:szCs w:val="22"/>
          <w:lang w:val="en-GB"/>
        </w:rPr>
        <w:t xml:space="preserve">lease help me understand if this is correct): </w:t>
      </w:r>
      <w:r w:rsidR="00F8096E" w:rsidRPr="007E5196">
        <w:rPr>
          <w:rFonts w:ascii="Avenir Next" w:hAnsi="Avenir Next" w:cs="Arial"/>
          <w:i/>
          <w:iCs/>
          <w:color w:val="808080" w:themeColor="background1" w:themeShade="80"/>
          <w:sz w:val="22"/>
          <w:szCs w:val="22"/>
          <w:lang w:val="en-GB"/>
        </w:rPr>
        <w:t xml:space="preserve">Based on my reading of the IBA case then it would appear that any time there are </w:t>
      </w:r>
      <w:r w:rsidR="00761F3E" w:rsidRPr="007E5196">
        <w:rPr>
          <w:rFonts w:ascii="Avenir Next" w:hAnsi="Avenir Next" w:cs="Arial"/>
          <w:i/>
          <w:iCs/>
          <w:color w:val="808080" w:themeColor="background1" w:themeShade="80"/>
          <w:sz w:val="22"/>
          <w:szCs w:val="22"/>
          <w:lang w:val="en-GB"/>
        </w:rPr>
        <w:t xml:space="preserve">English </w:t>
      </w:r>
      <w:r w:rsidR="00F8096E" w:rsidRPr="007E5196">
        <w:rPr>
          <w:rFonts w:ascii="Avenir Next" w:hAnsi="Avenir Next" w:cs="Arial"/>
          <w:i/>
          <w:iCs/>
          <w:color w:val="808080" w:themeColor="background1" w:themeShade="80"/>
          <w:sz w:val="22"/>
          <w:szCs w:val="22"/>
          <w:lang w:val="en-GB"/>
        </w:rPr>
        <w:t>dissenting creditors</w:t>
      </w:r>
      <w:r w:rsidR="00BE3341" w:rsidRPr="007E5196">
        <w:rPr>
          <w:rFonts w:ascii="Avenir Next" w:hAnsi="Avenir Next" w:cs="Arial"/>
          <w:i/>
          <w:iCs/>
          <w:color w:val="808080" w:themeColor="background1" w:themeShade="80"/>
          <w:sz w:val="22"/>
          <w:szCs w:val="22"/>
          <w:lang w:val="en-GB"/>
        </w:rPr>
        <w:t xml:space="preserve">, and following the Gibbs Rule, English courts should necessarily be accessed (either through a scheme or the recently </w:t>
      </w:r>
      <w:r w:rsidR="00B46AA7" w:rsidRPr="007E5196">
        <w:rPr>
          <w:rFonts w:ascii="Avenir Next" w:hAnsi="Avenir Next" w:cs="Arial"/>
          <w:i/>
          <w:iCs/>
          <w:color w:val="808080" w:themeColor="background1" w:themeShade="80"/>
          <w:sz w:val="22"/>
          <w:szCs w:val="22"/>
          <w:lang w:val="en-GB"/>
        </w:rPr>
        <w:t>enacted</w:t>
      </w:r>
      <w:r w:rsidR="00BE3341" w:rsidRPr="007E5196">
        <w:rPr>
          <w:rFonts w:ascii="Avenir Next" w:hAnsi="Avenir Next" w:cs="Arial"/>
          <w:i/>
          <w:iCs/>
          <w:color w:val="808080" w:themeColor="background1" w:themeShade="80"/>
          <w:sz w:val="22"/>
          <w:szCs w:val="22"/>
          <w:lang w:val="en-GB"/>
        </w:rPr>
        <w:t xml:space="preserve"> </w:t>
      </w:r>
      <w:r w:rsidR="00B46AA7" w:rsidRPr="007E5196">
        <w:rPr>
          <w:rFonts w:ascii="Avenir Next" w:hAnsi="Avenir Next" w:cs="Arial"/>
          <w:i/>
          <w:iCs/>
          <w:color w:val="808080" w:themeColor="background1" w:themeShade="80"/>
          <w:sz w:val="22"/>
          <w:szCs w:val="22"/>
          <w:lang w:val="en-GB"/>
        </w:rPr>
        <w:t>“super-scheme”), otherwise any application for protection</w:t>
      </w:r>
      <w:r w:rsidR="00E64595">
        <w:rPr>
          <w:rFonts w:ascii="Avenir Next" w:hAnsi="Avenir Next" w:cs="Arial"/>
          <w:i/>
          <w:iCs/>
          <w:color w:val="808080" w:themeColor="background1" w:themeShade="80"/>
          <w:sz w:val="22"/>
          <w:szCs w:val="22"/>
          <w:lang w:val="en-GB"/>
        </w:rPr>
        <w:t xml:space="preserve"> </w:t>
      </w:r>
      <w:r w:rsidR="007F6C30" w:rsidRPr="007E5196">
        <w:rPr>
          <w:rFonts w:ascii="Avenir Next" w:hAnsi="Avenir Next" w:cs="Arial"/>
          <w:i/>
          <w:iCs/>
          <w:color w:val="808080" w:themeColor="background1" w:themeShade="80"/>
          <w:sz w:val="22"/>
          <w:szCs w:val="22"/>
          <w:lang w:val="en-GB"/>
        </w:rPr>
        <w:t>under Model Law</w:t>
      </w:r>
      <w:r w:rsidR="007F6C30">
        <w:rPr>
          <w:rFonts w:ascii="Avenir Next" w:hAnsi="Avenir Next" w:cs="Arial"/>
          <w:i/>
          <w:iCs/>
          <w:color w:val="808080" w:themeColor="background1" w:themeShade="80"/>
          <w:sz w:val="22"/>
          <w:szCs w:val="22"/>
          <w:lang w:val="en-GB"/>
        </w:rPr>
        <w:t xml:space="preserve"> </w:t>
      </w:r>
      <w:r w:rsidR="00140468">
        <w:rPr>
          <w:rFonts w:ascii="Avenir Next" w:hAnsi="Avenir Next" w:cs="Arial"/>
          <w:i/>
          <w:iCs/>
          <w:color w:val="808080" w:themeColor="background1" w:themeShade="80"/>
          <w:sz w:val="22"/>
          <w:szCs w:val="22"/>
          <w:lang w:val="en-GB"/>
        </w:rPr>
        <w:t>(</w:t>
      </w:r>
      <w:r w:rsidR="00E64595">
        <w:rPr>
          <w:rFonts w:ascii="Avenir Next" w:hAnsi="Avenir Next" w:cs="Arial"/>
          <w:i/>
          <w:iCs/>
          <w:color w:val="808080" w:themeColor="background1" w:themeShade="80"/>
          <w:sz w:val="22"/>
          <w:szCs w:val="22"/>
          <w:lang w:val="en-GB"/>
        </w:rPr>
        <w:t>post restructuring</w:t>
      </w:r>
      <w:r w:rsidR="00140468">
        <w:rPr>
          <w:rFonts w:ascii="Avenir Next" w:hAnsi="Avenir Next" w:cs="Arial"/>
          <w:i/>
          <w:iCs/>
          <w:color w:val="808080" w:themeColor="background1" w:themeShade="80"/>
          <w:sz w:val="22"/>
          <w:szCs w:val="22"/>
          <w:lang w:val="en-GB"/>
        </w:rPr>
        <w:t xml:space="preserve"> implementation in a local court)</w:t>
      </w:r>
      <w:r w:rsidR="00B46AA7" w:rsidRPr="007E5196">
        <w:rPr>
          <w:rFonts w:ascii="Avenir Next" w:hAnsi="Avenir Next" w:cs="Arial"/>
          <w:i/>
          <w:iCs/>
          <w:color w:val="808080" w:themeColor="background1" w:themeShade="80"/>
          <w:sz w:val="22"/>
          <w:szCs w:val="22"/>
          <w:lang w:val="en-GB"/>
        </w:rPr>
        <w:t xml:space="preserve"> </w:t>
      </w:r>
      <w:r w:rsidR="00260053" w:rsidRPr="007E5196">
        <w:rPr>
          <w:rFonts w:ascii="Avenir Next" w:hAnsi="Avenir Next" w:cs="Arial"/>
          <w:i/>
          <w:iCs/>
          <w:color w:val="808080" w:themeColor="background1" w:themeShade="80"/>
          <w:sz w:val="22"/>
          <w:szCs w:val="22"/>
          <w:lang w:val="en-GB"/>
        </w:rPr>
        <w:t>will not be effective as long as the English creditors do not subject themselves to the</w:t>
      </w:r>
      <w:r w:rsidR="00174E6B">
        <w:rPr>
          <w:rFonts w:ascii="Avenir Next" w:hAnsi="Avenir Next" w:cs="Arial"/>
          <w:i/>
          <w:iCs/>
          <w:color w:val="808080" w:themeColor="background1" w:themeShade="80"/>
          <w:sz w:val="22"/>
          <w:szCs w:val="22"/>
          <w:lang w:val="en-GB"/>
        </w:rPr>
        <w:t xml:space="preserve"> foreign</w:t>
      </w:r>
      <w:r w:rsidR="006B4FB6">
        <w:rPr>
          <w:rFonts w:ascii="Avenir Next" w:hAnsi="Avenir Next" w:cs="Arial"/>
          <w:i/>
          <w:iCs/>
          <w:color w:val="808080" w:themeColor="background1" w:themeShade="80"/>
          <w:sz w:val="22"/>
          <w:szCs w:val="22"/>
          <w:lang w:val="en-GB"/>
        </w:rPr>
        <w:t xml:space="preserve"> court</w:t>
      </w:r>
      <w:r w:rsidR="00260053" w:rsidRPr="007E5196">
        <w:rPr>
          <w:rFonts w:ascii="Avenir Next" w:hAnsi="Avenir Next" w:cs="Arial"/>
          <w:i/>
          <w:iCs/>
          <w:color w:val="808080" w:themeColor="background1" w:themeShade="80"/>
          <w:sz w:val="22"/>
          <w:szCs w:val="22"/>
          <w:lang w:val="en-GB"/>
        </w:rPr>
        <w:t xml:space="preserve"> proceedings</w:t>
      </w:r>
      <w:r w:rsidRPr="007E5196">
        <w:rPr>
          <w:rFonts w:ascii="Avenir Next" w:hAnsi="Avenir Next" w:cs="Arial"/>
          <w:i/>
          <w:iCs/>
          <w:color w:val="808080" w:themeColor="background1" w:themeShade="80"/>
          <w:sz w:val="22"/>
          <w:szCs w:val="22"/>
          <w:lang w:val="en-GB"/>
        </w:rPr>
        <w:t>.</w:t>
      </w:r>
      <w:r w:rsidR="003F57BD" w:rsidRPr="007E5196">
        <w:rPr>
          <w:rFonts w:ascii="Avenir Next" w:hAnsi="Avenir Next" w:cs="Arial"/>
          <w:i/>
          <w:iCs/>
          <w:color w:val="808080" w:themeColor="background1" w:themeShade="80"/>
          <w:sz w:val="22"/>
          <w:szCs w:val="22"/>
          <w:lang w:val="en-GB"/>
        </w:rPr>
        <w:t xml:space="preserve"> </w:t>
      </w:r>
      <w:r w:rsidR="00CB2475" w:rsidRPr="007E5196">
        <w:rPr>
          <w:rFonts w:ascii="Avenir Next" w:hAnsi="Avenir Next" w:cs="Arial"/>
          <w:i/>
          <w:iCs/>
          <w:color w:val="808080" w:themeColor="background1" w:themeShade="80"/>
          <w:sz w:val="22"/>
          <w:szCs w:val="22"/>
          <w:lang w:val="en-GB"/>
        </w:rPr>
        <w:t xml:space="preserve"> </w:t>
      </w: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76C68958" w:rsidR="00867A8F" w:rsidRDefault="00582CFF" w:rsidP="000B77D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line with Article 20, once </w:t>
      </w:r>
      <w:r w:rsidR="00AB77A7">
        <w:rPr>
          <w:rFonts w:ascii="Avenir Next" w:hAnsi="Avenir Next" w:cs="Arial"/>
          <w:color w:val="808080" w:themeColor="background1" w:themeShade="80"/>
          <w:sz w:val="22"/>
          <w:szCs w:val="22"/>
          <w:lang w:val="en-GB"/>
        </w:rPr>
        <w:t xml:space="preserve">the foreign main proceeding has been recognized, </w:t>
      </w:r>
      <w:r w:rsidR="00903F10">
        <w:rPr>
          <w:rFonts w:ascii="Avenir Next" w:hAnsi="Avenir Next" w:cs="Arial"/>
          <w:color w:val="808080" w:themeColor="background1" w:themeShade="80"/>
          <w:sz w:val="22"/>
          <w:szCs w:val="22"/>
          <w:lang w:val="en-GB"/>
        </w:rPr>
        <w:t xml:space="preserve">there is an automatic stay of </w:t>
      </w:r>
      <w:r w:rsidR="00A2610D">
        <w:rPr>
          <w:rFonts w:ascii="Avenir Next" w:hAnsi="Avenir Next" w:cs="Arial"/>
          <w:color w:val="808080" w:themeColor="background1" w:themeShade="80"/>
          <w:sz w:val="22"/>
          <w:szCs w:val="22"/>
          <w:lang w:val="en-GB"/>
        </w:rPr>
        <w:t xml:space="preserve">individual actions or proceedings against the debtor, in addition to an automatic stay </w:t>
      </w:r>
      <w:r w:rsidR="000B77DE">
        <w:rPr>
          <w:rFonts w:ascii="Avenir Next" w:hAnsi="Avenir Next" w:cs="Arial"/>
          <w:color w:val="808080" w:themeColor="background1" w:themeShade="80"/>
          <w:sz w:val="22"/>
          <w:szCs w:val="22"/>
          <w:lang w:val="en-GB"/>
        </w:rPr>
        <w:t>of execution against the debtor’s assets. Furthermore,</w:t>
      </w:r>
      <w:r w:rsidR="00FF2486">
        <w:rPr>
          <w:rFonts w:ascii="Avenir Next" w:hAnsi="Avenir Next" w:cs="Arial"/>
          <w:color w:val="808080" w:themeColor="background1" w:themeShade="80"/>
          <w:sz w:val="22"/>
          <w:szCs w:val="22"/>
          <w:lang w:val="en-GB"/>
        </w:rPr>
        <w:t xml:space="preserve"> the right to transfer, encumber or dispose of debtor’s assets is immediately suspended. </w:t>
      </w:r>
    </w:p>
    <w:p w14:paraId="398FE596" w14:textId="230C6E5E" w:rsidR="00CC6341" w:rsidRDefault="00CC6341" w:rsidP="000B77DE">
      <w:pPr>
        <w:jc w:val="both"/>
        <w:rPr>
          <w:rFonts w:ascii="Avenir Next" w:hAnsi="Avenir Next" w:cs="Arial"/>
          <w:color w:val="808080" w:themeColor="background1" w:themeShade="80"/>
          <w:sz w:val="22"/>
          <w:szCs w:val="22"/>
          <w:lang w:val="en-GB"/>
        </w:rPr>
      </w:pPr>
    </w:p>
    <w:p w14:paraId="2EF2E371" w14:textId="2BA553A7" w:rsidR="00CC6341" w:rsidRDefault="00722C97" w:rsidP="000B77D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mandated by Article 18, f</w:t>
      </w:r>
      <w:r w:rsidR="00437186">
        <w:rPr>
          <w:rFonts w:ascii="Avenir Next" w:hAnsi="Avenir Next" w:cs="Arial"/>
          <w:color w:val="808080" w:themeColor="background1" w:themeShade="80"/>
          <w:sz w:val="22"/>
          <w:szCs w:val="22"/>
          <w:lang w:val="en-GB"/>
        </w:rPr>
        <w:t xml:space="preserve">rom the time of the filing </w:t>
      </w:r>
      <w:r w:rsidR="00D454B2">
        <w:rPr>
          <w:rFonts w:ascii="Avenir Next" w:hAnsi="Avenir Next" w:cs="Arial"/>
          <w:color w:val="808080" w:themeColor="background1" w:themeShade="80"/>
          <w:sz w:val="22"/>
          <w:szCs w:val="22"/>
          <w:lang w:val="en-GB"/>
        </w:rPr>
        <w:t xml:space="preserve">for recognition, the foreign representative </w:t>
      </w:r>
      <w:r w:rsidR="00944200">
        <w:rPr>
          <w:rFonts w:ascii="Avenir Next" w:hAnsi="Avenir Next" w:cs="Arial"/>
          <w:color w:val="808080" w:themeColor="background1" w:themeShade="80"/>
          <w:sz w:val="22"/>
          <w:szCs w:val="22"/>
          <w:lang w:val="en-GB"/>
        </w:rPr>
        <w:t xml:space="preserve">has the obligation to promptly inform the court </w:t>
      </w:r>
      <w:r w:rsidR="00EF0EF4">
        <w:rPr>
          <w:rFonts w:ascii="Avenir Next" w:hAnsi="Avenir Next" w:cs="Arial"/>
          <w:color w:val="808080" w:themeColor="background1" w:themeShade="80"/>
          <w:sz w:val="22"/>
          <w:szCs w:val="22"/>
          <w:lang w:val="en-GB"/>
        </w:rPr>
        <w:t xml:space="preserve">of any substantial change in status </w:t>
      </w:r>
      <w:r w:rsidR="00087EDB">
        <w:rPr>
          <w:rFonts w:ascii="Avenir Next" w:hAnsi="Avenir Next" w:cs="Arial"/>
          <w:color w:val="808080" w:themeColor="background1" w:themeShade="80"/>
          <w:sz w:val="22"/>
          <w:szCs w:val="22"/>
          <w:lang w:val="en-GB"/>
        </w:rPr>
        <w:t>(of either the recognized foreign proceeding or the foreign representative</w:t>
      </w:r>
      <w:r w:rsidR="00EA6E8E">
        <w:rPr>
          <w:rFonts w:ascii="Avenir Next" w:hAnsi="Avenir Next" w:cs="Arial"/>
          <w:color w:val="808080" w:themeColor="background1" w:themeShade="80"/>
          <w:sz w:val="22"/>
          <w:szCs w:val="22"/>
          <w:lang w:val="en-GB"/>
        </w:rPr>
        <w:t>’s appointment</w:t>
      </w:r>
      <w:r w:rsidR="00087EDB">
        <w:rPr>
          <w:rFonts w:ascii="Avenir Next" w:hAnsi="Avenir Next" w:cs="Arial"/>
          <w:color w:val="808080" w:themeColor="background1" w:themeShade="80"/>
          <w:sz w:val="22"/>
          <w:szCs w:val="22"/>
          <w:lang w:val="en-GB"/>
        </w:rPr>
        <w:t>)</w:t>
      </w:r>
      <w:r w:rsidR="00EA6E8E">
        <w:rPr>
          <w:rFonts w:ascii="Avenir Next" w:hAnsi="Avenir Next" w:cs="Arial"/>
          <w:color w:val="808080" w:themeColor="background1" w:themeShade="80"/>
          <w:sz w:val="22"/>
          <w:szCs w:val="22"/>
          <w:lang w:val="en-GB"/>
        </w:rPr>
        <w:t>, and any</w:t>
      </w:r>
      <w:r w:rsidR="00AF6F82">
        <w:rPr>
          <w:rFonts w:ascii="Avenir Next" w:hAnsi="Avenir Next" w:cs="Arial"/>
          <w:color w:val="808080" w:themeColor="background1" w:themeShade="80"/>
          <w:sz w:val="22"/>
          <w:szCs w:val="22"/>
          <w:lang w:val="en-GB"/>
        </w:rPr>
        <w:t xml:space="preserve"> additional foreign proceeding opened against the debtor that the foreign representative becomes aware of. </w:t>
      </w:r>
    </w:p>
    <w:p w14:paraId="096524B2" w14:textId="77777777" w:rsidR="000B77DE" w:rsidRPr="00E2622D" w:rsidRDefault="000B77DE"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t>
      </w:r>
      <w:proofErr w:type="gramStart"/>
      <w:r w:rsidRPr="00E2622D">
        <w:rPr>
          <w:rFonts w:ascii="Avenir Next" w:hAnsi="Avenir Next" w:cs="Arial"/>
          <w:sz w:val="22"/>
          <w:szCs w:val="22"/>
          <w:lang w:val="en-GB"/>
        </w:rPr>
        <w:t>whether or not</w:t>
      </w:r>
      <w:proofErr w:type="gramEnd"/>
      <w:r w:rsidRPr="00E2622D">
        <w:rPr>
          <w:rFonts w:ascii="Avenir Next" w:hAnsi="Avenir Next"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4FDF7965" w14:textId="7EA40FED" w:rsidR="00915FBA" w:rsidRDefault="00915FBA" w:rsidP="00877C6A">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First of all</w:t>
      </w:r>
      <w:proofErr w:type="gramEnd"/>
      <w:r>
        <w:rPr>
          <w:rFonts w:ascii="Avenir Next" w:hAnsi="Avenir Next" w:cs="Arial"/>
          <w:color w:val="808080" w:themeColor="background1" w:themeShade="80"/>
          <w:sz w:val="22"/>
          <w:szCs w:val="22"/>
          <w:lang w:val="en-GB"/>
        </w:rPr>
        <w:t xml:space="preserve">, </w:t>
      </w:r>
      <w:r w:rsidR="009248C0">
        <w:rPr>
          <w:rFonts w:ascii="Avenir Next" w:hAnsi="Avenir Next" w:cs="Arial"/>
          <w:color w:val="808080" w:themeColor="background1" w:themeShade="80"/>
          <w:sz w:val="22"/>
          <w:szCs w:val="22"/>
          <w:lang w:val="en-GB"/>
        </w:rPr>
        <w:t xml:space="preserve">under Article 9 </w:t>
      </w:r>
      <w:r>
        <w:rPr>
          <w:rFonts w:ascii="Avenir Next" w:hAnsi="Avenir Next" w:cs="Arial"/>
          <w:color w:val="808080" w:themeColor="background1" w:themeShade="80"/>
          <w:sz w:val="22"/>
          <w:szCs w:val="22"/>
          <w:lang w:val="en-GB"/>
        </w:rPr>
        <w:t xml:space="preserve">the foreign representative would </w:t>
      </w:r>
      <w:r w:rsidR="00DC75FB">
        <w:rPr>
          <w:rFonts w:ascii="Avenir Next" w:hAnsi="Avenir Next" w:cs="Arial"/>
          <w:color w:val="808080" w:themeColor="background1" w:themeShade="80"/>
          <w:sz w:val="22"/>
          <w:szCs w:val="22"/>
          <w:lang w:val="en-GB"/>
        </w:rPr>
        <w:t xml:space="preserve">automatically </w:t>
      </w:r>
      <w:r w:rsidR="00877C6A">
        <w:rPr>
          <w:rFonts w:ascii="Avenir Next" w:hAnsi="Avenir Next" w:cs="Arial"/>
          <w:color w:val="808080" w:themeColor="background1" w:themeShade="80"/>
          <w:sz w:val="22"/>
          <w:szCs w:val="22"/>
          <w:lang w:val="en-GB"/>
        </w:rPr>
        <w:t xml:space="preserve">be </w:t>
      </w:r>
      <w:r w:rsidR="00DC75FB">
        <w:rPr>
          <w:rFonts w:ascii="Avenir Next" w:hAnsi="Avenir Next" w:cs="Arial"/>
          <w:color w:val="808080" w:themeColor="background1" w:themeShade="80"/>
          <w:sz w:val="22"/>
          <w:szCs w:val="22"/>
          <w:lang w:val="en-GB"/>
        </w:rPr>
        <w:t>granted access (without the need to apply for recognition)</w:t>
      </w:r>
      <w:r w:rsidR="00877C6A">
        <w:rPr>
          <w:rFonts w:ascii="Avenir Next" w:hAnsi="Avenir Next" w:cs="Arial"/>
          <w:color w:val="808080" w:themeColor="background1" w:themeShade="80"/>
          <w:sz w:val="22"/>
          <w:szCs w:val="22"/>
          <w:lang w:val="en-GB"/>
        </w:rPr>
        <w:t xml:space="preserve"> and would have </w:t>
      </w:r>
      <w:r w:rsidR="009248C0">
        <w:rPr>
          <w:rFonts w:ascii="Avenir Next" w:hAnsi="Avenir Next" w:cs="Arial"/>
          <w:color w:val="808080" w:themeColor="background1" w:themeShade="80"/>
          <w:sz w:val="22"/>
          <w:szCs w:val="22"/>
          <w:lang w:val="en-GB"/>
        </w:rPr>
        <w:t xml:space="preserve">standing in local courts </w:t>
      </w:r>
      <w:r w:rsidR="005E0F45">
        <w:rPr>
          <w:rFonts w:ascii="Avenir Next" w:hAnsi="Avenir Next" w:cs="Arial"/>
          <w:color w:val="808080" w:themeColor="background1" w:themeShade="80"/>
          <w:sz w:val="22"/>
          <w:szCs w:val="22"/>
          <w:lang w:val="en-GB"/>
        </w:rPr>
        <w:t>without the need for expensive and cumbersome procedures normally required in these circumstances.</w:t>
      </w:r>
    </w:p>
    <w:p w14:paraId="7703E22B" w14:textId="70B938AE" w:rsidR="005E0F45" w:rsidRDefault="005E0F45" w:rsidP="00877C6A">
      <w:pPr>
        <w:jc w:val="both"/>
        <w:rPr>
          <w:rFonts w:ascii="Avenir Next" w:hAnsi="Avenir Next" w:cs="Arial"/>
          <w:color w:val="808080" w:themeColor="background1" w:themeShade="80"/>
          <w:sz w:val="22"/>
          <w:szCs w:val="22"/>
          <w:lang w:val="en-GB"/>
        </w:rPr>
      </w:pPr>
    </w:p>
    <w:p w14:paraId="0CC05A8F" w14:textId="23AE6DDD" w:rsidR="004440AD" w:rsidRDefault="004440AD" w:rsidP="00877C6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 co-operation between the local (enacting) State and the foreign representative </w:t>
      </w:r>
      <w:r w:rsidR="00C10FE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and courts</w:t>
      </w:r>
      <w:r w:rsidR="00C10FE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can commence </w:t>
      </w:r>
      <w:r w:rsidR="00A06F36">
        <w:rPr>
          <w:rFonts w:ascii="Avenir Next" w:hAnsi="Avenir Next" w:cs="Arial"/>
          <w:color w:val="808080" w:themeColor="background1" w:themeShade="80"/>
          <w:sz w:val="22"/>
          <w:szCs w:val="22"/>
          <w:lang w:val="en-GB"/>
        </w:rPr>
        <w:t>ahead of the application for recognition, allowing for</w:t>
      </w:r>
      <w:r w:rsidR="00567C06">
        <w:rPr>
          <w:rFonts w:ascii="Avenir Next" w:hAnsi="Avenir Next" w:cs="Arial"/>
          <w:color w:val="808080" w:themeColor="background1" w:themeShade="80"/>
          <w:sz w:val="22"/>
          <w:szCs w:val="22"/>
          <w:lang w:val="en-GB"/>
        </w:rPr>
        <w:t xml:space="preserve"> an</w:t>
      </w:r>
      <w:r w:rsidR="00A06F36">
        <w:rPr>
          <w:rFonts w:ascii="Avenir Next" w:hAnsi="Avenir Next" w:cs="Arial"/>
          <w:color w:val="808080" w:themeColor="background1" w:themeShade="80"/>
          <w:sz w:val="22"/>
          <w:szCs w:val="22"/>
          <w:lang w:val="en-GB"/>
        </w:rPr>
        <w:t xml:space="preserve"> efficient exchange of information and </w:t>
      </w:r>
      <w:r w:rsidR="00567C06">
        <w:rPr>
          <w:rFonts w:ascii="Avenir Next" w:hAnsi="Avenir Next" w:cs="Arial"/>
          <w:color w:val="808080" w:themeColor="background1" w:themeShade="80"/>
          <w:sz w:val="22"/>
          <w:szCs w:val="22"/>
          <w:lang w:val="en-GB"/>
        </w:rPr>
        <w:t xml:space="preserve">a more transparent / predictable </w:t>
      </w:r>
      <w:r w:rsidR="00E72A2C">
        <w:rPr>
          <w:rFonts w:ascii="Avenir Next" w:hAnsi="Avenir Next" w:cs="Arial"/>
          <w:color w:val="808080" w:themeColor="background1" w:themeShade="80"/>
          <w:sz w:val="22"/>
          <w:szCs w:val="22"/>
          <w:lang w:val="en-GB"/>
        </w:rPr>
        <w:t xml:space="preserve">insolvency proceeding where </w:t>
      </w:r>
      <w:r w:rsidR="004067CE">
        <w:rPr>
          <w:rFonts w:ascii="Avenir Next" w:hAnsi="Avenir Next" w:cs="Arial"/>
          <w:color w:val="808080" w:themeColor="background1" w:themeShade="80"/>
          <w:sz w:val="22"/>
          <w:szCs w:val="22"/>
          <w:lang w:val="en-GB"/>
        </w:rPr>
        <w:t xml:space="preserve">stakeholders from different jurisdictions are </w:t>
      </w:r>
      <w:r w:rsidR="00C10FE8">
        <w:rPr>
          <w:rFonts w:ascii="Avenir Next" w:hAnsi="Avenir Next" w:cs="Arial"/>
          <w:color w:val="808080" w:themeColor="background1" w:themeShade="80"/>
          <w:sz w:val="22"/>
          <w:szCs w:val="22"/>
          <w:lang w:val="en-GB"/>
        </w:rPr>
        <w:t xml:space="preserve">treated </w:t>
      </w:r>
      <w:r w:rsidR="001B3FE1">
        <w:rPr>
          <w:rFonts w:ascii="Avenir Next" w:hAnsi="Avenir Next" w:cs="Arial"/>
          <w:color w:val="808080" w:themeColor="background1" w:themeShade="80"/>
          <w:sz w:val="22"/>
          <w:szCs w:val="22"/>
          <w:lang w:val="en-GB"/>
        </w:rPr>
        <w:t xml:space="preserve">more equally. Further </w:t>
      </w:r>
      <w:r w:rsidR="00373B98">
        <w:rPr>
          <w:rFonts w:ascii="Avenir Next" w:hAnsi="Avenir Next" w:cs="Arial"/>
          <w:color w:val="808080" w:themeColor="background1" w:themeShade="80"/>
          <w:sz w:val="22"/>
          <w:szCs w:val="22"/>
          <w:lang w:val="en-GB"/>
        </w:rPr>
        <w:t>details can be found in Articles 25 to 27 and the Practice Guide.</w:t>
      </w:r>
      <w:r w:rsidR="00C82D77">
        <w:rPr>
          <w:rFonts w:ascii="Avenir Next" w:hAnsi="Avenir Next" w:cs="Arial"/>
          <w:color w:val="808080" w:themeColor="background1" w:themeShade="80"/>
          <w:sz w:val="22"/>
          <w:szCs w:val="22"/>
          <w:lang w:val="en-GB"/>
        </w:rPr>
        <w:t xml:space="preserve"> Specifically:</w:t>
      </w:r>
    </w:p>
    <w:p w14:paraId="75B96B0F" w14:textId="654D0BFE" w:rsidR="00C82D77" w:rsidRDefault="00C82D77" w:rsidP="00877C6A">
      <w:pPr>
        <w:jc w:val="both"/>
        <w:rPr>
          <w:rFonts w:ascii="Avenir Next" w:hAnsi="Avenir Next" w:cs="Arial"/>
          <w:color w:val="808080" w:themeColor="background1" w:themeShade="80"/>
          <w:sz w:val="22"/>
          <w:szCs w:val="22"/>
          <w:lang w:val="en-GB"/>
        </w:rPr>
      </w:pPr>
    </w:p>
    <w:p w14:paraId="57D1FEB1" w14:textId="212A7721" w:rsidR="00C82D77" w:rsidRDefault="00C82D77" w:rsidP="00C82D77">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25 outlines that the court in the enacting </w:t>
      </w:r>
      <w:r w:rsidR="00451729">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tate </w:t>
      </w:r>
      <w:r w:rsidR="00451729">
        <w:rPr>
          <w:rFonts w:ascii="Avenir Next" w:hAnsi="Avenir Next" w:cs="Arial"/>
          <w:color w:val="808080" w:themeColor="background1" w:themeShade="80"/>
          <w:sz w:val="22"/>
          <w:szCs w:val="22"/>
          <w:u w:val="single"/>
          <w:lang w:val="en-GB"/>
        </w:rPr>
        <w:t>must</w:t>
      </w:r>
      <w:r w:rsidR="00451729">
        <w:rPr>
          <w:rFonts w:ascii="Avenir Next" w:hAnsi="Avenir Next" w:cs="Arial"/>
          <w:color w:val="808080" w:themeColor="background1" w:themeShade="80"/>
          <w:sz w:val="22"/>
          <w:szCs w:val="22"/>
          <w:lang w:val="en-GB"/>
        </w:rPr>
        <w:t xml:space="preserve"> </w:t>
      </w:r>
      <w:proofErr w:type="gramStart"/>
      <w:r w:rsidR="00451729">
        <w:rPr>
          <w:rFonts w:ascii="Avenir Next" w:hAnsi="Avenir Next" w:cs="Arial"/>
          <w:color w:val="808080" w:themeColor="background1" w:themeShade="80"/>
          <w:sz w:val="22"/>
          <w:szCs w:val="22"/>
          <w:lang w:val="en-GB"/>
        </w:rPr>
        <w:t>co-operate;</w:t>
      </w:r>
      <w:proofErr w:type="gramEnd"/>
    </w:p>
    <w:p w14:paraId="544F99E5" w14:textId="37205B61" w:rsidR="00451729" w:rsidRDefault="00451729" w:rsidP="00C82D77">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26 </w:t>
      </w:r>
      <w:r w:rsidR="007B7C41">
        <w:rPr>
          <w:rFonts w:ascii="Avenir Next" w:hAnsi="Avenir Next" w:cs="Arial"/>
          <w:color w:val="808080" w:themeColor="background1" w:themeShade="80"/>
          <w:sz w:val="22"/>
          <w:szCs w:val="22"/>
          <w:lang w:val="en-GB"/>
        </w:rPr>
        <w:t>provides additional support</w:t>
      </w:r>
      <w:r w:rsidR="009A258F">
        <w:rPr>
          <w:rFonts w:ascii="Avenir Next" w:hAnsi="Avenir Next" w:cs="Arial"/>
          <w:color w:val="808080" w:themeColor="background1" w:themeShade="80"/>
          <w:sz w:val="22"/>
          <w:szCs w:val="22"/>
          <w:lang w:val="en-GB"/>
        </w:rPr>
        <w:t xml:space="preserve"> as it </w:t>
      </w:r>
      <w:r w:rsidR="001D5F6F">
        <w:rPr>
          <w:rFonts w:ascii="Avenir Next" w:hAnsi="Avenir Next" w:cs="Arial"/>
          <w:color w:val="808080" w:themeColor="background1" w:themeShade="80"/>
          <w:sz w:val="22"/>
          <w:szCs w:val="22"/>
          <w:lang w:val="en-GB"/>
        </w:rPr>
        <w:t>requires</w:t>
      </w:r>
      <w:r w:rsidR="009A258F">
        <w:rPr>
          <w:rFonts w:ascii="Avenir Next" w:hAnsi="Avenir Next" w:cs="Arial"/>
          <w:color w:val="808080" w:themeColor="background1" w:themeShade="80"/>
          <w:sz w:val="22"/>
          <w:szCs w:val="22"/>
          <w:lang w:val="en-GB"/>
        </w:rPr>
        <w:t xml:space="preserve"> the local insolvency office holder to co-operate;</w:t>
      </w:r>
      <w:r w:rsidR="00AF4B48">
        <w:rPr>
          <w:rFonts w:ascii="Avenir Next" w:hAnsi="Avenir Next" w:cs="Arial"/>
          <w:color w:val="808080" w:themeColor="background1" w:themeShade="80"/>
          <w:sz w:val="22"/>
          <w:szCs w:val="22"/>
          <w:lang w:val="en-GB"/>
        </w:rPr>
        <w:t xml:space="preserve"> and</w:t>
      </w:r>
    </w:p>
    <w:p w14:paraId="20FA5FE2" w14:textId="483E4A1E" w:rsidR="009A258F" w:rsidRDefault="009A258F" w:rsidP="00C82D77">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27 </w:t>
      </w:r>
      <w:r w:rsidR="001D18BC">
        <w:rPr>
          <w:rFonts w:ascii="Avenir Next" w:hAnsi="Avenir Next" w:cs="Arial"/>
          <w:color w:val="808080" w:themeColor="background1" w:themeShade="80"/>
          <w:sz w:val="22"/>
          <w:szCs w:val="22"/>
          <w:lang w:val="en-GB"/>
        </w:rPr>
        <w:t xml:space="preserve">outlines </w:t>
      </w:r>
      <w:proofErr w:type="gramStart"/>
      <w:r w:rsidR="001D18BC">
        <w:rPr>
          <w:rFonts w:ascii="Avenir Next" w:hAnsi="Avenir Next" w:cs="Arial"/>
          <w:color w:val="808080" w:themeColor="background1" w:themeShade="80"/>
          <w:sz w:val="22"/>
          <w:szCs w:val="22"/>
          <w:lang w:val="en-GB"/>
        </w:rPr>
        <w:t>a number of</w:t>
      </w:r>
      <w:proofErr w:type="gramEnd"/>
      <w:r w:rsidR="001D18BC">
        <w:rPr>
          <w:rFonts w:ascii="Avenir Next" w:hAnsi="Avenir Next" w:cs="Arial"/>
          <w:color w:val="808080" w:themeColor="background1" w:themeShade="80"/>
          <w:sz w:val="22"/>
          <w:szCs w:val="22"/>
          <w:lang w:val="en-GB"/>
        </w:rPr>
        <w:t xml:space="preserve"> cooperation and communication mechanisms </w:t>
      </w:r>
      <w:r w:rsidR="00AF4B48">
        <w:rPr>
          <w:rFonts w:ascii="Avenir Next" w:hAnsi="Avenir Next" w:cs="Arial"/>
          <w:color w:val="808080" w:themeColor="background1" w:themeShade="80"/>
          <w:sz w:val="22"/>
          <w:szCs w:val="22"/>
          <w:lang w:val="en-GB"/>
        </w:rPr>
        <w:t>that can be followed to assist with Articles 25 and 26.</w:t>
      </w:r>
    </w:p>
    <w:p w14:paraId="18AE3E69" w14:textId="48992691" w:rsidR="00AF4B48" w:rsidRDefault="00AF4B48" w:rsidP="00AF4B48">
      <w:pPr>
        <w:jc w:val="both"/>
        <w:rPr>
          <w:rFonts w:ascii="Avenir Next" w:hAnsi="Avenir Next" w:cs="Arial"/>
          <w:color w:val="808080" w:themeColor="background1" w:themeShade="80"/>
          <w:sz w:val="22"/>
          <w:szCs w:val="22"/>
          <w:lang w:val="en-GB"/>
        </w:rPr>
      </w:pPr>
    </w:p>
    <w:p w14:paraId="36696A15" w14:textId="3E2B041C" w:rsidR="00AF4B48" w:rsidRDefault="00AF4B48" w:rsidP="00AF4B4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w:t>
      </w:r>
      <w:r w:rsidR="00816394">
        <w:rPr>
          <w:rFonts w:ascii="Avenir Next" w:hAnsi="Avenir Next" w:cs="Arial"/>
          <w:color w:val="808080" w:themeColor="background1" w:themeShade="80"/>
          <w:sz w:val="22"/>
          <w:szCs w:val="22"/>
          <w:lang w:val="en-GB"/>
        </w:rPr>
        <w:t>the Practice Guide contains practical steps</w:t>
      </w:r>
      <w:r w:rsidR="00071026">
        <w:rPr>
          <w:rFonts w:ascii="Avenir Next" w:hAnsi="Avenir Next" w:cs="Arial"/>
          <w:color w:val="808080" w:themeColor="background1" w:themeShade="80"/>
          <w:sz w:val="22"/>
          <w:szCs w:val="22"/>
          <w:lang w:val="en-GB"/>
        </w:rPr>
        <w:t xml:space="preserve"> (based on prior experience from similar situations)</w:t>
      </w:r>
      <w:r w:rsidR="00816394">
        <w:rPr>
          <w:rFonts w:ascii="Avenir Next" w:hAnsi="Avenir Next" w:cs="Arial"/>
          <w:color w:val="808080" w:themeColor="background1" w:themeShade="80"/>
          <w:sz w:val="22"/>
          <w:szCs w:val="22"/>
          <w:lang w:val="en-GB"/>
        </w:rPr>
        <w:t xml:space="preserve"> for implementing some of the </w:t>
      </w:r>
      <w:r w:rsidR="00D73E4F">
        <w:rPr>
          <w:rFonts w:ascii="Avenir Next" w:hAnsi="Avenir Next" w:cs="Arial"/>
          <w:color w:val="808080" w:themeColor="background1" w:themeShade="80"/>
          <w:sz w:val="22"/>
          <w:szCs w:val="22"/>
          <w:lang w:val="en-GB"/>
        </w:rPr>
        <w:t>points discussed above</w:t>
      </w:r>
      <w:r w:rsidR="00071026">
        <w:rPr>
          <w:rFonts w:ascii="Avenir Next" w:hAnsi="Avenir Next" w:cs="Arial"/>
          <w:color w:val="808080" w:themeColor="background1" w:themeShade="80"/>
          <w:sz w:val="22"/>
          <w:szCs w:val="22"/>
          <w:lang w:val="en-GB"/>
        </w:rPr>
        <w:t xml:space="preserve">, which could help </w:t>
      </w:r>
      <w:r w:rsidR="007A6B26">
        <w:rPr>
          <w:rFonts w:ascii="Avenir Next" w:hAnsi="Avenir Next" w:cs="Arial"/>
          <w:color w:val="808080" w:themeColor="background1" w:themeShade="80"/>
          <w:sz w:val="22"/>
          <w:szCs w:val="22"/>
          <w:lang w:val="en-GB"/>
        </w:rPr>
        <w:t>the foreign representative in taking immediate action to preserve the rights of creditors</w:t>
      </w:r>
      <w:r w:rsidR="004B3DE5">
        <w:rPr>
          <w:rFonts w:ascii="Avenir Next" w:hAnsi="Avenir Next" w:cs="Arial"/>
          <w:color w:val="808080" w:themeColor="background1" w:themeShade="80"/>
          <w:sz w:val="22"/>
          <w:szCs w:val="22"/>
          <w:lang w:val="en-GB"/>
        </w:rPr>
        <w:t xml:space="preserve"> in State A</w:t>
      </w:r>
      <w:r w:rsidR="007A6B26">
        <w:rPr>
          <w:rFonts w:ascii="Avenir Next" w:hAnsi="Avenir Next" w:cs="Arial"/>
          <w:color w:val="808080" w:themeColor="background1" w:themeShade="80"/>
          <w:sz w:val="22"/>
          <w:szCs w:val="22"/>
          <w:lang w:val="en-GB"/>
        </w:rPr>
        <w:t>.</w:t>
      </w:r>
    </w:p>
    <w:p w14:paraId="13498110" w14:textId="05E902F4" w:rsidR="00991127" w:rsidRDefault="00991127" w:rsidP="00AF4B48">
      <w:pPr>
        <w:jc w:val="both"/>
        <w:rPr>
          <w:rFonts w:ascii="Avenir Next" w:hAnsi="Avenir Next" w:cs="Arial"/>
          <w:color w:val="808080" w:themeColor="background1" w:themeShade="80"/>
          <w:sz w:val="22"/>
          <w:szCs w:val="22"/>
          <w:lang w:val="en-GB"/>
        </w:rPr>
      </w:pPr>
    </w:p>
    <w:p w14:paraId="572310B3" w14:textId="04CBD9B0" w:rsidR="00991127" w:rsidRPr="00AF4B48" w:rsidRDefault="00991127" w:rsidP="00AF4B4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What is not entirely clear is whether the proceeding in State B would be considered a foreign main or non-main proceeding, based on the COMI of the debtor</w:t>
      </w:r>
      <w:r w:rsidR="00E67B4A">
        <w:rPr>
          <w:rFonts w:ascii="Avenir Next" w:hAnsi="Avenir Next" w:cs="Arial"/>
          <w:color w:val="808080" w:themeColor="background1" w:themeShade="80"/>
          <w:sz w:val="22"/>
          <w:szCs w:val="22"/>
          <w:lang w:val="en-GB"/>
        </w:rPr>
        <w:t xml:space="preserve">. That will </w:t>
      </w:r>
      <w:r w:rsidR="000A0BDA">
        <w:rPr>
          <w:rFonts w:ascii="Avenir Next" w:hAnsi="Avenir Next" w:cs="Arial"/>
          <w:color w:val="808080" w:themeColor="background1" w:themeShade="80"/>
          <w:sz w:val="22"/>
          <w:szCs w:val="22"/>
          <w:lang w:val="en-GB"/>
        </w:rPr>
        <w:t>initially</w:t>
      </w:r>
      <w:r w:rsidR="00E67B4A">
        <w:rPr>
          <w:rFonts w:ascii="Avenir Next" w:hAnsi="Avenir Next" w:cs="Arial"/>
          <w:color w:val="808080" w:themeColor="background1" w:themeShade="80"/>
          <w:sz w:val="22"/>
          <w:szCs w:val="22"/>
          <w:lang w:val="en-GB"/>
        </w:rPr>
        <w:t xml:space="preserve"> drive the </w:t>
      </w:r>
      <w:r w:rsidR="000A0BDA">
        <w:rPr>
          <w:rFonts w:ascii="Avenir Next" w:hAnsi="Avenir Next" w:cs="Arial"/>
          <w:color w:val="808080" w:themeColor="background1" w:themeShade="80"/>
          <w:sz w:val="22"/>
          <w:szCs w:val="22"/>
          <w:lang w:val="en-GB"/>
        </w:rPr>
        <w:t>recognition classification and subsequently the type of relief available to the debtor.</w:t>
      </w:r>
    </w:p>
    <w:p w14:paraId="16E60FEA" w14:textId="77777777" w:rsidR="00915FBA" w:rsidRDefault="00915FBA" w:rsidP="00867A8F">
      <w:pPr>
        <w:ind w:left="720" w:hanging="720"/>
        <w:jc w:val="both"/>
        <w:rPr>
          <w:rFonts w:ascii="Avenir Next" w:hAnsi="Avenir Next" w:cs="Arial"/>
          <w:color w:val="808080" w:themeColor="background1" w:themeShade="80"/>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w:t>
      </w:r>
      <w:proofErr w:type="gramStart"/>
      <w:r w:rsidRPr="00E2622D">
        <w:rPr>
          <w:rFonts w:ascii="Avenir Next" w:hAnsi="Avenir Next" w:cs="Arial"/>
          <w:sz w:val="22"/>
          <w:szCs w:val="22"/>
          <w:lang w:val="en-GB"/>
        </w:rPr>
        <w:t xml:space="preserve">Assuming </w:t>
      </w:r>
      <w:r w:rsidR="00A54000">
        <w:rPr>
          <w:rFonts w:ascii="Avenir Next" w:hAnsi="Avenir Next" w:cs="Arial"/>
          <w:sz w:val="22"/>
          <w:szCs w:val="22"/>
          <w:lang w:val="en-GB"/>
        </w:rPr>
        <w:t>that</w:t>
      </w:r>
      <w:proofErr w:type="gramEnd"/>
      <w:r w:rsidR="00A54000">
        <w:rPr>
          <w:rFonts w:ascii="Avenir Next" w:hAnsi="Avenir Next" w:cs="Arial"/>
          <w:sz w:val="22"/>
          <w:szCs w:val="22"/>
          <w:lang w:val="en-GB"/>
        </w:rPr>
        <w:t xml:space="preserve">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E53AE6B" w14:textId="70B92729" w:rsidR="00CA0EE4" w:rsidRDefault="004979EB" w:rsidP="00DE22A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Recognition </w:t>
      </w:r>
      <w:r w:rsidR="00A461D9">
        <w:rPr>
          <w:rFonts w:ascii="Avenir Next" w:hAnsi="Avenir Next" w:cs="Arial"/>
          <w:color w:val="808080" w:themeColor="background1" w:themeShade="80"/>
          <w:sz w:val="22"/>
          <w:szCs w:val="22"/>
          <w:lang w:val="en-GB"/>
        </w:rPr>
        <w:t xml:space="preserve">of the foreign office holder </w:t>
      </w:r>
      <w:r w:rsidR="007B1B5F">
        <w:rPr>
          <w:rFonts w:ascii="Avenir Next" w:hAnsi="Avenir Next" w:cs="Arial"/>
          <w:color w:val="808080" w:themeColor="background1" w:themeShade="80"/>
          <w:sz w:val="22"/>
          <w:szCs w:val="22"/>
          <w:lang w:val="en-GB"/>
        </w:rPr>
        <w:t>helps the office holder access certain tools and protections</w:t>
      </w:r>
      <w:r w:rsidR="00082FD3">
        <w:rPr>
          <w:rFonts w:ascii="Avenir Next" w:hAnsi="Avenir Next" w:cs="Arial"/>
          <w:color w:val="808080" w:themeColor="background1" w:themeShade="80"/>
          <w:sz w:val="22"/>
          <w:szCs w:val="22"/>
          <w:lang w:val="en-GB"/>
        </w:rPr>
        <w:t xml:space="preserve"> available locally (e.g., examination of witnesses) and circumvents the need to open a separate foreign proceeding in the enacting State.</w:t>
      </w:r>
      <w:r w:rsidR="00A229ED">
        <w:rPr>
          <w:rFonts w:ascii="Avenir Next" w:hAnsi="Avenir Next" w:cs="Arial"/>
          <w:color w:val="808080" w:themeColor="background1" w:themeShade="80"/>
          <w:sz w:val="22"/>
          <w:szCs w:val="22"/>
          <w:lang w:val="en-GB"/>
        </w:rPr>
        <w:t xml:space="preserve"> </w:t>
      </w:r>
      <w:r w:rsidR="002B54FB">
        <w:rPr>
          <w:rFonts w:ascii="Avenir Next" w:hAnsi="Avenir Next" w:cs="Arial"/>
          <w:color w:val="808080" w:themeColor="background1" w:themeShade="80"/>
          <w:sz w:val="22"/>
          <w:szCs w:val="22"/>
          <w:lang w:val="en-GB"/>
        </w:rPr>
        <w:t>Articles 15 to 17 contain relevant provisions that dictate recognition requirements</w:t>
      </w:r>
      <w:r w:rsidR="00B66062">
        <w:rPr>
          <w:rFonts w:ascii="Avenir Next" w:hAnsi="Avenir Next" w:cs="Arial"/>
          <w:color w:val="808080" w:themeColor="background1" w:themeShade="80"/>
          <w:sz w:val="22"/>
          <w:szCs w:val="22"/>
          <w:lang w:val="en-GB"/>
        </w:rPr>
        <w:t xml:space="preserve"> and presumptions permitting the foreign office holder to avoid </w:t>
      </w:r>
      <w:r w:rsidR="005B6570">
        <w:rPr>
          <w:rFonts w:ascii="Avenir Next" w:hAnsi="Avenir Next" w:cs="Arial"/>
          <w:color w:val="808080" w:themeColor="background1" w:themeShade="80"/>
          <w:sz w:val="22"/>
          <w:szCs w:val="22"/>
          <w:lang w:val="en-GB"/>
        </w:rPr>
        <w:t>a drawn-out and lengthy process to initiate a separate set of proceedings locally.</w:t>
      </w:r>
    </w:p>
    <w:p w14:paraId="446AB1AC" w14:textId="59CED35D" w:rsidR="00CA0EE4" w:rsidRDefault="00CA0EE4" w:rsidP="00DE22AD">
      <w:pPr>
        <w:jc w:val="both"/>
        <w:rPr>
          <w:rFonts w:ascii="Avenir Next" w:hAnsi="Avenir Next" w:cs="Arial"/>
          <w:color w:val="808080" w:themeColor="background1" w:themeShade="80"/>
          <w:sz w:val="22"/>
          <w:szCs w:val="22"/>
          <w:lang w:val="en-GB"/>
        </w:rPr>
      </w:pPr>
    </w:p>
    <w:p w14:paraId="6105A5E4" w14:textId="6288D766" w:rsidR="00A95A00" w:rsidRDefault="0072224F" w:rsidP="00DE22A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far as requirements for recognition are concerned, Article 15 provides a list of </w:t>
      </w:r>
      <w:r w:rsidR="0007628A">
        <w:rPr>
          <w:rFonts w:ascii="Avenir Next" w:hAnsi="Avenir Next" w:cs="Arial"/>
          <w:color w:val="808080" w:themeColor="background1" w:themeShade="80"/>
          <w:sz w:val="22"/>
          <w:szCs w:val="22"/>
          <w:lang w:val="en-GB"/>
        </w:rPr>
        <w:t xml:space="preserve">documents that would normally be required for this purpose, including certified copies of decisions to commence </w:t>
      </w:r>
      <w:r w:rsidR="00BB7E4B">
        <w:rPr>
          <w:rFonts w:ascii="Avenir Next" w:hAnsi="Avenir Next" w:cs="Arial"/>
          <w:color w:val="808080" w:themeColor="background1" w:themeShade="80"/>
          <w:sz w:val="22"/>
          <w:szCs w:val="22"/>
          <w:lang w:val="en-GB"/>
        </w:rPr>
        <w:t xml:space="preserve">the foreign </w:t>
      </w:r>
      <w:r w:rsidR="0007628A">
        <w:rPr>
          <w:rFonts w:ascii="Avenir Next" w:hAnsi="Avenir Next" w:cs="Arial"/>
          <w:color w:val="808080" w:themeColor="background1" w:themeShade="80"/>
          <w:sz w:val="22"/>
          <w:szCs w:val="22"/>
          <w:lang w:val="en-GB"/>
        </w:rPr>
        <w:t>proceedings</w:t>
      </w:r>
      <w:r w:rsidR="00BB7E4B">
        <w:rPr>
          <w:rFonts w:ascii="Avenir Next" w:hAnsi="Avenir Next" w:cs="Arial"/>
          <w:color w:val="808080" w:themeColor="background1" w:themeShade="80"/>
          <w:sz w:val="22"/>
          <w:szCs w:val="22"/>
          <w:lang w:val="en-GB"/>
        </w:rPr>
        <w:t xml:space="preserve"> or appoint the insolvency professional</w:t>
      </w:r>
      <w:r w:rsidR="00327400">
        <w:rPr>
          <w:rFonts w:ascii="Avenir Next" w:hAnsi="Avenir Next" w:cs="Arial"/>
          <w:color w:val="808080" w:themeColor="background1" w:themeShade="80"/>
          <w:sz w:val="22"/>
          <w:szCs w:val="22"/>
          <w:lang w:val="en-GB"/>
        </w:rPr>
        <w:t xml:space="preserve">, certificates from foreign courts confirming </w:t>
      </w:r>
      <w:r w:rsidR="00327400">
        <w:rPr>
          <w:rFonts w:ascii="Avenir Next" w:hAnsi="Avenir Next" w:cs="Arial"/>
          <w:color w:val="808080" w:themeColor="background1" w:themeShade="80"/>
          <w:sz w:val="22"/>
          <w:szCs w:val="22"/>
          <w:lang w:val="en-GB"/>
        </w:rPr>
        <w:lastRenderedPageBreak/>
        <w:t>existence of proceedings</w:t>
      </w:r>
      <w:r w:rsidR="004735F2">
        <w:rPr>
          <w:rFonts w:ascii="Avenir Next" w:hAnsi="Avenir Next" w:cs="Arial"/>
          <w:color w:val="808080" w:themeColor="background1" w:themeShade="80"/>
          <w:sz w:val="22"/>
          <w:szCs w:val="22"/>
          <w:lang w:val="en-GB"/>
        </w:rPr>
        <w:t>, or, in absence of these documents, any other evidence.</w:t>
      </w:r>
      <w:r w:rsidR="00B31E31">
        <w:rPr>
          <w:rFonts w:ascii="Avenir Next" w:hAnsi="Avenir Next" w:cs="Arial"/>
          <w:color w:val="808080" w:themeColor="background1" w:themeShade="80"/>
          <w:sz w:val="22"/>
          <w:szCs w:val="22"/>
          <w:lang w:val="en-GB"/>
        </w:rPr>
        <w:t xml:space="preserve"> In addition, the foreign representative would </w:t>
      </w:r>
      <w:r w:rsidR="006017D1">
        <w:rPr>
          <w:rFonts w:ascii="Avenir Next" w:hAnsi="Avenir Next" w:cs="Arial"/>
          <w:color w:val="808080" w:themeColor="background1" w:themeShade="80"/>
          <w:sz w:val="22"/>
          <w:szCs w:val="22"/>
          <w:lang w:val="en-GB"/>
        </w:rPr>
        <w:t xml:space="preserve">(to the best of their knowledge) </w:t>
      </w:r>
      <w:proofErr w:type="gramStart"/>
      <w:r w:rsidR="00B31E31">
        <w:rPr>
          <w:rFonts w:ascii="Avenir Next" w:hAnsi="Avenir Next" w:cs="Arial"/>
          <w:color w:val="808080" w:themeColor="background1" w:themeShade="80"/>
          <w:sz w:val="22"/>
          <w:szCs w:val="22"/>
          <w:lang w:val="en-GB"/>
        </w:rPr>
        <w:t>have to</w:t>
      </w:r>
      <w:proofErr w:type="gramEnd"/>
      <w:r w:rsidR="00B31E31">
        <w:rPr>
          <w:rFonts w:ascii="Avenir Next" w:hAnsi="Avenir Next" w:cs="Arial"/>
          <w:color w:val="808080" w:themeColor="background1" w:themeShade="80"/>
          <w:sz w:val="22"/>
          <w:szCs w:val="22"/>
          <w:lang w:val="en-GB"/>
        </w:rPr>
        <w:t xml:space="preserve"> </w:t>
      </w:r>
      <w:r w:rsidR="006017D1">
        <w:rPr>
          <w:rFonts w:ascii="Avenir Next" w:hAnsi="Avenir Next" w:cs="Arial"/>
          <w:color w:val="808080" w:themeColor="background1" w:themeShade="80"/>
          <w:sz w:val="22"/>
          <w:szCs w:val="22"/>
          <w:lang w:val="en-GB"/>
        </w:rPr>
        <w:t>declare all foreign proceedings</w:t>
      </w:r>
      <w:r w:rsidR="00BB7E4B">
        <w:rPr>
          <w:rFonts w:ascii="Avenir Next" w:hAnsi="Avenir Next" w:cs="Arial"/>
          <w:color w:val="808080" w:themeColor="background1" w:themeShade="80"/>
          <w:sz w:val="22"/>
          <w:szCs w:val="22"/>
          <w:lang w:val="en-GB"/>
        </w:rPr>
        <w:t xml:space="preserve"> </w:t>
      </w:r>
      <w:r w:rsidR="004E1A5E">
        <w:rPr>
          <w:rFonts w:ascii="Avenir Next" w:hAnsi="Avenir Next" w:cs="Arial"/>
          <w:color w:val="808080" w:themeColor="background1" w:themeShade="80"/>
          <w:sz w:val="22"/>
          <w:szCs w:val="22"/>
          <w:lang w:val="en-GB"/>
        </w:rPr>
        <w:t>against the debtor.</w:t>
      </w:r>
    </w:p>
    <w:p w14:paraId="69D5E9FF" w14:textId="77777777" w:rsidR="00A95A00" w:rsidRDefault="00A95A00" w:rsidP="00DE22AD">
      <w:pPr>
        <w:jc w:val="both"/>
        <w:rPr>
          <w:rFonts w:ascii="Avenir Next" w:hAnsi="Avenir Next" w:cs="Arial"/>
          <w:color w:val="808080" w:themeColor="background1" w:themeShade="80"/>
          <w:sz w:val="22"/>
          <w:szCs w:val="22"/>
          <w:lang w:val="en-GB"/>
        </w:rPr>
      </w:pPr>
    </w:p>
    <w:p w14:paraId="02C43BD4" w14:textId="70367EAF" w:rsidR="00DB2892" w:rsidRDefault="005C0E42" w:rsidP="009B0CA3">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simplify the process, and presumably to </w:t>
      </w:r>
      <w:r w:rsidR="00B80DC2">
        <w:rPr>
          <w:rFonts w:ascii="Avenir Next" w:hAnsi="Avenir Next" w:cs="Arial"/>
          <w:color w:val="808080" w:themeColor="background1" w:themeShade="80"/>
          <w:sz w:val="22"/>
          <w:szCs w:val="22"/>
          <w:lang w:val="en-GB"/>
        </w:rPr>
        <w:t>highlight</w:t>
      </w:r>
      <w:r w:rsidR="00537780">
        <w:rPr>
          <w:rFonts w:ascii="Avenir Next" w:hAnsi="Avenir Next" w:cs="Arial"/>
          <w:color w:val="808080" w:themeColor="background1" w:themeShade="80"/>
          <w:sz w:val="22"/>
          <w:szCs w:val="22"/>
          <w:lang w:val="en-GB"/>
        </w:rPr>
        <w:t xml:space="preserve"> the autonomy of the courts in the enacting State, Article 16 </w:t>
      </w:r>
      <w:r w:rsidR="00140626">
        <w:rPr>
          <w:rFonts w:ascii="Avenir Next" w:hAnsi="Avenir Next" w:cs="Arial"/>
          <w:color w:val="808080" w:themeColor="background1" w:themeShade="80"/>
          <w:sz w:val="22"/>
          <w:szCs w:val="22"/>
          <w:lang w:val="en-GB"/>
        </w:rPr>
        <w:t>recognizes</w:t>
      </w:r>
      <w:r w:rsidR="00B80DC2">
        <w:rPr>
          <w:rFonts w:ascii="Avenir Next" w:hAnsi="Avenir Next" w:cs="Arial"/>
          <w:color w:val="808080" w:themeColor="background1" w:themeShade="80"/>
          <w:sz w:val="22"/>
          <w:szCs w:val="22"/>
          <w:lang w:val="en-GB"/>
        </w:rPr>
        <w:t xml:space="preserve"> the local courts’ </w:t>
      </w:r>
      <w:r w:rsidR="003B1689">
        <w:rPr>
          <w:rFonts w:ascii="Avenir Next" w:hAnsi="Avenir Next" w:cs="Arial"/>
          <w:color w:val="808080" w:themeColor="background1" w:themeShade="80"/>
          <w:sz w:val="22"/>
          <w:szCs w:val="22"/>
          <w:lang w:val="en-GB"/>
        </w:rPr>
        <w:t>right to exercise their judgement</w:t>
      </w:r>
      <w:r w:rsidR="005E0404">
        <w:rPr>
          <w:rFonts w:ascii="Avenir Next" w:hAnsi="Avenir Next" w:cs="Arial"/>
          <w:color w:val="808080" w:themeColor="background1" w:themeShade="80"/>
          <w:sz w:val="22"/>
          <w:szCs w:val="22"/>
          <w:lang w:val="en-GB"/>
        </w:rPr>
        <w:t xml:space="preserve">. Specifically in the case of </w:t>
      </w:r>
      <w:r w:rsidR="00953C4E">
        <w:rPr>
          <w:rFonts w:ascii="Avenir Next" w:hAnsi="Avenir Next" w:cs="Arial"/>
          <w:color w:val="808080" w:themeColor="background1" w:themeShade="80"/>
          <w:sz w:val="22"/>
          <w:szCs w:val="22"/>
          <w:lang w:val="en-GB"/>
        </w:rPr>
        <w:t>Article 16, local courts can</w:t>
      </w:r>
      <w:r w:rsidR="00DC06A7">
        <w:rPr>
          <w:rFonts w:ascii="Avenir Next" w:hAnsi="Avenir Next" w:cs="Arial"/>
          <w:color w:val="808080" w:themeColor="background1" w:themeShade="80"/>
          <w:sz w:val="22"/>
          <w:szCs w:val="22"/>
          <w:lang w:val="en-GB"/>
        </w:rPr>
        <w:t xml:space="preserve"> assum</w:t>
      </w:r>
      <w:r w:rsidR="00953C4E">
        <w:rPr>
          <w:rFonts w:ascii="Avenir Next" w:hAnsi="Avenir Next" w:cs="Arial"/>
          <w:color w:val="808080" w:themeColor="background1" w:themeShade="80"/>
          <w:sz w:val="22"/>
          <w:szCs w:val="22"/>
          <w:lang w:val="en-GB"/>
        </w:rPr>
        <w:t>e</w:t>
      </w:r>
      <w:r w:rsidR="00DC06A7">
        <w:rPr>
          <w:rFonts w:ascii="Avenir Next" w:hAnsi="Avenir Next" w:cs="Arial"/>
          <w:color w:val="808080" w:themeColor="background1" w:themeShade="80"/>
          <w:sz w:val="22"/>
          <w:szCs w:val="22"/>
          <w:lang w:val="en-GB"/>
        </w:rPr>
        <w:t xml:space="preserve"> that </w:t>
      </w:r>
      <w:r w:rsidR="000B195F">
        <w:rPr>
          <w:rFonts w:ascii="Avenir Next" w:hAnsi="Avenir Next" w:cs="Arial"/>
          <w:color w:val="808080" w:themeColor="background1" w:themeShade="80"/>
          <w:sz w:val="22"/>
          <w:szCs w:val="22"/>
          <w:lang w:val="en-GB"/>
        </w:rPr>
        <w:t xml:space="preserve">the foreign proceedings qualify under </w:t>
      </w:r>
      <w:r w:rsidR="005E0404">
        <w:rPr>
          <w:rFonts w:ascii="Avenir Next" w:hAnsi="Avenir Next" w:cs="Arial"/>
          <w:color w:val="808080" w:themeColor="background1" w:themeShade="80"/>
          <w:sz w:val="22"/>
          <w:szCs w:val="22"/>
          <w:lang w:val="en-GB"/>
        </w:rPr>
        <w:t xml:space="preserve">article 2(a) </w:t>
      </w:r>
      <w:r w:rsidR="00953C4E">
        <w:rPr>
          <w:rFonts w:ascii="Avenir Next" w:hAnsi="Avenir Next" w:cs="Arial"/>
          <w:color w:val="808080" w:themeColor="background1" w:themeShade="80"/>
          <w:sz w:val="22"/>
          <w:szCs w:val="22"/>
          <w:lang w:val="en-GB"/>
        </w:rPr>
        <w:t>and</w:t>
      </w:r>
      <w:r w:rsidR="005E0404">
        <w:rPr>
          <w:rFonts w:ascii="Avenir Next" w:hAnsi="Avenir Next" w:cs="Arial"/>
          <w:color w:val="808080" w:themeColor="background1" w:themeShade="80"/>
          <w:sz w:val="22"/>
          <w:szCs w:val="22"/>
          <w:lang w:val="en-GB"/>
        </w:rPr>
        <w:t xml:space="preserve"> that the </w:t>
      </w:r>
      <w:r w:rsidR="002A0D99">
        <w:rPr>
          <w:rFonts w:ascii="Avenir Next" w:hAnsi="Avenir Next" w:cs="Arial"/>
          <w:color w:val="808080" w:themeColor="background1" w:themeShade="80"/>
          <w:sz w:val="22"/>
          <w:szCs w:val="22"/>
          <w:lang w:val="en-GB"/>
        </w:rPr>
        <w:t xml:space="preserve">foreign representative meets the requirements of article 2(d) </w:t>
      </w:r>
      <w:proofErr w:type="gramStart"/>
      <w:r w:rsidR="002A0D99">
        <w:rPr>
          <w:rFonts w:ascii="Avenir Next" w:hAnsi="Avenir Next" w:cs="Arial"/>
          <w:color w:val="808080" w:themeColor="background1" w:themeShade="80"/>
          <w:sz w:val="22"/>
          <w:szCs w:val="22"/>
          <w:lang w:val="en-GB"/>
        </w:rPr>
        <w:t>as long as</w:t>
      </w:r>
      <w:proofErr w:type="gramEnd"/>
      <w:r w:rsidR="002A0D99">
        <w:rPr>
          <w:rFonts w:ascii="Avenir Next" w:hAnsi="Avenir Next" w:cs="Arial"/>
          <w:color w:val="808080" w:themeColor="background1" w:themeShade="80"/>
          <w:sz w:val="22"/>
          <w:szCs w:val="22"/>
          <w:lang w:val="en-GB"/>
        </w:rPr>
        <w:t xml:space="preserve"> the supporting documentation submitted as part of </w:t>
      </w:r>
      <w:r w:rsidR="00E30968">
        <w:rPr>
          <w:rFonts w:ascii="Avenir Next" w:hAnsi="Avenir Next" w:cs="Arial"/>
          <w:color w:val="808080" w:themeColor="background1" w:themeShade="80"/>
          <w:sz w:val="22"/>
          <w:szCs w:val="22"/>
          <w:lang w:val="en-GB"/>
        </w:rPr>
        <w:t>the recognition application in line with Article 15 stipulates that</w:t>
      </w:r>
      <w:r w:rsidR="00D01D96">
        <w:rPr>
          <w:rFonts w:ascii="Avenir Next" w:hAnsi="Avenir Next" w:cs="Arial"/>
          <w:color w:val="808080" w:themeColor="background1" w:themeShade="80"/>
          <w:sz w:val="22"/>
          <w:szCs w:val="22"/>
          <w:lang w:val="en-GB"/>
        </w:rPr>
        <w:t xml:space="preserve"> (i.e., there is no need to do a separate audit / verification of the papers</w:t>
      </w:r>
      <w:r w:rsidR="003E5893">
        <w:rPr>
          <w:rFonts w:ascii="Avenir Next" w:hAnsi="Avenir Next" w:cs="Arial"/>
          <w:color w:val="808080" w:themeColor="background1" w:themeShade="80"/>
          <w:sz w:val="22"/>
          <w:szCs w:val="22"/>
          <w:lang w:val="en-GB"/>
        </w:rPr>
        <w:t xml:space="preserve">). </w:t>
      </w:r>
    </w:p>
    <w:p w14:paraId="25AA1396" w14:textId="77777777" w:rsidR="00DB2892" w:rsidRDefault="00DB2892" w:rsidP="009B0CA3">
      <w:pPr>
        <w:jc w:val="both"/>
        <w:rPr>
          <w:rFonts w:ascii="Avenir Next" w:hAnsi="Avenir Next" w:cs="Arial"/>
          <w:color w:val="808080" w:themeColor="background1" w:themeShade="80"/>
          <w:sz w:val="22"/>
          <w:szCs w:val="22"/>
          <w:lang w:val="en-GB"/>
        </w:rPr>
      </w:pPr>
    </w:p>
    <w:p w14:paraId="2BCD8A02" w14:textId="30FEFE86" w:rsidR="00CE7404" w:rsidRDefault="00DB2892" w:rsidP="009B0CA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w:t>
      </w:r>
      <w:proofErr w:type="gramStart"/>
      <w:r w:rsidR="002D735F">
        <w:rPr>
          <w:rFonts w:ascii="Avenir Next" w:hAnsi="Avenir Next" w:cs="Arial"/>
          <w:color w:val="808080" w:themeColor="background1" w:themeShade="80"/>
          <w:sz w:val="22"/>
          <w:szCs w:val="22"/>
          <w:lang w:val="en-GB"/>
        </w:rPr>
        <w:t>assuming that</w:t>
      </w:r>
      <w:proofErr w:type="gramEnd"/>
      <w:r w:rsidR="002D735F">
        <w:rPr>
          <w:rFonts w:ascii="Avenir Next" w:hAnsi="Avenir Next" w:cs="Arial"/>
          <w:color w:val="808080" w:themeColor="background1" w:themeShade="80"/>
          <w:sz w:val="22"/>
          <w:szCs w:val="22"/>
          <w:lang w:val="en-GB"/>
        </w:rPr>
        <w:t xml:space="preserve"> the requirements of Article 15 have been met, and </w:t>
      </w:r>
      <w:r w:rsidR="00EE5D62">
        <w:rPr>
          <w:rFonts w:ascii="Avenir Next" w:hAnsi="Avenir Next" w:cs="Arial"/>
          <w:color w:val="808080" w:themeColor="background1" w:themeShade="80"/>
          <w:sz w:val="22"/>
          <w:szCs w:val="22"/>
          <w:lang w:val="en-GB"/>
        </w:rPr>
        <w:t>considering</w:t>
      </w:r>
      <w:r w:rsidR="002D735F">
        <w:rPr>
          <w:rFonts w:ascii="Avenir Next" w:hAnsi="Avenir Next" w:cs="Arial"/>
          <w:color w:val="808080" w:themeColor="background1" w:themeShade="80"/>
          <w:sz w:val="22"/>
          <w:szCs w:val="22"/>
          <w:lang w:val="en-GB"/>
        </w:rPr>
        <w:t xml:space="preserve"> </w:t>
      </w:r>
      <w:r w:rsidR="00EE5D62">
        <w:rPr>
          <w:rFonts w:ascii="Avenir Next" w:hAnsi="Avenir Next" w:cs="Arial"/>
          <w:color w:val="808080" w:themeColor="background1" w:themeShade="80"/>
          <w:sz w:val="22"/>
          <w:szCs w:val="22"/>
          <w:lang w:val="en-GB"/>
        </w:rPr>
        <w:t>we have been told that</w:t>
      </w:r>
      <w:r w:rsidR="00F34A78">
        <w:rPr>
          <w:rFonts w:ascii="Avenir Next" w:hAnsi="Avenir Next" w:cs="Arial"/>
          <w:color w:val="808080" w:themeColor="background1" w:themeShade="80"/>
          <w:sz w:val="22"/>
          <w:szCs w:val="22"/>
          <w:lang w:val="en-GB"/>
        </w:rPr>
        <w:t xml:space="preserve"> both the foreign proceeding (subject to article 2(a)) and </w:t>
      </w:r>
      <w:r w:rsidR="00DE1ADA">
        <w:rPr>
          <w:rFonts w:ascii="Avenir Next" w:hAnsi="Avenir Next" w:cs="Arial"/>
          <w:color w:val="808080" w:themeColor="background1" w:themeShade="80"/>
          <w:sz w:val="22"/>
          <w:szCs w:val="22"/>
          <w:lang w:val="en-GB"/>
        </w:rPr>
        <w:t>the foreign representative (subject to article 2(d))</w:t>
      </w:r>
      <w:r w:rsidR="00CC1C58">
        <w:rPr>
          <w:rFonts w:ascii="Avenir Next" w:hAnsi="Avenir Next" w:cs="Arial"/>
          <w:color w:val="808080" w:themeColor="background1" w:themeShade="80"/>
          <w:sz w:val="22"/>
          <w:szCs w:val="22"/>
          <w:lang w:val="en-GB"/>
        </w:rPr>
        <w:t xml:space="preserve"> qualify for recognition, Article 17 states that the recognition decision must be </w:t>
      </w:r>
      <w:r w:rsidR="00B12E74">
        <w:rPr>
          <w:rFonts w:ascii="Avenir Next" w:hAnsi="Avenir Next" w:cs="Arial"/>
          <w:color w:val="808080" w:themeColor="background1" w:themeShade="80"/>
          <w:sz w:val="22"/>
          <w:szCs w:val="22"/>
          <w:lang w:val="en-GB"/>
        </w:rPr>
        <w:t>made</w:t>
      </w:r>
      <w:r w:rsidR="00BD61B4">
        <w:rPr>
          <w:rFonts w:ascii="Avenir Next" w:hAnsi="Avenir Next" w:cs="Arial"/>
          <w:color w:val="808080" w:themeColor="background1" w:themeShade="80"/>
          <w:sz w:val="22"/>
          <w:szCs w:val="22"/>
          <w:lang w:val="en-GB"/>
        </w:rPr>
        <w:t xml:space="preserve"> at the earliest (but can be subsequently modified</w:t>
      </w:r>
      <w:r w:rsidR="00B12E74">
        <w:rPr>
          <w:rFonts w:ascii="Avenir Next" w:hAnsi="Avenir Next" w:cs="Arial"/>
          <w:color w:val="808080" w:themeColor="background1" w:themeShade="80"/>
          <w:sz w:val="22"/>
          <w:szCs w:val="22"/>
          <w:lang w:val="en-GB"/>
        </w:rPr>
        <w:t>)</w:t>
      </w:r>
      <w:r w:rsidR="00632307">
        <w:rPr>
          <w:rFonts w:ascii="Avenir Next" w:hAnsi="Avenir Next" w:cs="Arial"/>
          <w:color w:val="808080" w:themeColor="background1" w:themeShade="80"/>
          <w:sz w:val="22"/>
          <w:szCs w:val="22"/>
          <w:lang w:val="en-GB"/>
        </w:rPr>
        <w:t xml:space="preserve"> by the court in State A.</w:t>
      </w:r>
      <w:r w:rsidR="00CE7404">
        <w:rPr>
          <w:rFonts w:ascii="Avenir Next" w:hAnsi="Avenir Next" w:cs="Arial"/>
          <w:color w:val="808080" w:themeColor="background1" w:themeShade="80"/>
          <w:sz w:val="22"/>
          <w:szCs w:val="22"/>
          <w:lang w:val="en-GB"/>
        </w:rPr>
        <w:t xml:space="preserve">  </w:t>
      </w:r>
      <w:r w:rsidR="004A5DBC">
        <w:rPr>
          <w:rFonts w:ascii="Avenir Next" w:hAnsi="Avenir Next" w:cs="Arial"/>
          <w:color w:val="808080" w:themeColor="background1" w:themeShade="80"/>
          <w:sz w:val="22"/>
          <w:szCs w:val="22"/>
          <w:lang w:val="en-GB"/>
        </w:rPr>
        <w:t>Depending on t</w:t>
      </w:r>
      <w:r w:rsidR="00356930">
        <w:rPr>
          <w:rFonts w:ascii="Avenir Next" w:hAnsi="Avenir Next" w:cs="Arial"/>
          <w:color w:val="808080" w:themeColor="background1" w:themeShade="80"/>
          <w:sz w:val="22"/>
          <w:szCs w:val="22"/>
          <w:lang w:val="en-GB"/>
        </w:rPr>
        <w:t xml:space="preserve">he location of the foreign proceeding </w:t>
      </w:r>
      <w:r w:rsidR="00AF2EA8">
        <w:rPr>
          <w:rFonts w:ascii="Avenir Next" w:hAnsi="Avenir Next" w:cs="Arial"/>
          <w:color w:val="808080" w:themeColor="background1" w:themeShade="80"/>
          <w:sz w:val="22"/>
          <w:szCs w:val="22"/>
          <w:lang w:val="en-GB"/>
        </w:rPr>
        <w:t xml:space="preserve">it will either be recognized as a main proceeding (if the location is the same as the debtor’s COMI) or non-main (if </w:t>
      </w:r>
      <w:r w:rsidR="00064935">
        <w:rPr>
          <w:rFonts w:ascii="Avenir Next" w:hAnsi="Avenir Next" w:cs="Arial"/>
          <w:color w:val="808080" w:themeColor="background1" w:themeShade="80"/>
          <w:sz w:val="22"/>
          <w:szCs w:val="22"/>
          <w:lang w:val="en-GB"/>
        </w:rPr>
        <w:t xml:space="preserve">the debtor only has an establishment), which will subsequently drive the </w:t>
      </w:r>
      <w:r w:rsidR="00B8551B">
        <w:rPr>
          <w:rFonts w:ascii="Avenir Next" w:hAnsi="Avenir Next" w:cs="Arial"/>
          <w:color w:val="808080" w:themeColor="background1" w:themeShade="80"/>
          <w:sz w:val="22"/>
          <w:szCs w:val="22"/>
          <w:lang w:val="en-GB"/>
        </w:rPr>
        <w:t>availability</w:t>
      </w:r>
      <w:r w:rsidR="00064935">
        <w:rPr>
          <w:rFonts w:ascii="Avenir Next" w:hAnsi="Avenir Next" w:cs="Arial"/>
          <w:color w:val="808080" w:themeColor="background1" w:themeShade="80"/>
          <w:sz w:val="22"/>
          <w:szCs w:val="22"/>
          <w:lang w:val="en-GB"/>
        </w:rPr>
        <w:t xml:space="preserve"> of </w:t>
      </w:r>
      <w:r w:rsidR="00B8551B">
        <w:rPr>
          <w:rFonts w:ascii="Avenir Next" w:hAnsi="Avenir Next" w:cs="Arial"/>
          <w:color w:val="808080" w:themeColor="background1" w:themeShade="80"/>
          <w:sz w:val="22"/>
          <w:szCs w:val="22"/>
          <w:lang w:val="en-GB"/>
        </w:rPr>
        <w:t xml:space="preserve">automatic </w:t>
      </w:r>
      <w:r w:rsidR="00064935">
        <w:rPr>
          <w:rFonts w:ascii="Avenir Next" w:hAnsi="Avenir Next" w:cs="Arial"/>
          <w:color w:val="808080" w:themeColor="background1" w:themeShade="80"/>
          <w:sz w:val="22"/>
          <w:szCs w:val="22"/>
          <w:lang w:val="en-GB"/>
        </w:rPr>
        <w:t xml:space="preserve">relief under </w:t>
      </w:r>
      <w:r w:rsidR="00B8551B">
        <w:rPr>
          <w:rFonts w:ascii="Avenir Next" w:hAnsi="Avenir Next" w:cs="Arial"/>
          <w:color w:val="808080" w:themeColor="background1" w:themeShade="80"/>
          <w:sz w:val="22"/>
          <w:szCs w:val="22"/>
          <w:lang w:val="en-GB"/>
        </w:rPr>
        <w:t>A</w:t>
      </w:r>
      <w:r w:rsidR="00064935">
        <w:rPr>
          <w:rFonts w:ascii="Avenir Next" w:hAnsi="Avenir Next" w:cs="Arial"/>
          <w:color w:val="808080" w:themeColor="background1" w:themeShade="80"/>
          <w:sz w:val="22"/>
          <w:szCs w:val="22"/>
          <w:lang w:val="en-GB"/>
        </w:rPr>
        <w:t>rticle 20</w:t>
      </w:r>
      <w:r w:rsidR="00B8551B">
        <w:rPr>
          <w:rFonts w:ascii="Avenir Next" w:hAnsi="Avenir Next" w:cs="Arial"/>
          <w:color w:val="808080" w:themeColor="background1" w:themeShade="80"/>
          <w:sz w:val="22"/>
          <w:szCs w:val="22"/>
          <w:lang w:val="en-GB"/>
        </w:rPr>
        <w:t>.</w:t>
      </w:r>
      <w:r w:rsidR="00064935">
        <w:rPr>
          <w:rFonts w:ascii="Avenir Next" w:hAnsi="Avenir Next" w:cs="Arial"/>
          <w:color w:val="808080" w:themeColor="background1" w:themeShade="80"/>
          <w:sz w:val="22"/>
          <w:szCs w:val="22"/>
          <w:lang w:val="en-GB"/>
        </w:rPr>
        <w:t xml:space="preserve"> </w:t>
      </w:r>
    </w:p>
    <w:p w14:paraId="20D856EF" w14:textId="77777777" w:rsidR="003B1689" w:rsidRDefault="003B1689" w:rsidP="009B0CA3">
      <w:pPr>
        <w:jc w:val="both"/>
        <w:rPr>
          <w:rFonts w:ascii="Avenir Next" w:hAnsi="Avenir Next" w:cs="Arial"/>
          <w:color w:val="808080" w:themeColor="background1" w:themeShade="80"/>
          <w:sz w:val="22"/>
          <w:szCs w:val="22"/>
          <w:lang w:val="en-GB"/>
        </w:rPr>
      </w:pPr>
    </w:p>
    <w:p w14:paraId="5E7E052A" w14:textId="39074FFC" w:rsidR="00CD33EC" w:rsidRDefault="00CD33EC" w:rsidP="009B0CA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case it is also worth noting </w:t>
      </w:r>
      <w:r w:rsidR="00C522D7">
        <w:rPr>
          <w:rFonts w:ascii="Avenir Next" w:hAnsi="Avenir Next" w:cs="Arial"/>
          <w:color w:val="808080" w:themeColor="background1" w:themeShade="80"/>
          <w:sz w:val="22"/>
          <w:szCs w:val="22"/>
          <w:lang w:val="en-GB"/>
        </w:rPr>
        <w:t xml:space="preserve">that State A does not have a </w:t>
      </w:r>
      <w:r>
        <w:rPr>
          <w:rFonts w:ascii="Avenir Next" w:hAnsi="Avenir Next" w:cs="Arial"/>
          <w:color w:val="808080" w:themeColor="background1" w:themeShade="80"/>
          <w:sz w:val="22"/>
          <w:szCs w:val="22"/>
          <w:lang w:val="en-GB"/>
        </w:rPr>
        <w:t xml:space="preserve">reciprocity </w:t>
      </w:r>
      <w:r w:rsidR="00C522D7">
        <w:rPr>
          <w:rFonts w:ascii="Avenir Next" w:hAnsi="Avenir Next" w:cs="Arial"/>
          <w:color w:val="808080" w:themeColor="background1" w:themeShade="80"/>
          <w:sz w:val="22"/>
          <w:szCs w:val="22"/>
          <w:lang w:val="en-GB"/>
        </w:rPr>
        <w:t xml:space="preserve">requirement which </w:t>
      </w:r>
      <w:r w:rsidR="002F2CF2">
        <w:rPr>
          <w:rFonts w:ascii="Avenir Next" w:hAnsi="Avenir Next" w:cs="Arial"/>
          <w:color w:val="808080" w:themeColor="background1" w:themeShade="80"/>
          <w:sz w:val="22"/>
          <w:szCs w:val="22"/>
          <w:lang w:val="en-GB"/>
        </w:rPr>
        <w:t xml:space="preserve">should be beneficial to </w:t>
      </w:r>
      <w:r w:rsidR="0070741C">
        <w:rPr>
          <w:rFonts w:ascii="Avenir Next" w:hAnsi="Avenir Next" w:cs="Arial"/>
          <w:color w:val="808080" w:themeColor="background1" w:themeShade="80"/>
          <w:sz w:val="22"/>
          <w:szCs w:val="22"/>
          <w:lang w:val="en-GB"/>
        </w:rPr>
        <w:t>the foreign representative</w:t>
      </w:r>
      <w:r w:rsidR="009F766B">
        <w:rPr>
          <w:rFonts w:ascii="Avenir Next" w:hAnsi="Avenir Next" w:cs="Arial"/>
          <w:color w:val="808080" w:themeColor="background1" w:themeShade="80"/>
          <w:sz w:val="22"/>
          <w:szCs w:val="22"/>
          <w:lang w:val="en-GB"/>
        </w:rPr>
        <w:t xml:space="preserve"> (in terms of time and cost)</w:t>
      </w:r>
      <w:r w:rsidR="002F2CF2">
        <w:rPr>
          <w:rFonts w:ascii="Avenir Next" w:hAnsi="Avenir Next" w:cs="Arial"/>
          <w:color w:val="808080" w:themeColor="background1" w:themeShade="80"/>
          <w:sz w:val="22"/>
          <w:szCs w:val="22"/>
          <w:lang w:val="en-GB"/>
        </w:rPr>
        <w:t xml:space="preserve"> </w:t>
      </w:r>
      <w:r w:rsidR="009F766B">
        <w:rPr>
          <w:rFonts w:ascii="Avenir Next" w:hAnsi="Avenir Next" w:cs="Arial"/>
          <w:color w:val="808080" w:themeColor="background1" w:themeShade="80"/>
          <w:sz w:val="22"/>
          <w:szCs w:val="22"/>
          <w:lang w:val="en-GB"/>
        </w:rPr>
        <w:t xml:space="preserve">to </w:t>
      </w:r>
      <w:r w:rsidR="00D83DAE">
        <w:rPr>
          <w:rFonts w:ascii="Avenir Next" w:hAnsi="Avenir Next" w:cs="Arial"/>
          <w:color w:val="808080" w:themeColor="background1" w:themeShade="80"/>
          <w:sz w:val="22"/>
          <w:szCs w:val="22"/>
          <w:lang w:val="en-GB"/>
        </w:rPr>
        <w:t xml:space="preserve">get recognition, </w:t>
      </w:r>
      <w:proofErr w:type="gramStart"/>
      <w:r w:rsidR="00D83DAE">
        <w:rPr>
          <w:rFonts w:ascii="Avenir Next" w:hAnsi="Avenir Next" w:cs="Arial"/>
          <w:color w:val="808080" w:themeColor="background1" w:themeShade="80"/>
          <w:sz w:val="22"/>
          <w:szCs w:val="22"/>
          <w:lang w:val="en-GB"/>
        </w:rPr>
        <w:t>access</w:t>
      </w:r>
      <w:proofErr w:type="gramEnd"/>
      <w:r w:rsidR="00D83DAE">
        <w:rPr>
          <w:rFonts w:ascii="Avenir Next" w:hAnsi="Avenir Next" w:cs="Arial"/>
          <w:color w:val="808080" w:themeColor="background1" w:themeShade="80"/>
          <w:sz w:val="22"/>
          <w:szCs w:val="22"/>
          <w:lang w:val="en-GB"/>
        </w:rPr>
        <w:t xml:space="preserve"> and relief from local courts.</w:t>
      </w:r>
    </w:p>
    <w:p w14:paraId="3FBE1C64" w14:textId="77777777" w:rsidR="00CD33EC" w:rsidRDefault="00CD33EC" w:rsidP="009B0CA3">
      <w:pPr>
        <w:jc w:val="both"/>
        <w:rPr>
          <w:rFonts w:ascii="Avenir Next" w:hAnsi="Avenir Next" w:cs="Arial"/>
          <w:color w:val="808080" w:themeColor="background1" w:themeShade="80"/>
          <w:sz w:val="22"/>
          <w:szCs w:val="22"/>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333FCF23" w14:textId="54F18A4E" w:rsidR="00AF3415" w:rsidRDefault="00CC3BD9" w:rsidP="00D8249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Prior to getting recognition, the foreign </w:t>
      </w:r>
      <w:r w:rsidR="00812AD6">
        <w:rPr>
          <w:rFonts w:ascii="Avenir Next" w:hAnsi="Avenir Next" w:cs="Arial"/>
          <w:color w:val="808080" w:themeColor="background1" w:themeShade="80"/>
          <w:sz w:val="22"/>
          <w:szCs w:val="22"/>
          <w:lang w:val="en-GB"/>
        </w:rPr>
        <w:t>representative ca</w:t>
      </w:r>
      <w:r w:rsidR="00D47C0B">
        <w:rPr>
          <w:rFonts w:ascii="Avenir Next" w:hAnsi="Avenir Next" w:cs="Arial"/>
          <w:color w:val="808080" w:themeColor="background1" w:themeShade="80"/>
          <w:sz w:val="22"/>
          <w:szCs w:val="22"/>
          <w:lang w:val="en-GB"/>
        </w:rPr>
        <w:t>n apply for</w:t>
      </w:r>
      <w:r w:rsidR="00812AD6">
        <w:rPr>
          <w:rFonts w:ascii="Avenir Next" w:hAnsi="Avenir Next" w:cs="Arial"/>
          <w:color w:val="808080" w:themeColor="background1" w:themeShade="80"/>
          <w:sz w:val="22"/>
          <w:szCs w:val="22"/>
          <w:lang w:val="en-GB"/>
        </w:rPr>
        <w:t xml:space="preserve"> interim relief </w:t>
      </w:r>
      <w:r w:rsidR="00D47C0B">
        <w:rPr>
          <w:rFonts w:ascii="Avenir Next" w:hAnsi="Avenir Next" w:cs="Arial"/>
          <w:color w:val="808080" w:themeColor="background1" w:themeShade="80"/>
          <w:sz w:val="22"/>
          <w:szCs w:val="22"/>
          <w:lang w:val="en-GB"/>
        </w:rPr>
        <w:t>from local courts by leveraging the provisions of Article 19</w:t>
      </w:r>
      <w:r w:rsidR="00F11A01">
        <w:rPr>
          <w:rFonts w:ascii="Avenir Next" w:hAnsi="Avenir Next" w:cs="Arial"/>
          <w:color w:val="808080" w:themeColor="background1" w:themeShade="80"/>
          <w:sz w:val="22"/>
          <w:szCs w:val="22"/>
          <w:lang w:val="en-GB"/>
        </w:rPr>
        <w:t xml:space="preserve"> including stay of execution, </w:t>
      </w:r>
      <w:r w:rsidR="00B241DB">
        <w:rPr>
          <w:rFonts w:ascii="Avenir Next" w:hAnsi="Avenir Next" w:cs="Arial"/>
          <w:color w:val="808080" w:themeColor="background1" w:themeShade="80"/>
          <w:sz w:val="22"/>
          <w:szCs w:val="22"/>
          <w:lang w:val="en-GB"/>
        </w:rPr>
        <w:t xml:space="preserve">examination of witnesses, suspending rights of transfer and any other relief that may be warranted </w:t>
      </w:r>
      <w:r w:rsidR="00D8249A">
        <w:rPr>
          <w:rFonts w:ascii="Avenir Next" w:hAnsi="Avenir Next" w:cs="Arial"/>
          <w:color w:val="808080" w:themeColor="background1" w:themeShade="80"/>
          <w:sz w:val="22"/>
          <w:szCs w:val="22"/>
          <w:lang w:val="en-GB"/>
        </w:rPr>
        <w:t>given the circumstances of the case.</w:t>
      </w:r>
      <w:r w:rsidR="002538B0">
        <w:rPr>
          <w:rFonts w:ascii="Avenir Next" w:hAnsi="Avenir Next" w:cs="Arial"/>
          <w:color w:val="808080" w:themeColor="background1" w:themeShade="80"/>
          <w:sz w:val="22"/>
          <w:szCs w:val="22"/>
          <w:lang w:val="en-GB"/>
        </w:rPr>
        <w:t xml:space="preserve"> It is worth pointing out that the provisions of Article 19 apply to both foreign main and non-main proceedings</w:t>
      </w:r>
      <w:r w:rsidR="001E60F5">
        <w:rPr>
          <w:rFonts w:ascii="Avenir Next" w:hAnsi="Avenir Next" w:cs="Arial"/>
          <w:color w:val="808080" w:themeColor="background1" w:themeShade="80"/>
          <w:sz w:val="22"/>
          <w:szCs w:val="22"/>
          <w:lang w:val="en-GB"/>
        </w:rPr>
        <w:t xml:space="preserve">, which is significant given that we do not have </w:t>
      </w:r>
      <w:r w:rsidR="00147581">
        <w:rPr>
          <w:rFonts w:ascii="Avenir Next" w:hAnsi="Avenir Next" w:cs="Arial"/>
          <w:color w:val="808080" w:themeColor="background1" w:themeShade="80"/>
          <w:sz w:val="22"/>
          <w:szCs w:val="22"/>
          <w:lang w:val="en-GB"/>
        </w:rPr>
        <w:t>clarity on debtor’s COMI.</w:t>
      </w:r>
    </w:p>
    <w:p w14:paraId="7C300F5E" w14:textId="5ACA84C7" w:rsidR="00D8249A" w:rsidRDefault="00D8249A" w:rsidP="00D8249A">
      <w:pPr>
        <w:jc w:val="both"/>
        <w:rPr>
          <w:rFonts w:ascii="Avenir Next" w:hAnsi="Avenir Next" w:cs="Arial"/>
          <w:color w:val="808080" w:themeColor="background1" w:themeShade="80"/>
          <w:sz w:val="22"/>
          <w:szCs w:val="22"/>
          <w:lang w:val="en-GB"/>
        </w:rPr>
      </w:pPr>
    </w:p>
    <w:p w14:paraId="679B87E7" w14:textId="5FF49E86" w:rsidR="00D8249A" w:rsidRDefault="00D8249A" w:rsidP="00D8249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recognition </w:t>
      </w:r>
      <w:r w:rsidR="002A12E0">
        <w:rPr>
          <w:rFonts w:ascii="Avenir Next" w:hAnsi="Avenir Next" w:cs="Arial"/>
          <w:color w:val="808080" w:themeColor="background1" w:themeShade="80"/>
          <w:sz w:val="22"/>
          <w:szCs w:val="22"/>
          <w:lang w:val="en-GB"/>
        </w:rPr>
        <w:t xml:space="preserve">has been granted, the representative </w:t>
      </w:r>
      <w:r w:rsidR="00DE4611">
        <w:rPr>
          <w:rFonts w:ascii="Avenir Next" w:hAnsi="Avenir Next" w:cs="Arial"/>
          <w:color w:val="808080" w:themeColor="background1" w:themeShade="80"/>
          <w:sz w:val="22"/>
          <w:szCs w:val="22"/>
          <w:lang w:val="en-GB"/>
        </w:rPr>
        <w:t xml:space="preserve">in a foreign main proceeding </w:t>
      </w:r>
      <w:r w:rsidR="002A12E0">
        <w:rPr>
          <w:rFonts w:ascii="Avenir Next" w:hAnsi="Avenir Next" w:cs="Arial"/>
          <w:color w:val="808080" w:themeColor="background1" w:themeShade="80"/>
          <w:sz w:val="22"/>
          <w:szCs w:val="22"/>
          <w:lang w:val="en-GB"/>
        </w:rPr>
        <w:t xml:space="preserve">can rely on Article 20 and its automatic relief </w:t>
      </w:r>
      <w:r w:rsidR="00DE4611">
        <w:rPr>
          <w:rFonts w:ascii="Avenir Next" w:hAnsi="Avenir Next" w:cs="Arial"/>
          <w:color w:val="808080" w:themeColor="background1" w:themeShade="80"/>
          <w:sz w:val="22"/>
          <w:szCs w:val="22"/>
          <w:lang w:val="en-GB"/>
        </w:rPr>
        <w:t xml:space="preserve">to stay the </w:t>
      </w:r>
      <w:r w:rsidR="00F406A5">
        <w:rPr>
          <w:rFonts w:ascii="Avenir Next" w:hAnsi="Avenir Next" w:cs="Arial"/>
          <w:color w:val="808080" w:themeColor="background1" w:themeShade="80"/>
          <w:sz w:val="22"/>
          <w:szCs w:val="22"/>
          <w:lang w:val="en-GB"/>
        </w:rPr>
        <w:t>commencement or continuation of individual actions,</w:t>
      </w:r>
      <w:r w:rsidR="00CD03DA">
        <w:rPr>
          <w:rFonts w:ascii="Avenir Next" w:hAnsi="Avenir Next" w:cs="Arial"/>
          <w:color w:val="808080" w:themeColor="background1" w:themeShade="80"/>
          <w:sz w:val="22"/>
          <w:szCs w:val="22"/>
          <w:lang w:val="en-GB"/>
        </w:rPr>
        <w:t xml:space="preserve"> </w:t>
      </w:r>
      <w:r w:rsidR="00F406A5">
        <w:rPr>
          <w:rFonts w:ascii="Avenir Next" w:hAnsi="Avenir Next" w:cs="Arial"/>
          <w:color w:val="808080" w:themeColor="background1" w:themeShade="80"/>
          <w:sz w:val="22"/>
          <w:szCs w:val="22"/>
          <w:lang w:val="en-GB"/>
        </w:rPr>
        <w:t xml:space="preserve">execution against the debtor’s assets and </w:t>
      </w:r>
      <w:r w:rsidR="006C5DD5">
        <w:rPr>
          <w:rFonts w:ascii="Avenir Next" w:hAnsi="Avenir Next" w:cs="Arial"/>
          <w:color w:val="808080" w:themeColor="background1" w:themeShade="80"/>
          <w:sz w:val="22"/>
          <w:szCs w:val="22"/>
          <w:lang w:val="en-GB"/>
        </w:rPr>
        <w:t xml:space="preserve">right of transfer of debtor’s assets. </w:t>
      </w:r>
      <w:r w:rsidR="00EE3F5A">
        <w:rPr>
          <w:rFonts w:ascii="Avenir Next" w:hAnsi="Avenir Next" w:cs="Arial"/>
          <w:color w:val="808080" w:themeColor="background1" w:themeShade="80"/>
          <w:sz w:val="22"/>
          <w:szCs w:val="22"/>
          <w:lang w:val="en-GB"/>
        </w:rPr>
        <w:t xml:space="preserve">However, it is worth pointing out that Article 20 / paragraph </w:t>
      </w:r>
      <w:r w:rsidR="005F3C8F">
        <w:rPr>
          <w:rFonts w:ascii="Avenir Next" w:hAnsi="Avenir Next" w:cs="Arial"/>
          <w:color w:val="808080" w:themeColor="background1" w:themeShade="80"/>
          <w:sz w:val="22"/>
          <w:szCs w:val="22"/>
          <w:lang w:val="en-GB"/>
        </w:rPr>
        <w:t xml:space="preserve">2 also gives local courts the authority to </w:t>
      </w:r>
      <w:r w:rsidR="00561903">
        <w:rPr>
          <w:rFonts w:ascii="Avenir Next" w:hAnsi="Avenir Next" w:cs="Arial"/>
          <w:color w:val="808080" w:themeColor="background1" w:themeShade="80"/>
          <w:sz w:val="22"/>
          <w:szCs w:val="22"/>
          <w:lang w:val="en-GB"/>
        </w:rPr>
        <w:t xml:space="preserve">suspend the automatic stay if it is contrary to legitimate interests of the stakeholders (including the debtor). </w:t>
      </w:r>
    </w:p>
    <w:p w14:paraId="4672721E" w14:textId="2F90B0E8" w:rsidR="00AB57E9" w:rsidRDefault="00AB57E9" w:rsidP="00D8249A">
      <w:pPr>
        <w:jc w:val="both"/>
        <w:rPr>
          <w:rFonts w:ascii="Avenir Next" w:hAnsi="Avenir Next" w:cs="Arial"/>
          <w:color w:val="808080" w:themeColor="background1" w:themeShade="80"/>
          <w:sz w:val="22"/>
          <w:szCs w:val="22"/>
          <w:lang w:val="en-GB"/>
        </w:rPr>
      </w:pPr>
    </w:p>
    <w:p w14:paraId="118B2787" w14:textId="7DA3A8BD" w:rsidR="00302D91" w:rsidRDefault="00D94E15" w:rsidP="00D8249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21 has more flexibility in that it applies to both foreign main and non-main proceedings</w:t>
      </w:r>
      <w:r w:rsidR="004B49CA">
        <w:rPr>
          <w:rFonts w:ascii="Avenir Next" w:hAnsi="Avenir Next" w:cs="Arial"/>
          <w:color w:val="808080" w:themeColor="background1" w:themeShade="80"/>
          <w:sz w:val="22"/>
          <w:szCs w:val="22"/>
          <w:lang w:val="en-GB"/>
        </w:rPr>
        <w:t>, and that it gives the courts of the enacting State the discretionary power to protect the debtor’s assets</w:t>
      </w:r>
      <w:r w:rsidR="00151DA4">
        <w:rPr>
          <w:rFonts w:ascii="Avenir Next" w:hAnsi="Avenir Next" w:cs="Arial"/>
          <w:color w:val="808080" w:themeColor="background1" w:themeShade="80"/>
          <w:sz w:val="22"/>
          <w:szCs w:val="22"/>
          <w:lang w:val="en-GB"/>
        </w:rPr>
        <w:t xml:space="preserve"> using a slate of relief measures which expand on </w:t>
      </w:r>
      <w:r w:rsidR="009C4F18">
        <w:rPr>
          <w:rFonts w:ascii="Avenir Next" w:hAnsi="Avenir Next" w:cs="Arial"/>
          <w:color w:val="808080" w:themeColor="background1" w:themeShade="80"/>
          <w:sz w:val="22"/>
          <w:szCs w:val="22"/>
          <w:lang w:val="en-GB"/>
        </w:rPr>
        <w:t>the provisions of Article 20</w:t>
      </w:r>
      <w:r w:rsidR="009E14F9">
        <w:rPr>
          <w:rFonts w:ascii="Avenir Next" w:hAnsi="Avenir Next" w:cs="Arial"/>
          <w:color w:val="808080" w:themeColor="background1" w:themeShade="80"/>
          <w:sz w:val="22"/>
          <w:szCs w:val="22"/>
          <w:lang w:val="en-GB"/>
        </w:rPr>
        <w:t xml:space="preserve">. For example, foreign representative may be granted the right to examine witnesses, </w:t>
      </w:r>
      <w:r w:rsidR="00BF587C">
        <w:rPr>
          <w:rFonts w:ascii="Avenir Next" w:hAnsi="Avenir Next" w:cs="Arial"/>
          <w:color w:val="808080" w:themeColor="background1" w:themeShade="80"/>
          <w:sz w:val="22"/>
          <w:szCs w:val="22"/>
          <w:lang w:val="en-GB"/>
        </w:rPr>
        <w:t xml:space="preserve">administer debtor’s assets in the enacting State, and even some other rights that are on par with the </w:t>
      </w:r>
      <w:r w:rsidR="00BC7A44">
        <w:rPr>
          <w:rFonts w:ascii="Avenir Next" w:hAnsi="Avenir Next" w:cs="Arial"/>
          <w:color w:val="808080" w:themeColor="background1" w:themeShade="80"/>
          <w:sz w:val="22"/>
          <w:szCs w:val="22"/>
          <w:lang w:val="en-GB"/>
        </w:rPr>
        <w:t xml:space="preserve">rights of the local office holder. However, there are limitations, specifically in relation to English </w:t>
      </w:r>
      <w:r w:rsidR="00553752">
        <w:rPr>
          <w:rFonts w:ascii="Avenir Next" w:hAnsi="Avenir Next" w:cs="Arial"/>
          <w:color w:val="808080" w:themeColor="background1" w:themeShade="80"/>
          <w:sz w:val="22"/>
          <w:szCs w:val="22"/>
          <w:lang w:val="en-GB"/>
        </w:rPr>
        <w:t>cases</w:t>
      </w:r>
      <w:r w:rsidR="003A7E0A">
        <w:rPr>
          <w:rFonts w:ascii="Avenir Next" w:hAnsi="Avenir Next" w:cs="Arial"/>
          <w:color w:val="808080" w:themeColor="background1" w:themeShade="80"/>
          <w:sz w:val="22"/>
          <w:szCs w:val="22"/>
          <w:lang w:val="en-GB"/>
        </w:rPr>
        <w:t xml:space="preserve">, </w:t>
      </w:r>
      <w:r w:rsidR="009F6EC5">
        <w:rPr>
          <w:rFonts w:ascii="Avenir Next" w:hAnsi="Avenir Next" w:cs="Arial"/>
          <w:color w:val="808080" w:themeColor="background1" w:themeShade="80"/>
          <w:sz w:val="22"/>
          <w:szCs w:val="22"/>
          <w:lang w:val="en-GB"/>
        </w:rPr>
        <w:t>where the local courts have</w:t>
      </w:r>
      <w:r w:rsidR="003A7E0A">
        <w:rPr>
          <w:rFonts w:ascii="Avenir Next" w:hAnsi="Avenir Next" w:cs="Arial"/>
          <w:color w:val="808080" w:themeColor="background1" w:themeShade="80"/>
          <w:sz w:val="22"/>
          <w:szCs w:val="22"/>
          <w:lang w:val="en-GB"/>
        </w:rPr>
        <w:t xml:space="preserve"> ruled that</w:t>
      </w:r>
      <w:r w:rsidR="00302D91">
        <w:rPr>
          <w:rFonts w:ascii="Avenir Next" w:hAnsi="Avenir Next" w:cs="Arial"/>
          <w:color w:val="808080" w:themeColor="background1" w:themeShade="80"/>
          <w:sz w:val="22"/>
          <w:szCs w:val="22"/>
          <w:lang w:val="en-GB"/>
        </w:rPr>
        <w:t xml:space="preserve"> relief provided under Article 21 is not valid in the following circumstances:</w:t>
      </w:r>
    </w:p>
    <w:p w14:paraId="7307E58A" w14:textId="77777777" w:rsidR="00302D91" w:rsidRDefault="00302D91" w:rsidP="00D8249A">
      <w:pPr>
        <w:jc w:val="both"/>
        <w:rPr>
          <w:rFonts w:ascii="Avenir Next" w:hAnsi="Avenir Next" w:cs="Arial"/>
          <w:color w:val="808080" w:themeColor="background1" w:themeShade="80"/>
          <w:sz w:val="22"/>
          <w:szCs w:val="22"/>
          <w:lang w:val="en-GB"/>
        </w:rPr>
      </w:pPr>
    </w:p>
    <w:p w14:paraId="5CDF7D1C" w14:textId="6C4B1D60" w:rsidR="00AB57E9" w:rsidRDefault="002C58DC" w:rsidP="00302D91">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Insolvency related to default judgements against a </w:t>
      </w:r>
      <w:proofErr w:type="gramStart"/>
      <w:r>
        <w:rPr>
          <w:rFonts w:ascii="Avenir Next" w:hAnsi="Avenir Next" w:cs="Arial"/>
          <w:color w:val="808080" w:themeColor="background1" w:themeShade="80"/>
          <w:sz w:val="22"/>
          <w:szCs w:val="22"/>
          <w:lang w:val="en-GB"/>
        </w:rPr>
        <w:t>person</w:t>
      </w:r>
      <w:r w:rsidR="009F6EC5">
        <w:rPr>
          <w:rFonts w:ascii="Avenir Next" w:hAnsi="Avenir Next" w:cs="Arial"/>
          <w:color w:val="808080" w:themeColor="background1" w:themeShade="80"/>
          <w:sz w:val="22"/>
          <w:szCs w:val="22"/>
          <w:lang w:val="en-GB"/>
        </w:rPr>
        <w:t>;</w:t>
      </w:r>
      <w:proofErr w:type="gramEnd"/>
    </w:p>
    <w:p w14:paraId="18B2D155" w14:textId="3F7A9295" w:rsidR="009F6EC5" w:rsidRDefault="005C7F5A" w:rsidP="00302D91">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Application of a foreign insolvency law to an English law governed contract; and</w:t>
      </w:r>
    </w:p>
    <w:p w14:paraId="5C56386B" w14:textId="1C90A371" w:rsidR="005C7F5A" w:rsidRDefault="000B3136" w:rsidP="00302D91">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Extending the continuation of an indefinite moratorium </w:t>
      </w:r>
      <w:r w:rsidR="00C923D9">
        <w:rPr>
          <w:rFonts w:ascii="Avenir Next" w:hAnsi="Avenir Next" w:cs="Arial"/>
          <w:color w:val="808080" w:themeColor="background1" w:themeShade="80"/>
          <w:sz w:val="22"/>
          <w:szCs w:val="22"/>
          <w:lang w:val="en-GB"/>
        </w:rPr>
        <w:t>to a foreign representative on the conclusion of the foreign main proceedings.</w:t>
      </w:r>
    </w:p>
    <w:p w14:paraId="73DAF1F3" w14:textId="207FA8C9" w:rsidR="005F42E5" w:rsidRDefault="005F42E5" w:rsidP="005F42E5">
      <w:pPr>
        <w:jc w:val="both"/>
        <w:rPr>
          <w:rFonts w:ascii="Avenir Next" w:hAnsi="Avenir Next" w:cs="Arial"/>
          <w:color w:val="808080" w:themeColor="background1" w:themeShade="80"/>
          <w:sz w:val="22"/>
          <w:szCs w:val="22"/>
          <w:lang w:val="en-GB"/>
        </w:rPr>
      </w:pPr>
    </w:p>
    <w:p w14:paraId="5C7AE369" w14:textId="02FE65F4" w:rsidR="005F42E5" w:rsidRPr="005F42E5" w:rsidRDefault="00223249" w:rsidP="005F42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w:t>
      </w:r>
      <w:r w:rsidR="00F46F10">
        <w:rPr>
          <w:rFonts w:ascii="Avenir Next" w:hAnsi="Avenir Next" w:cs="Arial"/>
          <w:color w:val="808080" w:themeColor="background1" w:themeShade="80"/>
          <w:sz w:val="22"/>
          <w:szCs w:val="22"/>
          <w:lang w:val="en-GB"/>
        </w:rPr>
        <w:t xml:space="preserve"> to Articles 20 and 21 listed above, the foreign representative is empowered to interfere in local proceedings (to the extent they are not already </w:t>
      </w:r>
      <w:r w:rsidR="00E4222F">
        <w:rPr>
          <w:rFonts w:ascii="Avenir Next" w:hAnsi="Avenir Next" w:cs="Arial"/>
          <w:color w:val="808080" w:themeColor="background1" w:themeShade="80"/>
          <w:sz w:val="22"/>
          <w:szCs w:val="22"/>
          <w:lang w:val="en-GB"/>
        </w:rPr>
        <w:t>stayed using existing provisions</w:t>
      </w:r>
      <w:r w:rsidR="00F46F10">
        <w:rPr>
          <w:rFonts w:ascii="Avenir Next" w:hAnsi="Avenir Next" w:cs="Arial"/>
          <w:color w:val="808080" w:themeColor="background1" w:themeShade="80"/>
          <w:sz w:val="22"/>
          <w:szCs w:val="22"/>
          <w:lang w:val="en-GB"/>
        </w:rPr>
        <w:t>)</w:t>
      </w:r>
      <w:r w:rsidR="00E4222F">
        <w:rPr>
          <w:rFonts w:ascii="Avenir Next" w:hAnsi="Avenir Next" w:cs="Arial"/>
          <w:color w:val="808080" w:themeColor="background1" w:themeShade="80"/>
          <w:sz w:val="22"/>
          <w:szCs w:val="22"/>
          <w:lang w:val="en-GB"/>
        </w:rPr>
        <w:t xml:space="preserve"> using the provisions of Article 24. </w:t>
      </w:r>
    </w:p>
    <w:p w14:paraId="6C361A02" w14:textId="6C01B370" w:rsidR="00D8249A" w:rsidRDefault="00D8249A" w:rsidP="00D8249A">
      <w:pPr>
        <w:jc w:val="both"/>
        <w:rPr>
          <w:rFonts w:ascii="Avenir Next" w:hAnsi="Avenir Next" w:cs="Arial"/>
          <w:color w:val="808080" w:themeColor="background1" w:themeShade="80"/>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03042865" w:rsidR="00980314" w:rsidRDefault="00980314" w:rsidP="000077DD">
      <w:pPr>
        <w:jc w:val="both"/>
        <w:rPr>
          <w:rFonts w:ascii="Avenir Next" w:hAnsi="Avenir Next" w:cs="Arial"/>
          <w:sz w:val="22"/>
          <w:szCs w:val="22"/>
          <w:lang w:val="en-GB"/>
        </w:rPr>
      </w:pPr>
    </w:p>
    <w:p w14:paraId="4D142CED" w14:textId="4FC04AAE" w:rsidR="00E672B3" w:rsidRDefault="00DA2FCF" w:rsidP="003509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pre-recognition interim relief is meant to p</w:t>
      </w:r>
      <w:r w:rsidR="0035098F">
        <w:rPr>
          <w:rFonts w:ascii="Avenir Next" w:hAnsi="Avenir Next" w:cs="Arial"/>
          <w:color w:val="808080" w:themeColor="background1" w:themeShade="80"/>
          <w:sz w:val="22"/>
          <w:szCs w:val="22"/>
          <w:lang w:val="en-GB"/>
        </w:rPr>
        <w:t>ut the foreign office holder on the same footing as the local office holde</w:t>
      </w:r>
      <w:r w:rsidR="009D540E">
        <w:rPr>
          <w:rFonts w:ascii="Avenir Next" w:hAnsi="Avenir Next" w:cs="Arial"/>
          <w:color w:val="808080" w:themeColor="background1" w:themeShade="80"/>
          <w:sz w:val="22"/>
          <w:szCs w:val="22"/>
          <w:lang w:val="en-GB"/>
        </w:rPr>
        <w:t xml:space="preserve">r. Once the foreign proceeding has achieved </w:t>
      </w:r>
      <w:r w:rsidR="001D337E">
        <w:rPr>
          <w:rFonts w:ascii="Avenir Next" w:hAnsi="Avenir Next" w:cs="Arial"/>
          <w:color w:val="808080" w:themeColor="background1" w:themeShade="80"/>
          <w:sz w:val="22"/>
          <w:szCs w:val="22"/>
          <w:lang w:val="en-GB"/>
        </w:rPr>
        <w:t xml:space="preserve">recognition with the local courts, the foreign office holder will </w:t>
      </w:r>
      <w:r w:rsidR="00DE16AD">
        <w:rPr>
          <w:rFonts w:ascii="Avenir Next" w:hAnsi="Avenir Next" w:cs="Arial"/>
          <w:color w:val="808080" w:themeColor="background1" w:themeShade="80"/>
          <w:sz w:val="22"/>
          <w:szCs w:val="22"/>
          <w:lang w:val="en-GB"/>
        </w:rPr>
        <w:t xml:space="preserve">(for all intents and purposes) </w:t>
      </w:r>
      <w:r w:rsidR="001D337E">
        <w:rPr>
          <w:rFonts w:ascii="Avenir Next" w:hAnsi="Avenir Next" w:cs="Arial"/>
          <w:color w:val="808080" w:themeColor="background1" w:themeShade="80"/>
          <w:sz w:val="22"/>
          <w:szCs w:val="22"/>
          <w:lang w:val="en-GB"/>
        </w:rPr>
        <w:t xml:space="preserve">have access to the same legal infrastructure and </w:t>
      </w:r>
      <w:r w:rsidR="00DA545F">
        <w:rPr>
          <w:rFonts w:ascii="Avenir Next" w:hAnsi="Avenir Next" w:cs="Arial"/>
          <w:color w:val="808080" w:themeColor="background1" w:themeShade="80"/>
          <w:sz w:val="22"/>
          <w:szCs w:val="22"/>
          <w:lang w:val="en-GB"/>
        </w:rPr>
        <w:t xml:space="preserve">treatment as local appointees and in that sense will no longer need to rely on pre-recognition reliefs grated under </w:t>
      </w:r>
      <w:r w:rsidR="002B4466">
        <w:rPr>
          <w:rFonts w:ascii="Avenir Next" w:hAnsi="Avenir Next" w:cs="Arial"/>
          <w:color w:val="808080" w:themeColor="background1" w:themeShade="80"/>
          <w:sz w:val="22"/>
          <w:szCs w:val="22"/>
          <w:lang w:val="en-GB"/>
        </w:rPr>
        <w:t xml:space="preserve">Article 19. </w:t>
      </w:r>
      <w:r w:rsidR="00204446">
        <w:rPr>
          <w:rFonts w:ascii="Avenir Next" w:hAnsi="Avenir Next" w:cs="Arial"/>
          <w:color w:val="808080" w:themeColor="background1" w:themeShade="80"/>
          <w:sz w:val="22"/>
          <w:szCs w:val="22"/>
          <w:lang w:val="en-GB"/>
        </w:rPr>
        <w:t xml:space="preserve">This was born out in the case of </w:t>
      </w:r>
      <w:r w:rsidR="002B4466">
        <w:rPr>
          <w:rFonts w:ascii="Avenir Next" w:hAnsi="Avenir Next" w:cs="Arial"/>
          <w:color w:val="808080" w:themeColor="background1" w:themeShade="80"/>
          <w:sz w:val="22"/>
          <w:szCs w:val="22"/>
          <w:lang w:val="en-GB"/>
        </w:rPr>
        <w:t xml:space="preserve">Igor </w:t>
      </w:r>
      <w:proofErr w:type="spellStart"/>
      <w:r w:rsidR="002B4466">
        <w:rPr>
          <w:rFonts w:ascii="Avenir Next" w:hAnsi="Avenir Next" w:cs="Arial"/>
          <w:color w:val="808080" w:themeColor="background1" w:themeShade="80"/>
          <w:sz w:val="22"/>
          <w:szCs w:val="22"/>
          <w:lang w:val="en-GB"/>
        </w:rPr>
        <w:t>Vitalievich</w:t>
      </w:r>
      <w:proofErr w:type="spellEnd"/>
      <w:r w:rsidR="002B4466">
        <w:rPr>
          <w:rFonts w:ascii="Avenir Next" w:hAnsi="Avenir Next" w:cs="Arial"/>
          <w:color w:val="808080" w:themeColor="background1" w:themeShade="80"/>
          <w:sz w:val="22"/>
          <w:szCs w:val="22"/>
          <w:lang w:val="en-GB"/>
        </w:rPr>
        <w:t xml:space="preserve"> </w:t>
      </w:r>
      <w:proofErr w:type="spellStart"/>
      <w:r w:rsidR="002B4466">
        <w:rPr>
          <w:rFonts w:ascii="Avenir Next" w:hAnsi="Avenir Next" w:cs="Arial"/>
          <w:color w:val="808080" w:themeColor="background1" w:themeShade="80"/>
          <w:sz w:val="22"/>
          <w:szCs w:val="22"/>
          <w:lang w:val="en-GB"/>
        </w:rPr>
        <w:t>Protasov</w:t>
      </w:r>
      <w:proofErr w:type="spellEnd"/>
      <w:r w:rsidR="002B4466">
        <w:rPr>
          <w:rFonts w:ascii="Avenir Next" w:hAnsi="Avenir Next" w:cs="Arial"/>
          <w:color w:val="808080" w:themeColor="background1" w:themeShade="80"/>
          <w:sz w:val="22"/>
          <w:szCs w:val="22"/>
          <w:lang w:val="en-GB"/>
        </w:rPr>
        <w:t xml:space="preserve"> and </w:t>
      </w:r>
      <w:proofErr w:type="spellStart"/>
      <w:r w:rsidR="002B4466">
        <w:rPr>
          <w:rFonts w:ascii="Avenir Next" w:hAnsi="Avenir Next" w:cs="Arial"/>
          <w:color w:val="808080" w:themeColor="background1" w:themeShade="80"/>
          <w:sz w:val="22"/>
          <w:szCs w:val="22"/>
          <w:lang w:val="en-GB"/>
        </w:rPr>
        <w:t>Khadzi</w:t>
      </w:r>
      <w:proofErr w:type="spellEnd"/>
      <w:r w:rsidR="002B4466">
        <w:rPr>
          <w:rFonts w:ascii="Avenir Next" w:hAnsi="Avenir Next" w:cs="Arial"/>
          <w:color w:val="808080" w:themeColor="background1" w:themeShade="80"/>
          <w:sz w:val="22"/>
          <w:szCs w:val="22"/>
          <w:lang w:val="en-GB"/>
        </w:rPr>
        <w:t xml:space="preserve">-Murat </w:t>
      </w:r>
      <w:proofErr w:type="spellStart"/>
      <w:r w:rsidR="002B4466">
        <w:rPr>
          <w:rFonts w:ascii="Avenir Next" w:hAnsi="Avenir Next" w:cs="Arial"/>
          <w:color w:val="808080" w:themeColor="background1" w:themeShade="80"/>
          <w:sz w:val="22"/>
          <w:szCs w:val="22"/>
          <w:lang w:val="en-GB"/>
        </w:rPr>
        <w:t>Derev</w:t>
      </w:r>
      <w:proofErr w:type="spellEnd"/>
      <w:r w:rsidR="002B4466">
        <w:rPr>
          <w:rFonts w:ascii="Avenir Next" w:hAnsi="Avenir Next" w:cs="Arial"/>
          <w:color w:val="808080" w:themeColor="background1" w:themeShade="80"/>
          <w:sz w:val="22"/>
          <w:szCs w:val="22"/>
          <w:lang w:val="en-GB"/>
        </w:rPr>
        <w:t xml:space="preserve">, where the English </w:t>
      </w:r>
      <w:r w:rsidR="00204446">
        <w:rPr>
          <w:rFonts w:ascii="Avenir Next" w:hAnsi="Avenir Next" w:cs="Arial"/>
          <w:color w:val="808080" w:themeColor="background1" w:themeShade="80"/>
          <w:sz w:val="22"/>
          <w:szCs w:val="22"/>
          <w:lang w:val="en-GB"/>
        </w:rPr>
        <w:t xml:space="preserve">court decided not to extend the worldwide freezing order </w:t>
      </w:r>
      <w:r w:rsidR="00020023">
        <w:rPr>
          <w:rFonts w:ascii="Avenir Next" w:hAnsi="Avenir Next" w:cs="Arial"/>
          <w:color w:val="808080" w:themeColor="background1" w:themeShade="80"/>
          <w:sz w:val="22"/>
          <w:szCs w:val="22"/>
          <w:lang w:val="en-GB"/>
        </w:rPr>
        <w:t>granted as part of the pre-recognition relief</w:t>
      </w:r>
      <w:r w:rsidR="00D843B4">
        <w:rPr>
          <w:rFonts w:ascii="Avenir Next" w:hAnsi="Avenir Next" w:cs="Arial"/>
          <w:color w:val="808080" w:themeColor="background1" w:themeShade="80"/>
          <w:sz w:val="22"/>
          <w:szCs w:val="22"/>
          <w:lang w:val="en-GB"/>
        </w:rPr>
        <w:t xml:space="preserve">. </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823A2D" w:rsidRDefault="008A7470" w:rsidP="007C3FE5">
      <w:pPr>
        <w:jc w:val="both"/>
        <w:rPr>
          <w:rFonts w:ascii="Avenir Next" w:hAnsi="Avenir Next" w:cs="Arial"/>
          <w:sz w:val="22"/>
          <w:szCs w:val="22"/>
          <w:lang w:val="en-GB" w:eastAsia="en-GB"/>
        </w:rPr>
      </w:pPr>
      <w:r w:rsidRPr="00823A2D">
        <w:rPr>
          <w:rFonts w:ascii="Avenir Next" w:hAnsi="Avenir Next" w:cs="Arial"/>
          <w:sz w:val="22"/>
          <w:szCs w:val="22"/>
          <w:lang w:val="en-GB" w:eastAsia="en-GB"/>
        </w:rPr>
        <w:t xml:space="preserve">The Commercial Bank for Business Corporation (the Bank) has operated since 1991. </w:t>
      </w:r>
      <w:bookmarkStart w:id="5" w:name="para20"/>
      <w:bookmarkEnd w:id="4"/>
      <w:r w:rsidRPr="00823A2D">
        <w:rPr>
          <w:rFonts w:ascii="Avenir Next" w:hAnsi="Avenir Next" w:cs="Arial"/>
          <w:sz w:val="22"/>
          <w:szCs w:val="22"/>
          <w:lang w:val="en-GB" w:eastAsia="en-GB"/>
        </w:rPr>
        <w:t>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s registered office is situated in Country A, which </w:t>
      </w:r>
      <w:r w:rsidRPr="00823A2D">
        <w:rPr>
          <w:rFonts w:ascii="Avenir Next Demi Bold" w:hAnsi="Avenir Next Demi Bold" w:cs="Arial"/>
          <w:b/>
          <w:bCs/>
          <w:sz w:val="22"/>
          <w:szCs w:val="22"/>
          <w:u w:val="single"/>
          <w:lang w:val="en-GB" w:eastAsia="en-GB"/>
        </w:rPr>
        <w:t>has not</w:t>
      </w:r>
      <w:r w:rsidRPr="00823A2D">
        <w:rPr>
          <w:rFonts w:ascii="Avenir Next" w:hAnsi="Avenir Next" w:cs="Arial"/>
          <w:sz w:val="22"/>
          <w:szCs w:val="22"/>
          <w:lang w:val="en-GB" w:eastAsia="en-GB"/>
        </w:rPr>
        <w:t xml:space="preserve"> adopted the MLCBI.</w:t>
      </w:r>
      <w:bookmarkStart w:id="6" w:name="para21"/>
      <w:bookmarkEnd w:id="5"/>
      <w:r w:rsidR="00D97A93" w:rsidRPr="00823A2D">
        <w:rPr>
          <w:rFonts w:ascii="Avenir Next" w:hAnsi="Avenir Next" w:cs="Arial"/>
          <w:sz w:val="22"/>
          <w:szCs w:val="22"/>
          <w:lang w:val="en-GB" w:eastAsia="en-GB"/>
        </w:rPr>
        <w:t xml:space="preserve"> </w:t>
      </w:r>
      <w:r w:rsidRPr="00823A2D">
        <w:rPr>
          <w:rFonts w:ascii="Avenir Next" w:hAnsi="Avenir Next" w:cs="Arial"/>
          <w:sz w:val="22"/>
          <w:szCs w:val="22"/>
          <w:lang w:val="en-GB" w:eastAsia="en-GB"/>
        </w:rPr>
        <w:t>As of 13 August 2015,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majority ultimate beneficial owner was Mr Z</w:t>
      </w:r>
      <w:r w:rsidR="00EC7F95"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 who held approximately 95% of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shares through various corporate entities (including some registered in England).</w:t>
      </w:r>
      <w:bookmarkStart w:id="7" w:name="para22"/>
      <w:bookmarkEnd w:id="6"/>
    </w:p>
    <w:p w14:paraId="456AE7B4" w14:textId="77777777" w:rsidR="007C3FE5" w:rsidRPr="00823A2D" w:rsidRDefault="007C3FE5" w:rsidP="007C3FE5">
      <w:pPr>
        <w:jc w:val="both"/>
        <w:rPr>
          <w:rFonts w:ascii="Avenir Next" w:hAnsi="Avenir Next" w:cs="Arial"/>
          <w:sz w:val="22"/>
          <w:szCs w:val="22"/>
          <w:lang w:val="en-GB" w:eastAsia="en-GB"/>
        </w:rPr>
      </w:pPr>
    </w:p>
    <w:p w14:paraId="04F53D25" w14:textId="171956B0" w:rsidR="008A7470" w:rsidRPr="00823A2D" w:rsidRDefault="008A7470" w:rsidP="007C3FE5">
      <w:pPr>
        <w:jc w:val="both"/>
        <w:rPr>
          <w:rFonts w:ascii="Avenir Next" w:hAnsi="Avenir Next" w:cs="Arial"/>
          <w:sz w:val="22"/>
          <w:szCs w:val="22"/>
          <w:lang w:val="en-GB" w:eastAsia="en-GB"/>
        </w:rPr>
      </w:pPr>
      <w:r w:rsidRPr="00823A2D">
        <w:rPr>
          <w:rFonts w:ascii="Avenir Next" w:hAnsi="Avenir Next" w:cs="Arial"/>
          <w:sz w:val="22"/>
          <w:szCs w:val="22"/>
          <w:lang w:val="en-GB" w:eastAsia="en-GB"/>
        </w:rPr>
        <w:t>The Bank entered provisional administration on 17 September 2015 and liquidation on 17 December 2015.</w:t>
      </w:r>
      <w:bookmarkStart w:id="8" w:name="para23"/>
      <w:bookmarkEnd w:id="7"/>
      <w:r w:rsidR="00EC7F95" w:rsidRPr="00823A2D">
        <w:rPr>
          <w:rFonts w:ascii="Avenir Next" w:hAnsi="Avenir Next" w:cs="Arial"/>
          <w:sz w:val="22"/>
          <w:szCs w:val="22"/>
          <w:lang w:val="en-GB" w:eastAsia="en-GB"/>
        </w:rPr>
        <w:t xml:space="preserve"> </w:t>
      </w:r>
      <w:r w:rsidRPr="00823A2D">
        <w:rPr>
          <w:rFonts w:ascii="Avenir Next" w:hAnsi="Avenir Next" w:cs="Arial"/>
          <w:sz w:val="22"/>
          <w:szCs w:val="22"/>
          <w:lang w:val="en-GB" w:eastAsia="en-GB"/>
        </w:rPr>
        <w:t>Investigations into the Bank have revealed that it appears to have been potentially involved in a multi-</w:t>
      </w:r>
      <w:proofErr w:type="gramStart"/>
      <w:r w:rsidRPr="00823A2D">
        <w:rPr>
          <w:rFonts w:ascii="Avenir Next" w:hAnsi="Avenir Next" w:cs="Arial"/>
          <w:sz w:val="22"/>
          <w:szCs w:val="22"/>
          <w:lang w:val="en-GB" w:eastAsia="en-GB"/>
        </w:rPr>
        <w:t>million dollar</w:t>
      </w:r>
      <w:proofErr w:type="gramEnd"/>
      <w:r w:rsidRPr="00823A2D">
        <w:rPr>
          <w:rFonts w:ascii="Avenir Next" w:hAnsi="Avenir Next" w:cs="Arial"/>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823A2D" w:rsidRDefault="008A7470" w:rsidP="007C3FE5">
      <w:pPr>
        <w:jc w:val="both"/>
        <w:rPr>
          <w:rFonts w:ascii="Avenir Next" w:hAnsi="Avenir Next" w:cs="Arial"/>
          <w:sz w:val="22"/>
          <w:szCs w:val="22"/>
          <w:lang w:val="en-GB" w:eastAsia="en-GB"/>
        </w:rPr>
      </w:pPr>
      <w:r w:rsidRPr="00823A2D">
        <w:rPr>
          <w:rFonts w:ascii="Avenir Next" w:hAnsi="Avenir Next" w:cs="Arial"/>
          <w:sz w:val="22"/>
          <w:szCs w:val="22"/>
          <w:lang w:val="en-GB" w:eastAsia="en-GB"/>
        </w:rPr>
        <w:t xml:space="preserve">Proceedings were </w:t>
      </w:r>
      <w:r w:rsidR="004137C3" w:rsidRPr="00823A2D">
        <w:rPr>
          <w:rFonts w:ascii="Avenir Next" w:hAnsi="Avenir Next" w:cs="Arial"/>
          <w:sz w:val="22"/>
          <w:szCs w:val="22"/>
          <w:lang w:val="en-GB" w:eastAsia="en-GB"/>
        </w:rPr>
        <w:t xml:space="preserve">commenced </w:t>
      </w:r>
      <w:r w:rsidRPr="00823A2D">
        <w:rPr>
          <w:rFonts w:ascii="Avenir Next" w:hAnsi="Avenir Next" w:cs="Arial"/>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823A2D" w:rsidRDefault="007C3FE5" w:rsidP="007C3FE5">
      <w:pPr>
        <w:jc w:val="both"/>
        <w:rPr>
          <w:rFonts w:ascii="Avenir Next" w:hAnsi="Avenir Next" w:cs="Arial"/>
          <w:sz w:val="22"/>
          <w:szCs w:val="22"/>
          <w:lang w:val="en-GB" w:eastAsia="en-GB"/>
        </w:rPr>
      </w:pPr>
    </w:p>
    <w:p w14:paraId="1D3E212A" w14:textId="0521D817" w:rsidR="008A7470" w:rsidRPr="00823A2D" w:rsidRDefault="008A7470" w:rsidP="007C3FE5">
      <w:pPr>
        <w:jc w:val="both"/>
        <w:rPr>
          <w:rFonts w:ascii="Avenir Next" w:hAnsi="Avenir Next" w:cs="Arial"/>
          <w:sz w:val="22"/>
          <w:szCs w:val="22"/>
          <w:lang w:val="en-GB" w:eastAsia="en-GB"/>
        </w:rPr>
      </w:pPr>
      <w:r w:rsidRPr="00823A2D">
        <w:rPr>
          <w:rFonts w:ascii="Avenir Next" w:hAnsi="Avenir Next" w:cs="Arial"/>
          <w:sz w:val="22"/>
          <w:szCs w:val="22"/>
          <w:lang w:val="en-GB" w:eastAsia="en-GB"/>
        </w:rPr>
        <w:t>An affidavit (the Affidavit) sets out a detailed summary of the legislation of Country A</w:t>
      </w:r>
      <w:r w:rsidR="008512FA" w:rsidRPr="00823A2D">
        <w:rPr>
          <w:rFonts w:ascii="Avenir Next" w:hAnsi="Avenir Next" w:cs="Arial"/>
          <w:sz w:val="22"/>
          <w:szCs w:val="22"/>
          <w:lang w:val="en-GB" w:eastAsia="en-GB"/>
        </w:rPr>
        <w:t>’</w:t>
      </w:r>
      <w:r w:rsidR="00346B16" w:rsidRPr="00823A2D">
        <w:rPr>
          <w:rFonts w:ascii="Avenir Next" w:hAnsi="Avenir Next" w:cs="Arial"/>
          <w:sz w:val="22"/>
          <w:szCs w:val="22"/>
          <w:lang w:val="en-GB" w:eastAsia="en-GB"/>
        </w:rPr>
        <w:t>s</w:t>
      </w:r>
      <w:r w:rsidRPr="00823A2D">
        <w:rPr>
          <w:rFonts w:ascii="Avenir Next" w:hAnsi="Avenir Next" w:cs="Arial"/>
          <w:sz w:val="22"/>
          <w:szCs w:val="22"/>
          <w:lang w:val="en-GB" w:eastAsia="en-GB"/>
        </w:rPr>
        <w:t xml:space="preserve"> specific insolvency procedure for Banks. The procedure involves initial input from the National Bank (</w:t>
      </w:r>
      <w:r w:rsidR="00346B16" w:rsidRPr="00823A2D">
        <w:rPr>
          <w:rFonts w:ascii="Avenir Next" w:hAnsi="Avenir Next" w:cs="Arial"/>
          <w:sz w:val="22"/>
          <w:szCs w:val="22"/>
          <w:lang w:val="en-GB" w:eastAsia="en-GB"/>
        </w:rPr>
        <w:t xml:space="preserve">the </w:t>
      </w:r>
      <w:r w:rsidRPr="00823A2D">
        <w:rPr>
          <w:rFonts w:ascii="Avenir Next" w:hAnsi="Avenir Next" w:cs="Arial"/>
          <w:sz w:val="22"/>
          <w:szCs w:val="22"/>
          <w:lang w:val="en-GB" w:eastAsia="en-GB"/>
        </w:rPr>
        <w:t xml:space="preserve">NB) and at the time that the Bank entered liquidation, followed </w:t>
      </w:r>
      <w:r w:rsidR="0055688E" w:rsidRPr="00823A2D">
        <w:rPr>
          <w:rFonts w:ascii="Avenir Next" w:hAnsi="Avenir Next" w:cs="Arial"/>
          <w:sz w:val="22"/>
          <w:szCs w:val="22"/>
          <w:lang w:val="en-GB" w:eastAsia="en-GB"/>
        </w:rPr>
        <w:t xml:space="preserve">by </w:t>
      </w:r>
      <w:proofErr w:type="gramStart"/>
      <w:r w:rsidRPr="00823A2D">
        <w:rPr>
          <w:rFonts w:ascii="Avenir Next" w:hAnsi="Avenir Next" w:cs="Arial"/>
          <w:sz w:val="22"/>
          <w:szCs w:val="22"/>
          <w:lang w:val="en-GB" w:eastAsia="en-GB"/>
        </w:rPr>
        <w:t>a number of</w:t>
      </w:r>
      <w:proofErr w:type="gramEnd"/>
      <w:r w:rsidRPr="00823A2D">
        <w:rPr>
          <w:rFonts w:ascii="Avenir Next" w:hAnsi="Avenir Next" w:cs="Arial"/>
          <w:sz w:val="22"/>
          <w:szCs w:val="22"/>
          <w:lang w:val="en-GB" w:eastAsia="en-GB"/>
        </w:rPr>
        <w:t xml:space="preserve"> stages:</w:t>
      </w:r>
      <w:bookmarkEnd w:id="10"/>
    </w:p>
    <w:p w14:paraId="53943792" w14:textId="77777777" w:rsidR="007C3FE5" w:rsidRPr="00823A2D" w:rsidRDefault="007C3FE5" w:rsidP="007C3FE5">
      <w:pPr>
        <w:jc w:val="both"/>
        <w:rPr>
          <w:rFonts w:ascii="Avenir Next" w:hAnsi="Avenir Next" w:cs="Arial"/>
          <w:sz w:val="22"/>
          <w:szCs w:val="22"/>
          <w:lang w:val="en-GB" w:eastAsia="en-GB"/>
        </w:rPr>
      </w:pPr>
    </w:p>
    <w:p w14:paraId="738B076B" w14:textId="77777777" w:rsidR="008A7470" w:rsidRPr="00823A2D" w:rsidRDefault="008A7470" w:rsidP="007C3FE5">
      <w:pPr>
        <w:jc w:val="both"/>
        <w:rPr>
          <w:rFonts w:ascii="Avenir Next Demi Bold" w:hAnsi="Avenir Next Demi Bold" w:cs="Arial"/>
          <w:b/>
          <w:bCs/>
          <w:i/>
          <w:iCs/>
          <w:sz w:val="22"/>
          <w:szCs w:val="22"/>
          <w:lang w:val="en-GB" w:eastAsia="en-GB"/>
        </w:rPr>
      </w:pPr>
      <w:r w:rsidRPr="00823A2D">
        <w:rPr>
          <w:rFonts w:ascii="Avenir Next Demi Bold" w:hAnsi="Avenir Next Demi Bold" w:cs="Arial"/>
          <w:b/>
          <w:bCs/>
          <w:i/>
          <w:iCs/>
          <w:sz w:val="22"/>
          <w:szCs w:val="22"/>
          <w:lang w:val="en-GB" w:eastAsia="en-GB"/>
        </w:rPr>
        <w:t>Classification of the bank as troubled</w:t>
      </w:r>
    </w:p>
    <w:p w14:paraId="4E364CF8" w14:textId="77777777" w:rsidR="00860E61" w:rsidRPr="00823A2D" w:rsidRDefault="00860E61" w:rsidP="00860E61">
      <w:pPr>
        <w:jc w:val="both"/>
        <w:rPr>
          <w:rFonts w:ascii="Avenir Next" w:hAnsi="Avenir Next" w:cs="Arial"/>
          <w:sz w:val="22"/>
          <w:szCs w:val="22"/>
          <w:lang w:val="en-GB" w:eastAsia="en-GB"/>
        </w:rPr>
      </w:pPr>
      <w:bookmarkStart w:id="11" w:name="para26"/>
    </w:p>
    <w:p w14:paraId="37A898CB" w14:textId="75BEC8D5" w:rsidR="008A7470" w:rsidRPr="00823A2D" w:rsidRDefault="008A7470" w:rsidP="00860E61">
      <w:pPr>
        <w:jc w:val="both"/>
        <w:rPr>
          <w:rFonts w:ascii="Avenir Next" w:hAnsi="Avenir Next" w:cs="Arial"/>
          <w:sz w:val="22"/>
          <w:szCs w:val="22"/>
          <w:lang w:val="en-GB" w:eastAsia="en-GB"/>
        </w:rPr>
      </w:pPr>
      <w:r w:rsidRPr="00823A2D">
        <w:rPr>
          <w:rFonts w:ascii="Avenir Next" w:hAnsi="Avenir Next" w:cs="Arial"/>
          <w:sz w:val="22"/>
          <w:szCs w:val="22"/>
          <w:lang w:val="en-GB" w:eastAsia="en-GB"/>
        </w:rPr>
        <w:t xml:space="preserve">The NB may classify a bank as </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troubled</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823A2D" w:rsidRDefault="00860E61" w:rsidP="00860E61">
      <w:pPr>
        <w:jc w:val="both"/>
        <w:rPr>
          <w:rFonts w:ascii="Avenir Next" w:hAnsi="Avenir Next" w:cs="Arial"/>
          <w:sz w:val="22"/>
          <w:szCs w:val="22"/>
          <w:lang w:val="en-GB" w:eastAsia="en-GB"/>
        </w:rPr>
      </w:pPr>
    </w:p>
    <w:p w14:paraId="59FA8693" w14:textId="2EB31B2A" w:rsidR="008A7470" w:rsidRPr="00823A2D" w:rsidRDefault="008A7470" w:rsidP="00860E61">
      <w:pPr>
        <w:jc w:val="both"/>
        <w:rPr>
          <w:rFonts w:ascii="Avenir Next" w:hAnsi="Avenir Next" w:cs="Arial"/>
          <w:sz w:val="22"/>
          <w:szCs w:val="22"/>
          <w:lang w:val="en-GB" w:eastAsia="en-GB"/>
        </w:rPr>
      </w:pPr>
      <w:r w:rsidRPr="00823A2D">
        <w:rPr>
          <w:rFonts w:ascii="Avenir Next" w:hAnsi="Avenir Next" w:cs="Arial"/>
          <w:sz w:val="22"/>
          <w:szCs w:val="22"/>
          <w:lang w:val="en-GB" w:eastAsia="en-GB"/>
        </w:rPr>
        <w:lastRenderedPageBreak/>
        <w:t xml:space="preserve">Once declared </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troubled</w:t>
      </w:r>
      <w:r w:rsidR="008512FA" w:rsidRPr="00823A2D">
        <w:rPr>
          <w:rFonts w:ascii="Avenir Next" w:hAnsi="Avenir Next" w:cs="Arial"/>
          <w:sz w:val="22"/>
          <w:szCs w:val="22"/>
          <w:lang w:val="en-GB" w:eastAsia="en-GB"/>
        </w:rPr>
        <w:t>”</w:t>
      </w:r>
      <w:r w:rsidR="00860E61"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 the relevant bank has 180 days within which to bring its activities in line with the NB</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requirements. At the end of that period, the NB must either recognise the Bank as compliant</w:t>
      </w:r>
      <w:r w:rsidR="00860E61"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 or must classify it as insolvent.</w:t>
      </w:r>
      <w:bookmarkEnd w:id="12"/>
    </w:p>
    <w:p w14:paraId="3CA57103" w14:textId="39D8BEF3" w:rsidR="00860E61" w:rsidRPr="00823A2D" w:rsidRDefault="00860E61" w:rsidP="00860E61">
      <w:pPr>
        <w:jc w:val="both"/>
        <w:rPr>
          <w:rFonts w:ascii="Avenir Next" w:hAnsi="Avenir Next" w:cs="Arial"/>
          <w:sz w:val="22"/>
          <w:szCs w:val="22"/>
          <w:lang w:val="en-GB" w:eastAsia="en-GB"/>
        </w:rPr>
      </w:pPr>
    </w:p>
    <w:p w14:paraId="4B225462" w14:textId="5A510A1D" w:rsidR="00867A8F" w:rsidRPr="00823A2D" w:rsidRDefault="00867A8F" w:rsidP="00860E61">
      <w:pPr>
        <w:jc w:val="both"/>
        <w:rPr>
          <w:rFonts w:ascii="Avenir Next" w:hAnsi="Avenir Next" w:cs="Arial"/>
          <w:sz w:val="22"/>
          <w:szCs w:val="22"/>
          <w:lang w:val="en-GB" w:eastAsia="en-GB"/>
        </w:rPr>
      </w:pPr>
    </w:p>
    <w:p w14:paraId="71FDE47B" w14:textId="34333CBE" w:rsidR="00867A8F" w:rsidRPr="00823A2D" w:rsidRDefault="00867A8F" w:rsidP="00860E61">
      <w:pPr>
        <w:jc w:val="both"/>
        <w:rPr>
          <w:rFonts w:ascii="Avenir Next" w:hAnsi="Avenir Next" w:cs="Arial"/>
          <w:sz w:val="22"/>
          <w:szCs w:val="22"/>
          <w:lang w:val="en-GB" w:eastAsia="en-GB"/>
        </w:rPr>
      </w:pPr>
    </w:p>
    <w:p w14:paraId="2CAE1AD1" w14:textId="77777777" w:rsidR="00867A8F" w:rsidRPr="00823A2D" w:rsidRDefault="00867A8F" w:rsidP="00860E61">
      <w:pPr>
        <w:jc w:val="both"/>
        <w:rPr>
          <w:rFonts w:ascii="Avenir Next" w:hAnsi="Avenir Next" w:cs="Arial"/>
          <w:sz w:val="22"/>
          <w:szCs w:val="22"/>
          <w:lang w:val="en-GB" w:eastAsia="en-GB"/>
        </w:rPr>
      </w:pPr>
    </w:p>
    <w:p w14:paraId="7B09A5A4" w14:textId="77777777" w:rsidR="008A7470" w:rsidRPr="00823A2D" w:rsidRDefault="008A7470" w:rsidP="0055688E">
      <w:pPr>
        <w:jc w:val="both"/>
        <w:rPr>
          <w:rFonts w:ascii="Avenir Next Demi Bold" w:hAnsi="Avenir Next Demi Bold" w:cs="Arial"/>
          <w:b/>
          <w:bCs/>
          <w:i/>
          <w:iCs/>
          <w:sz w:val="22"/>
          <w:szCs w:val="22"/>
          <w:lang w:val="en-GB" w:eastAsia="en-GB"/>
        </w:rPr>
      </w:pPr>
      <w:r w:rsidRPr="00823A2D">
        <w:rPr>
          <w:rFonts w:ascii="Avenir Next Demi Bold" w:hAnsi="Avenir Next Demi Bold" w:cs="Arial"/>
          <w:b/>
          <w:bCs/>
          <w:i/>
          <w:iCs/>
          <w:sz w:val="22"/>
          <w:szCs w:val="22"/>
          <w:lang w:val="en-GB" w:eastAsia="en-GB"/>
        </w:rPr>
        <w:t>Classification of the bank as insolvent</w:t>
      </w:r>
    </w:p>
    <w:p w14:paraId="3C248887" w14:textId="56AC260A" w:rsidR="008A7470" w:rsidRPr="00823A2D" w:rsidRDefault="008A7470" w:rsidP="00860E61">
      <w:pPr>
        <w:spacing w:before="100" w:beforeAutospacing="1" w:after="100" w:afterAutospacing="1"/>
        <w:jc w:val="both"/>
        <w:rPr>
          <w:rFonts w:ascii="Avenir Next" w:hAnsi="Avenir Next" w:cs="Arial"/>
          <w:sz w:val="22"/>
          <w:szCs w:val="22"/>
          <w:lang w:val="en-GB" w:eastAsia="en-GB"/>
        </w:rPr>
      </w:pPr>
      <w:bookmarkStart w:id="13" w:name="para28"/>
      <w:r w:rsidRPr="00823A2D">
        <w:rPr>
          <w:rFonts w:ascii="Avenir Next" w:hAnsi="Avenir Next" w:cs="Arial"/>
          <w:sz w:val="22"/>
          <w:szCs w:val="22"/>
          <w:lang w:val="en-GB" w:eastAsia="en-GB"/>
        </w:rPr>
        <w:t>The NB is obliged to classify a bank as insolvent if it meets the criteria set out in article 76 of the LBBA</w:t>
      </w:r>
      <w:r w:rsidR="00860E61"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 which include</w:t>
      </w:r>
      <w:r w:rsidR="00860E61" w:rsidRPr="00823A2D">
        <w:rPr>
          <w:rFonts w:ascii="Avenir Next" w:hAnsi="Avenir Next" w:cs="Arial"/>
          <w:sz w:val="22"/>
          <w:szCs w:val="22"/>
          <w:lang w:val="en-GB" w:eastAsia="en-GB"/>
        </w:rPr>
        <w:t>s</w:t>
      </w:r>
      <w:r w:rsidRPr="00823A2D">
        <w:rPr>
          <w:rFonts w:ascii="Avenir Next" w:hAnsi="Avenir Next" w:cs="Arial"/>
          <w:sz w:val="22"/>
          <w:szCs w:val="22"/>
          <w:lang w:val="en-GB" w:eastAsia="en-GB"/>
        </w:rPr>
        <w:t>:</w:t>
      </w:r>
      <w:bookmarkEnd w:id="13"/>
    </w:p>
    <w:p w14:paraId="609677EF" w14:textId="08F672A0" w:rsidR="008A7470" w:rsidRPr="00823A2D" w:rsidRDefault="008A7470" w:rsidP="003F3340">
      <w:pPr>
        <w:pStyle w:val="ListParagraph"/>
        <w:numPr>
          <w:ilvl w:val="0"/>
          <w:numId w:val="11"/>
        </w:numPr>
        <w:ind w:left="426"/>
        <w:jc w:val="both"/>
        <w:rPr>
          <w:rFonts w:ascii="Avenir Next" w:hAnsi="Avenir Next" w:cs="Arial"/>
          <w:sz w:val="22"/>
          <w:szCs w:val="22"/>
          <w:lang w:val="en-GB" w:eastAsia="en-GB"/>
        </w:rPr>
      </w:pPr>
      <w:r w:rsidRPr="00823A2D">
        <w:rPr>
          <w:rFonts w:ascii="Avenir Next" w:hAnsi="Avenir Next" w:cs="Arial"/>
          <w:sz w:val="22"/>
          <w:szCs w:val="22"/>
          <w:lang w:val="en-GB" w:eastAsia="en-GB"/>
        </w:rPr>
        <w:t>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regulatory capital amount or standard capital ratios have reduced to one</w:t>
      </w:r>
      <w:r w:rsidR="0055688E"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third of the minimum level specified by </w:t>
      </w:r>
      <w:proofErr w:type="gramStart"/>
      <w:r w:rsidRPr="00823A2D">
        <w:rPr>
          <w:rFonts w:ascii="Avenir Next" w:hAnsi="Avenir Next" w:cs="Arial"/>
          <w:sz w:val="22"/>
          <w:szCs w:val="22"/>
          <w:lang w:val="en-GB" w:eastAsia="en-GB"/>
        </w:rPr>
        <w:t>law;</w:t>
      </w:r>
      <w:proofErr w:type="gramEnd"/>
    </w:p>
    <w:p w14:paraId="777D1175" w14:textId="77777777" w:rsidR="00860E61" w:rsidRPr="00823A2D" w:rsidRDefault="00860E61" w:rsidP="00860E61">
      <w:pPr>
        <w:jc w:val="both"/>
        <w:rPr>
          <w:rFonts w:ascii="Avenir Next" w:hAnsi="Avenir Next" w:cs="Arial"/>
          <w:sz w:val="22"/>
          <w:szCs w:val="22"/>
          <w:lang w:val="en-GB" w:eastAsia="en-GB"/>
        </w:rPr>
      </w:pPr>
    </w:p>
    <w:p w14:paraId="07840450" w14:textId="33A45DCF" w:rsidR="008A7470" w:rsidRPr="00823A2D" w:rsidRDefault="008A7470" w:rsidP="003F3340">
      <w:pPr>
        <w:pStyle w:val="ListParagraph"/>
        <w:numPr>
          <w:ilvl w:val="0"/>
          <w:numId w:val="11"/>
        </w:numPr>
        <w:ind w:left="426"/>
        <w:jc w:val="both"/>
        <w:rPr>
          <w:rFonts w:ascii="Avenir Next" w:hAnsi="Avenir Next" w:cs="Arial"/>
          <w:sz w:val="22"/>
          <w:szCs w:val="22"/>
          <w:lang w:val="en-GB" w:eastAsia="en-GB"/>
        </w:rPr>
      </w:pPr>
      <w:r w:rsidRPr="00823A2D">
        <w:rPr>
          <w:rFonts w:ascii="Avenir Next" w:hAnsi="Avenir Next" w:cs="Arial"/>
          <w:sz w:val="22"/>
          <w:szCs w:val="22"/>
          <w:lang w:val="en-GB" w:eastAsia="en-GB"/>
        </w:rPr>
        <w:t xml:space="preserve">within five consecutive working days, the bank has failed to meet 2% or more of its obligations to depositors or </w:t>
      </w:r>
      <w:proofErr w:type="gramStart"/>
      <w:r w:rsidRPr="00823A2D">
        <w:rPr>
          <w:rFonts w:ascii="Avenir Next" w:hAnsi="Avenir Next" w:cs="Arial"/>
          <w:sz w:val="22"/>
          <w:szCs w:val="22"/>
          <w:lang w:val="en-GB" w:eastAsia="en-GB"/>
        </w:rPr>
        <w:t>creditors;</w:t>
      </w:r>
      <w:proofErr w:type="gramEnd"/>
      <w:r w:rsidRPr="00823A2D">
        <w:rPr>
          <w:rFonts w:ascii="Avenir Next" w:hAnsi="Avenir Next" w:cs="Arial"/>
          <w:sz w:val="22"/>
          <w:szCs w:val="22"/>
          <w:lang w:val="en-GB" w:eastAsia="en-GB"/>
        </w:rPr>
        <w:t xml:space="preserve"> and</w:t>
      </w:r>
    </w:p>
    <w:p w14:paraId="43AF8A97" w14:textId="77777777" w:rsidR="00860E61" w:rsidRPr="00823A2D" w:rsidRDefault="00860E61" w:rsidP="00860E61">
      <w:pPr>
        <w:jc w:val="both"/>
        <w:rPr>
          <w:rFonts w:ascii="Avenir Next" w:hAnsi="Avenir Next" w:cs="Arial"/>
          <w:sz w:val="22"/>
          <w:szCs w:val="22"/>
          <w:lang w:val="en-GB" w:eastAsia="en-GB"/>
        </w:rPr>
      </w:pPr>
    </w:p>
    <w:p w14:paraId="6EA62788" w14:textId="709433A1" w:rsidR="008A7470" w:rsidRPr="00823A2D" w:rsidRDefault="008A7470" w:rsidP="003F3340">
      <w:pPr>
        <w:pStyle w:val="ListParagraph"/>
        <w:numPr>
          <w:ilvl w:val="0"/>
          <w:numId w:val="11"/>
        </w:numPr>
        <w:ind w:left="426"/>
        <w:jc w:val="both"/>
        <w:rPr>
          <w:rFonts w:ascii="Avenir Next" w:hAnsi="Avenir Next" w:cs="Arial"/>
          <w:sz w:val="22"/>
          <w:szCs w:val="22"/>
          <w:lang w:val="en-GB" w:eastAsia="en-GB"/>
        </w:rPr>
      </w:pPr>
      <w:r w:rsidRPr="00823A2D">
        <w:rPr>
          <w:rFonts w:ascii="Avenir Next" w:hAnsi="Avenir Next" w:cs="Arial"/>
          <w:sz w:val="22"/>
          <w:szCs w:val="22"/>
          <w:lang w:val="en-GB" w:eastAsia="en-GB"/>
        </w:rPr>
        <w:t>the bank, having been declared as troubled, then fails to comply with an order or decision of the NB and</w:t>
      </w:r>
      <w:r w:rsidR="0050682B" w:rsidRPr="00823A2D">
        <w:rPr>
          <w:rFonts w:ascii="Avenir Next" w:hAnsi="Avenir Next" w:cs="Arial"/>
          <w:sz w:val="22"/>
          <w:szCs w:val="22"/>
          <w:lang w:val="en-GB" w:eastAsia="en-GB"/>
        </w:rPr>
        <w:t xml:space="preserve"> </w:t>
      </w:r>
      <w:r w:rsidRPr="00823A2D">
        <w:rPr>
          <w:rFonts w:ascii="Avenir Next" w:hAnsi="Avenir Next" w:cs="Arial"/>
          <w:sz w:val="22"/>
          <w:szCs w:val="22"/>
          <w:lang w:val="en-GB" w:eastAsia="en-GB"/>
        </w:rPr>
        <w:t>/</w:t>
      </w:r>
      <w:r w:rsidR="0050682B" w:rsidRPr="00823A2D">
        <w:rPr>
          <w:rFonts w:ascii="Avenir Next" w:hAnsi="Avenir Next" w:cs="Arial"/>
          <w:sz w:val="22"/>
          <w:szCs w:val="22"/>
          <w:lang w:val="en-GB" w:eastAsia="en-GB"/>
        </w:rPr>
        <w:t xml:space="preserve"> </w:t>
      </w:r>
      <w:r w:rsidRPr="00823A2D">
        <w:rPr>
          <w:rFonts w:ascii="Avenir Next" w:hAnsi="Avenir Next" w:cs="Arial"/>
          <w:sz w:val="22"/>
          <w:szCs w:val="22"/>
          <w:lang w:val="en-GB" w:eastAsia="en-GB"/>
        </w:rPr>
        <w:t>or a request by the NB to remedy violations of the banking law.</w:t>
      </w:r>
    </w:p>
    <w:p w14:paraId="1420029A" w14:textId="77777777" w:rsidR="00860E61" w:rsidRPr="00823A2D" w:rsidRDefault="00860E61" w:rsidP="00860E61">
      <w:pPr>
        <w:jc w:val="both"/>
        <w:rPr>
          <w:rFonts w:ascii="Avenir Next" w:hAnsi="Avenir Next" w:cs="Arial"/>
          <w:sz w:val="22"/>
          <w:szCs w:val="22"/>
          <w:lang w:val="en-GB" w:eastAsia="en-GB"/>
        </w:rPr>
      </w:pPr>
    </w:p>
    <w:p w14:paraId="77478EA1" w14:textId="70659482" w:rsidR="008A7470" w:rsidRPr="00823A2D" w:rsidRDefault="008A7470" w:rsidP="00860E61">
      <w:pPr>
        <w:jc w:val="both"/>
        <w:rPr>
          <w:rFonts w:ascii="Avenir Next" w:hAnsi="Avenir Next" w:cs="Arial"/>
          <w:sz w:val="22"/>
          <w:szCs w:val="22"/>
          <w:lang w:val="en-GB" w:eastAsia="en-GB"/>
        </w:rPr>
      </w:pPr>
      <w:bookmarkStart w:id="14" w:name="para29"/>
      <w:r w:rsidRPr="00823A2D">
        <w:rPr>
          <w:rFonts w:ascii="Avenir Next" w:hAnsi="Avenir Next" w:cs="Arial"/>
          <w:sz w:val="22"/>
          <w:szCs w:val="22"/>
          <w:lang w:val="en-GB" w:eastAsia="en-GB"/>
        </w:rPr>
        <w:t xml:space="preserve">The NB </w:t>
      </w:r>
      <w:proofErr w:type="gramStart"/>
      <w:r w:rsidRPr="00823A2D">
        <w:rPr>
          <w:rFonts w:ascii="Avenir Next" w:hAnsi="Avenir Next" w:cs="Arial"/>
          <w:sz w:val="22"/>
          <w:szCs w:val="22"/>
          <w:lang w:val="en-GB" w:eastAsia="en-GB"/>
        </w:rPr>
        <w:t>has the ability to</w:t>
      </w:r>
      <w:proofErr w:type="gramEnd"/>
      <w:r w:rsidRPr="00823A2D">
        <w:rPr>
          <w:rFonts w:ascii="Avenir Next" w:hAnsi="Avenir Next" w:cs="Arial"/>
          <w:sz w:val="22"/>
          <w:szCs w:val="22"/>
          <w:lang w:val="en-GB" w:eastAsia="en-GB"/>
        </w:rPr>
        <w:t xml:space="preserve"> classify a bank as insolvent without necessarily needing </w:t>
      </w:r>
      <w:r w:rsidR="00860E61" w:rsidRPr="00823A2D">
        <w:rPr>
          <w:rFonts w:ascii="Avenir Next" w:hAnsi="Avenir Next" w:cs="Arial"/>
          <w:sz w:val="22"/>
          <w:szCs w:val="22"/>
          <w:lang w:val="en-GB" w:eastAsia="en-GB"/>
        </w:rPr>
        <w:t xml:space="preserve">to </w:t>
      </w:r>
      <w:r w:rsidRPr="00823A2D">
        <w:rPr>
          <w:rFonts w:ascii="Avenir Next" w:hAnsi="Avenir Next" w:cs="Arial"/>
          <w:sz w:val="22"/>
          <w:szCs w:val="22"/>
          <w:lang w:val="en-GB" w:eastAsia="en-GB"/>
        </w:rPr>
        <w:t xml:space="preserve">first go through the troubled stage. Article 77 </w:t>
      </w:r>
      <w:r w:rsidR="0050682B" w:rsidRPr="00823A2D">
        <w:rPr>
          <w:rFonts w:ascii="Avenir Next" w:hAnsi="Avenir Next" w:cs="Arial"/>
          <w:sz w:val="22"/>
          <w:szCs w:val="22"/>
          <w:lang w:val="en-GB" w:eastAsia="en-GB"/>
        </w:rPr>
        <w:t xml:space="preserve">of the </w:t>
      </w:r>
      <w:r w:rsidRPr="00823A2D">
        <w:rPr>
          <w:rFonts w:ascii="Avenir Next" w:hAnsi="Avenir Next" w:cs="Arial"/>
          <w:sz w:val="22"/>
          <w:szCs w:val="22"/>
          <w:lang w:val="en-GB" w:eastAsia="en-GB"/>
        </w:rPr>
        <w:t>LBBA accordingly provides that a bank can be liquidated by the NB directly</w:t>
      </w:r>
      <w:r w:rsidR="00860E61"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 revoking its licence.</w:t>
      </w:r>
      <w:bookmarkEnd w:id="14"/>
    </w:p>
    <w:p w14:paraId="61CA2A2B" w14:textId="77777777" w:rsidR="00860E61" w:rsidRPr="00823A2D" w:rsidRDefault="00860E61" w:rsidP="00860E61">
      <w:pPr>
        <w:jc w:val="both"/>
        <w:rPr>
          <w:rFonts w:ascii="Avenir Next" w:hAnsi="Avenir Next" w:cs="Arial"/>
          <w:sz w:val="22"/>
          <w:szCs w:val="22"/>
          <w:lang w:val="en-GB" w:eastAsia="en-GB"/>
        </w:rPr>
      </w:pPr>
    </w:p>
    <w:p w14:paraId="0F37AB01" w14:textId="77777777" w:rsidR="008A7470" w:rsidRPr="00823A2D" w:rsidRDefault="008A7470" w:rsidP="00860E61">
      <w:pPr>
        <w:jc w:val="both"/>
        <w:rPr>
          <w:rFonts w:ascii="Avenir Next Demi Bold" w:hAnsi="Avenir Next Demi Bold" w:cs="Arial"/>
          <w:b/>
          <w:bCs/>
          <w:i/>
          <w:iCs/>
          <w:sz w:val="22"/>
          <w:szCs w:val="22"/>
          <w:lang w:val="en-GB" w:eastAsia="en-GB"/>
        </w:rPr>
      </w:pPr>
      <w:r w:rsidRPr="00823A2D">
        <w:rPr>
          <w:rFonts w:ascii="Avenir Next Demi Bold" w:hAnsi="Avenir Next Demi Bold" w:cs="Arial"/>
          <w:b/>
          <w:bCs/>
          <w:i/>
          <w:iCs/>
          <w:sz w:val="22"/>
          <w:szCs w:val="22"/>
          <w:lang w:val="en-GB" w:eastAsia="en-GB"/>
        </w:rPr>
        <w:t>Provisional administration</w:t>
      </w:r>
    </w:p>
    <w:p w14:paraId="65A80A38" w14:textId="03F03D70" w:rsidR="008A7470" w:rsidRPr="00823A2D" w:rsidRDefault="008A7470" w:rsidP="00250E19">
      <w:pPr>
        <w:spacing w:before="100" w:beforeAutospacing="1" w:after="100" w:afterAutospacing="1"/>
        <w:jc w:val="both"/>
        <w:rPr>
          <w:rFonts w:ascii="Avenir Next" w:hAnsi="Avenir Next" w:cs="Arial"/>
          <w:sz w:val="22"/>
          <w:szCs w:val="22"/>
          <w:lang w:val="en-GB" w:eastAsia="en-GB"/>
        </w:rPr>
      </w:pPr>
      <w:bookmarkStart w:id="15" w:name="para30"/>
      <w:r w:rsidRPr="00823A2D">
        <w:rPr>
          <w:rFonts w:ascii="Avenir Next" w:hAnsi="Avenir Next" w:cs="Arial"/>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interim or provisional administration and its ultimate liquidation.</w:t>
      </w:r>
      <w:bookmarkStart w:id="16" w:name="para31"/>
      <w:bookmarkEnd w:id="15"/>
    </w:p>
    <w:p w14:paraId="7A9D03C5" w14:textId="77777777" w:rsidR="008A7470" w:rsidRPr="00823A2D" w:rsidRDefault="008A7470" w:rsidP="00250E19">
      <w:pPr>
        <w:spacing w:before="100" w:beforeAutospacing="1" w:after="100" w:afterAutospacing="1"/>
        <w:jc w:val="both"/>
        <w:rPr>
          <w:rFonts w:ascii="Avenir Next" w:hAnsi="Avenir Next" w:cs="Arial"/>
          <w:sz w:val="22"/>
          <w:szCs w:val="22"/>
          <w:lang w:val="en-GB" w:eastAsia="en-GB"/>
        </w:rPr>
      </w:pPr>
      <w:r w:rsidRPr="00823A2D">
        <w:rPr>
          <w:rFonts w:ascii="Avenir Next" w:hAnsi="Avenir Next" w:cs="Arial"/>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823A2D" w:rsidRDefault="008A7470" w:rsidP="003F3340">
      <w:pPr>
        <w:pStyle w:val="ListParagraph"/>
        <w:numPr>
          <w:ilvl w:val="0"/>
          <w:numId w:val="12"/>
        </w:numPr>
        <w:ind w:left="425" w:hanging="357"/>
        <w:jc w:val="both"/>
        <w:rPr>
          <w:rFonts w:ascii="Avenir Next" w:hAnsi="Avenir Next" w:cs="Arial"/>
          <w:sz w:val="22"/>
          <w:szCs w:val="22"/>
          <w:lang w:val="en-GB" w:eastAsia="en-GB"/>
        </w:rPr>
      </w:pPr>
      <w:r w:rsidRPr="00823A2D">
        <w:rPr>
          <w:rFonts w:ascii="Avenir Next" w:hAnsi="Avenir Next" w:cs="Arial"/>
          <w:sz w:val="22"/>
          <w:szCs w:val="22"/>
          <w:lang w:val="en-GB" w:eastAsia="en-GB"/>
        </w:rPr>
        <w:t>the DGF (acting via an authorised officer) begins the process of directly administering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affairs. Articles 35(5) and 36(1) of the DGF Law provide that during provisional administration, the DGF shall have full and exclusive rights to manage the bank and all powers of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management.</w:t>
      </w:r>
    </w:p>
    <w:p w14:paraId="3400DEFA" w14:textId="77777777" w:rsidR="0066252C" w:rsidRPr="00823A2D" w:rsidRDefault="0066252C" w:rsidP="0066252C">
      <w:pPr>
        <w:jc w:val="both"/>
        <w:rPr>
          <w:rFonts w:ascii="Avenir Next" w:hAnsi="Avenir Next" w:cs="Arial"/>
          <w:sz w:val="22"/>
          <w:szCs w:val="22"/>
          <w:lang w:val="en-GB" w:eastAsia="en-GB"/>
        </w:rPr>
      </w:pPr>
    </w:p>
    <w:p w14:paraId="373ABEEB" w14:textId="6113460C" w:rsidR="008A7470" w:rsidRPr="00823A2D" w:rsidRDefault="008A7470" w:rsidP="003F3340">
      <w:pPr>
        <w:pStyle w:val="ListParagraph"/>
        <w:numPr>
          <w:ilvl w:val="0"/>
          <w:numId w:val="12"/>
        </w:numPr>
        <w:ind w:left="425" w:hanging="357"/>
        <w:jc w:val="both"/>
        <w:rPr>
          <w:rFonts w:ascii="Avenir Next" w:hAnsi="Avenir Next" w:cs="Arial"/>
          <w:sz w:val="22"/>
          <w:szCs w:val="22"/>
          <w:lang w:val="en-GB" w:eastAsia="en-GB"/>
        </w:rPr>
      </w:pPr>
      <w:r w:rsidRPr="00823A2D">
        <w:rPr>
          <w:rFonts w:ascii="Avenir Next" w:hAnsi="Avenir Next" w:cs="Arial"/>
          <w:sz w:val="22"/>
          <w:szCs w:val="22"/>
          <w:lang w:val="en-GB" w:eastAsia="en-GB"/>
        </w:rPr>
        <w:t xml:space="preserve">Article 36(5) establishes a moratorium which prevents, </w:t>
      </w:r>
      <w:r w:rsidRPr="00823A2D">
        <w:rPr>
          <w:rFonts w:ascii="Avenir Next" w:hAnsi="Avenir Next" w:cs="Arial"/>
          <w:i/>
          <w:iCs/>
          <w:sz w:val="22"/>
          <w:szCs w:val="22"/>
          <w:lang w:val="en-GB" w:eastAsia="en-GB"/>
        </w:rPr>
        <w:t>inter alia</w:t>
      </w:r>
      <w:r w:rsidRPr="00823A2D">
        <w:rPr>
          <w:rFonts w:ascii="Avenir Next" w:hAnsi="Avenir Next" w:cs="Arial"/>
          <w:sz w:val="22"/>
          <w:szCs w:val="22"/>
          <w:lang w:val="en-GB" w:eastAsia="en-GB"/>
        </w:rPr>
        <w:t>: the claims of depositors or creditors being satisfied; execution or enforcement against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assets; encumbrances and restrictions being created over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property; and interest being charged.</w:t>
      </w:r>
    </w:p>
    <w:p w14:paraId="0D9FD173" w14:textId="2E479CF1" w:rsidR="006A3DF0" w:rsidRPr="00823A2D" w:rsidRDefault="006A3DF0" w:rsidP="006A3DF0">
      <w:pPr>
        <w:jc w:val="both"/>
        <w:rPr>
          <w:rFonts w:ascii="Avenir Next" w:hAnsi="Avenir Next" w:cs="Arial"/>
          <w:sz w:val="22"/>
          <w:szCs w:val="22"/>
          <w:lang w:val="en-GB" w:eastAsia="en-GB"/>
        </w:rPr>
      </w:pPr>
    </w:p>
    <w:p w14:paraId="0C5C9B4D" w14:textId="57BE92F7" w:rsidR="00867A8F" w:rsidRPr="00823A2D" w:rsidRDefault="00867A8F" w:rsidP="006A3DF0">
      <w:pPr>
        <w:jc w:val="both"/>
        <w:rPr>
          <w:rFonts w:ascii="Avenir Next" w:hAnsi="Avenir Next" w:cs="Arial"/>
          <w:sz w:val="22"/>
          <w:szCs w:val="22"/>
          <w:lang w:val="en-GB" w:eastAsia="en-GB"/>
        </w:rPr>
      </w:pPr>
    </w:p>
    <w:p w14:paraId="4518FE33" w14:textId="6ADCB6A7" w:rsidR="00867A8F" w:rsidRPr="00823A2D" w:rsidRDefault="00867A8F" w:rsidP="006A3DF0">
      <w:pPr>
        <w:jc w:val="both"/>
        <w:rPr>
          <w:rFonts w:ascii="Avenir Next" w:hAnsi="Avenir Next" w:cs="Arial"/>
          <w:sz w:val="22"/>
          <w:szCs w:val="22"/>
          <w:lang w:val="en-GB" w:eastAsia="en-GB"/>
        </w:rPr>
      </w:pPr>
    </w:p>
    <w:p w14:paraId="3058137D" w14:textId="3DF06EC3" w:rsidR="00867A8F" w:rsidRPr="00823A2D" w:rsidRDefault="00867A8F" w:rsidP="006A3DF0">
      <w:pPr>
        <w:jc w:val="both"/>
        <w:rPr>
          <w:rFonts w:ascii="Avenir Next" w:hAnsi="Avenir Next" w:cs="Arial"/>
          <w:sz w:val="22"/>
          <w:szCs w:val="22"/>
          <w:lang w:val="en-GB" w:eastAsia="en-GB"/>
        </w:rPr>
      </w:pPr>
    </w:p>
    <w:p w14:paraId="4BD60C33" w14:textId="77777777" w:rsidR="00867A8F" w:rsidRPr="00823A2D" w:rsidRDefault="00867A8F" w:rsidP="006A3DF0">
      <w:pPr>
        <w:jc w:val="both"/>
        <w:rPr>
          <w:rFonts w:ascii="Avenir Next" w:hAnsi="Avenir Next" w:cs="Arial"/>
          <w:sz w:val="22"/>
          <w:szCs w:val="22"/>
          <w:lang w:val="en-GB" w:eastAsia="en-GB"/>
        </w:rPr>
      </w:pPr>
    </w:p>
    <w:p w14:paraId="63BB04C7" w14:textId="77777777" w:rsidR="008A7470" w:rsidRPr="00823A2D" w:rsidRDefault="008A7470" w:rsidP="006A3DF0">
      <w:pPr>
        <w:jc w:val="both"/>
        <w:rPr>
          <w:rFonts w:ascii="Avenir Next Demi Bold" w:hAnsi="Avenir Next Demi Bold" w:cs="Arial"/>
          <w:b/>
          <w:bCs/>
          <w:i/>
          <w:iCs/>
          <w:sz w:val="22"/>
          <w:szCs w:val="22"/>
          <w:lang w:val="en-GB" w:eastAsia="en-GB"/>
        </w:rPr>
      </w:pPr>
      <w:r w:rsidRPr="00823A2D">
        <w:rPr>
          <w:rFonts w:ascii="Avenir Next Demi Bold" w:hAnsi="Avenir Next Demi Bold" w:cs="Arial"/>
          <w:b/>
          <w:bCs/>
          <w:i/>
          <w:iCs/>
          <w:sz w:val="22"/>
          <w:szCs w:val="22"/>
          <w:lang w:val="en-GB" w:eastAsia="en-GB"/>
        </w:rPr>
        <w:lastRenderedPageBreak/>
        <w:t>Liquidation</w:t>
      </w:r>
    </w:p>
    <w:p w14:paraId="5A1B1753" w14:textId="77777777" w:rsidR="0040710D" w:rsidRPr="00823A2D" w:rsidRDefault="0040710D" w:rsidP="0040710D">
      <w:pPr>
        <w:jc w:val="both"/>
        <w:rPr>
          <w:rFonts w:ascii="Avenir Next" w:hAnsi="Avenir Next" w:cs="Arial"/>
          <w:sz w:val="22"/>
          <w:szCs w:val="22"/>
          <w:lang w:val="en-GB" w:eastAsia="en-GB"/>
        </w:rPr>
      </w:pPr>
      <w:bookmarkStart w:id="17" w:name="para32"/>
    </w:p>
    <w:p w14:paraId="18B3241B" w14:textId="5CA826CF" w:rsidR="008A7470" w:rsidRPr="00823A2D" w:rsidRDefault="008A7470" w:rsidP="0040710D">
      <w:pPr>
        <w:jc w:val="both"/>
        <w:rPr>
          <w:rFonts w:ascii="Avenir Next" w:hAnsi="Avenir Next" w:cs="Arial"/>
          <w:sz w:val="22"/>
          <w:szCs w:val="22"/>
          <w:lang w:val="en-GB" w:eastAsia="en-GB"/>
        </w:rPr>
      </w:pPr>
      <w:r w:rsidRPr="00823A2D">
        <w:rPr>
          <w:rFonts w:ascii="Avenir Next" w:hAnsi="Avenir Next" w:cs="Arial"/>
          <w:sz w:val="22"/>
          <w:szCs w:val="22"/>
          <w:lang w:val="en-GB" w:eastAsia="en-GB"/>
        </w:rPr>
        <w:t>Liquidation follows provisional administration. The DGF is obliged to commence liquidation proceedings against a bank on or before the next working day after the NB</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decision to revoke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licence.</w:t>
      </w:r>
      <w:bookmarkStart w:id="18" w:name="para33"/>
      <w:bookmarkEnd w:id="17"/>
    </w:p>
    <w:p w14:paraId="263A140B" w14:textId="77777777" w:rsidR="0040710D" w:rsidRPr="00823A2D" w:rsidRDefault="0040710D" w:rsidP="0040710D">
      <w:pPr>
        <w:jc w:val="both"/>
        <w:rPr>
          <w:rFonts w:ascii="Avenir Next" w:hAnsi="Avenir Next" w:cs="Arial"/>
          <w:sz w:val="22"/>
          <w:szCs w:val="22"/>
          <w:lang w:val="en-GB" w:eastAsia="en-GB"/>
        </w:rPr>
      </w:pPr>
    </w:p>
    <w:p w14:paraId="2B7CE32C" w14:textId="323C3822" w:rsidR="008A7470" w:rsidRPr="00823A2D" w:rsidRDefault="008A7470" w:rsidP="0040710D">
      <w:pPr>
        <w:jc w:val="both"/>
        <w:rPr>
          <w:rFonts w:ascii="Avenir Next" w:hAnsi="Avenir Next" w:cs="Arial"/>
          <w:sz w:val="22"/>
          <w:szCs w:val="22"/>
          <w:lang w:val="en-GB" w:eastAsia="en-GB"/>
        </w:rPr>
      </w:pPr>
      <w:r w:rsidRPr="00823A2D">
        <w:rPr>
          <w:rFonts w:ascii="Avenir Next" w:hAnsi="Avenir Next" w:cs="Arial"/>
          <w:sz w:val="22"/>
          <w:szCs w:val="22"/>
          <w:lang w:val="en-GB" w:eastAsia="en-GB"/>
        </w:rPr>
        <w:t>Article 77 of the LBBA provides that the DGF automatically becomes liquidator of a bank on the date it receives confirmation of the NB</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decision to revoke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823A2D" w:rsidRDefault="0040710D" w:rsidP="0040710D">
      <w:pPr>
        <w:jc w:val="both"/>
        <w:rPr>
          <w:rFonts w:ascii="Avenir Next" w:hAnsi="Avenir Next" w:cs="Arial"/>
          <w:sz w:val="22"/>
          <w:szCs w:val="22"/>
          <w:lang w:val="en-GB" w:eastAsia="en-GB"/>
        </w:rPr>
      </w:pPr>
    </w:p>
    <w:p w14:paraId="7123CDC6" w14:textId="0A3063A1" w:rsidR="008A7470" w:rsidRPr="00823A2D" w:rsidRDefault="008A7470" w:rsidP="0040710D">
      <w:pPr>
        <w:jc w:val="both"/>
        <w:rPr>
          <w:rFonts w:ascii="Avenir Next" w:hAnsi="Avenir Next" w:cs="Arial"/>
          <w:sz w:val="22"/>
          <w:szCs w:val="22"/>
          <w:lang w:val="en-GB" w:eastAsia="en-GB"/>
        </w:rPr>
      </w:pPr>
      <w:r w:rsidRPr="00823A2D">
        <w:rPr>
          <w:rFonts w:ascii="Avenir Next" w:hAnsi="Avenir Next" w:cs="Arial"/>
          <w:sz w:val="22"/>
          <w:szCs w:val="22"/>
          <w:lang w:val="en-GB" w:eastAsia="en-GB"/>
        </w:rPr>
        <w:t>When the bank enters liquidation, all powers of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management and control bodies are terminated (as are the provisional administrators</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 powers if the bank is first in provisional administration); all banking activities are terminated; all money liabilities due to the bank are deemed to become due; and</w:t>
      </w:r>
      <w:r w:rsidR="003427B9"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 among other things, the DGF alienates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s property and funds. Public encumbrances and restrictions on disposal of bank property are terminated and offsetting of </w:t>
      </w:r>
      <w:proofErr w:type="gramStart"/>
      <w:r w:rsidRPr="00823A2D">
        <w:rPr>
          <w:rFonts w:ascii="Avenir Next" w:hAnsi="Avenir Next" w:cs="Arial"/>
          <w:sz w:val="22"/>
          <w:szCs w:val="22"/>
          <w:lang w:val="en-GB" w:eastAsia="en-GB"/>
        </w:rPr>
        <w:t>counter-claims</w:t>
      </w:r>
      <w:proofErr w:type="gramEnd"/>
      <w:r w:rsidRPr="00823A2D">
        <w:rPr>
          <w:rFonts w:ascii="Avenir Next" w:hAnsi="Avenir Next" w:cs="Arial"/>
          <w:sz w:val="22"/>
          <w:szCs w:val="22"/>
          <w:lang w:val="en-GB" w:eastAsia="en-GB"/>
        </w:rPr>
        <w:t xml:space="preserve"> is prohibited.</w:t>
      </w:r>
      <w:bookmarkStart w:id="20" w:name="para35"/>
      <w:bookmarkEnd w:id="19"/>
    </w:p>
    <w:p w14:paraId="790F8DAA" w14:textId="77777777" w:rsidR="0040710D" w:rsidRPr="00823A2D" w:rsidRDefault="0040710D" w:rsidP="0040710D">
      <w:pPr>
        <w:jc w:val="both"/>
        <w:rPr>
          <w:rFonts w:ascii="Avenir Next" w:hAnsi="Avenir Next" w:cs="Arial"/>
          <w:sz w:val="22"/>
          <w:szCs w:val="22"/>
          <w:lang w:val="en-GB" w:eastAsia="en-GB"/>
        </w:rPr>
      </w:pPr>
    </w:p>
    <w:p w14:paraId="059A0704" w14:textId="03BFE581" w:rsidR="008A7470" w:rsidRPr="00823A2D" w:rsidRDefault="008A7470" w:rsidP="0040710D">
      <w:pPr>
        <w:jc w:val="both"/>
        <w:rPr>
          <w:rFonts w:ascii="Avenir Next" w:hAnsi="Avenir Next" w:cs="Arial"/>
          <w:sz w:val="22"/>
          <w:szCs w:val="22"/>
          <w:lang w:val="en-GB" w:eastAsia="en-GB"/>
        </w:rPr>
      </w:pPr>
      <w:r w:rsidRPr="00823A2D">
        <w:rPr>
          <w:rFonts w:ascii="Avenir Next" w:hAnsi="Avenir Next" w:cs="Arial"/>
          <w:sz w:val="22"/>
          <w:szCs w:val="22"/>
          <w:lang w:val="en-GB" w:eastAsia="en-GB"/>
        </w:rPr>
        <w:t>As liquidator, the DGF has extensive powers, including the power to investigate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history and bring claims against parties believed to have caused its downfall. Those powers include:</w:t>
      </w:r>
      <w:bookmarkEnd w:id="20"/>
    </w:p>
    <w:p w14:paraId="48D4FA64" w14:textId="77777777" w:rsidR="0040710D" w:rsidRPr="00823A2D" w:rsidRDefault="0040710D" w:rsidP="0040710D">
      <w:pPr>
        <w:jc w:val="both"/>
        <w:rPr>
          <w:rFonts w:ascii="Avenir Next" w:hAnsi="Avenir Next" w:cs="Arial"/>
          <w:sz w:val="22"/>
          <w:szCs w:val="22"/>
          <w:lang w:val="en-GB" w:eastAsia="en-GB"/>
        </w:rPr>
      </w:pPr>
    </w:p>
    <w:p w14:paraId="010BCF17" w14:textId="4CE68155" w:rsidR="008A7470" w:rsidRPr="00823A2D" w:rsidRDefault="008A7470" w:rsidP="003F3340">
      <w:pPr>
        <w:pStyle w:val="ListParagraph"/>
        <w:numPr>
          <w:ilvl w:val="0"/>
          <w:numId w:val="13"/>
        </w:numPr>
        <w:ind w:left="426" w:hanging="357"/>
        <w:jc w:val="both"/>
        <w:rPr>
          <w:rFonts w:ascii="Avenir Next" w:hAnsi="Avenir Next" w:cs="Arial"/>
          <w:sz w:val="22"/>
          <w:szCs w:val="22"/>
          <w:lang w:val="en-GB" w:eastAsia="en-GB"/>
        </w:rPr>
      </w:pPr>
      <w:r w:rsidRPr="00823A2D">
        <w:rPr>
          <w:rFonts w:ascii="Avenir Next" w:hAnsi="Avenir Next" w:cs="Arial"/>
          <w:sz w:val="22"/>
          <w:szCs w:val="22"/>
          <w:lang w:val="en-GB" w:eastAsia="en-GB"/>
        </w:rPr>
        <w:t xml:space="preserve">the power to exercise management powers and take over management of the property (including the money) of the </w:t>
      </w:r>
      <w:proofErr w:type="gramStart"/>
      <w:r w:rsidRPr="00823A2D">
        <w:rPr>
          <w:rFonts w:ascii="Avenir Next" w:hAnsi="Avenir Next" w:cs="Arial"/>
          <w:sz w:val="22"/>
          <w:szCs w:val="22"/>
          <w:lang w:val="en-GB" w:eastAsia="en-GB"/>
        </w:rPr>
        <w:t>bank;</w:t>
      </w:r>
      <w:proofErr w:type="gramEnd"/>
    </w:p>
    <w:p w14:paraId="41FC681B" w14:textId="77777777" w:rsidR="006B4FFC" w:rsidRPr="00823A2D" w:rsidRDefault="006B4FFC" w:rsidP="0040710D">
      <w:pPr>
        <w:ind w:left="426"/>
        <w:jc w:val="both"/>
        <w:rPr>
          <w:rFonts w:ascii="Avenir Next" w:hAnsi="Avenir Next" w:cs="Arial"/>
          <w:sz w:val="22"/>
          <w:szCs w:val="22"/>
          <w:lang w:val="en-GB" w:eastAsia="en-GB"/>
        </w:rPr>
      </w:pPr>
    </w:p>
    <w:p w14:paraId="3D146665" w14:textId="322BA88E" w:rsidR="008A7470" w:rsidRPr="00823A2D" w:rsidRDefault="008A7470" w:rsidP="003F3340">
      <w:pPr>
        <w:pStyle w:val="ListParagraph"/>
        <w:numPr>
          <w:ilvl w:val="0"/>
          <w:numId w:val="13"/>
        </w:numPr>
        <w:ind w:left="426" w:hanging="357"/>
        <w:jc w:val="both"/>
        <w:rPr>
          <w:rFonts w:ascii="Avenir Next" w:hAnsi="Avenir Next" w:cs="Arial"/>
          <w:sz w:val="22"/>
          <w:szCs w:val="22"/>
          <w:lang w:val="en-GB" w:eastAsia="en-GB"/>
        </w:rPr>
      </w:pPr>
      <w:r w:rsidRPr="00823A2D">
        <w:rPr>
          <w:rFonts w:ascii="Avenir Next" w:hAnsi="Avenir Next" w:cs="Arial"/>
          <w:sz w:val="22"/>
          <w:szCs w:val="22"/>
          <w:lang w:val="en-GB" w:eastAsia="en-GB"/>
        </w:rPr>
        <w:t xml:space="preserve">the power to compile a register of creditor claims and to seek to satisfy those </w:t>
      </w:r>
      <w:proofErr w:type="gramStart"/>
      <w:r w:rsidRPr="00823A2D">
        <w:rPr>
          <w:rFonts w:ascii="Avenir Next" w:hAnsi="Avenir Next" w:cs="Arial"/>
          <w:sz w:val="22"/>
          <w:szCs w:val="22"/>
          <w:lang w:val="en-GB" w:eastAsia="en-GB"/>
        </w:rPr>
        <w:t>claims;</w:t>
      </w:r>
      <w:proofErr w:type="gramEnd"/>
    </w:p>
    <w:p w14:paraId="4FEE27B3" w14:textId="77777777" w:rsidR="006B4FFC" w:rsidRPr="00823A2D" w:rsidRDefault="006B4FFC" w:rsidP="0040710D">
      <w:pPr>
        <w:ind w:left="426"/>
        <w:jc w:val="both"/>
        <w:rPr>
          <w:rFonts w:ascii="Avenir Next" w:hAnsi="Avenir Next" w:cs="Arial"/>
          <w:sz w:val="22"/>
          <w:szCs w:val="22"/>
          <w:lang w:val="en-GB" w:eastAsia="en-GB"/>
        </w:rPr>
      </w:pPr>
    </w:p>
    <w:p w14:paraId="52A8FDA5" w14:textId="551FC07C" w:rsidR="008A7470" w:rsidRPr="00823A2D" w:rsidRDefault="008A7470" w:rsidP="003F3340">
      <w:pPr>
        <w:pStyle w:val="ListParagraph"/>
        <w:numPr>
          <w:ilvl w:val="0"/>
          <w:numId w:val="13"/>
        </w:numPr>
        <w:ind w:left="426" w:hanging="357"/>
        <w:jc w:val="both"/>
        <w:rPr>
          <w:rFonts w:ascii="Avenir Next" w:hAnsi="Avenir Next" w:cs="Arial"/>
          <w:sz w:val="22"/>
          <w:szCs w:val="22"/>
          <w:lang w:val="en-GB" w:eastAsia="en-GB"/>
        </w:rPr>
      </w:pPr>
      <w:r w:rsidRPr="00823A2D">
        <w:rPr>
          <w:rFonts w:ascii="Avenir Next" w:hAnsi="Avenir Next" w:cs="Arial"/>
          <w:sz w:val="22"/>
          <w:szCs w:val="22"/>
          <w:lang w:val="en-GB" w:eastAsia="en-GB"/>
        </w:rPr>
        <w:t xml:space="preserve">the power to take steps to find, identify and recover property belonging to the </w:t>
      </w:r>
      <w:proofErr w:type="gramStart"/>
      <w:r w:rsidRPr="00823A2D">
        <w:rPr>
          <w:rFonts w:ascii="Avenir Next" w:hAnsi="Avenir Next" w:cs="Arial"/>
          <w:sz w:val="22"/>
          <w:szCs w:val="22"/>
          <w:lang w:val="en-GB" w:eastAsia="en-GB"/>
        </w:rPr>
        <w:t>bank;</w:t>
      </w:r>
      <w:proofErr w:type="gramEnd"/>
    </w:p>
    <w:p w14:paraId="3E282FC9" w14:textId="77777777" w:rsidR="006B4FFC" w:rsidRPr="00823A2D" w:rsidRDefault="006B4FFC" w:rsidP="0040710D">
      <w:pPr>
        <w:ind w:left="426"/>
        <w:jc w:val="both"/>
        <w:rPr>
          <w:rFonts w:ascii="Avenir Next" w:hAnsi="Avenir Next" w:cs="Arial"/>
          <w:sz w:val="22"/>
          <w:szCs w:val="22"/>
          <w:lang w:val="en-GB" w:eastAsia="en-GB"/>
        </w:rPr>
      </w:pPr>
    </w:p>
    <w:p w14:paraId="381776C9" w14:textId="26BE0A96" w:rsidR="008A7470" w:rsidRPr="00823A2D" w:rsidRDefault="008A7470" w:rsidP="003F3340">
      <w:pPr>
        <w:pStyle w:val="ListParagraph"/>
        <w:numPr>
          <w:ilvl w:val="0"/>
          <w:numId w:val="13"/>
        </w:numPr>
        <w:ind w:left="426" w:hanging="357"/>
        <w:jc w:val="both"/>
        <w:rPr>
          <w:rFonts w:ascii="Avenir Next" w:hAnsi="Avenir Next" w:cs="Arial"/>
          <w:sz w:val="22"/>
          <w:szCs w:val="22"/>
          <w:lang w:val="en-GB" w:eastAsia="en-GB"/>
        </w:rPr>
      </w:pPr>
      <w:r w:rsidRPr="00823A2D">
        <w:rPr>
          <w:rFonts w:ascii="Avenir Next" w:hAnsi="Avenir Next" w:cs="Arial"/>
          <w:sz w:val="22"/>
          <w:szCs w:val="22"/>
          <w:lang w:val="en-GB" w:eastAsia="en-GB"/>
        </w:rPr>
        <w:t xml:space="preserve">the power to dismiss employees and withdraw from/terminate </w:t>
      </w:r>
      <w:proofErr w:type="gramStart"/>
      <w:r w:rsidRPr="00823A2D">
        <w:rPr>
          <w:rFonts w:ascii="Avenir Next" w:hAnsi="Avenir Next" w:cs="Arial"/>
          <w:sz w:val="22"/>
          <w:szCs w:val="22"/>
          <w:lang w:val="en-GB" w:eastAsia="en-GB"/>
        </w:rPr>
        <w:t>contracts;</w:t>
      </w:r>
      <w:proofErr w:type="gramEnd"/>
    </w:p>
    <w:p w14:paraId="63A8EACA" w14:textId="77777777" w:rsidR="006B4FFC" w:rsidRPr="00823A2D" w:rsidRDefault="006B4FFC" w:rsidP="0040710D">
      <w:pPr>
        <w:ind w:left="426"/>
        <w:jc w:val="both"/>
        <w:rPr>
          <w:rFonts w:ascii="Avenir Next" w:hAnsi="Avenir Next" w:cs="Arial"/>
          <w:sz w:val="22"/>
          <w:szCs w:val="22"/>
          <w:lang w:val="en-GB" w:eastAsia="en-GB"/>
        </w:rPr>
      </w:pPr>
    </w:p>
    <w:p w14:paraId="7734E0AC" w14:textId="2DEDE432" w:rsidR="008A7470" w:rsidRPr="00823A2D" w:rsidRDefault="008A7470" w:rsidP="003F3340">
      <w:pPr>
        <w:pStyle w:val="ListParagraph"/>
        <w:numPr>
          <w:ilvl w:val="0"/>
          <w:numId w:val="13"/>
        </w:numPr>
        <w:ind w:left="426" w:hanging="357"/>
        <w:jc w:val="both"/>
        <w:rPr>
          <w:rFonts w:ascii="Avenir Next" w:hAnsi="Avenir Next" w:cs="Arial"/>
          <w:sz w:val="22"/>
          <w:szCs w:val="22"/>
          <w:lang w:val="en-GB" w:eastAsia="en-GB"/>
        </w:rPr>
      </w:pPr>
      <w:r w:rsidRPr="00823A2D">
        <w:rPr>
          <w:rFonts w:ascii="Avenir Next" w:hAnsi="Avenir Next" w:cs="Arial"/>
          <w:sz w:val="22"/>
          <w:szCs w:val="22"/>
          <w:lang w:val="en-GB" w:eastAsia="en-GB"/>
        </w:rPr>
        <w:t>the power to dispose of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assets; and</w:t>
      </w:r>
    </w:p>
    <w:p w14:paraId="6F6A0373" w14:textId="77777777" w:rsidR="006B4FFC" w:rsidRPr="00823A2D" w:rsidRDefault="006B4FFC" w:rsidP="0040710D">
      <w:pPr>
        <w:ind w:left="426"/>
        <w:jc w:val="both"/>
        <w:rPr>
          <w:rFonts w:ascii="Avenir Next" w:hAnsi="Avenir Next" w:cs="Arial"/>
          <w:sz w:val="22"/>
          <w:szCs w:val="22"/>
          <w:lang w:val="en-GB" w:eastAsia="en-GB"/>
        </w:rPr>
      </w:pPr>
    </w:p>
    <w:p w14:paraId="429C16A7" w14:textId="23303153" w:rsidR="008A7470" w:rsidRPr="00823A2D" w:rsidRDefault="008A7470" w:rsidP="003F3340">
      <w:pPr>
        <w:pStyle w:val="ListParagraph"/>
        <w:numPr>
          <w:ilvl w:val="0"/>
          <w:numId w:val="13"/>
        </w:numPr>
        <w:ind w:left="426" w:hanging="357"/>
        <w:jc w:val="both"/>
        <w:rPr>
          <w:rFonts w:ascii="Avenir Next" w:hAnsi="Avenir Next" w:cs="Arial"/>
          <w:sz w:val="22"/>
          <w:szCs w:val="22"/>
          <w:lang w:val="en-GB" w:eastAsia="en-GB"/>
        </w:rPr>
      </w:pPr>
      <w:r w:rsidRPr="00823A2D">
        <w:rPr>
          <w:rFonts w:ascii="Avenir Next" w:hAnsi="Avenir Next" w:cs="Arial"/>
          <w:sz w:val="22"/>
          <w:szCs w:val="22"/>
          <w:lang w:val="en-GB" w:eastAsia="en-GB"/>
        </w:rPr>
        <w:t xml:space="preserve">the power to exercise </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such other powers as are necessary to complete the liquidation of a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w:t>
      </w:r>
    </w:p>
    <w:p w14:paraId="00EEDE7D" w14:textId="77777777" w:rsidR="006B4FFC" w:rsidRPr="00823A2D" w:rsidRDefault="006B4FFC" w:rsidP="006B4FFC">
      <w:pPr>
        <w:jc w:val="both"/>
        <w:rPr>
          <w:rFonts w:ascii="Avenir Next" w:hAnsi="Avenir Next" w:cs="Arial"/>
          <w:sz w:val="22"/>
          <w:szCs w:val="22"/>
          <w:lang w:val="en-GB" w:eastAsia="en-GB"/>
        </w:rPr>
      </w:pPr>
    </w:p>
    <w:p w14:paraId="791DDB5B" w14:textId="74132292" w:rsidR="008A7470" w:rsidRPr="00823A2D" w:rsidRDefault="008A7470" w:rsidP="006B4FFC">
      <w:pPr>
        <w:jc w:val="both"/>
        <w:rPr>
          <w:rFonts w:ascii="Avenir Next" w:hAnsi="Avenir Next" w:cs="Arial"/>
          <w:sz w:val="22"/>
          <w:szCs w:val="22"/>
          <w:lang w:val="en-GB" w:eastAsia="en-GB"/>
        </w:rPr>
      </w:pPr>
      <w:bookmarkStart w:id="21" w:name="para36"/>
      <w:r w:rsidRPr="00823A2D">
        <w:rPr>
          <w:rFonts w:ascii="Avenir Next" w:hAnsi="Avenir Next" w:cs="Arial"/>
          <w:sz w:val="22"/>
          <w:szCs w:val="22"/>
          <w:lang w:val="en-GB" w:eastAsia="en-GB"/>
        </w:rPr>
        <w:t xml:space="preserve">The DGF also has powers of sale, </w:t>
      </w:r>
      <w:proofErr w:type="gramStart"/>
      <w:r w:rsidRPr="00823A2D">
        <w:rPr>
          <w:rFonts w:ascii="Avenir Next" w:hAnsi="Avenir Next" w:cs="Arial"/>
          <w:sz w:val="22"/>
          <w:szCs w:val="22"/>
          <w:lang w:val="en-GB" w:eastAsia="en-GB"/>
        </w:rPr>
        <w:t>distribution</w:t>
      </w:r>
      <w:proofErr w:type="gramEnd"/>
      <w:r w:rsidRPr="00823A2D">
        <w:rPr>
          <w:rFonts w:ascii="Avenir Next" w:hAnsi="Avenir Next" w:cs="Arial"/>
          <w:sz w:val="22"/>
          <w:szCs w:val="22"/>
          <w:lang w:val="en-GB" w:eastAsia="en-GB"/>
        </w:rPr>
        <w:t xml:space="preserve"> and the power to bring claims for compensation against persons for harm inflicted on the insolvent bank.</w:t>
      </w:r>
      <w:bookmarkEnd w:id="21"/>
    </w:p>
    <w:p w14:paraId="1D223300" w14:textId="77777777" w:rsidR="006B4FFC" w:rsidRPr="00823A2D" w:rsidRDefault="006B4FFC" w:rsidP="006B4FFC">
      <w:pPr>
        <w:jc w:val="both"/>
        <w:rPr>
          <w:rFonts w:ascii="Avenir Next" w:hAnsi="Avenir Next" w:cs="Arial"/>
          <w:sz w:val="22"/>
          <w:szCs w:val="22"/>
          <w:lang w:val="en-GB" w:eastAsia="en-GB"/>
        </w:rPr>
      </w:pPr>
    </w:p>
    <w:p w14:paraId="09753855" w14:textId="62E6C3A9" w:rsidR="008A7470" w:rsidRPr="00823A2D" w:rsidRDefault="008A7470" w:rsidP="006B4FFC">
      <w:pPr>
        <w:jc w:val="both"/>
        <w:rPr>
          <w:rFonts w:ascii="Avenir Next" w:hAnsi="Avenir Next" w:cs="Arial"/>
          <w:sz w:val="22"/>
          <w:szCs w:val="22"/>
          <w:lang w:val="en-GB" w:eastAsia="en-GB"/>
        </w:rPr>
      </w:pPr>
      <w:r w:rsidRPr="00823A2D">
        <w:rPr>
          <w:rFonts w:ascii="Avenir Next" w:hAnsi="Avenir Next" w:cs="Arial"/>
          <w:sz w:val="22"/>
          <w:szCs w:val="22"/>
          <w:lang w:val="en-GB" w:eastAsia="en-GB"/>
        </w:rPr>
        <w:t xml:space="preserve">However, article 48(3) of the DGF Law empowers the DGF to delegate its powers to an </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authorised officer</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 or </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authorised person</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 The </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Fund</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authorised person</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 is defined by article 2(1)(17) of the DGF </w:t>
      </w:r>
      <w:r w:rsidR="002F78CA" w:rsidRPr="00823A2D">
        <w:rPr>
          <w:rFonts w:ascii="Avenir Next" w:hAnsi="Avenir Next" w:cs="Arial"/>
          <w:sz w:val="22"/>
          <w:szCs w:val="22"/>
          <w:lang w:val="en-GB" w:eastAsia="en-GB"/>
        </w:rPr>
        <w:t>L</w:t>
      </w:r>
      <w:r w:rsidRPr="00823A2D">
        <w:rPr>
          <w:rFonts w:ascii="Avenir Next" w:hAnsi="Avenir Next" w:cs="Arial"/>
          <w:sz w:val="22"/>
          <w:szCs w:val="22"/>
          <w:lang w:val="en-GB" w:eastAsia="en-GB"/>
        </w:rPr>
        <w:t xml:space="preserve">aw as: </w:t>
      </w:r>
      <w:r w:rsidR="008512FA" w:rsidRPr="00823A2D">
        <w:rPr>
          <w:rFonts w:ascii="Avenir Next" w:hAnsi="Avenir Next" w:cs="Arial"/>
          <w:i/>
          <w:iCs/>
          <w:sz w:val="22"/>
          <w:szCs w:val="22"/>
          <w:lang w:val="en-GB" w:eastAsia="en-GB"/>
        </w:rPr>
        <w:t>“</w:t>
      </w:r>
      <w:r w:rsidRPr="00823A2D">
        <w:rPr>
          <w:rFonts w:ascii="Avenir Next" w:hAnsi="Avenir Next" w:cs="Arial"/>
          <w:i/>
          <w:iCs/>
          <w:sz w:val="22"/>
          <w:szCs w:val="22"/>
          <w:lang w:val="en-GB" w:eastAsia="en-GB"/>
        </w:rPr>
        <w:t>an employee of the Fund, who on behalf of the Fund and within the powers provided for by this Law and</w:t>
      </w:r>
      <w:r w:rsidR="003427B9" w:rsidRPr="00823A2D">
        <w:rPr>
          <w:rFonts w:ascii="Avenir Next" w:hAnsi="Avenir Next" w:cs="Arial"/>
          <w:i/>
          <w:iCs/>
          <w:sz w:val="22"/>
          <w:szCs w:val="22"/>
          <w:lang w:val="en-GB" w:eastAsia="en-GB"/>
        </w:rPr>
        <w:t xml:space="preserve"> </w:t>
      </w:r>
      <w:r w:rsidRPr="00823A2D">
        <w:rPr>
          <w:rFonts w:ascii="Avenir Next" w:hAnsi="Avenir Next" w:cs="Arial"/>
          <w:i/>
          <w:iCs/>
          <w:sz w:val="22"/>
          <w:szCs w:val="22"/>
          <w:lang w:val="en-GB" w:eastAsia="en-GB"/>
        </w:rPr>
        <w:t>/</w:t>
      </w:r>
      <w:r w:rsidR="003427B9" w:rsidRPr="00823A2D">
        <w:rPr>
          <w:rFonts w:ascii="Avenir Next" w:hAnsi="Avenir Next" w:cs="Arial"/>
          <w:i/>
          <w:iCs/>
          <w:sz w:val="22"/>
          <w:szCs w:val="22"/>
          <w:lang w:val="en-GB" w:eastAsia="en-GB"/>
        </w:rPr>
        <w:t xml:space="preserve"> </w:t>
      </w:r>
      <w:r w:rsidRPr="00823A2D">
        <w:rPr>
          <w:rFonts w:ascii="Avenir Next" w:hAnsi="Avenir Next" w:cs="Arial"/>
          <w:i/>
          <w:iCs/>
          <w:sz w:val="22"/>
          <w:szCs w:val="22"/>
          <w:lang w:val="en-GB" w:eastAsia="en-GB"/>
        </w:rPr>
        <w:t>or delegated by the Fund, performs actions to ensure the bank</w:t>
      </w:r>
      <w:r w:rsidR="008512FA" w:rsidRPr="00823A2D">
        <w:rPr>
          <w:rFonts w:ascii="Avenir Next" w:hAnsi="Avenir Next" w:cs="Arial"/>
          <w:i/>
          <w:iCs/>
          <w:sz w:val="22"/>
          <w:szCs w:val="22"/>
          <w:lang w:val="en-GB" w:eastAsia="en-GB"/>
        </w:rPr>
        <w:t>’</w:t>
      </w:r>
      <w:r w:rsidRPr="00823A2D">
        <w:rPr>
          <w:rFonts w:ascii="Avenir Next" w:hAnsi="Avenir Next" w:cs="Arial"/>
          <w:i/>
          <w:iCs/>
          <w:sz w:val="22"/>
          <w:szCs w:val="22"/>
          <w:lang w:val="en-GB" w:eastAsia="en-GB"/>
        </w:rPr>
        <w:t>s withdrawal from the market during provisional administration of the insolvent bank and/or bank liquidation</w:t>
      </w:r>
      <w:r w:rsidR="008512FA" w:rsidRPr="00823A2D">
        <w:rPr>
          <w:rFonts w:ascii="Avenir Next" w:hAnsi="Avenir Next" w:cs="Arial"/>
          <w:i/>
          <w:iCs/>
          <w:sz w:val="22"/>
          <w:szCs w:val="22"/>
          <w:lang w:val="en-GB" w:eastAsia="en-GB"/>
        </w:rPr>
        <w:t>”</w:t>
      </w:r>
      <w:r w:rsidRPr="00823A2D">
        <w:rPr>
          <w:rFonts w:ascii="Avenir Next" w:hAnsi="Avenir Next" w:cs="Arial"/>
          <w:sz w:val="22"/>
          <w:szCs w:val="22"/>
          <w:lang w:val="en-GB" w:eastAsia="en-GB"/>
        </w:rPr>
        <w:t>.</w:t>
      </w:r>
    </w:p>
    <w:p w14:paraId="53D09A8A" w14:textId="77777777" w:rsidR="006B4FFC" w:rsidRPr="00823A2D" w:rsidRDefault="006B4FFC" w:rsidP="006B4FFC">
      <w:pPr>
        <w:jc w:val="both"/>
        <w:rPr>
          <w:rFonts w:ascii="Avenir Next" w:hAnsi="Avenir Next" w:cs="Arial"/>
          <w:sz w:val="22"/>
          <w:szCs w:val="22"/>
          <w:lang w:val="en-GB" w:eastAsia="en-GB"/>
        </w:rPr>
      </w:pPr>
    </w:p>
    <w:p w14:paraId="70FEDB89" w14:textId="0C43CD35" w:rsidR="008A7470" w:rsidRPr="00823A2D" w:rsidRDefault="008A7470" w:rsidP="006B4FFC">
      <w:pPr>
        <w:jc w:val="both"/>
        <w:rPr>
          <w:rFonts w:ascii="Avenir Next" w:hAnsi="Avenir Next" w:cs="Arial"/>
          <w:sz w:val="22"/>
          <w:szCs w:val="22"/>
          <w:lang w:val="en-GB" w:eastAsia="en-GB"/>
        </w:rPr>
      </w:pPr>
      <w:r w:rsidRPr="00823A2D">
        <w:rPr>
          <w:rFonts w:ascii="Avenir Next" w:hAnsi="Avenir Next" w:cs="Arial"/>
          <w:sz w:val="22"/>
          <w:szCs w:val="22"/>
          <w:lang w:val="en-GB" w:eastAsia="en-GB"/>
        </w:rPr>
        <w:t xml:space="preserve">Article 35(1) of the DGF Law specifies that an authorised person, must have: </w:t>
      </w:r>
      <w:r w:rsidR="008512FA" w:rsidRPr="00823A2D">
        <w:rPr>
          <w:rFonts w:ascii="Avenir Next" w:hAnsi="Avenir Next" w:cs="Arial"/>
          <w:sz w:val="22"/>
          <w:szCs w:val="22"/>
          <w:lang w:val="en-GB" w:eastAsia="en-GB"/>
        </w:rPr>
        <w:t>“</w:t>
      </w:r>
      <w:r w:rsidRPr="00823A2D">
        <w:rPr>
          <w:rFonts w:ascii="Avenir Next" w:hAnsi="Avenir Next" w:cs="Arial"/>
          <w:i/>
          <w:iCs/>
          <w:sz w:val="22"/>
          <w:szCs w:val="22"/>
          <w:lang w:val="en-GB" w:eastAsia="en-GB"/>
        </w:rPr>
        <w:t xml:space="preserve">…high professional and moral qualities, impeccable business reputation, complete higher education in the field of economics, </w:t>
      </w:r>
      <w:proofErr w:type="gramStart"/>
      <w:r w:rsidRPr="00823A2D">
        <w:rPr>
          <w:rFonts w:ascii="Avenir Next" w:hAnsi="Avenir Next" w:cs="Arial"/>
          <w:i/>
          <w:iCs/>
          <w:sz w:val="22"/>
          <w:szCs w:val="22"/>
          <w:lang w:val="en-GB" w:eastAsia="en-GB"/>
        </w:rPr>
        <w:t>finance</w:t>
      </w:r>
      <w:proofErr w:type="gramEnd"/>
      <w:r w:rsidRPr="00823A2D">
        <w:rPr>
          <w:rFonts w:ascii="Avenir Next" w:hAnsi="Avenir Next" w:cs="Arial"/>
          <w:i/>
          <w:iCs/>
          <w:sz w:val="22"/>
          <w:szCs w:val="22"/>
          <w:lang w:val="en-GB" w:eastAsia="en-GB"/>
        </w:rPr>
        <w:t xml:space="preserve"> or law…and professional experience necessary.</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liquidation.</w:t>
      </w:r>
    </w:p>
    <w:p w14:paraId="325E25A4" w14:textId="77777777" w:rsidR="006B4FFC" w:rsidRPr="00823A2D" w:rsidRDefault="006B4FFC" w:rsidP="006B4FFC">
      <w:pPr>
        <w:jc w:val="both"/>
        <w:rPr>
          <w:rFonts w:ascii="Avenir Next" w:hAnsi="Avenir Next" w:cs="Arial"/>
          <w:sz w:val="22"/>
          <w:szCs w:val="22"/>
          <w:lang w:val="en-GB" w:eastAsia="en-GB"/>
        </w:rPr>
      </w:pPr>
    </w:p>
    <w:p w14:paraId="7C38FB9F" w14:textId="71D744B4" w:rsidR="008A7470" w:rsidRPr="00823A2D" w:rsidRDefault="008A7470" w:rsidP="006B4FFC">
      <w:pPr>
        <w:jc w:val="both"/>
        <w:rPr>
          <w:rFonts w:ascii="Avenir Next" w:hAnsi="Avenir Next" w:cs="Arial"/>
          <w:sz w:val="22"/>
          <w:szCs w:val="22"/>
          <w:lang w:val="en-GB" w:eastAsia="en-GB"/>
        </w:rPr>
      </w:pPr>
      <w:r w:rsidRPr="00823A2D">
        <w:rPr>
          <w:rFonts w:ascii="Avenir Next" w:hAnsi="Avenir Next" w:cs="Arial"/>
          <w:sz w:val="22"/>
          <w:szCs w:val="22"/>
          <w:lang w:val="en-GB" w:eastAsia="en-GB"/>
        </w:rPr>
        <w:lastRenderedPageBreak/>
        <w:t>The DGF</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823A2D" w:rsidRDefault="006B4FFC" w:rsidP="006B4FFC">
      <w:pPr>
        <w:jc w:val="both"/>
        <w:rPr>
          <w:rFonts w:ascii="Avenir Next" w:hAnsi="Avenir Next" w:cs="Arial"/>
          <w:sz w:val="22"/>
          <w:szCs w:val="22"/>
          <w:lang w:val="en-GB" w:eastAsia="en-GB"/>
        </w:rPr>
      </w:pPr>
    </w:p>
    <w:p w14:paraId="3119EF7C" w14:textId="6EF4DEB6" w:rsidR="008A7470" w:rsidRPr="00823A2D" w:rsidRDefault="008A7470" w:rsidP="006B4FFC">
      <w:pPr>
        <w:jc w:val="both"/>
        <w:rPr>
          <w:rFonts w:ascii="Avenir Next" w:hAnsi="Avenir Next" w:cs="Arial"/>
          <w:sz w:val="22"/>
          <w:szCs w:val="22"/>
          <w:lang w:val="en-GB" w:eastAsia="en-GB"/>
        </w:rPr>
      </w:pPr>
      <w:r w:rsidRPr="00823A2D">
        <w:rPr>
          <w:rFonts w:ascii="Avenir Next" w:hAnsi="Avenir Next" w:cs="Arial"/>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823A2D">
        <w:rPr>
          <w:rFonts w:ascii="Avenir Next" w:hAnsi="Avenir Next" w:cs="Arial"/>
          <w:sz w:val="22"/>
          <w:szCs w:val="22"/>
          <w:lang w:val="en-GB" w:eastAsia="en-GB"/>
        </w:rPr>
        <w:t>enter into</w:t>
      </w:r>
      <w:proofErr w:type="gramEnd"/>
      <w:r w:rsidRPr="00823A2D">
        <w:rPr>
          <w:rFonts w:ascii="Avenir Next" w:hAnsi="Avenir Next" w:cs="Arial"/>
          <w:sz w:val="22"/>
          <w:szCs w:val="22"/>
          <w:lang w:val="en-GB" w:eastAsia="en-GB"/>
        </w:rPr>
        <w:t xml:space="preserve"> contracts, to restrict or terminate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transactions, and to file property and non-property claims with a court.</w:t>
      </w:r>
      <w:bookmarkEnd w:id="22"/>
    </w:p>
    <w:p w14:paraId="211007CF" w14:textId="7F08598D" w:rsidR="00424D07" w:rsidRPr="00823A2D" w:rsidRDefault="00424D07" w:rsidP="006B4FFC">
      <w:pPr>
        <w:jc w:val="both"/>
        <w:rPr>
          <w:rFonts w:ascii="Avenir Next" w:hAnsi="Avenir Next" w:cs="Arial"/>
          <w:sz w:val="22"/>
          <w:szCs w:val="22"/>
          <w:lang w:val="en-GB" w:eastAsia="en-GB"/>
        </w:rPr>
      </w:pPr>
    </w:p>
    <w:p w14:paraId="4B05311A" w14:textId="7778634D" w:rsidR="008A7470" w:rsidRPr="00823A2D" w:rsidRDefault="0040710D" w:rsidP="0040710D">
      <w:pPr>
        <w:jc w:val="both"/>
        <w:rPr>
          <w:rFonts w:ascii="Avenir Next Demi Bold" w:hAnsi="Avenir Next Demi Bold" w:cs="Arial"/>
          <w:b/>
          <w:bCs/>
          <w:sz w:val="22"/>
          <w:szCs w:val="22"/>
          <w:lang w:val="en-GB" w:eastAsia="en-GB"/>
        </w:rPr>
      </w:pPr>
      <w:r w:rsidRPr="00823A2D">
        <w:rPr>
          <w:rFonts w:ascii="Avenir Next Demi Bold" w:hAnsi="Avenir Next Demi Bold" w:cs="Arial"/>
          <w:b/>
          <w:bCs/>
          <w:sz w:val="22"/>
          <w:szCs w:val="22"/>
          <w:lang w:val="en-GB" w:eastAsia="en-GB"/>
        </w:rPr>
        <w:t>(2)</w:t>
      </w:r>
      <w:r w:rsidRPr="00823A2D">
        <w:rPr>
          <w:rFonts w:ascii="Avenir Next Demi Bold" w:hAnsi="Avenir Next Demi Bold" w:cs="Arial"/>
          <w:b/>
          <w:bCs/>
          <w:sz w:val="22"/>
          <w:szCs w:val="22"/>
          <w:lang w:val="en-GB" w:eastAsia="en-GB"/>
        </w:rPr>
        <w:tab/>
      </w:r>
      <w:r w:rsidR="008A7470" w:rsidRPr="00823A2D">
        <w:rPr>
          <w:rFonts w:ascii="Avenir Next Demi Bold" w:hAnsi="Avenir Next Demi Bold" w:cs="Arial"/>
          <w:b/>
          <w:bCs/>
          <w:sz w:val="22"/>
          <w:szCs w:val="22"/>
          <w:lang w:val="en-GB" w:eastAsia="en-GB"/>
        </w:rPr>
        <w:t>The Bank</w:t>
      </w:r>
      <w:r w:rsidR="008512FA" w:rsidRPr="00823A2D">
        <w:rPr>
          <w:rFonts w:ascii="Avenir Next Demi Bold" w:hAnsi="Avenir Next Demi Bold" w:cs="Arial"/>
          <w:b/>
          <w:bCs/>
          <w:sz w:val="22"/>
          <w:szCs w:val="22"/>
          <w:lang w:val="en-GB" w:eastAsia="en-GB"/>
        </w:rPr>
        <w:t>’</w:t>
      </w:r>
      <w:r w:rsidR="008A7470" w:rsidRPr="00823A2D">
        <w:rPr>
          <w:rFonts w:ascii="Avenir Next Demi Bold" w:hAnsi="Avenir Next Demi Bold" w:cs="Arial"/>
          <w:b/>
          <w:bCs/>
          <w:sz w:val="22"/>
          <w:szCs w:val="22"/>
          <w:lang w:val="en-GB" w:eastAsia="en-GB"/>
        </w:rPr>
        <w:t>s liquidation</w:t>
      </w:r>
    </w:p>
    <w:p w14:paraId="2D811E6B" w14:textId="77777777" w:rsidR="0040710D" w:rsidRPr="00823A2D" w:rsidRDefault="0040710D" w:rsidP="0040710D">
      <w:pPr>
        <w:jc w:val="both"/>
        <w:rPr>
          <w:rFonts w:ascii="Avenir Next" w:hAnsi="Avenir Next" w:cs="Arial"/>
          <w:sz w:val="22"/>
          <w:szCs w:val="22"/>
          <w:lang w:val="en-GB" w:eastAsia="en-GB"/>
        </w:rPr>
      </w:pPr>
      <w:bookmarkStart w:id="23" w:name="para37"/>
    </w:p>
    <w:p w14:paraId="2139901C" w14:textId="16B8E9EA" w:rsidR="008A7470" w:rsidRPr="00823A2D" w:rsidRDefault="008A7470" w:rsidP="0040710D">
      <w:pPr>
        <w:jc w:val="both"/>
        <w:rPr>
          <w:rFonts w:ascii="Avenir Next" w:hAnsi="Avenir Next" w:cs="Arial"/>
          <w:sz w:val="22"/>
          <w:szCs w:val="22"/>
          <w:lang w:val="en-GB" w:eastAsia="en-GB"/>
        </w:rPr>
      </w:pPr>
      <w:r w:rsidRPr="00823A2D">
        <w:rPr>
          <w:rFonts w:ascii="Avenir Next" w:hAnsi="Avenir Next" w:cs="Arial"/>
          <w:sz w:val="22"/>
          <w:szCs w:val="22"/>
          <w:lang w:val="en-GB" w:eastAsia="en-GB"/>
        </w:rPr>
        <w:t xml:space="preserve">The Bank was formally classified by the NB as </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troubled</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 on 19 January 2015. The translated NB resolution records:</w:t>
      </w:r>
      <w:bookmarkEnd w:id="23"/>
    </w:p>
    <w:p w14:paraId="2BE434DF" w14:textId="77777777" w:rsidR="0040710D" w:rsidRPr="00823A2D" w:rsidRDefault="0040710D" w:rsidP="0040710D">
      <w:pPr>
        <w:jc w:val="both"/>
        <w:rPr>
          <w:rFonts w:ascii="Avenir Next" w:hAnsi="Avenir Next" w:cs="Arial"/>
          <w:sz w:val="22"/>
          <w:szCs w:val="22"/>
          <w:lang w:val="en-GB" w:eastAsia="en-GB"/>
        </w:rPr>
      </w:pPr>
    </w:p>
    <w:p w14:paraId="385A3799" w14:textId="1EBD73FC" w:rsidR="008A7470" w:rsidRPr="00823A2D" w:rsidRDefault="008512FA" w:rsidP="0040710D">
      <w:pPr>
        <w:ind w:left="851" w:right="851"/>
        <w:jc w:val="both"/>
        <w:rPr>
          <w:rFonts w:ascii="Avenir Next" w:hAnsi="Avenir Next" w:cs="Arial"/>
          <w:sz w:val="22"/>
          <w:szCs w:val="22"/>
          <w:lang w:val="en-GB" w:eastAsia="en-GB"/>
        </w:rPr>
      </w:pPr>
      <w:r w:rsidRPr="00823A2D">
        <w:rPr>
          <w:rFonts w:ascii="Avenir Next" w:hAnsi="Avenir Next" w:cs="Arial"/>
          <w:sz w:val="22"/>
          <w:szCs w:val="22"/>
          <w:lang w:val="en-GB" w:eastAsia="en-GB"/>
        </w:rPr>
        <w:t>“</w:t>
      </w:r>
      <w:r w:rsidR="008A7470" w:rsidRPr="00823A2D">
        <w:rPr>
          <w:rFonts w:ascii="Avenir Next" w:hAnsi="Avenir Next" w:cs="Arial"/>
          <w:sz w:val="22"/>
          <w:szCs w:val="22"/>
          <w:lang w:val="en-GB" w:eastAsia="en-GB"/>
        </w:rPr>
        <w:t>The statistical reports-based analysis of the Bank</w:t>
      </w:r>
      <w:r w:rsidRPr="00823A2D">
        <w:rPr>
          <w:rFonts w:ascii="Avenir Next" w:hAnsi="Avenir Next" w:cs="Arial"/>
          <w:sz w:val="22"/>
          <w:szCs w:val="22"/>
          <w:lang w:val="en-GB" w:eastAsia="en-GB"/>
        </w:rPr>
        <w:t>’</w:t>
      </w:r>
      <w:r w:rsidR="008A7470" w:rsidRPr="00823A2D">
        <w:rPr>
          <w:rFonts w:ascii="Avenir Next" w:hAnsi="Avenir Next" w:cs="Arial"/>
          <w:sz w:val="22"/>
          <w:szCs w:val="22"/>
          <w:lang w:val="en-GB" w:eastAsia="en-GB"/>
        </w:rPr>
        <w:t>s compliance with the banking law requirements has found that the Bank has been engaged in risky operations</w:t>
      </w:r>
      <w:r w:rsidR="003B1310"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w:t>
      </w:r>
    </w:p>
    <w:p w14:paraId="36CAECFD" w14:textId="77777777" w:rsidR="0040710D" w:rsidRPr="00823A2D" w:rsidRDefault="0040710D" w:rsidP="0040710D">
      <w:pPr>
        <w:jc w:val="both"/>
        <w:rPr>
          <w:rFonts w:ascii="Avenir Next" w:hAnsi="Avenir Next" w:cs="Arial"/>
          <w:sz w:val="22"/>
          <w:szCs w:val="22"/>
          <w:lang w:val="en-GB" w:eastAsia="en-GB"/>
        </w:rPr>
      </w:pPr>
      <w:bookmarkStart w:id="24" w:name="para38"/>
    </w:p>
    <w:p w14:paraId="7813AF9C" w14:textId="3F78BB40" w:rsidR="008A7470" w:rsidRPr="00823A2D" w:rsidRDefault="008A7470" w:rsidP="0040710D">
      <w:pPr>
        <w:jc w:val="both"/>
        <w:rPr>
          <w:rFonts w:ascii="Avenir Next" w:hAnsi="Avenir Next" w:cs="Arial"/>
          <w:sz w:val="22"/>
          <w:szCs w:val="22"/>
          <w:lang w:val="en-GB" w:eastAsia="en-GB"/>
        </w:rPr>
      </w:pPr>
      <w:r w:rsidRPr="00823A2D">
        <w:rPr>
          <w:rFonts w:ascii="Avenir Next" w:hAnsi="Avenir Next" w:cs="Arial"/>
          <w:sz w:val="22"/>
          <w:szCs w:val="22"/>
          <w:lang w:val="en-GB" w:eastAsia="en-GB"/>
        </w:rPr>
        <w:t>Those operations included:</w:t>
      </w:r>
      <w:bookmarkEnd w:id="24"/>
    </w:p>
    <w:p w14:paraId="15B4651D" w14:textId="77777777" w:rsidR="0040710D" w:rsidRPr="00823A2D" w:rsidRDefault="0040710D" w:rsidP="0040710D">
      <w:pPr>
        <w:jc w:val="both"/>
        <w:rPr>
          <w:rFonts w:ascii="Avenir Next" w:hAnsi="Avenir Next" w:cs="Arial"/>
          <w:sz w:val="22"/>
          <w:szCs w:val="22"/>
          <w:lang w:val="en-GB" w:eastAsia="en-GB"/>
        </w:rPr>
      </w:pPr>
    </w:p>
    <w:p w14:paraId="2644FB5E" w14:textId="50712F6A" w:rsidR="008A7470" w:rsidRPr="00823A2D" w:rsidRDefault="008A7470" w:rsidP="003F3340">
      <w:pPr>
        <w:pStyle w:val="ListParagraph"/>
        <w:numPr>
          <w:ilvl w:val="0"/>
          <w:numId w:val="14"/>
        </w:numPr>
        <w:ind w:left="426"/>
        <w:jc w:val="both"/>
        <w:rPr>
          <w:rFonts w:ascii="Avenir Next" w:hAnsi="Avenir Next" w:cs="Arial"/>
          <w:sz w:val="22"/>
          <w:szCs w:val="22"/>
          <w:lang w:val="en-GB" w:eastAsia="en-GB"/>
        </w:rPr>
      </w:pPr>
      <w:r w:rsidRPr="00823A2D">
        <w:rPr>
          <w:rFonts w:ascii="Avenir Next" w:hAnsi="Avenir Next" w:cs="Arial"/>
          <w:sz w:val="22"/>
          <w:szCs w:val="22"/>
          <w:lang w:val="en-GB" w:eastAsia="en-GB"/>
        </w:rPr>
        <w:t xml:space="preserve">a breach, </w:t>
      </w:r>
      <w:proofErr w:type="gramStart"/>
      <w:r w:rsidRPr="00823A2D">
        <w:rPr>
          <w:rFonts w:ascii="Avenir Next" w:hAnsi="Avenir Next" w:cs="Arial"/>
          <w:sz w:val="22"/>
          <w:szCs w:val="22"/>
          <w:lang w:val="en-GB" w:eastAsia="en-GB"/>
        </w:rPr>
        <w:t>for eight consecutive reporting periods,</w:t>
      </w:r>
      <w:proofErr w:type="gramEnd"/>
      <w:r w:rsidRPr="00823A2D">
        <w:rPr>
          <w:rFonts w:ascii="Avenir Next" w:hAnsi="Avenir Next" w:cs="Arial"/>
          <w:sz w:val="22"/>
          <w:szCs w:val="22"/>
          <w:lang w:val="en-GB" w:eastAsia="en-GB"/>
        </w:rPr>
        <w:t xml:space="preserve"> of the NB</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minimum capital requirements;</w:t>
      </w:r>
    </w:p>
    <w:p w14:paraId="60A44689" w14:textId="77777777" w:rsidR="0040710D" w:rsidRPr="00823A2D" w:rsidRDefault="0040710D" w:rsidP="0040710D">
      <w:pPr>
        <w:jc w:val="both"/>
        <w:rPr>
          <w:rFonts w:ascii="Avenir Next" w:hAnsi="Avenir Next" w:cs="Arial"/>
          <w:sz w:val="22"/>
          <w:szCs w:val="22"/>
          <w:lang w:val="en-GB" w:eastAsia="en-GB"/>
        </w:rPr>
      </w:pPr>
    </w:p>
    <w:p w14:paraId="3F6C1D31" w14:textId="600CF67B" w:rsidR="008A7470" w:rsidRPr="00823A2D" w:rsidRDefault="00424D07" w:rsidP="003F3340">
      <w:pPr>
        <w:pStyle w:val="ListParagraph"/>
        <w:numPr>
          <w:ilvl w:val="0"/>
          <w:numId w:val="14"/>
        </w:numPr>
        <w:ind w:left="426"/>
        <w:jc w:val="both"/>
        <w:rPr>
          <w:rFonts w:ascii="Avenir Next" w:hAnsi="Avenir Next" w:cs="Arial"/>
          <w:sz w:val="22"/>
          <w:szCs w:val="22"/>
          <w:lang w:val="en-GB" w:eastAsia="en-GB"/>
        </w:rPr>
      </w:pPr>
      <w:r w:rsidRPr="00823A2D">
        <w:rPr>
          <w:rFonts w:ascii="Avenir Next" w:hAnsi="Avenir Next" w:cs="Arial"/>
          <w:sz w:val="22"/>
          <w:szCs w:val="22"/>
          <w:lang w:val="en-GB" w:eastAsia="en-GB"/>
        </w:rPr>
        <w:t>10</w:t>
      </w:r>
      <w:r w:rsidR="008A7470" w:rsidRPr="00823A2D">
        <w:rPr>
          <w:rFonts w:ascii="Avenir Next" w:hAnsi="Avenir Next" w:cs="Arial"/>
          <w:sz w:val="22"/>
          <w:szCs w:val="22"/>
          <w:lang w:val="en-GB" w:eastAsia="en-GB"/>
        </w:rPr>
        <w:t xml:space="preserve"> months of loss-making </w:t>
      </w:r>
      <w:proofErr w:type="gramStart"/>
      <w:r w:rsidR="008A7470" w:rsidRPr="00823A2D">
        <w:rPr>
          <w:rFonts w:ascii="Avenir Next" w:hAnsi="Avenir Next" w:cs="Arial"/>
          <w:sz w:val="22"/>
          <w:szCs w:val="22"/>
          <w:lang w:val="en-GB" w:eastAsia="en-GB"/>
        </w:rPr>
        <w:t>activities;</w:t>
      </w:r>
      <w:proofErr w:type="gramEnd"/>
    </w:p>
    <w:p w14:paraId="4CA72DCB" w14:textId="77777777" w:rsidR="0040710D" w:rsidRPr="00823A2D" w:rsidRDefault="0040710D" w:rsidP="0040710D">
      <w:pPr>
        <w:jc w:val="both"/>
        <w:rPr>
          <w:rFonts w:ascii="Avenir Next" w:hAnsi="Avenir Next" w:cs="Arial"/>
          <w:sz w:val="22"/>
          <w:szCs w:val="22"/>
          <w:lang w:val="en-GB" w:eastAsia="en-GB"/>
        </w:rPr>
      </w:pPr>
    </w:p>
    <w:p w14:paraId="31A8A4B0" w14:textId="4494B331" w:rsidR="008A7470" w:rsidRPr="00823A2D" w:rsidRDefault="008A7470" w:rsidP="003F3340">
      <w:pPr>
        <w:pStyle w:val="ListParagraph"/>
        <w:numPr>
          <w:ilvl w:val="0"/>
          <w:numId w:val="14"/>
        </w:numPr>
        <w:ind w:left="426"/>
        <w:jc w:val="both"/>
        <w:rPr>
          <w:rFonts w:ascii="Avenir Next" w:hAnsi="Avenir Next" w:cs="Arial"/>
          <w:sz w:val="22"/>
          <w:szCs w:val="22"/>
          <w:lang w:val="en-GB" w:eastAsia="en-GB"/>
        </w:rPr>
      </w:pPr>
      <w:r w:rsidRPr="00823A2D">
        <w:rPr>
          <w:rFonts w:ascii="Avenir Next" w:hAnsi="Avenir Next" w:cs="Arial"/>
          <w:sz w:val="22"/>
          <w:szCs w:val="22"/>
          <w:lang w:val="en-GB" w:eastAsia="en-GB"/>
        </w:rPr>
        <w:t xml:space="preserve">a reduction in its holding of highly liquid </w:t>
      </w:r>
      <w:proofErr w:type="gramStart"/>
      <w:r w:rsidRPr="00823A2D">
        <w:rPr>
          <w:rFonts w:ascii="Avenir Next" w:hAnsi="Avenir Next" w:cs="Arial"/>
          <w:sz w:val="22"/>
          <w:szCs w:val="22"/>
          <w:lang w:val="en-GB" w:eastAsia="en-GB"/>
        </w:rPr>
        <w:t>assets;</w:t>
      </w:r>
      <w:proofErr w:type="gramEnd"/>
    </w:p>
    <w:p w14:paraId="17AB2E9A" w14:textId="77777777" w:rsidR="0040710D" w:rsidRPr="00823A2D" w:rsidRDefault="0040710D" w:rsidP="0040710D">
      <w:pPr>
        <w:jc w:val="both"/>
        <w:rPr>
          <w:rFonts w:ascii="Avenir Next" w:hAnsi="Avenir Next" w:cs="Arial"/>
          <w:sz w:val="22"/>
          <w:szCs w:val="22"/>
          <w:lang w:val="en-GB" w:eastAsia="en-GB"/>
        </w:rPr>
      </w:pPr>
    </w:p>
    <w:p w14:paraId="2DC2BD25" w14:textId="1D278E95" w:rsidR="008A7470" w:rsidRPr="00823A2D" w:rsidRDefault="008A7470" w:rsidP="003F3340">
      <w:pPr>
        <w:pStyle w:val="ListParagraph"/>
        <w:numPr>
          <w:ilvl w:val="0"/>
          <w:numId w:val="14"/>
        </w:numPr>
        <w:ind w:left="426"/>
        <w:jc w:val="both"/>
        <w:rPr>
          <w:rFonts w:ascii="Avenir Next" w:hAnsi="Avenir Next" w:cs="Arial"/>
          <w:sz w:val="22"/>
          <w:szCs w:val="22"/>
          <w:lang w:val="en-GB" w:eastAsia="en-GB"/>
        </w:rPr>
      </w:pPr>
      <w:r w:rsidRPr="00823A2D">
        <w:rPr>
          <w:rFonts w:ascii="Avenir Next" w:hAnsi="Avenir Next" w:cs="Arial"/>
          <w:sz w:val="22"/>
          <w:szCs w:val="22"/>
          <w:lang w:val="en-GB" w:eastAsia="en-GB"/>
        </w:rPr>
        <w:t>a critically low balance of funds held with the NB; and</w:t>
      </w:r>
    </w:p>
    <w:p w14:paraId="1195AC4B" w14:textId="77777777" w:rsidR="0040710D" w:rsidRPr="00823A2D" w:rsidRDefault="0040710D" w:rsidP="0040710D">
      <w:pPr>
        <w:jc w:val="both"/>
        <w:rPr>
          <w:rFonts w:ascii="Avenir Next" w:hAnsi="Avenir Next" w:cs="Arial"/>
          <w:sz w:val="22"/>
          <w:szCs w:val="22"/>
          <w:lang w:val="en-GB" w:eastAsia="en-GB"/>
        </w:rPr>
      </w:pPr>
    </w:p>
    <w:p w14:paraId="22DEF9AD" w14:textId="7D572B72" w:rsidR="008A7470" w:rsidRPr="00823A2D" w:rsidRDefault="008A7470" w:rsidP="003F3340">
      <w:pPr>
        <w:pStyle w:val="ListParagraph"/>
        <w:numPr>
          <w:ilvl w:val="0"/>
          <w:numId w:val="14"/>
        </w:numPr>
        <w:ind w:left="426"/>
        <w:jc w:val="both"/>
        <w:rPr>
          <w:rFonts w:ascii="Avenir Next" w:hAnsi="Avenir Next" w:cs="Arial"/>
          <w:sz w:val="22"/>
          <w:szCs w:val="22"/>
          <w:lang w:val="en-GB" w:eastAsia="en-GB"/>
        </w:rPr>
      </w:pPr>
      <w:r w:rsidRPr="00823A2D">
        <w:rPr>
          <w:rFonts w:ascii="Avenir Next" w:hAnsi="Avenir Next" w:cs="Arial"/>
          <w:sz w:val="22"/>
          <w:szCs w:val="22"/>
          <w:lang w:val="en-GB" w:eastAsia="en-GB"/>
        </w:rPr>
        <w:t>48% of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s liabilities being dependent on individuals and a significant increase in </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adversely classified assets</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 which are understood to be loans, whose full repayment has become questionable.</w:t>
      </w:r>
    </w:p>
    <w:p w14:paraId="4FB39723" w14:textId="77777777" w:rsidR="00424D07" w:rsidRPr="00823A2D" w:rsidRDefault="00424D07" w:rsidP="00424D07">
      <w:pPr>
        <w:jc w:val="both"/>
        <w:rPr>
          <w:rFonts w:ascii="Avenir Next" w:hAnsi="Avenir Next" w:cs="Arial"/>
          <w:sz w:val="22"/>
          <w:szCs w:val="22"/>
          <w:lang w:val="en-GB" w:eastAsia="en-GB"/>
        </w:rPr>
      </w:pPr>
    </w:p>
    <w:p w14:paraId="5F1D3564" w14:textId="1AD223DD" w:rsidR="008A7470" w:rsidRPr="00823A2D" w:rsidRDefault="008A7470" w:rsidP="00424D07">
      <w:pPr>
        <w:jc w:val="both"/>
        <w:rPr>
          <w:rFonts w:ascii="Avenir Next" w:hAnsi="Avenir Next" w:cs="Arial"/>
          <w:sz w:val="22"/>
          <w:szCs w:val="22"/>
          <w:lang w:val="en-GB" w:eastAsia="en-GB"/>
        </w:rPr>
      </w:pPr>
      <w:bookmarkStart w:id="25" w:name="para39"/>
      <w:r w:rsidRPr="00823A2D">
        <w:rPr>
          <w:rFonts w:ascii="Avenir Next" w:hAnsi="Avenir Next" w:cs="Arial"/>
          <w:sz w:val="22"/>
          <w:szCs w:val="22"/>
          <w:lang w:val="en-GB" w:eastAsia="en-GB"/>
        </w:rPr>
        <w:t>Despite initially appearing to improve, by September 2015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823A2D" w:rsidRDefault="00424D07" w:rsidP="00424D07">
      <w:pPr>
        <w:jc w:val="both"/>
        <w:rPr>
          <w:rFonts w:ascii="Avenir Next" w:hAnsi="Avenir Next" w:cs="Arial"/>
          <w:sz w:val="22"/>
          <w:szCs w:val="22"/>
          <w:lang w:val="en-GB" w:eastAsia="en-GB"/>
        </w:rPr>
      </w:pPr>
    </w:p>
    <w:p w14:paraId="7E962B78" w14:textId="70259619" w:rsidR="008A7470" w:rsidRPr="00823A2D" w:rsidRDefault="008A7470" w:rsidP="00424D07">
      <w:pPr>
        <w:jc w:val="both"/>
        <w:rPr>
          <w:rFonts w:ascii="Avenir Next" w:hAnsi="Avenir Next" w:cs="Arial"/>
          <w:sz w:val="22"/>
          <w:szCs w:val="22"/>
          <w:lang w:val="en-GB" w:eastAsia="en-GB"/>
        </w:rPr>
      </w:pPr>
      <w:r w:rsidRPr="00823A2D">
        <w:rPr>
          <w:rFonts w:ascii="Avenir Next" w:hAnsi="Avenir Next" w:cs="Arial"/>
          <w:sz w:val="22"/>
          <w:szCs w:val="22"/>
          <w:lang w:val="en-GB" w:eastAsia="en-GB"/>
        </w:rPr>
        <w:t>Three months later, on 17 December 2015, the NB formally revoked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banking licence and resolved that it be liquidated. The following day, the DGF initiated the liquidation procedure and appointed Ms C as the first of the DGF</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823A2D" w:rsidRDefault="00424D07" w:rsidP="00424D07">
      <w:pPr>
        <w:jc w:val="both"/>
        <w:rPr>
          <w:rFonts w:ascii="Avenir Next" w:hAnsi="Avenir Next" w:cs="Arial"/>
          <w:sz w:val="22"/>
          <w:szCs w:val="22"/>
          <w:lang w:val="en-GB" w:eastAsia="en-GB"/>
        </w:rPr>
      </w:pPr>
    </w:p>
    <w:p w14:paraId="620E9B3E" w14:textId="4B32F419" w:rsidR="008A7470" w:rsidRPr="00823A2D" w:rsidRDefault="008A7470" w:rsidP="00424D07">
      <w:pPr>
        <w:jc w:val="both"/>
        <w:rPr>
          <w:rFonts w:ascii="Avenir Next" w:hAnsi="Avenir Next" w:cs="Arial"/>
          <w:sz w:val="22"/>
          <w:szCs w:val="22"/>
          <w:lang w:val="en-GB" w:eastAsia="en-GB"/>
        </w:rPr>
      </w:pPr>
      <w:r w:rsidRPr="00823A2D">
        <w:rPr>
          <w:rFonts w:ascii="Avenir Next" w:hAnsi="Avenir Next" w:cs="Arial"/>
          <w:sz w:val="22"/>
          <w:szCs w:val="22"/>
          <w:lang w:val="en-GB" w:eastAsia="en-GB"/>
        </w:rPr>
        <w:t>Ms G</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s appointment was pursuant to a Decision of the Executive Board of the Directors of the DGF, No 1513 (Resolution 1513). Resolution 1513 notes that Ms G is a </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leading bank liquidation professional</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 It delegates to her </w:t>
      </w:r>
      <w:proofErr w:type="gramStart"/>
      <w:r w:rsidRPr="00823A2D">
        <w:rPr>
          <w:rFonts w:ascii="Avenir Next" w:hAnsi="Avenir Next" w:cs="Arial"/>
          <w:sz w:val="22"/>
          <w:szCs w:val="22"/>
          <w:lang w:val="en-GB" w:eastAsia="en-GB"/>
        </w:rPr>
        <w:t>all liquidation</w:t>
      </w:r>
      <w:proofErr w:type="gramEnd"/>
      <w:r w:rsidRPr="00823A2D">
        <w:rPr>
          <w:rFonts w:ascii="Avenir Next" w:hAnsi="Avenir Next" w:cs="Arial"/>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assets in the manner prescribed by the DGF Law. Resolution 1513 expressly excludes from Ms G</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s authority the power to claim damages from a related party of the Bank, the power to make a claim against a non-banking financial institution that raised </w:t>
      </w:r>
      <w:r w:rsidRPr="00823A2D">
        <w:rPr>
          <w:rFonts w:ascii="Avenir Next" w:hAnsi="Avenir Next" w:cs="Arial"/>
          <w:sz w:val="22"/>
          <w:szCs w:val="22"/>
          <w:lang w:val="en-GB" w:eastAsia="en-GB"/>
        </w:rPr>
        <w:lastRenderedPageBreak/>
        <w:t>money as loans or deposits from individuals, and the power to arrange for the sale of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assets. Each of the excluded powers remains vested in the DGF as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formally appointed liquidator.</w:t>
      </w:r>
    </w:p>
    <w:p w14:paraId="01BC55CD" w14:textId="77777777" w:rsidR="00424D07" w:rsidRPr="00823A2D" w:rsidRDefault="00424D07" w:rsidP="00424D07">
      <w:pPr>
        <w:jc w:val="both"/>
        <w:rPr>
          <w:rFonts w:ascii="Avenir Next" w:hAnsi="Avenir Next" w:cs="Arial"/>
          <w:sz w:val="22"/>
          <w:szCs w:val="22"/>
          <w:lang w:val="en-GB" w:eastAsia="en-GB"/>
        </w:rPr>
      </w:pPr>
    </w:p>
    <w:p w14:paraId="65669514" w14:textId="56E9A76D" w:rsidR="008A7470" w:rsidRPr="00823A2D" w:rsidRDefault="008A7470" w:rsidP="00424D07">
      <w:pPr>
        <w:jc w:val="both"/>
        <w:rPr>
          <w:rFonts w:ascii="Avenir Next" w:hAnsi="Avenir Next" w:cs="Arial"/>
          <w:sz w:val="22"/>
          <w:szCs w:val="22"/>
          <w:lang w:val="en-GB" w:eastAsia="en-GB"/>
        </w:rPr>
      </w:pPr>
      <w:r w:rsidRPr="00823A2D">
        <w:rPr>
          <w:rFonts w:ascii="Avenir Next" w:hAnsi="Avenir Next" w:cs="Arial"/>
          <w:sz w:val="22"/>
          <w:szCs w:val="22"/>
          <w:lang w:val="en-GB" w:eastAsia="en-GB"/>
        </w:rPr>
        <w:t>On 14 December 2020,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liquidation was extended to an indefinite date, described as arising when circumstances rendered the sale of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assets and satisfaction of creditor</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claims</w:t>
      </w:r>
      <w:r w:rsidR="0056535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 no longer possible.</w:t>
      </w:r>
      <w:bookmarkStart w:id="27" w:name="para41"/>
      <w:bookmarkEnd w:id="26"/>
    </w:p>
    <w:p w14:paraId="5280EC37" w14:textId="77777777" w:rsidR="00424D07" w:rsidRPr="00823A2D" w:rsidRDefault="00424D07" w:rsidP="00424D07">
      <w:pPr>
        <w:jc w:val="both"/>
        <w:rPr>
          <w:rFonts w:ascii="Avenir Next" w:hAnsi="Avenir Next" w:cs="Arial"/>
          <w:sz w:val="22"/>
          <w:szCs w:val="22"/>
          <w:lang w:val="en-GB" w:eastAsia="en-GB"/>
        </w:rPr>
      </w:pPr>
    </w:p>
    <w:p w14:paraId="2B720E43" w14:textId="01645269" w:rsidR="008A7470" w:rsidRPr="00823A2D" w:rsidRDefault="008A7470" w:rsidP="00424D07">
      <w:pPr>
        <w:jc w:val="both"/>
        <w:rPr>
          <w:rFonts w:ascii="Avenir Next" w:hAnsi="Avenir Next" w:cs="Arial"/>
          <w:sz w:val="22"/>
          <w:szCs w:val="22"/>
          <w:lang w:val="en-GB" w:eastAsia="en-GB"/>
        </w:rPr>
      </w:pPr>
      <w:r w:rsidRPr="00823A2D">
        <w:rPr>
          <w:rFonts w:ascii="Avenir Next" w:hAnsi="Avenir Next" w:cs="Arial"/>
          <w:sz w:val="22"/>
          <w:szCs w:val="22"/>
          <w:lang w:val="en-GB" w:eastAsia="en-GB"/>
        </w:rPr>
        <w:t>On 7 September 2020, the DGF resolved to approve an amended list of creditors</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 claims totalling approximately US</w:t>
      </w:r>
      <w:r w:rsidR="0056535A" w:rsidRPr="00823A2D">
        <w:rPr>
          <w:rFonts w:ascii="Avenir Next" w:hAnsi="Avenir Next" w:cs="Arial"/>
          <w:sz w:val="22"/>
          <w:szCs w:val="22"/>
          <w:lang w:val="en-GB" w:eastAsia="en-GB"/>
        </w:rPr>
        <w:t>D</w:t>
      </w:r>
      <w:r w:rsidRPr="00823A2D">
        <w:rPr>
          <w:rFonts w:ascii="Avenir Next" w:hAnsi="Avenir Next" w:cs="Arial"/>
          <w:sz w:val="22"/>
          <w:szCs w:val="22"/>
          <w:lang w:val="en-GB" w:eastAsia="en-GB"/>
        </w:rPr>
        <w:t xml:space="preserve"> 1.113 billion. The Affidavit states that the Bank</w:t>
      </w:r>
      <w:r w:rsidR="008512FA"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s current, estimated deficiency exceeds US</w:t>
      </w:r>
      <w:r w:rsidR="0056535A" w:rsidRPr="00823A2D">
        <w:rPr>
          <w:rFonts w:ascii="Avenir Next" w:hAnsi="Avenir Next" w:cs="Arial"/>
          <w:sz w:val="22"/>
          <w:szCs w:val="22"/>
          <w:lang w:val="en-GB" w:eastAsia="en-GB"/>
        </w:rPr>
        <w:t>D</w:t>
      </w:r>
      <w:r w:rsidRPr="00823A2D">
        <w:rPr>
          <w:rFonts w:ascii="Avenir Next" w:hAnsi="Avenir Next" w:cs="Arial"/>
          <w:sz w:val="22"/>
          <w:szCs w:val="22"/>
          <w:lang w:val="en-GB" w:eastAsia="en-GB"/>
        </w:rPr>
        <w:t xml:space="preserve"> 823 million.</w:t>
      </w:r>
      <w:bookmarkEnd w:id="27"/>
    </w:p>
    <w:p w14:paraId="494F9F45" w14:textId="77777777" w:rsidR="00F87BEA" w:rsidRPr="00823A2D" w:rsidRDefault="00F87BEA" w:rsidP="00424D07">
      <w:pPr>
        <w:jc w:val="both"/>
        <w:rPr>
          <w:rFonts w:ascii="Avenir Next" w:hAnsi="Avenir Next" w:cs="Arial"/>
          <w:sz w:val="22"/>
          <w:szCs w:val="22"/>
          <w:lang w:val="en-GB" w:eastAsia="en-GB"/>
        </w:rPr>
      </w:pPr>
    </w:p>
    <w:p w14:paraId="5199ECB1" w14:textId="51A02551" w:rsidR="008A7470" w:rsidRPr="00823A2D" w:rsidRDefault="008A7470" w:rsidP="008A7470">
      <w:pPr>
        <w:jc w:val="both"/>
        <w:rPr>
          <w:rFonts w:ascii="Avenir Next Demi Bold" w:hAnsi="Avenir Next Demi Bold" w:cs="Arial"/>
          <w:b/>
          <w:bCs/>
          <w:sz w:val="22"/>
          <w:szCs w:val="22"/>
          <w:lang w:val="en-GB"/>
        </w:rPr>
      </w:pPr>
      <w:r w:rsidRPr="00823A2D">
        <w:rPr>
          <w:rFonts w:ascii="Avenir Next Demi Bold" w:hAnsi="Avenir Next Demi Bold" w:cs="Arial"/>
          <w:b/>
          <w:bCs/>
          <w:sz w:val="22"/>
          <w:szCs w:val="22"/>
          <w:lang w:val="en-GB"/>
        </w:rPr>
        <w:t xml:space="preserve">QUESTION </w:t>
      </w:r>
      <w:r w:rsidR="0020264E" w:rsidRPr="00823A2D">
        <w:rPr>
          <w:rFonts w:ascii="Avenir Next Demi Bold" w:hAnsi="Avenir Next Demi Bold" w:cs="Arial"/>
          <w:b/>
          <w:bCs/>
          <w:sz w:val="22"/>
          <w:szCs w:val="22"/>
          <w:lang w:val="en-GB"/>
        </w:rPr>
        <w:t>4.1</w:t>
      </w:r>
      <w:r w:rsidR="0022599E" w:rsidRPr="00823A2D">
        <w:rPr>
          <w:rFonts w:ascii="Avenir Next Demi Bold" w:hAnsi="Avenir Next Demi Bold" w:cs="Arial"/>
          <w:b/>
          <w:bCs/>
          <w:sz w:val="22"/>
          <w:szCs w:val="22"/>
          <w:lang w:val="en-GB"/>
        </w:rPr>
        <w:t xml:space="preserve"> [maximum 15 marks]</w:t>
      </w:r>
    </w:p>
    <w:p w14:paraId="41AC2AB4" w14:textId="77777777" w:rsidR="0056535A" w:rsidRPr="00823A2D" w:rsidRDefault="0056535A" w:rsidP="008A7470">
      <w:pPr>
        <w:jc w:val="both"/>
        <w:rPr>
          <w:rFonts w:ascii="Avenir Next" w:hAnsi="Avenir Next" w:cs="Arial"/>
          <w:sz w:val="22"/>
          <w:szCs w:val="22"/>
          <w:lang w:val="en-GB"/>
        </w:rPr>
      </w:pPr>
    </w:p>
    <w:p w14:paraId="191A1FAA" w14:textId="5A434114" w:rsidR="008A7470" w:rsidRPr="00823A2D" w:rsidRDefault="008A7470" w:rsidP="008A7470">
      <w:pPr>
        <w:jc w:val="both"/>
        <w:rPr>
          <w:rFonts w:ascii="Avenir Next" w:hAnsi="Avenir Next" w:cs="Arial"/>
          <w:sz w:val="22"/>
          <w:szCs w:val="22"/>
          <w:lang w:val="en-GB" w:eastAsia="en-GB"/>
        </w:rPr>
      </w:pPr>
      <w:r w:rsidRPr="00823A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823A2D">
        <w:rPr>
          <w:rFonts w:ascii="Avenir Next" w:hAnsi="Avenir Next" w:cs="Arial"/>
          <w:sz w:val="22"/>
          <w:szCs w:val="22"/>
          <w:lang w:val="en-GB" w:eastAsia="en-GB"/>
        </w:rPr>
        <w:t>the Commercial Bank for Business Corporation (the Bank), together with the DGF (the Applicants)</w:t>
      </w:r>
      <w:r w:rsidR="00001E0C" w:rsidRPr="00823A2D">
        <w:rPr>
          <w:rFonts w:ascii="Avenir Next" w:hAnsi="Avenir Next" w:cs="Arial"/>
          <w:sz w:val="22"/>
          <w:szCs w:val="22"/>
          <w:lang w:val="en-GB" w:eastAsia="en-GB"/>
        </w:rPr>
        <w:t>,</w:t>
      </w:r>
      <w:r w:rsidRPr="00823A2D">
        <w:rPr>
          <w:rFonts w:ascii="Avenir Next" w:hAnsi="Avenir Next" w:cs="Arial"/>
          <w:sz w:val="22"/>
          <w:szCs w:val="22"/>
          <w:lang w:val="en-GB" w:eastAsia="en-GB"/>
        </w:rPr>
        <w:t xml:space="preserve"> applied for recognition of the liquidation of the Bank before the English court based on the Cross-Border Insolvency Regulations 2006 (CBIR), the English adopt</w:t>
      </w:r>
      <w:r w:rsidR="0020264E" w:rsidRPr="00823A2D">
        <w:rPr>
          <w:rFonts w:ascii="Avenir Next" w:hAnsi="Avenir Next" w:cs="Arial"/>
          <w:sz w:val="22"/>
          <w:szCs w:val="22"/>
          <w:lang w:val="en-GB" w:eastAsia="en-GB"/>
        </w:rPr>
        <w:t>ed version</w:t>
      </w:r>
      <w:r w:rsidRPr="00823A2D">
        <w:rPr>
          <w:rFonts w:ascii="Avenir Next" w:hAnsi="Avenir Next" w:cs="Arial"/>
          <w:sz w:val="22"/>
          <w:szCs w:val="22"/>
          <w:lang w:val="en-GB" w:eastAsia="en-GB"/>
        </w:rPr>
        <w:t xml:space="preserve"> of the MLCBI.</w:t>
      </w:r>
    </w:p>
    <w:p w14:paraId="3F177907" w14:textId="77777777" w:rsidR="0020264E" w:rsidRPr="00823A2D" w:rsidRDefault="0020264E" w:rsidP="008A7470">
      <w:pPr>
        <w:jc w:val="both"/>
        <w:rPr>
          <w:rFonts w:ascii="Avenir Next" w:hAnsi="Avenir Next" w:cs="Arial"/>
          <w:sz w:val="22"/>
          <w:szCs w:val="22"/>
          <w:lang w:val="en-GB" w:eastAsia="en-GB"/>
        </w:rPr>
      </w:pPr>
    </w:p>
    <w:p w14:paraId="1A3D7CAD" w14:textId="66BF2732" w:rsidR="008A7470" w:rsidRPr="00823A2D" w:rsidRDefault="008A7470" w:rsidP="008A7470">
      <w:pPr>
        <w:jc w:val="both"/>
        <w:rPr>
          <w:rFonts w:ascii="Avenir Next" w:hAnsi="Avenir Next" w:cs="Arial"/>
          <w:sz w:val="22"/>
          <w:szCs w:val="22"/>
          <w:lang w:val="en-GB" w:eastAsia="en-GB"/>
        </w:rPr>
      </w:pPr>
      <w:r w:rsidRPr="00823A2D">
        <w:rPr>
          <w:rFonts w:ascii="Avenir Next" w:hAnsi="Avenir Next" w:cs="Arial"/>
          <w:sz w:val="22"/>
          <w:szCs w:val="22"/>
          <w:lang w:val="en-GB" w:eastAsia="en-GB"/>
        </w:rPr>
        <w:t xml:space="preserve">Assuming you are the judge in the English court considering this recognition application, </w:t>
      </w:r>
      <w:r w:rsidR="0020264E" w:rsidRPr="00823A2D">
        <w:rPr>
          <w:rFonts w:ascii="Avenir Next" w:hAnsi="Avenir Next" w:cs="Arial"/>
          <w:sz w:val="22"/>
          <w:szCs w:val="22"/>
          <w:lang w:val="en-GB" w:eastAsia="en-GB"/>
        </w:rPr>
        <w:t>you are required to discuss</w:t>
      </w:r>
      <w:r w:rsidRPr="00823A2D">
        <w:rPr>
          <w:rFonts w:ascii="Avenir Next" w:hAnsi="Avenir Next" w:cs="Arial"/>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5D40A0C" w:rsidR="00957951" w:rsidRDefault="00957951" w:rsidP="00957951">
      <w:pPr>
        <w:ind w:left="720" w:hanging="720"/>
        <w:jc w:val="both"/>
        <w:rPr>
          <w:rFonts w:ascii="Avenir Next" w:hAnsi="Avenir Next" w:cs="Arial"/>
          <w:color w:val="000000"/>
          <w:sz w:val="22"/>
          <w:szCs w:val="22"/>
          <w:lang w:val="en-GB" w:eastAsia="en-GB"/>
        </w:rPr>
      </w:pPr>
    </w:p>
    <w:p w14:paraId="4D481F1E" w14:textId="77777777" w:rsidR="00CF7A99" w:rsidRDefault="00CF7A99" w:rsidP="00CF7A99">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for</w:t>
      </w:r>
      <w:proofErr w:type="gramEnd"/>
      <w:r>
        <w:rPr>
          <w:rFonts w:ascii="Avenir Next" w:hAnsi="Avenir Next" w:cs="Arial"/>
          <w:color w:val="808080" w:themeColor="background1" w:themeShade="80"/>
          <w:sz w:val="22"/>
          <w:szCs w:val="22"/>
          <w:lang w:val="en-GB"/>
        </w:rPr>
        <w:t xml:space="preserve"> the Bank’s liquidation to be considered a “foreign proceeding” we will consider the following questions:</w:t>
      </w:r>
    </w:p>
    <w:p w14:paraId="62DEA95F" w14:textId="77777777" w:rsidR="00CF7A99" w:rsidRDefault="00CF7A99" w:rsidP="00CF7A99">
      <w:pPr>
        <w:jc w:val="both"/>
        <w:rPr>
          <w:rFonts w:ascii="Avenir Next" w:hAnsi="Avenir Next" w:cs="Arial"/>
          <w:color w:val="808080" w:themeColor="background1" w:themeShade="80"/>
          <w:sz w:val="22"/>
          <w:szCs w:val="22"/>
          <w:lang w:val="en-GB"/>
        </w:rPr>
      </w:pPr>
    </w:p>
    <w:p w14:paraId="13149BCC" w14:textId="77777777" w:rsidR="00CF7A99" w:rsidRDefault="00CF7A99" w:rsidP="00CF7A9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Can the liquidation be considered as a proceeding?</w:t>
      </w:r>
    </w:p>
    <w:p w14:paraId="18A9A55F" w14:textId="77777777" w:rsidR="00CF7A99" w:rsidRDefault="00CF7A99" w:rsidP="00CF7A9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 it either judicial or administrative?</w:t>
      </w:r>
    </w:p>
    <w:p w14:paraId="3F39F332" w14:textId="77777777" w:rsidR="00CF7A99" w:rsidRPr="00692315" w:rsidRDefault="00CF7A99" w:rsidP="00CF7A9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 it collective in nature?</w:t>
      </w:r>
    </w:p>
    <w:p w14:paraId="2D339C28" w14:textId="77777777" w:rsidR="00CF7A99" w:rsidRDefault="00CF7A99" w:rsidP="00CF7A9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 it in a foreign State?</w:t>
      </w:r>
    </w:p>
    <w:p w14:paraId="2FFA7FF3" w14:textId="77777777" w:rsidR="00CF7A99" w:rsidRDefault="00CF7A99" w:rsidP="00CF7A9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 it authorized or conducted under local insolvency laws? and</w:t>
      </w:r>
    </w:p>
    <w:p w14:paraId="380B69D1" w14:textId="77777777" w:rsidR="00CF7A99" w:rsidRDefault="00CF7A99" w:rsidP="00CF7A9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Are the assets of the debtor subject to the supervision of a foreign court?</w:t>
      </w:r>
    </w:p>
    <w:p w14:paraId="28E736EB" w14:textId="77777777" w:rsidR="00CF7A99" w:rsidRDefault="00CF7A99" w:rsidP="00CF7A99">
      <w:pPr>
        <w:jc w:val="both"/>
        <w:rPr>
          <w:rFonts w:ascii="Avenir Next" w:hAnsi="Avenir Next" w:cs="Arial"/>
          <w:color w:val="808080" w:themeColor="background1" w:themeShade="80"/>
          <w:sz w:val="22"/>
          <w:szCs w:val="22"/>
          <w:lang w:val="en-GB"/>
        </w:rPr>
      </w:pPr>
    </w:p>
    <w:p w14:paraId="49328D7E" w14:textId="77777777" w:rsidR="00CF7A99" w:rsidRDefault="00CF7A99" w:rsidP="00CF7A9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this is clearly a </w:t>
      </w:r>
      <w:proofErr w:type="gramStart"/>
      <w:r>
        <w:rPr>
          <w:rFonts w:ascii="Avenir Next" w:hAnsi="Avenir Next" w:cs="Arial"/>
          <w:color w:val="808080" w:themeColor="background1" w:themeShade="80"/>
          <w:sz w:val="22"/>
          <w:szCs w:val="22"/>
          <w:lang w:val="en-GB"/>
        </w:rPr>
        <w:t>liquidation</w:t>
      </w:r>
      <w:proofErr w:type="gramEnd"/>
      <w:r>
        <w:rPr>
          <w:rFonts w:ascii="Avenir Next" w:hAnsi="Avenir Next" w:cs="Arial"/>
          <w:color w:val="808080" w:themeColor="background1" w:themeShade="80"/>
          <w:sz w:val="22"/>
          <w:szCs w:val="22"/>
          <w:lang w:val="en-GB"/>
        </w:rPr>
        <w:t xml:space="preserve"> we will not need to consider the final criteria, i.e., is the proceeding a reorganisation or a liquidation?</w:t>
      </w:r>
    </w:p>
    <w:p w14:paraId="336AF67D" w14:textId="77777777" w:rsidR="00CF7A99" w:rsidRDefault="00CF7A99" w:rsidP="00CF7A99">
      <w:pPr>
        <w:jc w:val="both"/>
        <w:rPr>
          <w:rFonts w:ascii="Avenir Next" w:hAnsi="Avenir Next" w:cs="Arial"/>
          <w:color w:val="808080" w:themeColor="background1" w:themeShade="80"/>
          <w:sz w:val="22"/>
          <w:szCs w:val="22"/>
          <w:lang w:val="en-GB"/>
        </w:rPr>
      </w:pPr>
    </w:p>
    <w:p w14:paraId="297ED97A" w14:textId="77777777" w:rsidR="00CF7A99" w:rsidRDefault="00CF7A99" w:rsidP="00CF7A99">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Bank’s liquidation is driven by local banking regulations (i.e., law) which give the National Bank the right to declare a “troubled bank” insolvent if the issues which led to the “troubled” classification are not resolved within 180 days of being identified. Once the Bank was declared insolvent, DGF, another government entity, is tasked with withdrawing the Bank from the market and liquidating their operations in a controlled manner, pursuant to Article 34 of the DGF Law. Therefore, we can conclude that the liquidation can be considered as an administrative proceeding.</w:t>
      </w:r>
    </w:p>
    <w:p w14:paraId="0269DC6A" w14:textId="77777777" w:rsidR="00CF7A99" w:rsidRDefault="00CF7A99" w:rsidP="00CF7A99">
      <w:pPr>
        <w:rPr>
          <w:rFonts w:ascii="Avenir Next" w:hAnsi="Avenir Next" w:cs="Arial"/>
          <w:color w:val="808080" w:themeColor="background1" w:themeShade="80"/>
          <w:sz w:val="22"/>
          <w:szCs w:val="22"/>
          <w:lang w:val="en-GB"/>
        </w:rPr>
      </w:pPr>
    </w:p>
    <w:p w14:paraId="32397FBD" w14:textId="77777777" w:rsidR="00CF7A99" w:rsidRDefault="00CF7A99" w:rsidP="00CF7A99">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Initially DGF assumes the role of a provisional administrator, which according to article 36(5) permits the establishment of a moratorium that prevents the claims of depositors and other creditors being satisfied, stays the execution against the bank’s assets, or any encumbrances or restrictions being applied for that matter. On this basis </w:t>
      </w:r>
      <w:proofErr w:type="gramStart"/>
      <w:r>
        <w:rPr>
          <w:rFonts w:ascii="Avenir Next" w:hAnsi="Avenir Next" w:cs="Arial"/>
          <w:color w:val="808080" w:themeColor="background1" w:themeShade="80"/>
          <w:sz w:val="22"/>
          <w:szCs w:val="22"/>
          <w:lang w:val="en-GB"/>
        </w:rPr>
        <w:t>it would appear that the</w:t>
      </w:r>
      <w:proofErr w:type="gramEnd"/>
      <w:r>
        <w:rPr>
          <w:rFonts w:ascii="Avenir Next" w:hAnsi="Avenir Next" w:cs="Arial"/>
          <w:color w:val="808080" w:themeColor="background1" w:themeShade="80"/>
          <w:sz w:val="22"/>
          <w:szCs w:val="22"/>
          <w:lang w:val="en-GB"/>
        </w:rPr>
        <w:t xml:space="preserve"> proceeding is collective in nature as it does not seem to favour any one type of creditor over the other, and instead focuses on maximizing availability of assets for the overall estate.</w:t>
      </w:r>
    </w:p>
    <w:p w14:paraId="62E63619" w14:textId="77777777" w:rsidR="00CF7A99" w:rsidRDefault="00CF7A99" w:rsidP="00CF7A99">
      <w:pPr>
        <w:rPr>
          <w:rFonts w:ascii="Avenir Next" w:hAnsi="Avenir Next" w:cs="Arial"/>
          <w:color w:val="808080" w:themeColor="background1" w:themeShade="80"/>
          <w:sz w:val="22"/>
          <w:szCs w:val="22"/>
          <w:lang w:val="en-GB"/>
        </w:rPr>
      </w:pPr>
    </w:p>
    <w:p w14:paraId="34B65604" w14:textId="77777777" w:rsidR="00CF7A99" w:rsidRDefault="00CF7A99" w:rsidP="00CF7A99">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liquidation was initiated in Country A, which is outside England, and therefore would qualify as foreign.</w:t>
      </w:r>
    </w:p>
    <w:p w14:paraId="520EB7BC" w14:textId="77777777" w:rsidR="00CF7A99" w:rsidRDefault="00CF7A99" w:rsidP="00CF7A99">
      <w:pPr>
        <w:rPr>
          <w:rFonts w:ascii="Avenir Next" w:hAnsi="Avenir Next" w:cs="Arial"/>
          <w:color w:val="808080" w:themeColor="background1" w:themeShade="80"/>
          <w:sz w:val="22"/>
          <w:szCs w:val="22"/>
          <w:lang w:val="en-GB"/>
        </w:rPr>
      </w:pPr>
    </w:p>
    <w:p w14:paraId="19AB90CC" w14:textId="77777777" w:rsidR="00CF7A99" w:rsidRDefault="00CF7A99" w:rsidP="00CF7A99">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liquidation is being conducted under local insolvency laws applicable to Country A’s banks and financial institutions (Articles 75 and 76 of LBBA, and Article 34 of DGF Law). However, it was not entirely clear if the bank was insolvent on a balance sheet basis (or merely not compliant with local banking regulations) because the justification for putting the Bank into insolvency is that it failed to remedy identified breaches within 180 days. Subsequent determination in September 2020 that the estimated deficiency exceeded US$823m confirms that Bank A is insolvent and would therefore meet the necessary criteria as far as this aspect of MLCBI Article 2 is concerned.</w:t>
      </w:r>
    </w:p>
    <w:p w14:paraId="65DEB25B" w14:textId="77777777" w:rsidR="00CF7A99" w:rsidRDefault="00CF7A99" w:rsidP="00CF7A99">
      <w:pPr>
        <w:rPr>
          <w:rFonts w:ascii="Avenir Next" w:hAnsi="Avenir Next" w:cs="Arial"/>
          <w:color w:val="808080" w:themeColor="background1" w:themeShade="80"/>
          <w:sz w:val="22"/>
          <w:szCs w:val="22"/>
          <w:lang w:val="en-GB"/>
        </w:rPr>
      </w:pPr>
    </w:p>
    <w:p w14:paraId="6A616AF6" w14:textId="77777777" w:rsidR="00CF7A99" w:rsidRDefault="00CF7A99" w:rsidP="00CF7A9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the involvement or supervision of local courts is probably the most contentious aspect to decide because the facts of the case do not suggest involvement of the court in Bank A’s liquidation at any point in time. </w:t>
      </w:r>
      <w:proofErr w:type="gramStart"/>
      <w:r>
        <w:rPr>
          <w:rFonts w:ascii="Avenir Next" w:hAnsi="Avenir Next" w:cs="Arial"/>
          <w:color w:val="808080" w:themeColor="background1" w:themeShade="80"/>
          <w:sz w:val="22"/>
          <w:szCs w:val="22"/>
          <w:lang w:val="en-GB"/>
        </w:rPr>
        <w:t>However</w:t>
      </w:r>
      <w:proofErr w:type="gramEnd"/>
      <w:r>
        <w:rPr>
          <w:rFonts w:ascii="Avenir Next" w:hAnsi="Avenir Next" w:cs="Arial"/>
          <w:color w:val="808080" w:themeColor="background1" w:themeShade="80"/>
          <w:sz w:val="22"/>
          <w:szCs w:val="22"/>
          <w:lang w:val="en-GB"/>
        </w:rPr>
        <w:t xml:space="preserve"> there are a couple of mitigating factors that we could consider in this instance. First – CIBR does not require actual court involvement in a case; potential court involvement is sufficient for the purposes of this test. Second – it would seem likely, given the substantial deficit that the Bank A has, and the power of DGF to bring claims against parties who precipitated the insolvency – that the court is likely to be involved at some point in time. Third – DGF also has the capacity to delegate its powers to an “authorized officer” or an “authorized person”. It is not entirely clear, but </w:t>
      </w:r>
      <w:proofErr w:type="gramStart"/>
      <w:r>
        <w:rPr>
          <w:rFonts w:ascii="Avenir Next" w:hAnsi="Avenir Next" w:cs="Arial"/>
          <w:color w:val="808080" w:themeColor="background1" w:themeShade="80"/>
          <w:sz w:val="22"/>
          <w:szCs w:val="22"/>
          <w:lang w:val="en-GB"/>
        </w:rPr>
        <w:t>it would seem that an</w:t>
      </w:r>
      <w:proofErr w:type="gramEnd"/>
      <w:r>
        <w:rPr>
          <w:rFonts w:ascii="Avenir Next" w:hAnsi="Avenir Next" w:cs="Arial"/>
          <w:color w:val="808080" w:themeColor="background1" w:themeShade="80"/>
          <w:sz w:val="22"/>
          <w:szCs w:val="22"/>
          <w:lang w:val="en-GB"/>
        </w:rPr>
        <w:t xml:space="preserve"> “authorized officer” could be an officer of the court and in doing so could potentially bring direct court supervision into the case.</w:t>
      </w:r>
    </w:p>
    <w:p w14:paraId="680355C8" w14:textId="77777777" w:rsidR="00CF7A99" w:rsidRDefault="00CF7A99" w:rsidP="00CF7A99">
      <w:pPr>
        <w:jc w:val="both"/>
        <w:rPr>
          <w:rFonts w:ascii="Avenir Next" w:hAnsi="Avenir Next" w:cs="Arial"/>
          <w:color w:val="808080" w:themeColor="background1" w:themeShade="80"/>
          <w:sz w:val="22"/>
          <w:szCs w:val="22"/>
          <w:lang w:val="en-GB"/>
        </w:rPr>
      </w:pPr>
    </w:p>
    <w:p w14:paraId="2BEC34D4" w14:textId="52B5C09F" w:rsidR="00A5595C" w:rsidRPr="00D826A3" w:rsidRDefault="00CF7A99" w:rsidP="00CF7A9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this basis </w:t>
      </w:r>
      <w:proofErr w:type="gramStart"/>
      <w:r>
        <w:rPr>
          <w:rFonts w:ascii="Avenir Next" w:hAnsi="Avenir Next" w:cs="Arial"/>
          <w:color w:val="808080" w:themeColor="background1" w:themeShade="80"/>
          <w:sz w:val="22"/>
          <w:szCs w:val="22"/>
          <w:lang w:val="en-GB"/>
        </w:rPr>
        <w:t>it would appear that the</w:t>
      </w:r>
      <w:proofErr w:type="gramEnd"/>
      <w:r>
        <w:rPr>
          <w:rFonts w:ascii="Avenir Next" w:hAnsi="Avenir Next" w:cs="Arial"/>
          <w:color w:val="808080" w:themeColor="background1" w:themeShade="80"/>
          <w:sz w:val="22"/>
          <w:szCs w:val="22"/>
          <w:lang w:val="en-GB"/>
        </w:rPr>
        <w:t xml:space="preserve"> English courts </w:t>
      </w:r>
      <w:r w:rsidR="004E2AF6">
        <w:rPr>
          <w:rFonts w:ascii="Avenir Next" w:hAnsi="Avenir Next" w:cs="Arial"/>
          <w:color w:val="808080" w:themeColor="background1" w:themeShade="80"/>
          <w:sz w:val="22"/>
          <w:szCs w:val="22"/>
          <w:lang w:val="en-GB"/>
        </w:rPr>
        <w:t xml:space="preserve">would </w:t>
      </w:r>
      <w:r>
        <w:rPr>
          <w:rFonts w:ascii="Avenir Next" w:hAnsi="Avenir Next" w:cs="Arial"/>
          <w:color w:val="808080" w:themeColor="background1" w:themeShade="80"/>
          <w:sz w:val="22"/>
          <w:szCs w:val="22"/>
          <w:lang w:val="en-GB"/>
        </w:rPr>
        <w:t xml:space="preserve">recognize </w:t>
      </w:r>
      <w:r w:rsidR="004E2AF6">
        <w:rPr>
          <w:rFonts w:ascii="Avenir Next" w:hAnsi="Avenir Next" w:cs="Arial"/>
          <w:color w:val="808080" w:themeColor="background1" w:themeShade="80"/>
          <w:sz w:val="22"/>
          <w:szCs w:val="22"/>
          <w:lang w:val="en-GB"/>
        </w:rPr>
        <w:t>Bank A liquidation as a foreign proceeding in line with Article 2 (a) of MLCBI.</w:t>
      </w:r>
    </w:p>
    <w:p w14:paraId="30077033" w14:textId="77777777" w:rsidR="00D826A3" w:rsidRPr="00D826A3" w:rsidRDefault="00D826A3" w:rsidP="00D826A3">
      <w:pPr>
        <w:pStyle w:val="ListParagraph"/>
        <w:jc w:val="both"/>
        <w:rPr>
          <w:rFonts w:ascii="Avenir Next" w:hAnsi="Avenir Next" w:cs="Arial"/>
          <w:color w:val="808080" w:themeColor="background1" w:themeShade="80"/>
          <w:sz w:val="22"/>
          <w:szCs w:val="22"/>
          <w:lang w:val="en-GB"/>
        </w:rPr>
      </w:pPr>
    </w:p>
    <w:p w14:paraId="365AA1D6" w14:textId="60653B32"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269CCFFF" w14:textId="68E43384" w:rsidR="005A301F" w:rsidRDefault="005A301F" w:rsidP="00957951">
      <w:pPr>
        <w:ind w:left="720" w:hanging="720"/>
        <w:jc w:val="both"/>
        <w:rPr>
          <w:rFonts w:ascii="Avenir Next" w:hAnsi="Avenir Next" w:cs="Arial"/>
          <w:color w:val="000000"/>
          <w:sz w:val="22"/>
          <w:szCs w:val="22"/>
          <w:lang w:val="en-GB" w:eastAsia="en-GB"/>
        </w:rPr>
      </w:pPr>
    </w:p>
    <w:p w14:paraId="19F2E7B3" w14:textId="77777777" w:rsidR="00AB6183" w:rsidRDefault="005C037A" w:rsidP="00AB61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AB6183">
        <w:rPr>
          <w:rFonts w:ascii="Avenir Next" w:hAnsi="Avenir Next" w:cs="Arial"/>
          <w:color w:val="808080" w:themeColor="background1" w:themeShade="80"/>
          <w:sz w:val="22"/>
          <w:szCs w:val="22"/>
          <w:lang w:val="en-GB"/>
        </w:rPr>
        <w:t>To assess whether Ms. G and DGF should be considered as a “foreign representative” under the definition of Article 2(d) of MLCBI, we would have to answer whether she:</w:t>
      </w:r>
    </w:p>
    <w:p w14:paraId="16AF8D61" w14:textId="77777777" w:rsidR="00AB6183" w:rsidRDefault="00AB6183" w:rsidP="00AB6183">
      <w:pPr>
        <w:jc w:val="both"/>
        <w:rPr>
          <w:rFonts w:ascii="Avenir Next" w:hAnsi="Avenir Next" w:cs="Arial"/>
          <w:color w:val="808080" w:themeColor="background1" w:themeShade="80"/>
          <w:sz w:val="22"/>
          <w:szCs w:val="22"/>
          <w:lang w:val="en-GB"/>
        </w:rPr>
      </w:pPr>
    </w:p>
    <w:p w14:paraId="67CF836C" w14:textId="77777777" w:rsidR="00AB6183" w:rsidRDefault="00AB6183" w:rsidP="00AB6183">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 a person / body, including one appointed on an interim basis?</w:t>
      </w:r>
    </w:p>
    <w:p w14:paraId="1EF1C77D" w14:textId="77777777" w:rsidR="00AB6183" w:rsidRDefault="00AB6183" w:rsidP="00AB6183">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 authorized in a foreign proceeding? And</w:t>
      </w:r>
    </w:p>
    <w:p w14:paraId="3C7EC68D" w14:textId="77777777" w:rsidR="00AB6183" w:rsidRPr="00E63C93" w:rsidRDefault="00AB6183" w:rsidP="00AB6183">
      <w:pPr>
        <w:pStyle w:val="ListParagraph"/>
        <w:numPr>
          <w:ilvl w:val="0"/>
          <w:numId w:val="21"/>
        </w:numPr>
        <w:jc w:val="both"/>
        <w:rPr>
          <w:rFonts w:ascii="Avenir Next" w:hAnsi="Avenir Next" w:cs="Arial"/>
          <w:color w:val="808080" w:themeColor="background1" w:themeShade="80"/>
          <w:sz w:val="22"/>
          <w:szCs w:val="22"/>
          <w:lang w:val="en-GB"/>
        </w:rPr>
      </w:pPr>
      <w:r w:rsidRPr="00E63C93">
        <w:rPr>
          <w:rFonts w:ascii="Avenir Next" w:hAnsi="Avenir Next" w:cs="Arial"/>
          <w:color w:val="808080" w:themeColor="background1" w:themeShade="80"/>
          <w:sz w:val="22"/>
          <w:szCs w:val="22"/>
          <w:lang w:val="en-GB"/>
        </w:rPr>
        <w:t>Can administer the liquidation of Bank A’s assets or affairs or to act as a representative of the foreign proceeding?</w:t>
      </w:r>
    </w:p>
    <w:p w14:paraId="6693D547" w14:textId="77777777" w:rsidR="00AB6183" w:rsidRDefault="00AB6183" w:rsidP="00AB6183">
      <w:pPr>
        <w:rPr>
          <w:rFonts w:ascii="Avenir Next" w:hAnsi="Avenir Next" w:cs="Arial"/>
          <w:color w:val="808080" w:themeColor="background1" w:themeShade="80"/>
          <w:sz w:val="22"/>
          <w:szCs w:val="22"/>
          <w:lang w:val="en-GB"/>
        </w:rPr>
      </w:pPr>
    </w:p>
    <w:p w14:paraId="5069FEA0" w14:textId="77777777" w:rsidR="00AB6183" w:rsidRDefault="00AB6183" w:rsidP="00AB61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Clearly Ms. G and DGF would meet the first and the second criteria as they are respectfully a person/body, authorized in the liquidation of Bank A in a foreign jurisdiction. </w:t>
      </w:r>
    </w:p>
    <w:p w14:paraId="0D5A274E" w14:textId="77777777" w:rsidR="00AB6183" w:rsidRDefault="00AB6183" w:rsidP="00AB6183">
      <w:pPr>
        <w:jc w:val="both"/>
        <w:rPr>
          <w:rFonts w:ascii="Avenir Next" w:hAnsi="Avenir Next" w:cs="Arial"/>
          <w:color w:val="808080" w:themeColor="background1" w:themeShade="80"/>
          <w:sz w:val="22"/>
          <w:szCs w:val="22"/>
          <w:lang w:val="en-GB"/>
        </w:rPr>
      </w:pPr>
    </w:p>
    <w:p w14:paraId="56A29362" w14:textId="77777777" w:rsidR="00AB6183" w:rsidRPr="00AA52E8" w:rsidRDefault="00AB6183" w:rsidP="00AB61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not clear whether Ms. G has full authority over the liquidation of Bank A’s assets, given the limitations imposed on her by Resolution 1513, which expressly excludes Ms. G’s power to arrange for the sale of the Bank’s assets, vesting it in DGF as the formally appointed liquidator. However, given that the application to the English court is made jointly by Ms. G and DGF, based on available information it can be concluded that combined (or even DGF on a standalone basis if it so wished) they would be considered as “foreign representatives” under Article 2(d) of MLCBI. Presumably this would not be an issue since like liquidations tend to (for a whole host of reasons beyond the scope of this answer) have joint liquidators.</w:t>
      </w:r>
    </w:p>
    <w:p w14:paraId="5C94A5E2" w14:textId="77777777" w:rsidR="00A45301" w:rsidRDefault="00A45301" w:rsidP="008A7470">
      <w:pPr>
        <w:jc w:val="both"/>
        <w:rPr>
          <w:rFonts w:ascii="Avenir Next Demi Bold" w:hAnsi="Avenir Next Demi Bold" w:cs="Arial"/>
          <w:b/>
          <w:bCs/>
          <w:sz w:val="22"/>
          <w:szCs w:val="22"/>
          <w:lang w:val="en-GB"/>
        </w:rPr>
      </w:pPr>
    </w:p>
    <w:p w14:paraId="61FFC9F1" w14:textId="66B22DD1"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lastRenderedPageBreak/>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proofErr w:type="gramStart"/>
      <w:r w:rsidRPr="00E2622D">
        <w:rPr>
          <w:rFonts w:ascii="Avenir Next" w:hAnsi="Avenir Next" w:cs="Arial"/>
          <w:sz w:val="22"/>
          <w:szCs w:val="22"/>
          <w:lang w:val="en-GB"/>
        </w:rPr>
        <w:t>For the purpose of</w:t>
      </w:r>
      <w:proofErr w:type="gramEnd"/>
      <w:r w:rsidRPr="00E2622D">
        <w:rPr>
          <w:rFonts w:ascii="Avenir Next" w:hAnsi="Avenir Next" w:cs="Arial"/>
          <w:sz w:val="22"/>
          <w:szCs w:val="22"/>
          <w:lang w:val="en-GB"/>
        </w:rPr>
        <w:t xml:space="preserve">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2FE4" w14:textId="77777777" w:rsidR="00D632B4" w:rsidRDefault="00D632B4" w:rsidP="00241B44">
      <w:r>
        <w:separator/>
      </w:r>
    </w:p>
  </w:endnote>
  <w:endnote w:type="continuationSeparator" w:id="0">
    <w:p w14:paraId="07034E76" w14:textId="77777777" w:rsidR="00D632B4" w:rsidRDefault="00D632B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9F14072" w:rsidR="000300E0" w:rsidRPr="00B46CE2" w:rsidRDefault="00B46CE2" w:rsidP="000300E0">
    <w:pPr>
      <w:pStyle w:val="Footer"/>
      <w:ind w:right="360"/>
      <w:rPr>
        <w:rFonts w:ascii="Avenir Next" w:hAnsi="Avenir Next"/>
        <w:sz w:val="22"/>
        <w:szCs w:val="22"/>
      </w:rPr>
    </w:pPr>
    <w:r w:rsidRPr="00B46CE2">
      <w:rPr>
        <w:rFonts w:ascii="Avenir Next" w:hAnsi="Avenir Next"/>
        <w:sz w:val="22"/>
        <w:szCs w:val="22"/>
      </w:rPr>
      <w:t>studentID.assessment2A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FB0E" w14:textId="77777777" w:rsidR="00D632B4" w:rsidRDefault="00D632B4" w:rsidP="00241B44">
      <w:r>
        <w:separator/>
      </w:r>
    </w:p>
  </w:footnote>
  <w:footnote w:type="continuationSeparator" w:id="0">
    <w:p w14:paraId="5E622EA2" w14:textId="77777777" w:rsidR="00D632B4" w:rsidRDefault="00D632B4" w:rsidP="00241B44">
      <w:r>
        <w:continuationSeparator/>
      </w:r>
    </w:p>
  </w:footnote>
  <w:footnote w:id="1">
    <w:p w14:paraId="6A5C3318" w14:textId="28E23C3F" w:rsidR="007C5DD9" w:rsidRDefault="007C5DD9">
      <w:pPr>
        <w:pStyle w:val="FootnoteText"/>
      </w:pPr>
      <w:r>
        <w:rPr>
          <w:rStyle w:val="FootnoteReference"/>
        </w:rPr>
        <w:footnoteRef/>
      </w:r>
      <w:r>
        <w:t xml:space="preserve"> </w:t>
      </w:r>
      <w:r w:rsidR="007F6AD6" w:rsidRPr="007F6AD6">
        <w:t xml:space="preserve">Rosa M. Rojas </w:t>
      </w:r>
      <w:proofErr w:type="spellStart"/>
      <w:r w:rsidR="007F6AD6" w:rsidRPr="007F6AD6">
        <w:t>Vértiz</w:t>
      </w:r>
      <w:proofErr w:type="spellEnd"/>
      <w:r w:rsidR="007F6AD6">
        <w:t xml:space="preserve">: </w:t>
      </w:r>
      <w:r w:rsidRPr="000F3F5D">
        <w:rPr>
          <w:i/>
          <w:iCs/>
        </w:rPr>
        <w:t>The MLCBI, the COMI and Emerging Markets: Is it time for amendments?</w:t>
      </w:r>
      <w:r w:rsidR="000F3F5D">
        <w:t xml:space="preserve"> (</w:t>
      </w:r>
      <w:r w:rsidR="004522AC">
        <w:t>July 2022)</w:t>
      </w:r>
    </w:p>
  </w:footnote>
  <w:footnote w:id="2">
    <w:p w14:paraId="3FC70B5B" w14:textId="2201A4C7" w:rsidR="00C1402F" w:rsidRDefault="00C1402F">
      <w:pPr>
        <w:pStyle w:val="FootnoteText"/>
      </w:pPr>
      <w:r>
        <w:rPr>
          <w:rStyle w:val="FootnoteReference"/>
        </w:rPr>
        <w:footnoteRef/>
      </w:r>
      <w:r>
        <w:t xml:space="preserve"> </w:t>
      </w:r>
      <w:r w:rsidR="00BC071A">
        <w:t xml:space="preserve">p5 of the US Chapter 15 </w:t>
      </w:r>
      <w:proofErr w:type="spellStart"/>
      <w:r w:rsidR="00BC071A">
        <w:t>Agrokor</w:t>
      </w:r>
      <w:proofErr w:type="spellEnd"/>
      <w:r w:rsidR="00BC071A">
        <w:t xml:space="preserve"> Opinion (supra, note 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FE3C" w14:textId="77777777" w:rsidR="009615D5" w:rsidRDefault="00961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C9E6" w14:textId="77777777" w:rsidR="009615D5" w:rsidRDefault="00961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C275" w14:textId="77777777" w:rsidR="009615D5" w:rsidRDefault="00961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FD74EB"/>
    <w:multiLevelType w:val="hybridMultilevel"/>
    <w:tmpl w:val="62B8A3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17602BC"/>
    <w:multiLevelType w:val="hybridMultilevel"/>
    <w:tmpl w:val="8688AF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FD4732"/>
    <w:multiLevelType w:val="hybridMultilevel"/>
    <w:tmpl w:val="D0D28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C2884"/>
    <w:multiLevelType w:val="hybridMultilevel"/>
    <w:tmpl w:val="331C41B6"/>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E244F98"/>
    <w:multiLevelType w:val="hybridMultilevel"/>
    <w:tmpl w:val="804C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9314F59"/>
    <w:multiLevelType w:val="hybridMultilevel"/>
    <w:tmpl w:val="C8923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DC33405"/>
    <w:multiLevelType w:val="hybridMultilevel"/>
    <w:tmpl w:val="D3560A78"/>
    <w:lvl w:ilvl="0" w:tplc="04581876">
      <w:start w:val="1"/>
      <w:numFmt w:val="lowerLetter"/>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15"/>
  </w:num>
  <w:num w:numId="3">
    <w:abstractNumId w:val="7"/>
  </w:num>
  <w:num w:numId="4">
    <w:abstractNumId w:val="4"/>
  </w:num>
  <w:num w:numId="5">
    <w:abstractNumId w:val="20"/>
  </w:num>
  <w:num w:numId="6">
    <w:abstractNumId w:val="19"/>
  </w:num>
  <w:num w:numId="7">
    <w:abstractNumId w:val="18"/>
  </w:num>
  <w:num w:numId="8">
    <w:abstractNumId w:val="5"/>
  </w:num>
  <w:num w:numId="9">
    <w:abstractNumId w:val="6"/>
  </w:num>
  <w:num w:numId="10">
    <w:abstractNumId w:val="14"/>
  </w:num>
  <w:num w:numId="11">
    <w:abstractNumId w:val="0"/>
  </w:num>
  <w:num w:numId="12">
    <w:abstractNumId w:val="11"/>
  </w:num>
  <w:num w:numId="13">
    <w:abstractNumId w:val="12"/>
  </w:num>
  <w:num w:numId="14">
    <w:abstractNumId w:val="3"/>
  </w:num>
  <w:num w:numId="15">
    <w:abstractNumId w:val="13"/>
  </w:num>
  <w:num w:numId="16">
    <w:abstractNumId w:val="9"/>
  </w:num>
  <w:num w:numId="17">
    <w:abstractNumId w:val="10"/>
  </w:num>
  <w:num w:numId="18">
    <w:abstractNumId w:val="1"/>
  </w:num>
  <w:num w:numId="19">
    <w:abstractNumId w:val="8"/>
  </w:num>
  <w:num w:numId="20">
    <w:abstractNumId w:val="17"/>
  </w:num>
  <w:num w:numId="2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359B"/>
    <w:rsid w:val="00005373"/>
    <w:rsid w:val="000077DD"/>
    <w:rsid w:val="00010BA0"/>
    <w:rsid w:val="00011778"/>
    <w:rsid w:val="000148EE"/>
    <w:rsid w:val="00017E36"/>
    <w:rsid w:val="00020023"/>
    <w:rsid w:val="00020557"/>
    <w:rsid w:val="000232A1"/>
    <w:rsid w:val="00024AE3"/>
    <w:rsid w:val="000250C7"/>
    <w:rsid w:val="00025CCF"/>
    <w:rsid w:val="000300E0"/>
    <w:rsid w:val="0003114A"/>
    <w:rsid w:val="000352C1"/>
    <w:rsid w:val="0003619C"/>
    <w:rsid w:val="00037621"/>
    <w:rsid w:val="000378E4"/>
    <w:rsid w:val="00044D46"/>
    <w:rsid w:val="00045088"/>
    <w:rsid w:val="000458E2"/>
    <w:rsid w:val="00045904"/>
    <w:rsid w:val="000464F7"/>
    <w:rsid w:val="000512DA"/>
    <w:rsid w:val="0005141D"/>
    <w:rsid w:val="00060E02"/>
    <w:rsid w:val="000633F5"/>
    <w:rsid w:val="00064935"/>
    <w:rsid w:val="00065166"/>
    <w:rsid w:val="00067A88"/>
    <w:rsid w:val="00070B92"/>
    <w:rsid w:val="00071026"/>
    <w:rsid w:val="00072AC5"/>
    <w:rsid w:val="00073474"/>
    <w:rsid w:val="00074C66"/>
    <w:rsid w:val="0007628A"/>
    <w:rsid w:val="00077D49"/>
    <w:rsid w:val="00082609"/>
    <w:rsid w:val="00082FD3"/>
    <w:rsid w:val="000834DF"/>
    <w:rsid w:val="000851CC"/>
    <w:rsid w:val="00087EDB"/>
    <w:rsid w:val="00093BE8"/>
    <w:rsid w:val="000A0BDA"/>
    <w:rsid w:val="000A0FC8"/>
    <w:rsid w:val="000A3C7D"/>
    <w:rsid w:val="000A3E08"/>
    <w:rsid w:val="000A59AC"/>
    <w:rsid w:val="000A68ED"/>
    <w:rsid w:val="000B195F"/>
    <w:rsid w:val="000B3136"/>
    <w:rsid w:val="000B495D"/>
    <w:rsid w:val="000B4CB9"/>
    <w:rsid w:val="000B4FEB"/>
    <w:rsid w:val="000B5FF1"/>
    <w:rsid w:val="000B609F"/>
    <w:rsid w:val="000B6D2F"/>
    <w:rsid w:val="000B7376"/>
    <w:rsid w:val="000B77DE"/>
    <w:rsid w:val="000C147F"/>
    <w:rsid w:val="000C4E3B"/>
    <w:rsid w:val="000C6BB9"/>
    <w:rsid w:val="000C7B0B"/>
    <w:rsid w:val="000D2EA7"/>
    <w:rsid w:val="000D32A9"/>
    <w:rsid w:val="000D556E"/>
    <w:rsid w:val="000D55A8"/>
    <w:rsid w:val="000E1B13"/>
    <w:rsid w:val="000E398D"/>
    <w:rsid w:val="000E3AE8"/>
    <w:rsid w:val="000E4841"/>
    <w:rsid w:val="000E6325"/>
    <w:rsid w:val="000F06B7"/>
    <w:rsid w:val="000F1677"/>
    <w:rsid w:val="000F3D6C"/>
    <w:rsid w:val="000F3F5D"/>
    <w:rsid w:val="000F579C"/>
    <w:rsid w:val="000F5C6E"/>
    <w:rsid w:val="000F6173"/>
    <w:rsid w:val="00101707"/>
    <w:rsid w:val="0010442A"/>
    <w:rsid w:val="00106BE0"/>
    <w:rsid w:val="00110645"/>
    <w:rsid w:val="00114082"/>
    <w:rsid w:val="0011473D"/>
    <w:rsid w:val="00115C85"/>
    <w:rsid w:val="00123855"/>
    <w:rsid w:val="00126A4D"/>
    <w:rsid w:val="00126E7A"/>
    <w:rsid w:val="00132A34"/>
    <w:rsid w:val="00133E3F"/>
    <w:rsid w:val="001374D8"/>
    <w:rsid w:val="00140468"/>
    <w:rsid w:val="00140626"/>
    <w:rsid w:val="00140E0A"/>
    <w:rsid w:val="00140EFA"/>
    <w:rsid w:val="001416F6"/>
    <w:rsid w:val="0014171F"/>
    <w:rsid w:val="0014622C"/>
    <w:rsid w:val="00147581"/>
    <w:rsid w:val="00151DA4"/>
    <w:rsid w:val="00151F58"/>
    <w:rsid w:val="00152348"/>
    <w:rsid w:val="00152845"/>
    <w:rsid w:val="0015456D"/>
    <w:rsid w:val="0015549B"/>
    <w:rsid w:val="00155FA2"/>
    <w:rsid w:val="001578CB"/>
    <w:rsid w:val="00161F1B"/>
    <w:rsid w:val="00162829"/>
    <w:rsid w:val="00164B51"/>
    <w:rsid w:val="001672E0"/>
    <w:rsid w:val="00167C32"/>
    <w:rsid w:val="0017257C"/>
    <w:rsid w:val="00174E6B"/>
    <w:rsid w:val="00176079"/>
    <w:rsid w:val="0017652E"/>
    <w:rsid w:val="00180548"/>
    <w:rsid w:val="00180AC4"/>
    <w:rsid w:val="00180CCE"/>
    <w:rsid w:val="00182648"/>
    <w:rsid w:val="0018267A"/>
    <w:rsid w:val="00182779"/>
    <w:rsid w:val="001830DF"/>
    <w:rsid w:val="00190FD2"/>
    <w:rsid w:val="00196412"/>
    <w:rsid w:val="001966D9"/>
    <w:rsid w:val="001A0C1C"/>
    <w:rsid w:val="001A24E7"/>
    <w:rsid w:val="001A2B78"/>
    <w:rsid w:val="001A4332"/>
    <w:rsid w:val="001A5070"/>
    <w:rsid w:val="001A7E9A"/>
    <w:rsid w:val="001B0F70"/>
    <w:rsid w:val="001B164D"/>
    <w:rsid w:val="001B23E5"/>
    <w:rsid w:val="001B3FE1"/>
    <w:rsid w:val="001B5016"/>
    <w:rsid w:val="001C2F31"/>
    <w:rsid w:val="001C45FC"/>
    <w:rsid w:val="001D02C5"/>
    <w:rsid w:val="001D18BC"/>
    <w:rsid w:val="001D224C"/>
    <w:rsid w:val="001D337E"/>
    <w:rsid w:val="001D4862"/>
    <w:rsid w:val="001D5F6F"/>
    <w:rsid w:val="001D6339"/>
    <w:rsid w:val="001E1142"/>
    <w:rsid w:val="001E25B9"/>
    <w:rsid w:val="001E49E0"/>
    <w:rsid w:val="001E60C3"/>
    <w:rsid w:val="001E60F5"/>
    <w:rsid w:val="001E7B5A"/>
    <w:rsid w:val="001F0D95"/>
    <w:rsid w:val="001F7412"/>
    <w:rsid w:val="00200AC5"/>
    <w:rsid w:val="00200FDD"/>
    <w:rsid w:val="00201874"/>
    <w:rsid w:val="00202133"/>
    <w:rsid w:val="0020264E"/>
    <w:rsid w:val="00204446"/>
    <w:rsid w:val="0020725B"/>
    <w:rsid w:val="0021753C"/>
    <w:rsid w:val="002175BA"/>
    <w:rsid w:val="002209DA"/>
    <w:rsid w:val="00220D8B"/>
    <w:rsid w:val="00223249"/>
    <w:rsid w:val="0022599E"/>
    <w:rsid w:val="00227FD7"/>
    <w:rsid w:val="002305E8"/>
    <w:rsid w:val="0023198D"/>
    <w:rsid w:val="00231ECC"/>
    <w:rsid w:val="0023317E"/>
    <w:rsid w:val="00234F2C"/>
    <w:rsid w:val="00235F2D"/>
    <w:rsid w:val="00240B0E"/>
    <w:rsid w:val="0024116D"/>
    <w:rsid w:val="00241B44"/>
    <w:rsid w:val="00245EFB"/>
    <w:rsid w:val="00250E19"/>
    <w:rsid w:val="0025386E"/>
    <w:rsid w:val="002538B0"/>
    <w:rsid w:val="00257437"/>
    <w:rsid w:val="00260053"/>
    <w:rsid w:val="002638B0"/>
    <w:rsid w:val="00264313"/>
    <w:rsid w:val="00264FFF"/>
    <w:rsid w:val="002650D7"/>
    <w:rsid w:val="002654E8"/>
    <w:rsid w:val="0026647A"/>
    <w:rsid w:val="002668D3"/>
    <w:rsid w:val="002675BE"/>
    <w:rsid w:val="0027299F"/>
    <w:rsid w:val="00273249"/>
    <w:rsid w:val="00276913"/>
    <w:rsid w:val="00277C04"/>
    <w:rsid w:val="0028135B"/>
    <w:rsid w:val="00282121"/>
    <w:rsid w:val="00282480"/>
    <w:rsid w:val="0028402A"/>
    <w:rsid w:val="00284EBE"/>
    <w:rsid w:val="0029312E"/>
    <w:rsid w:val="0029433F"/>
    <w:rsid w:val="00294829"/>
    <w:rsid w:val="00294F3B"/>
    <w:rsid w:val="00296158"/>
    <w:rsid w:val="0029690F"/>
    <w:rsid w:val="002A0D99"/>
    <w:rsid w:val="002A12E0"/>
    <w:rsid w:val="002A1EEC"/>
    <w:rsid w:val="002A2A60"/>
    <w:rsid w:val="002B1C45"/>
    <w:rsid w:val="002B2AB0"/>
    <w:rsid w:val="002B4466"/>
    <w:rsid w:val="002B4E93"/>
    <w:rsid w:val="002B54FB"/>
    <w:rsid w:val="002B669F"/>
    <w:rsid w:val="002C13C8"/>
    <w:rsid w:val="002C17BC"/>
    <w:rsid w:val="002C2F8A"/>
    <w:rsid w:val="002C3547"/>
    <w:rsid w:val="002C58DC"/>
    <w:rsid w:val="002D0021"/>
    <w:rsid w:val="002D094C"/>
    <w:rsid w:val="002D1039"/>
    <w:rsid w:val="002D3473"/>
    <w:rsid w:val="002D38BB"/>
    <w:rsid w:val="002D50FD"/>
    <w:rsid w:val="002D5C95"/>
    <w:rsid w:val="002D735F"/>
    <w:rsid w:val="002E00F8"/>
    <w:rsid w:val="002E1BB5"/>
    <w:rsid w:val="002E2322"/>
    <w:rsid w:val="002E38E2"/>
    <w:rsid w:val="002F1956"/>
    <w:rsid w:val="002F2CF2"/>
    <w:rsid w:val="002F3440"/>
    <w:rsid w:val="002F3941"/>
    <w:rsid w:val="002F4EC0"/>
    <w:rsid w:val="002F71BE"/>
    <w:rsid w:val="002F75A3"/>
    <w:rsid w:val="002F78CA"/>
    <w:rsid w:val="00302D91"/>
    <w:rsid w:val="00303498"/>
    <w:rsid w:val="003035A4"/>
    <w:rsid w:val="00303C2F"/>
    <w:rsid w:val="00312911"/>
    <w:rsid w:val="003144EF"/>
    <w:rsid w:val="003148CA"/>
    <w:rsid w:val="00314B56"/>
    <w:rsid w:val="00315506"/>
    <w:rsid w:val="00322F3B"/>
    <w:rsid w:val="003243CA"/>
    <w:rsid w:val="0032574D"/>
    <w:rsid w:val="00326292"/>
    <w:rsid w:val="00326415"/>
    <w:rsid w:val="00327400"/>
    <w:rsid w:val="00330937"/>
    <w:rsid w:val="00330F31"/>
    <w:rsid w:val="0033442A"/>
    <w:rsid w:val="00334648"/>
    <w:rsid w:val="0033768C"/>
    <w:rsid w:val="00337938"/>
    <w:rsid w:val="00340769"/>
    <w:rsid w:val="00341AA6"/>
    <w:rsid w:val="00342459"/>
    <w:rsid w:val="003427B9"/>
    <w:rsid w:val="00344DFE"/>
    <w:rsid w:val="00346B16"/>
    <w:rsid w:val="0035098F"/>
    <w:rsid w:val="00356930"/>
    <w:rsid w:val="00361A0A"/>
    <w:rsid w:val="00364A75"/>
    <w:rsid w:val="0036565C"/>
    <w:rsid w:val="0036625E"/>
    <w:rsid w:val="00366F21"/>
    <w:rsid w:val="0036760B"/>
    <w:rsid w:val="00373B98"/>
    <w:rsid w:val="0037465A"/>
    <w:rsid w:val="0037544E"/>
    <w:rsid w:val="00380BAB"/>
    <w:rsid w:val="00382C98"/>
    <w:rsid w:val="0038533C"/>
    <w:rsid w:val="00386568"/>
    <w:rsid w:val="00387106"/>
    <w:rsid w:val="00391F3E"/>
    <w:rsid w:val="003948D5"/>
    <w:rsid w:val="00396821"/>
    <w:rsid w:val="00397D3A"/>
    <w:rsid w:val="003A051E"/>
    <w:rsid w:val="003A2FEE"/>
    <w:rsid w:val="003A7E0A"/>
    <w:rsid w:val="003B0763"/>
    <w:rsid w:val="003B1310"/>
    <w:rsid w:val="003B1689"/>
    <w:rsid w:val="003B170F"/>
    <w:rsid w:val="003B3C5F"/>
    <w:rsid w:val="003C089D"/>
    <w:rsid w:val="003C4471"/>
    <w:rsid w:val="003C66B1"/>
    <w:rsid w:val="003D0A6D"/>
    <w:rsid w:val="003E0B16"/>
    <w:rsid w:val="003E33BC"/>
    <w:rsid w:val="003E49C4"/>
    <w:rsid w:val="003E5893"/>
    <w:rsid w:val="003E67D1"/>
    <w:rsid w:val="003F100B"/>
    <w:rsid w:val="003F3340"/>
    <w:rsid w:val="003F57BD"/>
    <w:rsid w:val="004003AD"/>
    <w:rsid w:val="00405DC1"/>
    <w:rsid w:val="004067CE"/>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186"/>
    <w:rsid w:val="00437297"/>
    <w:rsid w:val="00443403"/>
    <w:rsid w:val="004440AD"/>
    <w:rsid w:val="00444284"/>
    <w:rsid w:val="00445CE6"/>
    <w:rsid w:val="00447FE6"/>
    <w:rsid w:val="00451729"/>
    <w:rsid w:val="00451981"/>
    <w:rsid w:val="004522AC"/>
    <w:rsid w:val="004527C6"/>
    <w:rsid w:val="004534C2"/>
    <w:rsid w:val="004539EC"/>
    <w:rsid w:val="0045446F"/>
    <w:rsid w:val="0045683E"/>
    <w:rsid w:val="00462D54"/>
    <w:rsid w:val="0047025B"/>
    <w:rsid w:val="00472642"/>
    <w:rsid w:val="004735F2"/>
    <w:rsid w:val="0047369B"/>
    <w:rsid w:val="00474513"/>
    <w:rsid w:val="00484092"/>
    <w:rsid w:val="00491675"/>
    <w:rsid w:val="00493855"/>
    <w:rsid w:val="00493C0F"/>
    <w:rsid w:val="0049508F"/>
    <w:rsid w:val="004950ED"/>
    <w:rsid w:val="004979EB"/>
    <w:rsid w:val="004A171E"/>
    <w:rsid w:val="004A57DD"/>
    <w:rsid w:val="004A5DBC"/>
    <w:rsid w:val="004A7B51"/>
    <w:rsid w:val="004A7D71"/>
    <w:rsid w:val="004A7EF3"/>
    <w:rsid w:val="004B11FD"/>
    <w:rsid w:val="004B23A2"/>
    <w:rsid w:val="004B38EB"/>
    <w:rsid w:val="004B3DE5"/>
    <w:rsid w:val="004B413B"/>
    <w:rsid w:val="004B49CA"/>
    <w:rsid w:val="004C4E97"/>
    <w:rsid w:val="004C59B9"/>
    <w:rsid w:val="004C664A"/>
    <w:rsid w:val="004D0E15"/>
    <w:rsid w:val="004D1A5A"/>
    <w:rsid w:val="004D2FFF"/>
    <w:rsid w:val="004D3721"/>
    <w:rsid w:val="004D64F9"/>
    <w:rsid w:val="004E0549"/>
    <w:rsid w:val="004E1A5E"/>
    <w:rsid w:val="004E2AF6"/>
    <w:rsid w:val="004E2E92"/>
    <w:rsid w:val="004E30B0"/>
    <w:rsid w:val="004E4141"/>
    <w:rsid w:val="004E622C"/>
    <w:rsid w:val="004F5FDF"/>
    <w:rsid w:val="0050157D"/>
    <w:rsid w:val="00506803"/>
    <w:rsid w:val="0050682B"/>
    <w:rsid w:val="00507AAC"/>
    <w:rsid w:val="0051192F"/>
    <w:rsid w:val="005177FE"/>
    <w:rsid w:val="0052263B"/>
    <w:rsid w:val="00524728"/>
    <w:rsid w:val="00527217"/>
    <w:rsid w:val="00530003"/>
    <w:rsid w:val="00530E88"/>
    <w:rsid w:val="00532A2C"/>
    <w:rsid w:val="005331CA"/>
    <w:rsid w:val="0053353F"/>
    <w:rsid w:val="00533739"/>
    <w:rsid w:val="005355E7"/>
    <w:rsid w:val="00537780"/>
    <w:rsid w:val="00537970"/>
    <w:rsid w:val="00540B44"/>
    <w:rsid w:val="00540E3A"/>
    <w:rsid w:val="00544127"/>
    <w:rsid w:val="00544273"/>
    <w:rsid w:val="005463A9"/>
    <w:rsid w:val="00553752"/>
    <w:rsid w:val="00553EB2"/>
    <w:rsid w:val="00556777"/>
    <w:rsid w:val="0055688E"/>
    <w:rsid w:val="00557263"/>
    <w:rsid w:val="00560534"/>
    <w:rsid w:val="00561903"/>
    <w:rsid w:val="0056391B"/>
    <w:rsid w:val="005650E2"/>
    <w:rsid w:val="00565292"/>
    <w:rsid w:val="0056535A"/>
    <w:rsid w:val="00565DEE"/>
    <w:rsid w:val="0056604A"/>
    <w:rsid w:val="00567AD7"/>
    <w:rsid w:val="00567C06"/>
    <w:rsid w:val="00567F31"/>
    <w:rsid w:val="00573E73"/>
    <w:rsid w:val="00575B2D"/>
    <w:rsid w:val="0058047D"/>
    <w:rsid w:val="00582414"/>
    <w:rsid w:val="00582CFF"/>
    <w:rsid w:val="005833D0"/>
    <w:rsid w:val="005846F3"/>
    <w:rsid w:val="0058561E"/>
    <w:rsid w:val="0058622F"/>
    <w:rsid w:val="00587461"/>
    <w:rsid w:val="00590023"/>
    <w:rsid w:val="00592F82"/>
    <w:rsid w:val="005A0CCA"/>
    <w:rsid w:val="005A301F"/>
    <w:rsid w:val="005A726D"/>
    <w:rsid w:val="005B6570"/>
    <w:rsid w:val="005B67AC"/>
    <w:rsid w:val="005C037A"/>
    <w:rsid w:val="005C0E42"/>
    <w:rsid w:val="005C2C94"/>
    <w:rsid w:val="005C36BC"/>
    <w:rsid w:val="005C4865"/>
    <w:rsid w:val="005C4B59"/>
    <w:rsid w:val="005C76DB"/>
    <w:rsid w:val="005C7F5A"/>
    <w:rsid w:val="005D43E0"/>
    <w:rsid w:val="005D4686"/>
    <w:rsid w:val="005D4C1E"/>
    <w:rsid w:val="005D58A3"/>
    <w:rsid w:val="005E0404"/>
    <w:rsid w:val="005E0F45"/>
    <w:rsid w:val="005E1B79"/>
    <w:rsid w:val="005E5C28"/>
    <w:rsid w:val="005E6355"/>
    <w:rsid w:val="005F026D"/>
    <w:rsid w:val="005F21F4"/>
    <w:rsid w:val="005F2D0B"/>
    <w:rsid w:val="005F3C8F"/>
    <w:rsid w:val="005F3EE0"/>
    <w:rsid w:val="005F42E5"/>
    <w:rsid w:val="005F4B31"/>
    <w:rsid w:val="005F6D0B"/>
    <w:rsid w:val="006017D1"/>
    <w:rsid w:val="00610388"/>
    <w:rsid w:val="00612CA5"/>
    <w:rsid w:val="006153EC"/>
    <w:rsid w:val="00621A17"/>
    <w:rsid w:val="00622586"/>
    <w:rsid w:val="00622C2B"/>
    <w:rsid w:val="00622DCB"/>
    <w:rsid w:val="00627CC9"/>
    <w:rsid w:val="00627E7B"/>
    <w:rsid w:val="00630542"/>
    <w:rsid w:val="00632307"/>
    <w:rsid w:val="00632E44"/>
    <w:rsid w:val="00634622"/>
    <w:rsid w:val="00636808"/>
    <w:rsid w:val="00641002"/>
    <w:rsid w:val="00641515"/>
    <w:rsid w:val="00644FC0"/>
    <w:rsid w:val="00646084"/>
    <w:rsid w:val="006505B8"/>
    <w:rsid w:val="00651AE3"/>
    <w:rsid w:val="00654C2F"/>
    <w:rsid w:val="00657087"/>
    <w:rsid w:val="0066252C"/>
    <w:rsid w:val="006661EF"/>
    <w:rsid w:val="0067177C"/>
    <w:rsid w:val="0067294B"/>
    <w:rsid w:val="00676A70"/>
    <w:rsid w:val="00677736"/>
    <w:rsid w:val="0067785F"/>
    <w:rsid w:val="00677AEB"/>
    <w:rsid w:val="00680EF2"/>
    <w:rsid w:val="0068348E"/>
    <w:rsid w:val="006839C2"/>
    <w:rsid w:val="0068547E"/>
    <w:rsid w:val="00687A1D"/>
    <w:rsid w:val="006920CC"/>
    <w:rsid w:val="00692315"/>
    <w:rsid w:val="00692AB2"/>
    <w:rsid w:val="00692C41"/>
    <w:rsid w:val="00693515"/>
    <w:rsid w:val="0069647C"/>
    <w:rsid w:val="006971AA"/>
    <w:rsid w:val="00697EA1"/>
    <w:rsid w:val="006A1850"/>
    <w:rsid w:val="006A2646"/>
    <w:rsid w:val="006A3DF0"/>
    <w:rsid w:val="006A6530"/>
    <w:rsid w:val="006B06D6"/>
    <w:rsid w:val="006B435A"/>
    <w:rsid w:val="006B4C64"/>
    <w:rsid w:val="006B4FB6"/>
    <w:rsid w:val="006B4FFC"/>
    <w:rsid w:val="006B6E42"/>
    <w:rsid w:val="006C5DD5"/>
    <w:rsid w:val="006D0E6E"/>
    <w:rsid w:val="006D38FB"/>
    <w:rsid w:val="006D6BD5"/>
    <w:rsid w:val="006E296F"/>
    <w:rsid w:val="006E4050"/>
    <w:rsid w:val="006E4172"/>
    <w:rsid w:val="006E481A"/>
    <w:rsid w:val="006E5298"/>
    <w:rsid w:val="006E700E"/>
    <w:rsid w:val="006F2CE3"/>
    <w:rsid w:val="006F734A"/>
    <w:rsid w:val="00700D83"/>
    <w:rsid w:val="00703819"/>
    <w:rsid w:val="00704852"/>
    <w:rsid w:val="00706297"/>
    <w:rsid w:val="00706AD5"/>
    <w:rsid w:val="0070741C"/>
    <w:rsid w:val="007074E9"/>
    <w:rsid w:val="00707FC8"/>
    <w:rsid w:val="007102EF"/>
    <w:rsid w:val="00711502"/>
    <w:rsid w:val="00713DA4"/>
    <w:rsid w:val="00714BF1"/>
    <w:rsid w:val="00721383"/>
    <w:rsid w:val="0072224F"/>
    <w:rsid w:val="00722C97"/>
    <w:rsid w:val="0072554C"/>
    <w:rsid w:val="00725911"/>
    <w:rsid w:val="00726F91"/>
    <w:rsid w:val="00731DBD"/>
    <w:rsid w:val="007333CC"/>
    <w:rsid w:val="0073399A"/>
    <w:rsid w:val="00751F66"/>
    <w:rsid w:val="007603F5"/>
    <w:rsid w:val="00761F3E"/>
    <w:rsid w:val="0076238C"/>
    <w:rsid w:val="00764DB0"/>
    <w:rsid w:val="00766F8A"/>
    <w:rsid w:val="0076764D"/>
    <w:rsid w:val="0077498C"/>
    <w:rsid w:val="00775982"/>
    <w:rsid w:val="00777183"/>
    <w:rsid w:val="007819D1"/>
    <w:rsid w:val="00784128"/>
    <w:rsid w:val="00784B4B"/>
    <w:rsid w:val="007854ED"/>
    <w:rsid w:val="00790779"/>
    <w:rsid w:val="00793173"/>
    <w:rsid w:val="007A6B26"/>
    <w:rsid w:val="007B1B5F"/>
    <w:rsid w:val="007B3AC7"/>
    <w:rsid w:val="007B497A"/>
    <w:rsid w:val="007B7C41"/>
    <w:rsid w:val="007C1FCC"/>
    <w:rsid w:val="007C32A8"/>
    <w:rsid w:val="007C3FE5"/>
    <w:rsid w:val="007C5DD9"/>
    <w:rsid w:val="007C6201"/>
    <w:rsid w:val="007C6988"/>
    <w:rsid w:val="007C73FD"/>
    <w:rsid w:val="007D28A1"/>
    <w:rsid w:val="007D3740"/>
    <w:rsid w:val="007D7C92"/>
    <w:rsid w:val="007E1154"/>
    <w:rsid w:val="007E4895"/>
    <w:rsid w:val="007E5196"/>
    <w:rsid w:val="007E68AE"/>
    <w:rsid w:val="007E6BA4"/>
    <w:rsid w:val="007E7678"/>
    <w:rsid w:val="007F41F8"/>
    <w:rsid w:val="007F60D0"/>
    <w:rsid w:val="007F6AD6"/>
    <w:rsid w:val="007F6B7B"/>
    <w:rsid w:val="007F6C30"/>
    <w:rsid w:val="0080454E"/>
    <w:rsid w:val="00804C32"/>
    <w:rsid w:val="00806302"/>
    <w:rsid w:val="00807119"/>
    <w:rsid w:val="00810AE2"/>
    <w:rsid w:val="00812AD6"/>
    <w:rsid w:val="008134CC"/>
    <w:rsid w:val="00816394"/>
    <w:rsid w:val="0081671C"/>
    <w:rsid w:val="00817D57"/>
    <w:rsid w:val="00817F01"/>
    <w:rsid w:val="00822764"/>
    <w:rsid w:val="00823A2D"/>
    <w:rsid w:val="008241C4"/>
    <w:rsid w:val="0082483F"/>
    <w:rsid w:val="00825AB1"/>
    <w:rsid w:val="008264CB"/>
    <w:rsid w:val="00826566"/>
    <w:rsid w:val="008273F1"/>
    <w:rsid w:val="008279C0"/>
    <w:rsid w:val="00835FD1"/>
    <w:rsid w:val="00844AE7"/>
    <w:rsid w:val="0084683C"/>
    <w:rsid w:val="008512FA"/>
    <w:rsid w:val="00853A74"/>
    <w:rsid w:val="00857763"/>
    <w:rsid w:val="00860E61"/>
    <w:rsid w:val="00867A8F"/>
    <w:rsid w:val="008723F3"/>
    <w:rsid w:val="00872C0A"/>
    <w:rsid w:val="00877C6A"/>
    <w:rsid w:val="00881DE6"/>
    <w:rsid w:val="008837A6"/>
    <w:rsid w:val="0089145D"/>
    <w:rsid w:val="00894BF8"/>
    <w:rsid w:val="00897AAE"/>
    <w:rsid w:val="008A0C6E"/>
    <w:rsid w:val="008A46CF"/>
    <w:rsid w:val="008A4DF2"/>
    <w:rsid w:val="008A5E98"/>
    <w:rsid w:val="008A6071"/>
    <w:rsid w:val="008A6CFE"/>
    <w:rsid w:val="008A7470"/>
    <w:rsid w:val="008A7FCE"/>
    <w:rsid w:val="008B1A08"/>
    <w:rsid w:val="008B2DE3"/>
    <w:rsid w:val="008B420B"/>
    <w:rsid w:val="008B5333"/>
    <w:rsid w:val="008B552D"/>
    <w:rsid w:val="008B6223"/>
    <w:rsid w:val="008C29CC"/>
    <w:rsid w:val="008C66E0"/>
    <w:rsid w:val="008D494E"/>
    <w:rsid w:val="008D7969"/>
    <w:rsid w:val="008E2DFA"/>
    <w:rsid w:val="008E3339"/>
    <w:rsid w:val="008E549B"/>
    <w:rsid w:val="008F18EF"/>
    <w:rsid w:val="008F20FC"/>
    <w:rsid w:val="008F2B24"/>
    <w:rsid w:val="008F5FFE"/>
    <w:rsid w:val="008F76B3"/>
    <w:rsid w:val="009032BE"/>
    <w:rsid w:val="00903F10"/>
    <w:rsid w:val="0090421A"/>
    <w:rsid w:val="00905A43"/>
    <w:rsid w:val="00906920"/>
    <w:rsid w:val="00907884"/>
    <w:rsid w:val="00907DC2"/>
    <w:rsid w:val="00910813"/>
    <w:rsid w:val="009112F0"/>
    <w:rsid w:val="009127B7"/>
    <w:rsid w:val="00912C79"/>
    <w:rsid w:val="00915FBA"/>
    <w:rsid w:val="0091638D"/>
    <w:rsid w:val="00920C6B"/>
    <w:rsid w:val="00921820"/>
    <w:rsid w:val="009228BA"/>
    <w:rsid w:val="009248C0"/>
    <w:rsid w:val="009260A2"/>
    <w:rsid w:val="009372CD"/>
    <w:rsid w:val="00942123"/>
    <w:rsid w:val="00944200"/>
    <w:rsid w:val="0094547B"/>
    <w:rsid w:val="00951031"/>
    <w:rsid w:val="0095207B"/>
    <w:rsid w:val="00953C4E"/>
    <w:rsid w:val="00953F0E"/>
    <w:rsid w:val="00954461"/>
    <w:rsid w:val="00956085"/>
    <w:rsid w:val="00957951"/>
    <w:rsid w:val="009615D5"/>
    <w:rsid w:val="00962045"/>
    <w:rsid w:val="009656CD"/>
    <w:rsid w:val="00967EDA"/>
    <w:rsid w:val="00970897"/>
    <w:rsid w:val="00980314"/>
    <w:rsid w:val="009816D0"/>
    <w:rsid w:val="00991127"/>
    <w:rsid w:val="00991428"/>
    <w:rsid w:val="00992676"/>
    <w:rsid w:val="00996691"/>
    <w:rsid w:val="009A1889"/>
    <w:rsid w:val="009A258F"/>
    <w:rsid w:val="009A4880"/>
    <w:rsid w:val="009A7865"/>
    <w:rsid w:val="009B0723"/>
    <w:rsid w:val="009B07AD"/>
    <w:rsid w:val="009B0883"/>
    <w:rsid w:val="009B0CA3"/>
    <w:rsid w:val="009B15E2"/>
    <w:rsid w:val="009B5832"/>
    <w:rsid w:val="009B6312"/>
    <w:rsid w:val="009B640D"/>
    <w:rsid w:val="009B69DE"/>
    <w:rsid w:val="009C0850"/>
    <w:rsid w:val="009C0B8E"/>
    <w:rsid w:val="009C1BC8"/>
    <w:rsid w:val="009C2442"/>
    <w:rsid w:val="009C4F18"/>
    <w:rsid w:val="009D0811"/>
    <w:rsid w:val="009D0EE1"/>
    <w:rsid w:val="009D30BB"/>
    <w:rsid w:val="009D540E"/>
    <w:rsid w:val="009E14F9"/>
    <w:rsid w:val="009E27D3"/>
    <w:rsid w:val="009E2AEB"/>
    <w:rsid w:val="009E2E27"/>
    <w:rsid w:val="009E3E07"/>
    <w:rsid w:val="009E4D36"/>
    <w:rsid w:val="009E4DE3"/>
    <w:rsid w:val="009E7997"/>
    <w:rsid w:val="009E7EC0"/>
    <w:rsid w:val="009F10A8"/>
    <w:rsid w:val="009F4763"/>
    <w:rsid w:val="009F6EC5"/>
    <w:rsid w:val="009F71F5"/>
    <w:rsid w:val="009F7258"/>
    <w:rsid w:val="009F766B"/>
    <w:rsid w:val="00A047EE"/>
    <w:rsid w:val="00A06F36"/>
    <w:rsid w:val="00A114EA"/>
    <w:rsid w:val="00A153F7"/>
    <w:rsid w:val="00A16030"/>
    <w:rsid w:val="00A2274A"/>
    <w:rsid w:val="00A229ED"/>
    <w:rsid w:val="00A235B7"/>
    <w:rsid w:val="00A2511B"/>
    <w:rsid w:val="00A256B2"/>
    <w:rsid w:val="00A2610D"/>
    <w:rsid w:val="00A27A7A"/>
    <w:rsid w:val="00A40743"/>
    <w:rsid w:val="00A407EF"/>
    <w:rsid w:val="00A45301"/>
    <w:rsid w:val="00A461D9"/>
    <w:rsid w:val="00A46B4C"/>
    <w:rsid w:val="00A5117B"/>
    <w:rsid w:val="00A528AD"/>
    <w:rsid w:val="00A54000"/>
    <w:rsid w:val="00A54689"/>
    <w:rsid w:val="00A5595C"/>
    <w:rsid w:val="00A60074"/>
    <w:rsid w:val="00A6627C"/>
    <w:rsid w:val="00A70BBC"/>
    <w:rsid w:val="00A71019"/>
    <w:rsid w:val="00A81029"/>
    <w:rsid w:val="00A83B3D"/>
    <w:rsid w:val="00A83CB5"/>
    <w:rsid w:val="00A865A7"/>
    <w:rsid w:val="00A87F98"/>
    <w:rsid w:val="00A91593"/>
    <w:rsid w:val="00A95A00"/>
    <w:rsid w:val="00A96489"/>
    <w:rsid w:val="00AA0F63"/>
    <w:rsid w:val="00AA3A42"/>
    <w:rsid w:val="00AA52E8"/>
    <w:rsid w:val="00AA5311"/>
    <w:rsid w:val="00AA6762"/>
    <w:rsid w:val="00AA7BAA"/>
    <w:rsid w:val="00AB57E9"/>
    <w:rsid w:val="00AB6183"/>
    <w:rsid w:val="00AB61DC"/>
    <w:rsid w:val="00AB685C"/>
    <w:rsid w:val="00AB6C2D"/>
    <w:rsid w:val="00AB77A7"/>
    <w:rsid w:val="00AC0462"/>
    <w:rsid w:val="00AC08F7"/>
    <w:rsid w:val="00AC2D12"/>
    <w:rsid w:val="00AC3839"/>
    <w:rsid w:val="00AC58EE"/>
    <w:rsid w:val="00AC7082"/>
    <w:rsid w:val="00AC7160"/>
    <w:rsid w:val="00AD3FEA"/>
    <w:rsid w:val="00AD6900"/>
    <w:rsid w:val="00AD7BBD"/>
    <w:rsid w:val="00AE2FF3"/>
    <w:rsid w:val="00AE3DA3"/>
    <w:rsid w:val="00AE5CD9"/>
    <w:rsid w:val="00AF228E"/>
    <w:rsid w:val="00AF2EA8"/>
    <w:rsid w:val="00AF3415"/>
    <w:rsid w:val="00AF4B48"/>
    <w:rsid w:val="00AF6F82"/>
    <w:rsid w:val="00B01154"/>
    <w:rsid w:val="00B02C98"/>
    <w:rsid w:val="00B04137"/>
    <w:rsid w:val="00B1112C"/>
    <w:rsid w:val="00B11D19"/>
    <w:rsid w:val="00B12936"/>
    <w:rsid w:val="00B12E74"/>
    <w:rsid w:val="00B13A7F"/>
    <w:rsid w:val="00B14819"/>
    <w:rsid w:val="00B17AA9"/>
    <w:rsid w:val="00B241DB"/>
    <w:rsid w:val="00B24C02"/>
    <w:rsid w:val="00B318B4"/>
    <w:rsid w:val="00B31E31"/>
    <w:rsid w:val="00B32DE4"/>
    <w:rsid w:val="00B33578"/>
    <w:rsid w:val="00B370C3"/>
    <w:rsid w:val="00B411AE"/>
    <w:rsid w:val="00B46AA7"/>
    <w:rsid w:val="00B46CE2"/>
    <w:rsid w:val="00B5189D"/>
    <w:rsid w:val="00B60190"/>
    <w:rsid w:val="00B61419"/>
    <w:rsid w:val="00B649E0"/>
    <w:rsid w:val="00B64E64"/>
    <w:rsid w:val="00B66062"/>
    <w:rsid w:val="00B72F5F"/>
    <w:rsid w:val="00B736DF"/>
    <w:rsid w:val="00B74FBD"/>
    <w:rsid w:val="00B77352"/>
    <w:rsid w:val="00B80C9B"/>
    <w:rsid w:val="00B80DC2"/>
    <w:rsid w:val="00B82586"/>
    <w:rsid w:val="00B825CC"/>
    <w:rsid w:val="00B829A3"/>
    <w:rsid w:val="00B82AFE"/>
    <w:rsid w:val="00B8551B"/>
    <w:rsid w:val="00B86B80"/>
    <w:rsid w:val="00B86DB1"/>
    <w:rsid w:val="00B87869"/>
    <w:rsid w:val="00B92F7A"/>
    <w:rsid w:val="00B96DC3"/>
    <w:rsid w:val="00BA0E44"/>
    <w:rsid w:val="00BA2AE4"/>
    <w:rsid w:val="00BA47C5"/>
    <w:rsid w:val="00BB0F2B"/>
    <w:rsid w:val="00BB0F9D"/>
    <w:rsid w:val="00BB6486"/>
    <w:rsid w:val="00BB7E4B"/>
    <w:rsid w:val="00BC071A"/>
    <w:rsid w:val="00BC7A44"/>
    <w:rsid w:val="00BD0D57"/>
    <w:rsid w:val="00BD61B4"/>
    <w:rsid w:val="00BD6D1C"/>
    <w:rsid w:val="00BE1A50"/>
    <w:rsid w:val="00BE3341"/>
    <w:rsid w:val="00BF1BB2"/>
    <w:rsid w:val="00BF4E59"/>
    <w:rsid w:val="00BF50F7"/>
    <w:rsid w:val="00BF587C"/>
    <w:rsid w:val="00BF7B51"/>
    <w:rsid w:val="00C02F29"/>
    <w:rsid w:val="00C101CB"/>
    <w:rsid w:val="00C10C13"/>
    <w:rsid w:val="00C10FE8"/>
    <w:rsid w:val="00C1402F"/>
    <w:rsid w:val="00C155A6"/>
    <w:rsid w:val="00C17111"/>
    <w:rsid w:val="00C203B2"/>
    <w:rsid w:val="00C20747"/>
    <w:rsid w:val="00C20AFE"/>
    <w:rsid w:val="00C20DD5"/>
    <w:rsid w:val="00C22A25"/>
    <w:rsid w:val="00C23B79"/>
    <w:rsid w:val="00C32D2A"/>
    <w:rsid w:val="00C33D50"/>
    <w:rsid w:val="00C35671"/>
    <w:rsid w:val="00C35B77"/>
    <w:rsid w:val="00C370D3"/>
    <w:rsid w:val="00C376EB"/>
    <w:rsid w:val="00C4003A"/>
    <w:rsid w:val="00C452D8"/>
    <w:rsid w:val="00C46EC1"/>
    <w:rsid w:val="00C504E5"/>
    <w:rsid w:val="00C51499"/>
    <w:rsid w:val="00C522D7"/>
    <w:rsid w:val="00C53E2C"/>
    <w:rsid w:val="00C54A6C"/>
    <w:rsid w:val="00C550C8"/>
    <w:rsid w:val="00C56B61"/>
    <w:rsid w:val="00C606C3"/>
    <w:rsid w:val="00C620F4"/>
    <w:rsid w:val="00C62A8D"/>
    <w:rsid w:val="00C668B6"/>
    <w:rsid w:val="00C66EC3"/>
    <w:rsid w:val="00C67ECE"/>
    <w:rsid w:val="00C7161B"/>
    <w:rsid w:val="00C72848"/>
    <w:rsid w:val="00C7736C"/>
    <w:rsid w:val="00C82D77"/>
    <w:rsid w:val="00C82D87"/>
    <w:rsid w:val="00C841ED"/>
    <w:rsid w:val="00C84CCC"/>
    <w:rsid w:val="00C85F17"/>
    <w:rsid w:val="00C8712A"/>
    <w:rsid w:val="00C873E1"/>
    <w:rsid w:val="00C91324"/>
    <w:rsid w:val="00C914F7"/>
    <w:rsid w:val="00C923D9"/>
    <w:rsid w:val="00C9264D"/>
    <w:rsid w:val="00C963D3"/>
    <w:rsid w:val="00CA0EE4"/>
    <w:rsid w:val="00CA33CF"/>
    <w:rsid w:val="00CA6913"/>
    <w:rsid w:val="00CA6E0D"/>
    <w:rsid w:val="00CB2475"/>
    <w:rsid w:val="00CB2CBB"/>
    <w:rsid w:val="00CB36DF"/>
    <w:rsid w:val="00CB56CE"/>
    <w:rsid w:val="00CB7CAC"/>
    <w:rsid w:val="00CC0EA0"/>
    <w:rsid w:val="00CC1C58"/>
    <w:rsid w:val="00CC3BD9"/>
    <w:rsid w:val="00CC4A4C"/>
    <w:rsid w:val="00CC5335"/>
    <w:rsid w:val="00CC5BA4"/>
    <w:rsid w:val="00CC6341"/>
    <w:rsid w:val="00CC70BB"/>
    <w:rsid w:val="00CC7B5A"/>
    <w:rsid w:val="00CD03DA"/>
    <w:rsid w:val="00CD33EC"/>
    <w:rsid w:val="00CD3420"/>
    <w:rsid w:val="00CD4998"/>
    <w:rsid w:val="00CE1035"/>
    <w:rsid w:val="00CE7404"/>
    <w:rsid w:val="00CF2819"/>
    <w:rsid w:val="00CF4F9D"/>
    <w:rsid w:val="00CF54F2"/>
    <w:rsid w:val="00CF6030"/>
    <w:rsid w:val="00CF70DC"/>
    <w:rsid w:val="00CF7A99"/>
    <w:rsid w:val="00D01D96"/>
    <w:rsid w:val="00D02997"/>
    <w:rsid w:val="00D148DC"/>
    <w:rsid w:val="00D15C64"/>
    <w:rsid w:val="00D16AE5"/>
    <w:rsid w:val="00D1794A"/>
    <w:rsid w:val="00D17FDC"/>
    <w:rsid w:val="00D201FA"/>
    <w:rsid w:val="00D205C7"/>
    <w:rsid w:val="00D23371"/>
    <w:rsid w:val="00D24816"/>
    <w:rsid w:val="00D3084A"/>
    <w:rsid w:val="00D444C5"/>
    <w:rsid w:val="00D454B2"/>
    <w:rsid w:val="00D45AEA"/>
    <w:rsid w:val="00D473A8"/>
    <w:rsid w:val="00D47C0B"/>
    <w:rsid w:val="00D5244F"/>
    <w:rsid w:val="00D52E4F"/>
    <w:rsid w:val="00D56A37"/>
    <w:rsid w:val="00D57202"/>
    <w:rsid w:val="00D612AA"/>
    <w:rsid w:val="00D632B4"/>
    <w:rsid w:val="00D6386E"/>
    <w:rsid w:val="00D63EFD"/>
    <w:rsid w:val="00D64826"/>
    <w:rsid w:val="00D73E4F"/>
    <w:rsid w:val="00D80DF2"/>
    <w:rsid w:val="00D8249A"/>
    <w:rsid w:val="00D826A3"/>
    <w:rsid w:val="00D83392"/>
    <w:rsid w:val="00D83DAE"/>
    <w:rsid w:val="00D843B4"/>
    <w:rsid w:val="00D84752"/>
    <w:rsid w:val="00D85AB0"/>
    <w:rsid w:val="00D86B3B"/>
    <w:rsid w:val="00D8748A"/>
    <w:rsid w:val="00D90C86"/>
    <w:rsid w:val="00D93196"/>
    <w:rsid w:val="00D94A4D"/>
    <w:rsid w:val="00D94E15"/>
    <w:rsid w:val="00D97A93"/>
    <w:rsid w:val="00DA1083"/>
    <w:rsid w:val="00DA26C8"/>
    <w:rsid w:val="00DA2FCF"/>
    <w:rsid w:val="00DA545F"/>
    <w:rsid w:val="00DA6A26"/>
    <w:rsid w:val="00DB0E82"/>
    <w:rsid w:val="00DB243C"/>
    <w:rsid w:val="00DB2892"/>
    <w:rsid w:val="00DB45DD"/>
    <w:rsid w:val="00DB482A"/>
    <w:rsid w:val="00DB56F2"/>
    <w:rsid w:val="00DB6EF5"/>
    <w:rsid w:val="00DC06A7"/>
    <w:rsid w:val="00DC3089"/>
    <w:rsid w:val="00DC4343"/>
    <w:rsid w:val="00DC4420"/>
    <w:rsid w:val="00DC485C"/>
    <w:rsid w:val="00DC5024"/>
    <w:rsid w:val="00DC6D9C"/>
    <w:rsid w:val="00DC75FB"/>
    <w:rsid w:val="00DD0802"/>
    <w:rsid w:val="00DD0A50"/>
    <w:rsid w:val="00DD2E11"/>
    <w:rsid w:val="00DE03AF"/>
    <w:rsid w:val="00DE121C"/>
    <w:rsid w:val="00DE16AD"/>
    <w:rsid w:val="00DE1A30"/>
    <w:rsid w:val="00DE1ADA"/>
    <w:rsid w:val="00DE22AD"/>
    <w:rsid w:val="00DE2A27"/>
    <w:rsid w:val="00DE3705"/>
    <w:rsid w:val="00DE4611"/>
    <w:rsid w:val="00DE4A02"/>
    <w:rsid w:val="00DE6633"/>
    <w:rsid w:val="00DF0576"/>
    <w:rsid w:val="00DF1182"/>
    <w:rsid w:val="00DF25EF"/>
    <w:rsid w:val="00DF57A2"/>
    <w:rsid w:val="00DF75F8"/>
    <w:rsid w:val="00DF7A3A"/>
    <w:rsid w:val="00E00C00"/>
    <w:rsid w:val="00E0325E"/>
    <w:rsid w:val="00E04A7C"/>
    <w:rsid w:val="00E059FB"/>
    <w:rsid w:val="00E069C4"/>
    <w:rsid w:val="00E07275"/>
    <w:rsid w:val="00E07866"/>
    <w:rsid w:val="00E07C5A"/>
    <w:rsid w:val="00E1345E"/>
    <w:rsid w:val="00E15BA9"/>
    <w:rsid w:val="00E20CDC"/>
    <w:rsid w:val="00E25B22"/>
    <w:rsid w:val="00E2622D"/>
    <w:rsid w:val="00E26E19"/>
    <w:rsid w:val="00E27E3C"/>
    <w:rsid w:val="00E30968"/>
    <w:rsid w:val="00E31DF3"/>
    <w:rsid w:val="00E32814"/>
    <w:rsid w:val="00E33448"/>
    <w:rsid w:val="00E33486"/>
    <w:rsid w:val="00E34181"/>
    <w:rsid w:val="00E354C7"/>
    <w:rsid w:val="00E4222F"/>
    <w:rsid w:val="00E450A4"/>
    <w:rsid w:val="00E506BE"/>
    <w:rsid w:val="00E55547"/>
    <w:rsid w:val="00E57410"/>
    <w:rsid w:val="00E6302B"/>
    <w:rsid w:val="00E6452F"/>
    <w:rsid w:val="00E64595"/>
    <w:rsid w:val="00E64619"/>
    <w:rsid w:val="00E64F45"/>
    <w:rsid w:val="00E65585"/>
    <w:rsid w:val="00E672B3"/>
    <w:rsid w:val="00E6742D"/>
    <w:rsid w:val="00E67B4A"/>
    <w:rsid w:val="00E71CB0"/>
    <w:rsid w:val="00E72A2C"/>
    <w:rsid w:val="00E73529"/>
    <w:rsid w:val="00E747F4"/>
    <w:rsid w:val="00E77C3D"/>
    <w:rsid w:val="00E82E22"/>
    <w:rsid w:val="00E850FE"/>
    <w:rsid w:val="00E909F0"/>
    <w:rsid w:val="00E90D47"/>
    <w:rsid w:val="00E93993"/>
    <w:rsid w:val="00E9597C"/>
    <w:rsid w:val="00EA0913"/>
    <w:rsid w:val="00EA0A2F"/>
    <w:rsid w:val="00EA6B59"/>
    <w:rsid w:val="00EA6D31"/>
    <w:rsid w:val="00EA6E8E"/>
    <w:rsid w:val="00EB146B"/>
    <w:rsid w:val="00EB45AC"/>
    <w:rsid w:val="00EC2AEA"/>
    <w:rsid w:val="00EC2C23"/>
    <w:rsid w:val="00EC3F17"/>
    <w:rsid w:val="00EC46DE"/>
    <w:rsid w:val="00EC7B11"/>
    <w:rsid w:val="00EC7F95"/>
    <w:rsid w:val="00ED0BC4"/>
    <w:rsid w:val="00ED3771"/>
    <w:rsid w:val="00ED4AB7"/>
    <w:rsid w:val="00ED6A32"/>
    <w:rsid w:val="00EE2F6A"/>
    <w:rsid w:val="00EE3F5A"/>
    <w:rsid w:val="00EE4971"/>
    <w:rsid w:val="00EE4D60"/>
    <w:rsid w:val="00EE5D62"/>
    <w:rsid w:val="00EE6F70"/>
    <w:rsid w:val="00EE7664"/>
    <w:rsid w:val="00EF090E"/>
    <w:rsid w:val="00EF0EF4"/>
    <w:rsid w:val="00EF50F5"/>
    <w:rsid w:val="00EF6EA7"/>
    <w:rsid w:val="00F033DA"/>
    <w:rsid w:val="00F03BEE"/>
    <w:rsid w:val="00F063CD"/>
    <w:rsid w:val="00F075FC"/>
    <w:rsid w:val="00F11A01"/>
    <w:rsid w:val="00F11AAB"/>
    <w:rsid w:val="00F13FB1"/>
    <w:rsid w:val="00F15613"/>
    <w:rsid w:val="00F17BC1"/>
    <w:rsid w:val="00F17C87"/>
    <w:rsid w:val="00F20272"/>
    <w:rsid w:val="00F223E7"/>
    <w:rsid w:val="00F2288D"/>
    <w:rsid w:val="00F25779"/>
    <w:rsid w:val="00F262E8"/>
    <w:rsid w:val="00F2750A"/>
    <w:rsid w:val="00F27CD8"/>
    <w:rsid w:val="00F30351"/>
    <w:rsid w:val="00F3323E"/>
    <w:rsid w:val="00F341F4"/>
    <w:rsid w:val="00F34A78"/>
    <w:rsid w:val="00F34B16"/>
    <w:rsid w:val="00F34F9D"/>
    <w:rsid w:val="00F35003"/>
    <w:rsid w:val="00F35CCE"/>
    <w:rsid w:val="00F3682B"/>
    <w:rsid w:val="00F406A5"/>
    <w:rsid w:val="00F46819"/>
    <w:rsid w:val="00F46F10"/>
    <w:rsid w:val="00F52006"/>
    <w:rsid w:val="00F54B44"/>
    <w:rsid w:val="00F55241"/>
    <w:rsid w:val="00F5524B"/>
    <w:rsid w:val="00F60538"/>
    <w:rsid w:val="00F61DD2"/>
    <w:rsid w:val="00F6523A"/>
    <w:rsid w:val="00F66AFF"/>
    <w:rsid w:val="00F71433"/>
    <w:rsid w:val="00F7241A"/>
    <w:rsid w:val="00F8096E"/>
    <w:rsid w:val="00F83E76"/>
    <w:rsid w:val="00F87BEA"/>
    <w:rsid w:val="00F90A57"/>
    <w:rsid w:val="00F92DC5"/>
    <w:rsid w:val="00F95D9F"/>
    <w:rsid w:val="00F97C5B"/>
    <w:rsid w:val="00FA05D2"/>
    <w:rsid w:val="00FA359A"/>
    <w:rsid w:val="00FA3D50"/>
    <w:rsid w:val="00FA6973"/>
    <w:rsid w:val="00FB009F"/>
    <w:rsid w:val="00FB25B0"/>
    <w:rsid w:val="00FB6136"/>
    <w:rsid w:val="00FB6B9A"/>
    <w:rsid w:val="00FC374A"/>
    <w:rsid w:val="00FC7B47"/>
    <w:rsid w:val="00FD035C"/>
    <w:rsid w:val="00FD1A35"/>
    <w:rsid w:val="00FD1FE6"/>
    <w:rsid w:val="00FD2343"/>
    <w:rsid w:val="00FD36C5"/>
    <w:rsid w:val="00FD3E44"/>
    <w:rsid w:val="00FD428C"/>
    <w:rsid w:val="00FD6310"/>
    <w:rsid w:val="00FD7017"/>
    <w:rsid w:val="00FD7514"/>
    <w:rsid w:val="00FD7C7B"/>
    <w:rsid w:val="00FD7FD0"/>
    <w:rsid w:val="00FE1C29"/>
    <w:rsid w:val="00FE1D12"/>
    <w:rsid w:val="00FE2122"/>
    <w:rsid w:val="00FE2A86"/>
    <w:rsid w:val="00FE2E6B"/>
    <w:rsid w:val="00FE3890"/>
    <w:rsid w:val="00FE3CB5"/>
    <w:rsid w:val="00FE6DF3"/>
    <w:rsid w:val="00FE78A1"/>
    <w:rsid w:val="00FF24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6699</Words>
  <Characters>38187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Prelevic, Vuk</cp:lastModifiedBy>
  <cp:revision>11</cp:revision>
  <cp:lastPrinted>2019-08-27T05:42:00Z</cp:lastPrinted>
  <dcterms:created xsi:type="dcterms:W3CDTF">2023-02-27T12:35:00Z</dcterms:created>
  <dcterms:modified xsi:type="dcterms:W3CDTF">2023-02-27T12:49:00Z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2023-01-29T09:53:28Z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3507797c-d492-4099-a71a-0640681b7e38</vt:lpwstr>
  </property>
  <property fmtid="{D5CDD505-2E9C-101B-9397-08002B2CF9AE}" pid="8" name="MSIP_Label_ea60d57e-af5b-4752-ac57-3e4f28ca11dc_ContentBits">
    <vt:lpwstr>0</vt:lpwstr>
  </property>
</Properties>
</file>