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324BDF" w:rsidRDefault="00AE5B6F" w:rsidP="00B04033">
      <w:pPr>
        <w:pStyle w:val="ListParagraph"/>
        <w:numPr>
          <w:ilvl w:val="0"/>
          <w:numId w:val="1"/>
        </w:numPr>
        <w:ind w:left="426"/>
        <w:jc w:val="both"/>
        <w:rPr>
          <w:rFonts w:ascii="Avenir Next" w:hAnsi="Avenir Next" w:cs="Arial"/>
          <w:sz w:val="22"/>
          <w:szCs w:val="22"/>
          <w:highlight w:val="yellow"/>
          <w:lang w:val="en-GB"/>
        </w:rPr>
      </w:pPr>
      <w:r w:rsidRPr="00324BDF">
        <w:rPr>
          <w:rFonts w:ascii="Avenir Next" w:hAnsi="Avenir Next" w:cs="Arial"/>
          <w:sz w:val="22"/>
          <w:szCs w:val="22"/>
          <w:highlight w:val="yellow"/>
          <w:lang w:val="en-GB"/>
        </w:rPr>
        <w:t>w</w:t>
      </w:r>
      <w:r w:rsidR="00C91062" w:rsidRPr="00324BDF">
        <w:rPr>
          <w:rFonts w:ascii="Avenir Next" w:hAnsi="Avenir Next" w:cs="Arial"/>
          <w:sz w:val="22"/>
          <w:szCs w:val="22"/>
          <w:highlight w:val="yellow"/>
          <w:lang w:val="en-GB"/>
        </w:rPr>
        <w:t>ithin 8 weeks of the commencement of the administration</w:t>
      </w:r>
      <w:r w:rsidR="00763348" w:rsidRPr="00324BDF">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324BDF" w:rsidRDefault="00E443D7" w:rsidP="00B04033">
      <w:pPr>
        <w:pStyle w:val="ListParagraph"/>
        <w:numPr>
          <w:ilvl w:val="0"/>
          <w:numId w:val="2"/>
        </w:numPr>
        <w:ind w:left="426"/>
        <w:jc w:val="both"/>
        <w:rPr>
          <w:rFonts w:ascii="Avenir Next" w:hAnsi="Avenir Next" w:cs="Arial"/>
          <w:sz w:val="22"/>
          <w:szCs w:val="22"/>
          <w:highlight w:val="yellow"/>
          <w:lang w:val="en-GB"/>
        </w:rPr>
      </w:pPr>
      <w:r w:rsidRPr="00324BDF">
        <w:rPr>
          <w:rFonts w:ascii="Avenir Next" w:hAnsi="Avenir Next" w:cs="Arial"/>
          <w:sz w:val="22"/>
          <w:szCs w:val="22"/>
          <w:highlight w:val="yellow"/>
          <w:lang w:val="en-GB"/>
        </w:rPr>
        <w:t>One year</w:t>
      </w:r>
      <w:r w:rsidR="00763348" w:rsidRPr="00324BDF">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AF5148" w:rsidRDefault="00AE5B6F" w:rsidP="00B04033">
      <w:pPr>
        <w:pStyle w:val="ListParagraph"/>
        <w:numPr>
          <w:ilvl w:val="0"/>
          <w:numId w:val="3"/>
        </w:numPr>
        <w:ind w:left="426"/>
        <w:jc w:val="both"/>
        <w:rPr>
          <w:rFonts w:ascii="Avenir Next" w:hAnsi="Avenir Next" w:cs="Arial"/>
          <w:sz w:val="22"/>
          <w:szCs w:val="22"/>
          <w:highlight w:val="yellow"/>
          <w:lang w:val="en-GB"/>
        </w:rPr>
      </w:pPr>
      <w:r w:rsidRPr="00AF5148">
        <w:rPr>
          <w:rFonts w:ascii="Avenir Next" w:hAnsi="Avenir Next" w:cs="Arial"/>
          <w:sz w:val="22"/>
          <w:szCs w:val="22"/>
          <w:highlight w:val="yellow"/>
          <w:lang w:val="en-GB"/>
        </w:rPr>
        <w:t>T</w:t>
      </w:r>
      <w:r w:rsidR="008D1616" w:rsidRPr="00AF5148">
        <w:rPr>
          <w:rFonts w:ascii="Avenir Next" w:hAnsi="Avenir Next" w:cs="Arial"/>
          <w:sz w:val="22"/>
          <w:szCs w:val="22"/>
          <w:highlight w:val="yellow"/>
          <w:lang w:val="en-GB"/>
        </w:rPr>
        <w:t>he company is, or is likely to become, unable to pay their debts, as defined under s</w:t>
      </w:r>
      <w:r w:rsidR="00E833F4" w:rsidRPr="00AF5148">
        <w:rPr>
          <w:rFonts w:ascii="Avenir Next" w:hAnsi="Avenir Next" w:cs="Arial"/>
          <w:sz w:val="22"/>
          <w:szCs w:val="22"/>
          <w:highlight w:val="yellow"/>
          <w:lang w:val="en-GB"/>
        </w:rPr>
        <w:t>ection</w:t>
      </w:r>
      <w:r w:rsidR="008D1616" w:rsidRPr="00AF5148">
        <w:rPr>
          <w:rFonts w:ascii="Avenir Next" w:hAnsi="Avenir Next" w:cs="Arial"/>
          <w:sz w:val="22"/>
          <w:szCs w:val="22"/>
          <w:highlight w:val="yellow"/>
          <w:lang w:val="en-GB"/>
        </w:rPr>
        <w:t xml:space="preserve"> 123 of the Insolvency Act 1986</w:t>
      </w:r>
      <w:r w:rsidR="00763348" w:rsidRPr="00AF5148">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AF5148" w:rsidRDefault="00C91062" w:rsidP="00B04033">
      <w:pPr>
        <w:pStyle w:val="ListParagraph"/>
        <w:numPr>
          <w:ilvl w:val="0"/>
          <w:numId w:val="4"/>
        </w:numPr>
        <w:ind w:left="426"/>
        <w:jc w:val="both"/>
        <w:rPr>
          <w:rFonts w:ascii="Avenir Next" w:hAnsi="Avenir Next" w:cs="Arial"/>
          <w:sz w:val="22"/>
          <w:szCs w:val="22"/>
          <w:highlight w:val="yellow"/>
          <w:lang w:val="en-GB"/>
        </w:rPr>
      </w:pPr>
      <w:r w:rsidRPr="00AF5148">
        <w:rPr>
          <w:rFonts w:ascii="Avenir Next" w:hAnsi="Avenir Next" w:cs="Arial"/>
          <w:sz w:val="22"/>
          <w:szCs w:val="22"/>
          <w:highlight w:val="yellow"/>
          <w:lang w:val="en-GB"/>
        </w:rPr>
        <w:t>The purchaser</w:t>
      </w:r>
      <w:r w:rsidR="00763348" w:rsidRPr="00AF5148">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AF5148" w:rsidRDefault="00BA1CFD" w:rsidP="00B04033">
      <w:pPr>
        <w:pStyle w:val="ListParagraph"/>
        <w:numPr>
          <w:ilvl w:val="0"/>
          <w:numId w:val="5"/>
        </w:numPr>
        <w:ind w:left="426"/>
        <w:jc w:val="both"/>
        <w:rPr>
          <w:rFonts w:ascii="Avenir Next" w:hAnsi="Avenir Next" w:cs="Arial"/>
          <w:sz w:val="22"/>
          <w:szCs w:val="22"/>
          <w:highlight w:val="yellow"/>
          <w:lang w:val="en-GB"/>
        </w:rPr>
      </w:pPr>
      <w:r w:rsidRPr="00AF5148">
        <w:rPr>
          <w:rFonts w:ascii="Avenir Next" w:hAnsi="Avenir Next" w:cs="Arial"/>
          <w:sz w:val="22"/>
          <w:szCs w:val="22"/>
          <w:highlight w:val="yellow"/>
          <w:lang w:val="en-GB"/>
        </w:rPr>
        <w:t>Administration</w:t>
      </w:r>
      <w:r w:rsidR="00763348" w:rsidRPr="00AF5148">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3E15A5" w:rsidRDefault="001F3C98" w:rsidP="00B04033">
      <w:pPr>
        <w:pStyle w:val="ListParagraph"/>
        <w:numPr>
          <w:ilvl w:val="0"/>
          <w:numId w:val="6"/>
        </w:numPr>
        <w:ind w:left="426"/>
        <w:jc w:val="both"/>
        <w:rPr>
          <w:rFonts w:ascii="Avenir Next" w:hAnsi="Avenir Next" w:cs="Arial"/>
          <w:sz w:val="22"/>
          <w:szCs w:val="22"/>
          <w:highlight w:val="yellow"/>
          <w:lang w:val="en-GB"/>
        </w:rPr>
      </w:pPr>
      <w:r w:rsidRPr="003E15A5">
        <w:rPr>
          <w:rFonts w:ascii="Avenir Next" w:hAnsi="Avenir Next" w:cs="Arial"/>
          <w:sz w:val="22"/>
          <w:szCs w:val="22"/>
          <w:highlight w:val="yellow"/>
          <w:lang w:val="en-GB"/>
        </w:rPr>
        <w:t xml:space="preserve">GBP </w:t>
      </w:r>
      <w:r w:rsidR="00BA1CFD" w:rsidRPr="003E15A5">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D71654" w:rsidRDefault="00BA1CFD" w:rsidP="00B04033">
      <w:pPr>
        <w:pStyle w:val="ListParagraph"/>
        <w:numPr>
          <w:ilvl w:val="0"/>
          <w:numId w:val="7"/>
        </w:numPr>
        <w:ind w:left="426"/>
        <w:jc w:val="both"/>
        <w:rPr>
          <w:rFonts w:ascii="Avenir Next" w:hAnsi="Avenir Next" w:cs="Arial"/>
          <w:sz w:val="22"/>
          <w:szCs w:val="22"/>
          <w:highlight w:val="yellow"/>
          <w:lang w:val="en-GB"/>
        </w:rPr>
      </w:pPr>
      <w:r w:rsidRPr="00D71654">
        <w:rPr>
          <w:rFonts w:ascii="Avenir Next" w:hAnsi="Avenir Next" w:cs="Arial"/>
          <w:sz w:val="22"/>
          <w:szCs w:val="22"/>
          <w:highlight w:val="yellow"/>
          <w:lang w:val="en-GB"/>
        </w:rPr>
        <w:t>Breach of fiduciary duty</w:t>
      </w:r>
      <w:r w:rsidR="00763348" w:rsidRPr="00D71654">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D71654" w:rsidRDefault="00876F56" w:rsidP="00B04033">
      <w:pPr>
        <w:pStyle w:val="ListParagraph"/>
        <w:numPr>
          <w:ilvl w:val="0"/>
          <w:numId w:val="8"/>
        </w:numPr>
        <w:ind w:left="426"/>
        <w:jc w:val="both"/>
        <w:rPr>
          <w:rFonts w:ascii="Avenir Next" w:hAnsi="Avenir Next" w:cs="Arial"/>
          <w:sz w:val="22"/>
          <w:szCs w:val="22"/>
          <w:highlight w:val="yellow"/>
          <w:lang w:val="en-GB"/>
        </w:rPr>
      </w:pPr>
      <w:r w:rsidRPr="00D71654">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D71654" w:rsidRDefault="00E833F4" w:rsidP="00B04033">
      <w:pPr>
        <w:pStyle w:val="ListParagraph"/>
        <w:numPr>
          <w:ilvl w:val="0"/>
          <w:numId w:val="9"/>
        </w:numPr>
        <w:ind w:left="426"/>
        <w:jc w:val="both"/>
        <w:rPr>
          <w:rFonts w:ascii="Avenir Next" w:hAnsi="Avenir Next" w:cs="Arial"/>
          <w:sz w:val="22"/>
          <w:szCs w:val="22"/>
          <w:highlight w:val="yellow"/>
          <w:lang w:val="en-GB"/>
        </w:rPr>
      </w:pPr>
      <w:r w:rsidRPr="00D71654">
        <w:rPr>
          <w:rFonts w:ascii="Avenir Next" w:hAnsi="Avenir Next" w:cs="Arial"/>
          <w:sz w:val="22"/>
          <w:szCs w:val="22"/>
          <w:highlight w:val="yellow"/>
          <w:lang w:val="en-GB"/>
        </w:rPr>
        <w:t>A</w:t>
      </w:r>
      <w:r w:rsidR="000D10C6" w:rsidRPr="00D71654">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021AEB" w:rsidRDefault="0020204E" w:rsidP="00B04033">
      <w:pPr>
        <w:pStyle w:val="ListParagraph"/>
        <w:numPr>
          <w:ilvl w:val="0"/>
          <w:numId w:val="10"/>
        </w:numPr>
        <w:ind w:left="426"/>
        <w:jc w:val="both"/>
        <w:rPr>
          <w:rFonts w:ascii="Avenir Next" w:hAnsi="Avenir Next" w:cs="Arial"/>
          <w:sz w:val="22"/>
          <w:szCs w:val="22"/>
          <w:highlight w:val="yellow"/>
          <w:lang w:val="en-GB"/>
        </w:rPr>
      </w:pPr>
      <w:r w:rsidRPr="00021AEB">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4EFDDBCA" w:rsidR="00AE5B6F" w:rsidRDefault="00566DCB"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action under section 423 of the Insolvency Act of 1986 may be brought by (a) the insolvency professional of a related winding up or administration, such as the official receiver, administrator, or liquidator, (b) the victim of the transaction designed to defraud creditors, such as a creditor themselves, if such victim obtains leave of court, (c) similarly, where a company voluntary arrangement is in place, either the victim or supervisor of the CVA may bring such an action, and (d) in any case, regardless of whether the company is in a winding up procedure, administration, or is subject to a CVA, the victim of the transaction may bring such an action. </w:t>
      </w:r>
      <w:r>
        <w:rPr>
          <w:rFonts w:ascii="Avenir Next" w:hAnsi="Avenir Next" w:cs="Arial"/>
          <w:color w:val="808080" w:themeColor="background1" w:themeShade="80"/>
          <w:sz w:val="22"/>
          <w:szCs w:val="22"/>
          <w:lang w:val="en-GB"/>
        </w:rPr>
        <w:br/>
      </w:r>
    </w:p>
    <w:p w14:paraId="7BE5ABF8" w14:textId="0C65C1A9" w:rsidR="00566DCB" w:rsidRDefault="00A1689F"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application to disqualify a </w:t>
      </w:r>
      <w:r w:rsidR="00F2674E">
        <w:rPr>
          <w:rFonts w:ascii="Avenir Next" w:hAnsi="Avenir Next" w:cs="Arial"/>
          <w:color w:val="808080" w:themeColor="background1" w:themeShade="80"/>
          <w:sz w:val="22"/>
          <w:szCs w:val="22"/>
          <w:lang w:val="en-GB"/>
        </w:rPr>
        <w:t>director</w:t>
      </w:r>
      <w:r>
        <w:rPr>
          <w:rFonts w:ascii="Avenir Next" w:hAnsi="Avenir Next" w:cs="Arial"/>
          <w:color w:val="808080" w:themeColor="background1" w:themeShade="80"/>
          <w:sz w:val="22"/>
          <w:szCs w:val="22"/>
          <w:lang w:val="en-GB"/>
        </w:rPr>
        <w:t xml:space="preserve"> under Section 6 of the Company Directors Disqualification Act may be brought by the Secretary of State, an official insolvency professional, or by a member of the creditors committee. </w:t>
      </w:r>
      <w:r w:rsidR="00F2674E">
        <w:rPr>
          <w:rFonts w:ascii="Avenir Next" w:hAnsi="Avenir Next" w:cs="Arial"/>
          <w:color w:val="808080" w:themeColor="background1" w:themeShade="80"/>
          <w:sz w:val="22"/>
          <w:szCs w:val="22"/>
          <w:lang w:val="en-GB"/>
        </w:rPr>
        <w:t xml:space="preserve">Hogan Lovells, “No company? No problem: disqualification of unfit directors possible despite company dissolution” </w:t>
      </w:r>
      <w:hyperlink r:id="rId12" w:history="1">
        <w:r w:rsidR="00F2674E" w:rsidRPr="009B3ED4">
          <w:rPr>
            <w:rStyle w:val="Hyperlink"/>
            <w:rFonts w:ascii="Avenir Next" w:hAnsi="Avenir Next" w:cs="Arial"/>
            <w:sz w:val="22"/>
            <w:szCs w:val="22"/>
            <w:lang w:val="en-GB"/>
          </w:rPr>
          <w:t>https://www.jdsupra.com/legalnews/no-company-no-problem-disqualification-1479783/</w:t>
        </w:r>
      </w:hyperlink>
      <w:r w:rsidR="00F2674E">
        <w:rPr>
          <w:rFonts w:ascii="Avenir Next" w:hAnsi="Avenir Next" w:cs="Arial"/>
          <w:color w:val="808080" w:themeColor="background1" w:themeShade="80"/>
          <w:sz w:val="22"/>
          <w:szCs w:val="22"/>
          <w:lang w:val="en-GB"/>
        </w:rPr>
        <w:t xml:space="preserve"> (Accessed 25, February 2023). Whether the application is undertaken by the Court or by the Secretary of State, the disqualifying effect is the same. The Insolvency Service, “Company Directors Disqualification Act 1986 and failed companies” </w:t>
      </w:r>
      <w:hyperlink r:id="rId13" w:history="1">
        <w:r w:rsidR="00F2674E" w:rsidRPr="009B3ED4">
          <w:rPr>
            <w:rStyle w:val="Hyperlink"/>
            <w:rFonts w:ascii="Avenir Next" w:hAnsi="Avenir Next" w:cs="Arial"/>
            <w:sz w:val="22"/>
            <w:szCs w:val="22"/>
            <w:lang w:val="en-GB"/>
          </w:rPr>
          <w:t>https://www.gov.uk/government/publications/company-directors-disqualification-act-1986-and-failed-companies/company-directors-disqualification-act-1986-and-failed-companies</w:t>
        </w:r>
      </w:hyperlink>
      <w:r w:rsidR="00F2674E">
        <w:rPr>
          <w:rFonts w:ascii="Avenir Next" w:hAnsi="Avenir Next" w:cs="Arial"/>
          <w:color w:val="808080" w:themeColor="background1" w:themeShade="80"/>
          <w:sz w:val="22"/>
          <w:szCs w:val="22"/>
          <w:lang w:val="en-GB"/>
        </w:rPr>
        <w:t xml:space="preserve"> (Accessed 25, February 2023). </w:t>
      </w:r>
    </w:p>
    <w:p w14:paraId="4CF30C97" w14:textId="2336D067" w:rsidR="00F2674E" w:rsidRDefault="00F2674E" w:rsidP="006624AB">
      <w:pPr>
        <w:jc w:val="both"/>
        <w:rPr>
          <w:rFonts w:ascii="Avenir Next" w:hAnsi="Avenir Next" w:cs="Arial"/>
          <w:color w:val="808080" w:themeColor="background1" w:themeShade="80"/>
          <w:sz w:val="22"/>
          <w:szCs w:val="22"/>
          <w:lang w:val="en-GB"/>
        </w:rPr>
      </w:pPr>
    </w:p>
    <w:p w14:paraId="08E5C734" w14:textId="3E9B82A8" w:rsidR="00F2674E" w:rsidRPr="00212001" w:rsidRDefault="00F2674E"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action under </w:t>
      </w:r>
      <w:r w:rsidRPr="00F2674E">
        <w:rPr>
          <w:rFonts w:ascii="Avenir Next" w:hAnsi="Avenir Next" w:cs="Arial"/>
          <w:color w:val="808080" w:themeColor="background1" w:themeShade="80"/>
          <w:sz w:val="22"/>
          <w:szCs w:val="22"/>
          <w:lang w:val="en-GB"/>
        </w:rPr>
        <w:t>section 246ZB of the Insolvency Act 1986</w:t>
      </w:r>
      <w:r>
        <w:rPr>
          <w:rFonts w:ascii="Avenir Next" w:hAnsi="Avenir Next" w:cs="Arial"/>
          <w:color w:val="808080" w:themeColor="background1" w:themeShade="80"/>
          <w:sz w:val="22"/>
          <w:szCs w:val="22"/>
          <w:lang w:val="en-GB"/>
        </w:rPr>
        <w:t xml:space="preserve"> may be brought by a liquidator or administrator to allow such insolvency professionals to pursue directors o</w:t>
      </w:r>
      <w:r w:rsidR="002A4734">
        <w:rPr>
          <w:rFonts w:ascii="Avenir Next" w:hAnsi="Avenir Next" w:cs="Arial"/>
          <w:color w:val="808080" w:themeColor="background1" w:themeShade="80"/>
          <w:sz w:val="22"/>
          <w:szCs w:val="22"/>
          <w:lang w:val="en-GB"/>
        </w:rPr>
        <w:t>f</w:t>
      </w:r>
      <w:r>
        <w:rPr>
          <w:rFonts w:ascii="Avenir Next" w:hAnsi="Avenir Next" w:cs="Arial"/>
          <w:color w:val="808080" w:themeColor="background1" w:themeShade="80"/>
          <w:sz w:val="22"/>
          <w:szCs w:val="22"/>
          <w:lang w:val="en-GB"/>
        </w:rPr>
        <w:t xml:space="preserve"> insolvent companies for wrongful trading. </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D745CDB" w14:textId="49368F07" w:rsidR="00EA3B38" w:rsidRDefault="003C4078" w:rsidP="003C4078">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Renumeration and expenses of the monitor </w:t>
      </w:r>
    </w:p>
    <w:p w14:paraId="4D19DD6D" w14:textId="41DD60A1" w:rsidR="003C4078" w:rsidRDefault="003C4078" w:rsidP="003C4078">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Goods or services purchased or supplied during the moratorium (but not before)</w:t>
      </w:r>
    </w:p>
    <w:p w14:paraId="64D0C532" w14:textId="327C8D27" w:rsidR="003C4078" w:rsidRDefault="008E1FA0" w:rsidP="003C4078">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Rent payments due for the period during the moratorium (but not before)</w:t>
      </w:r>
    </w:p>
    <w:p w14:paraId="6F3FCE4F" w14:textId="3E4B749A" w:rsidR="008E1FA0" w:rsidRDefault="008E1FA0" w:rsidP="003C4078">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Employees’ wages and salary</w:t>
      </w:r>
    </w:p>
    <w:p w14:paraId="6FC4FD2D" w14:textId="4BEBAE76" w:rsidR="008E1FA0" w:rsidRPr="003C4078" w:rsidRDefault="008E1FA0" w:rsidP="003C4078">
      <w:pPr>
        <w:pStyle w:val="ListParagraph"/>
        <w:numPr>
          <w:ilvl w:val="0"/>
          <w:numId w:val="1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Debts or liabilities incurred by reason of a contract for financial services </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6FE77AE6" w:rsidR="00EA3B38" w:rsidRDefault="00EF4FE7"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Yes, in most instances an administrator may compel a supplier of goods or services to continue supplying under Section 223, 233A, and/or 233B. </w:t>
      </w:r>
    </w:p>
    <w:p w14:paraId="1E62C09E" w14:textId="4D843900" w:rsidR="00EC6834" w:rsidRDefault="00EC6834" w:rsidP="00EA3B38">
      <w:pPr>
        <w:jc w:val="both"/>
        <w:rPr>
          <w:rFonts w:ascii="Avenir Next" w:hAnsi="Avenir Next" w:cs="Arial"/>
          <w:color w:val="808080" w:themeColor="background1" w:themeShade="80"/>
          <w:sz w:val="22"/>
          <w:szCs w:val="22"/>
        </w:rPr>
      </w:pPr>
    </w:p>
    <w:p w14:paraId="45507675" w14:textId="275D4494" w:rsidR="00EC6834" w:rsidRDefault="00EC683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Under section 233, which applies to utility suppliers like gas and water services, such suppliers are prevented from requiring payment for pre-administration debts in order to continue utility service. An administrator can compel such suppliers to continue performing, but the suppliers can also stipulate to the administrator’s personal guaranty of post-</w:t>
      </w:r>
      <w:r w:rsidR="002A4734">
        <w:rPr>
          <w:rFonts w:ascii="Avenir Next" w:hAnsi="Avenir Next" w:cs="Arial"/>
          <w:color w:val="808080" w:themeColor="background1" w:themeShade="80"/>
          <w:sz w:val="22"/>
          <w:szCs w:val="22"/>
        </w:rPr>
        <w:t>petition</w:t>
      </w:r>
      <w:r>
        <w:rPr>
          <w:rFonts w:ascii="Avenir Next" w:hAnsi="Avenir Next" w:cs="Arial"/>
          <w:color w:val="808080" w:themeColor="background1" w:themeShade="80"/>
          <w:sz w:val="22"/>
          <w:szCs w:val="22"/>
        </w:rPr>
        <w:t xml:space="preserve"> payments. Section 233A prevents a supplier from terminating the contract on account of an insolvency-related </w:t>
      </w:r>
      <w:r w:rsidR="002A4734">
        <w:rPr>
          <w:rFonts w:ascii="Avenir Next" w:hAnsi="Avenir Next" w:cs="Arial"/>
          <w:color w:val="808080" w:themeColor="background1" w:themeShade="80"/>
          <w:sz w:val="22"/>
          <w:szCs w:val="22"/>
        </w:rPr>
        <w:t xml:space="preserve">contract </w:t>
      </w:r>
      <w:r>
        <w:rPr>
          <w:rFonts w:ascii="Avenir Next" w:hAnsi="Avenir Next" w:cs="Arial"/>
          <w:color w:val="808080" w:themeColor="background1" w:themeShade="80"/>
          <w:sz w:val="22"/>
          <w:szCs w:val="22"/>
        </w:rPr>
        <w:t xml:space="preserve">provision or from altering the terms of the contract, such as demanding additional payment. </w:t>
      </w:r>
    </w:p>
    <w:p w14:paraId="027728D3" w14:textId="3065C7D9" w:rsidR="00EC6834" w:rsidRDefault="00EC6834" w:rsidP="00EA3B38">
      <w:pPr>
        <w:jc w:val="both"/>
        <w:rPr>
          <w:rFonts w:ascii="Avenir Next" w:hAnsi="Avenir Next" w:cs="Arial"/>
          <w:color w:val="808080" w:themeColor="background1" w:themeShade="80"/>
          <w:sz w:val="22"/>
          <w:szCs w:val="22"/>
        </w:rPr>
      </w:pPr>
    </w:p>
    <w:p w14:paraId="4BB09538" w14:textId="610343C4" w:rsidR="00EC6834" w:rsidRDefault="005E712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233B has gone further and prevents a supplier of any goods or services from doing anything on account of the insolvency once the company enters</w:t>
      </w:r>
      <w:r w:rsidR="002A4734">
        <w:rPr>
          <w:rFonts w:ascii="Avenir Next" w:hAnsi="Avenir Next" w:cs="Arial"/>
          <w:color w:val="808080" w:themeColor="background1" w:themeShade="80"/>
          <w:sz w:val="22"/>
          <w:szCs w:val="22"/>
        </w:rPr>
        <w:t xml:space="preserve"> into</w:t>
      </w:r>
      <w:r>
        <w:rPr>
          <w:rFonts w:ascii="Avenir Next" w:hAnsi="Avenir Next" w:cs="Arial"/>
          <w:color w:val="808080" w:themeColor="background1" w:themeShade="80"/>
          <w:sz w:val="22"/>
          <w:szCs w:val="22"/>
        </w:rPr>
        <w:t xml:space="preserve"> an insolvency procedure. Unlike suppliers of utility services, suppliers under 233B cannot require a personal guaranty of the administrator. Certain types of suppliers are exempt from these restrictions, such as insurers and banks. </w:t>
      </w:r>
    </w:p>
    <w:p w14:paraId="75DA34EB" w14:textId="4F2D1188" w:rsidR="005E712D" w:rsidRDefault="005E712D" w:rsidP="00EA3B38">
      <w:pPr>
        <w:jc w:val="both"/>
        <w:rPr>
          <w:rFonts w:ascii="Avenir Next" w:hAnsi="Avenir Next" w:cs="Arial"/>
          <w:color w:val="808080" w:themeColor="background1" w:themeShade="80"/>
          <w:sz w:val="22"/>
          <w:szCs w:val="22"/>
        </w:rPr>
      </w:pPr>
    </w:p>
    <w:p w14:paraId="0F06797B" w14:textId="554BA59F" w:rsidR="005E712D" w:rsidRPr="00B84055" w:rsidRDefault="005E712D"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Because of the strength of section</w:t>
      </w:r>
      <w:r w:rsidR="002A4734">
        <w:rPr>
          <w:rFonts w:ascii="Avenir Next" w:hAnsi="Avenir Next" w:cs="Arial"/>
          <w:color w:val="808080" w:themeColor="background1" w:themeShade="80"/>
          <w:sz w:val="22"/>
          <w:szCs w:val="22"/>
        </w:rPr>
        <w:t>s</w:t>
      </w:r>
      <w:r>
        <w:rPr>
          <w:rFonts w:ascii="Avenir Next" w:hAnsi="Avenir Next" w:cs="Arial"/>
          <w:color w:val="808080" w:themeColor="background1" w:themeShade="80"/>
          <w:sz w:val="22"/>
          <w:szCs w:val="22"/>
        </w:rPr>
        <w:t xml:space="preserve"> 233, 233A, and 233B, an administrator has great power to generally require continued performance of suppliers under executory contracts. </w:t>
      </w:r>
    </w:p>
    <w:p w14:paraId="6232F134" w14:textId="3EFA185F" w:rsidR="005E712D" w:rsidRPr="006925C1" w:rsidRDefault="005E712D"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3DAA6780" w14:textId="4E362899" w:rsidR="00962045" w:rsidRDefault="00F3506D" w:rsidP="002A37B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Section 115 of the Act, certain expenses associated with administering the liquidation are paid first and in higher priority than even preferential creditors or floating charge holders. Such expenses include those which the liquidator incurs in preserving the company’s assets, the renumeration of the liquidator or person employed by the liquidator to perform services for the company – including the professional who assists in preparing the statement of affairs, the costs of security provided by the liquidator, and taxes incurred in realizing the company’s assets. </w:t>
      </w:r>
    </w:p>
    <w:p w14:paraId="0EC04AEE" w14:textId="02073BAB" w:rsidR="00F3506D" w:rsidRDefault="00F3506D" w:rsidP="002A37BB">
      <w:pPr>
        <w:jc w:val="both"/>
        <w:rPr>
          <w:rFonts w:ascii="Avenir Next" w:hAnsi="Avenir Next" w:cs="Arial"/>
          <w:color w:val="808080" w:themeColor="background1" w:themeShade="80"/>
          <w:sz w:val="22"/>
          <w:szCs w:val="22"/>
        </w:rPr>
      </w:pPr>
    </w:p>
    <w:p w14:paraId="6A88D33B" w14:textId="521DA26C" w:rsidR="00F3506D" w:rsidRDefault="00F3506D" w:rsidP="002A37B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Next, preferential creditors would receive payment. Preferential creditors are defined in Section 386 and 387. Preferential creditors are categorized as either ordinary or secondary and are paid in that order. Ordinary preferential debts include amounts owed under pension or similar employee contribution schemes (subject to timing restrictions), certain amounts due as renumeration to employees – including holiday renumeration, amounts advanced by lenders to pay such employee wages or holiday renumeration, </w:t>
      </w:r>
      <w:r w:rsidR="00127CE1">
        <w:rPr>
          <w:rFonts w:ascii="Avenir Next" w:hAnsi="Avenir Next" w:cs="Arial"/>
          <w:color w:val="808080" w:themeColor="background1" w:themeShade="80"/>
          <w:sz w:val="22"/>
          <w:szCs w:val="22"/>
        </w:rPr>
        <w:t xml:space="preserve">levies associated with coal and steel production, and claims under the </w:t>
      </w:r>
      <w:r w:rsidR="00127CE1">
        <w:rPr>
          <w:rFonts w:ascii="Avenir Next" w:hAnsi="Avenir Next" w:cs="Arial"/>
          <w:color w:val="808080" w:themeColor="background1" w:themeShade="80"/>
          <w:sz w:val="22"/>
          <w:szCs w:val="22"/>
        </w:rPr>
        <w:lastRenderedPageBreak/>
        <w:t>Reserve Forces Act. Some secondary preferential debts include certain payments for eligible deposits and certain debts owed to the taxation authority.</w:t>
      </w:r>
    </w:p>
    <w:p w14:paraId="2C04F936" w14:textId="55D963E8" w:rsidR="00127CE1" w:rsidRDefault="00127CE1" w:rsidP="002A37BB">
      <w:pPr>
        <w:jc w:val="both"/>
        <w:rPr>
          <w:rFonts w:ascii="Avenir Next" w:hAnsi="Avenir Next" w:cs="Arial"/>
          <w:color w:val="808080" w:themeColor="background1" w:themeShade="80"/>
          <w:sz w:val="22"/>
          <w:szCs w:val="22"/>
        </w:rPr>
      </w:pPr>
    </w:p>
    <w:p w14:paraId="0FDAAC93" w14:textId="4A91E37D" w:rsidR="00127CE1" w:rsidRDefault="00127CE1" w:rsidP="002A37B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Next, floating charge holders are paid, subject to the withholding due to the “prescribed part” which is reserved and made available to unsecured creditors</w:t>
      </w:r>
      <w:r w:rsidR="002A4734">
        <w:rPr>
          <w:rFonts w:ascii="Avenir Next" w:hAnsi="Avenir Next" w:cs="Arial"/>
          <w:color w:val="808080" w:themeColor="background1" w:themeShade="80"/>
          <w:sz w:val="22"/>
          <w:szCs w:val="22"/>
        </w:rPr>
        <w:t>, the amount of which depends on the value of the estate</w:t>
      </w:r>
      <w:r>
        <w:rPr>
          <w:rFonts w:ascii="Avenir Next" w:hAnsi="Avenir Next" w:cs="Arial"/>
          <w:color w:val="808080" w:themeColor="background1" w:themeShade="80"/>
          <w:sz w:val="22"/>
          <w:szCs w:val="22"/>
        </w:rPr>
        <w:t xml:space="preserve">. Unsecured creditors are paid next, but often receive very little. Finally, shareholders are entitled to the remainder. </w:t>
      </w:r>
    </w:p>
    <w:p w14:paraId="7868175F" w14:textId="4C558ECC" w:rsidR="00127CE1" w:rsidRDefault="00127CE1" w:rsidP="002A37BB">
      <w:pPr>
        <w:jc w:val="both"/>
        <w:rPr>
          <w:rFonts w:ascii="Avenir Next" w:hAnsi="Avenir Next" w:cs="Arial"/>
          <w:color w:val="808080" w:themeColor="background1" w:themeShade="80"/>
          <w:sz w:val="22"/>
          <w:szCs w:val="22"/>
        </w:rPr>
      </w:pPr>
    </w:p>
    <w:p w14:paraId="0954088C" w14:textId="2FB07F84" w:rsidR="00127CE1" w:rsidRDefault="00127CE1" w:rsidP="002A37B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 company had been subject to a Moratorium during the 12 week period prior to the commencement of the liquidation,  certain creditors would receive a “super priority” for the payment of their debt pursuant to Section 174A. This section allows certain </w:t>
      </w:r>
      <w:r w:rsidR="00AC7595">
        <w:rPr>
          <w:rFonts w:ascii="Avenir Next" w:hAnsi="Avenir Next" w:cs="Arial"/>
          <w:color w:val="808080" w:themeColor="background1" w:themeShade="80"/>
          <w:sz w:val="22"/>
          <w:szCs w:val="22"/>
        </w:rPr>
        <w:t xml:space="preserve">pre-moratorium or moratorium debts to jump the line and be paid before even the liquidator’s fees and expenses, ensuring creditors who were prevented from acting or required to continue servicing the company </w:t>
      </w:r>
      <w:r w:rsidR="007E36F2">
        <w:rPr>
          <w:rFonts w:ascii="Avenir Next" w:hAnsi="Avenir Next" w:cs="Arial"/>
          <w:color w:val="808080" w:themeColor="background1" w:themeShade="80"/>
          <w:sz w:val="22"/>
          <w:szCs w:val="22"/>
        </w:rPr>
        <w:t xml:space="preserve">during the moratorium </w:t>
      </w:r>
      <w:r w:rsidR="00AC7595">
        <w:rPr>
          <w:rFonts w:ascii="Avenir Next" w:hAnsi="Avenir Next" w:cs="Arial"/>
          <w:color w:val="808080" w:themeColor="background1" w:themeShade="80"/>
          <w:sz w:val="22"/>
          <w:szCs w:val="22"/>
        </w:rPr>
        <w:t xml:space="preserve">are not made worse off. </w:t>
      </w:r>
    </w:p>
    <w:p w14:paraId="2BA0635E" w14:textId="77777777" w:rsidR="005E712D" w:rsidRPr="006925C1" w:rsidRDefault="005E712D"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4C366AC" w14:textId="79679B77" w:rsidR="007E2919" w:rsidRDefault="00083B0A" w:rsidP="00083B0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Fretus Bank plc was presumably an unsecured creditor on account of unsecured loans extended to the Company prior to the February 2022 transaction in which Fretus took a floating charge over the entire undertaking of the Company. Pursuant to Section 245, it is highly likely that the floating charge can be avoided and Fretus will once again be reduced to an unsecured creditor</w:t>
      </w:r>
    </w:p>
    <w:p w14:paraId="74CBFA49" w14:textId="77777777" w:rsidR="00083B0A" w:rsidRDefault="00083B0A" w:rsidP="00083B0A">
      <w:pPr>
        <w:jc w:val="both"/>
        <w:rPr>
          <w:rFonts w:ascii="Avenir Next" w:hAnsi="Avenir Next" w:cs="Arial"/>
          <w:color w:val="808080" w:themeColor="background1" w:themeShade="80"/>
          <w:sz w:val="22"/>
          <w:szCs w:val="22"/>
        </w:rPr>
      </w:pPr>
    </w:p>
    <w:p w14:paraId="16C42BEE" w14:textId="2142813D" w:rsidR="00083B0A" w:rsidRDefault="00083B0A" w:rsidP="00083B0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Pursuant to Section 245, a floating change created in favor of someone unconnected to the company within 12 months prior to the onset of insolvency may be subject to avoidance. This is true when the company was either unable to pay its debts or became unable to do so as a consequence of the transaction. Because the Company was under pressure from Fretus to repay its loans, we can assume that the Company was unable to pay its debts at the time and therefore Fretus’ floating charge is likely avoidable. </w:t>
      </w:r>
    </w:p>
    <w:p w14:paraId="0F64BFBB" w14:textId="271C0FC0" w:rsidR="00083B0A" w:rsidRDefault="00083B0A" w:rsidP="00083B0A">
      <w:pPr>
        <w:jc w:val="both"/>
        <w:rPr>
          <w:rFonts w:ascii="Avenir Next" w:hAnsi="Avenir Next" w:cs="Arial"/>
          <w:color w:val="808080" w:themeColor="background1" w:themeShade="80"/>
          <w:sz w:val="22"/>
          <w:szCs w:val="22"/>
        </w:rPr>
      </w:pPr>
    </w:p>
    <w:p w14:paraId="7A94EFAB" w14:textId="3F77D11E" w:rsidR="00083B0A" w:rsidRDefault="00083B0A" w:rsidP="00083B0A">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unlikely that Fretus’ floating charge falls within the two exceptions to Section 245. Based on the above, Fretus did not extend new funds </w:t>
      </w:r>
      <w:r w:rsidR="007878BB">
        <w:rPr>
          <w:rFonts w:ascii="Avenir Next" w:hAnsi="Avenir Next" w:cs="Arial"/>
          <w:color w:val="808080" w:themeColor="background1" w:themeShade="80"/>
          <w:sz w:val="22"/>
          <w:szCs w:val="22"/>
        </w:rPr>
        <w:t>at</w:t>
      </w:r>
      <w:r>
        <w:rPr>
          <w:rFonts w:ascii="Avenir Next" w:hAnsi="Avenir Next" w:cs="Arial"/>
          <w:color w:val="808080" w:themeColor="background1" w:themeShade="80"/>
          <w:sz w:val="22"/>
          <w:szCs w:val="22"/>
        </w:rPr>
        <w:t xml:space="preserve"> the time it took the floating charge, nor did it reduce the outstanding balance on account of the additional security of the charge. Because of this, it is highly likely that the floating charge will be rendered invalid. While the underlying debt remains valid, Fretus will be reduced to an unsecured creditor. </w:t>
      </w:r>
    </w:p>
    <w:p w14:paraId="34BDFAFD" w14:textId="77777777" w:rsidR="00083B0A" w:rsidRPr="00083B0A" w:rsidRDefault="00083B0A" w:rsidP="00083B0A">
      <w:pPr>
        <w:jc w:val="both"/>
        <w:rPr>
          <w:rFonts w:ascii="Avenir Next" w:hAnsi="Avenir Next" w:cs="Arial"/>
          <w:color w:val="808080" w:themeColor="background1" w:themeShade="80"/>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36B3844F" w:rsidR="00EA3B38" w:rsidRDefault="006E62B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It is likely that a Court would consider the sale of the marble cutting machines to director Rita Perkins for less than half of what the company paid for them just one year ago to be an undervalue transaction. As a result, the Court may enter an order restoring the Company’s position to what it would have been without the transaction. </w:t>
      </w:r>
    </w:p>
    <w:p w14:paraId="1FE7AE22" w14:textId="16100341" w:rsidR="006E62B5" w:rsidRDefault="006E62B5" w:rsidP="00EA3B38">
      <w:pPr>
        <w:jc w:val="both"/>
        <w:rPr>
          <w:rFonts w:ascii="Avenir Next" w:hAnsi="Avenir Next" w:cs="Arial"/>
          <w:color w:val="808080" w:themeColor="background1" w:themeShade="80"/>
          <w:sz w:val="22"/>
          <w:szCs w:val="22"/>
        </w:rPr>
      </w:pPr>
    </w:p>
    <w:p w14:paraId="7F59913A" w14:textId="36EA6722" w:rsidR="006E62B5" w:rsidRDefault="006E62B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Under Section 238, gifts, transactions without consideration, and transactions with undervalue consideration may be attacked. The look</w:t>
      </w:r>
      <w:r w:rsidR="007878BB">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back period is two years prior to the commencement of the liquidation. It must be shown that the company was unable to pay its debts at the time of the transaction or became unable to do so as a result of the transaction. However, if the transaction involves a connected person, the company is presumed insolvent. Here, the transaction involving the marble cutting machines was a mere couple of months before the liquidation order, and thus falls within the relevant time period. Additionally, the sale of the </w:t>
      </w:r>
      <w:r w:rsidR="007878BB">
        <w:rPr>
          <w:rFonts w:ascii="Avenir Next" w:hAnsi="Avenir Next" w:cs="Arial"/>
          <w:color w:val="808080" w:themeColor="background1" w:themeShade="80"/>
          <w:sz w:val="22"/>
          <w:szCs w:val="22"/>
        </w:rPr>
        <w:t>one-year-old</w:t>
      </w:r>
      <w:r>
        <w:rPr>
          <w:rFonts w:ascii="Avenir Next" w:hAnsi="Avenir Next" w:cs="Arial"/>
          <w:color w:val="808080" w:themeColor="background1" w:themeShade="80"/>
          <w:sz w:val="22"/>
          <w:szCs w:val="22"/>
        </w:rPr>
        <w:t xml:space="preserve"> marble machines for less than 50% of their purchase price was likely an undervalue transaction. Finally, because Rita is a connected person, the company is presumed to be insolvent when </w:t>
      </w:r>
      <w:r w:rsidR="007878BB">
        <w:rPr>
          <w:rFonts w:ascii="Avenir Next" w:hAnsi="Avenir Next" w:cs="Arial"/>
          <w:color w:val="808080" w:themeColor="background1" w:themeShade="80"/>
          <w:sz w:val="22"/>
          <w:szCs w:val="22"/>
        </w:rPr>
        <w:t>the</w:t>
      </w:r>
      <w:r>
        <w:rPr>
          <w:rFonts w:ascii="Avenir Next" w:hAnsi="Avenir Next" w:cs="Arial"/>
          <w:color w:val="808080" w:themeColor="background1" w:themeShade="80"/>
          <w:sz w:val="22"/>
          <w:szCs w:val="22"/>
        </w:rPr>
        <w:t xml:space="preserve"> transaction was made. For these reasons, it is highly likely that the transaction will be attacked and unwound. </w:t>
      </w:r>
    </w:p>
    <w:p w14:paraId="5E543E5F" w14:textId="60E998E7" w:rsidR="006E62B5" w:rsidRDefault="006E62B5" w:rsidP="00EA3B38">
      <w:pPr>
        <w:jc w:val="both"/>
        <w:rPr>
          <w:rFonts w:ascii="Avenir Next" w:hAnsi="Avenir Next" w:cs="Arial"/>
          <w:color w:val="808080" w:themeColor="background1" w:themeShade="80"/>
          <w:sz w:val="22"/>
          <w:szCs w:val="22"/>
        </w:rPr>
      </w:pPr>
    </w:p>
    <w:p w14:paraId="7C9BC050" w14:textId="0E101083" w:rsidR="006E62B5" w:rsidRPr="00B84055" w:rsidRDefault="006E62B5"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only saving grace for Rita would be if she can satisfy the Court that the transaction was in good faith and that there were reasonable grounds for the believing the transaction would benefit the company. Because Rita took necessary equipment for an undervalue price, a Court is unlikely to find in her favor. </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70C6A8B6" w14:textId="62EEF928" w:rsidR="00126A4D" w:rsidRDefault="002C4FA6" w:rsidP="002C4FA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payments to Hard and Fast ltd could likely be attacked as a preferential transaction under Sections 238 and 239. </w:t>
      </w:r>
    </w:p>
    <w:p w14:paraId="04D957A4" w14:textId="2103D578" w:rsidR="002C4FA6" w:rsidRDefault="002C4FA6" w:rsidP="002C4FA6">
      <w:pPr>
        <w:jc w:val="both"/>
        <w:rPr>
          <w:rFonts w:ascii="Avenir Next" w:hAnsi="Avenir Next" w:cs="Arial"/>
          <w:color w:val="808080" w:themeColor="background1" w:themeShade="80"/>
          <w:sz w:val="22"/>
          <w:szCs w:val="22"/>
        </w:rPr>
      </w:pPr>
    </w:p>
    <w:p w14:paraId="01A2E88D" w14:textId="2353EE07" w:rsidR="002C4FA6" w:rsidRDefault="002C4FA6" w:rsidP="002C4FA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first step in showing a preferential transaction is to show that the person who has been preferred was a creditor of the company at the time of the transaction. Hard and Fast was a creditor at the time of the </w:t>
      </w:r>
      <w:r w:rsidRPr="002C4FA6">
        <w:rPr>
          <w:rFonts w:ascii="Avenir Next" w:hAnsi="Avenir Next" w:cs="Arial"/>
          <w:color w:val="808080" w:themeColor="background1" w:themeShade="80"/>
          <w:sz w:val="22"/>
          <w:szCs w:val="22"/>
        </w:rPr>
        <w:t xml:space="preserve">GBP 8,000 </w:t>
      </w:r>
      <w:r>
        <w:rPr>
          <w:rFonts w:ascii="Avenir Next" w:hAnsi="Avenir Next" w:cs="Arial"/>
          <w:color w:val="808080" w:themeColor="background1" w:themeShade="80"/>
          <w:sz w:val="22"/>
          <w:szCs w:val="22"/>
        </w:rPr>
        <w:t xml:space="preserve">payment to cover existing liabilities. However, the payments made pursuant to the cash on delivery requirement are unlikely to be attacked because Hard and Fast would not have been a creditor at that time, but rather was making a contemporaneous exchange. </w:t>
      </w:r>
    </w:p>
    <w:p w14:paraId="65DF38A4" w14:textId="3F8CCAF6" w:rsidR="002C4FA6" w:rsidRDefault="002C4FA6" w:rsidP="002C4FA6">
      <w:pPr>
        <w:jc w:val="both"/>
        <w:rPr>
          <w:rFonts w:ascii="Avenir Next" w:hAnsi="Avenir Next" w:cs="Arial"/>
          <w:color w:val="808080" w:themeColor="background1" w:themeShade="80"/>
          <w:sz w:val="22"/>
          <w:szCs w:val="22"/>
        </w:rPr>
      </w:pPr>
    </w:p>
    <w:p w14:paraId="175321FA" w14:textId="481930A4" w:rsidR="002C4FA6" w:rsidRDefault="002C4FA6" w:rsidP="002C4FA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Next, it must be shown that the creditor was put in a better position with respect to the subsequent insolvency because of the transaction. Hard and Fast effectively reduced the unsecured debt owed to it by GBP 8,000, receiving a 100% dividend. Had the transaction not occurred, Hard and Fast would likely</w:t>
      </w:r>
      <w:r w:rsidR="007878BB">
        <w:rPr>
          <w:rFonts w:ascii="Avenir Next" w:hAnsi="Avenir Next" w:cs="Arial"/>
          <w:color w:val="808080" w:themeColor="background1" w:themeShade="80"/>
          <w:sz w:val="22"/>
          <w:szCs w:val="22"/>
        </w:rPr>
        <w:t xml:space="preserve"> have</w:t>
      </w:r>
      <w:r>
        <w:rPr>
          <w:rFonts w:ascii="Avenir Next" w:hAnsi="Avenir Next" w:cs="Arial"/>
          <w:color w:val="808080" w:themeColor="background1" w:themeShade="80"/>
          <w:sz w:val="22"/>
          <w:szCs w:val="22"/>
        </w:rPr>
        <w:t xml:space="preserve"> received a lesser dividend on those funds as an unsecured creditor. Therefore, Hard and Fast was preferred. </w:t>
      </w:r>
    </w:p>
    <w:p w14:paraId="425498E1" w14:textId="4279BCFD" w:rsidR="002C4FA6" w:rsidRDefault="002C4FA6" w:rsidP="002C4FA6">
      <w:pPr>
        <w:jc w:val="both"/>
        <w:rPr>
          <w:rFonts w:ascii="Avenir Next" w:hAnsi="Avenir Next" w:cs="Arial"/>
          <w:color w:val="808080" w:themeColor="background1" w:themeShade="80"/>
          <w:sz w:val="22"/>
          <w:szCs w:val="22"/>
        </w:rPr>
      </w:pPr>
    </w:p>
    <w:p w14:paraId="53541A2A" w14:textId="096BDD1F" w:rsidR="002C4FA6" w:rsidRDefault="002C4FA6" w:rsidP="002C4FA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Next, the transaction must occur during the relevant time. Here, because Hard and Fast is an unconnected person, the relevant time is 6 months prior to the onset of insolvency. Because this transaction occurred only one month after the creditors winding up petition and one month before the compulsory liquidation order, the transaction occurred within the relevant time. </w:t>
      </w:r>
    </w:p>
    <w:p w14:paraId="00F9026C" w14:textId="6BDE8B8D" w:rsidR="002C4FA6" w:rsidRDefault="002C4FA6" w:rsidP="002C4FA6">
      <w:pPr>
        <w:jc w:val="both"/>
        <w:rPr>
          <w:rFonts w:ascii="Avenir Next" w:hAnsi="Avenir Next" w:cs="Arial"/>
          <w:color w:val="808080" w:themeColor="background1" w:themeShade="80"/>
          <w:sz w:val="22"/>
          <w:szCs w:val="22"/>
        </w:rPr>
      </w:pPr>
    </w:p>
    <w:p w14:paraId="539C8168" w14:textId="54F37970" w:rsidR="002C4FA6" w:rsidRDefault="002C4FA6" w:rsidP="002C4FA6">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Finally, it </w:t>
      </w:r>
      <w:r w:rsidR="007878BB">
        <w:rPr>
          <w:rFonts w:ascii="Avenir Next" w:hAnsi="Avenir Next" w:cs="Arial"/>
          <w:color w:val="808080" w:themeColor="background1" w:themeShade="80"/>
          <w:sz w:val="22"/>
          <w:szCs w:val="22"/>
        </w:rPr>
        <w:t>must</w:t>
      </w:r>
      <w:r>
        <w:rPr>
          <w:rFonts w:ascii="Avenir Next" w:hAnsi="Avenir Next" w:cs="Arial"/>
          <w:color w:val="808080" w:themeColor="background1" w:themeShade="80"/>
          <w:sz w:val="22"/>
          <w:szCs w:val="22"/>
        </w:rPr>
        <w:t xml:space="preserve"> be proven that the company was influenced by desire to </w:t>
      </w:r>
      <w:r w:rsidR="00FB1A68">
        <w:rPr>
          <w:rFonts w:ascii="Avenir Next" w:hAnsi="Avenir Next" w:cs="Arial"/>
          <w:color w:val="808080" w:themeColor="background1" w:themeShade="80"/>
          <w:sz w:val="22"/>
          <w:szCs w:val="22"/>
        </w:rPr>
        <w:t xml:space="preserve">prefer Hard and Fast in entering into the transaction. Because Hard and Fast is an unconnected person, there is no presumption of desire to prefer them. In fact, an attack on the transaction may fail because it isn’t clear the company had a desire to prefer Hard and Fast, but rather was influenced by a desire to continue operation and continue contracting with Hard and Fast as a supplier. </w:t>
      </w: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82FF" w14:textId="77777777" w:rsidR="00C7429F" w:rsidRDefault="00C7429F" w:rsidP="00241B44">
      <w:r>
        <w:separator/>
      </w:r>
    </w:p>
  </w:endnote>
  <w:endnote w:type="continuationSeparator" w:id="0">
    <w:p w14:paraId="290B391B" w14:textId="77777777" w:rsidR="00C7429F" w:rsidRDefault="00C7429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36DE5C2" w:rsidR="00241FA3" w:rsidRPr="00A84235" w:rsidRDefault="00D71654" w:rsidP="009B4976">
    <w:pPr>
      <w:pStyle w:val="Footer"/>
      <w:ind w:right="360"/>
      <w:rPr>
        <w:rFonts w:ascii="Avenir Next" w:hAnsi="Avenir Next" w:cs="Arial"/>
        <w:sz w:val="22"/>
        <w:szCs w:val="22"/>
        <w:lang w:val="en-GB"/>
      </w:rPr>
    </w:pPr>
    <w:r>
      <w:rPr>
        <w:rFonts w:ascii="Avenir Next" w:hAnsi="Avenir Next" w:cs="Arial"/>
        <w:sz w:val="22"/>
        <w:szCs w:val="22"/>
        <w:lang w:val="en-GB"/>
      </w:rPr>
      <w:t>202223-948</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AE85" w14:textId="77777777" w:rsidR="00AC72AB" w:rsidRDefault="00AC7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D76E" w14:textId="77777777" w:rsidR="00C7429F" w:rsidRDefault="00C7429F" w:rsidP="00241B44">
      <w:r>
        <w:separator/>
      </w:r>
    </w:p>
  </w:footnote>
  <w:footnote w:type="continuationSeparator" w:id="0">
    <w:p w14:paraId="2C1A1836" w14:textId="77777777" w:rsidR="00C7429F" w:rsidRDefault="00C7429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9F92" w14:textId="77777777" w:rsidR="00AC72AB" w:rsidRDefault="00AC7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678D" w14:textId="77777777" w:rsidR="00AC72AB" w:rsidRDefault="00AC7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CA06" w14:textId="77777777" w:rsidR="00AC72AB" w:rsidRDefault="00AC7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8D87B93"/>
    <w:multiLevelType w:val="hybridMultilevel"/>
    <w:tmpl w:val="F392A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0"/>
  </w:num>
  <w:num w:numId="6">
    <w:abstractNumId w:val="2"/>
  </w:num>
  <w:num w:numId="7">
    <w:abstractNumId w:val="11"/>
  </w:num>
  <w:num w:numId="8">
    <w:abstractNumId w:val="16"/>
  </w:num>
  <w:num w:numId="9">
    <w:abstractNumId w:val="8"/>
  </w:num>
  <w:num w:numId="10">
    <w:abstractNumId w:val="17"/>
  </w:num>
  <w:num w:numId="11">
    <w:abstractNumId w:val="5"/>
  </w:num>
  <w:num w:numId="12">
    <w:abstractNumId w:val="14"/>
  </w:num>
  <w:num w:numId="13">
    <w:abstractNumId w:val="9"/>
  </w:num>
  <w:num w:numId="14">
    <w:abstractNumId w:val="4"/>
  </w:num>
  <w:num w:numId="15">
    <w:abstractNumId w:val="12"/>
  </w:num>
  <w:num w:numId="16">
    <w:abstractNumId w:val="15"/>
  </w:num>
  <w:num w:numId="17">
    <w:abstractNumId w:val="6"/>
  </w:num>
  <w:num w:numId="1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AEB"/>
    <w:rsid w:val="00021FC2"/>
    <w:rsid w:val="000250C7"/>
    <w:rsid w:val="00026F16"/>
    <w:rsid w:val="00037621"/>
    <w:rsid w:val="00044D46"/>
    <w:rsid w:val="00045088"/>
    <w:rsid w:val="00045904"/>
    <w:rsid w:val="000502FD"/>
    <w:rsid w:val="00065166"/>
    <w:rsid w:val="00082609"/>
    <w:rsid w:val="00083B0A"/>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6A4D"/>
    <w:rsid w:val="00127CE1"/>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D74CE"/>
    <w:rsid w:val="001E25B9"/>
    <w:rsid w:val="001E49E0"/>
    <w:rsid w:val="001E7B5A"/>
    <w:rsid w:val="001F3C98"/>
    <w:rsid w:val="001F7412"/>
    <w:rsid w:val="0020090A"/>
    <w:rsid w:val="0020204E"/>
    <w:rsid w:val="00202DFE"/>
    <w:rsid w:val="0020725B"/>
    <w:rsid w:val="002110F1"/>
    <w:rsid w:val="0021200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A4734"/>
    <w:rsid w:val="002B1C45"/>
    <w:rsid w:val="002C13C8"/>
    <w:rsid w:val="002C3547"/>
    <w:rsid w:val="002C46CB"/>
    <w:rsid w:val="002C4FA6"/>
    <w:rsid w:val="002D0021"/>
    <w:rsid w:val="002D299D"/>
    <w:rsid w:val="002D3473"/>
    <w:rsid w:val="002F1956"/>
    <w:rsid w:val="002F3440"/>
    <w:rsid w:val="002F75A3"/>
    <w:rsid w:val="002F77D6"/>
    <w:rsid w:val="00303C2F"/>
    <w:rsid w:val="00311816"/>
    <w:rsid w:val="003144EF"/>
    <w:rsid w:val="00314F32"/>
    <w:rsid w:val="00324BD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078"/>
    <w:rsid w:val="003C4471"/>
    <w:rsid w:val="003D0A6D"/>
    <w:rsid w:val="003E0B16"/>
    <w:rsid w:val="003E15A5"/>
    <w:rsid w:val="003E1BBF"/>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0242"/>
    <w:rsid w:val="0052263B"/>
    <w:rsid w:val="00524728"/>
    <w:rsid w:val="005331CA"/>
    <w:rsid w:val="00537970"/>
    <w:rsid w:val="00540E3A"/>
    <w:rsid w:val="00544127"/>
    <w:rsid w:val="005463A9"/>
    <w:rsid w:val="00553EB2"/>
    <w:rsid w:val="00560534"/>
    <w:rsid w:val="0056391B"/>
    <w:rsid w:val="005650E2"/>
    <w:rsid w:val="00566DCB"/>
    <w:rsid w:val="00567AD7"/>
    <w:rsid w:val="00575B2D"/>
    <w:rsid w:val="005833D0"/>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E712D"/>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7A1D"/>
    <w:rsid w:val="006925C1"/>
    <w:rsid w:val="00697EA1"/>
    <w:rsid w:val="006A2646"/>
    <w:rsid w:val="006A6530"/>
    <w:rsid w:val="006B435A"/>
    <w:rsid w:val="006B4C64"/>
    <w:rsid w:val="006D282B"/>
    <w:rsid w:val="006D6BD5"/>
    <w:rsid w:val="006E0D3B"/>
    <w:rsid w:val="006E481A"/>
    <w:rsid w:val="006E5298"/>
    <w:rsid w:val="006E62B5"/>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6D86"/>
    <w:rsid w:val="0076764D"/>
    <w:rsid w:val="0077498C"/>
    <w:rsid w:val="007809BC"/>
    <w:rsid w:val="00784128"/>
    <w:rsid w:val="007878BB"/>
    <w:rsid w:val="00787BCC"/>
    <w:rsid w:val="00793173"/>
    <w:rsid w:val="007A2A33"/>
    <w:rsid w:val="007A5171"/>
    <w:rsid w:val="007B5C89"/>
    <w:rsid w:val="007C1FCC"/>
    <w:rsid w:val="007C6201"/>
    <w:rsid w:val="007D7C92"/>
    <w:rsid w:val="007E1154"/>
    <w:rsid w:val="007E2919"/>
    <w:rsid w:val="007E36F2"/>
    <w:rsid w:val="007E46A8"/>
    <w:rsid w:val="007E6BA4"/>
    <w:rsid w:val="007F41F8"/>
    <w:rsid w:val="007F659B"/>
    <w:rsid w:val="0080441E"/>
    <w:rsid w:val="0080454E"/>
    <w:rsid w:val="00804C32"/>
    <w:rsid w:val="00806302"/>
    <w:rsid w:val="00807119"/>
    <w:rsid w:val="0082483F"/>
    <w:rsid w:val="008279C0"/>
    <w:rsid w:val="00867701"/>
    <w:rsid w:val="00871C74"/>
    <w:rsid w:val="008723F3"/>
    <w:rsid w:val="00876F56"/>
    <w:rsid w:val="00881DE6"/>
    <w:rsid w:val="008837A6"/>
    <w:rsid w:val="0089145D"/>
    <w:rsid w:val="00891690"/>
    <w:rsid w:val="008A4DF2"/>
    <w:rsid w:val="008A6CFE"/>
    <w:rsid w:val="008B5333"/>
    <w:rsid w:val="008B58D5"/>
    <w:rsid w:val="008B6223"/>
    <w:rsid w:val="008B72B8"/>
    <w:rsid w:val="008C66E0"/>
    <w:rsid w:val="008D1616"/>
    <w:rsid w:val="008E1FA0"/>
    <w:rsid w:val="008E3339"/>
    <w:rsid w:val="008F20FC"/>
    <w:rsid w:val="008F5FFE"/>
    <w:rsid w:val="00905A43"/>
    <w:rsid w:val="00912C79"/>
    <w:rsid w:val="00921B8C"/>
    <w:rsid w:val="00924DAF"/>
    <w:rsid w:val="00931D14"/>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1689F"/>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C72AB"/>
    <w:rsid w:val="00AC7595"/>
    <w:rsid w:val="00AD4BE8"/>
    <w:rsid w:val="00AE5B6F"/>
    <w:rsid w:val="00AF228E"/>
    <w:rsid w:val="00AF5148"/>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429F"/>
    <w:rsid w:val="00C7736C"/>
    <w:rsid w:val="00C82D87"/>
    <w:rsid w:val="00C8712A"/>
    <w:rsid w:val="00C902C8"/>
    <w:rsid w:val="00C91062"/>
    <w:rsid w:val="00C919D1"/>
    <w:rsid w:val="00C963D3"/>
    <w:rsid w:val="00CB1983"/>
    <w:rsid w:val="00CB2CBB"/>
    <w:rsid w:val="00CB491F"/>
    <w:rsid w:val="00CB7CAC"/>
    <w:rsid w:val="00CC5335"/>
    <w:rsid w:val="00CC5BA4"/>
    <w:rsid w:val="00CD4998"/>
    <w:rsid w:val="00CE1035"/>
    <w:rsid w:val="00CE6E50"/>
    <w:rsid w:val="00CF2819"/>
    <w:rsid w:val="00CF4F9D"/>
    <w:rsid w:val="00CF70DC"/>
    <w:rsid w:val="00D01697"/>
    <w:rsid w:val="00D148DC"/>
    <w:rsid w:val="00D17FDC"/>
    <w:rsid w:val="00D21D8C"/>
    <w:rsid w:val="00D53719"/>
    <w:rsid w:val="00D63EFD"/>
    <w:rsid w:val="00D71654"/>
    <w:rsid w:val="00D84752"/>
    <w:rsid w:val="00D86B3B"/>
    <w:rsid w:val="00D8748A"/>
    <w:rsid w:val="00D93196"/>
    <w:rsid w:val="00DA0DC0"/>
    <w:rsid w:val="00DB243C"/>
    <w:rsid w:val="00DB482A"/>
    <w:rsid w:val="00DB50FB"/>
    <w:rsid w:val="00DB56F2"/>
    <w:rsid w:val="00DB6EF5"/>
    <w:rsid w:val="00DC3089"/>
    <w:rsid w:val="00DC3B7E"/>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C6834"/>
    <w:rsid w:val="00ED0BC4"/>
    <w:rsid w:val="00ED447D"/>
    <w:rsid w:val="00EE4971"/>
    <w:rsid w:val="00EE6CB0"/>
    <w:rsid w:val="00EF090E"/>
    <w:rsid w:val="00EF4FE7"/>
    <w:rsid w:val="00EF5572"/>
    <w:rsid w:val="00F01D7D"/>
    <w:rsid w:val="00F033DA"/>
    <w:rsid w:val="00F13691"/>
    <w:rsid w:val="00F13FB1"/>
    <w:rsid w:val="00F253AE"/>
    <w:rsid w:val="00F2674E"/>
    <w:rsid w:val="00F27CD8"/>
    <w:rsid w:val="00F30351"/>
    <w:rsid w:val="00F3323E"/>
    <w:rsid w:val="00F341F4"/>
    <w:rsid w:val="00F34F9D"/>
    <w:rsid w:val="00F3506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1A68"/>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F26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mpany-directors-disqualification-act-1986-and-failed-companies/company-directors-disqualification-act-1986-and-failed-compan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jdsupra.com/legalnews/no-company-no-problem-disqualification-147978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1678</TotalTime>
  <Pages>10</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L. Grube</cp:lastModifiedBy>
  <cp:revision>17</cp:revision>
  <cp:lastPrinted>2019-08-27T05:42:00Z</cp:lastPrinted>
  <dcterms:created xsi:type="dcterms:W3CDTF">2023-02-06T20:15:00Z</dcterms:created>
  <dcterms:modified xsi:type="dcterms:W3CDTF">2023-02-26T20:04:00Z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PingId">
    <vt:lpwstr>9e833ba3-3637-4737-bba0-9d0ad11d521e</vt:lpwstr>
  </property>
</Properties>
</file>