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933258">
        <w:rPr>
          <w:rFonts w:ascii="Avenir Next" w:hAnsi="Avenir Next" w:cs="Arial"/>
          <w:sz w:val="22"/>
          <w:szCs w:val="22"/>
          <w:highlight w:val="yellow"/>
          <w:lang w:val="en-GB"/>
        </w:rPr>
        <w:t>w</w:t>
      </w:r>
      <w:r w:rsidR="00C91062" w:rsidRPr="00933258">
        <w:rPr>
          <w:rFonts w:ascii="Avenir Next" w:hAnsi="Avenir Next" w:cs="Arial"/>
          <w:sz w:val="22"/>
          <w:szCs w:val="22"/>
          <w:highlight w:val="yellow"/>
          <w:lang w:val="en-GB"/>
        </w:rPr>
        <w:t>ithin 8 weeks of the commencement of the administration</w:t>
      </w:r>
      <w:r w:rsidR="00763348" w:rsidRPr="00212001">
        <w:rPr>
          <w:rFonts w:ascii="Avenir Next" w:hAnsi="Avenir Next" w:cs="Arial"/>
          <w:sz w:val="22"/>
          <w:szCs w:val="22"/>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1D5601" w:rsidRDefault="00E443D7" w:rsidP="00B04033">
      <w:pPr>
        <w:pStyle w:val="ListParagraph"/>
        <w:numPr>
          <w:ilvl w:val="0"/>
          <w:numId w:val="2"/>
        </w:numPr>
        <w:ind w:left="426"/>
        <w:jc w:val="both"/>
        <w:rPr>
          <w:rFonts w:ascii="Avenir Next" w:hAnsi="Avenir Next" w:cs="Arial"/>
          <w:sz w:val="22"/>
          <w:szCs w:val="22"/>
          <w:highlight w:val="yellow"/>
          <w:lang w:val="en-GB"/>
        </w:rPr>
      </w:pPr>
      <w:r w:rsidRPr="001D5601">
        <w:rPr>
          <w:rFonts w:ascii="Avenir Next" w:hAnsi="Avenir Next" w:cs="Arial"/>
          <w:sz w:val="22"/>
          <w:szCs w:val="22"/>
          <w:highlight w:val="yellow"/>
          <w:lang w:val="en-GB"/>
        </w:rPr>
        <w:t>One year and 40 business days</w:t>
      </w:r>
      <w:r w:rsidR="00763348" w:rsidRPr="001D5601">
        <w:rPr>
          <w:rFonts w:ascii="Avenir Next" w:hAnsi="Avenir Next" w:cs="Arial"/>
          <w:sz w:val="22"/>
          <w:szCs w:val="22"/>
          <w:highlight w:val="yellow"/>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2001" w:rsidRDefault="00E443D7" w:rsidP="00B04033">
      <w:pPr>
        <w:pStyle w:val="ListParagraph"/>
        <w:numPr>
          <w:ilvl w:val="0"/>
          <w:numId w:val="2"/>
        </w:numPr>
        <w:ind w:left="426"/>
        <w:jc w:val="both"/>
        <w:rPr>
          <w:rFonts w:ascii="Avenir Next" w:hAnsi="Avenir Next" w:cs="Arial"/>
          <w:sz w:val="22"/>
          <w:szCs w:val="22"/>
          <w:lang w:val="en-GB"/>
        </w:rPr>
      </w:pPr>
      <w:r w:rsidRPr="00212001">
        <w:rPr>
          <w:rFonts w:ascii="Avenir Next" w:hAnsi="Avenir Next" w:cs="Arial"/>
          <w:sz w:val="22"/>
          <w:szCs w:val="22"/>
          <w:lang w:val="en-GB"/>
        </w:rPr>
        <w:t>One year</w:t>
      </w:r>
      <w:r w:rsidR="00763348" w:rsidRPr="00212001">
        <w:rPr>
          <w:rFonts w:ascii="Avenir Next" w:hAnsi="Avenir Next" w:cs="Arial"/>
          <w:sz w:val="22"/>
          <w:szCs w:val="22"/>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B24112" w:rsidRDefault="00AE5B6F" w:rsidP="00B04033">
      <w:pPr>
        <w:pStyle w:val="ListParagraph"/>
        <w:numPr>
          <w:ilvl w:val="0"/>
          <w:numId w:val="3"/>
        </w:numPr>
        <w:ind w:left="426"/>
        <w:jc w:val="both"/>
        <w:rPr>
          <w:rFonts w:ascii="Avenir Next" w:hAnsi="Avenir Next" w:cs="Arial"/>
          <w:sz w:val="22"/>
          <w:szCs w:val="22"/>
          <w:highlight w:val="yellow"/>
          <w:lang w:val="en-GB"/>
        </w:rPr>
      </w:pPr>
      <w:r w:rsidRPr="00B24112">
        <w:rPr>
          <w:rFonts w:ascii="Avenir Next" w:hAnsi="Avenir Next" w:cs="Arial"/>
          <w:sz w:val="22"/>
          <w:szCs w:val="22"/>
          <w:highlight w:val="yellow"/>
          <w:lang w:val="en-GB"/>
        </w:rPr>
        <w:t>T</w:t>
      </w:r>
      <w:r w:rsidR="008D1616" w:rsidRPr="00B24112">
        <w:rPr>
          <w:rFonts w:ascii="Avenir Next" w:hAnsi="Avenir Next" w:cs="Arial"/>
          <w:sz w:val="22"/>
          <w:szCs w:val="22"/>
          <w:highlight w:val="yellow"/>
          <w:lang w:val="en-GB"/>
        </w:rPr>
        <w:t>he company is, or is likely to become, unable to pay their debts, as defined under s</w:t>
      </w:r>
      <w:r w:rsidR="00E833F4" w:rsidRPr="00B24112">
        <w:rPr>
          <w:rFonts w:ascii="Avenir Next" w:hAnsi="Avenir Next" w:cs="Arial"/>
          <w:sz w:val="22"/>
          <w:szCs w:val="22"/>
          <w:highlight w:val="yellow"/>
          <w:lang w:val="en-GB"/>
        </w:rPr>
        <w:t>ection</w:t>
      </w:r>
      <w:r w:rsidR="008D1616" w:rsidRPr="00B24112">
        <w:rPr>
          <w:rFonts w:ascii="Avenir Next" w:hAnsi="Avenir Next" w:cs="Arial"/>
          <w:sz w:val="22"/>
          <w:szCs w:val="22"/>
          <w:highlight w:val="yellow"/>
          <w:lang w:val="en-GB"/>
        </w:rPr>
        <w:t xml:space="preserve"> 123 of the Insolvency Act 1986</w:t>
      </w:r>
      <w:r w:rsidR="00763348" w:rsidRPr="00B24112">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5F6B7B" w:rsidRDefault="00C91062" w:rsidP="00B04033">
      <w:pPr>
        <w:pStyle w:val="ListParagraph"/>
        <w:numPr>
          <w:ilvl w:val="0"/>
          <w:numId w:val="4"/>
        </w:numPr>
        <w:ind w:left="426"/>
        <w:jc w:val="both"/>
        <w:rPr>
          <w:rFonts w:ascii="Avenir Next" w:hAnsi="Avenir Next" w:cs="Arial"/>
          <w:sz w:val="22"/>
          <w:szCs w:val="22"/>
          <w:highlight w:val="yellow"/>
          <w:lang w:val="en-GB"/>
        </w:rPr>
      </w:pPr>
      <w:r w:rsidRPr="005F6B7B">
        <w:rPr>
          <w:rFonts w:ascii="Avenir Next" w:hAnsi="Avenir Next" w:cs="Arial"/>
          <w:sz w:val="22"/>
          <w:szCs w:val="22"/>
          <w:highlight w:val="yellow"/>
          <w:lang w:val="en-GB"/>
        </w:rPr>
        <w:t>The purchaser</w:t>
      </w:r>
      <w:r w:rsidR="00763348" w:rsidRPr="005F6B7B">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7B57F4" w:rsidRDefault="00BA1CFD" w:rsidP="00B04033">
      <w:pPr>
        <w:pStyle w:val="ListParagraph"/>
        <w:numPr>
          <w:ilvl w:val="0"/>
          <w:numId w:val="5"/>
        </w:numPr>
        <w:ind w:left="426"/>
        <w:jc w:val="both"/>
        <w:rPr>
          <w:rFonts w:ascii="Avenir Next" w:hAnsi="Avenir Next" w:cs="Arial"/>
          <w:sz w:val="22"/>
          <w:szCs w:val="22"/>
          <w:highlight w:val="yellow"/>
          <w:lang w:val="en-GB"/>
        </w:rPr>
      </w:pPr>
      <w:r w:rsidRPr="007B57F4">
        <w:rPr>
          <w:rFonts w:ascii="Avenir Next" w:hAnsi="Avenir Next" w:cs="Arial"/>
          <w:sz w:val="22"/>
          <w:szCs w:val="22"/>
          <w:highlight w:val="yellow"/>
          <w:lang w:val="en-GB"/>
        </w:rPr>
        <w:t>Administration</w:t>
      </w:r>
      <w:r w:rsidR="00763348" w:rsidRPr="007B57F4">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5E5BEE" w:rsidRDefault="001F3C98" w:rsidP="00B04033">
      <w:pPr>
        <w:pStyle w:val="ListParagraph"/>
        <w:numPr>
          <w:ilvl w:val="0"/>
          <w:numId w:val="6"/>
        </w:numPr>
        <w:ind w:left="426"/>
        <w:jc w:val="both"/>
        <w:rPr>
          <w:rFonts w:ascii="Avenir Next" w:hAnsi="Avenir Next" w:cs="Arial"/>
          <w:sz w:val="22"/>
          <w:szCs w:val="22"/>
          <w:highlight w:val="yellow"/>
          <w:lang w:val="en-GB"/>
        </w:rPr>
      </w:pPr>
      <w:r w:rsidRPr="005E5BEE">
        <w:rPr>
          <w:rFonts w:ascii="Avenir Next" w:hAnsi="Avenir Next" w:cs="Arial"/>
          <w:sz w:val="22"/>
          <w:szCs w:val="22"/>
          <w:highlight w:val="yellow"/>
          <w:lang w:val="en-GB"/>
        </w:rPr>
        <w:t xml:space="preserve">GBP </w:t>
      </w:r>
      <w:r w:rsidR="00BA1CFD" w:rsidRPr="005E5BEE">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C0E21" w:rsidRDefault="00BA1CFD" w:rsidP="00B04033">
      <w:pPr>
        <w:pStyle w:val="ListParagraph"/>
        <w:numPr>
          <w:ilvl w:val="0"/>
          <w:numId w:val="7"/>
        </w:numPr>
        <w:ind w:left="426"/>
        <w:jc w:val="both"/>
        <w:rPr>
          <w:rFonts w:ascii="Avenir Next" w:hAnsi="Avenir Next" w:cs="Arial"/>
          <w:sz w:val="22"/>
          <w:szCs w:val="22"/>
          <w:highlight w:val="yellow"/>
          <w:lang w:val="en-GB"/>
        </w:rPr>
      </w:pPr>
      <w:r w:rsidRPr="002C0E21">
        <w:rPr>
          <w:rFonts w:ascii="Avenir Next" w:hAnsi="Avenir Next" w:cs="Arial"/>
          <w:sz w:val="22"/>
          <w:szCs w:val="22"/>
          <w:highlight w:val="yellow"/>
          <w:lang w:val="en-GB"/>
        </w:rPr>
        <w:t>Breach of fiduciary duty</w:t>
      </w:r>
      <w:r w:rsidR="00763348" w:rsidRPr="002C0E21">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782BA7" w:rsidRDefault="00876F56" w:rsidP="00B04033">
      <w:pPr>
        <w:pStyle w:val="ListParagraph"/>
        <w:numPr>
          <w:ilvl w:val="0"/>
          <w:numId w:val="8"/>
        </w:numPr>
        <w:ind w:left="426"/>
        <w:jc w:val="both"/>
        <w:rPr>
          <w:rFonts w:ascii="Avenir Next" w:hAnsi="Avenir Next" w:cs="Arial"/>
          <w:sz w:val="22"/>
          <w:szCs w:val="22"/>
          <w:highlight w:val="yellow"/>
          <w:lang w:val="en-GB"/>
        </w:rPr>
      </w:pPr>
      <w:r w:rsidRPr="00782BA7">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614B03" w:rsidRDefault="0020204E" w:rsidP="00B04033">
      <w:pPr>
        <w:pStyle w:val="ListParagraph"/>
        <w:numPr>
          <w:ilvl w:val="0"/>
          <w:numId w:val="10"/>
        </w:numPr>
        <w:ind w:left="426"/>
        <w:jc w:val="both"/>
        <w:rPr>
          <w:rFonts w:ascii="Avenir Next" w:hAnsi="Avenir Next" w:cs="Arial"/>
          <w:sz w:val="22"/>
          <w:szCs w:val="22"/>
          <w:highlight w:val="yellow"/>
          <w:lang w:val="en-GB"/>
        </w:rPr>
      </w:pPr>
      <w:r w:rsidRPr="00614B03">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12FA0AD2" w:rsidR="00AE5B6F" w:rsidRDefault="00AA01D5" w:rsidP="007A7B3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application for an order under section 423 of the Insolvency Act, 1986, which deals with 'transactions defrauding creditors’ </w:t>
      </w:r>
      <w:r w:rsidR="006A5F4D">
        <w:rPr>
          <w:rFonts w:ascii="Avenir Next" w:hAnsi="Avenir Next" w:cs="Arial"/>
          <w:color w:val="808080" w:themeColor="background1" w:themeShade="80"/>
          <w:sz w:val="22"/>
          <w:szCs w:val="22"/>
          <w:lang w:val="en-GB"/>
        </w:rPr>
        <w:t xml:space="preserve">can be made in a case </w:t>
      </w:r>
      <w:r w:rsidR="008B3AB4">
        <w:rPr>
          <w:rFonts w:ascii="Avenir Next" w:hAnsi="Avenir Next" w:cs="Arial"/>
          <w:color w:val="808080" w:themeColor="background1" w:themeShade="80"/>
          <w:sz w:val="22"/>
          <w:szCs w:val="22"/>
          <w:lang w:val="en-GB"/>
        </w:rPr>
        <w:t>where the debtor is been made bankrupt, or is being wound up, or is under administration</w:t>
      </w:r>
      <w:r w:rsidR="00671B20">
        <w:rPr>
          <w:rFonts w:ascii="Avenir Next" w:hAnsi="Avenir Next" w:cs="Arial"/>
          <w:color w:val="808080" w:themeColor="background1" w:themeShade="80"/>
          <w:sz w:val="22"/>
          <w:szCs w:val="22"/>
          <w:lang w:val="en-GB"/>
        </w:rPr>
        <w:t xml:space="preserve">, then by the official receiver, by the trustee of the bankrupt’s estate, or the liquidator or administrator </w:t>
      </w:r>
      <w:r w:rsidR="00F34670">
        <w:rPr>
          <w:rFonts w:ascii="Avenir Next" w:hAnsi="Avenir Next" w:cs="Arial"/>
          <w:color w:val="808080" w:themeColor="background1" w:themeShade="80"/>
          <w:sz w:val="22"/>
          <w:szCs w:val="22"/>
          <w:lang w:val="en-GB"/>
        </w:rPr>
        <w:t>respectively as the case may be</w:t>
      </w:r>
      <w:r w:rsidR="00505A62">
        <w:rPr>
          <w:rFonts w:ascii="Avenir Next" w:hAnsi="Avenir Next" w:cs="Arial"/>
          <w:color w:val="808080" w:themeColor="background1" w:themeShade="80"/>
          <w:sz w:val="22"/>
          <w:szCs w:val="22"/>
          <w:lang w:val="en-GB"/>
        </w:rPr>
        <w:t xml:space="preserve"> and can be made by the victim of the transaction as well, but with the leave of the court</w:t>
      </w:r>
      <w:r w:rsidR="00F34670">
        <w:rPr>
          <w:rFonts w:ascii="Avenir Next" w:hAnsi="Avenir Next" w:cs="Arial"/>
          <w:color w:val="808080" w:themeColor="background1" w:themeShade="80"/>
          <w:sz w:val="22"/>
          <w:szCs w:val="22"/>
          <w:lang w:val="en-GB"/>
        </w:rPr>
        <w:t xml:space="preserve">. </w:t>
      </w:r>
      <w:r w:rsidR="0008151D">
        <w:rPr>
          <w:rFonts w:ascii="Avenir Next" w:hAnsi="Avenir Next" w:cs="Arial"/>
          <w:color w:val="808080" w:themeColor="background1" w:themeShade="80"/>
          <w:sz w:val="22"/>
          <w:szCs w:val="22"/>
          <w:lang w:val="en-GB"/>
        </w:rPr>
        <w:t xml:space="preserve">In the event the victim of such a transaction is bound by a </w:t>
      </w:r>
      <w:r w:rsidR="00CF6E3C">
        <w:rPr>
          <w:rFonts w:ascii="Avenir Next" w:hAnsi="Avenir Next" w:cs="Arial"/>
          <w:color w:val="808080" w:themeColor="background1" w:themeShade="80"/>
          <w:sz w:val="22"/>
          <w:szCs w:val="22"/>
          <w:lang w:val="en-GB"/>
        </w:rPr>
        <w:t>voluntary</w:t>
      </w:r>
      <w:r w:rsidR="0008151D">
        <w:rPr>
          <w:rFonts w:ascii="Avenir Next" w:hAnsi="Avenir Next" w:cs="Arial"/>
          <w:color w:val="808080" w:themeColor="background1" w:themeShade="80"/>
          <w:sz w:val="22"/>
          <w:szCs w:val="22"/>
          <w:lang w:val="en-GB"/>
        </w:rPr>
        <w:t xml:space="preserve"> arrangement which has been approved und</w:t>
      </w:r>
      <w:r w:rsidR="003D399F">
        <w:rPr>
          <w:rFonts w:ascii="Avenir Next" w:hAnsi="Avenir Next" w:cs="Arial"/>
          <w:color w:val="808080" w:themeColor="background1" w:themeShade="80"/>
          <w:sz w:val="22"/>
          <w:szCs w:val="22"/>
          <w:lang w:val="en-GB"/>
        </w:rPr>
        <w:t xml:space="preserve">er Part I or Part VIII of the Insolvency Act, 1986, then the said application can be made </w:t>
      </w:r>
      <w:r w:rsidR="000673FC">
        <w:rPr>
          <w:rFonts w:ascii="Avenir Next" w:hAnsi="Avenir Next" w:cs="Arial"/>
          <w:color w:val="808080" w:themeColor="background1" w:themeShade="80"/>
          <w:sz w:val="22"/>
          <w:szCs w:val="22"/>
          <w:lang w:val="en-GB"/>
        </w:rPr>
        <w:t>by the supervisor of such a voluntary arrangement</w:t>
      </w:r>
      <w:r w:rsidR="00505A62">
        <w:rPr>
          <w:rFonts w:ascii="Avenir Next" w:hAnsi="Avenir Next" w:cs="Arial"/>
          <w:color w:val="808080" w:themeColor="background1" w:themeShade="80"/>
          <w:sz w:val="22"/>
          <w:szCs w:val="22"/>
          <w:lang w:val="en-GB"/>
        </w:rPr>
        <w:t xml:space="preserve"> or by the </w:t>
      </w:r>
      <w:r w:rsidR="00CF6E3C">
        <w:rPr>
          <w:rFonts w:ascii="Avenir Next" w:hAnsi="Avenir Next" w:cs="Arial"/>
          <w:color w:val="808080" w:themeColor="background1" w:themeShade="80"/>
          <w:sz w:val="22"/>
          <w:szCs w:val="22"/>
          <w:lang w:val="en-GB"/>
        </w:rPr>
        <w:t>victim</w:t>
      </w:r>
      <w:r w:rsidR="000673FC">
        <w:rPr>
          <w:rFonts w:ascii="Avenir Next" w:hAnsi="Avenir Next" w:cs="Arial"/>
          <w:color w:val="808080" w:themeColor="background1" w:themeShade="80"/>
          <w:sz w:val="22"/>
          <w:szCs w:val="22"/>
          <w:lang w:val="en-GB"/>
        </w:rPr>
        <w:t xml:space="preserve">. In any </w:t>
      </w:r>
      <w:r w:rsidR="00505A62">
        <w:rPr>
          <w:rFonts w:ascii="Avenir Next" w:hAnsi="Avenir Next" w:cs="Arial"/>
          <w:color w:val="808080" w:themeColor="background1" w:themeShade="80"/>
          <w:sz w:val="22"/>
          <w:szCs w:val="22"/>
          <w:lang w:val="en-GB"/>
        </w:rPr>
        <w:t xml:space="preserve">other miscellaneous </w:t>
      </w:r>
      <w:r w:rsidR="000673FC">
        <w:rPr>
          <w:rFonts w:ascii="Avenir Next" w:hAnsi="Avenir Next" w:cs="Arial"/>
          <w:color w:val="808080" w:themeColor="background1" w:themeShade="80"/>
          <w:sz w:val="22"/>
          <w:szCs w:val="22"/>
          <w:lang w:val="en-GB"/>
        </w:rPr>
        <w:t>case, the application under section 423 can be made</w:t>
      </w:r>
      <w:r w:rsidR="00505A62">
        <w:rPr>
          <w:rFonts w:ascii="Avenir Next" w:hAnsi="Avenir Next" w:cs="Arial"/>
          <w:color w:val="808080" w:themeColor="background1" w:themeShade="80"/>
          <w:sz w:val="22"/>
          <w:szCs w:val="22"/>
          <w:lang w:val="en-GB"/>
        </w:rPr>
        <w:t xml:space="preserve"> by the victim of the transaction. </w:t>
      </w:r>
      <w:r w:rsidR="00CF6E3C">
        <w:rPr>
          <w:rFonts w:ascii="Avenir Next" w:hAnsi="Avenir Next" w:cs="Arial"/>
          <w:color w:val="808080" w:themeColor="background1" w:themeShade="80"/>
          <w:sz w:val="22"/>
          <w:szCs w:val="22"/>
          <w:lang w:val="en-GB"/>
        </w:rPr>
        <w:t xml:space="preserve">The aforementioned power to apply for such an application is under section 424. </w:t>
      </w:r>
    </w:p>
    <w:p w14:paraId="3A107877" w14:textId="77777777" w:rsidR="004B0226" w:rsidRPr="007A7B34" w:rsidRDefault="004B0226" w:rsidP="004B0226">
      <w:pPr>
        <w:pStyle w:val="ListParagraph"/>
        <w:ind w:left="1080"/>
        <w:jc w:val="both"/>
        <w:rPr>
          <w:rFonts w:ascii="Avenir Next" w:hAnsi="Avenir Next" w:cs="Arial"/>
          <w:color w:val="808080" w:themeColor="background1" w:themeShade="80"/>
          <w:sz w:val="22"/>
          <w:szCs w:val="22"/>
          <w:lang w:val="en-GB"/>
        </w:rPr>
      </w:pPr>
    </w:p>
    <w:p w14:paraId="22C610C9" w14:textId="003D62E4" w:rsidR="00DE03AF" w:rsidRPr="004B0226" w:rsidRDefault="00897DD0" w:rsidP="00D64827">
      <w:pPr>
        <w:pStyle w:val="ListParagraph"/>
        <w:numPr>
          <w:ilvl w:val="0"/>
          <w:numId w:val="18"/>
        </w:numPr>
        <w:jc w:val="both"/>
        <w:rPr>
          <w:rFonts w:ascii="Avenir Next" w:hAnsi="Avenir Next" w:cs="Arial"/>
          <w:sz w:val="22"/>
          <w:szCs w:val="22"/>
        </w:rPr>
      </w:pPr>
      <w:r w:rsidRPr="004B0226">
        <w:rPr>
          <w:rFonts w:ascii="Avenir Next" w:hAnsi="Avenir Next" w:cs="Arial"/>
          <w:color w:val="808080" w:themeColor="background1" w:themeShade="80"/>
          <w:sz w:val="22"/>
          <w:szCs w:val="22"/>
          <w:lang w:val="en-GB"/>
        </w:rPr>
        <w:t xml:space="preserve">In accordance with section 16 of the Company Directors </w:t>
      </w:r>
      <w:r w:rsidR="004B0226" w:rsidRPr="004B0226">
        <w:rPr>
          <w:rFonts w:ascii="Avenir Next" w:hAnsi="Avenir Next" w:cs="Arial"/>
          <w:color w:val="808080" w:themeColor="background1" w:themeShade="80"/>
          <w:sz w:val="22"/>
          <w:szCs w:val="22"/>
          <w:lang w:val="en-GB"/>
        </w:rPr>
        <w:t>Disqualification Act</w:t>
      </w:r>
      <w:r w:rsidRPr="004B0226">
        <w:rPr>
          <w:rFonts w:ascii="Avenir Next" w:hAnsi="Avenir Next" w:cs="Arial"/>
          <w:color w:val="808080" w:themeColor="background1" w:themeShade="80"/>
          <w:sz w:val="22"/>
          <w:szCs w:val="22"/>
          <w:lang w:val="en-GB"/>
        </w:rPr>
        <w:t xml:space="preserve"> 1986, an application under section 6 </w:t>
      </w:r>
      <w:r w:rsidR="00D64827" w:rsidRPr="004B0226">
        <w:rPr>
          <w:rFonts w:ascii="Avenir Next" w:hAnsi="Avenir Next" w:cs="Arial"/>
          <w:color w:val="808080" w:themeColor="background1" w:themeShade="80"/>
          <w:sz w:val="22"/>
          <w:szCs w:val="22"/>
          <w:lang w:val="en-GB"/>
        </w:rPr>
        <w:t xml:space="preserve">of the Act can be made by the Secretary of State, the official </w:t>
      </w:r>
      <w:r w:rsidR="00F63D75" w:rsidRPr="004B0226">
        <w:rPr>
          <w:rFonts w:ascii="Avenir Next" w:hAnsi="Avenir Next" w:cs="Arial"/>
          <w:color w:val="808080" w:themeColor="background1" w:themeShade="80"/>
          <w:sz w:val="22"/>
          <w:szCs w:val="22"/>
          <w:lang w:val="en-GB"/>
        </w:rPr>
        <w:t xml:space="preserve">receiver, </w:t>
      </w:r>
      <w:r w:rsidR="000550F0" w:rsidRPr="004B0226">
        <w:rPr>
          <w:rFonts w:ascii="Avenir Next" w:hAnsi="Avenir Next" w:cs="Arial"/>
          <w:color w:val="808080" w:themeColor="background1" w:themeShade="80"/>
          <w:sz w:val="22"/>
          <w:szCs w:val="22"/>
          <w:lang w:val="en-GB"/>
        </w:rPr>
        <w:t>the Financial Conduct Authority or the Prudential Regulation Authority (PRA) (if the company is a financial institution)</w:t>
      </w:r>
      <w:r w:rsidR="007E1674" w:rsidRPr="004B0226">
        <w:rPr>
          <w:rFonts w:ascii="Avenir Next" w:hAnsi="Avenir Next" w:cs="Arial"/>
          <w:color w:val="808080" w:themeColor="background1" w:themeShade="80"/>
          <w:sz w:val="22"/>
          <w:szCs w:val="22"/>
          <w:lang w:val="en-GB"/>
        </w:rPr>
        <w:t xml:space="preserve"> or The Competition and Markets Authority</w:t>
      </w:r>
      <w:r w:rsidR="004B0226">
        <w:rPr>
          <w:rStyle w:val="FootnoteReference"/>
          <w:rFonts w:ascii="Avenir Next" w:hAnsi="Avenir Next" w:cs="Arial"/>
          <w:color w:val="808080" w:themeColor="background1" w:themeShade="80"/>
          <w:sz w:val="22"/>
          <w:szCs w:val="22"/>
          <w:lang w:val="en-GB"/>
        </w:rPr>
        <w:footnoteReference w:id="1"/>
      </w:r>
      <w:r w:rsidR="007E1674" w:rsidRPr="004B0226">
        <w:rPr>
          <w:rFonts w:ascii="Avenir Next" w:hAnsi="Avenir Next" w:cs="Arial"/>
          <w:color w:val="808080" w:themeColor="background1" w:themeShade="80"/>
          <w:sz w:val="22"/>
          <w:szCs w:val="22"/>
          <w:lang w:val="en-GB"/>
        </w:rPr>
        <w:t xml:space="preserve">, </w:t>
      </w:r>
      <w:r w:rsidR="004B0226" w:rsidRPr="004B0226">
        <w:rPr>
          <w:rFonts w:ascii="Avenir Next" w:hAnsi="Avenir Next" w:cs="Arial"/>
          <w:color w:val="808080" w:themeColor="background1" w:themeShade="80"/>
          <w:sz w:val="22"/>
          <w:szCs w:val="22"/>
          <w:lang w:val="en-GB"/>
        </w:rPr>
        <w:t>the liquidator or a specified regulator</w:t>
      </w:r>
      <w:r w:rsidR="004B0226">
        <w:rPr>
          <w:rStyle w:val="FootnoteReference"/>
          <w:rFonts w:ascii="Segoe UI" w:hAnsi="Segoe UI" w:cs="Segoe UI"/>
          <w:color w:val="374151"/>
          <w:shd w:val="clear" w:color="auto" w:fill="F7F7F8"/>
        </w:rPr>
        <w:footnoteReference w:id="2"/>
      </w:r>
      <w:r w:rsidR="004B0226">
        <w:rPr>
          <w:rFonts w:ascii="Avenir Next" w:hAnsi="Avenir Next" w:cs="Arial"/>
          <w:color w:val="808080" w:themeColor="background1" w:themeShade="80"/>
          <w:sz w:val="22"/>
          <w:szCs w:val="22"/>
          <w:lang w:val="en-GB"/>
        </w:rPr>
        <w:t>.</w:t>
      </w:r>
    </w:p>
    <w:p w14:paraId="277BE485" w14:textId="77777777" w:rsidR="004B0226" w:rsidRPr="004B0226" w:rsidRDefault="004B0226" w:rsidP="004B0226">
      <w:pPr>
        <w:pStyle w:val="ListParagraph"/>
        <w:rPr>
          <w:rFonts w:ascii="Avenir Next" w:hAnsi="Avenir Next" w:cs="Arial"/>
          <w:sz w:val="22"/>
          <w:szCs w:val="22"/>
        </w:rPr>
      </w:pPr>
    </w:p>
    <w:p w14:paraId="11BFEE4C" w14:textId="2B040F49" w:rsidR="001F63A0" w:rsidRDefault="00F57A57" w:rsidP="001F63A0">
      <w:pPr>
        <w:pStyle w:val="ListParagraph"/>
        <w:numPr>
          <w:ilvl w:val="0"/>
          <w:numId w:val="18"/>
        </w:numPr>
        <w:jc w:val="both"/>
        <w:rPr>
          <w:rFonts w:ascii="Avenir Next" w:hAnsi="Avenir Next" w:cs="Arial"/>
          <w:color w:val="808080" w:themeColor="background1" w:themeShade="80"/>
          <w:sz w:val="22"/>
          <w:szCs w:val="22"/>
        </w:rPr>
      </w:pPr>
      <w:r w:rsidRPr="008C4679">
        <w:rPr>
          <w:rFonts w:ascii="Avenir Next" w:hAnsi="Avenir Next" w:cs="Arial"/>
          <w:color w:val="808080" w:themeColor="background1" w:themeShade="80"/>
          <w:sz w:val="22"/>
          <w:szCs w:val="22"/>
        </w:rPr>
        <w:t>Section 2</w:t>
      </w:r>
      <w:r w:rsidR="00173BCC" w:rsidRPr="008C4679">
        <w:rPr>
          <w:rFonts w:ascii="Avenir Next" w:hAnsi="Avenir Next" w:cs="Arial"/>
          <w:color w:val="808080" w:themeColor="background1" w:themeShade="80"/>
          <w:sz w:val="22"/>
          <w:szCs w:val="22"/>
        </w:rPr>
        <w:t xml:space="preserve">46ZB of the Insolvency Act, 1986 deals with the modus to tackle wrongful trading at the time of administration. </w:t>
      </w:r>
      <w:r w:rsidR="00F03E73" w:rsidRPr="008C4679">
        <w:rPr>
          <w:rFonts w:ascii="Avenir Next" w:hAnsi="Avenir Next" w:cs="Arial"/>
          <w:color w:val="808080" w:themeColor="background1" w:themeShade="80"/>
          <w:sz w:val="22"/>
          <w:szCs w:val="22"/>
        </w:rPr>
        <w:t>Section  246ZB(1), lays down that while a company</w:t>
      </w:r>
      <w:r w:rsidR="00B663FD" w:rsidRPr="008C4679">
        <w:rPr>
          <w:rFonts w:ascii="Avenir Next" w:hAnsi="Avenir Next" w:cs="Arial"/>
          <w:color w:val="808080" w:themeColor="background1" w:themeShade="80"/>
          <w:sz w:val="22"/>
          <w:szCs w:val="22"/>
        </w:rPr>
        <w:t xml:space="preserve"> is in administration </w:t>
      </w:r>
      <w:r w:rsidR="001B4494" w:rsidRPr="008C4679">
        <w:rPr>
          <w:rFonts w:ascii="Avenir Next" w:hAnsi="Avenir Next" w:cs="Arial"/>
          <w:color w:val="808080" w:themeColor="background1" w:themeShade="80"/>
          <w:sz w:val="22"/>
          <w:szCs w:val="22"/>
        </w:rPr>
        <w:t xml:space="preserve">and it appears that at some time before </w:t>
      </w:r>
      <w:r w:rsidR="00F50D33" w:rsidRPr="008C4679">
        <w:rPr>
          <w:rFonts w:ascii="Avenir Next" w:hAnsi="Avenir Next" w:cs="Arial"/>
          <w:color w:val="808080" w:themeColor="background1" w:themeShade="80"/>
          <w:sz w:val="22"/>
          <w:szCs w:val="22"/>
        </w:rPr>
        <w:t xml:space="preserve">the company entered administration, a person who was the </w:t>
      </w:r>
      <w:r w:rsidR="001F63A0" w:rsidRPr="008C4679">
        <w:rPr>
          <w:rFonts w:ascii="Avenir Next" w:hAnsi="Avenir Next" w:cs="Arial"/>
          <w:color w:val="808080" w:themeColor="background1" w:themeShade="80"/>
          <w:sz w:val="22"/>
          <w:szCs w:val="22"/>
        </w:rPr>
        <w:t xml:space="preserve">director of the company at this relevant time knew or ought to have known that there was no reasonable prospect </w:t>
      </w:r>
      <w:r w:rsidR="00AC114D" w:rsidRPr="008C4679">
        <w:rPr>
          <w:rFonts w:ascii="Avenir Next" w:hAnsi="Avenir Next" w:cs="Arial"/>
          <w:color w:val="808080" w:themeColor="background1" w:themeShade="80"/>
          <w:sz w:val="22"/>
          <w:szCs w:val="22"/>
        </w:rPr>
        <w:t>that the company would avoid any insolvency event (and go into either administration or liquidation)</w:t>
      </w:r>
      <w:r w:rsidR="003600EE" w:rsidRPr="008C4679">
        <w:rPr>
          <w:rFonts w:ascii="Avenir Next" w:hAnsi="Avenir Next" w:cs="Arial"/>
          <w:color w:val="808080" w:themeColor="background1" w:themeShade="80"/>
          <w:sz w:val="22"/>
          <w:szCs w:val="22"/>
        </w:rPr>
        <w:t xml:space="preserve">, then vide an application filed by the administrator, the court can </w:t>
      </w:r>
      <w:r w:rsidR="008C4679" w:rsidRPr="008C4679">
        <w:rPr>
          <w:rFonts w:ascii="Avenir Next" w:hAnsi="Avenir Next" w:cs="Arial"/>
          <w:color w:val="808080" w:themeColor="background1" w:themeShade="80"/>
          <w:sz w:val="22"/>
          <w:szCs w:val="22"/>
        </w:rPr>
        <w:t>as it deems fi</w:t>
      </w:r>
      <w:r w:rsidR="00A14E6A">
        <w:rPr>
          <w:rFonts w:ascii="Avenir Next" w:hAnsi="Avenir Next" w:cs="Arial"/>
          <w:color w:val="808080" w:themeColor="background1" w:themeShade="80"/>
          <w:sz w:val="22"/>
          <w:szCs w:val="22"/>
        </w:rPr>
        <w:t xml:space="preserve">t </w:t>
      </w:r>
      <w:r w:rsidR="003600EE" w:rsidRPr="008C4679">
        <w:rPr>
          <w:rFonts w:ascii="Avenir Next" w:hAnsi="Avenir Next" w:cs="Arial"/>
          <w:color w:val="808080" w:themeColor="background1" w:themeShade="80"/>
          <w:sz w:val="22"/>
          <w:szCs w:val="22"/>
        </w:rPr>
        <w:t xml:space="preserve">declare </w:t>
      </w:r>
      <w:r w:rsidR="008C4679" w:rsidRPr="008C4679">
        <w:rPr>
          <w:rFonts w:ascii="Avenir Next" w:hAnsi="Avenir Next" w:cs="Arial"/>
          <w:color w:val="808080" w:themeColor="background1" w:themeShade="80"/>
          <w:sz w:val="22"/>
          <w:szCs w:val="22"/>
        </w:rPr>
        <w:t>such a director to make contributions to the assets of the company.</w:t>
      </w:r>
    </w:p>
    <w:p w14:paraId="4159BEA4" w14:textId="77777777" w:rsidR="00A14E6A" w:rsidRPr="00A14E6A" w:rsidRDefault="00A14E6A" w:rsidP="00A14E6A">
      <w:pPr>
        <w:pStyle w:val="ListParagraph"/>
        <w:rPr>
          <w:rFonts w:ascii="Avenir Next" w:hAnsi="Avenir Next" w:cs="Arial"/>
          <w:color w:val="808080" w:themeColor="background1" w:themeShade="80"/>
          <w:sz w:val="22"/>
          <w:szCs w:val="22"/>
        </w:rPr>
      </w:pPr>
    </w:p>
    <w:p w14:paraId="6C9F9666" w14:textId="77777777" w:rsidR="00A14E6A" w:rsidRPr="008C4679" w:rsidRDefault="00A14E6A" w:rsidP="00A14E6A">
      <w:pPr>
        <w:pStyle w:val="ListParagraph"/>
        <w:ind w:left="1080"/>
        <w:jc w:val="both"/>
        <w:rPr>
          <w:rFonts w:ascii="Avenir Next" w:hAnsi="Avenir Next" w:cs="Arial"/>
          <w:color w:val="808080" w:themeColor="background1" w:themeShade="80"/>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1B0C06AB" w:rsidR="00EA3B38" w:rsidRDefault="002E22E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accordance with </w:t>
      </w:r>
      <w:r w:rsidR="00A14E6A">
        <w:rPr>
          <w:rFonts w:ascii="Avenir Next" w:hAnsi="Avenir Next" w:cs="Arial"/>
          <w:color w:val="808080" w:themeColor="background1" w:themeShade="80"/>
          <w:sz w:val="22"/>
          <w:szCs w:val="22"/>
        </w:rPr>
        <w:t>S</w:t>
      </w:r>
      <w:r w:rsidR="003F5371">
        <w:rPr>
          <w:rFonts w:ascii="Avenir Next" w:hAnsi="Avenir Next" w:cs="Arial"/>
          <w:color w:val="808080" w:themeColor="background1" w:themeShade="80"/>
          <w:sz w:val="22"/>
          <w:szCs w:val="22"/>
        </w:rPr>
        <w:t xml:space="preserve">ection A18 </w:t>
      </w:r>
      <w:r w:rsidR="00AC33AB">
        <w:rPr>
          <w:rFonts w:ascii="Avenir Next" w:hAnsi="Avenir Next" w:cs="Arial"/>
          <w:color w:val="808080" w:themeColor="background1" w:themeShade="80"/>
          <w:sz w:val="22"/>
          <w:szCs w:val="22"/>
        </w:rPr>
        <w:t xml:space="preserve">under Chapter 4 ‘Effect of </w:t>
      </w:r>
      <w:r w:rsidR="00E44929">
        <w:rPr>
          <w:rFonts w:ascii="Avenir Next" w:hAnsi="Avenir Next" w:cs="Arial"/>
          <w:color w:val="808080" w:themeColor="background1" w:themeShade="80"/>
          <w:sz w:val="22"/>
          <w:szCs w:val="22"/>
        </w:rPr>
        <w:t>Moratorium’, Part</w:t>
      </w:r>
      <w:r w:rsidR="003F5371">
        <w:rPr>
          <w:rFonts w:ascii="Avenir Next" w:hAnsi="Avenir Next" w:cs="Arial"/>
          <w:color w:val="808080" w:themeColor="background1" w:themeShade="80"/>
          <w:sz w:val="22"/>
          <w:szCs w:val="22"/>
        </w:rPr>
        <w:t xml:space="preserve"> A1 of the Insolvency Act, 1986 (the “</w:t>
      </w:r>
      <w:r w:rsidR="003F5371" w:rsidRPr="003F5371">
        <w:rPr>
          <w:rFonts w:ascii="Avenir Next" w:hAnsi="Avenir Next" w:cs="Arial"/>
          <w:b/>
          <w:bCs/>
          <w:color w:val="808080" w:themeColor="background1" w:themeShade="80"/>
          <w:sz w:val="22"/>
          <w:szCs w:val="22"/>
        </w:rPr>
        <w:t>Act</w:t>
      </w:r>
      <w:r w:rsidR="003F5371">
        <w:rPr>
          <w:rFonts w:ascii="Avenir Next" w:hAnsi="Avenir Next" w:cs="Arial"/>
          <w:color w:val="808080" w:themeColor="background1" w:themeShade="80"/>
          <w:sz w:val="22"/>
          <w:szCs w:val="22"/>
        </w:rPr>
        <w:t>”)</w:t>
      </w:r>
      <w:r w:rsidR="00F95B63">
        <w:rPr>
          <w:rFonts w:ascii="Avenir Next" w:hAnsi="Avenir Next" w:cs="Arial"/>
          <w:color w:val="808080" w:themeColor="background1" w:themeShade="80"/>
          <w:sz w:val="22"/>
          <w:szCs w:val="22"/>
        </w:rPr>
        <w:t xml:space="preserve">, </w:t>
      </w:r>
      <w:r w:rsidR="00F37CD8">
        <w:rPr>
          <w:rFonts w:ascii="Avenir Next" w:hAnsi="Avenir Next" w:cs="Arial"/>
          <w:color w:val="808080" w:themeColor="background1" w:themeShade="80"/>
          <w:sz w:val="22"/>
          <w:szCs w:val="22"/>
        </w:rPr>
        <w:t xml:space="preserve">moratorium essentially includes restrictions on the enforcement of the debts </w:t>
      </w:r>
      <w:r w:rsidR="001758C4">
        <w:rPr>
          <w:rFonts w:ascii="Avenir Next" w:hAnsi="Avenir Next" w:cs="Arial"/>
          <w:color w:val="808080" w:themeColor="background1" w:themeShade="80"/>
          <w:sz w:val="22"/>
          <w:szCs w:val="22"/>
        </w:rPr>
        <w:t>which are pre-moratorium</w:t>
      </w:r>
      <w:r w:rsidR="0029255E">
        <w:rPr>
          <w:rFonts w:ascii="Avenir Next" w:hAnsi="Avenir Next" w:cs="Arial"/>
          <w:color w:val="808080" w:themeColor="background1" w:themeShade="80"/>
          <w:sz w:val="22"/>
          <w:szCs w:val="22"/>
        </w:rPr>
        <w:t xml:space="preserve"> debts</w:t>
      </w:r>
      <w:r w:rsidR="001758C4">
        <w:rPr>
          <w:rFonts w:ascii="Avenir Next" w:hAnsi="Avenir Next" w:cs="Arial"/>
          <w:color w:val="808080" w:themeColor="background1" w:themeShade="80"/>
          <w:sz w:val="22"/>
          <w:szCs w:val="22"/>
        </w:rPr>
        <w:t xml:space="preserve"> and for which the company </w:t>
      </w:r>
      <w:r w:rsidR="004C3BEB">
        <w:rPr>
          <w:rFonts w:ascii="Avenir Next" w:hAnsi="Avenir Next" w:cs="Arial"/>
          <w:color w:val="808080" w:themeColor="background1" w:themeShade="80"/>
          <w:sz w:val="22"/>
          <w:szCs w:val="22"/>
        </w:rPr>
        <w:t>has a payment holiday</w:t>
      </w:r>
      <w:r w:rsidR="000B3910">
        <w:rPr>
          <w:rStyle w:val="FootnoteReference"/>
          <w:rFonts w:ascii="Avenir Next" w:hAnsi="Avenir Next" w:cs="Arial"/>
          <w:color w:val="808080" w:themeColor="background1" w:themeShade="80"/>
          <w:sz w:val="22"/>
          <w:szCs w:val="22"/>
        </w:rPr>
        <w:footnoteReference w:id="3"/>
      </w:r>
      <w:r w:rsidR="0029255E">
        <w:rPr>
          <w:rFonts w:ascii="Avenir Next" w:hAnsi="Avenir Next" w:cs="Arial"/>
          <w:color w:val="808080" w:themeColor="background1" w:themeShade="80"/>
          <w:sz w:val="22"/>
          <w:szCs w:val="22"/>
        </w:rPr>
        <w:t xml:space="preserve">. Pre-moratorium debts </w:t>
      </w:r>
      <w:r w:rsidR="000B3910">
        <w:rPr>
          <w:rFonts w:ascii="Avenir Next" w:hAnsi="Avenir Next" w:cs="Arial"/>
          <w:color w:val="808080" w:themeColor="background1" w:themeShade="80"/>
          <w:sz w:val="22"/>
          <w:szCs w:val="22"/>
        </w:rPr>
        <w:t>are its debts which have fallen due before the moratorium or that fall due during the moratorium</w:t>
      </w:r>
      <w:r w:rsidR="008E580D">
        <w:rPr>
          <w:rStyle w:val="FootnoteReference"/>
          <w:rFonts w:ascii="Avenir Next" w:hAnsi="Avenir Next" w:cs="Arial"/>
          <w:color w:val="808080" w:themeColor="background1" w:themeShade="80"/>
          <w:sz w:val="22"/>
          <w:szCs w:val="22"/>
        </w:rPr>
        <w:footnoteReference w:id="4"/>
      </w:r>
      <w:r w:rsidR="000B3910">
        <w:rPr>
          <w:rFonts w:ascii="Avenir Next" w:hAnsi="Avenir Next" w:cs="Arial"/>
          <w:color w:val="808080" w:themeColor="background1" w:themeShade="80"/>
          <w:sz w:val="22"/>
          <w:szCs w:val="22"/>
        </w:rPr>
        <w:t xml:space="preserve">. </w:t>
      </w:r>
      <w:r w:rsidR="008E580D">
        <w:rPr>
          <w:rFonts w:ascii="Avenir Next" w:hAnsi="Avenir Next" w:cs="Arial"/>
          <w:color w:val="808080" w:themeColor="background1" w:themeShade="80"/>
          <w:sz w:val="22"/>
          <w:szCs w:val="22"/>
        </w:rPr>
        <w:t>Section A18(3) further lists the debs which do not fall under the benefit of a payment holi</w:t>
      </w:r>
      <w:r w:rsidR="00542572">
        <w:rPr>
          <w:rFonts w:ascii="Avenir Next" w:hAnsi="Avenir Next" w:cs="Arial"/>
          <w:color w:val="808080" w:themeColor="background1" w:themeShade="80"/>
          <w:sz w:val="22"/>
          <w:szCs w:val="22"/>
        </w:rPr>
        <w:t>day</w:t>
      </w:r>
      <w:r w:rsidR="00387148">
        <w:rPr>
          <w:rFonts w:ascii="Avenir Next" w:hAnsi="Avenir Next" w:cs="Arial"/>
          <w:color w:val="808080" w:themeColor="background1" w:themeShade="80"/>
          <w:sz w:val="22"/>
          <w:szCs w:val="22"/>
        </w:rPr>
        <w:t xml:space="preserve"> on the commencement of a moratorium, they are as follows:</w:t>
      </w:r>
    </w:p>
    <w:p w14:paraId="50BE8163" w14:textId="6FBCF4FD" w:rsidR="00387148" w:rsidRDefault="00387148" w:rsidP="00387148">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Monitors </w:t>
      </w:r>
      <w:r w:rsidR="00A446A1">
        <w:rPr>
          <w:rFonts w:ascii="Avenir Next" w:hAnsi="Avenir Next" w:cs="Arial"/>
          <w:color w:val="808080" w:themeColor="background1" w:themeShade="80"/>
          <w:sz w:val="22"/>
          <w:szCs w:val="22"/>
        </w:rPr>
        <w:t>remuneration or expenses</w:t>
      </w:r>
      <w:r w:rsidR="00130FE2">
        <w:rPr>
          <w:rStyle w:val="FootnoteReference"/>
          <w:rFonts w:ascii="Avenir Next" w:hAnsi="Avenir Next" w:cs="Arial"/>
          <w:color w:val="808080" w:themeColor="background1" w:themeShade="80"/>
          <w:sz w:val="22"/>
          <w:szCs w:val="22"/>
        </w:rPr>
        <w:footnoteReference w:id="5"/>
      </w:r>
      <w:r w:rsidR="00A446A1">
        <w:rPr>
          <w:rFonts w:ascii="Avenir Next" w:hAnsi="Avenir Next" w:cs="Arial"/>
          <w:color w:val="808080" w:themeColor="background1" w:themeShade="80"/>
          <w:sz w:val="22"/>
          <w:szCs w:val="22"/>
        </w:rPr>
        <w:t xml:space="preserve">; however, this component will exclude </w:t>
      </w:r>
      <w:r w:rsidR="00130FE2">
        <w:rPr>
          <w:rFonts w:ascii="Avenir Next" w:hAnsi="Avenir Next" w:cs="Arial"/>
          <w:color w:val="808080" w:themeColor="background1" w:themeShade="80"/>
          <w:sz w:val="22"/>
          <w:szCs w:val="22"/>
        </w:rPr>
        <w:t xml:space="preserve">the remuneration </w:t>
      </w:r>
      <w:r w:rsidR="00130FE2" w:rsidRPr="00130FE2">
        <w:rPr>
          <w:rFonts w:ascii="Avenir Next" w:hAnsi="Avenir Next" w:cs="Arial"/>
          <w:color w:val="808080" w:themeColor="background1" w:themeShade="80"/>
          <w:sz w:val="22"/>
          <w:szCs w:val="22"/>
        </w:rPr>
        <w:t>in respect of anything done by a proposed monitor before the moratorium begins</w:t>
      </w:r>
      <w:r w:rsidR="00862946">
        <w:rPr>
          <w:rStyle w:val="FootnoteReference"/>
          <w:rFonts w:ascii="Avenir Next" w:hAnsi="Avenir Next" w:cs="Arial"/>
          <w:color w:val="808080" w:themeColor="background1" w:themeShade="80"/>
          <w:sz w:val="22"/>
          <w:szCs w:val="22"/>
        </w:rPr>
        <w:footnoteReference w:id="6"/>
      </w:r>
      <w:r w:rsidR="00862946">
        <w:rPr>
          <w:rFonts w:ascii="Avenir Next" w:hAnsi="Avenir Next" w:cs="Arial"/>
          <w:color w:val="808080" w:themeColor="background1" w:themeShade="80"/>
          <w:sz w:val="22"/>
          <w:szCs w:val="22"/>
        </w:rPr>
        <w:t>;</w:t>
      </w:r>
    </w:p>
    <w:p w14:paraId="5186EEF8" w14:textId="2B94C5E0" w:rsidR="00862946" w:rsidRDefault="00862946" w:rsidP="00387148">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Good </w:t>
      </w:r>
      <w:r w:rsidR="00722DB6">
        <w:rPr>
          <w:rFonts w:ascii="Avenir Next" w:hAnsi="Avenir Next" w:cs="Arial"/>
          <w:color w:val="808080" w:themeColor="background1" w:themeShade="80"/>
          <w:sz w:val="22"/>
          <w:szCs w:val="22"/>
        </w:rPr>
        <w:t xml:space="preserve">or </w:t>
      </w:r>
      <w:r w:rsidR="00722DB6" w:rsidRPr="00722DB6">
        <w:rPr>
          <w:rFonts w:ascii="Avenir Next" w:hAnsi="Avenir Next" w:cs="Arial"/>
          <w:color w:val="808080" w:themeColor="background1" w:themeShade="80"/>
          <w:sz w:val="22"/>
          <w:szCs w:val="22"/>
        </w:rPr>
        <w:t>services supplied during the moratorium</w:t>
      </w:r>
      <w:r w:rsidR="00722DB6">
        <w:rPr>
          <w:rStyle w:val="FootnoteReference"/>
          <w:rFonts w:ascii="Avenir Next" w:hAnsi="Avenir Next" w:cs="Arial"/>
          <w:color w:val="808080" w:themeColor="background1" w:themeShade="80"/>
          <w:sz w:val="22"/>
          <w:szCs w:val="22"/>
        </w:rPr>
        <w:footnoteReference w:id="7"/>
      </w:r>
      <w:r w:rsidR="00B94298">
        <w:rPr>
          <w:rFonts w:ascii="Avenir Next" w:hAnsi="Avenir Next" w:cs="Arial"/>
          <w:color w:val="808080" w:themeColor="background1" w:themeShade="80"/>
          <w:sz w:val="22"/>
          <w:szCs w:val="22"/>
        </w:rPr>
        <w:t>;</w:t>
      </w:r>
    </w:p>
    <w:p w14:paraId="631A096F" w14:textId="6BB2DDAE" w:rsidR="00B94298" w:rsidRDefault="00717374" w:rsidP="00387148">
      <w:pPr>
        <w:pStyle w:val="ListParagraph"/>
        <w:numPr>
          <w:ilvl w:val="0"/>
          <w:numId w:val="19"/>
        </w:numPr>
        <w:jc w:val="both"/>
        <w:rPr>
          <w:rFonts w:ascii="Avenir Next" w:hAnsi="Avenir Next" w:cs="Arial"/>
          <w:color w:val="808080" w:themeColor="background1" w:themeShade="80"/>
          <w:sz w:val="22"/>
          <w:szCs w:val="22"/>
        </w:rPr>
      </w:pPr>
      <w:r w:rsidRPr="00717374">
        <w:rPr>
          <w:rFonts w:ascii="Avenir Next" w:hAnsi="Avenir Next" w:cs="Arial"/>
          <w:color w:val="808080" w:themeColor="background1" w:themeShade="80"/>
          <w:sz w:val="22"/>
          <w:szCs w:val="22"/>
        </w:rPr>
        <w:t>rent in respect of a period during the moratorium</w:t>
      </w:r>
      <w:r w:rsidR="000971A4">
        <w:rPr>
          <w:rStyle w:val="FootnoteReference"/>
          <w:rFonts w:ascii="Avenir Next" w:hAnsi="Avenir Next" w:cs="Arial"/>
          <w:color w:val="808080" w:themeColor="background1" w:themeShade="80"/>
          <w:sz w:val="22"/>
          <w:szCs w:val="22"/>
        </w:rPr>
        <w:footnoteReference w:id="8"/>
      </w:r>
      <w:r w:rsidR="000971A4">
        <w:rPr>
          <w:rFonts w:ascii="Avenir Next" w:hAnsi="Avenir Next" w:cs="Arial"/>
          <w:color w:val="808080" w:themeColor="background1" w:themeShade="80"/>
          <w:sz w:val="22"/>
          <w:szCs w:val="22"/>
        </w:rPr>
        <w:t>;</w:t>
      </w:r>
    </w:p>
    <w:p w14:paraId="76D81593" w14:textId="784557E4" w:rsidR="00DF389C" w:rsidRDefault="007B60F2" w:rsidP="00A86004">
      <w:pPr>
        <w:pStyle w:val="ListParagraph"/>
        <w:numPr>
          <w:ilvl w:val="0"/>
          <w:numId w:val="19"/>
        </w:numPr>
        <w:jc w:val="both"/>
        <w:rPr>
          <w:rFonts w:ascii="Avenir Next" w:hAnsi="Avenir Next" w:cs="Arial"/>
          <w:color w:val="808080" w:themeColor="background1" w:themeShade="80"/>
          <w:sz w:val="22"/>
          <w:szCs w:val="22"/>
        </w:rPr>
      </w:pPr>
      <w:r w:rsidRPr="007B60F2">
        <w:rPr>
          <w:rFonts w:ascii="Avenir Next" w:hAnsi="Avenir Next" w:cs="Arial"/>
          <w:color w:val="808080" w:themeColor="background1" w:themeShade="80"/>
          <w:sz w:val="22"/>
          <w:szCs w:val="22"/>
        </w:rPr>
        <w:t>wages or salary arising under a contract of employment</w:t>
      </w:r>
      <w:r>
        <w:rPr>
          <w:rStyle w:val="FootnoteReference"/>
          <w:rFonts w:ascii="Avenir Next" w:hAnsi="Avenir Next" w:cs="Arial"/>
          <w:color w:val="808080" w:themeColor="background1" w:themeShade="80"/>
          <w:sz w:val="22"/>
          <w:szCs w:val="22"/>
        </w:rPr>
        <w:footnoteReference w:id="9"/>
      </w:r>
      <w:r>
        <w:rPr>
          <w:rFonts w:ascii="Avenir Next" w:hAnsi="Avenir Next" w:cs="Arial"/>
          <w:color w:val="808080" w:themeColor="background1" w:themeShade="80"/>
          <w:sz w:val="22"/>
          <w:szCs w:val="22"/>
        </w:rPr>
        <w:t xml:space="preserve">; </w:t>
      </w:r>
      <w:r w:rsidR="00A05F93">
        <w:rPr>
          <w:rFonts w:ascii="Avenir Next" w:hAnsi="Avenir Next" w:cs="Arial"/>
          <w:color w:val="808080" w:themeColor="background1" w:themeShade="80"/>
          <w:sz w:val="22"/>
          <w:szCs w:val="22"/>
        </w:rPr>
        <w:t xml:space="preserve">The phrase wages and salaries used herein, includes </w:t>
      </w:r>
      <w:r w:rsidR="00074DDB">
        <w:rPr>
          <w:rFonts w:ascii="Avenir Next" w:hAnsi="Avenir Next" w:cs="Arial"/>
          <w:color w:val="808080" w:themeColor="background1" w:themeShade="80"/>
          <w:sz w:val="22"/>
          <w:szCs w:val="22"/>
        </w:rPr>
        <w:t>a sum payable in respect of a period of holiday, any sums payable with respect to any leave of absence due to any illness or any other good cause, a sum payable in lieu of a holiday,</w:t>
      </w:r>
      <w:r w:rsidR="00DF389C">
        <w:rPr>
          <w:rFonts w:ascii="Avenir Next" w:hAnsi="Avenir Next" w:cs="Arial"/>
          <w:color w:val="808080" w:themeColor="background1" w:themeShade="80"/>
          <w:sz w:val="22"/>
          <w:szCs w:val="22"/>
        </w:rPr>
        <w:t xml:space="preserve"> or any contribution which ought to </w:t>
      </w:r>
      <w:r w:rsidR="00025265">
        <w:rPr>
          <w:rFonts w:ascii="Avenir Next" w:hAnsi="Avenir Next" w:cs="Arial"/>
          <w:color w:val="808080" w:themeColor="background1" w:themeShade="80"/>
          <w:sz w:val="22"/>
          <w:szCs w:val="22"/>
        </w:rPr>
        <w:t xml:space="preserve">be </w:t>
      </w:r>
      <w:r w:rsidR="00DF389C">
        <w:rPr>
          <w:rFonts w:ascii="Avenir Next" w:hAnsi="Avenir Next" w:cs="Arial"/>
          <w:color w:val="808080" w:themeColor="background1" w:themeShade="80"/>
          <w:sz w:val="22"/>
          <w:szCs w:val="22"/>
        </w:rPr>
        <w:t>made to any pension scheme</w:t>
      </w:r>
      <w:r w:rsidR="00DF389C">
        <w:rPr>
          <w:rStyle w:val="FootnoteReference"/>
          <w:rFonts w:ascii="Avenir Next" w:hAnsi="Avenir Next" w:cs="Arial"/>
          <w:color w:val="808080" w:themeColor="background1" w:themeShade="80"/>
          <w:sz w:val="22"/>
          <w:szCs w:val="22"/>
        </w:rPr>
        <w:footnoteReference w:id="10"/>
      </w:r>
      <w:r w:rsidR="00DF389C">
        <w:rPr>
          <w:rFonts w:ascii="Avenir Next" w:hAnsi="Avenir Next" w:cs="Arial"/>
          <w:color w:val="808080" w:themeColor="background1" w:themeShade="80"/>
          <w:sz w:val="22"/>
          <w:szCs w:val="22"/>
        </w:rPr>
        <w:t>;</w:t>
      </w:r>
    </w:p>
    <w:p w14:paraId="572227E7" w14:textId="00A449EF" w:rsidR="0045683E" w:rsidRDefault="00A86004" w:rsidP="002A37BB">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redundancy payment</w:t>
      </w:r>
      <w:r w:rsidR="003F7F0F">
        <w:rPr>
          <w:rStyle w:val="FootnoteReference"/>
          <w:rFonts w:ascii="Avenir Next" w:hAnsi="Avenir Next" w:cs="Arial"/>
          <w:color w:val="808080" w:themeColor="background1" w:themeShade="80"/>
          <w:sz w:val="22"/>
          <w:szCs w:val="22"/>
        </w:rPr>
        <w:footnoteReference w:id="11"/>
      </w:r>
      <w:r w:rsidR="003F7F0F">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under Part 11 of </w:t>
      </w:r>
      <w:r w:rsidR="00476AAC" w:rsidRPr="00476AAC">
        <w:rPr>
          <w:rFonts w:ascii="Avenir Next" w:hAnsi="Avenir Next" w:cs="Arial"/>
          <w:color w:val="808080" w:themeColor="background1" w:themeShade="80"/>
          <w:sz w:val="22"/>
          <w:szCs w:val="22"/>
        </w:rPr>
        <w:t>the Employment Rights Act 1996 or Part 12 of the Employment Rights (Northern Ireland) Order 1996, or a payment made to a person who agrees to the termination of their employment in circumstances where they would have been entitled to a redundancy payment under that Part if dismissed</w:t>
      </w:r>
      <w:r w:rsidR="00476AAC">
        <w:rPr>
          <w:rStyle w:val="FootnoteReference"/>
          <w:rFonts w:ascii="Avenir Next" w:hAnsi="Avenir Next" w:cs="Arial"/>
          <w:color w:val="808080" w:themeColor="background1" w:themeShade="80"/>
          <w:sz w:val="22"/>
          <w:szCs w:val="22"/>
        </w:rPr>
        <w:footnoteReference w:id="12"/>
      </w:r>
      <w:r w:rsidR="00455876">
        <w:rPr>
          <w:rFonts w:ascii="Avenir Next" w:hAnsi="Avenir Next" w:cs="Arial"/>
          <w:color w:val="808080" w:themeColor="background1" w:themeShade="80"/>
          <w:sz w:val="22"/>
          <w:szCs w:val="22"/>
        </w:rPr>
        <w:t>;</w:t>
      </w:r>
    </w:p>
    <w:p w14:paraId="724F3F56" w14:textId="607A2F25" w:rsidR="00455876" w:rsidRDefault="00247E4A" w:rsidP="002A37BB">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debt or obligation which is arising under any financial contract which involves a financial institution. Hence any coupon, or installment or repayment</w:t>
      </w:r>
      <w:r w:rsidR="00622ACA">
        <w:rPr>
          <w:rFonts w:ascii="Avenir Next" w:hAnsi="Avenir Next" w:cs="Arial"/>
          <w:color w:val="808080" w:themeColor="background1" w:themeShade="80"/>
          <w:sz w:val="22"/>
          <w:szCs w:val="22"/>
        </w:rPr>
        <w:t xml:space="preserve"> which falls due on the company during the period of moratorium under any debt instrument (debentures or a traditional bank loan), is</w:t>
      </w:r>
      <w:r w:rsidR="00025265">
        <w:rPr>
          <w:rFonts w:ascii="Avenir Next" w:hAnsi="Avenir Next" w:cs="Arial"/>
          <w:color w:val="808080" w:themeColor="background1" w:themeShade="80"/>
          <w:sz w:val="22"/>
          <w:szCs w:val="22"/>
        </w:rPr>
        <w:t xml:space="preserve"> </w:t>
      </w:r>
      <w:r w:rsidR="000A7140">
        <w:rPr>
          <w:rFonts w:ascii="Avenir Next" w:hAnsi="Avenir Next" w:cs="Arial"/>
          <w:color w:val="808080" w:themeColor="background1" w:themeShade="80"/>
          <w:sz w:val="22"/>
          <w:szCs w:val="22"/>
        </w:rPr>
        <w:t xml:space="preserve">not </w:t>
      </w:r>
      <w:r w:rsidR="00622ACA">
        <w:rPr>
          <w:rFonts w:ascii="Avenir Next" w:hAnsi="Avenir Next" w:cs="Arial"/>
          <w:color w:val="808080" w:themeColor="background1" w:themeShade="80"/>
          <w:sz w:val="22"/>
          <w:szCs w:val="22"/>
        </w:rPr>
        <w:t>covered under the payment holiday.</w:t>
      </w:r>
    </w:p>
    <w:p w14:paraId="1CBFA8A9" w14:textId="77777777" w:rsidR="00622ACA" w:rsidRPr="00476AAC" w:rsidRDefault="00622ACA" w:rsidP="00622ACA">
      <w:pPr>
        <w:pStyle w:val="ListParagraph"/>
        <w:ind w:left="1080"/>
        <w:jc w:val="both"/>
        <w:rPr>
          <w:rFonts w:ascii="Avenir Next" w:hAnsi="Avenir Next" w:cs="Arial"/>
          <w:color w:val="808080" w:themeColor="background1" w:themeShade="80"/>
          <w:sz w:val="22"/>
          <w:szCs w:val="22"/>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70BECF44" w14:textId="06B400E7" w:rsidR="0063381C" w:rsidRDefault="001F597F"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essence of administration lies in </w:t>
      </w:r>
      <w:r w:rsidR="004E06B4">
        <w:rPr>
          <w:rFonts w:ascii="Avenir Next" w:hAnsi="Avenir Next" w:cs="Arial"/>
          <w:color w:val="808080" w:themeColor="background1" w:themeShade="80"/>
          <w:sz w:val="22"/>
          <w:szCs w:val="22"/>
        </w:rPr>
        <w:t>turning around</w:t>
      </w:r>
      <w:r w:rsidR="00931CB6">
        <w:rPr>
          <w:rFonts w:ascii="Avenir Next" w:hAnsi="Avenir Next" w:cs="Arial"/>
          <w:color w:val="808080" w:themeColor="background1" w:themeShade="80"/>
          <w:sz w:val="22"/>
          <w:szCs w:val="22"/>
        </w:rPr>
        <w:t xml:space="preserve"> or rescuing</w:t>
      </w:r>
      <w:r w:rsidR="004E06B4">
        <w:rPr>
          <w:rFonts w:ascii="Avenir Next" w:hAnsi="Avenir Next" w:cs="Arial"/>
          <w:color w:val="808080" w:themeColor="background1" w:themeShade="80"/>
          <w:sz w:val="22"/>
          <w:szCs w:val="22"/>
        </w:rPr>
        <w:t xml:space="preserve"> the business of the debtor company and handing over the same back to its directors and management after that period. One of the main </w:t>
      </w:r>
      <w:r w:rsidR="004E06B4">
        <w:rPr>
          <w:rFonts w:ascii="Avenir Next" w:hAnsi="Avenir Next" w:cs="Arial"/>
          <w:color w:val="808080" w:themeColor="background1" w:themeShade="80"/>
          <w:sz w:val="22"/>
          <w:szCs w:val="22"/>
        </w:rPr>
        <w:lastRenderedPageBreak/>
        <w:t xml:space="preserve">elements </w:t>
      </w:r>
      <w:r w:rsidR="00DA197C">
        <w:rPr>
          <w:rFonts w:ascii="Avenir Next" w:hAnsi="Avenir Next" w:cs="Arial"/>
          <w:color w:val="808080" w:themeColor="background1" w:themeShade="80"/>
          <w:sz w:val="22"/>
          <w:szCs w:val="22"/>
        </w:rPr>
        <w:t xml:space="preserve">and concepts that encompasses this whole objective is to make sure that the company remains as a going concern </w:t>
      </w:r>
      <w:r w:rsidR="00B2671B">
        <w:rPr>
          <w:rFonts w:ascii="Avenir Next" w:hAnsi="Avenir Next" w:cs="Arial"/>
          <w:color w:val="808080" w:themeColor="background1" w:themeShade="80"/>
          <w:sz w:val="22"/>
          <w:szCs w:val="22"/>
        </w:rPr>
        <w:t xml:space="preserve">and for the same the uninterrupted supply of essential goods and services is indispensable. </w:t>
      </w:r>
      <w:r w:rsidR="00383CCD">
        <w:rPr>
          <w:rFonts w:ascii="Avenir Next" w:hAnsi="Avenir Next" w:cs="Arial"/>
          <w:color w:val="808080" w:themeColor="background1" w:themeShade="80"/>
          <w:sz w:val="22"/>
          <w:szCs w:val="22"/>
        </w:rPr>
        <w:t xml:space="preserve">Given the nature or the perception of an ‘insolvency’ event or an ‘administration’, etc. will obviously deter suppliers and traders from engaging or trading with the debtor company almost immediately. Hence the law has plugged in certain safeguards </w:t>
      </w:r>
      <w:r w:rsidR="008B293E">
        <w:rPr>
          <w:rFonts w:ascii="Avenir Next" w:hAnsi="Avenir Next" w:cs="Arial"/>
          <w:color w:val="808080" w:themeColor="background1" w:themeShade="80"/>
          <w:sz w:val="22"/>
          <w:szCs w:val="22"/>
        </w:rPr>
        <w:t>which are discussed herein below:</w:t>
      </w:r>
    </w:p>
    <w:p w14:paraId="36D11FC1" w14:textId="77777777" w:rsidR="008B293E" w:rsidRDefault="008B293E" w:rsidP="002A37BB">
      <w:pPr>
        <w:jc w:val="both"/>
        <w:rPr>
          <w:rFonts w:ascii="Avenir Next" w:hAnsi="Avenir Next" w:cs="Arial"/>
          <w:color w:val="808080" w:themeColor="background1" w:themeShade="80"/>
          <w:sz w:val="22"/>
          <w:szCs w:val="22"/>
        </w:rPr>
      </w:pPr>
    </w:p>
    <w:p w14:paraId="76F70711" w14:textId="5DD735CE" w:rsidR="00B271DA" w:rsidRDefault="008B293E" w:rsidP="008B293E">
      <w:pPr>
        <w:pStyle w:val="ListParagraph"/>
        <w:numPr>
          <w:ilvl w:val="0"/>
          <w:numId w:val="20"/>
        </w:numPr>
        <w:jc w:val="both"/>
        <w:rPr>
          <w:rFonts w:ascii="Avenir Next" w:hAnsi="Avenir Next" w:cs="Arial"/>
          <w:color w:val="808080" w:themeColor="background1" w:themeShade="80"/>
          <w:sz w:val="22"/>
          <w:szCs w:val="22"/>
        </w:rPr>
      </w:pPr>
      <w:r w:rsidRPr="00931CB6">
        <w:rPr>
          <w:rFonts w:ascii="Avenir Next" w:hAnsi="Avenir Next" w:cs="Arial"/>
          <w:b/>
          <w:bCs/>
          <w:color w:val="808080" w:themeColor="background1" w:themeShade="80"/>
          <w:sz w:val="22"/>
          <w:szCs w:val="22"/>
        </w:rPr>
        <w:t xml:space="preserve">Supplies of gas, water </w:t>
      </w:r>
      <w:r w:rsidR="00B271DA" w:rsidRPr="00931CB6">
        <w:rPr>
          <w:rFonts w:ascii="Avenir Next" w:hAnsi="Avenir Next" w:cs="Arial"/>
          <w:b/>
          <w:bCs/>
          <w:color w:val="808080" w:themeColor="background1" w:themeShade="80"/>
          <w:sz w:val="22"/>
          <w:szCs w:val="22"/>
        </w:rPr>
        <w:t>etc</w:t>
      </w:r>
      <w:r w:rsidR="00B271DA">
        <w:rPr>
          <w:rFonts w:ascii="Avenir Next" w:hAnsi="Avenir Next" w:cs="Arial"/>
          <w:color w:val="808080" w:themeColor="background1" w:themeShade="80"/>
          <w:sz w:val="22"/>
          <w:szCs w:val="22"/>
        </w:rPr>
        <w:t>.: Section 233 of the Insolvency Act, 1986 (“</w:t>
      </w:r>
      <w:r w:rsidR="00B271DA" w:rsidRPr="00B271DA">
        <w:rPr>
          <w:rFonts w:ascii="Avenir Next" w:hAnsi="Avenir Next" w:cs="Arial"/>
          <w:b/>
          <w:bCs/>
          <w:color w:val="808080" w:themeColor="background1" w:themeShade="80"/>
          <w:sz w:val="22"/>
          <w:szCs w:val="22"/>
        </w:rPr>
        <w:t>Act</w:t>
      </w:r>
      <w:r w:rsidR="00B271DA">
        <w:rPr>
          <w:rFonts w:ascii="Avenir Next" w:hAnsi="Avenir Next" w:cs="Arial"/>
          <w:color w:val="808080" w:themeColor="background1" w:themeShade="80"/>
          <w:sz w:val="22"/>
          <w:szCs w:val="22"/>
        </w:rPr>
        <w:t>”), covers supp</w:t>
      </w:r>
      <w:r w:rsidR="004F62C4">
        <w:rPr>
          <w:rFonts w:ascii="Avenir Next" w:hAnsi="Avenir Next" w:cs="Arial"/>
          <w:color w:val="808080" w:themeColor="background1" w:themeShade="80"/>
          <w:sz w:val="22"/>
          <w:szCs w:val="22"/>
        </w:rPr>
        <w:t>lies and services</w:t>
      </w:r>
      <w:r w:rsidR="00B271DA">
        <w:rPr>
          <w:rFonts w:ascii="Avenir Next" w:hAnsi="Avenir Next" w:cs="Arial"/>
          <w:color w:val="808080" w:themeColor="background1" w:themeShade="80"/>
          <w:sz w:val="22"/>
          <w:szCs w:val="22"/>
        </w:rPr>
        <w:t xml:space="preserve"> such as</w:t>
      </w:r>
      <w:r w:rsidR="006E3F44">
        <w:rPr>
          <w:rStyle w:val="FootnoteReference"/>
          <w:rFonts w:ascii="Avenir Next" w:hAnsi="Avenir Next" w:cs="Arial"/>
          <w:color w:val="808080" w:themeColor="background1" w:themeShade="80"/>
          <w:sz w:val="22"/>
          <w:szCs w:val="22"/>
        </w:rPr>
        <w:footnoteReference w:id="13"/>
      </w:r>
      <w:r w:rsidR="00B271DA">
        <w:rPr>
          <w:rFonts w:ascii="Avenir Next" w:hAnsi="Avenir Next" w:cs="Arial"/>
          <w:color w:val="808080" w:themeColor="background1" w:themeShade="80"/>
          <w:sz w:val="22"/>
          <w:szCs w:val="22"/>
        </w:rPr>
        <w:t>:</w:t>
      </w:r>
    </w:p>
    <w:p w14:paraId="3D3738BA" w14:textId="1B4E96C6" w:rsidR="008B293E" w:rsidRDefault="00A531F9" w:rsidP="00A531F9">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Gas</w:t>
      </w:r>
      <w:r w:rsidR="004974E3">
        <w:rPr>
          <w:rFonts w:ascii="Avenir Next" w:hAnsi="Avenir Next" w:cs="Arial"/>
          <w:color w:val="808080" w:themeColor="background1" w:themeShade="80"/>
          <w:sz w:val="22"/>
          <w:szCs w:val="22"/>
        </w:rPr>
        <w:t>;</w:t>
      </w:r>
    </w:p>
    <w:p w14:paraId="750EC8CC" w14:textId="30FAF5FC" w:rsidR="00A531F9" w:rsidRDefault="00A531F9" w:rsidP="00A531F9">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Electricity</w:t>
      </w:r>
      <w:r w:rsidR="004974E3">
        <w:rPr>
          <w:rFonts w:ascii="Avenir Next" w:hAnsi="Avenir Next" w:cs="Arial"/>
          <w:color w:val="808080" w:themeColor="background1" w:themeShade="80"/>
          <w:sz w:val="22"/>
          <w:szCs w:val="22"/>
        </w:rPr>
        <w:t>;</w:t>
      </w:r>
    </w:p>
    <w:p w14:paraId="4B2B023C" w14:textId="26BB8609" w:rsidR="00A531F9" w:rsidRDefault="00A531F9" w:rsidP="00A531F9">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Water</w:t>
      </w:r>
      <w:r w:rsidR="004974E3">
        <w:rPr>
          <w:rFonts w:ascii="Avenir Next" w:hAnsi="Avenir Next" w:cs="Arial"/>
          <w:color w:val="808080" w:themeColor="background1" w:themeShade="80"/>
          <w:sz w:val="22"/>
          <w:szCs w:val="22"/>
        </w:rPr>
        <w:t>;</w:t>
      </w:r>
    </w:p>
    <w:p w14:paraId="5411F640" w14:textId="2A815236" w:rsidR="00A531F9" w:rsidRDefault="009A1C05" w:rsidP="00A531F9">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Supply of communications</w:t>
      </w:r>
      <w:r w:rsidR="002F60F0">
        <w:rPr>
          <w:rFonts w:ascii="Avenir Next" w:hAnsi="Avenir Next" w:cs="Arial"/>
          <w:color w:val="808080" w:themeColor="background1" w:themeShade="80"/>
          <w:sz w:val="22"/>
          <w:szCs w:val="22"/>
        </w:rPr>
        <w:t xml:space="preserve"> or communication services (but excludes </w:t>
      </w:r>
      <w:r w:rsidR="004974E3">
        <w:rPr>
          <w:rFonts w:ascii="Avenir Next" w:hAnsi="Avenir Next" w:cs="Arial"/>
          <w:color w:val="808080" w:themeColor="background1" w:themeShade="80"/>
          <w:sz w:val="22"/>
          <w:szCs w:val="22"/>
        </w:rPr>
        <w:t>services which are used for broadcasting or likewise</w:t>
      </w:r>
      <w:r w:rsidR="00515308">
        <w:rPr>
          <w:rStyle w:val="FootnoteReference"/>
          <w:rFonts w:ascii="Avenir Next" w:hAnsi="Avenir Next" w:cs="Arial"/>
          <w:color w:val="808080" w:themeColor="background1" w:themeShade="80"/>
          <w:sz w:val="22"/>
          <w:szCs w:val="22"/>
        </w:rPr>
        <w:footnoteReference w:id="14"/>
      </w:r>
      <w:r w:rsidR="004974E3">
        <w:rPr>
          <w:rFonts w:ascii="Avenir Next" w:hAnsi="Avenir Next" w:cs="Arial"/>
          <w:color w:val="808080" w:themeColor="background1" w:themeShade="80"/>
          <w:sz w:val="22"/>
          <w:szCs w:val="22"/>
        </w:rPr>
        <w:t>);</w:t>
      </w:r>
    </w:p>
    <w:p w14:paraId="6E67A12B" w14:textId="565E628E" w:rsidR="004F62C4" w:rsidRDefault="00BF3916" w:rsidP="004F62C4">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Supplies essential for enabling or facilitating anything to be done by electronic means such as; </w:t>
      </w:r>
      <w:r w:rsidR="000D323C">
        <w:rPr>
          <w:rFonts w:ascii="Avenir Next" w:hAnsi="Avenir Next" w:cs="Arial"/>
          <w:color w:val="808080" w:themeColor="background1" w:themeShade="80"/>
          <w:sz w:val="22"/>
          <w:szCs w:val="22"/>
        </w:rPr>
        <w:t xml:space="preserve">point of sale terminals, computer hardware and software, information, advice and technical </w:t>
      </w:r>
      <w:r w:rsidR="004974E3">
        <w:rPr>
          <w:rFonts w:ascii="Avenir Next" w:hAnsi="Avenir Next" w:cs="Arial"/>
          <w:color w:val="808080" w:themeColor="background1" w:themeShade="80"/>
          <w:sz w:val="22"/>
          <w:szCs w:val="22"/>
        </w:rPr>
        <w:t>assistance,</w:t>
      </w:r>
      <w:r w:rsidR="000D323C">
        <w:rPr>
          <w:rFonts w:ascii="Avenir Next" w:hAnsi="Avenir Next" w:cs="Arial"/>
          <w:color w:val="808080" w:themeColor="background1" w:themeShade="80"/>
          <w:sz w:val="22"/>
          <w:szCs w:val="22"/>
        </w:rPr>
        <w:t xml:space="preserve"> data storage and processing, website hostin</w:t>
      </w:r>
      <w:r w:rsidR="004F62C4">
        <w:rPr>
          <w:rFonts w:ascii="Avenir Next" w:hAnsi="Avenir Next" w:cs="Arial"/>
          <w:color w:val="808080" w:themeColor="background1" w:themeShade="80"/>
          <w:sz w:val="22"/>
          <w:szCs w:val="22"/>
        </w:rPr>
        <w:t>g</w:t>
      </w:r>
      <w:r w:rsidR="00515308">
        <w:rPr>
          <w:rStyle w:val="FootnoteReference"/>
          <w:rFonts w:ascii="Avenir Next" w:hAnsi="Avenir Next" w:cs="Arial"/>
          <w:color w:val="808080" w:themeColor="background1" w:themeShade="80"/>
          <w:sz w:val="22"/>
          <w:szCs w:val="22"/>
        </w:rPr>
        <w:footnoteReference w:id="15"/>
      </w:r>
    </w:p>
    <w:p w14:paraId="75679A29" w14:textId="635B8882" w:rsidR="004F62C4" w:rsidRDefault="004F62C4" w:rsidP="004F62C4">
      <w:pPr>
        <w:ind w:left="149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further stipulates that any one who is supplying the aforementioned services and </w:t>
      </w:r>
      <w:r w:rsidR="00565860">
        <w:rPr>
          <w:rFonts w:ascii="Avenir Next" w:hAnsi="Avenir Next" w:cs="Arial"/>
          <w:color w:val="808080" w:themeColor="background1" w:themeShade="80"/>
          <w:sz w:val="22"/>
          <w:szCs w:val="22"/>
        </w:rPr>
        <w:t>supplie</w:t>
      </w:r>
      <w:r w:rsidR="00402FB3">
        <w:rPr>
          <w:rFonts w:ascii="Avenir Next" w:hAnsi="Avenir Next" w:cs="Arial"/>
          <w:color w:val="808080" w:themeColor="background1" w:themeShade="80"/>
          <w:sz w:val="22"/>
          <w:szCs w:val="22"/>
        </w:rPr>
        <w:t>s</w:t>
      </w:r>
      <w:r w:rsidR="00565860">
        <w:rPr>
          <w:rFonts w:ascii="Avenir Next" w:hAnsi="Avenir Next" w:cs="Arial"/>
          <w:color w:val="808080" w:themeColor="background1" w:themeShade="80"/>
          <w:sz w:val="22"/>
          <w:szCs w:val="22"/>
        </w:rPr>
        <w:t xml:space="preserve"> to the company debtor after the company has ente</w:t>
      </w:r>
      <w:r w:rsidR="0067027E">
        <w:rPr>
          <w:rFonts w:ascii="Avenir Next" w:hAnsi="Avenir Next" w:cs="Arial"/>
          <w:color w:val="808080" w:themeColor="background1" w:themeShade="80"/>
          <w:sz w:val="22"/>
          <w:szCs w:val="22"/>
        </w:rPr>
        <w:t>red into administration</w:t>
      </w:r>
      <w:r w:rsidR="00402FB3">
        <w:rPr>
          <w:rFonts w:ascii="Avenir Next" w:hAnsi="Avenir Next" w:cs="Arial"/>
          <w:color w:val="808080" w:themeColor="background1" w:themeShade="80"/>
          <w:sz w:val="22"/>
          <w:szCs w:val="22"/>
        </w:rPr>
        <w:t>, can make a request or representation to the administrator to personally guarantee the payment of the same</w:t>
      </w:r>
      <w:r w:rsidR="008250C9">
        <w:rPr>
          <w:rStyle w:val="FootnoteReference"/>
          <w:rFonts w:ascii="Avenir Next" w:hAnsi="Avenir Next" w:cs="Arial"/>
          <w:color w:val="808080" w:themeColor="background1" w:themeShade="80"/>
          <w:sz w:val="22"/>
          <w:szCs w:val="22"/>
        </w:rPr>
        <w:footnoteReference w:id="16"/>
      </w:r>
      <w:r w:rsidR="00402FB3">
        <w:rPr>
          <w:rFonts w:ascii="Avenir Next" w:hAnsi="Avenir Next" w:cs="Arial"/>
          <w:color w:val="808080" w:themeColor="background1" w:themeShade="80"/>
          <w:sz w:val="22"/>
          <w:szCs w:val="22"/>
        </w:rPr>
        <w:t xml:space="preserve">. However, </w:t>
      </w:r>
      <w:r w:rsidR="000005A0">
        <w:rPr>
          <w:rFonts w:ascii="Avenir Next" w:hAnsi="Avenir Next" w:cs="Arial"/>
          <w:color w:val="808080" w:themeColor="background1" w:themeShade="80"/>
          <w:sz w:val="22"/>
          <w:szCs w:val="22"/>
        </w:rPr>
        <w:t xml:space="preserve">no such supplier will hold a ransom to the effect that the said supplies </w:t>
      </w:r>
      <w:r w:rsidR="005A077B">
        <w:rPr>
          <w:rFonts w:ascii="Avenir Next" w:hAnsi="Avenir Next" w:cs="Arial"/>
          <w:color w:val="808080" w:themeColor="background1" w:themeShade="80"/>
          <w:sz w:val="22"/>
          <w:szCs w:val="22"/>
        </w:rPr>
        <w:t>and services will only be supplied if the outstanding payments, pertaining to pre-administration should be cleared first</w:t>
      </w:r>
      <w:r w:rsidR="00DB4909">
        <w:rPr>
          <w:rStyle w:val="FootnoteReference"/>
          <w:rFonts w:ascii="Avenir Next" w:hAnsi="Avenir Next" w:cs="Arial"/>
          <w:color w:val="808080" w:themeColor="background1" w:themeShade="80"/>
          <w:sz w:val="22"/>
          <w:szCs w:val="22"/>
        </w:rPr>
        <w:footnoteReference w:id="17"/>
      </w:r>
      <w:r w:rsidR="005A077B">
        <w:rPr>
          <w:rFonts w:ascii="Avenir Next" w:hAnsi="Avenir Next" w:cs="Arial"/>
          <w:color w:val="808080" w:themeColor="background1" w:themeShade="80"/>
          <w:sz w:val="22"/>
          <w:szCs w:val="22"/>
        </w:rPr>
        <w:t>.</w:t>
      </w:r>
    </w:p>
    <w:p w14:paraId="6D9BB683" w14:textId="77777777" w:rsidR="005A077B" w:rsidRDefault="005A077B" w:rsidP="004F62C4">
      <w:pPr>
        <w:ind w:left="1490"/>
        <w:jc w:val="both"/>
        <w:rPr>
          <w:rFonts w:ascii="Avenir Next" w:hAnsi="Avenir Next" w:cs="Arial"/>
          <w:color w:val="808080" w:themeColor="background1" w:themeShade="80"/>
          <w:sz w:val="22"/>
          <w:szCs w:val="22"/>
        </w:rPr>
      </w:pPr>
    </w:p>
    <w:p w14:paraId="1F47FC32" w14:textId="74E5157C" w:rsidR="005A077B" w:rsidRDefault="00251927" w:rsidP="005A077B">
      <w:pPr>
        <w:pStyle w:val="ListParagraph"/>
        <w:numPr>
          <w:ilvl w:val="0"/>
          <w:numId w:val="20"/>
        </w:numPr>
        <w:jc w:val="both"/>
        <w:rPr>
          <w:rFonts w:ascii="Avenir Next" w:hAnsi="Avenir Next" w:cs="Arial"/>
          <w:color w:val="808080" w:themeColor="background1" w:themeShade="80"/>
          <w:sz w:val="22"/>
          <w:szCs w:val="22"/>
        </w:rPr>
      </w:pPr>
      <w:r w:rsidRPr="00931CB6">
        <w:rPr>
          <w:rFonts w:ascii="Avenir Next" w:hAnsi="Avenir Next" w:cs="Arial"/>
          <w:b/>
          <w:bCs/>
          <w:color w:val="808080" w:themeColor="background1" w:themeShade="80"/>
          <w:sz w:val="22"/>
          <w:szCs w:val="22"/>
        </w:rPr>
        <w:t>Ipso Facto Clauses</w:t>
      </w:r>
      <w:r w:rsidR="00677216">
        <w:rPr>
          <w:rFonts w:ascii="Avenir Next" w:hAnsi="Avenir Next" w:cs="Arial"/>
          <w:color w:val="808080" w:themeColor="background1" w:themeShade="80"/>
          <w:sz w:val="22"/>
          <w:szCs w:val="22"/>
        </w:rPr>
        <w:t xml:space="preserve">: </w:t>
      </w:r>
      <w:r w:rsidR="005105C0">
        <w:rPr>
          <w:rFonts w:ascii="Avenir Next" w:hAnsi="Avenir Next" w:cs="Arial"/>
          <w:color w:val="808080" w:themeColor="background1" w:themeShade="80"/>
          <w:sz w:val="22"/>
          <w:szCs w:val="22"/>
        </w:rPr>
        <w:t xml:space="preserve">The Insolvency (Protection of Essential Supplies) Order 2015 inserted a </w:t>
      </w:r>
      <w:r w:rsidR="00931CB6">
        <w:rPr>
          <w:rFonts w:ascii="Avenir Next" w:hAnsi="Avenir Next" w:cs="Arial"/>
          <w:color w:val="808080" w:themeColor="background1" w:themeShade="80"/>
          <w:sz w:val="22"/>
          <w:szCs w:val="22"/>
        </w:rPr>
        <w:t>S</w:t>
      </w:r>
      <w:r w:rsidR="005105C0">
        <w:rPr>
          <w:rFonts w:ascii="Avenir Next" w:hAnsi="Avenir Next" w:cs="Arial"/>
          <w:color w:val="808080" w:themeColor="background1" w:themeShade="80"/>
          <w:sz w:val="22"/>
          <w:szCs w:val="22"/>
        </w:rPr>
        <w:t xml:space="preserve">ection </w:t>
      </w:r>
      <w:r w:rsidR="00466AA9">
        <w:rPr>
          <w:rFonts w:ascii="Avenir Next" w:hAnsi="Avenir Next" w:cs="Arial"/>
          <w:color w:val="808080" w:themeColor="background1" w:themeShade="80"/>
          <w:sz w:val="22"/>
          <w:szCs w:val="22"/>
        </w:rPr>
        <w:t xml:space="preserve">233A in the Act, </w:t>
      </w:r>
      <w:r w:rsidR="00A016BB">
        <w:rPr>
          <w:rFonts w:ascii="Avenir Next" w:hAnsi="Avenir Next" w:cs="Arial"/>
          <w:color w:val="808080" w:themeColor="background1" w:themeShade="80"/>
          <w:sz w:val="22"/>
          <w:szCs w:val="22"/>
        </w:rPr>
        <w:t>to further protect the enforcement of any ipso facto clause, or a</w:t>
      </w:r>
      <w:r w:rsidR="004F4050">
        <w:rPr>
          <w:rFonts w:ascii="Avenir Next" w:hAnsi="Avenir Next" w:cs="Arial"/>
          <w:color w:val="808080" w:themeColor="background1" w:themeShade="80"/>
          <w:sz w:val="22"/>
          <w:szCs w:val="22"/>
        </w:rPr>
        <w:t xml:space="preserve">n insolvency related term for contract of goods and services </w:t>
      </w:r>
      <w:r w:rsidR="00E77B45">
        <w:rPr>
          <w:rFonts w:ascii="Avenir Next" w:hAnsi="Avenir Next" w:cs="Arial"/>
          <w:color w:val="808080" w:themeColor="background1" w:themeShade="80"/>
          <w:sz w:val="22"/>
          <w:szCs w:val="22"/>
        </w:rPr>
        <w:t>under which the contract would terminate because the company enters into administration</w:t>
      </w:r>
      <w:r w:rsidR="00D672BB">
        <w:rPr>
          <w:rFonts w:ascii="Avenir Next" w:hAnsi="Avenir Next" w:cs="Arial"/>
          <w:color w:val="808080" w:themeColor="background1" w:themeShade="80"/>
          <w:sz w:val="22"/>
          <w:szCs w:val="22"/>
        </w:rPr>
        <w:t xml:space="preserve">, or the supplier would be entitled to terminate the same or the supplier would be </w:t>
      </w:r>
      <w:r w:rsidR="00931CB6">
        <w:rPr>
          <w:rFonts w:ascii="Avenir Next" w:hAnsi="Avenir Next" w:cs="Arial"/>
          <w:color w:val="808080" w:themeColor="background1" w:themeShade="80"/>
          <w:sz w:val="22"/>
          <w:szCs w:val="22"/>
        </w:rPr>
        <w:t>entitled</w:t>
      </w:r>
      <w:r w:rsidR="00D672BB">
        <w:rPr>
          <w:rFonts w:ascii="Avenir Next" w:hAnsi="Avenir Next" w:cs="Arial"/>
          <w:color w:val="808080" w:themeColor="background1" w:themeShade="80"/>
          <w:sz w:val="22"/>
          <w:szCs w:val="22"/>
        </w:rPr>
        <w:t xml:space="preserve"> to terminate the same </w:t>
      </w:r>
      <w:r w:rsidR="00A51400">
        <w:rPr>
          <w:rFonts w:ascii="Avenir Next" w:hAnsi="Avenir Next" w:cs="Arial"/>
          <w:color w:val="808080" w:themeColor="background1" w:themeShade="80"/>
          <w:sz w:val="22"/>
          <w:szCs w:val="22"/>
        </w:rPr>
        <w:t>because</w:t>
      </w:r>
      <w:r w:rsidR="00D672BB">
        <w:rPr>
          <w:rFonts w:ascii="Avenir Next" w:hAnsi="Avenir Next" w:cs="Arial"/>
          <w:color w:val="808080" w:themeColor="background1" w:themeShade="80"/>
          <w:sz w:val="22"/>
          <w:szCs w:val="22"/>
        </w:rPr>
        <w:t xml:space="preserve"> of an event which happens </w:t>
      </w:r>
      <w:r w:rsidR="00E70FD7">
        <w:rPr>
          <w:rFonts w:ascii="Avenir Next" w:hAnsi="Avenir Next" w:cs="Arial"/>
          <w:color w:val="808080" w:themeColor="background1" w:themeShade="80"/>
          <w:sz w:val="22"/>
          <w:szCs w:val="22"/>
        </w:rPr>
        <w:t xml:space="preserve">before the company </w:t>
      </w:r>
      <w:r w:rsidR="009E033B">
        <w:rPr>
          <w:rFonts w:ascii="Avenir Next" w:hAnsi="Avenir Next" w:cs="Arial"/>
          <w:color w:val="808080" w:themeColor="background1" w:themeShade="80"/>
          <w:sz w:val="22"/>
          <w:szCs w:val="22"/>
        </w:rPr>
        <w:t>enters</w:t>
      </w:r>
      <w:r w:rsidR="00E70FD7">
        <w:rPr>
          <w:rFonts w:ascii="Avenir Next" w:hAnsi="Avenir Next" w:cs="Arial"/>
          <w:color w:val="808080" w:themeColor="background1" w:themeShade="80"/>
          <w:sz w:val="22"/>
          <w:szCs w:val="22"/>
        </w:rPr>
        <w:t xml:space="preserve"> into administration</w:t>
      </w:r>
      <w:r w:rsidR="00963A11">
        <w:rPr>
          <w:rStyle w:val="FootnoteReference"/>
          <w:rFonts w:ascii="Avenir Next" w:hAnsi="Avenir Next" w:cs="Arial"/>
          <w:color w:val="808080" w:themeColor="background1" w:themeShade="80"/>
          <w:sz w:val="22"/>
          <w:szCs w:val="22"/>
        </w:rPr>
        <w:footnoteReference w:id="18"/>
      </w:r>
      <w:r w:rsidR="00E70FD7">
        <w:rPr>
          <w:rFonts w:ascii="Avenir Next" w:hAnsi="Avenir Next" w:cs="Arial"/>
          <w:color w:val="808080" w:themeColor="background1" w:themeShade="80"/>
          <w:sz w:val="22"/>
          <w:szCs w:val="22"/>
        </w:rPr>
        <w:t xml:space="preserve">. </w:t>
      </w:r>
      <w:r w:rsidR="00653A9B">
        <w:rPr>
          <w:rFonts w:ascii="Avenir Next" w:hAnsi="Avenir Next" w:cs="Arial"/>
          <w:color w:val="808080" w:themeColor="background1" w:themeShade="80"/>
          <w:sz w:val="22"/>
          <w:szCs w:val="22"/>
        </w:rPr>
        <w:t>The Act, essentially provides that such an insolvency related clause or an ipso facto clause shall cease to have effect once the company enters into administration</w:t>
      </w:r>
      <w:r w:rsidR="00653A9B">
        <w:rPr>
          <w:rStyle w:val="FootnoteReference"/>
          <w:rFonts w:ascii="Avenir Next" w:hAnsi="Avenir Next" w:cs="Arial"/>
          <w:color w:val="808080" w:themeColor="background1" w:themeShade="80"/>
          <w:sz w:val="22"/>
          <w:szCs w:val="22"/>
        </w:rPr>
        <w:footnoteReference w:id="19"/>
      </w:r>
      <w:r w:rsidR="00653A9B">
        <w:rPr>
          <w:rFonts w:ascii="Avenir Next" w:hAnsi="Avenir Next" w:cs="Arial"/>
          <w:color w:val="808080" w:themeColor="background1" w:themeShade="80"/>
          <w:sz w:val="22"/>
          <w:szCs w:val="22"/>
        </w:rPr>
        <w:t>.</w:t>
      </w:r>
      <w:r w:rsidR="004512B9">
        <w:rPr>
          <w:rFonts w:ascii="Avenir Next" w:hAnsi="Avenir Next" w:cs="Arial"/>
          <w:color w:val="808080" w:themeColor="background1" w:themeShade="80"/>
          <w:sz w:val="22"/>
          <w:szCs w:val="22"/>
        </w:rPr>
        <w:t xml:space="preserve"> However, </w:t>
      </w:r>
      <w:r w:rsidR="0069780D">
        <w:rPr>
          <w:rFonts w:ascii="Avenir Next" w:hAnsi="Avenir Next" w:cs="Arial"/>
          <w:color w:val="808080" w:themeColor="background1" w:themeShade="80"/>
          <w:sz w:val="22"/>
          <w:szCs w:val="22"/>
        </w:rPr>
        <w:t xml:space="preserve">the Act </w:t>
      </w:r>
      <w:r w:rsidR="004512B9">
        <w:rPr>
          <w:rFonts w:ascii="Avenir Next" w:hAnsi="Avenir Next" w:cs="Arial"/>
          <w:color w:val="808080" w:themeColor="background1" w:themeShade="80"/>
          <w:sz w:val="22"/>
          <w:szCs w:val="22"/>
        </w:rPr>
        <w:t xml:space="preserve">also equally protects the suppliers of such goods, as it also provides </w:t>
      </w:r>
      <w:r w:rsidR="008008C0">
        <w:rPr>
          <w:rFonts w:ascii="Avenir Next" w:hAnsi="Avenir Next" w:cs="Arial"/>
          <w:color w:val="808080" w:themeColor="background1" w:themeShade="80"/>
          <w:sz w:val="22"/>
          <w:szCs w:val="22"/>
        </w:rPr>
        <w:t xml:space="preserve">that where such a clause in the contract ceases to have effect </w:t>
      </w:r>
      <w:r w:rsidR="0069780D">
        <w:rPr>
          <w:rFonts w:ascii="Avenir Next" w:hAnsi="Avenir Next" w:cs="Arial"/>
          <w:color w:val="808080" w:themeColor="background1" w:themeShade="80"/>
          <w:sz w:val="22"/>
          <w:szCs w:val="22"/>
        </w:rPr>
        <w:t xml:space="preserve">the </w:t>
      </w:r>
      <w:r w:rsidR="006E6061">
        <w:rPr>
          <w:rFonts w:ascii="Avenir Next" w:hAnsi="Avenir Next" w:cs="Arial"/>
          <w:color w:val="808080" w:themeColor="background1" w:themeShade="80"/>
          <w:sz w:val="22"/>
          <w:szCs w:val="22"/>
        </w:rPr>
        <w:t>supplier can terminate the contract</w:t>
      </w:r>
      <w:r w:rsidR="005C72EF">
        <w:rPr>
          <w:rStyle w:val="FootnoteReference"/>
          <w:rFonts w:ascii="Avenir Next" w:hAnsi="Avenir Next" w:cs="Arial"/>
          <w:color w:val="808080" w:themeColor="background1" w:themeShade="80"/>
          <w:sz w:val="22"/>
          <w:szCs w:val="22"/>
        </w:rPr>
        <w:footnoteReference w:id="20"/>
      </w:r>
      <w:r w:rsidR="006E6061">
        <w:rPr>
          <w:rFonts w:ascii="Avenir Next" w:hAnsi="Avenir Next" w:cs="Arial"/>
          <w:color w:val="808080" w:themeColor="background1" w:themeShade="80"/>
          <w:sz w:val="22"/>
          <w:szCs w:val="22"/>
        </w:rPr>
        <w:t xml:space="preserve"> if the administrator consents to it</w:t>
      </w:r>
      <w:r w:rsidR="00F30718">
        <w:rPr>
          <w:rStyle w:val="FootnoteReference"/>
          <w:rFonts w:ascii="Avenir Next" w:hAnsi="Avenir Next" w:cs="Arial"/>
          <w:color w:val="808080" w:themeColor="background1" w:themeShade="80"/>
          <w:sz w:val="22"/>
          <w:szCs w:val="22"/>
        </w:rPr>
        <w:footnoteReference w:id="21"/>
      </w:r>
      <w:r w:rsidR="006E6061">
        <w:rPr>
          <w:rFonts w:ascii="Avenir Next" w:hAnsi="Avenir Next" w:cs="Arial"/>
          <w:color w:val="808080" w:themeColor="background1" w:themeShade="80"/>
          <w:sz w:val="22"/>
          <w:szCs w:val="22"/>
        </w:rPr>
        <w:t xml:space="preserve">, or the court has </w:t>
      </w:r>
      <w:r w:rsidR="00AC3F10">
        <w:rPr>
          <w:rFonts w:ascii="Avenir Next" w:hAnsi="Avenir Next" w:cs="Arial"/>
          <w:color w:val="808080" w:themeColor="background1" w:themeShade="80"/>
          <w:sz w:val="22"/>
          <w:szCs w:val="22"/>
        </w:rPr>
        <w:t>granted</w:t>
      </w:r>
      <w:r w:rsidR="006E6061">
        <w:rPr>
          <w:rFonts w:ascii="Avenir Next" w:hAnsi="Avenir Next" w:cs="Arial"/>
          <w:color w:val="808080" w:themeColor="background1" w:themeShade="80"/>
          <w:sz w:val="22"/>
          <w:szCs w:val="22"/>
        </w:rPr>
        <w:t xml:space="preserve"> this permission</w:t>
      </w:r>
      <w:r w:rsidR="00AC3F10">
        <w:rPr>
          <w:rStyle w:val="FootnoteReference"/>
          <w:rFonts w:ascii="Avenir Next" w:hAnsi="Avenir Next" w:cs="Arial"/>
          <w:color w:val="808080" w:themeColor="background1" w:themeShade="80"/>
          <w:sz w:val="22"/>
          <w:szCs w:val="22"/>
        </w:rPr>
        <w:footnoteReference w:id="22"/>
      </w:r>
      <w:r w:rsidR="005C72EF">
        <w:rPr>
          <w:rFonts w:ascii="Avenir Next" w:hAnsi="Avenir Next" w:cs="Arial"/>
          <w:color w:val="808080" w:themeColor="background1" w:themeShade="80"/>
          <w:sz w:val="22"/>
          <w:szCs w:val="22"/>
        </w:rPr>
        <w:t>, or if any payment remains outstanding for more than 28 days after the effective date of administration</w:t>
      </w:r>
      <w:r w:rsidR="00AC3F10">
        <w:rPr>
          <w:rStyle w:val="FootnoteReference"/>
          <w:rFonts w:ascii="Avenir Next" w:hAnsi="Avenir Next" w:cs="Arial"/>
          <w:color w:val="808080" w:themeColor="background1" w:themeShade="80"/>
          <w:sz w:val="22"/>
          <w:szCs w:val="22"/>
        </w:rPr>
        <w:footnoteReference w:id="23"/>
      </w:r>
      <w:r w:rsidR="005C72EF">
        <w:rPr>
          <w:rFonts w:ascii="Avenir Next" w:hAnsi="Avenir Next" w:cs="Arial"/>
          <w:color w:val="808080" w:themeColor="background1" w:themeShade="80"/>
          <w:sz w:val="22"/>
          <w:szCs w:val="22"/>
        </w:rPr>
        <w:t>.</w:t>
      </w:r>
      <w:r w:rsidR="0076694A">
        <w:rPr>
          <w:rFonts w:ascii="Avenir Next" w:hAnsi="Avenir Next" w:cs="Arial"/>
          <w:color w:val="808080" w:themeColor="background1" w:themeShade="80"/>
          <w:sz w:val="22"/>
          <w:szCs w:val="22"/>
        </w:rPr>
        <w:t xml:space="preserve"> There is also an option for the supplier to terminate the supply whilst keeping the contract alive</w:t>
      </w:r>
      <w:r w:rsidR="00BB22DB">
        <w:rPr>
          <w:rStyle w:val="FootnoteReference"/>
          <w:rFonts w:ascii="Avenir Next" w:hAnsi="Avenir Next" w:cs="Arial"/>
          <w:color w:val="808080" w:themeColor="background1" w:themeShade="80"/>
          <w:sz w:val="22"/>
          <w:szCs w:val="22"/>
        </w:rPr>
        <w:footnoteReference w:id="24"/>
      </w:r>
      <w:r w:rsidR="0076694A">
        <w:rPr>
          <w:rFonts w:ascii="Avenir Next" w:hAnsi="Avenir Next" w:cs="Arial"/>
          <w:color w:val="808080" w:themeColor="background1" w:themeShade="80"/>
          <w:sz w:val="22"/>
          <w:szCs w:val="22"/>
        </w:rPr>
        <w:t xml:space="preserve">, </w:t>
      </w:r>
      <w:r w:rsidR="00BB22DB">
        <w:rPr>
          <w:rFonts w:ascii="Avenir Next" w:hAnsi="Avenir Next" w:cs="Arial"/>
          <w:color w:val="808080" w:themeColor="background1" w:themeShade="80"/>
          <w:sz w:val="22"/>
          <w:szCs w:val="22"/>
        </w:rPr>
        <w:t xml:space="preserve">unless the administrator personally </w:t>
      </w:r>
      <w:r w:rsidR="006D68DD">
        <w:rPr>
          <w:rFonts w:ascii="Avenir Next" w:hAnsi="Avenir Next" w:cs="Arial"/>
          <w:color w:val="808080" w:themeColor="background1" w:themeShade="80"/>
          <w:sz w:val="22"/>
          <w:szCs w:val="22"/>
        </w:rPr>
        <w:t>guarantees</w:t>
      </w:r>
      <w:r w:rsidR="00BB22DB">
        <w:rPr>
          <w:rFonts w:ascii="Avenir Next" w:hAnsi="Avenir Next" w:cs="Arial"/>
          <w:color w:val="808080" w:themeColor="background1" w:themeShade="80"/>
          <w:sz w:val="22"/>
          <w:szCs w:val="22"/>
        </w:rPr>
        <w:t xml:space="preserve"> the payment </w:t>
      </w:r>
      <w:r w:rsidR="00BB22DB">
        <w:rPr>
          <w:rFonts w:ascii="Avenir Next" w:hAnsi="Avenir Next" w:cs="Arial"/>
          <w:color w:val="808080" w:themeColor="background1" w:themeShade="80"/>
          <w:sz w:val="22"/>
          <w:szCs w:val="22"/>
        </w:rPr>
        <w:lastRenderedPageBreak/>
        <w:t>of the bills</w:t>
      </w:r>
      <w:r w:rsidR="00BB22DB">
        <w:rPr>
          <w:rStyle w:val="FootnoteReference"/>
          <w:rFonts w:ascii="Avenir Next" w:hAnsi="Avenir Next" w:cs="Arial"/>
          <w:color w:val="808080" w:themeColor="background1" w:themeShade="80"/>
          <w:sz w:val="22"/>
          <w:szCs w:val="22"/>
        </w:rPr>
        <w:footnoteReference w:id="25"/>
      </w:r>
      <w:r w:rsidR="00BB22DB">
        <w:rPr>
          <w:rFonts w:ascii="Avenir Next" w:hAnsi="Avenir Next" w:cs="Arial"/>
          <w:color w:val="808080" w:themeColor="background1" w:themeShade="80"/>
          <w:sz w:val="22"/>
          <w:szCs w:val="22"/>
        </w:rPr>
        <w:t xml:space="preserve"> and such a guarantee is not given within 14 days from the date when the guarantee was requested</w:t>
      </w:r>
      <w:r w:rsidR="00BB22DB">
        <w:rPr>
          <w:rStyle w:val="FootnoteReference"/>
          <w:rFonts w:ascii="Avenir Next" w:hAnsi="Avenir Next" w:cs="Arial"/>
          <w:color w:val="808080" w:themeColor="background1" w:themeShade="80"/>
          <w:sz w:val="22"/>
          <w:szCs w:val="22"/>
        </w:rPr>
        <w:footnoteReference w:id="26"/>
      </w:r>
      <w:r w:rsidR="00BB22DB">
        <w:rPr>
          <w:rFonts w:ascii="Avenir Next" w:hAnsi="Avenir Next" w:cs="Arial"/>
          <w:color w:val="808080" w:themeColor="background1" w:themeShade="80"/>
          <w:sz w:val="22"/>
          <w:szCs w:val="22"/>
        </w:rPr>
        <w:t xml:space="preserve">. </w:t>
      </w:r>
    </w:p>
    <w:p w14:paraId="6D824015" w14:textId="77777777" w:rsidR="00E55B4A" w:rsidRDefault="00E55B4A" w:rsidP="00E55B4A">
      <w:pPr>
        <w:jc w:val="both"/>
        <w:rPr>
          <w:rFonts w:ascii="Avenir Next" w:hAnsi="Avenir Next" w:cs="Arial"/>
          <w:color w:val="808080" w:themeColor="background1" w:themeShade="80"/>
          <w:sz w:val="22"/>
          <w:szCs w:val="22"/>
        </w:rPr>
      </w:pPr>
    </w:p>
    <w:p w14:paraId="10685309" w14:textId="35B92D47" w:rsidR="00E55B4A" w:rsidRDefault="001F2E89" w:rsidP="00E55B4A">
      <w:pPr>
        <w:pStyle w:val="ListParagraph"/>
        <w:numPr>
          <w:ilvl w:val="0"/>
          <w:numId w:val="20"/>
        </w:numPr>
        <w:jc w:val="both"/>
        <w:rPr>
          <w:rFonts w:ascii="Avenir Next" w:hAnsi="Avenir Next" w:cs="Arial"/>
          <w:color w:val="808080" w:themeColor="background1" w:themeShade="80"/>
          <w:sz w:val="22"/>
          <w:szCs w:val="22"/>
        </w:rPr>
      </w:pPr>
      <w:r w:rsidRPr="006D68DD">
        <w:rPr>
          <w:rFonts w:ascii="Avenir Next" w:hAnsi="Avenir Next" w:cs="Arial"/>
          <w:b/>
          <w:bCs/>
          <w:color w:val="808080" w:themeColor="background1" w:themeShade="80"/>
          <w:sz w:val="22"/>
          <w:szCs w:val="22"/>
        </w:rPr>
        <w:t>Further Protection qua supply of essentials</w:t>
      </w:r>
      <w:r>
        <w:rPr>
          <w:rFonts w:ascii="Avenir Next" w:hAnsi="Avenir Next" w:cs="Arial"/>
          <w:color w:val="808080" w:themeColor="background1" w:themeShade="80"/>
          <w:sz w:val="22"/>
          <w:szCs w:val="22"/>
        </w:rPr>
        <w:t xml:space="preserve">: Section 233B of the Act, which was </w:t>
      </w:r>
      <w:r w:rsidR="004F2BC5">
        <w:rPr>
          <w:rFonts w:ascii="Avenir Next" w:hAnsi="Avenir Next" w:cs="Arial"/>
          <w:color w:val="808080" w:themeColor="background1" w:themeShade="80"/>
          <w:sz w:val="22"/>
          <w:szCs w:val="22"/>
        </w:rPr>
        <w:t xml:space="preserve">inserted by the Corporate Insolvency </w:t>
      </w:r>
      <w:r w:rsidR="005A3FC9">
        <w:rPr>
          <w:rFonts w:ascii="Avenir Next" w:hAnsi="Avenir Next" w:cs="Arial"/>
          <w:color w:val="808080" w:themeColor="background1" w:themeShade="80"/>
          <w:sz w:val="22"/>
          <w:szCs w:val="22"/>
        </w:rPr>
        <w:t xml:space="preserve">and Governance Act 2020, further also </w:t>
      </w:r>
      <w:r w:rsidR="001D7CF8">
        <w:rPr>
          <w:rFonts w:ascii="Avenir Next" w:hAnsi="Avenir Next" w:cs="Arial"/>
          <w:color w:val="808080" w:themeColor="background1" w:themeShade="80"/>
          <w:sz w:val="22"/>
          <w:szCs w:val="22"/>
        </w:rPr>
        <w:t xml:space="preserve">bars </w:t>
      </w:r>
      <w:r w:rsidR="005A3FC9">
        <w:rPr>
          <w:rFonts w:ascii="Avenir Next" w:hAnsi="Avenir Next" w:cs="Arial"/>
          <w:color w:val="808080" w:themeColor="background1" w:themeShade="80"/>
          <w:sz w:val="22"/>
          <w:szCs w:val="22"/>
        </w:rPr>
        <w:t>the</w:t>
      </w:r>
      <w:r w:rsidR="001D7CF8">
        <w:rPr>
          <w:rFonts w:ascii="Avenir Next" w:hAnsi="Avenir Next" w:cs="Arial"/>
          <w:color w:val="808080" w:themeColor="background1" w:themeShade="80"/>
          <w:sz w:val="22"/>
          <w:szCs w:val="22"/>
        </w:rPr>
        <w:t xml:space="preserve"> </w:t>
      </w:r>
      <w:r w:rsidR="006D68DD">
        <w:rPr>
          <w:rFonts w:ascii="Avenir Next" w:hAnsi="Avenir Next" w:cs="Arial"/>
          <w:color w:val="808080" w:themeColor="background1" w:themeShade="80"/>
          <w:sz w:val="22"/>
          <w:szCs w:val="22"/>
        </w:rPr>
        <w:t>exercise</w:t>
      </w:r>
      <w:r w:rsidR="001D7CF8">
        <w:rPr>
          <w:rFonts w:ascii="Avenir Next" w:hAnsi="Avenir Next" w:cs="Arial"/>
          <w:color w:val="808080" w:themeColor="background1" w:themeShade="80"/>
          <w:sz w:val="22"/>
          <w:szCs w:val="22"/>
        </w:rPr>
        <w:t xml:space="preserve"> </w:t>
      </w:r>
      <w:r w:rsidR="005A3FC9">
        <w:rPr>
          <w:rFonts w:ascii="Avenir Next" w:hAnsi="Avenir Next" w:cs="Arial"/>
          <w:color w:val="808080" w:themeColor="background1" w:themeShade="80"/>
          <w:sz w:val="22"/>
          <w:szCs w:val="22"/>
        </w:rPr>
        <w:t xml:space="preserve"> </w:t>
      </w:r>
      <w:r w:rsidR="001D7CF8">
        <w:rPr>
          <w:rFonts w:ascii="Avenir Next" w:hAnsi="Avenir Next" w:cs="Arial"/>
          <w:color w:val="808080" w:themeColor="background1" w:themeShade="80"/>
          <w:sz w:val="22"/>
          <w:szCs w:val="22"/>
        </w:rPr>
        <w:t xml:space="preserve">of </w:t>
      </w:r>
      <w:r w:rsidR="005A3FC9">
        <w:rPr>
          <w:rFonts w:ascii="Avenir Next" w:hAnsi="Avenir Next" w:cs="Arial"/>
          <w:color w:val="808080" w:themeColor="background1" w:themeShade="80"/>
          <w:sz w:val="22"/>
          <w:szCs w:val="22"/>
        </w:rPr>
        <w:t xml:space="preserve">entitlement of a supplier </w:t>
      </w:r>
      <w:r w:rsidR="001D7CF8">
        <w:rPr>
          <w:rFonts w:ascii="Avenir Next" w:hAnsi="Avenir Next" w:cs="Arial"/>
          <w:color w:val="808080" w:themeColor="background1" w:themeShade="80"/>
          <w:sz w:val="22"/>
          <w:szCs w:val="22"/>
        </w:rPr>
        <w:t>to terminate the contract of supply in relation to such an insolvency related clause</w:t>
      </w:r>
      <w:r w:rsidR="00F81CF7">
        <w:rPr>
          <w:rFonts w:ascii="Avenir Next" w:hAnsi="Avenir Next" w:cs="Arial"/>
          <w:color w:val="808080" w:themeColor="background1" w:themeShade="80"/>
          <w:sz w:val="22"/>
          <w:szCs w:val="22"/>
        </w:rPr>
        <w:t xml:space="preserve"> before the company enters into administration</w:t>
      </w:r>
      <w:r w:rsidR="0048702F">
        <w:rPr>
          <w:rStyle w:val="FootnoteReference"/>
          <w:rFonts w:ascii="Avenir Next" w:hAnsi="Avenir Next" w:cs="Arial"/>
          <w:color w:val="808080" w:themeColor="background1" w:themeShade="80"/>
          <w:sz w:val="22"/>
          <w:szCs w:val="22"/>
        </w:rPr>
        <w:footnoteReference w:id="27"/>
      </w:r>
      <w:r w:rsidR="001D7CF8">
        <w:rPr>
          <w:rFonts w:ascii="Avenir Next" w:hAnsi="Avenir Next" w:cs="Arial"/>
          <w:color w:val="808080" w:themeColor="background1" w:themeShade="80"/>
          <w:sz w:val="22"/>
          <w:szCs w:val="22"/>
        </w:rPr>
        <w:t>,</w:t>
      </w:r>
      <w:r w:rsidR="00F81CF7">
        <w:rPr>
          <w:rFonts w:ascii="Avenir Next" w:hAnsi="Avenir Next" w:cs="Arial"/>
          <w:color w:val="808080" w:themeColor="background1" w:themeShade="80"/>
          <w:sz w:val="22"/>
          <w:szCs w:val="22"/>
        </w:rPr>
        <w:t xml:space="preserve"> unless </w:t>
      </w:r>
      <w:r w:rsidR="00943409">
        <w:rPr>
          <w:rFonts w:ascii="Avenir Next" w:hAnsi="Avenir Next" w:cs="Arial"/>
          <w:color w:val="808080" w:themeColor="background1" w:themeShade="80"/>
          <w:sz w:val="22"/>
          <w:szCs w:val="22"/>
        </w:rPr>
        <w:t>either the administrator</w:t>
      </w:r>
      <w:r w:rsidR="00042967">
        <w:rPr>
          <w:rStyle w:val="FootnoteReference"/>
          <w:rFonts w:ascii="Avenir Next" w:hAnsi="Avenir Next" w:cs="Arial"/>
          <w:color w:val="808080" w:themeColor="background1" w:themeShade="80"/>
          <w:sz w:val="22"/>
          <w:szCs w:val="22"/>
        </w:rPr>
        <w:footnoteReference w:id="28"/>
      </w:r>
      <w:r w:rsidR="00943409">
        <w:rPr>
          <w:rFonts w:ascii="Avenir Next" w:hAnsi="Avenir Next" w:cs="Arial"/>
          <w:color w:val="808080" w:themeColor="background1" w:themeShade="80"/>
          <w:sz w:val="22"/>
          <w:szCs w:val="22"/>
        </w:rPr>
        <w:t xml:space="preserve"> or the company </w:t>
      </w:r>
      <w:r w:rsidR="006A20A2">
        <w:rPr>
          <w:rFonts w:ascii="Avenir Next" w:hAnsi="Avenir Next" w:cs="Arial"/>
          <w:color w:val="808080" w:themeColor="background1" w:themeShade="80"/>
          <w:sz w:val="22"/>
          <w:szCs w:val="22"/>
        </w:rPr>
        <w:t>consents</w:t>
      </w:r>
      <w:r w:rsidR="00943409">
        <w:rPr>
          <w:rFonts w:ascii="Avenir Next" w:hAnsi="Avenir Next" w:cs="Arial"/>
          <w:color w:val="808080" w:themeColor="background1" w:themeShade="80"/>
          <w:sz w:val="22"/>
          <w:szCs w:val="22"/>
        </w:rPr>
        <w:t xml:space="preserve"> to it</w:t>
      </w:r>
      <w:r w:rsidR="006A20A2">
        <w:rPr>
          <w:rStyle w:val="FootnoteReference"/>
          <w:rFonts w:ascii="Avenir Next" w:hAnsi="Avenir Next" w:cs="Arial"/>
          <w:color w:val="808080" w:themeColor="background1" w:themeShade="80"/>
          <w:sz w:val="22"/>
          <w:szCs w:val="22"/>
        </w:rPr>
        <w:footnoteReference w:id="29"/>
      </w:r>
      <w:r w:rsidR="00943409">
        <w:rPr>
          <w:rFonts w:ascii="Avenir Next" w:hAnsi="Avenir Next" w:cs="Arial"/>
          <w:color w:val="808080" w:themeColor="background1" w:themeShade="80"/>
          <w:sz w:val="22"/>
          <w:szCs w:val="22"/>
        </w:rPr>
        <w:t xml:space="preserve"> or the court is satisfied </w:t>
      </w:r>
      <w:r w:rsidR="0048702F">
        <w:rPr>
          <w:rFonts w:ascii="Avenir Next" w:hAnsi="Avenir Next" w:cs="Arial"/>
          <w:color w:val="808080" w:themeColor="background1" w:themeShade="80"/>
          <w:sz w:val="22"/>
          <w:szCs w:val="22"/>
        </w:rPr>
        <w:t xml:space="preserve">that the </w:t>
      </w:r>
      <w:r w:rsidR="006A20A2" w:rsidRPr="0048702F">
        <w:rPr>
          <w:rFonts w:ascii="Avenir Next" w:hAnsi="Avenir Next" w:cs="Arial"/>
          <w:color w:val="808080" w:themeColor="background1" w:themeShade="80"/>
          <w:sz w:val="22"/>
          <w:szCs w:val="22"/>
        </w:rPr>
        <w:t>continuation</w:t>
      </w:r>
      <w:r w:rsidR="0048702F" w:rsidRPr="0048702F">
        <w:rPr>
          <w:rFonts w:ascii="Avenir Next" w:hAnsi="Avenir Next" w:cs="Arial"/>
          <w:color w:val="808080" w:themeColor="background1" w:themeShade="80"/>
          <w:sz w:val="22"/>
          <w:szCs w:val="22"/>
        </w:rPr>
        <w:t xml:space="preserve"> of the contract would cause the supplier hardship</w:t>
      </w:r>
      <w:r w:rsidR="006A20A2">
        <w:rPr>
          <w:rStyle w:val="FootnoteReference"/>
          <w:rFonts w:ascii="Avenir Next" w:hAnsi="Avenir Next" w:cs="Arial"/>
          <w:color w:val="808080" w:themeColor="background1" w:themeShade="80"/>
          <w:sz w:val="22"/>
          <w:szCs w:val="22"/>
        </w:rPr>
        <w:footnoteReference w:id="30"/>
      </w:r>
      <w:r w:rsidR="006A20A2">
        <w:rPr>
          <w:rFonts w:ascii="Avenir Next" w:hAnsi="Avenir Next" w:cs="Arial"/>
          <w:color w:val="808080" w:themeColor="background1" w:themeShade="80"/>
          <w:sz w:val="22"/>
          <w:szCs w:val="22"/>
        </w:rPr>
        <w:t>.</w:t>
      </w:r>
    </w:p>
    <w:p w14:paraId="2E3AD0E8" w14:textId="77777777" w:rsidR="00330050" w:rsidRPr="00330050" w:rsidRDefault="00330050" w:rsidP="00330050">
      <w:pPr>
        <w:pStyle w:val="ListParagraph"/>
        <w:rPr>
          <w:rFonts w:ascii="Avenir Next" w:hAnsi="Avenir Next" w:cs="Arial"/>
          <w:color w:val="808080" w:themeColor="background1" w:themeShade="80"/>
          <w:sz w:val="22"/>
          <w:szCs w:val="22"/>
        </w:rPr>
      </w:pPr>
    </w:p>
    <w:p w14:paraId="1D6E5EE2" w14:textId="141A28BB" w:rsidR="00330050" w:rsidRDefault="00330050" w:rsidP="0033005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For the administrator, its essential to </w:t>
      </w:r>
      <w:r w:rsidR="000D3BF8">
        <w:rPr>
          <w:rFonts w:ascii="Avenir Next" w:hAnsi="Avenir Next" w:cs="Arial"/>
          <w:color w:val="808080" w:themeColor="background1" w:themeShade="80"/>
          <w:sz w:val="22"/>
          <w:szCs w:val="22"/>
        </w:rPr>
        <w:t xml:space="preserve">consider factors such as the date of the supply contract, the ipso facto clauses in them, </w:t>
      </w:r>
      <w:r w:rsidR="00E82787">
        <w:rPr>
          <w:rFonts w:ascii="Avenir Next" w:hAnsi="Avenir Next" w:cs="Arial"/>
          <w:color w:val="808080" w:themeColor="background1" w:themeShade="80"/>
          <w:sz w:val="22"/>
          <w:szCs w:val="22"/>
        </w:rPr>
        <w:t>if there is one contract governing the supply of different types of essentials and the possible navigation during any attempt to terminate</w:t>
      </w:r>
      <w:r w:rsidR="00910DA6">
        <w:rPr>
          <w:rFonts w:ascii="Avenir Next" w:hAnsi="Avenir Next" w:cs="Arial"/>
          <w:color w:val="808080" w:themeColor="background1" w:themeShade="80"/>
          <w:sz w:val="22"/>
          <w:szCs w:val="22"/>
        </w:rPr>
        <w:t>, if the supply contracts are governed by a foreign law etc.</w:t>
      </w:r>
      <w:r w:rsidR="00910DA6">
        <w:rPr>
          <w:rStyle w:val="FootnoteReference"/>
          <w:rFonts w:ascii="Avenir Next" w:hAnsi="Avenir Next" w:cs="Arial"/>
          <w:color w:val="808080" w:themeColor="background1" w:themeShade="80"/>
          <w:sz w:val="22"/>
          <w:szCs w:val="22"/>
        </w:rPr>
        <w:footnoteReference w:id="31"/>
      </w:r>
    </w:p>
    <w:p w14:paraId="50CC4228" w14:textId="77777777" w:rsidR="005631F4" w:rsidRPr="00330050" w:rsidRDefault="005631F4" w:rsidP="00330050">
      <w:pPr>
        <w:jc w:val="both"/>
        <w:rPr>
          <w:rFonts w:ascii="Avenir Next" w:hAnsi="Avenir Next" w:cs="Arial"/>
          <w:color w:val="808080" w:themeColor="background1" w:themeShade="80"/>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C49FC94" w14:textId="4AF09989" w:rsidR="00EC73F4" w:rsidRDefault="004841A9"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priorit</w:t>
      </w:r>
      <w:r w:rsidR="00107282">
        <w:rPr>
          <w:rFonts w:ascii="Avenir Next" w:hAnsi="Avenir Next" w:cs="Arial"/>
          <w:color w:val="808080" w:themeColor="background1" w:themeShade="80"/>
          <w:sz w:val="22"/>
          <w:szCs w:val="22"/>
        </w:rPr>
        <w:t>y</w:t>
      </w:r>
      <w:r>
        <w:rPr>
          <w:rFonts w:ascii="Avenir Next" w:hAnsi="Avenir Next" w:cs="Arial"/>
          <w:color w:val="808080" w:themeColor="background1" w:themeShade="80"/>
          <w:sz w:val="22"/>
          <w:szCs w:val="22"/>
        </w:rPr>
        <w:t xml:space="preserve"> </w:t>
      </w:r>
      <w:r w:rsidR="008E07C5">
        <w:rPr>
          <w:rFonts w:ascii="Avenir Next" w:hAnsi="Avenir Next" w:cs="Arial"/>
          <w:color w:val="808080" w:themeColor="background1" w:themeShade="80"/>
          <w:sz w:val="22"/>
          <w:szCs w:val="22"/>
        </w:rPr>
        <w:t>of distribution or the waterfall during liquidation under the Insolvency Act, 1986 (“</w:t>
      </w:r>
      <w:r w:rsidR="008E07C5" w:rsidRPr="008E07C5">
        <w:rPr>
          <w:rFonts w:ascii="Avenir Next" w:hAnsi="Avenir Next" w:cs="Arial"/>
          <w:b/>
          <w:bCs/>
          <w:color w:val="808080" w:themeColor="background1" w:themeShade="80"/>
          <w:sz w:val="22"/>
          <w:szCs w:val="22"/>
        </w:rPr>
        <w:t>Act</w:t>
      </w:r>
      <w:r w:rsidR="008E07C5">
        <w:rPr>
          <w:rFonts w:ascii="Avenir Next" w:hAnsi="Avenir Next" w:cs="Arial"/>
          <w:color w:val="808080" w:themeColor="background1" w:themeShade="80"/>
          <w:sz w:val="22"/>
          <w:szCs w:val="22"/>
        </w:rPr>
        <w:t>”), is explained hereinbelow</w:t>
      </w:r>
      <w:r w:rsidR="00107282">
        <w:rPr>
          <w:rFonts w:ascii="Avenir Next" w:hAnsi="Avenir Next" w:cs="Arial"/>
          <w:color w:val="808080" w:themeColor="background1" w:themeShade="80"/>
          <w:sz w:val="22"/>
          <w:szCs w:val="22"/>
        </w:rPr>
        <w:t xml:space="preserve"> (</w:t>
      </w:r>
      <w:r w:rsidR="00107282" w:rsidRPr="006D68DD">
        <w:rPr>
          <w:rFonts w:ascii="Avenir Next" w:hAnsi="Avenir Next" w:cs="Arial"/>
          <w:i/>
          <w:iCs/>
          <w:color w:val="808080" w:themeColor="background1" w:themeShade="80"/>
          <w:sz w:val="22"/>
          <w:szCs w:val="22"/>
        </w:rPr>
        <w:t>in the or</w:t>
      </w:r>
      <w:r w:rsidR="00CB58F4" w:rsidRPr="006D68DD">
        <w:rPr>
          <w:rFonts w:ascii="Avenir Next" w:hAnsi="Avenir Next" w:cs="Arial"/>
          <w:i/>
          <w:iCs/>
          <w:color w:val="808080" w:themeColor="background1" w:themeShade="80"/>
          <w:sz w:val="22"/>
          <w:szCs w:val="22"/>
        </w:rPr>
        <w:t>der of priority</w:t>
      </w:r>
      <w:r w:rsidR="00CB58F4">
        <w:rPr>
          <w:rFonts w:ascii="Avenir Next" w:hAnsi="Avenir Next" w:cs="Arial"/>
          <w:color w:val="808080" w:themeColor="background1" w:themeShade="80"/>
          <w:sz w:val="22"/>
          <w:szCs w:val="22"/>
        </w:rPr>
        <w:t>)</w:t>
      </w:r>
      <w:r w:rsidR="008E07C5">
        <w:rPr>
          <w:rFonts w:ascii="Avenir Next" w:hAnsi="Avenir Next" w:cs="Arial"/>
          <w:color w:val="808080" w:themeColor="background1" w:themeShade="80"/>
          <w:sz w:val="22"/>
          <w:szCs w:val="22"/>
        </w:rPr>
        <w:t>:</w:t>
      </w:r>
    </w:p>
    <w:p w14:paraId="33931F4D" w14:textId="77777777" w:rsidR="00EC73F4" w:rsidRDefault="00EC73F4" w:rsidP="002A37BB">
      <w:pPr>
        <w:jc w:val="both"/>
        <w:rPr>
          <w:rFonts w:ascii="Avenir Next" w:hAnsi="Avenir Next" w:cs="Arial"/>
          <w:color w:val="808080" w:themeColor="background1" w:themeShade="80"/>
          <w:sz w:val="22"/>
          <w:szCs w:val="22"/>
        </w:rPr>
      </w:pPr>
    </w:p>
    <w:p w14:paraId="014BE4E8" w14:textId="257CB904" w:rsidR="008E07C5" w:rsidRDefault="00E007ED" w:rsidP="008E07C5">
      <w:pPr>
        <w:pStyle w:val="ListParagraph"/>
        <w:numPr>
          <w:ilvl w:val="0"/>
          <w:numId w:val="22"/>
        </w:numPr>
        <w:jc w:val="both"/>
        <w:rPr>
          <w:rFonts w:ascii="Avenir Next" w:hAnsi="Avenir Next" w:cs="Arial"/>
          <w:color w:val="808080" w:themeColor="background1" w:themeShade="80"/>
          <w:sz w:val="22"/>
          <w:szCs w:val="22"/>
        </w:rPr>
      </w:pPr>
      <w:r w:rsidRPr="00CB58F4">
        <w:rPr>
          <w:rFonts w:ascii="Avenir Next" w:hAnsi="Avenir Next" w:cs="Arial"/>
          <w:b/>
          <w:bCs/>
          <w:color w:val="808080" w:themeColor="background1" w:themeShade="80"/>
          <w:sz w:val="22"/>
          <w:szCs w:val="22"/>
        </w:rPr>
        <w:t>Secured Creditors</w:t>
      </w:r>
      <w:r w:rsidR="00A21DF1" w:rsidRPr="006B0A0A">
        <w:rPr>
          <w:rFonts w:ascii="Avenir Next" w:hAnsi="Avenir Next" w:cs="Arial"/>
          <w:color w:val="808080" w:themeColor="background1" w:themeShade="80"/>
          <w:sz w:val="22"/>
          <w:szCs w:val="22"/>
        </w:rPr>
        <w:t>: A secured creditor</w:t>
      </w:r>
      <w:r w:rsidR="000A6CE8" w:rsidRPr="006B0A0A">
        <w:rPr>
          <w:rFonts w:ascii="Avenir Next" w:hAnsi="Avenir Next" w:cs="Arial"/>
          <w:color w:val="808080" w:themeColor="background1" w:themeShade="80"/>
          <w:sz w:val="22"/>
          <w:szCs w:val="22"/>
        </w:rPr>
        <w:t xml:space="preserve"> is a creditor who hold</w:t>
      </w:r>
      <w:r w:rsidR="000F07C0" w:rsidRPr="006B0A0A">
        <w:rPr>
          <w:rFonts w:ascii="Avenir Next" w:hAnsi="Avenir Next" w:cs="Arial"/>
          <w:color w:val="808080" w:themeColor="background1" w:themeShade="80"/>
          <w:sz w:val="22"/>
          <w:szCs w:val="22"/>
        </w:rPr>
        <w:t xml:space="preserve">s </w:t>
      </w:r>
      <w:r w:rsidR="000A6CE8" w:rsidRPr="006B0A0A">
        <w:rPr>
          <w:rFonts w:ascii="Avenir Next" w:hAnsi="Avenir Next" w:cs="Arial"/>
          <w:color w:val="808080" w:themeColor="background1" w:themeShade="80"/>
          <w:sz w:val="22"/>
          <w:szCs w:val="22"/>
        </w:rPr>
        <w:t xml:space="preserve">in respect to their debt </w:t>
      </w:r>
      <w:r w:rsidR="000F07C0" w:rsidRPr="006B0A0A">
        <w:rPr>
          <w:rFonts w:ascii="Avenir Next" w:hAnsi="Avenir Next" w:cs="Arial"/>
          <w:color w:val="808080" w:themeColor="background1" w:themeShade="80"/>
          <w:sz w:val="22"/>
          <w:szCs w:val="22"/>
        </w:rPr>
        <w:t>a security over property of the company</w:t>
      </w:r>
      <w:r w:rsidR="006B0A0A">
        <w:rPr>
          <w:rStyle w:val="FootnoteReference"/>
          <w:rFonts w:ascii="Avenir Next" w:hAnsi="Avenir Next" w:cs="Arial"/>
          <w:color w:val="808080" w:themeColor="background1" w:themeShade="80"/>
          <w:sz w:val="22"/>
          <w:szCs w:val="22"/>
        </w:rPr>
        <w:footnoteReference w:id="32"/>
      </w:r>
      <w:r w:rsidR="00CB58F4">
        <w:rPr>
          <w:rFonts w:ascii="Avenir Next" w:hAnsi="Avenir Next" w:cs="Arial"/>
          <w:color w:val="808080" w:themeColor="background1" w:themeShade="80"/>
          <w:sz w:val="22"/>
          <w:szCs w:val="22"/>
        </w:rPr>
        <w:t xml:space="preserve">, </w:t>
      </w:r>
      <w:r w:rsidR="000F07C0" w:rsidRPr="006B0A0A">
        <w:rPr>
          <w:rFonts w:ascii="Avenir Next" w:hAnsi="Avenir Next" w:cs="Arial"/>
          <w:color w:val="808080" w:themeColor="background1" w:themeShade="80"/>
          <w:sz w:val="22"/>
          <w:szCs w:val="22"/>
        </w:rPr>
        <w:t>which can be in the nature of</w:t>
      </w:r>
      <w:r w:rsidR="006B0A0A" w:rsidRPr="006B0A0A">
        <w:rPr>
          <w:rFonts w:ascii="Avenir Next" w:hAnsi="Avenir Next" w:cs="Arial"/>
          <w:color w:val="808080" w:themeColor="background1" w:themeShade="80"/>
          <w:sz w:val="22"/>
          <w:szCs w:val="22"/>
        </w:rPr>
        <w:t xml:space="preserve"> a mortgage, charge, lien or other security</w:t>
      </w:r>
      <w:r w:rsidR="00C0763F">
        <w:rPr>
          <w:rStyle w:val="FootnoteReference"/>
          <w:rFonts w:ascii="Avenir Next" w:hAnsi="Avenir Next" w:cs="Arial"/>
          <w:color w:val="808080" w:themeColor="background1" w:themeShade="80"/>
          <w:sz w:val="22"/>
          <w:szCs w:val="22"/>
        </w:rPr>
        <w:footnoteReference w:id="33"/>
      </w:r>
      <w:r w:rsidR="00EA434A">
        <w:rPr>
          <w:rFonts w:ascii="Avenir Next" w:hAnsi="Avenir Next" w:cs="Arial"/>
          <w:color w:val="808080" w:themeColor="background1" w:themeShade="80"/>
          <w:sz w:val="22"/>
          <w:szCs w:val="22"/>
        </w:rPr>
        <w:t xml:space="preserve">. </w:t>
      </w:r>
      <w:r w:rsidR="00E879DD">
        <w:rPr>
          <w:rFonts w:ascii="Avenir Next" w:hAnsi="Avenir Next" w:cs="Arial"/>
          <w:color w:val="808080" w:themeColor="background1" w:themeShade="80"/>
          <w:sz w:val="22"/>
          <w:szCs w:val="22"/>
        </w:rPr>
        <w:t xml:space="preserve">The priority accorded to them is in consonance to the typical quantum of the money lent by them under very sophisticated </w:t>
      </w:r>
      <w:r w:rsidR="00DE5980">
        <w:rPr>
          <w:rFonts w:ascii="Avenir Next" w:hAnsi="Avenir Next" w:cs="Arial"/>
          <w:color w:val="808080" w:themeColor="background1" w:themeShade="80"/>
          <w:sz w:val="22"/>
          <w:szCs w:val="22"/>
        </w:rPr>
        <w:t xml:space="preserve">financial </w:t>
      </w:r>
      <w:r w:rsidR="00CB58F4">
        <w:rPr>
          <w:rFonts w:ascii="Avenir Next" w:hAnsi="Avenir Next" w:cs="Arial"/>
          <w:color w:val="808080" w:themeColor="background1" w:themeShade="80"/>
          <w:sz w:val="22"/>
          <w:szCs w:val="22"/>
        </w:rPr>
        <w:t>instruments</w:t>
      </w:r>
      <w:r w:rsidR="00DE5980">
        <w:rPr>
          <w:rFonts w:ascii="Avenir Next" w:hAnsi="Avenir Next" w:cs="Arial"/>
          <w:color w:val="808080" w:themeColor="background1" w:themeShade="80"/>
          <w:sz w:val="22"/>
          <w:szCs w:val="22"/>
        </w:rPr>
        <w:t xml:space="preserve"> which is usually for a specified end use, and can be either towards to the capital requirements or liquidity/working capital </w:t>
      </w:r>
      <w:r w:rsidR="00CB58F4">
        <w:rPr>
          <w:rFonts w:ascii="Avenir Next" w:hAnsi="Avenir Next" w:cs="Arial"/>
          <w:color w:val="808080" w:themeColor="background1" w:themeShade="80"/>
          <w:sz w:val="22"/>
          <w:szCs w:val="22"/>
        </w:rPr>
        <w:t>requirements</w:t>
      </w:r>
      <w:r w:rsidR="00DE5980">
        <w:rPr>
          <w:rFonts w:ascii="Avenir Next" w:hAnsi="Avenir Next" w:cs="Arial"/>
          <w:color w:val="808080" w:themeColor="background1" w:themeShade="80"/>
          <w:sz w:val="22"/>
          <w:szCs w:val="22"/>
        </w:rPr>
        <w:t xml:space="preserve"> of the company. Th</w:t>
      </w:r>
      <w:r w:rsidR="00CB58F4">
        <w:rPr>
          <w:rFonts w:ascii="Avenir Next" w:hAnsi="Avenir Next" w:cs="Arial"/>
          <w:color w:val="808080" w:themeColor="background1" w:themeShade="80"/>
          <w:sz w:val="22"/>
          <w:szCs w:val="22"/>
        </w:rPr>
        <w:t>is</w:t>
      </w:r>
      <w:r w:rsidR="00DE5980">
        <w:rPr>
          <w:rFonts w:ascii="Avenir Next" w:hAnsi="Avenir Next" w:cs="Arial"/>
          <w:color w:val="808080" w:themeColor="background1" w:themeShade="80"/>
          <w:sz w:val="22"/>
          <w:szCs w:val="22"/>
        </w:rPr>
        <w:t xml:space="preserve"> is also, because, they would have anyways recovered their </w:t>
      </w:r>
      <w:r w:rsidR="00CB58F4">
        <w:rPr>
          <w:rFonts w:ascii="Avenir Next" w:hAnsi="Avenir Next" w:cs="Arial"/>
          <w:color w:val="808080" w:themeColor="background1" w:themeShade="80"/>
          <w:sz w:val="22"/>
          <w:szCs w:val="22"/>
        </w:rPr>
        <w:t>outstanding</w:t>
      </w:r>
      <w:r w:rsidR="00DE5980">
        <w:rPr>
          <w:rFonts w:ascii="Avenir Next" w:hAnsi="Avenir Next" w:cs="Arial"/>
          <w:color w:val="808080" w:themeColor="background1" w:themeShade="80"/>
          <w:sz w:val="22"/>
          <w:szCs w:val="22"/>
        </w:rPr>
        <w:t xml:space="preserve"> amounts in a normal scenario, however, the </w:t>
      </w:r>
      <w:r w:rsidR="00CB58F4">
        <w:rPr>
          <w:rFonts w:ascii="Avenir Next" w:hAnsi="Avenir Next" w:cs="Arial"/>
          <w:color w:val="808080" w:themeColor="background1" w:themeShade="80"/>
          <w:sz w:val="22"/>
          <w:szCs w:val="22"/>
        </w:rPr>
        <w:t>priority</w:t>
      </w:r>
      <w:r w:rsidR="00DE5980">
        <w:rPr>
          <w:rFonts w:ascii="Avenir Next" w:hAnsi="Avenir Next" w:cs="Arial"/>
          <w:color w:val="808080" w:themeColor="background1" w:themeShade="80"/>
          <w:sz w:val="22"/>
          <w:szCs w:val="22"/>
        </w:rPr>
        <w:t xml:space="preserve"> is only to the value of the security. </w:t>
      </w:r>
      <w:r w:rsidR="000614AE">
        <w:rPr>
          <w:rFonts w:ascii="Avenir Next" w:hAnsi="Avenir Next" w:cs="Arial"/>
          <w:color w:val="808080" w:themeColor="background1" w:themeShade="80"/>
          <w:sz w:val="22"/>
          <w:szCs w:val="22"/>
        </w:rPr>
        <w:t>In the event the value of the security is less than the financial claim, then they are to claim the unpaid amount as an unsecured creditor;</w:t>
      </w:r>
    </w:p>
    <w:p w14:paraId="61E1A6A8" w14:textId="77777777" w:rsidR="007368DB" w:rsidRDefault="007368DB" w:rsidP="007368DB">
      <w:pPr>
        <w:pStyle w:val="ListParagraph"/>
        <w:ind w:left="1080"/>
        <w:jc w:val="both"/>
        <w:rPr>
          <w:rFonts w:ascii="Avenir Next" w:hAnsi="Avenir Next" w:cs="Arial"/>
          <w:color w:val="808080" w:themeColor="background1" w:themeShade="80"/>
          <w:sz w:val="22"/>
          <w:szCs w:val="22"/>
        </w:rPr>
      </w:pPr>
    </w:p>
    <w:p w14:paraId="0F6268A8" w14:textId="3B8E73F5" w:rsidR="00A21DF1" w:rsidRPr="009E76F6" w:rsidRDefault="002E3AA3" w:rsidP="00A21DF1">
      <w:pPr>
        <w:pStyle w:val="ListParagraph"/>
        <w:numPr>
          <w:ilvl w:val="0"/>
          <w:numId w:val="22"/>
        </w:numPr>
        <w:jc w:val="both"/>
        <w:rPr>
          <w:rFonts w:ascii="Avenir Next" w:hAnsi="Avenir Next" w:cs="Arial"/>
          <w:color w:val="808080" w:themeColor="background1" w:themeShade="80"/>
          <w:sz w:val="22"/>
          <w:szCs w:val="22"/>
        </w:rPr>
      </w:pPr>
      <w:r w:rsidRPr="00CB58F4">
        <w:rPr>
          <w:rFonts w:ascii="Avenir Next" w:hAnsi="Avenir Next" w:cs="Arial"/>
          <w:b/>
          <w:bCs/>
          <w:color w:val="808080" w:themeColor="background1" w:themeShade="80"/>
          <w:sz w:val="22"/>
          <w:szCs w:val="22"/>
        </w:rPr>
        <w:t xml:space="preserve">The </w:t>
      </w:r>
      <w:r w:rsidR="00CB58F4" w:rsidRPr="00CB58F4">
        <w:rPr>
          <w:rFonts w:ascii="Avenir Next" w:hAnsi="Avenir Next" w:cs="Arial"/>
          <w:b/>
          <w:bCs/>
          <w:color w:val="808080" w:themeColor="background1" w:themeShade="80"/>
          <w:sz w:val="22"/>
          <w:szCs w:val="22"/>
        </w:rPr>
        <w:t>L</w:t>
      </w:r>
      <w:r w:rsidRPr="00CB58F4">
        <w:rPr>
          <w:rFonts w:ascii="Avenir Next" w:hAnsi="Avenir Next" w:cs="Arial"/>
          <w:b/>
          <w:bCs/>
          <w:color w:val="808080" w:themeColor="background1" w:themeShade="80"/>
          <w:sz w:val="22"/>
          <w:szCs w:val="22"/>
        </w:rPr>
        <w:t xml:space="preserve">iquidation </w:t>
      </w:r>
      <w:r w:rsidR="00CB58F4" w:rsidRPr="00CB58F4">
        <w:rPr>
          <w:rFonts w:ascii="Avenir Next" w:hAnsi="Avenir Next" w:cs="Arial"/>
          <w:b/>
          <w:bCs/>
          <w:color w:val="808080" w:themeColor="background1" w:themeShade="80"/>
          <w:sz w:val="22"/>
          <w:szCs w:val="22"/>
        </w:rPr>
        <w:t>E</w:t>
      </w:r>
      <w:r w:rsidRPr="00CB58F4">
        <w:rPr>
          <w:rFonts w:ascii="Avenir Next" w:hAnsi="Avenir Next" w:cs="Arial"/>
          <w:b/>
          <w:bCs/>
          <w:color w:val="808080" w:themeColor="background1" w:themeShade="80"/>
          <w:sz w:val="22"/>
          <w:szCs w:val="22"/>
        </w:rPr>
        <w:t>xpenses</w:t>
      </w:r>
      <w:r>
        <w:rPr>
          <w:rFonts w:ascii="Avenir Next" w:hAnsi="Avenir Next" w:cs="Arial"/>
          <w:color w:val="808080" w:themeColor="background1" w:themeShade="80"/>
          <w:sz w:val="22"/>
          <w:szCs w:val="22"/>
        </w:rPr>
        <w:t xml:space="preserve">: </w:t>
      </w:r>
      <w:r w:rsidR="00FC7C9B" w:rsidRPr="005B48FD">
        <w:rPr>
          <w:rFonts w:ascii="Avenir Next" w:hAnsi="Avenir Next" w:cs="Arial"/>
          <w:color w:val="808080" w:themeColor="background1" w:themeShade="80"/>
          <w:sz w:val="22"/>
          <w:szCs w:val="22"/>
        </w:rPr>
        <w:t>All fees, costs, charges and other expenses incurred in the course of the winding up are to be treated as expenses of the winding up</w:t>
      </w:r>
      <w:r w:rsidR="00FC7C9B">
        <w:rPr>
          <w:rStyle w:val="FootnoteReference"/>
          <w:rFonts w:ascii="Arial" w:hAnsi="Arial" w:cs="Arial"/>
          <w:color w:val="494949"/>
          <w:sz w:val="18"/>
          <w:szCs w:val="18"/>
          <w:shd w:val="clear" w:color="auto" w:fill="FFFFFF"/>
        </w:rPr>
        <w:footnoteReference w:id="34"/>
      </w:r>
      <w:r w:rsidR="005B48FD">
        <w:rPr>
          <w:rFonts w:ascii="Avenir Next" w:hAnsi="Avenir Next" w:cs="Arial"/>
          <w:color w:val="808080" w:themeColor="background1" w:themeShade="80"/>
          <w:sz w:val="22"/>
          <w:szCs w:val="22"/>
        </w:rPr>
        <w:t>.</w:t>
      </w:r>
      <w:r w:rsidR="00CD7450">
        <w:rPr>
          <w:rFonts w:ascii="Avenir Next" w:hAnsi="Avenir Next" w:cs="Arial"/>
          <w:color w:val="808080" w:themeColor="background1" w:themeShade="80"/>
          <w:sz w:val="22"/>
          <w:szCs w:val="22"/>
        </w:rPr>
        <w:t xml:space="preserve"> In accordance to Section 115</w:t>
      </w:r>
      <w:r w:rsidR="00A75CDC">
        <w:rPr>
          <w:rFonts w:ascii="Avenir Next" w:hAnsi="Avenir Next" w:cs="Arial"/>
          <w:color w:val="808080" w:themeColor="background1" w:themeShade="80"/>
          <w:sz w:val="22"/>
          <w:szCs w:val="22"/>
        </w:rPr>
        <w:t xml:space="preserve"> of the Act,</w:t>
      </w:r>
      <w:r w:rsidR="00CD7450">
        <w:rPr>
          <w:rFonts w:ascii="Avenir Next" w:hAnsi="Avenir Next" w:cs="Arial"/>
          <w:color w:val="808080" w:themeColor="background1" w:themeShade="80"/>
          <w:sz w:val="22"/>
          <w:szCs w:val="22"/>
        </w:rPr>
        <w:t xml:space="preserve"> </w:t>
      </w:r>
      <w:r w:rsidR="00CD7450" w:rsidRPr="00CD7450">
        <w:rPr>
          <w:rFonts w:ascii="Avenir Next" w:hAnsi="Avenir Next" w:cs="Arial"/>
          <w:color w:val="808080" w:themeColor="background1" w:themeShade="80"/>
          <w:sz w:val="22"/>
          <w:szCs w:val="22"/>
        </w:rPr>
        <w:t xml:space="preserve">all expenses properly incurred in the winding up, including the remuneration of the liquidator, are payable out of the company’s assets in priority to all </w:t>
      </w:r>
      <w:r w:rsidR="00CD7450" w:rsidRPr="00CD7450">
        <w:rPr>
          <w:rFonts w:ascii="Avenir Next" w:hAnsi="Avenir Next" w:cs="Arial"/>
          <w:color w:val="808080" w:themeColor="background1" w:themeShade="80"/>
          <w:sz w:val="22"/>
          <w:szCs w:val="22"/>
        </w:rPr>
        <w:lastRenderedPageBreak/>
        <w:t>other claims</w:t>
      </w:r>
      <w:r w:rsidR="007368DB">
        <w:rPr>
          <w:rFonts w:ascii="Avenir Next" w:hAnsi="Avenir Next" w:cs="Arial"/>
          <w:color w:val="808080" w:themeColor="background1" w:themeShade="80"/>
          <w:sz w:val="22"/>
          <w:szCs w:val="22"/>
        </w:rPr>
        <w:t xml:space="preserve">. Also, as provided under the Chapter 6 and </w:t>
      </w:r>
      <w:r w:rsidR="003F1D45">
        <w:rPr>
          <w:rFonts w:ascii="Avenir Next" w:hAnsi="Avenir Next" w:cs="Arial"/>
          <w:color w:val="808080" w:themeColor="background1" w:themeShade="80"/>
          <w:sz w:val="22"/>
          <w:szCs w:val="22"/>
        </w:rPr>
        <w:t>14</w:t>
      </w:r>
      <w:r w:rsidR="007368DB">
        <w:rPr>
          <w:rFonts w:ascii="Avenir Next" w:hAnsi="Avenir Next" w:cs="Arial"/>
          <w:color w:val="808080" w:themeColor="background1" w:themeShade="80"/>
          <w:sz w:val="22"/>
          <w:szCs w:val="22"/>
        </w:rPr>
        <w:t xml:space="preserve"> of the </w:t>
      </w:r>
      <w:r w:rsidR="007368DB" w:rsidRPr="008545EC">
        <w:rPr>
          <w:rFonts w:ascii="Avenir Next" w:hAnsi="Avenir Next" w:cs="Arial"/>
          <w:color w:val="808080" w:themeColor="background1" w:themeShade="80"/>
          <w:sz w:val="22"/>
          <w:szCs w:val="22"/>
        </w:rPr>
        <w:t>The Insolvency (England &amp; Wales) Rules, 2016</w:t>
      </w:r>
      <w:r w:rsidR="0021345E" w:rsidRPr="008545EC">
        <w:rPr>
          <w:rFonts w:ascii="Avenir Next" w:hAnsi="Avenir Next" w:cs="Arial"/>
          <w:color w:val="808080" w:themeColor="background1" w:themeShade="80"/>
          <w:sz w:val="22"/>
          <w:szCs w:val="22"/>
        </w:rPr>
        <w:t>, there is an inter-se priority accorded to even the liquidation expenses which has be followed in the following order:</w:t>
      </w:r>
    </w:p>
    <w:p w14:paraId="06FD7F5B" w14:textId="77777777" w:rsidR="009E76F6" w:rsidRPr="009E76F6" w:rsidRDefault="009E76F6" w:rsidP="009E76F6">
      <w:pPr>
        <w:pStyle w:val="ListParagraph"/>
        <w:rPr>
          <w:rFonts w:ascii="Avenir Next" w:hAnsi="Avenir Next" w:cs="Arial"/>
          <w:color w:val="808080" w:themeColor="background1" w:themeShade="80"/>
          <w:sz w:val="22"/>
          <w:szCs w:val="22"/>
        </w:rPr>
      </w:pPr>
    </w:p>
    <w:p w14:paraId="05A43121" w14:textId="7BF13300" w:rsidR="009E76F6" w:rsidRDefault="00CE447D" w:rsidP="009E76F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Expenses </w:t>
      </w:r>
      <w:r w:rsidR="009E76F6">
        <w:rPr>
          <w:rFonts w:ascii="Avenir Next" w:hAnsi="Avenir Next" w:cs="Arial"/>
          <w:color w:val="808080" w:themeColor="background1" w:themeShade="80"/>
          <w:sz w:val="22"/>
          <w:szCs w:val="22"/>
        </w:rPr>
        <w:t xml:space="preserve">incurred by the liquidator </w:t>
      </w:r>
      <w:r>
        <w:rPr>
          <w:rFonts w:ascii="Avenir Next" w:hAnsi="Avenir Next" w:cs="Arial"/>
          <w:color w:val="808080" w:themeColor="background1" w:themeShade="80"/>
          <w:sz w:val="22"/>
          <w:szCs w:val="22"/>
        </w:rPr>
        <w:t xml:space="preserve">in </w:t>
      </w:r>
      <w:r w:rsidR="009E76F6">
        <w:rPr>
          <w:rFonts w:ascii="Avenir Next" w:hAnsi="Avenir Next" w:cs="Arial"/>
          <w:color w:val="808080" w:themeColor="background1" w:themeShade="80"/>
          <w:sz w:val="22"/>
          <w:szCs w:val="22"/>
        </w:rPr>
        <w:t>preservation of the company property/</w:t>
      </w:r>
      <w:r>
        <w:rPr>
          <w:rFonts w:ascii="Avenir Next" w:hAnsi="Avenir Next" w:cs="Arial"/>
          <w:color w:val="808080" w:themeColor="background1" w:themeShade="80"/>
          <w:sz w:val="22"/>
          <w:szCs w:val="22"/>
        </w:rPr>
        <w:t>security</w:t>
      </w:r>
      <w:r w:rsidR="009E76F6">
        <w:rPr>
          <w:rFonts w:ascii="Avenir Next" w:hAnsi="Avenir Next" w:cs="Arial"/>
          <w:color w:val="808080" w:themeColor="background1" w:themeShade="80"/>
          <w:sz w:val="22"/>
          <w:szCs w:val="22"/>
        </w:rPr>
        <w:t xml:space="preserve"> interest, </w:t>
      </w:r>
      <w:r w:rsidR="009C6B01">
        <w:rPr>
          <w:rFonts w:ascii="Avenir Next" w:hAnsi="Avenir Next" w:cs="Arial"/>
          <w:color w:val="808080" w:themeColor="background1" w:themeShade="80"/>
          <w:sz w:val="22"/>
          <w:szCs w:val="22"/>
        </w:rPr>
        <w:t xml:space="preserve">expenses incurred qua any litigation, </w:t>
      </w:r>
      <w:r>
        <w:rPr>
          <w:rFonts w:ascii="Avenir Next" w:hAnsi="Avenir Next" w:cs="Arial"/>
          <w:color w:val="808080" w:themeColor="background1" w:themeShade="80"/>
          <w:sz w:val="22"/>
          <w:szCs w:val="22"/>
        </w:rPr>
        <w:t>settlement</w:t>
      </w:r>
      <w:r w:rsidR="009C6B01">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arbitration</w:t>
      </w:r>
      <w:r w:rsidR="009C6B01">
        <w:rPr>
          <w:rFonts w:ascii="Avenir Next" w:hAnsi="Avenir Next" w:cs="Arial"/>
          <w:color w:val="808080" w:themeColor="background1" w:themeShade="80"/>
          <w:sz w:val="22"/>
          <w:szCs w:val="22"/>
        </w:rPr>
        <w:t>, negotiation etc.;</w:t>
      </w:r>
    </w:p>
    <w:p w14:paraId="48C8C77E" w14:textId="3BFA5E93" w:rsidR="009C6B01" w:rsidRDefault="009A0952" w:rsidP="009E76F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Cost of any security or guarantee provided by the liquidator;</w:t>
      </w:r>
    </w:p>
    <w:p w14:paraId="316A3201" w14:textId="767E2F6C" w:rsidR="009A0952" w:rsidRDefault="009A0952" w:rsidP="009E76F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Remuneration of any special manager;</w:t>
      </w:r>
    </w:p>
    <w:p w14:paraId="0D0A2DEB" w14:textId="7C65590D" w:rsidR="009A0952" w:rsidRDefault="00F345CC" w:rsidP="009E76F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Amounts </w:t>
      </w:r>
      <w:r w:rsidR="00CE447D">
        <w:rPr>
          <w:rFonts w:ascii="Avenir Next" w:hAnsi="Avenir Next" w:cs="Arial"/>
          <w:color w:val="808080" w:themeColor="background1" w:themeShade="80"/>
          <w:sz w:val="22"/>
          <w:szCs w:val="22"/>
        </w:rPr>
        <w:t>payable</w:t>
      </w:r>
      <w:r>
        <w:rPr>
          <w:rFonts w:ascii="Avenir Next" w:hAnsi="Avenir Next" w:cs="Arial"/>
          <w:color w:val="808080" w:themeColor="background1" w:themeShade="80"/>
          <w:sz w:val="22"/>
          <w:szCs w:val="22"/>
        </w:rPr>
        <w:t xml:space="preserve"> to any person employed to prepare the statement of </w:t>
      </w:r>
      <w:r w:rsidR="00CE447D">
        <w:rPr>
          <w:rFonts w:ascii="Avenir Next" w:hAnsi="Avenir Next" w:cs="Arial"/>
          <w:color w:val="808080" w:themeColor="background1" w:themeShade="80"/>
          <w:sz w:val="22"/>
          <w:szCs w:val="22"/>
        </w:rPr>
        <w:t>affairs</w:t>
      </w:r>
      <w:r>
        <w:rPr>
          <w:rFonts w:ascii="Avenir Next" w:hAnsi="Avenir Next" w:cs="Arial"/>
          <w:color w:val="808080" w:themeColor="background1" w:themeShade="80"/>
          <w:sz w:val="22"/>
          <w:szCs w:val="22"/>
        </w:rPr>
        <w:t>/accounts;</w:t>
      </w:r>
    </w:p>
    <w:p w14:paraId="0BC61751" w14:textId="4CC3B044" w:rsidR="000E6029" w:rsidRDefault="00CE447D" w:rsidP="009E76F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Cost</w:t>
      </w:r>
      <w:r w:rsidR="000E6029">
        <w:rPr>
          <w:rFonts w:ascii="Avenir Next" w:hAnsi="Avenir Next" w:cs="Arial"/>
          <w:color w:val="808080" w:themeColor="background1" w:themeShade="80"/>
          <w:sz w:val="22"/>
          <w:szCs w:val="22"/>
        </w:rPr>
        <w:t xml:space="preserve"> to employee any shorthand writer;</w:t>
      </w:r>
    </w:p>
    <w:p w14:paraId="40E9E3D0" w14:textId="5DB37FE2" w:rsidR="000E6029" w:rsidRDefault="00D21F6C" w:rsidP="009E76F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necessary payments made by the liquidator team;</w:t>
      </w:r>
    </w:p>
    <w:p w14:paraId="46F5E852" w14:textId="22D4EAA4" w:rsidR="006E6D46" w:rsidRDefault="006E6D46" w:rsidP="009E76F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of the professionals hired by the </w:t>
      </w:r>
      <w:r w:rsidR="00CE447D">
        <w:rPr>
          <w:rFonts w:ascii="Avenir Next" w:hAnsi="Avenir Next" w:cs="Arial"/>
          <w:color w:val="808080" w:themeColor="background1" w:themeShade="80"/>
          <w:sz w:val="22"/>
          <w:szCs w:val="22"/>
        </w:rPr>
        <w:t>liquidators</w:t>
      </w:r>
      <w:r>
        <w:rPr>
          <w:rFonts w:ascii="Avenir Next" w:hAnsi="Avenir Next" w:cs="Arial"/>
          <w:color w:val="808080" w:themeColor="background1" w:themeShade="80"/>
          <w:sz w:val="22"/>
          <w:szCs w:val="22"/>
        </w:rPr>
        <w:t xml:space="preserve"> such as auditors, lawyers etc.;</w:t>
      </w:r>
    </w:p>
    <w:p w14:paraId="4B2D3FA6" w14:textId="60F5F125" w:rsidR="006E6D46" w:rsidRDefault="00837417" w:rsidP="009E76F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Remuneration of the liquidator;</w:t>
      </w:r>
    </w:p>
    <w:p w14:paraId="328E7A81" w14:textId="2238B800" w:rsidR="00837417" w:rsidRDefault="00837417" w:rsidP="009E76F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Corporation tax or </w:t>
      </w:r>
      <w:r w:rsidR="006D5D6E">
        <w:rPr>
          <w:rFonts w:ascii="Avenir Next" w:hAnsi="Avenir Next" w:cs="Arial"/>
          <w:color w:val="808080" w:themeColor="background1" w:themeShade="80"/>
          <w:sz w:val="22"/>
          <w:szCs w:val="22"/>
        </w:rPr>
        <w:t>chargeable</w:t>
      </w:r>
      <w:r>
        <w:rPr>
          <w:rFonts w:ascii="Avenir Next" w:hAnsi="Avenir Next" w:cs="Arial"/>
          <w:color w:val="808080" w:themeColor="background1" w:themeShade="80"/>
          <w:sz w:val="22"/>
          <w:szCs w:val="22"/>
        </w:rPr>
        <w:t xml:space="preserve"> gains from sale</w:t>
      </w:r>
      <w:r w:rsidR="006D5D6E">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of </w:t>
      </w:r>
      <w:r w:rsidR="00413024">
        <w:rPr>
          <w:rFonts w:ascii="Avenir Next" w:hAnsi="Avenir Next" w:cs="Arial"/>
          <w:color w:val="808080" w:themeColor="background1" w:themeShade="80"/>
          <w:sz w:val="22"/>
          <w:szCs w:val="22"/>
        </w:rPr>
        <w:t>asset</w:t>
      </w:r>
      <w:r>
        <w:rPr>
          <w:rFonts w:ascii="Avenir Next" w:hAnsi="Avenir Next" w:cs="Arial"/>
          <w:color w:val="808080" w:themeColor="background1" w:themeShade="80"/>
          <w:sz w:val="22"/>
          <w:szCs w:val="22"/>
        </w:rPr>
        <w:t>;</w:t>
      </w:r>
    </w:p>
    <w:p w14:paraId="785F1BF4" w14:textId="4FCA68D8" w:rsidR="00837417" w:rsidRDefault="00FC151D" w:rsidP="009E76F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other expenses.</w:t>
      </w:r>
    </w:p>
    <w:p w14:paraId="6D7F5C36" w14:textId="77777777" w:rsidR="00F345CC" w:rsidRPr="000E6029" w:rsidRDefault="00F345CC" w:rsidP="000E6029">
      <w:pPr>
        <w:pStyle w:val="ListParagraph"/>
      </w:pPr>
    </w:p>
    <w:p w14:paraId="35261777" w14:textId="51635FEB" w:rsidR="00A21DF1" w:rsidRPr="008545EC" w:rsidRDefault="00413024" w:rsidP="00EC73F4">
      <w:pPr>
        <w:pStyle w:val="ListParagraph"/>
        <w:numPr>
          <w:ilvl w:val="0"/>
          <w:numId w:val="22"/>
        </w:numPr>
        <w:jc w:val="both"/>
        <w:rPr>
          <w:rFonts w:ascii="Avenir Next" w:hAnsi="Avenir Next" w:cs="Arial"/>
          <w:color w:val="808080" w:themeColor="background1" w:themeShade="80"/>
          <w:sz w:val="22"/>
          <w:szCs w:val="22"/>
        </w:rPr>
      </w:pPr>
      <w:r w:rsidRPr="00413024">
        <w:rPr>
          <w:rFonts w:ascii="Avenir Next" w:hAnsi="Avenir Next" w:cs="Arial"/>
          <w:b/>
          <w:bCs/>
          <w:color w:val="808080" w:themeColor="background1" w:themeShade="80"/>
          <w:sz w:val="22"/>
          <w:szCs w:val="22"/>
        </w:rPr>
        <w:t>Preferential</w:t>
      </w:r>
      <w:r w:rsidR="00EC73F4" w:rsidRPr="00413024">
        <w:rPr>
          <w:rFonts w:ascii="Avenir Next" w:hAnsi="Avenir Next" w:cs="Arial"/>
          <w:b/>
          <w:bCs/>
          <w:color w:val="808080" w:themeColor="background1" w:themeShade="80"/>
          <w:sz w:val="22"/>
          <w:szCs w:val="22"/>
        </w:rPr>
        <w:t xml:space="preserve"> Creditors</w:t>
      </w:r>
      <w:r w:rsidR="00EC73F4" w:rsidRPr="008545EC">
        <w:rPr>
          <w:rFonts w:ascii="Avenir Next" w:hAnsi="Avenir Next" w:cs="Arial"/>
          <w:color w:val="808080" w:themeColor="background1" w:themeShade="80"/>
          <w:sz w:val="22"/>
          <w:szCs w:val="22"/>
        </w:rPr>
        <w:t xml:space="preserve">: </w:t>
      </w:r>
      <w:r w:rsidR="00B11C77" w:rsidRPr="008545EC">
        <w:rPr>
          <w:rFonts w:ascii="Avenir Next" w:hAnsi="Avenir Next" w:cs="Arial"/>
          <w:color w:val="808080" w:themeColor="background1" w:themeShade="80"/>
          <w:sz w:val="22"/>
          <w:szCs w:val="22"/>
        </w:rPr>
        <w:t xml:space="preserve">In accordance to the Act, there are </w:t>
      </w:r>
      <w:r w:rsidR="007169FE" w:rsidRPr="008545EC">
        <w:rPr>
          <w:rFonts w:ascii="Avenir Next" w:hAnsi="Avenir Next" w:cs="Arial"/>
          <w:color w:val="808080" w:themeColor="background1" w:themeShade="80"/>
          <w:sz w:val="22"/>
          <w:szCs w:val="22"/>
        </w:rPr>
        <w:t>certain types of preferential debts:</w:t>
      </w:r>
    </w:p>
    <w:p w14:paraId="49928B4B" w14:textId="21F8E3A8" w:rsidR="00A21DF1" w:rsidRPr="005C4E6D" w:rsidRDefault="00413024" w:rsidP="00A21DF1">
      <w:pPr>
        <w:pStyle w:val="ListParagraph"/>
        <w:numPr>
          <w:ilvl w:val="0"/>
          <w:numId w:val="25"/>
        </w:numPr>
        <w:jc w:val="both"/>
        <w:rPr>
          <w:rFonts w:ascii="Avenir Next" w:hAnsi="Avenir Next" w:cs="Arial"/>
          <w:sz w:val="22"/>
          <w:szCs w:val="22"/>
          <w:shd w:val="clear" w:color="auto" w:fill="FFFFFF"/>
        </w:rPr>
      </w:pPr>
      <w:r w:rsidRPr="00413024">
        <w:rPr>
          <w:rFonts w:ascii="Avenir Next" w:hAnsi="Avenir Next" w:cs="Arial"/>
          <w:b/>
          <w:bCs/>
          <w:color w:val="808080" w:themeColor="background1" w:themeShade="80"/>
          <w:sz w:val="22"/>
          <w:szCs w:val="22"/>
        </w:rPr>
        <w:t>Preferential</w:t>
      </w:r>
      <w:r w:rsidR="00610043" w:rsidRPr="00413024">
        <w:rPr>
          <w:rFonts w:ascii="Avenir Next" w:hAnsi="Avenir Next" w:cs="Arial"/>
          <w:b/>
          <w:bCs/>
          <w:color w:val="808080" w:themeColor="background1" w:themeShade="80"/>
          <w:sz w:val="22"/>
          <w:szCs w:val="22"/>
        </w:rPr>
        <w:t xml:space="preserve"> Debts</w:t>
      </w:r>
      <w:r w:rsidR="00610043" w:rsidRPr="005C4E6D">
        <w:rPr>
          <w:rFonts w:ascii="Avenir Next" w:hAnsi="Avenir Next" w:cs="Arial"/>
          <w:color w:val="808080" w:themeColor="background1" w:themeShade="80"/>
          <w:sz w:val="22"/>
          <w:szCs w:val="22"/>
        </w:rPr>
        <w:t xml:space="preserve">: </w:t>
      </w:r>
      <w:r w:rsidR="00D4110F" w:rsidRPr="005C4E6D">
        <w:rPr>
          <w:rFonts w:ascii="Avenir Next" w:hAnsi="Avenir Next" w:cs="Arial"/>
          <w:color w:val="808080" w:themeColor="background1" w:themeShade="80"/>
          <w:sz w:val="22"/>
          <w:szCs w:val="22"/>
        </w:rPr>
        <w:t xml:space="preserve">which includes, </w:t>
      </w:r>
      <w:r w:rsidR="000D4DA5">
        <w:rPr>
          <w:rFonts w:ascii="Avenir Next" w:hAnsi="Avenir Next" w:cs="Arial"/>
          <w:color w:val="808080" w:themeColor="background1" w:themeShade="80"/>
          <w:sz w:val="22"/>
          <w:szCs w:val="22"/>
        </w:rPr>
        <w:t>c</w:t>
      </w:r>
      <w:r w:rsidR="000D4DA5" w:rsidRPr="005C4E6D">
        <w:rPr>
          <w:rFonts w:ascii="Avenir Next" w:hAnsi="Avenir Next" w:cs="Arial"/>
          <w:color w:val="808080" w:themeColor="background1" w:themeShade="80"/>
          <w:sz w:val="22"/>
          <w:szCs w:val="22"/>
        </w:rPr>
        <w:t>ontributions</w:t>
      </w:r>
      <w:r w:rsidR="00D4110F" w:rsidRPr="005C4E6D">
        <w:rPr>
          <w:rFonts w:ascii="Avenir Next" w:hAnsi="Avenir Next" w:cs="Arial"/>
          <w:color w:val="808080" w:themeColor="background1" w:themeShade="80"/>
          <w:sz w:val="22"/>
          <w:szCs w:val="22"/>
        </w:rPr>
        <w:t xml:space="preserve"> to occupational pension schemes; remuneration, &amp;c. of employees; levies on coal and steel production, </w:t>
      </w:r>
      <w:r w:rsidR="000D4DA5">
        <w:rPr>
          <w:rFonts w:ascii="Avenir Next" w:hAnsi="Avenir Next" w:cs="Arial"/>
          <w:color w:val="808080" w:themeColor="background1" w:themeShade="80"/>
          <w:sz w:val="22"/>
          <w:szCs w:val="22"/>
        </w:rPr>
        <w:t>d</w:t>
      </w:r>
      <w:r w:rsidR="00D4110F" w:rsidRPr="005C4E6D">
        <w:rPr>
          <w:rFonts w:ascii="Avenir Next" w:hAnsi="Avenir Next" w:cs="Arial"/>
          <w:color w:val="808080" w:themeColor="background1" w:themeShade="80"/>
          <w:sz w:val="22"/>
          <w:szCs w:val="22"/>
        </w:rPr>
        <w:t xml:space="preserve">ebts owed to the Financial Services Compensation Scheme, </w:t>
      </w:r>
      <w:r w:rsidR="000F0F56" w:rsidRPr="005C4E6D">
        <w:rPr>
          <w:rFonts w:ascii="Avenir Next" w:hAnsi="Avenir Next" w:cs="Arial"/>
          <w:color w:val="808080" w:themeColor="background1" w:themeShade="80"/>
          <w:sz w:val="22"/>
          <w:szCs w:val="22"/>
        </w:rPr>
        <w:t>deposits covered by Financial Services Compensation Scheme, certain HMRC debts</w:t>
      </w:r>
      <w:r w:rsidR="000F0F56">
        <w:rPr>
          <w:rStyle w:val="FootnoteReference"/>
          <w:rFonts w:ascii="Arial" w:hAnsi="Arial" w:cs="Arial"/>
          <w:color w:val="000000"/>
          <w:sz w:val="18"/>
          <w:szCs w:val="18"/>
          <w:shd w:val="clear" w:color="auto" w:fill="FFFFFF"/>
        </w:rPr>
        <w:footnoteReference w:id="35"/>
      </w:r>
      <w:r w:rsidR="005C4E6D">
        <w:rPr>
          <w:rFonts w:ascii="Avenir Next" w:hAnsi="Avenir Next" w:cs="Arial"/>
          <w:color w:val="808080" w:themeColor="background1" w:themeShade="80"/>
          <w:sz w:val="22"/>
          <w:szCs w:val="22"/>
        </w:rPr>
        <w:t>.</w:t>
      </w:r>
    </w:p>
    <w:p w14:paraId="1E817739" w14:textId="77777777" w:rsidR="005C4E6D" w:rsidRPr="00237094" w:rsidRDefault="005C4E6D" w:rsidP="005C4E6D">
      <w:pPr>
        <w:pStyle w:val="ListParagraph"/>
        <w:ind w:left="1800"/>
        <w:jc w:val="both"/>
        <w:rPr>
          <w:rFonts w:ascii="Avenir Next" w:hAnsi="Avenir Next" w:cs="Arial"/>
          <w:sz w:val="22"/>
          <w:szCs w:val="22"/>
          <w:shd w:val="clear" w:color="auto" w:fill="FFFFFF"/>
        </w:rPr>
      </w:pPr>
    </w:p>
    <w:p w14:paraId="2B341B36" w14:textId="2C12A289" w:rsidR="00237094" w:rsidRDefault="00237094" w:rsidP="00A21DF1">
      <w:pPr>
        <w:pStyle w:val="ListParagraph"/>
        <w:numPr>
          <w:ilvl w:val="0"/>
          <w:numId w:val="25"/>
        </w:numPr>
        <w:jc w:val="both"/>
        <w:rPr>
          <w:rFonts w:ascii="Avenir Next" w:hAnsi="Avenir Next" w:cs="Arial"/>
          <w:color w:val="808080" w:themeColor="background1" w:themeShade="80"/>
          <w:sz w:val="22"/>
          <w:szCs w:val="22"/>
        </w:rPr>
      </w:pPr>
      <w:r w:rsidRPr="000D4DA5">
        <w:rPr>
          <w:rFonts w:ascii="Avenir Next" w:hAnsi="Avenir Next" w:cs="Arial"/>
          <w:b/>
          <w:bCs/>
          <w:color w:val="808080" w:themeColor="background1" w:themeShade="80"/>
          <w:sz w:val="22"/>
          <w:szCs w:val="22"/>
        </w:rPr>
        <w:t xml:space="preserve">Ordinary </w:t>
      </w:r>
      <w:r w:rsidR="000D4DA5" w:rsidRPr="000D4DA5">
        <w:rPr>
          <w:rFonts w:ascii="Avenir Next" w:hAnsi="Avenir Next" w:cs="Arial"/>
          <w:b/>
          <w:bCs/>
          <w:color w:val="808080" w:themeColor="background1" w:themeShade="80"/>
          <w:sz w:val="22"/>
          <w:szCs w:val="22"/>
        </w:rPr>
        <w:t>Preferential</w:t>
      </w:r>
      <w:r w:rsidRPr="000D4DA5">
        <w:rPr>
          <w:rFonts w:ascii="Avenir Next" w:hAnsi="Avenir Next" w:cs="Arial"/>
          <w:b/>
          <w:bCs/>
          <w:color w:val="808080" w:themeColor="background1" w:themeShade="80"/>
          <w:sz w:val="22"/>
          <w:szCs w:val="22"/>
        </w:rPr>
        <w:t xml:space="preserve"> Debts</w:t>
      </w:r>
      <w:r w:rsidR="001530FF">
        <w:rPr>
          <w:rStyle w:val="FootnoteReference"/>
          <w:rFonts w:ascii="Avenir Next" w:hAnsi="Avenir Next" w:cs="Arial"/>
          <w:b/>
          <w:bCs/>
          <w:color w:val="808080" w:themeColor="background1" w:themeShade="80"/>
          <w:sz w:val="22"/>
          <w:szCs w:val="22"/>
        </w:rPr>
        <w:footnoteReference w:id="36"/>
      </w:r>
      <w:r w:rsidRPr="005C4E6D">
        <w:rPr>
          <w:rFonts w:ascii="Avenir Next" w:hAnsi="Avenir Next" w:cs="Arial"/>
          <w:color w:val="808080" w:themeColor="background1" w:themeShade="80"/>
          <w:sz w:val="22"/>
          <w:szCs w:val="22"/>
        </w:rPr>
        <w:t xml:space="preserve">: </w:t>
      </w:r>
      <w:r w:rsidR="00080B96" w:rsidRPr="005C4E6D">
        <w:rPr>
          <w:rFonts w:ascii="Avenir Next" w:hAnsi="Avenir Next" w:cs="Arial"/>
          <w:color w:val="808080" w:themeColor="background1" w:themeShade="80"/>
          <w:sz w:val="22"/>
          <w:szCs w:val="22"/>
        </w:rPr>
        <w:t xml:space="preserve">This includes, debt owed to the Pension Schemes Act 1993, </w:t>
      </w:r>
      <w:r w:rsidR="000D4DA5" w:rsidRPr="005C4E6D">
        <w:rPr>
          <w:rFonts w:ascii="Avenir Next" w:hAnsi="Avenir Next" w:cs="Arial"/>
          <w:color w:val="808080" w:themeColor="background1" w:themeShade="80"/>
          <w:sz w:val="22"/>
          <w:szCs w:val="22"/>
        </w:rPr>
        <w:t>remuneration</w:t>
      </w:r>
      <w:r w:rsidR="00BA7422" w:rsidRPr="005C4E6D">
        <w:rPr>
          <w:rFonts w:ascii="Avenir Next" w:hAnsi="Avenir Next" w:cs="Arial"/>
          <w:color w:val="808080" w:themeColor="background1" w:themeShade="80"/>
          <w:sz w:val="22"/>
          <w:szCs w:val="22"/>
        </w:rPr>
        <w:t xml:space="preserve"> to </w:t>
      </w:r>
      <w:r w:rsidR="001530FF" w:rsidRPr="005C4E6D">
        <w:rPr>
          <w:rFonts w:ascii="Avenir Next" w:hAnsi="Avenir Next" w:cs="Arial"/>
          <w:color w:val="808080" w:themeColor="background1" w:themeShade="80"/>
          <w:sz w:val="22"/>
          <w:szCs w:val="22"/>
        </w:rPr>
        <w:t>employees</w:t>
      </w:r>
      <w:r w:rsidR="00BA7422" w:rsidRPr="005C4E6D">
        <w:rPr>
          <w:rFonts w:ascii="Avenir Next" w:hAnsi="Avenir Next" w:cs="Arial"/>
          <w:color w:val="808080" w:themeColor="background1" w:themeShade="80"/>
          <w:sz w:val="22"/>
          <w:szCs w:val="22"/>
        </w:rPr>
        <w:t xml:space="preserve">, </w:t>
      </w:r>
      <w:r w:rsidR="001530FF">
        <w:rPr>
          <w:rFonts w:ascii="Avenir Next" w:hAnsi="Avenir Next" w:cs="Arial"/>
          <w:color w:val="808080" w:themeColor="background1" w:themeShade="80"/>
          <w:sz w:val="22"/>
          <w:szCs w:val="22"/>
        </w:rPr>
        <w:t>a</w:t>
      </w:r>
      <w:r w:rsidR="00BA7422" w:rsidRPr="005C4E6D">
        <w:rPr>
          <w:rFonts w:ascii="Avenir Next" w:hAnsi="Avenir Next" w:cs="Arial"/>
          <w:color w:val="808080" w:themeColor="background1" w:themeShade="80"/>
          <w:sz w:val="22"/>
          <w:szCs w:val="22"/>
        </w:rPr>
        <w:t>n</w:t>
      </w:r>
      <w:r w:rsidR="0007419B">
        <w:rPr>
          <w:rFonts w:ascii="Avenir Next" w:hAnsi="Avenir Next" w:cs="Arial"/>
          <w:color w:val="808080" w:themeColor="background1" w:themeShade="80"/>
          <w:sz w:val="22"/>
          <w:szCs w:val="22"/>
        </w:rPr>
        <w:t>y</w:t>
      </w:r>
      <w:r w:rsidR="00BA7422" w:rsidRPr="005C4E6D">
        <w:rPr>
          <w:rFonts w:ascii="Avenir Next" w:hAnsi="Avenir Next" w:cs="Arial"/>
          <w:color w:val="808080" w:themeColor="background1" w:themeShade="80"/>
          <w:sz w:val="22"/>
          <w:szCs w:val="22"/>
        </w:rPr>
        <w:t xml:space="preserve"> amount owed by way of accrued holiday remuneration, </w:t>
      </w:r>
      <w:r w:rsidR="001F01AF" w:rsidRPr="005C4E6D">
        <w:rPr>
          <w:rFonts w:ascii="Avenir Next" w:hAnsi="Avenir Next" w:cs="Arial"/>
          <w:color w:val="808080" w:themeColor="background1" w:themeShade="80"/>
          <w:sz w:val="22"/>
          <w:szCs w:val="22"/>
        </w:rPr>
        <w:t xml:space="preserve">sum owed in respect of </w:t>
      </w:r>
      <w:r w:rsidR="001530FF">
        <w:rPr>
          <w:rFonts w:ascii="Avenir Next" w:hAnsi="Avenir Next" w:cs="Arial"/>
          <w:color w:val="808080" w:themeColor="background1" w:themeShade="80"/>
          <w:sz w:val="22"/>
          <w:szCs w:val="22"/>
        </w:rPr>
        <w:t xml:space="preserve">any </w:t>
      </w:r>
      <w:r w:rsidR="001F01AF" w:rsidRPr="005C4E6D">
        <w:rPr>
          <w:rFonts w:ascii="Avenir Next" w:hAnsi="Avenir Next" w:cs="Arial"/>
          <w:color w:val="808080" w:themeColor="background1" w:themeShade="80"/>
          <w:sz w:val="22"/>
          <w:szCs w:val="22"/>
        </w:rPr>
        <w:t xml:space="preserve">money advanced, </w:t>
      </w:r>
      <w:r w:rsidR="00CC51CA">
        <w:rPr>
          <w:rFonts w:ascii="Avenir Next" w:hAnsi="Avenir Next" w:cs="Arial"/>
          <w:color w:val="808080" w:themeColor="background1" w:themeShade="80"/>
          <w:sz w:val="22"/>
          <w:szCs w:val="22"/>
        </w:rPr>
        <w:t xml:space="preserve">any money </w:t>
      </w:r>
      <w:r w:rsidR="001F01AF" w:rsidRPr="005C4E6D">
        <w:rPr>
          <w:rFonts w:ascii="Avenir Next" w:hAnsi="Avenir Next" w:cs="Arial"/>
          <w:color w:val="808080" w:themeColor="background1" w:themeShade="80"/>
          <w:sz w:val="22"/>
          <w:szCs w:val="22"/>
        </w:rPr>
        <w:t xml:space="preserve">ordered to be paid </w:t>
      </w:r>
      <w:r w:rsidR="00913D51" w:rsidRPr="005C4E6D">
        <w:rPr>
          <w:rFonts w:ascii="Avenir Next" w:hAnsi="Avenir Next" w:cs="Arial"/>
          <w:color w:val="808080" w:themeColor="background1" w:themeShade="80"/>
          <w:sz w:val="22"/>
          <w:szCs w:val="22"/>
        </w:rPr>
        <w:t>under the Reserve Forces (Safeguard of Employment) Act 1985</w:t>
      </w:r>
      <w:r w:rsidR="003B532A" w:rsidRPr="005C4E6D">
        <w:rPr>
          <w:rFonts w:ascii="Avenir Next" w:hAnsi="Avenir Next" w:cs="Arial"/>
          <w:color w:val="808080" w:themeColor="background1" w:themeShade="80"/>
          <w:sz w:val="22"/>
          <w:szCs w:val="22"/>
        </w:rPr>
        <w:t xml:space="preserve">, remuneration </w:t>
      </w:r>
      <w:r w:rsidR="00CC51CA">
        <w:rPr>
          <w:rFonts w:ascii="Avenir Next" w:hAnsi="Avenir Next" w:cs="Arial"/>
          <w:color w:val="808080" w:themeColor="background1" w:themeShade="80"/>
          <w:sz w:val="22"/>
          <w:szCs w:val="22"/>
        </w:rPr>
        <w:t>payable towards</w:t>
      </w:r>
      <w:r w:rsidR="003B532A" w:rsidRPr="005C4E6D">
        <w:rPr>
          <w:rFonts w:ascii="Avenir Next" w:hAnsi="Avenir Next" w:cs="Arial"/>
          <w:color w:val="808080" w:themeColor="background1" w:themeShade="80"/>
          <w:sz w:val="22"/>
          <w:szCs w:val="22"/>
        </w:rPr>
        <w:t xml:space="preserve"> wages or salary (whether payable for time or for piece work or earned wholly or partly by way of commission) during that period, </w:t>
      </w:r>
      <w:r w:rsidR="00600264" w:rsidRPr="005C4E6D">
        <w:rPr>
          <w:rFonts w:ascii="Avenir Next" w:hAnsi="Avenir Next" w:cs="Arial"/>
          <w:color w:val="808080" w:themeColor="background1" w:themeShade="80"/>
          <w:sz w:val="22"/>
          <w:szCs w:val="22"/>
        </w:rPr>
        <w:t xml:space="preserve">payments in relation to such an employee who has been adjudged bankrupt as a result of the </w:t>
      </w:r>
      <w:r w:rsidR="00CC51CA" w:rsidRPr="005C4E6D">
        <w:rPr>
          <w:rFonts w:ascii="Avenir Next" w:hAnsi="Avenir Next" w:cs="Arial"/>
          <w:color w:val="808080" w:themeColor="background1" w:themeShade="80"/>
          <w:sz w:val="22"/>
          <w:szCs w:val="22"/>
        </w:rPr>
        <w:t>company’s</w:t>
      </w:r>
      <w:r w:rsidR="00600264" w:rsidRPr="005C4E6D">
        <w:rPr>
          <w:rFonts w:ascii="Avenir Next" w:hAnsi="Avenir Next" w:cs="Arial"/>
          <w:color w:val="808080" w:themeColor="background1" w:themeShade="80"/>
          <w:sz w:val="22"/>
          <w:szCs w:val="22"/>
        </w:rPr>
        <w:t xml:space="preserve"> liquidation, </w:t>
      </w:r>
      <w:r w:rsidR="00636F36" w:rsidRPr="005C4E6D">
        <w:rPr>
          <w:rFonts w:ascii="Avenir Next" w:hAnsi="Avenir Next" w:cs="Arial"/>
          <w:color w:val="808080" w:themeColor="background1" w:themeShade="80"/>
          <w:sz w:val="22"/>
          <w:szCs w:val="22"/>
        </w:rPr>
        <w:t xml:space="preserve">remuneration to a person in respect to a holiday, sickness or other good cause, </w:t>
      </w:r>
      <w:r w:rsidR="00CC51CA" w:rsidRPr="005C4E6D">
        <w:rPr>
          <w:rFonts w:ascii="Avenir Next" w:hAnsi="Avenir Next" w:cs="Arial"/>
          <w:color w:val="808080" w:themeColor="background1" w:themeShade="80"/>
          <w:sz w:val="22"/>
          <w:szCs w:val="22"/>
        </w:rPr>
        <w:t>levies</w:t>
      </w:r>
      <w:r w:rsidR="00504497" w:rsidRPr="005C4E6D">
        <w:rPr>
          <w:rFonts w:ascii="Avenir Next" w:hAnsi="Avenir Next" w:cs="Arial"/>
          <w:color w:val="808080" w:themeColor="background1" w:themeShade="80"/>
          <w:sz w:val="22"/>
          <w:szCs w:val="22"/>
        </w:rPr>
        <w:t xml:space="preserve"> on production of coal or steel </w:t>
      </w:r>
      <w:r w:rsidR="00CC51CA" w:rsidRPr="005C4E6D">
        <w:rPr>
          <w:rFonts w:ascii="Avenir Next" w:hAnsi="Avenir Next" w:cs="Arial"/>
          <w:color w:val="808080" w:themeColor="background1" w:themeShade="80"/>
          <w:sz w:val="22"/>
          <w:szCs w:val="22"/>
        </w:rPr>
        <w:t>including</w:t>
      </w:r>
      <w:r w:rsidR="00504497" w:rsidRPr="005C4E6D">
        <w:rPr>
          <w:rFonts w:ascii="Avenir Next" w:hAnsi="Avenir Next" w:cs="Arial"/>
          <w:color w:val="808080" w:themeColor="background1" w:themeShade="80"/>
          <w:sz w:val="22"/>
          <w:szCs w:val="22"/>
        </w:rPr>
        <w:t xml:space="preserve"> any surcharge or delay, </w:t>
      </w:r>
      <w:r w:rsidR="00D47993" w:rsidRPr="005C4E6D">
        <w:rPr>
          <w:rFonts w:ascii="Avenir Next" w:hAnsi="Avenir Next" w:cs="Arial"/>
          <w:color w:val="808080" w:themeColor="background1" w:themeShade="80"/>
          <w:sz w:val="22"/>
          <w:szCs w:val="22"/>
        </w:rPr>
        <w:t xml:space="preserve">debt owed to the scheme manager under </w:t>
      </w:r>
      <w:r w:rsidR="00B4751A" w:rsidRPr="005C4E6D">
        <w:rPr>
          <w:rFonts w:ascii="Avenir Next" w:hAnsi="Avenir Next" w:cs="Arial"/>
          <w:color w:val="808080" w:themeColor="background1" w:themeShade="80"/>
          <w:sz w:val="22"/>
          <w:szCs w:val="22"/>
        </w:rPr>
        <w:t>Financial Services and Markets Act 2000</w:t>
      </w:r>
      <w:r w:rsidR="001541BA" w:rsidRPr="005C4E6D">
        <w:rPr>
          <w:rFonts w:ascii="Avenir Next" w:hAnsi="Avenir Next" w:cs="Arial"/>
          <w:color w:val="808080" w:themeColor="background1" w:themeShade="80"/>
          <w:sz w:val="22"/>
          <w:szCs w:val="22"/>
        </w:rPr>
        <w:t xml:space="preserve">, any amount payable to an eligible deposit </w:t>
      </w:r>
      <w:r w:rsidR="003A7F17">
        <w:rPr>
          <w:rFonts w:ascii="Avenir Next" w:hAnsi="Avenir Next" w:cs="Arial"/>
          <w:color w:val="808080" w:themeColor="background1" w:themeShade="80"/>
          <w:sz w:val="22"/>
          <w:szCs w:val="22"/>
        </w:rPr>
        <w:t xml:space="preserve">which does not exceed the compensation as would have been payable </w:t>
      </w:r>
      <w:r w:rsidR="001541BA" w:rsidRPr="005C4E6D">
        <w:rPr>
          <w:rFonts w:ascii="Avenir Next" w:hAnsi="Avenir Next" w:cs="Arial"/>
          <w:color w:val="808080" w:themeColor="background1" w:themeShade="80"/>
          <w:sz w:val="22"/>
          <w:szCs w:val="22"/>
        </w:rPr>
        <w:t xml:space="preserve">under </w:t>
      </w:r>
      <w:r w:rsidR="005C4E6D" w:rsidRPr="005C4E6D">
        <w:rPr>
          <w:rFonts w:ascii="Avenir Next" w:hAnsi="Avenir Next" w:cs="Arial"/>
          <w:color w:val="808080" w:themeColor="background1" w:themeShade="80"/>
          <w:sz w:val="22"/>
          <w:szCs w:val="22"/>
        </w:rPr>
        <w:t>Financial Services Compensation Scheme</w:t>
      </w:r>
      <w:r w:rsidR="005C4E6D">
        <w:rPr>
          <w:rFonts w:ascii="Avenir Next" w:hAnsi="Avenir Next" w:cs="Arial"/>
          <w:color w:val="808080" w:themeColor="background1" w:themeShade="80"/>
          <w:sz w:val="22"/>
          <w:szCs w:val="22"/>
        </w:rPr>
        <w:t>.</w:t>
      </w:r>
    </w:p>
    <w:p w14:paraId="3B54679F" w14:textId="77777777" w:rsidR="005C4E6D" w:rsidRPr="005C4E6D" w:rsidRDefault="005C4E6D" w:rsidP="005C4E6D">
      <w:pPr>
        <w:pStyle w:val="ListParagraph"/>
        <w:rPr>
          <w:rFonts w:ascii="Avenir Next" w:hAnsi="Avenir Next" w:cs="Arial"/>
          <w:color w:val="808080" w:themeColor="background1" w:themeShade="80"/>
          <w:sz w:val="22"/>
          <w:szCs w:val="22"/>
        </w:rPr>
      </w:pPr>
    </w:p>
    <w:p w14:paraId="46EB2519" w14:textId="3BFC9F0C" w:rsidR="00DA3E92" w:rsidRPr="00DA3E92" w:rsidRDefault="0068312E" w:rsidP="00DA3E92">
      <w:pPr>
        <w:pStyle w:val="ListParagraph"/>
        <w:numPr>
          <w:ilvl w:val="0"/>
          <w:numId w:val="25"/>
        </w:numPr>
        <w:jc w:val="both"/>
        <w:rPr>
          <w:rFonts w:ascii="Avenir Next" w:hAnsi="Avenir Next" w:cs="Arial"/>
          <w:color w:val="808080" w:themeColor="background1" w:themeShade="80"/>
          <w:sz w:val="22"/>
          <w:szCs w:val="22"/>
        </w:rPr>
      </w:pPr>
      <w:r w:rsidRPr="00CC51CA">
        <w:rPr>
          <w:rFonts w:ascii="Avenir Next" w:hAnsi="Avenir Next" w:cs="Arial"/>
          <w:b/>
          <w:bCs/>
          <w:color w:val="808080" w:themeColor="background1" w:themeShade="80"/>
          <w:sz w:val="22"/>
          <w:szCs w:val="22"/>
        </w:rPr>
        <w:t xml:space="preserve">Secondary </w:t>
      </w:r>
      <w:r w:rsidR="00CC51CA" w:rsidRPr="00CC51CA">
        <w:rPr>
          <w:rFonts w:ascii="Avenir Next" w:hAnsi="Avenir Next" w:cs="Arial"/>
          <w:b/>
          <w:bCs/>
          <w:color w:val="808080" w:themeColor="background1" w:themeShade="80"/>
          <w:sz w:val="22"/>
          <w:szCs w:val="22"/>
        </w:rPr>
        <w:t>Preferential</w:t>
      </w:r>
      <w:r w:rsidRPr="00CC51CA">
        <w:rPr>
          <w:rFonts w:ascii="Avenir Next" w:hAnsi="Avenir Next" w:cs="Arial"/>
          <w:b/>
          <w:bCs/>
          <w:color w:val="808080" w:themeColor="background1" w:themeShade="80"/>
          <w:sz w:val="22"/>
          <w:szCs w:val="22"/>
        </w:rPr>
        <w:t xml:space="preserve"> Debts</w:t>
      </w:r>
      <w:r w:rsidR="00CC51CA">
        <w:rPr>
          <w:rStyle w:val="FootnoteReference"/>
          <w:rFonts w:ascii="Avenir Next" w:hAnsi="Avenir Next" w:cs="Arial"/>
          <w:b/>
          <w:bCs/>
          <w:color w:val="808080" w:themeColor="background1" w:themeShade="80"/>
          <w:sz w:val="22"/>
          <w:szCs w:val="22"/>
        </w:rPr>
        <w:footnoteReference w:id="37"/>
      </w:r>
      <w:r>
        <w:rPr>
          <w:rFonts w:ascii="Avenir Next" w:hAnsi="Avenir Next" w:cs="Arial"/>
          <w:color w:val="808080" w:themeColor="background1" w:themeShade="80"/>
          <w:sz w:val="22"/>
          <w:szCs w:val="22"/>
        </w:rPr>
        <w:t xml:space="preserve">: </w:t>
      </w:r>
      <w:r w:rsidR="00A76060">
        <w:rPr>
          <w:rFonts w:ascii="Avenir Next" w:hAnsi="Avenir Next" w:cs="Arial"/>
          <w:color w:val="808080" w:themeColor="background1" w:themeShade="80"/>
          <w:sz w:val="22"/>
          <w:szCs w:val="22"/>
        </w:rPr>
        <w:t>A</w:t>
      </w:r>
      <w:r w:rsidR="003A7F17" w:rsidRPr="005C4E6D">
        <w:rPr>
          <w:rFonts w:ascii="Avenir Next" w:hAnsi="Avenir Next" w:cs="Arial"/>
          <w:color w:val="808080" w:themeColor="background1" w:themeShade="80"/>
          <w:sz w:val="22"/>
          <w:szCs w:val="22"/>
        </w:rPr>
        <w:t xml:space="preserve">ny amount payable to an eligible deposit </w:t>
      </w:r>
      <w:r w:rsidR="003A7F17">
        <w:rPr>
          <w:rFonts w:ascii="Avenir Next" w:hAnsi="Avenir Next" w:cs="Arial"/>
          <w:color w:val="808080" w:themeColor="background1" w:themeShade="80"/>
          <w:sz w:val="22"/>
          <w:szCs w:val="22"/>
        </w:rPr>
        <w:t xml:space="preserve">which exceeds the compensation as would have been payable </w:t>
      </w:r>
      <w:r w:rsidR="003A7F17" w:rsidRPr="005C4E6D">
        <w:rPr>
          <w:rFonts w:ascii="Avenir Next" w:hAnsi="Avenir Next" w:cs="Arial"/>
          <w:color w:val="808080" w:themeColor="background1" w:themeShade="80"/>
          <w:sz w:val="22"/>
          <w:szCs w:val="22"/>
        </w:rPr>
        <w:t>under Financial Services Compensation Scheme</w:t>
      </w:r>
      <w:r w:rsidR="003A7F17">
        <w:rPr>
          <w:rFonts w:ascii="Avenir Next" w:hAnsi="Avenir Next" w:cs="Arial"/>
          <w:color w:val="808080" w:themeColor="background1" w:themeShade="80"/>
          <w:sz w:val="22"/>
          <w:szCs w:val="22"/>
        </w:rPr>
        <w:t xml:space="preserve">, </w:t>
      </w:r>
      <w:r w:rsidR="003B0743">
        <w:rPr>
          <w:rFonts w:ascii="Avenir Next" w:hAnsi="Avenir Next" w:cs="Arial"/>
          <w:color w:val="808080" w:themeColor="background1" w:themeShade="80"/>
          <w:sz w:val="22"/>
          <w:szCs w:val="22"/>
        </w:rPr>
        <w:t xml:space="preserve">any amount payable by the debtor to one or more eligible persons </w:t>
      </w:r>
      <w:r w:rsidR="001E45AC">
        <w:rPr>
          <w:rFonts w:ascii="Avenir Next" w:hAnsi="Avenir Next" w:cs="Arial"/>
          <w:color w:val="808080" w:themeColor="background1" w:themeShade="80"/>
          <w:sz w:val="22"/>
          <w:szCs w:val="22"/>
        </w:rPr>
        <w:t xml:space="preserve">in respect to a deposit </w:t>
      </w:r>
      <w:r w:rsidR="0032512A">
        <w:rPr>
          <w:rFonts w:ascii="Avenir Next" w:hAnsi="Avenir Next" w:cs="Arial"/>
          <w:color w:val="808080" w:themeColor="background1" w:themeShade="80"/>
          <w:sz w:val="22"/>
          <w:szCs w:val="22"/>
        </w:rPr>
        <w:t>that was made thought a non-UK b</w:t>
      </w:r>
      <w:r w:rsidR="0032512A" w:rsidRPr="008545EC">
        <w:rPr>
          <w:rFonts w:ascii="Avenir Next" w:hAnsi="Avenir Next" w:cs="Arial"/>
          <w:color w:val="808080" w:themeColor="background1" w:themeShade="80"/>
          <w:sz w:val="22"/>
          <w:szCs w:val="22"/>
        </w:rPr>
        <w:t xml:space="preserve">ranch of a credit institution, </w:t>
      </w:r>
      <w:r w:rsidR="00AC0668" w:rsidRPr="008545EC">
        <w:rPr>
          <w:rFonts w:ascii="Avenir Next" w:hAnsi="Avenir Next" w:cs="Arial"/>
          <w:color w:val="808080" w:themeColor="background1" w:themeShade="80"/>
          <w:sz w:val="22"/>
          <w:szCs w:val="22"/>
        </w:rPr>
        <w:t>any amounts payable to the commissioner</w:t>
      </w:r>
      <w:r w:rsidR="009F7CA3" w:rsidRPr="008545EC">
        <w:rPr>
          <w:rFonts w:ascii="Avenir Next" w:hAnsi="Avenir Next" w:cs="Arial"/>
          <w:color w:val="808080" w:themeColor="background1" w:themeShade="80"/>
          <w:sz w:val="22"/>
          <w:szCs w:val="22"/>
        </w:rPr>
        <w:t xml:space="preserve"> in respect to any value added tax or any other relevant deduction.</w:t>
      </w:r>
    </w:p>
    <w:p w14:paraId="2E2FA10B" w14:textId="77777777" w:rsidR="00DA3E92" w:rsidRPr="00DA3E92" w:rsidRDefault="00DA3E92" w:rsidP="00DA3E92">
      <w:pPr>
        <w:pStyle w:val="ListParagraph"/>
        <w:rPr>
          <w:rFonts w:ascii="Avenir Next" w:hAnsi="Avenir Next" w:cs="Arial"/>
          <w:color w:val="808080" w:themeColor="background1" w:themeShade="80"/>
          <w:sz w:val="22"/>
          <w:szCs w:val="22"/>
        </w:rPr>
      </w:pPr>
    </w:p>
    <w:p w14:paraId="06240064" w14:textId="2EB7C4CA" w:rsidR="00DA3E92" w:rsidRDefault="00DA3E92" w:rsidP="00DA3E92">
      <w:pPr>
        <w:pStyle w:val="ListParagraph"/>
        <w:ind w:left="180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In accordance to Section 175 of the Act, </w:t>
      </w:r>
      <w:r w:rsidR="004D69A9">
        <w:rPr>
          <w:rFonts w:ascii="Avenir Next" w:hAnsi="Avenir Next" w:cs="Arial"/>
          <w:color w:val="808080" w:themeColor="background1" w:themeShade="80"/>
          <w:sz w:val="22"/>
          <w:szCs w:val="22"/>
        </w:rPr>
        <w:t>the preferential debts are to be paid in priority (after the expenses)</w:t>
      </w:r>
      <w:r w:rsidR="00CB1DB2">
        <w:rPr>
          <w:rFonts w:ascii="Avenir Next" w:hAnsi="Avenir Next" w:cs="Arial"/>
          <w:color w:val="808080" w:themeColor="background1" w:themeShade="80"/>
          <w:sz w:val="22"/>
          <w:szCs w:val="22"/>
        </w:rPr>
        <w:t xml:space="preserve">. The Ordinary </w:t>
      </w:r>
      <w:r w:rsidR="00A76060">
        <w:rPr>
          <w:rFonts w:ascii="Avenir Next" w:hAnsi="Avenir Next" w:cs="Arial"/>
          <w:color w:val="808080" w:themeColor="background1" w:themeShade="80"/>
          <w:sz w:val="22"/>
          <w:szCs w:val="22"/>
        </w:rPr>
        <w:t>Preferential</w:t>
      </w:r>
      <w:r w:rsidR="00CB1DB2">
        <w:rPr>
          <w:rFonts w:ascii="Avenir Next" w:hAnsi="Avenir Next" w:cs="Arial"/>
          <w:color w:val="808080" w:themeColor="background1" w:themeShade="80"/>
          <w:sz w:val="22"/>
          <w:szCs w:val="22"/>
        </w:rPr>
        <w:t xml:space="preserve"> Debts are to rank equally amongst themselves </w:t>
      </w:r>
      <w:r w:rsidR="006541AC">
        <w:rPr>
          <w:rFonts w:ascii="Avenir Next" w:hAnsi="Avenir Next" w:cs="Arial"/>
          <w:color w:val="808080" w:themeColor="background1" w:themeShade="80"/>
          <w:sz w:val="22"/>
          <w:szCs w:val="22"/>
        </w:rPr>
        <w:t xml:space="preserve">and are to be paid in full </w:t>
      </w:r>
      <w:r w:rsidR="005D426C">
        <w:rPr>
          <w:rFonts w:ascii="Avenir Next" w:hAnsi="Avenir Next" w:cs="Arial"/>
          <w:color w:val="808080" w:themeColor="background1" w:themeShade="80"/>
          <w:sz w:val="22"/>
          <w:szCs w:val="22"/>
        </w:rPr>
        <w:t xml:space="preserve">unless the assets are insufficient, </w:t>
      </w:r>
      <w:r w:rsidR="00E93225">
        <w:rPr>
          <w:rFonts w:ascii="Avenir Next" w:hAnsi="Avenir Next" w:cs="Arial"/>
          <w:color w:val="808080" w:themeColor="background1" w:themeShade="80"/>
          <w:sz w:val="22"/>
          <w:szCs w:val="22"/>
        </w:rPr>
        <w:t xml:space="preserve">in which case they </w:t>
      </w:r>
      <w:r w:rsidR="00A76060">
        <w:rPr>
          <w:rFonts w:ascii="Avenir Next" w:hAnsi="Avenir Next" w:cs="Arial"/>
          <w:color w:val="808080" w:themeColor="background1" w:themeShade="80"/>
          <w:sz w:val="22"/>
          <w:szCs w:val="22"/>
        </w:rPr>
        <w:t xml:space="preserve">are to </w:t>
      </w:r>
      <w:r w:rsidR="00E93225">
        <w:rPr>
          <w:rFonts w:ascii="Avenir Next" w:hAnsi="Avenir Next" w:cs="Arial"/>
          <w:color w:val="808080" w:themeColor="background1" w:themeShade="80"/>
          <w:sz w:val="22"/>
          <w:szCs w:val="22"/>
        </w:rPr>
        <w:t xml:space="preserve">abate </w:t>
      </w:r>
      <w:r w:rsidR="00A76060">
        <w:rPr>
          <w:rFonts w:ascii="Avenir Next" w:hAnsi="Avenir Next" w:cs="Arial"/>
          <w:color w:val="808080" w:themeColor="background1" w:themeShade="80"/>
          <w:sz w:val="22"/>
          <w:szCs w:val="22"/>
        </w:rPr>
        <w:t>proportionally</w:t>
      </w:r>
      <w:r w:rsidR="003C72C3">
        <w:rPr>
          <w:rStyle w:val="FootnoteReference"/>
          <w:rFonts w:ascii="Avenir Next" w:hAnsi="Avenir Next" w:cs="Arial"/>
          <w:color w:val="808080" w:themeColor="background1" w:themeShade="80"/>
          <w:sz w:val="22"/>
          <w:szCs w:val="22"/>
        </w:rPr>
        <w:footnoteReference w:id="38"/>
      </w:r>
      <w:r w:rsidR="00E93225">
        <w:rPr>
          <w:rFonts w:ascii="Avenir Next" w:hAnsi="Avenir Next" w:cs="Arial"/>
          <w:color w:val="808080" w:themeColor="background1" w:themeShade="80"/>
          <w:sz w:val="22"/>
          <w:szCs w:val="22"/>
        </w:rPr>
        <w:t xml:space="preserve">. In relation to </w:t>
      </w:r>
      <w:r w:rsidR="004A21DB">
        <w:rPr>
          <w:rFonts w:ascii="Avenir Next" w:hAnsi="Avenir Next" w:cs="Arial"/>
          <w:color w:val="808080" w:themeColor="background1" w:themeShade="80"/>
          <w:sz w:val="22"/>
          <w:szCs w:val="22"/>
        </w:rPr>
        <w:t xml:space="preserve">Secondary </w:t>
      </w:r>
      <w:r w:rsidR="003C72C3">
        <w:rPr>
          <w:rFonts w:ascii="Avenir Next" w:hAnsi="Avenir Next" w:cs="Arial"/>
          <w:color w:val="808080" w:themeColor="background1" w:themeShade="80"/>
          <w:sz w:val="22"/>
          <w:szCs w:val="22"/>
        </w:rPr>
        <w:t>Preferential</w:t>
      </w:r>
      <w:r w:rsidR="004A21DB">
        <w:rPr>
          <w:rFonts w:ascii="Avenir Next" w:hAnsi="Avenir Next" w:cs="Arial"/>
          <w:color w:val="808080" w:themeColor="background1" w:themeShade="80"/>
          <w:sz w:val="22"/>
          <w:szCs w:val="22"/>
        </w:rPr>
        <w:t xml:space="preserve"> Debts, </w:t>
      </w:r>
      <w:r w:rsidR="00842DC4">
        <w:rPr>
          <w:rFonts w:ascii="Avenir Next" w:hAnsi="Avenir Next" w:cs="Arial"/>
          <w:color w:val="808080" w:themeColor="background1" w:themeShade="80"/>
          <w:sz w:val="22"/>
          <w:szCs w:val="22"/>
        </w:rPr>
        <w:t xml:space="preserve">they are too to rank </w:t>
      </w:r>
      <w:r w:rsidR="00842DC4" w:rsidRPr="003C72C3">
        <w:rPr>
          <w:rFonts w:ascii="Avenir Next" w:hAnsi="Avenir Next" w:cs="Arial"/>
          <w:i/>
          <w:iCs/>
          <w:color w:val="808080" w:themeColor="background1" w:themeShade="80"/>
          <w:sz w:val="22"/>
          <w:szCs w:val="22"/>
        </w:rPr>
        <w:t>pari-passu</w:t>
      </w:r>
      <w:r w:rsidR="00842DC4">
        <w:rPr>
          <w:rFonts w:ascii="Avenir Next" w:hAnsi="Avenir Next" w:cs="Arial"/>
          <w:color w:val="808080" w:themeColor="background1" w:themeShade="80"/>
          <w:sz w:val="22"/>
          <w:szCs w:val="22"/>
        </w:rPr>
        <w:t xml:space="preserve"> after the payment </w:t>
      </w:r>
      <w:r w:rsidR="001475BA">
        <w:rPr>
          <w:rFonts w:ascii="Avenir Next" w:hAnsi="Avenir Next" w:cs="Arial"/>
          <w:color w:val="808080" w:themeColor="background1" w:themeShade="80"/>
          <w:sz w:val="22"/>
          <w:szCs w:val="22"/>
        </w:rPr>
        <w:t xml:space="preserve">of the Ordinary </w:t>
      </w:r>
      <w:r w:rsidR="003C72C3">
        <w:rPr>
          <w:rFonts w:ascii="Avenir Next" w:hAnsi="Avenir Next" w:cs="Arial"/>
          <w:color w:val="808080" w:themeColor="background1" w:themeShade="80"/>
          <w:sz w:val="22"/>
          <w:szCs w:val="22"/>
        </w:rPr>
        <w:t>Preferential</w:t>
      </w:r>
      <w:r w:rsidR="001475BA">
        <w:rPr>
          <w:rFonts w:ascii="Avenir Next" w:hAnsi="Avenir Next" w:cs="Arial"/>
          <w:color w:val="808080" w:themeColor="background1" w:themeShade="80"/>
          <w:sz w:val="22"/>
          <w:szCs w:val="22"/>
        </w:rPr>
        <w:t xml:space="preserve"> Debts</w:t>
      </w:r>
      <w:r w:rsidR="001822F6">
        <w:rPr>
          <w:rStyle w:val="FootnoteReference"/>
          <w:rFonts w:ascii="Avenir Next" w:hAnsi="Avenir Next" w:cs="Arial"/>
          <w:color w:val="808080" w:themeColor="background1" w:themeShade="80"/>
          <w:sz w:val="22"/>
          <w:szCs w:val="22"/>
        </w:rPr>
        <w:footnoteReference w:id="39"/>
      </w:r>
      <w:r w:rsidR="001475BA">
        <w:rPr>
          <w:rFonts w:ascii="Avenir Next" w:hAnsi="Avenir Next" w:cs="Arial"/>
          <w:color w:val="808080" w:themeColor="background1" w:themeShade="80"/>
          <w:sz w:val="22"/>
          <w:szCs w:val="22"/>
        </w:rPr>
        <w:t xml:space="preserve">. </w:t>
      </w:r>
      <w:r w:rsidR="001537D3">
        <w:rPr>
          <w:rFonts w:ascii="Avenir Next" w:hAnsi="Avenir Next" w:cs="Arial"/>
          <w:color w:val="808080" w:themeColor="background1" w:themeShade="80"/>
          <w:sz w:val="22"/>
          <w:szCs w:val="22"/>
        </w:rPr>
        <w:t xml:space="preserve">Also, </w:t>
      </w:r>
      <w:r w:rsidR="003C72C3">
        <w:rPr>
          <w:rFonts w:ascii="Avenir Next" w:hAnsi="Avenir Next" w:cs="Arial"/>
          <w:color w:val="808080" w:themeColor="background1" w:themeShade="80"/>
          <w:sz w:val="22"/>
          <w:szCs w:val="22"/>
        </w:rPr>
        <w:t>Preferential</w:t>
      </w:r>
      <w:r w:rsidR="001537D3">
        <w:rPr>
          <w:rFonts w:ascii="Avenir Next" w:hAnsi="Avenir Next" w:cs="Arial"/>
          <w:color w:val="808080" w:themeColor="background1" w:themeShade="80"/>
          <w:sz w:val="22"/>
          <w:szCs w:val="22"/>
        </w:rPr>
        <w:t xml:space="preserve"> debts in general</w:t>
      </w:r>
      <w:r w:rsidR="0083493A">
        <w:rPr>
          <w:rFonts w:ascii="Avenir Next" w:hAnsi="Avenir Next" w:cs="Arial"/>
          <w:color w:val="808080" w:themeColor="background1" w:themeShade="80"/>
          <w:sz w:val="22"/>
          <w:szCs w:val="22"/>
        </w:rPr>
        <w:t xml:space="preserve">, if the assets are insufficient to meet them, will have priority over the claims </w:t>
      </w:r>
      <w:r w:rsidR="00E929B7">
        <w:rPr>
          <w:rFonts w:ascii="Avenir Next" w:hAnsi="Avenir Next" w:cs="Arial"/>
          <w:color w:val="808080" w:themeColor="background1" w:themeShade="80"/>
          <w:sz w:val="22"/>
          <w:szCs w:val="22"/>
        </w:rPr>
        <w:t>over debenture holders &amp; floating charge holders</w:t>
      </w:r>
      <w:r w:rsidR="001822F6">
        <w:rPr>
          <w:rStyle w:val="FootnoteReference"/>
          <w:rFonts w:ascii="Avenir Next" w:hAnsi="Avenir Next" w:cs="Arial"/>
          <w:color w:val="808080" w:themeColor="background1" w:themeShade="80"/>
          <w:sz w:val="22"/>
          <w:szCs w:val="22"/>
        </w:rPr>
        <w:footnoteReference w:id="40"/>
      </w:r>
      <w:r w:rsidR="00E929B7">
        <w:rPr>
          <w:rFonts w:ascii="Avenir Next" w:hAnsi="Avenir Next" w:cs="Arial"/>
          <w:color w:val="808080" w:themeColor="background1" w:themeShade="80"/>
          <w:sz w:val="22"/>
          <w:szCs w:val="22"/>
        </w:rPr>
        <w:t>.</w:t>
      </w:r>
    </w:p>
    <w:p w14:paraId="46231CBD" w14:textId="77777777" w:rsidR="00E929B7" w:rsidRDefault="00E929B7" w:rsidP="00DA3E92">
      <w:pPr>
        <w:pStyle w:val="ListParagraph"/>
        <w:ind w:left="1800"/>
        <w:jc w:val="both"/>
        <w:rPr>
          <w:rFonts w:ascii="Avenir Next" w:hAnsi="Avenir Next" w:cs="Arial"/>
          <w:color w:val="808080" w:themeColor="background1" w:themeShade="80"/>
          <w:sz w:val="22"/>
          <w:szCs w:val="22"/>
        </w:rPr>
      </w:pPr>
    </w:p>
    <w:p w14:paraId="78F65FDB" w14:textId="3460E3FB" w:rsidR="00E929B7" w:rsidRDefault="00EB4718" w:rsidP="001822F6">
      <w:pPr>
        <w:pStyle w:val="ListParagraph"/>
        <w:numPr>
          <w:ilvl w:val="0"/>
          <w:numId w:val="22"/>
        </w:numPr>
        <w:ind w:left="720"/>
        <w:jc w:val="both"/>
        <w:rPr>
          <w:rFonts w:ascii="Avenir Next" w:hAnsi="Avenir Next" w:cs="Arial"/>
          <w:color w:val="808080" w:themeColor="background1" w:themeShade="80"/>
          <w:sz w:val="22"/>
          <w:szCs w:val="22"/>
        </w:rPr>
      </w:pPr>
      <w:r w:rsidRPr="001822F6">
        <w:rPr>
          <w:rFonts w:ascii="Avenir Next" w:hAnsi="Avenir Next" w:cs="Arial"/>
          <w:b/>
          <w:bCs/>
          <w:color w:val="808080" w:themeColor="background1" w:themeShade="80"/>
          <w:sz w:val="22"/>
          <w:szCs w:val="22"/>
        </w:rPr>
        <w:t>Floating Charge Holders</w:t>
      </w:r>
      <w:r>
        <w:rPr>
          <w:rFonts w:ascii="Avenir Next" w:hAnsi="Avenir Next" w:cs="Arial"/>
          <w:color w:val="808080" w:themeColor="background1" w:themeShade="80"/>
          <w:sz w:val="22"/>
          <w:szCs w:val="22"/>
        </w:rPr>
        <w:t xml:space="preserve">: In accordance with Section 176A of the Act, </w:t>
      </w:r>
      <w:r w:rsidR="00F6194E">
        <w:rPr>
          <w:rFonts w:ascii="Avenir Next" w:hAnsi="Avenir Next" w:cs="Arial"/>
          <w:color w:val="808080" w:themeColor="background1" w:themeShade="80"/>
          <w:sz w:val="22"/>
          <w:szCs w:val="22"/>
        </w:rPr>
        <w:t xml:space="preserve">the floating charge holders are paid from the assets covered by such a floating charge, </w:t>
      </w:r>
      <w:r w:rsidR="00BF522A">
        <w:rPr>
          <w:rFonts w:ascii="Avenir Next" w:hAnsi="Avenir Next" w:cs="Arial"/>
          <w:color w:val="808080" w:themeColor="background1" w:themeShade="80"/>
          <w:sz w:val="22"/>
          <w:szCs w:val="22"/>
        </w:rPr>
        <w:t xml:space="preserve">However, a part of </w:t>
      </w:r>
      <w:r w:rsidR="001822F6">
        <w:rPr>
          <w:rFonts w:ascii="Avenir Next" w:hAnsi="Avenir Next" w:cs="Arial"/>
          <w:color w:val="808080" w:themeColor="background1" w:themeShade="80"/>
          <w:sz w:val="22"/>
          <w:szCs w:val="22"/>
        </w:rPr>
        <w:t xml:space="preserve">the </w:t>
      </w:r>
      <w:r w:rsidR="001822F6" w:rsidRPr="001822F6">
        <w:rPr>
          <w:rFonts w:ascii="Avenir Next" w:hAnsi="Avenir Next" w:cs="Arial"/>
          <w:color w:val="808080" w:themeColor="background1" w:themeShade="80"/>
          <w:sz w:val="22"/>
          <w:szCs w:val="22"/>
        </w:rPr>
        <w:t>proceeds</w:t>
      </w:r>
      <w:r w:rsidR="003A0278" w:rsidRPr="00773FF8">
        <w:rPr>
          <w:rFonts w:ascii="Avenir Next" w:hAnsi="Avenir Next" w:cs="Arial"/>
          <w:color w:val="808080" w:themeColor="background1" w:themeShade="80"/>
          <w:sz w:val="22"/>
          <w:szCs w:val="22"/>
        </w:rPr>
        <w:t xml:space="preserve"> from </w:t>
      </w:r>
      <w:r w:rsidR="001822F6" w:rsidRPr="00773FF8">
        <w:rPr>
          <w:rFonts w:ascii="Avenir Next" w:hAnsi="Avenir Next" w:cs="Arial"/>
          <w:color w:val="808080" w:themeColor="background1" w:themeShade="80"/>
          <w:sz w:val="22"/>
          <w:szCs w:val="22"/>
        </w:rPr>
        <w:t>realizing</w:t>
      </w:r>
      <w:r w:rsidR="001822F6">
        <w:rPr>
          <w:rFonts w:ascii="Avenir Next" w:hAnsi="Avenir Next" w:cs="Arial"/>
          <w:color w:val="808080" w:themeColor="background1" w:themeShade="80"/>
          <w:sz w:val="22"/>
          <w:szCs w:val="22"/>
        </w:rPr>
        <w:t xml:space="preserve"> the</w:t>
      </w:r>
      <w:r w:rsidR="003A0278" w:rsidRPr="00773FF8">
        <w:rPr>
          <w:rFonts w:ascii="Avenir Next" w:hAnsi="Avenir Next" w:cs="Arial"/>
          <w:color w:val="808080" w:themeColor="background1" w:themeShade="80"/>
          <w:sz w:val="22"/>
          <w:szCs w:val="22"/>
        </w:rPr>
        <w:t xml:space="preserve"> assets covered by any floating charge created on or after 15 September 2003 must be set aside and made available to satisfy unsecured debts, which are called “</w:t>
      </w:r>
      <w:r w:rsidR="003A0278" w:rsidRPr="001822F6">
        <w:rPr>
          <w:rFonts w:ascii="Avenir Next" w:hAnsi="Avenir Next" w:cs="Arial"/>
          <w:b/>
          <w:bCs/>
          <w:color w:val="808080" w:themeColor="background1" w:themeShade="80"/>
          <w:sz w:val="22"/>
          <w:szCs w:val="22"/>
        </w:rPr>
        <w:t>Prescribed Part</w:t>
      </w:r>
      <w:r w:rsidR="003A0278" w:rsidRPr="00773FF8">
        <w:rPr>
          <w:rFonts w:ascii="Avenir Next" w:hAnsi="Avenir Next" w:cs="Arial"/>
          <w:color w:val="808080" w:themeColor="background1" w:themeShade="80"/>
          <w:sz w:val="22"/>
          <w:szCs w:val="22"/>
        </w:rPr>
        <w:t xml:space="preserve">”. </w:t>
      </w:r>
      <w:r w:rsidR="009331C1" w:rsidRPr="00773FF8">
        <w:rPr>
          <w:rFonts w:ascii="Avenir Next" w:hAnsi="Avenir Next" w:cs="Arial"/>
          <w:color w:val="808080" w:themeColor="background1" w:themeShade="80"/>
          <w:sz w:val="22"/>
          <w:szCs w:val="22"/>
        </w:rPr>
        <w:t xml:space="preserve">The Prescribed Part is calculated as 50% of the first GBP10,000 of net floating charge </w:t>
      </w:r>
      <w:r w:rsidR="001822F6" w:rsidRPr="00773FF8">
        <w:rPr>
          <w:rFonts w:ascii="Avenir Next" w:hAnsi="Avenir Next" w:cs="Arial"/>
          <w:color w:val="808080" w:themeColor="background1" w:themeShade="80"/>
          <w:sz w:val="22"/>
          <w:szCs w:val="22"/>
        </w:rPr>
        <w:t>realizations</w:t>
      </w:r>
      <w:r w:rsidR="009331C1" w:rsidRPr="00773FF8">
        <w:rPr>
          <w:rFonts w:ascii="Avenir Next" w:hAnsi="Avenir Next" w:cs="Arial"/>
          <w:color w:val="808080" w:themeColor="background1" w:themeShade="80"/>
          <w:sz w:val="22"/>
          <w:szCs w:val="22"/>
        </w:rPr>
        <w:t xml:space="preserve"> and 20% of the remainder, subject to a cap of GBP600,000 (where the first ranking floating charge was created before 6 April 2020) or GBP800,000 (where the first ranking floating charge was created on or after 6 April 2020)</w:t>
      </w:r>
      <w:r w:rsidR="00B36BF6">
        <w:rPr>
          <w:rStyle w:val="FootnoteReference"/>
          <w:rFonts w:ascii="Avenir Next" w:hAnsi="Avenir Next" w:cs="Arial"/>
          <w:color w:val="808080" w:themeColor="background1" w:themeShade="80"/>
          <w:sz w:val="22"/>
          <w:szCs w:val="22"/>
        </w:rPr>
        <w:footnoteReference w:id="41"/>
      </w:r>
      <w:r w:rsidR="009331C1" w:rsidRPr="00773FF8">
        <w:rPr>
          <w:rFonts w:ascii="Avenir Next" w:hAnsi="Avenir Next" w:cs="Arial"/>
          <w:color w:val="808080" w:themeColor="background1" w:themeShade="80"/>
          <w:sz w:val="22"/>
          <w:szCs w:val="22"/>
        </w:rPr>
        <w:t xml:space="preserve">. However, the liquidator can elect to pay the Prescribed Part if the </w:t>
      </w:r>
      <w:r w:rsidR="009E30F4" w:rsidRPr="00773FF8">
        <w:rPr>
          <w:rFonts w:ascii="Avenir Next" w:hAnsi="Avenir Next" w:cs="Arial"/>
          <w:color w:val="808080" w:themeColor="background1" w:themeShade="80"/>
          <w:sz w:val="22"/>
          <w:szCs w:val="22"/>
        </w:rPr>
        <w:t>company’s</w:t>
      </w:r>
      <w:r w:rsidR="009331C1" w:rsidRPr="00773FF8">
        <w:rPr>
          <w:rFonts w:ascii="Avenir Next" w:hAnsi="Avenir Next" w:cs="Arial"/>
          <w:color w:val="808080" w:themeColor="background1" w:themeShade="80"/>
          <w:sz w:val="22"/>
          <w:szCs w:val="22"/>
        </w:rPr>
        <w:t xml:space="preserve"> property is less tha</w:t>
      </w:r>
      <w:r w:rsidR="009E30F4">
        <w:rPr>
          <w:rFonts w:ascii="Avenir Next" w:hAnsi="Avenir Next" w:cs="Arial"/>
          <w:color w:val="808080" w:themeColor="background1" w:themeShade="80"/>
          <w:sz w:val="22"/>
          <w:szCs w:val="22"/>
        </w:rPr>
        <w:t>n</w:t>
      </w:r>
      <w:r w:rsidR="009331C1" w:rsidRPr="00773FF8">
        <w:rPr>
          <w:rFonts w:ascii="Avenir Next" w:hAnsi="Avenir Next" w:cs="Arial"/>
          <w:color w:val="808080" w:themeColor="background1" w:themeShade="80"/>
          <w:sz w:val="22"/>
          <w:szCs w:val="22"/>
        </w:rPr>
        <w:t xml:space="preserve"> GBP 10,000</w:t>
      </w:r>
      <w:r w:rsidR="00773FF8" w:rsidRPr="00773FF8">
        <w:rPr>
          <w:rFonts w:ascii="Avenir Next" w:hAnsi="Avenir Next" w:cs="Arial"/>
          <w:color w:val="808080" w:themeColor="background1" w:themeShade="80"/>
          <w:sz w:val="22"/>
          <w:szCs w:val="22"/>
        </w:rPr>
        <w:t xml:space="preserve">, or if the liquidator thinks that it leads to disproportionate benefits in their </w:t>
      </w:r>
      <w:r w:rsidR="009E30F4" w:rsidRPr="00773FF8">
        <w:rPr>
          <w:rFonts w:ascii="Avenir Next" w:hAnsi="Avenir Next" w:cs="Arial"/>
          <w:color w:val="808080" w:themeColor="background1" w:themeShade="80"/>
          <w:sz w:val="22"/>
          <w:szCs w:val="22"/>
        </w:rPr>
        <w:t>favor</w:t>
      </w:r>
      <w:r w:rsidR="008545EC">
        <w:rPr>
          <w:rFonts w:ascii="Avenir Next" w:hAnsi="Avenir Next" w:cs="Arial"/>
          <w:color w:val="808080" w:themeColor="background1" w:themeShade="80"/>
          <w:sz w:val="22"/>
          <w:szCs w:val="22"/>
        </w:rPr>
        <w:t>;</w:t>
      </w:r>
    </w:p>
    <w:p w14:paraId="556BC8CA" w14:textId="77777777" w:rsidR="008545EC" w:rsidRPr="00DA3E92" w:rsidRDefault="008545EC" w:rsidP="008545EC">
      <w:pPr>
        <w:pStyle w:val="ListParagraph"/>
        <w:ind w:left="1080"/>
        <w:jc w:val="both"/>
        <w:rPr>
          <w:rFonts w:ascii="Avenir Next" w:hAnsi="Avenir Next" w:cs="Arial"/>
          <w:color w:val="808080" w:themeColor="background1" w:themeShade="80"/>
          <w:sz w:val="22"/>
          <w:szCs w:val="22"/>
        </w:rPr>
      </w:pPr>
    </w:p>
    <w:p w14:paraId="54CEF661" w14:textId="0E258591" w:rsidR="001A021E" w:rsidRDefault="001A021E" w:rsidP="009E30F4">
      <w:pPr>
        <w:pStyle w:val="ListParagraph"/>
        <w:numPr>
          <w:ilvl w:val="0"/>
          <w:numId w:val="22"/>
        </w:numPr>
        <w:ind w:left="720"/>
        <w:jc w:val="both"/>
        <w:rPr>
          <w:rFonts w:ascii="Avenir Next" w:hAnsi="Avenir Next" w:cs="Arial"/>
          <w:color w:val="808080" w:themeColor="background1" w:themeShade="80"/>
          <w:sz w:val="22"/>
          <w:szCs w:val="22"/>
        </w:rPr>
      </w:pPr>
      <w:r w:rsidRPr="009E30F4">
        <w:rPr>
          <w:rFonts w:ascii="Avenir Next" w:hAnsi="Avenir Next" w:cs="Arial"/>
          <w:b/>
          <w:bCs/>
          <w:color w:val="808080" w:themeColor="background1" w:themeShade="80"/>
          <w:sz w:val="22"/>
          <w:szCs w:val="22"/>
        </w:rPr>
        <w:t>Unsecured Creditors</w:t>
      </w:r>
      <w:r w:rsidRPr="008B5C1B">
        <w:rPr>
          <w:rFonts w:ascii="Avenir Next" w:hAnsi="Avenir Next" w:cs="Arial"/>
          <w:color w:val="808080" w:themeColor="background1" w:themeShade="80"/>
          <w:sz w:val="22"/>
          <w:szCs w:val="22"/>
        </w:rPr>
        <w:t xml:space="preserve">: The ones who are merely </w:t>
      </w:r>
      <w:r w:rsidR="00CF1783" w:rsidRPr="008B5C1B">
        <w:rPr>
          <w:rFonts w:ascii="Avenir Next" w:hAnsi="Avenir Next" w:cs="Arial"/>
          <w:color w:val="808080" w:themeColor="background1" w:themeShade="80"/>
          <w:sz w:val="22"/>
          <w:szCs w:val="22"/>
        </w:rPr>
        <w:t>for example trade supplies or operational creditors and don’t hold any security;</w:t>
      </w:r>
    </w:p>
    <w:p w14:paraId="3BF52F24" w14:textId="77777777" w:rsidR="008545EC" w:rsidRPr="008545EC" w:rsidRDefault="008545EC" w:rsidP="008545EC">
      <w:pPr>
        <w:jc w:val="both"/>
        <w:rPr>
          <w:rFonts w:ascii="Avenir Next" w:hAnsi="Avenir Next" w:cs="Arial"/>
          <w:color w:val="808080" w:themeColor="background1" w:themeShade="80"/>
          <w:sz w:val="22"/>
          <w:szCs w:val="22"/>
        </w:rPr>
      </w:pPr>
    </w:p>
    <w:p w14:paraId="1F356E52" w14:textId="670DA8CA" w:rsidR="00CF1783" w:rsidRDefault="005108D7" w:rsidP="009E30F4">
      <w:pPr>
        <w:pStyle w:val="ListParagraph"/>
        <w:numPr>
          <w:ilvl w:val="0"/>
          <w:numId w:val="22"/>
        </w:numPr>
        <w:ind w:left="720"/>
        <w:jc w:val="both"/>
        <w:rPr>
          <w:rFonts w:ascii="Avenir Next" w:hAnsi="Avenir Next" w:cs="Arial"/>
          <w:color w:val="808080" w:themeColor="background1" w:themeShade="80"/>
          <w:sz w:val="22"/>
          <w:szCs w:val="22"/>
        </w:rPr>
      </w:pPr>
      <w:r w:rsidRPr="009E30F4">
        <w:rPr>
          <w:rFonts w:ascii="Avenir Next" w:hAnsi="Avenir Next" w:cs="Arial"/>
          <w:b/>
          <w:bCs/>
          <w:color w:val="808080" w:themeColor="background1" w:themeShade="80"/>
          <w:sz w:val="22"/>
          <w:szCs w:val="22"/>
        </w:rPr>
        <w:t>Interest</w:t>
      </w:r>
      <w:r w:rsidR="00CF1783" w:rsidRPr="008B5C1B">
        <w:rPr>
          <w:rFonts w:ascii="Avenir Next" w:hAnsi="Avenir Next" w:cs="Arial"/>
          <w:color w:val="808080" w:themeColor="background1" w:themeShade="80"/>
          <w:sz w:val="22"/>
          <w:szCs w:val="22"/>
        </w:rPr>
        <w:t xml:space="preserve">: </w:t>
      </w:r>
      <w:r w:rsidRPr="008B5C1B">
        <w:rPr>
          <w:rFonts w:ascii="Avenir Next" w:hAnsi="Avenir Next" w:cs="Arial"/>
          <w:color w:val="808080" w:themeColor="background1" w:themeShade="80"/>
          <w:sz w:val="22"/>
          <w:szCs w:val="22"/>
        </w:rPr>
        <w:t>Interest incurred on all provable unsecured debts post-administration or liquidation;</w:t>
      </w:r>
    </w:p>
    <w:p w14:paraId="3EE410E9" w14:textId="77777777" w:rsidR="008545EC" w:rsidRPr="008545EC" w:rsidRDefault="008545EC" w:rsidP="008545EC">
      <w:pPr>
        <w:jc w:val="both"/>
        <w:rPr>
          <w:rFonts w:ascii="Avenir Next" w:hAnsi="Avenir Next" w:cs="Arial"/>
          <w:color w:val="808080" w:themeColor="background1" w:themeShade="80"/>
          <w:sz w:val="22"/>
          <w:szCs w:val="22"/>
        </w:rPr>
      </w:pPr>
    </w:p>
    <w:p w14:paraId="38A175CB" w14:textId="1262BB30" w:rsidR="005108D7" w:rsidRPr="008B5C1B" w:rsidRDefault="005108D7" w:rsidP="009E30F4">
      <w:pPr>
        <w:pStyle w:val="ListParagraph"/>
        <w:numPr>
          <w:ilvl w:val="0"/>
          <w:numId w:val="22"/>
        </w:numPr>
        <w:ind w:left="720"/>
        <w:jc w:val="both"/>
        <w:rPr>
          <w:rFonts w:ascii="Avenir Next" w:hAnsi="Avenir Next" w:cs="Arial"/>
          <w:color w:val="808080" w:themeColor="background1" w:themeShade="80"/>
          <w:sz w:val="22"/>
          <w:szCs w:val="22"/>
        </w:rPr>
      </w:pPr>
      <w:r w:rsidRPr="009E30F4">
        <w:rPr>
          <w:rFonts w:ascii="Avenir Next" w:hAnsi="Avenir Next" w:cs="Arial"/>
          <w:b/>
          <w:bCs/>
          <w:color w:val="808080" w:themeColor="background1" w:themeShade="80"/>
          <w:sz w:val="22"/>
          <w:szCs w:val="22"/>
        </w:rPr>
        <w:t>Shareholders</w:t>
      </w:r>
      <w:r w:rsidRPr="008B5C1B">
        <w:rPr>
          <w:rFonts w:ascii="Avenir Next" w:hAnsi="Avenir Next" w:cs="Arial"/>
          <w:color w:val="808080" w:themeColor="background1" w:themeShade="80"/>
          <w:sz w:val="22"/>
          <w:szCs w:val="22"/>
        </w:rPr>
        <w:t>: As has been well documented in company law, the shareholders or the members suffer the maximum risk during a liquidation di</w:t>
      </w:r>
      <w:r w:rsidR="009E30F4">
        <w:rPr>
          <w:rFonts w:ascii="Avenir Next" w:hAnsi="Avenir Next" w:cs="Arial"/>
          <w:color w:val="808080" w:themeColor="background1" w:themeShade="80"/>
          <w:sz w:val="22"/>
          <w:szCs w:val="22"/>
        </w:rPr>
        <w:t>stribution.</w:t>
      </w:r>
    </w:p>
    <w:p w14:paraId="44DC8E44" w14:textId="77777777" w:rsidR="00BE6F46" w:rsidRPr="005108D7" w:rsidRDefault="00BE6F46" w:rsidP="00BE6F46">
      <w:pPr>
        <w:pStyle w:val="ListParagraph"/>
        <w:ind w:left="1080"/>
        <w:jc w:val="both"/>
        <w:rPr>
          <w:rFonts w:ascii="Avenir Next" w:hAnsi="Avenir Next" w:cs="Arial"/>
          <w:sz w:val="22"/>
          <w:szCs w:val="22"/>
          <w:shd w:val="clear" w:color="auto" w:fill="FFFFFF"/>
        </w:rPr>
      </w:pPr>
    </w:p>
    <w:p w14:paraId="56760FF3" w14:textId="74207515" w:rsidR="005108D7" w:rsidRPr="008B5C1B" w:rsidRDefault="001F77ED" w:rsidP="008B5C1B">
      <w:pPr>
        <w:jc w:val="both"/>
        <w:rPr>
          <w:rFonts w:ascii="Avenir Next" w:hAnsi="Avenir Next" w:cs="Arial"/>
          <w:color w:val="808080" w:themeColor="background1" w:themeShade="80"/>
          <w:sz w:val="22"/>
          <w:szCs w:val="22"/>
        </w:rPr>
      </w:pPr>
      <w:r w:rsidRPr="008B5C1B">
        <w:rPr>
          <w:rFonts w:ascii="Avenir Next" w:hAnsi="Avenir Next" w:cs="Arial"/>
          <w:color w:val="808080" w:themeColor="background1" w:themeShade="80"/>
          <w:sz w:val="22"/>
          <w:szCs w:val="22"/>
        </w:rPr>
        <w:t xml:space="preserve">In accordance to section 174A, </w:t>
      </w:r>
      <w:r w:rsidR="00BE6F46" w:rsidRPr="008B5C1B">
        <w:rPr>
          <w:rFonts w:ascii="Avenir Next" w:hAnsi="Avenir Next" w:cs="Arial"/>
          <w:color w:val="808080" w:themeColor="background1" w:themeShade="80"/>
          <w:sz w:val="22"/>
          <w:szCs w:val="22"/>
        </w:rPr>
        <w:t>where proceedings for the winding up of a company are begun before the end of the period of 12 weeks beginning with the day after the end of any moratorium for the company under Part A1</w:t>
      </w:r>
      <w:r w:rsidR="00D67544" w:rsidRPr="008B5C1B">
        <w:rPr>
          <w:rFonts w:ascii="Avenir Next" w:hAnsi="Avenir Next" w:cs="Arial"/>
          <w:color w:val="808080" w:themeColor="background1" w:themeShade="80"/>
          <w:sz w:val="22"/>
          <w:szCs w:val="22"/>
        </w:rPr>
        <w:t>, the following is the priority which is followed:</w:t>
      </w:r>
    </w:p>
    <w:p w14:paraId="436256C4" w14:textId="22BA54E6" w:rsidR="00D67544" w:rsidRPr="008B5C1B" w:rsidRDefault="004338B3" w:rsidP="008B5C1B">
      <w:pPr>
        <w:pStyle w:val="ListParagraph"/>
        <w:numPr>
          <w:ilvl w:val="0"/>
          <w:numId w:val="27"/>
        </w:numPr>
        <w:jc w:val="both"/>
        <w:rPr>
          <w:rFonts w:ascii="Avenir Next" w:hAnsi="Avenir Next" w:cs="Arial"/>
          <w:color w:val="808080" w:themeColor="background1" w:themeShade="80"/>
          <w:sz w:val="22"/>
          <w:szCs w:val="22"/>
        </w:rPr>
      </w:pPr>
      <w:r w:rsidRPr="008B5C1B">
        <w:rPr>
          <w:rFonts w:ascii="Avenir Next" w:hAnsi="Avenir Next" w:cs="Arial"/>
          <w:color w:val="808080" w:themeColor="background1" w:themeShade="80"/>
          <w:sz w:val="22"/>
          <w:szCs w:val="22"/>
        </w:rPr>
        <w:t>Any fee or expense of an official receiver</w:t>
      </w:r>
      <w:r w:rsidR="0063163C">
        <w:rPr>
          <w:rStyle w:val="FootnoteReference"/>
          <w:rFonts w:ascii="Avenir Next" w:hAnsi="Avenir Next" w:cs="Arial"/>
          <w:color w:val="808080" w:themeColor="background1" w:themeShade="80"/>
          <w:sz w:val="22"/>
          <w:szCs w:val="22"/>
        </w:rPr>
        <w:footnoteReference w:id="42"/>
      </w:r>
      <w:r w:rsidRPr="008B5C1B">
        <w:rPr>
          <w:rFonts w:ascii="Avenir Next" w:hAnsi="Avenir Next" w:cs="Arial"/>
          <w:color w:val="808080" w:themeColor="background1" w:themeShade="80"/>
          <w:sz w:val="22"/>
          <w:szCs w:val="22"/>
        </w:rPr>
        <w:t>;</w:t>
      </w:r>
    </w:p>
    <w:p w14:paraId="5E50CE6D" w14:textId="222CC175" w:rsidR="004338B3" w:rsidRPr="00D67544" w:rsidRDefault="004338B3" w:rsidP="008B5C1B">
      <w:pPr>
        <w:pStyle w:val="ListParagraph"/>
        <w:numPr>
          <w:ilvl w:val="0"/>
          <w:numId w:val="27"/>
        </w:numPr>
        <w:jc w:val="both"/>
        <w:rPr>
          <w:rFonts w:ascii="Avenir Next" w:hAnsi="Avenir Next" w:cs="Arial"/>
          <w:sz w:val="22"/>
          <w:szCs w:val="22"/>
          <w:shd w:val="clear" w:color="auto" w:fill="FFFFFF"/>
        </w:rPr>
      </w:pPr>
      <w:r w:rsidRPr="008B5C1B">
        <w:rPr>
          <w:rFonts w:ascii="Avenir Next" w:hAnsi="Avenir Next" w:cs="Arial"/>
          <w:color w:val="808080" w:themeColor="background1" w:themeShade="80"/>
          <w:sz w:val="22"/>
          <w:szCs w:val="22"/>
        </w:rPr>
        <w:t xml:space="preserve">Moratorium debts or </w:t>
      </w:r>
      <w:r w:rsidR="001F18A5" w:rsidRPr="008B5C1B">
        <w:rPr>
          <w:rFonts w:ascii="Avenir Next" w:hAnsi="Avenir Next" w:cs="Arial"/>
          <w:color w:val="808080" w:themeColor="background1" w:themeShade="80"/>
          <w:sz w:val="22"/>
          <w:szCs w:val="22"/>
        </w:rPr>
        <w:t>priority pre-moratorium debts</w:t>
      </w:r>
      <w:r w:rsidR="0063163C">
        <w:rPr>
          <w:rStyle w:val="FootnoteReference"/>
          <w:rFonts w:ascii="Avenir Next" w:hAnsi="Avenir Next" w:cs="Arial"/>
          <w:color w:val="808080" w:themeColor="background1" w:themeShade="80"/>
          <w:sz w:val="22"/>
          <w:szCs w:val="22"/>
        </w:rPr>
        <w:footnoteReference w:id="43"/>
      </w:r>
      <w:r w:rsidR="001F18A5" w:rsidRPr="008B5C1B">
        <w:rPr>
          <w:rFonts w:ascii="Avenir Next" w:hAnsi="Avenir Next" w:cs="Arial"/>
          <w:color w:val="808080" w:themeColor="background1" w:themeShade="80"/>
          <w:sz w:val="22"/>
          <w:szCs w:val="22"/>
        </w:rPr>
        <w:t xml:space="preserve"> which include, the remuneration of the monitor</w:t>
      </w:r>
      <w:r w:rsidR="00CA3D78">
        <w:rPr>
          <w:rStyle w:val="FootnoteReference"/>
          <w:rFonts w:ascii="Avenir Next" w:hAnsi="Avenir Next" w:cs="Arial"/>
          <w:color w:val="808080" w:themeColor="background1" w:themeShade="80"/>
          <w:sz w:val="22"/>
          <w:szCs w:val="22"/>
        </w:rPr>
        <w:footnoteReference w:id="44"/>
      </w:r>
      <w:r w:rsidR="001F18A5" w:rsidRPr="008B5C1B">
        <w:rPr>
          <w:rFonts w:ascii="Avenir Next" w:hAnsi="Avenir Next" w:cs="Arial"/>
          <w:color w:val="808080" w:themeColor="background1" w:themeShade="80"/>
          <w:sz w:val="22"/>
          <w:szCs w:val="22"/>
        </w:rPr>
        <w:t>, goods and services supplied during the moratorium</w:t>
      </w:r>
      <w:r w:rsidR="00571BE7">
        <w:rPr>
          <w:rStyle w:val="FootnoteReference"/>
          <w:rFonts w:ascii="Avenir Next" w:hAnsi="Avenir Next" w:cs="Arial"/>
          <w:color w:val="808080" w:themeColor="background1" w:themeShade="80"/>
          <w:sz w:val="22"/>
          <w:szCs w:val="22"/>
        </w:rPr>
        <w:footnoteReference w:id="45"/>
      </w:r>
      <w:r w:rsidR="001F18A5" w:rsidRPr="008B5C1B">
        <w:rPr>
          <w:rFonts w:ascii="Avenir Next" w:hAnsi="Avenir Next" w:cs="Arial"/>
          <w:color w:val="808080" w:themeColor="background1" w:themeShade="80"/>
          <w:sz w:val="22"/>
          <w:szCs w:val="22"/>
        </w:rPr>
        <w:t>, rent payable during that period</w:t>
      </w:r>
      <w:r w:rsidR="00571BE7">
        <w:rPr>
          <w:rStyle w:val="FootnoteReference"/>
          <w:rFonts w:ascii="Avenir Next" w:hAnsi="Avenir Next" w:cs="Arial"/>
          <w:color w:val="808080" w:themeColor="background1" w:themeShade="80"/>
          <w:sz w:val="22"/>
          <w:szCs w:val="22"/>
        </w:rPr>
        <w:footnoteReference w:id="46"/>
      </w:r>
      <w:r w:rsidR="001F18A5" w:rsidRPr="008B5C1B">
        <w:rPr>
          <w:rFonts w:ascii="Avenir Next" w:hAnsi="Avenir Next" w:cs="Arial"/>
          <w:color w:val="808080" w:themeColor="background1" w:themeShade="80"/>
          <w:sz w:val="22"/>
          <w:szCs w:val="22"/>
        </w:rPr>
        <w:t>,</w:t>
      </w:r>
      <w:r w:rsidR="001D5363" w:rsidRPr="008B5C1B">
        <w:rPr>
          <w:rFonts w:ascii="Avenir Next" w:hAnsi="Avenir Next" w:cs="Arial"/>
          <w:color w:val="808080" w:themeColor="background1" w:themeShade="80"/>
          <w:sz w:val="22"/>
          <w:szCs w:val="22"/>
        </w:rPr>
        <w:t xml:space="preserve"> wages or salaries under any </w:t>
      </w:r>
      <w:r w:rsidR="009E30F4" w:rsidRPr="008B5C1B">
        <w:rPr>
          <w:rFonts w:ascii="Avenir Next" w:hAnsi="Avenir Next" w:cs="Arial"/>
          <w:color w:val="808080" w:themeColor="background1" w:themeShade="80"/>
          <w:sz w:val="22"/>
          <w:szCs w:val="22"/>
        </w:rPr>
        <w:t>employment</w:t>
      </w:r>
      <w:r w:rsidR="001D5363" w:rsidRPr="008B5C1B">
        <w:rPr>
          <w:rFonts w:ascii="Avenir Next" w:hAnsi="Avenir Next" w:cs="Arial"/>
          <w:color w:val="808080" w:themeColor="background1" w:themeShade="80"/>
          <w:sz w:val="22"/>
          <w:szCs w:val="22"/>
        </w:rPr>
        <w:t xml:space="preserve"> contract</w:t>
      </w:r>
      <w:r w:rsidR="00571BE7">
        <w:rPr>
          <w:rStyle w:val="FootnoteReference"/>
          <w:rFonts w:ascii="Avenir Next" w:hAnsi="Avenir Next" w:cs="Arial"/>
          <w:color w:val="808080" w:themeColor="background1" w:themeShade="80"/>
          <w:sz w:val="22"/>
          <w:szCs w:val="22"/>
        </w:rPr>
        <w:footnoteReference w:id="47"/>
      </w:r>
      <w:r w:rsidR="001D5363" w:rsidRPr="008B5C1B">
        <w:rPr>
          <w:rFonts w:ascii="Avenir Next" w:hAnsi="Avenir Next" w:cs="Arial"/>
          <w:color w:val="808080" w:themeColor="background1" w:themeShade="80"/>
          <w:sz w:val="22"/>
          <w:szCs w:val="22"/>
        </w:rPr>
        <w:t xml:space="preserve">, </w:t>
      </w:r>
      <w:r w:rsidR="009E30F4" w:rsidRPr="008B5C1B">
        <w:rPr>
          <w:rFonts w:ascii="Avenir Next" w:hAnsi="Avenir Next" w:cs="Arial"/>
          <w:color w:val="808080" w:themeColor="background1" w:themeShade="80"/>
          <w:sz w:val="22"/>
          <w:szCs w:val="22"/>
        </w:rPr>
        <w:t>liability</w:t>
      </w:r>
      <w:r w:rsidR="00A8790B" w:rsidRPr="008B5C1B">
        <w:rPr>
          <w:rFonts w:ascii="Avenir Next" w:hAnsi="Avenir Next" w:cs="Arial"/>
          <w:color w:val="808080" w:themeColor="background1" w:themeShade="80"/>
          <w:sz w:val="22"/>
          <w:szCs w:val="22"/>
        </w:rPr>
        <w:t xml:space="preserve"> of redundancy </w:t>
      </w:r>
      <w:r w:rsidR="00A8790B" w:rsidRPr="008B5C1B">
        <w:rPr>
          <w:rFonts w:ascii="Avenir Next" w:hAnsi="Avenir Next" w:cs="Arial"/>
          <w:color w:val="808080" w:themeColor="background1" w:themeShade="80"/>
          <w:sz w:val="22"/>
          <w:szCs w:val="22"/>
        </w:rPr>
        <w:lastRenderedPageBreak/>
        <w:t>payment</w:t>
      </w:r>
      <w:r w:rsidR="00571BE7">
        <w:rPr>
          <w:rStyle w:val="FootnoteReference"/>
          <w:rFonts w:ascii="Avenir Next" w:hAnsi="Avenir Next" w:cs="Arial"/>
          <w:color w:val="808080" w:themeColor="background1" w:themeShade="80"/>
          <w:sz w:val="22"/>
          <w:szCs w:val="22"/>
        </w:rPr>
        <w:footnoteReference w:id="48"/>
      </w:r>
      <w:r w:rsidR="00A8790B" w:rsidRPr="008B5C1B">
        <w:rPr>
          <w:rFonts w:ascii="Avenir Next" w:hAnsi="Avenir Next" w:cs="Arial"/>
          <w:color w:val="808080" w:themeColor="background1" w:themeShade="80"/>
          <w:sz w:val="22"/>
          <w:szCs w:val="22"/>
        </w:rPr>
        <w:t>, debt which arises from a financial services instrument</w:t>
      </w:r>
      <w:r w:rsidR="008545EC">
        <w:rPr>
          <w:rStyle w:val="FootnoteReference"/>
          <w:rFonts w:ascii="Avenir Next" w:hAnsi="Avenir Next" w:cs="Arial"/>
          <w:color w:val="808080" w:themeColor="background1" w:themeShade="80"/>
          <w:sz w:val="22"/>
          <w:szCs w:val="22"/>
        </w:rPr>
        <w:footnoteReference w:id="49"/>
      </w:r>
      <w:r w:rsidR="00A8790B" w:rsidRPr="008B5C1B">
        <w:rPr>
          <w:rFonts w:ascii="Avenir Next" w:hAnsi="Avenir Next" w:cs="Arial"/>
          <w:color w:val="808080" w:themeColor="background1" w:themeShade="80"/>
          <w:sz w:val="22"/>
          <w:szCs w:val="22"/>
        </w:rPr>
        <w:t xml:space="preserve">, </w:t>
      </w:r>
      <w:r w:rsidR="005067F0" w:rsidRPr="008B5C1B">
        <w:rPr>
          <w:rFonts w:ascii="Avenir Next" w:hAnsi="Avenir Next" w:cs="Arial"/>
          <w:color w:val="808080" w:themeColor="background1" w:themeShade="80"/>
          <w:sz w:val="22"/>
          <w:szCs w:val="22"/>
        </w:rPr>
        <w:t xml:space="preserve">something which is not </w:t>
      </w:r>
      <w:r w:rsidR="008B5C1B" w:rsidRPr="008B5C1B">
        <w:rPr>
          <w:rFonts w:ascii="Avenir Next" w:hAnsi="Avenir Next" w:cs="Arial"/>
          <w:color w:val="808080" w:themeColor="background1" w:themeShade="80"/>
          <w:sz w:val="22"/>
          <w:szCs w:val="22"/>
        </w:rPr>
        <w:t>an accelerated debt</w:t>
      </w:r>
      <w:r w:rsidR="008545EC">
        <w:rPr>
          <w:rStyle w:val="FootnoteReference"/>
          <w:rFonts w:ascii="Avenir Next" w:hAnsi="Avenir Next" w:cs="Arial"/>
          <w:color w:val="808080" w:themeColor="background1" w:themeShade="80"/>
          <w:sz w:val="22"/>
          <w:szCs w:val="22"/>
        </w:rPr>
        <w:footnoteReference w:id="50"/>
      </w:r>
      <w:r w:rsidR="008B5C1B">
        <w:rPr>
          <w:rFonts w:ascii="Avenir Next" w:hAnsi="Avenir Next" w:cs="Arial"/>
          <w:sz w:val="22"/>
          <w:szCs w:val="22"/>
          <w:shd w:val="clear" w:color="auto" w:fill="FFFFFF"/>
        </w:rPr>
        <w:t xml:space="preserve">. </w:t>
      </w:r>
    </w:p>
    <w:p w14:paraId="550C9912" w14:textId="77777777" w:rsidR="001F77ED" w:rsidRDefault="001F77ED" w:rsidP="005108D7">
      <w:pPr>
        <w:jc w:val="both"/>
        <w:rPr>
          <w:rFonts w:ascii="Avenir Next" w:hAnsi="Avenir Next" w:cs="Arial"/>
          <w:sz w:val="22"/>
          <w:szCs w:val="22"/>
          <w:shd w:val="clear" w:color="auto" w:fill="FFFFFF"/>
        </w:rPr>
      </w:pPr>
    </w:p>
    <w:p w14:paraId="7BEC0625" w14:textId="77777777" w:rsidR="001F77ED" w:rsidRPr="005108D7" w:rsidRDefault="001F77ED" w:rsidP="005108D7">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9076AD" w:rsidRDefault="007E2919" w:rsidP="007E2919">
      <w:pPr>
        <w:rPr>
          <w:rFonts w:ascii="Avenir Next" w:hAnsi="Avenir Next" w:cs="Arial"/>
          <w:color w:val="808080" w:themeColor="background1" w:themeShade="80"/>
          <w:sz w:val="22"/>
          <w:szCs w:val="22"/>
        </w:rPr>
      </w:pPr>
    </w:p>
    <w:p w14:paraId="74C366AC" w14:textId="509D1999" w:rsidR="007E2919" w:rsidRPr="0060632E" w:rsidRDefault="005D3123" w:rsidP="0060632E">
      <w:pPr>
        <w:jc w:val="both"/>
        <w:rPr>
          <w:rFonts w:ascii="Avenir Next" w:hAnsi="Avenir Next" w:cs="Arial"/>
          <w:color w:val="808080" w:themeColor="background1" w:themeShade="80"/>
          <w:sz w:val="22"/>
          <w:szCs w:val="22"/>
        </w:rPr>
      </w:pPr>
      <w:r w:rsidRPr="0060632E">
        <w:rPr>
          <w:rFonts w:ascii="Avenir Next" w:hAnsi="Avenir Next" w:cs="Arial"/>
          <w:color w:val="808080" w:themeColor="background1" w:themeShade="80"/>
          <w:sz w:val="22"/>
          <w:szCs w:val="22"/>
        </w:rPr>
        <w:t xml:space="preserve">The fact set as provided above, </w:t>
      </w:r>
      <w:r w:rsidR="002671F6" w:rsidRPr="0060632E">
        <w:rPr>
          <w:rFonts w:ascii="Avenir Next" w:hAnsi="Avenir Next" w:cs="Arial"/>
          <w:color w:val="808080" w:themeColor="background1" w:themeShade="80"/>
          <w:sz w:val="22"/>
          <w:szCs w:val="22"/>
        </w:rPr>
        <w:t xml:space="preserve">states that </w:t>
      </w:r>
      <w:r w:rsidR="002671F6" w:rsidRPr="0060632E">
        <w:rPr>
          <w:rFonts w:ascii="Avenir Next" w:hAnsi="Avenir Next" w:cs="Arial"/>
          <w:color w:val="808080" w:themeColor="background1" w:themeShade="80"/>
          <w:sz w:val="22"/>
          <w:szCs w:val="22"/>
        </w:rPr>
        <w:t xml:space="preserve">Marbley Q Limited (“the </w:t>
      </w:r>
      <w:r w:rsidR="002671F6" w:rsidRPr="00E417A2">
        <w:rPr>
          <w:rFonts w:ascii="Avenir Next" w:hAnsi="Avenir Next" w:cs="Arial"/>
          <w:b/>
          <w:bCs/>
          <w:color w:val="808080" w:themeColor="background1" w:themeShade="80"/>
          <w:sz w:val="22"/>
          <w:szCs w:val="22"/>
        </w:rPr>
        <w:t>Company</w:t>
      </w:r>
      <w:r w:rsidR="002671F6" w:rsidRPr="0060632E">
        <w:rPr>
          <w:rFonts w:ascii="Avenir Next" w:hAnsi="Avenir Next" w:cs="Arial"/>
          <w:color w:val="808080" w:themeColor="background1" w:themeShade="80"/>
          <w:sz w:val="22"/>
          <w:szCs w:val="22"/>
        </w:rPr>
        <w:t>”)</w:t>
      </w:r>
      <w:r w:rsidR="002671F6" w:rsidRPr="0060632E">
        <w:rPr>
          <w:rFonts w:ascii="Avenir Next" w:hAnsi="Avenir Next" w:cs="Arial"/>
          <w:color w:val="808080" w:themeColor="background1" w:themeShade="80"/>
          <w:sz w:val="22"/>
          <w:szCs w:val="22"/>
        </w:rPr>
        <w:t>, prior to going into compulsory liquidation,</w:t>
      </w:r>
      <w:r w:rsidR="008B5B5A" w:rsidRPr="0060632E">
        <w:rPr>
          <w:rFonts w:ascii="Avenir Next" w:hAnsi="Avenir Next" w:cs="Arial"/>
          <w:color w:val="808080" w:themeColor="background1" w:themeShade="80"/>
          <w:sz w:val="22"/>
          <w:szCs w:val="22"/>
        </w:rPr>
        <w:t xml:space="preserve"> to avoid </w:t>
      </w:r>
      <w:r w:rsidR="008B5B5A" w:rsidRPr="0060632E">
        <w:rPr>
          <w:rFonts w:ascii="Avenir Next" w:hAnsi="Avenir Next" w:cs="Arial"/>
          <w:color w:val="808080" w:themeColor="background1" w:themeShade="80"/>
          <w:sz w:val="22"/>
          <w:szCs w:val="22"/>
        </w:rPr>
        <w:t xml:space="preserve">Fretus Bank </w:t>
      </w:r>
      <w:r w:rsidR="008B5B5A" w:rsidRPr="0060632E">
        <w:rPr>
          <w:rFonts w:ascii="Avenir Next" w:hAnsi="Avenir Next" w:cs="Arial"/>
          <w:color w:val="808080" w:themeColor="background1" w:themeShade="80"/>
          <w:sz w:val="22"/>
          <w:szCs w:val="22"/>
        </w:rPr>
        <w:t>P</w:t>
      </w:r>
      <w:r w:rsidR="008B5B5A" w:rsidRPr="0060632E">
        <w:rPr>
          <w:rFonts w:ascii="Avenir Next" w:hAnsi="Avenir Next" w:cs="Arial"/>
          <w:color w:val="808080" w:themeColor="background1" w:themeShade="80"/>
          <w:sz w:val="22"/>
          <w:szCs w:val="22"/>
        </w:rPr>
        <w:t>lc</w:t>
      </w:r>
      <w:r w:rsidR="007E5ED6" w:rsidRPr="0060632E">
        <w:rPr>
          <w:rFonts w:ascii="Avenir Next" w:hAnsi="Avenir Next" w:cs="Arial"/>
          <w:color w:val="808080" w:themeColor="background1" w:themeShade="80"/>
          <w:sz w:val="22"/>
          <w:szCs w:val="22"/>
        </w:rPr>
        <w:t xml:space="preserve"> (“</w:t>
      </w:r>
      <w:r w:rsidR="007E5ED6" w:rsidRPr="00E417A2">
        <w:rPr>
          <w:rFonts w:ascii="Avenir Next" w:hAnsi="Avenir Next" w:cs="Arial"/>
          <w:b/>
          <w:bCs/>
          <w:color w:val="808080" w:themeColor="background1" w:themeShade="80"/>
          <w:sz w:val="22"/>
          <w:szCs w:val="22"/>
        </w:rPr>
        <w:t>Bank</w:t>
      </w:r>
      <w:r w:rsidR="007E5ED6" w:rsidRPr="0060632E">
        <w:rPr>
          <w:rFonts w:ascii="Avenir Next" w:hAnsi="Avenir Next" w:cs="Arial"/>
          <w:color w:val="808080" w:themeColor="background1" w:themeShade="80"/>
          <w:sz w:val="22"/>
          <w:szCs w:val="22"/>
        </w:rPr>
        <w:t>”)</w:t>
      </w:r>
      <w:r w:rsidR="008B5B5A" w:rsidRPr="0060632E">
        <w:rPr>
          <w:rFonts w:ascii="Avenir Next" w:hAnsi="Avenir Next" w:cs="Arial"/>
          <w:color w:val="808080" w:themeColor="background1" w:themeShade="80"/>
          <w:sz w:val="22"/>
          <w:szCs w:val="22"/>
        </w:rPr>
        <w:t xml:space="preserve"> </w:t>
      </w:r>
      <w:r w:rsidR="00594485" w:rsidRPr="0060632E">
        <w:rPr>
          <w:rFonts w:ascii="Avenir Next" w:hAnsi="Avenir Next" w:cs="Arial"/>
          <w:color w:val="808080" w:themeColor="background1" w:themeShade="80"/>
          <w:sz w:val="22"/>
          <w:szCs w:val="22"/>
        </w:rPr>
        <w:t>from</w:t>
      </w:r>
      <w:r w:rsidR="008B5B5A" w:rsidRPr="0060632E">
        <w:rPr>
          <w:rFonts w:ascii="Avenir Next" w:hAnsi="Avenir Next" w:cs="Arial"/>
          <w:color w:val="808080" w:themeColor="background1" w:themeShade="80"/>
          <w:sz w:val="22"/>
          <w:szCs w:val="22"/>
        </w:rPr>
        <w:t xml:space="preserve"> demanding payment </w:t>
      </w:r>
      <w:r w:rsidR="00594485" w:rsidRPr="0060632E">
        <w:rPr>
          <w:rFonts w:ascii="Avenir Next" w:hAnsi="Avenir Next" w:cs="Arial"/>
          <w:color w:val="808080" w:themeColor="background1" w:themeShade="80"/>
          <w:sz w:val="22"/>
          <w:szCs w:val="22"/>
        </w:rPr>
        <w:t xml:space="preserve">of the loans which it had advance to it, granted and issued debentures in its </w:t>
      </w:r>
      <w:r w:rsidR="001B57BC" w:rsidRPr="0060632E">
        <w:rPr>
          <w:rFonts w:ascii="Avenir Next" w:hAnsi="Avenir Next" w:cs="Arial"/>
          <w:color w:val="808080" w:themeColor="background1" w:themeShade="80"/>
          <w:sz w:val="22"/>
          <w:szCs w:val="22"/>
        </w:rPr>
        <w:t>favor</w:t>
      </w:r>
      <w:r w:rsidR="00751D90" w:rsidRPr="0060632E">
        <w:rPr>
          <w:rFonts w:ascii="Avenir Next" w:hAnsi="Avenir Next" w:cs="Arial"/>
          <w:color w:val="808080" w:themeColor="background1" w:themeShade="80"/>
          <w:sz w:val="22"/>
          <w:szCs w:val="22"/>
        </w:rPr>
        <w:t>. This can be understood to mean that the Company had issued debentures to part refinance the existing loans, so that no immediate repayment is demanded under the repayment schedule of the loan. Further, we can also assume that the refinance would have been in part, because</w:t>
      </w:r>
      <w:r w:rsidR="007E5ED6" w:rsidRPr="0060632E">
        <w:rPr>
          <w:rFonts w:ascii="Avenir Next" w:hAnsi="Avenir Next" w:cs="Arial"/>
          <w:color w:val="808080" w:themeColor="background1" w:themeShade="80"/>
          <w:sz w:val="22"/>
          <w:szCs w:val="22"/>
        </w:rPr>
        <w:t xml:space="preserve"> even after that, there would have been </w:t>
      </w:r>
      <w:r w:rsidR="00E417A2" w:rsidRPr="0060632E">
        <w:rPr>
          <w:rFonts w:ascii="Avenir Next" w:hAnsi="Avenir Next" w:cs="Arial"/>
          <w:color w:val="808080" w:themeColor="background1" w:themeShade="80"/>
          <w:sz w:val="22"/>
          <w:szCs w:val="22"/>
        </w:rPr>
        <w:t>existing</w:t>
      </w:r>
      <w:r w:rsidR="007E5ED6" w:rsidRPr="0060632E">
        <w:rPr>
          <w:rFonts w:ascii="Avenir Next" w:hAnsi="Avenir Next" w:cs="Arial"/>
          <w:color w:val="808080" w:themeColor="background1" w:themeShade="80"/>
          <w:sz w:val="22"/>
          <w:szCs w:val="22"/>
        </w:rPr>
        <w:t xml:space="preserve"> stress in the company due to which the Bank pressured it towards liquidation. </w:t>
      </w:r>
    </w:p>
    <w:p w14:paraId="6ACBE872" w14:textId="77777777" w:rsidR="007E5ED6" w:rsidRPr="0060632E" w:rsidRDefault="007E5ED6" w:rsidP="0060632E">
      <w:pPr>
        <w:jc w:val="both"/>
        <w:rPr>
          <w:rFonts w:ascii="Avenir Next" w:hAnsi="Avenir Next" w:cs="Arial"/>
          <w:color w:val="808080" w:themeColor="background1" w:themeShade="80"/>
          <w:sz w:val="22"/>
          <w:szCs w:val="22"/>
        </w:rPr>
      </w:pPr>
    </w:p>
    <w:p w14:paraId="662A23D2" w14:textId="0DBB1228" w:rsidR="007E5ED6" w:rsidRPr="0060632E" w:rsidRDefault="007E5ED6" w:rsidP="0060632E">
      <w:pPr>
        <w:jc w:val="both"/>
        <w:rPr>
          <w:rFonts w:ascii="Avenir Next" w:hAnsi="Avenir Next" w:cs="Arial"/>
          <w:color w:val="808080" w:themeColor="background1" w:themeShade="80"/>
          <w:sz w:val="22"/>
          <w:szCs w:val="22"/>
        </w:rPr>
      </w:pPr>
      <w:r w:rsidRPr="0060632E">
        <w:rPr>
          <w:rFonts w:ascii="Avenir Next" w:hAnsi="Avenir Next" w:cs="Arial"/>
          <w:color w:val="808080" w:themeColor="background1" w:themeShade="80"/>
          <w:sz w:val="22"/>
          <w:szCs w:val="22"/>
        </w:rPr>
        <w:t xml:space="preserve">Having stated the aforesaid, the above transaction would then fall under the second exception of Section 245 of the Insolvency Act, 1986, which deals with avoidance of floating charge. </w:t>
      </w:r>
    </w:p>
    <w:p w14:paraId="69758DC0" w14:textId="77777777" w:rsidR="008D2A0A" w:rsidRPr="0060632E" w:rsidRDefault="008D2A0A" w:rsidP="0060632E">
      <w:pPr>
        <w:jc w:val="both"/>
        <w:rPr>
          <w:rFonts w:ascii="Avenir Next" w:hAnsi="Avenir Next" w:cs="Arial"/>
          <w:color w:val="808080" w:themeColor="background1" w:themeShade="80"/>
          <w:sz w:val="22"/>
          <w:szCs w:val="22"/>
        </w:rPr>
      </w:pPr>
    </w:p>
    <w:p w14:paraId="71F5D6DE" w14:textId="11BF6F1D" w:rsidR="008D2A0A" w:rsidRPr="0060632E" w:rsidRDefault="008D2A0A" w:rsidP="0060632E">
      <w:pPr>
        <w:jc w:val="both"/>
        <w:rPr>
          <w:rFonts w:ascii="Avenir Next" w:hAnsi="Avenir Next" w:cs="Arial"/>
          <w:color w:val="808080" w:themeColor="background1" w:themeShade="80"/>
          <w:sz w:val="22"/>
          <w:szCs w:val="22"/>
        </w:rPr>
      </w:pPr>
      <w:r w:rsidRPr="0060632E">
        <w:rPr>
          <w:rFonts w:ascii="Avenir Next" w:hAnsi="Avenir Next" w:cs="Arial"/>
          <w:color w:val="808080" w:themeColor="background1" w:themeShade="80"/>
          <w:sz w:val="22"/>
          <w:szCs w:val="22"/>
        </w:rPr>
        <w:t>Section 245(</w:t>
      </w:r>
      <w:r w:rsidR="009076AD" w:rsidRPr="0060632E">
        <w:rPr>
          <w:rFonts w:ascii="Avenir Next" w:hAnsi="Avenir Next" w:cs="Arial"/>
          <w:color w:val="808080" w:themeColor="background1" w:themeShade="80"/>
          <w:sz w:val="22"/>
          <w:szCs w:val="22"/>
        </w:rPr>
        <w:t>2</w:t>
      </w:r>
      <w:r w:rsidRPr="0060632E">
        <w:rPr>
          <w:rFonts w:ascii="Avenir Next" w:hAnsi="Avenir Next" w:cs="Arial"/>
          <w:color w:val="808080" w:themeColor="background1" w:themeShade="80"/>
          <w:sz w:val="22"/>
          <w:szCs w:val="22"/>
        </w:rPr>
        <w:t>)(</w:t>
      </w:r>
      <w:r w:rsidR="009076AD" w:rsidRPr="0060632E">
        <w:rPr>
          <w:rFonts w:ascii="Avenir Next" w:hAnsi="Avenir Next" w:cs="Arial"/>
          <w:color w:val="808080" w:themeColor="background1" w:themeShade="80"/>
          <w:sz w:val="22"/>
          <w:szCs w:val="22"/>
        </w:rPr>
        <w:t>c</w:t>
      </w:r>
      <w:r w:rsidRPr="0060632E">
        <w:rPr>
          <w:rFonts w:ascii="Avenir Next" w:hAnsi="Avenir Next" w:cs="Arial"/>
          <w:color w:val="808080" w:themeColor="background1" w:themeShade="80"/>
          <w:sz w:val="22"/>
          <w:szCs w:val="22"/>
        </w:rPr>
        <w:t>)</w:t>
      </w:r>
      <w:r w:rsidR="009076AD" w:rsidRPr="0060632E">
        <w:rPr>
          <w:rFonts w:ascii="Avenir Next" w:hAnsi="Avenir Next" w:cs="Arial"/>
          <w:color w:val="808080" w:themeColor="background1" w:themeShade="80"/>
          <w:sz w:val="22"/>
          <w:szCs w:val="22"/>
        </w:rPr>
        <w:t xml:space="preserve"> lays down this exception as follows:</w:t>
      </w:r>
    </w:p>
    <w:p w14:paraId="0CF18BA5" w14:textId="77777777" w:rsidR="009076AD" w:rsidRPr="0060632E" w:rsidRDefault="009076AD" w:rsidP="0060632E">
      <w:pPr>
        <w:jc w:val="both"/>
        <w:rPr>
          <w:rFonts w:ascii="Avenir Next" w:hAnsi="Avenir Next" w:cs="Arial"/>
          <w:color w:val="808080" w:themeColor="background1" w:themeShade="80"/>
          <w:sz w:val="22"/>
          <w:szCs w:val="22"/>
        </w:rPr>
      </w:pPr>
    </w:p>
    <w:p w14:paraId="395F0894" w14:textId="48002578" w:rsidR="009076AD" w:rsidRPr="0060632E" w:rsidRDefault="009076AD" w:rsidP="0060632E">
      <w:pPr>
        <w:jc w:val="both"/>
        <w:rPr>
          <w:rFonts w:ascii="Avenir Next" w:hAnsi="Avenir Next" w:cs="Arial"/>
          <w:color w:val="808080" w:themeColor="background1" w:themeShade="80"/>
          <w:sz w:val="22"/>
          <w:szCs w:val="22"/>
        </w:rPr>
      </w:pPr>
      <w:r w:rsidRPr="0060632E">
        <w:rPr>
          <w:rFonts w:ascii="Avenir Next" w:hAnsi="Avenir Next" w:cs="Arial"/>
          <w:color w:val="808080" w:themeColor="background1" w:themeShade="80"/>
          <w:sz w:val="22"/>
          <w:szCs w:val="22"/>
        </w:rPr>
        <w:t>“</w:t>
      </w:r>
      <w:proofErr w:type="gramStart"/>
      <w:r w:rsidRPr="005C7499">
        <w:rPr>
          <w:rFonts w:ascii="Avenir Next" w:hAnsi="Avenir Next" w:cs="Arial"/>
          <w:i/>
          <w:iCs/>
          <w:color w:val="808080" w:themeColor="background1" w:themeShade="80"/>
          <w:sz w:val="22"/>
          <w:szCs w:val="22"/>
        </w:rPr>
        <w:t>the</w:t>
      </w:r>
      <w:proofErr w:type="gramEnd"/>
      <w:r w:rsidRPr="005C7499">
        <w:rPr>
          <w:rFonts w:ascii="Avenir Next" w:hAnsi="Avenir Next" w:cs="Arial"/>
          <w:i/>
          <w:iCs/>
          <w:color w:val="808080" w:themeColor="background1" w:themeShade="80"/>
          <w:sz w:val="22"/>
          <w:szCs w:val="22"/>
        </w:rPr>
        <w:t xml:space="preserve"> amount of such interest (if any) as is payable on the amount falling within paragraph (a) or (b) in pursuance of any agreement under which the money was so paid, the goods or services were so supplied </w:t>
      </w:r>
      <w:r w:rsidRPr="005C7499">
        <w:rPr>
          <w:rFonts w:ascii="Avenir Next" w:hAnsi="Avenir Next" w:cs="Arial"/>
          <w:b/>
          <w:bCs/>
          <w:i/>
          <w:iCs/>
          <w:color w:val="808080" w:themeColor="background1" w:themeShade="80"/>
          <w:sz w:val="22"/>
          <w:szCs w:val="22"/>
        </w:rPr>
        <w:t>or the debt was so discharged or reduced</w:t>
      </w:r>
      <w:r w:rsidRPr="0060632E">
        <w:rPr>
          <w:rFonts w:ascii="Avenir Next" w:hAnsi="Avenir Next" w:cs="Arial"/>
          <w:color w:val="808080" w:themeColor="background1" w:themeShade="80"/>
          <w:sz w:val="22"/>
          <w:szCs w:val="22"/>
        </w:rPr>
        <w:t>.</w:t>
      </w:r>
      <w:r w:rsidRPr="0060632E">
        <w:rPr>
          <w:rFonts w:ascii="Avenir Next" w:hAnsi="Avenir Next" w:cs="Arial"/>
          <w:color w:val="808080" w:themeColor="background1" w:themeShade="80"/>
          <w:sz w:val="22"/>
          <w:szCs w:val="22"/>
        </w:rPr>
        <w:t>”</w:t>
      </w:r>
    </w:p>
    <w:p w14:paraId="6013A92E" w14:textId="77777777" w:rsidR="001B57BC" w:rsidRDefault="001B57BC" w:rsidP="007E2919">
      <w:pPr>
        <w:rPr>
          <w:rFonts w:ascii="Avenir Next" w:hAnsi="Avenir Next" w:cs="Arial"/>
          <w:sz w:val="22"/>
          <w:szCs w:val="22"/>
        </w:rPr>
      </w:pPr>
    </w:p>
    <w:p w14:paraId="63AC075C" w14:textId="77936D60" w:rsidR="0060632E" w:rsidRPr="005C7499" w:rsidRDefault="0060632E" w:rsidP="005C7499">
      <w:pPr>
        <w:jc w:val="both"/>
        <w:rPr>
          <w:rFonts w:ascii="Avenir Next" w:hAnsi="Avenir Next" w:cs="Arial"/>
          <w:color w:val="808080" w:themeColor="background1" w:themeShade="80"/>
          <w:sz w:val="22"/>
          <w:szCs w:val="22"/>
        </w:rPr>
      </w:pPr>
      <w:r w:rsidRPr="005C7499">
        <w:rPr>
          <w:rFonts w:ascii="Avenir Next" w:hAnsi="Avenir Next" w:cs="Arial"/>
          <w:color w:val="808080" w:themeColor="background1" w:themeShade="80"/>
          <w:sz w:val="22"/>
          <w:szCs w:val="22"/>
        </w:rPr>
        <w:t>However, this will not completely absolve the Bank and the said refinance debenture transaction</w:t>
      </w:r>
      <w:r w:rsidR="009E6894" w:rsidRPr="005C7499">
        <w:rPr>
          <w:rFonts w:ascii="Avenir Next" w:hAnsi="Avenir Next" w:cs="Arial"/>
          <w:color w:val="808080" w:themeColor="background1" w:themeShade="80"/>
          <w:sz w:val="22"/>
          <w:szCs w:val="22"/>
        </w:rPr>
        <w:t xml:space="preserve">, as we also have take into account the </w:t>
      </w:r>
      <w:r w:rsidR="00907E3E" w:rsidRPr="005C7499">
        <w:rPr>
          <w:rFonts w:ascii="Avenir Next" w:hAnsi="Avenir Next" w:cs="Arial"/>
          <w:color w:val="808080" w:themeColor="background1" w:themeShade="80"/>
          <w:sz w:val="22"/>
          <w:szCs w:val="22"/>
        </w:rPr>
        <w:t xml:space="preserve">difference between the value of the </w:t>
      </w:r>
      <w:r w:rsidR="009E6894" w:rsidRPr="005C7499">
        <w:rPr>
          <w:rFonts w:ascii="Avenir Next" w:hAnsi="Avenir Next" w:cs="Arial"/>
          <w:color w:val="808080" w:themeColor="background1" w:themeShade="80"/>
          <w:sz w:val="22"/>
          <w:szCs w:val="22"/>
        </w:rPr>
        <w:t xml:space="preserve">issue amount of the </w:t>
      </w:r>
      <w:r w:rsidR="005C7499" w:rsidRPr="005C7499">
        <w:rPr>
          <w:rFonts w:ascii="Avenir Next" w:hAnsi="Avenir Next" w:cs="Arial"/>
          <w:color w:val="808080" w:themeColor="background1" w:themeShade="80"/>
          <w:sz w:val="22"/>
          <w:szCs w:val="22"/>
        </w:rPr>
        <w:t>debentures</w:t>
      </w:r>
      <w:r w:rsidR="009E6894" w:rsidRPr="005C7499">
        <w:rPr>
          <w:rFonts w:ascii="Avenir Next" w:hAnsi="Avenir Next" w:cs="Arial"/>
          <w:color w:val="808080" w:themeColor="background1" w:themeShade="80"/>
          <w:sz w:val="22"/>
          <w:szCs w:val="22"/>
        </w:rPr>
        <w:t xml:space="preserve"> and the </w:t>
      </w:r>
      <w:r w:rsidR="00907E3E" w:rsidRPr="005C7499">
        <w:rPr>
          <w:rFonts w:ascii="Avenir Next" w:hAnsi="Avenir Next" w:cs="Arial"/>
          <w:color w:val="808080" w:themeColor="background1" w:themeShade="80"/>
          <w:sz w:val="22"/>
          <w:szCs w:val="22"/>
        </w:rPr>
        <w:t xml:space="preserve">enterprise value of the Company. Assuming that the existing debt of the Company was discharged to the extent of the debentures and hence the transaction cannot be avoided totally, a </w:t>
      </w:r>
      <w:r w:rsidR="005C7499" w:rsidRPr="005C7499">
        <w:rPr>
          <w:rFonts w:ascii="Avenir Next" w:hAnsi="Avenir Next" w:cs="Arial"/>
          <w:color w:val="808080" w:themeColor="background1" w:themeShade="80"/>
          <w:sz w:val="22"/>
          <w:szCs w:val="22"/>
        </w:rPr>
        <w:t>scrutiny</w:t>
      </w:r>
      <w:r w:rsidR="002701B4" w:rsidRPr="005C7499">
        <w:rPr>
          <w:rFonts w:ascii="Avenir Next" w:hAnsi="Avenir Next" w:cs="Arial"/>
          <w:color w:val="808080" w:themeColor="background1" w:themeShade="80"/>
          <w:sz w:val="22"/>
          <w:szCs w:val="22"/>
        </w:rPr>
        <w:t xml:space="preserve"> still has to be made qua the fact was a floating charge on the entire undertaking of the Company really necessary to secure these debentures. Also, this transaction will also fall in the ‘twilight’ period, which is 1 year for a non-</w:t>
      </w:r>
      <w:r w:rsidR="005C7499" w:rsidRPr="005C7499">
        <w:rPr>
          <w:rFonts w:ascii="Avenir Next" w:hAnsi="Avenir Next" w:cs="Arial"/>
          <w:color w:val="808080" w:themeColor="background1" w:themeShade="80"/>
          <w:sz w:val="22"/>
          <w:szCs w:val="22"/>
        </w:rPr>
        <w:t>related</w:t>
      </w:r>
      <w:r w:rsidR="002701B4" w:rsidRPr="005C7499">
        <w:rPr>
          <w:rFonts w:ascii="Avenir Next" w:hAnsi="Avenir Next" w:cs="Arial"/>
          <w:color w:val="808080" w:themeColor="background1" w:themeShade="80"/>
          <w:sz w:val="22"/>
          <w:szCs w:val="22"/>
        </w:rPr>
        <w:t xml:space="preserve"> party as per Section 245</w:t>
      </w:r>
      <w:r w:rsidR="00116CD8" w:rsidRPr="005C7499">
        <w:rPr>
          <w:rFonts w:ascii="Avenir Next" w:hAnsi="Avenir Next" w:cs="Arial"/>
          <w:color w:val="808080" w:themeColor="background1" w:themeShade="80"/>
          <w:sz w:val="22"/>
          <w:szCs w:val="22"/>
        </w:rPr>
        <w:t>(3)(b) and hence can be called into question.</w:t>
      </w:r>
    </w:p>
    <w:p w14:paraId="0968846E" w14:textId="4FE0C523" w:rsidR="00116CD8" w:rsidRPr="005C7499" w:rsidRDefault="00116CD8" w:rsidP="005C7499">
      <w:pPr>
        <w:jc w:val="both"/>
        <w:rPr>
          <w:rFonts w:ascii="Avenir Next" w:hAnsi="Avenir Next" w:cs="Arial"/>
          <w:color w:val="808080" w:themeColor="background1" w:themeShade="80"/>
          <w:sz w:val="22"/>
          <w:szCs w:val="22"/>
        </w:rPr>
      </w:pPr>
    </w:p>
    <w:p w14:paraId="1445F12A" w14:textId="4EA0C4BB" w:rsidR="00116CD8" w:rsidRPr="005C7499" w:rsidRDefault="00116CD8" w:rsidP="005C7499">
      <w:pPr>
        <w:jc w:val="both"/>
        <w:rPr>
          <w:rFonts w:ascii="Avenir Next" w:hAnsi="Avenir Next" w:cs="Arial"/>
          <w:color w:val="808080" w:themeColor="background1" w:themeShade="80"/>
          <w:sz w:val="22"/>
          <w:szCs w:val="22"/>
        </w:rPr>
      </w:pPr>
      <w:r w:rsidRPr="005C7499">
        <w:rPr>
          <w:rFonts w:ascii="Avenir Next" w:hAnsi="Avenir Next" w:cs="Arial"/>
          <w:color w:val="808080" w:themeColor="background1" w:themeShade="80"/>
          <w:sz w:val="22"/>
          <w:szCs w:val="22"/>
        </w:rPr>
        <w:t>In conclusion, the liquidator should ideally, take the debenture amount (or the amount of refinance/reduction of debt) as the exception and forego that,</w:t>
      </w:r>
      <w:r w:rsidR="009821EF" w:rsidRPr="005C7499">
        <w:rPr>
          <w:rFonts w:ascii="Avenir Next" w:hAnsi="Avenir Next" w:cs="Arial"/>
          <w:color w:val="808080" w:themeColor="background1" w:themeShade="80"/>
          <w:sz w:val="22"/>
          <w:szCs w:val="22"/>
        </w:rPr>
        <w:t xml:space="preserve"> meaning</w:t>
      </w:r>
      <w:r w:rsidR="00E417A2">
        <w:rPr>
          <w:rFonts w:ascii="Avenir Next" w:hAnsi="Avenir Next" w:cs="Arial"/>
          <w:color w:val="808080" w:themeColor="background1" w:themeShade="80"/>
          <w:sz w:val="22"/>
          <w:szCs w:val="22"/>
        </w:rPr>
        <w:t xml:space="preserve">, </w:t>
      </w:r>
      <w:r w:rsidR="009821EF" w:rsidRPr="005C7499">
        <w:rPr>
          <w:rFonts w:ascii="Avenir Next" w:hAnsi="Avenir Next" w:cs="Arial"/>
          <w:color w:val="808080" w:themeColor="background1" w:themeShade="80"/>
          <w:sz w:val="22"/>
          <w:szCs w:val="22"/>
        </w:rPr>
        <w:t xml:space="preserve">only have the floating charge on the Company enterprise to that extent and treat the rest of the floating charge as invalid or unsecured. </w:t>
      </w:r>
    </w:p>
    <w:p w14:paraId="6AB95E41" w14:textId="77777777" w:rsidR="001B57BC" w:rsidRPr="006925C1" w:rsidRDefault="001B57BC"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0ABF9B" w14:textId="642A25B8" w:rsidR="007E2919" w:rsidRDefault="003876AE" w:rsidP="007E2919">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can file an application to avoid the said </w:t>
      </w:r>
      <w:r w:rsidR="00B049DA">
        <w:rPr>
          <w:rFonts w:ascii="Avenir Next" w:hAnsi="Avenir Next" w:cs="Arial"/>
          <w:color w:val="808080" w:themeColor="background1" w:themeShade="80"/>
          <w:sz w:val="22"/>
          <w:szCs w:val="22"/>
        </w:rPr>
        <w:t>transactions</w:t>
      </w:r>
      <w:r>
        <w:rPr>
          <w:rFonts w:ascii="Avenir Next" w:hAnsi="Avenir Next" w:cs="Arial"/>
          <w:color w:val="808080" w:themeColor="background1" w:themeShade="80"/>
          <w:sz w:val="22"/>
          <w:szCs w:val="22"/>
        </w:rPr>
        <w:t xml:space="preserve"> basis the following:</w:t>
      </w:r>
    </w:p>
    <w:p w14:paraId="016FD33A" w14:textId="77777777" w:rsidR="003876AE" w:rsidRDefault="003876AE" w:rsidP="007E2919">
      <w:pPr>
        <w:rPr>
          <w:rFonts w:ascii="Avenir Next" w:hAnsi="Avenir Next" w:cs="Arial"/>
          <w:color w:val="808080" w:themeColor="background1" w:themeShade="80"/>
          <w:sz w:val="22"/>
          <w:szCs w:val="22"/>
        </w:rPr>
      </w:pPr>
    </w:p>
    <w:p w14:paraId="3C1EE25A" w14:textId="517FA469" w:rsidR="003876AE" w:rsidRPr="00FF43F2" w:rsidRDefault="003876AE" w:rsidP="000F1539">
      <w:pPr>
        <w:pStyle w:val="ListParagraph"/>
        <w:numPr>
          <w:ilvl w:val="0"/>
          <w:numId w:val="28"/>
        </w:numPr>
        <w:jc w:val="both"/>
        <w:rPr>
          <w:rFonts w:ascii="Avenir Next" w:hAnsi="Avenir Next" w:cs="Arial"/>
          <w:b/>
          <w:sz w:val="22"/>
          <w:szCs w:val="22"/>
        </w:rPr>
      </w:pPr>
      <w:r w:rsidRPr="0072298A">
        <w:rPr>
          <w:rFonts w:ascii="Avenir Next" w:hAnsi="Avenir Next" w:cs="Arial"/>
          <w:b/>
          <w:bCs/>
          <w:color w:val="808080" w:themeColor="background1" w:themeShade="80"/>
          <w:sz w:val="22"/>
          <w:szCs w:val="22"/>
        </w:rPr>
        <w:t>Section 238- Undervalued Transaction</w:t>
      </w:r>
      <w:r w:rsidR="00E604E0">
        <w:rPr>
          <w:rFonts w:ascii="Avenir Next" w:hAnsi="Avenir Next" w:cs="Arial"/>
          <w:b/>
          <w:bCs/>
          <w:color w:val="808080" w:themeColor="background1" w:themeShade="80"/>
          <w:sz w:val="22"/>
          <w:szCs w:val="22"/>
        </w:rPr>
        <w:t xml:space="preserve"> &amp; Section 423- Transactions defrauding creditors</w:t>
      </w:r>
      <w:r w:rsidRPr="005C2F94">
        <w:rPr>
          <w:rFonts w:ascii="Avenir Next" w:hAnsi="Avenir Next" w:cs="Arial"/>
          <w:color w:val="808080" w:themeColor="background1" w:themeShade="80"/>
          <w:sz w:val="22"/>
          <w:szCs w:val="22"/>
        </w:rPr>
        <w:t xml:space="preserve">: Where in the relevant period, which in this case shall be 2 years from the commencement of </w:t>
      </w:r>
      <w:r w:rsidR="005C2F94" w:rsidRPr="005C2F94">
        <w:rPr>
          <w:rFonts w:ascii="Avenir Next" w:hAnsi="Avenir Next" w:cs="Arial"/>
          <w:color w:val="808080" w:themeColor="background1" w:themeShade="80"/>
          <w:sz w:val="22"/>
          <w:szCs w:val="22"/>
        </w:rPr>
        <w:t>liquidati</w:t>
      </w:r>
      <w:r w:rsidR="005C2F94" w:rsidRPr="005C2F94">
        <w:rPr>
          <w:rFonts w:ascii="Avenir Next" w:hAnsi="Avenir Next" w:cs="Arial"/>
          <w:color w:val="808080" w:themeColor="background1" w:themeShade="80"/>
          <w:sz w:val="22"/>
          <w:szCs w:val="22"/>
        </w:rPr>
        <w:t>on</w:t>
      </w:r>
      <w:r w:rsidR="005C2F94" w:rsidRPr="005C2F94">
        <w:rPr>
          <w:rStyle w:val="FootnoteReference"/>
          <w:rFonts w:ascii="Avenir Next" w:hAnsi="Avenir Next" w:cs="Arial"/>
          <w:b/>
          <w:color w:val="808080" w:themeColor="background1" w:themeShade="80"/>
          <w:sz w:val="22"/>
          <w:szCs w:val="22"/>
        </w:rPr>
        <w:footnoteReference w:id="51"/>
      </w:r>
      <w:r w:rsidRPr="000F1539">
        <w:rPr>
          <w:rFonts w:ascii="Avenir Next" w:hAnsi="Avenir Next" w:cs="Arial"/>
          <w:color w:val="808080" w:themeColor="background1" w:themeShade="80"/>
          <w:sz w:val="22"/>
          <w:szCs w:val="22"/>
        </w:rPr>
        <w:t xml:space="preserve">, </w:t>
      </w:r>
      <w:r w:rsidR="005C2F94" w:rsidRPr="000F1539">
        <w:rPr>
          <w:rFonts w:ascii="Avenir Next" w:hAnsi="Avenir Next" w:cs="Arial"/>
          <w:color w:val="808080" w:themeColor="background1" w:themeShade="80"/>
          <w:sz w:val="22"/>
          <w:szCs w:val="22"/>
        </w:rPr>
        <w:t xml:space="preserve">The Company has </w:t>
      </w:r>
      <w:r w:rsidR="005227A1" w:rsidRPr="000F1539">
        <w:rPr>
          <w:rFonts w:ascii="Avenir Next" w:hAnsi="Avenir Next" w:cs="Arial"/>
          <w:color w:val="808080" w:themeColor="background1" w:themeShade="80"/>
          <w:sz w:val="22"/>
          <w:szCs w:val="22"/>
        </w:rPr>
        <w:t xml:space="preserve">entered into a </w:t>
      </w:r>
      <w:r w:rsidR="0072298A" w:rsidRPr="000F1539">
        <w:rPr>
          <w:rFonts w:ascii="Avenir Next" w:hAnsi="Avenir Next" w:cs="Arial"/>
          <w:color w:val="808080" w:themeColor="background1" w:themeShade="80"/>
          <w:sz w:val="22"/>
          <w:szCs w:val="22"/>
        </w:rPr>
        <w:t>transaction</w:t>
      </w:r>
      <w:r w:rsidR="005227A1" w:rsidRPr="000F1539">
        <w:rPr>
          <w:rFonts w:ascii="Avenir Next" w:hAnsi="Avenir Next" w:cs="Arial"/>
          <w:color w:val="808080" w:themeColor="background1" w:themeShade="80"/>
          <w:sz w:val="22"/>
          <w:szCs w:val="22"/>
        </w:rPr>
        <w:t xml:space="preserve"> for a </w:t>
      </w:r>
      <w:r w:rsidR="0072298A" w:rsidRPr="000F1539">
        <w:rPr>
          <w:rFonts w:ascii="Avenir Next" w:hAnsi="Avenir Next" w:cs="Arial"/>
          <w:color w:val="808080" w:themeColor="background1" w:themeShade="80"/>
          <w:sz w:val="22"/>
          <w:szCs w:val="22"/>
        </w:rPr>
        <w:t>consideration</w:t>
      </w:r>
      <w:r w:rsidR="002C2D21" w:rsidRPr="000F1539">
        <w:rPr>
          <w:rFonts w:ascii="Avenir Next" w:hAnsi="Avenir Next" w:cs="Arial"/>
          <w:color w:val="808080" w:themeColor="background1" w:themeShade="80"/>
          <w:sz w:val="22"/>
          <w:szCs w:val="22"/>
        </w:rPr>
        <w:t xml:space="preserve"> the value of which in </w:t>
      </w:r>
      <w:r w:rsidR="0072298A" w:rsidRPr="000F1539">
        <w:rPr>
          <w:rFonts w:ascii="Avenir Next" w:hAnsi="Avenir Next" w:cs="Arial"/>
          <w:color w:val="808080" w:themeColor="background1" w:themeShade="80"/>
          <w:sz w:val="22"/>
          <w:szCs w:val="22"/>
        </w:rPr>
        <w:t>money</w:t>
      </w:r>
      <w:r w:rsidR="0072298A">
        <w:rPr>
          <w:rFonts w:ascii="Avenir Next" w:hAnsi="Avenir Next" w:cs="Arial"/>
          <w:color w:val="808080" w:themeColor="background1" w:themeShade="80"/>
          <w:sz w:val="22"/>
          <w:szCs w:val="22"/>
        </w:rPr>
        <w:t>’</w:t>
      </w:r>
      <w:r w:rsidR="0072298A" w:rsidRPr="000F1539">
        <w:rPr>
          <w:rFonts w:ascii="Avenir Next" w:hAnsi="Avenir Next" w:cs="Arial"/>
          <w:color w:val="808080" w:themeColor="background1" w:themeShade="80"/>
          <w:sz w:val="22"/>
          <w:szCs w:val="22"/>
        </w:rPr>
        <w:t>s</w:t>
      </w:r>
      <w:r w:rsidR="002C2D21" w:rsidRPr="000F1539">
        <w:rPr>
          <w:rFonts w:ascii="Avenir Next" w:hAnsi="Avenir Next" w:cs="Arial"/>
          <w:color w:val="808080" w:themeColor="background1" w:themeShade="80"/>
          <w:sz w:val="22"/>
          <w:szCs w:val="22"/>
        </w:rPr>
        <w:t xml:space="preserve"> and money’s worth </w:t>
      </w:r>
      <w:r w:rsidR="00A37BA6">
        <w:rPr>
          <w:rFonts w:ascii="Avenir Next" w:hAnsi="Avenir Next" w:cs="Arial"/>
          <w:color w:val="808080" w:themeColor="background1" w:themeShade="80"/>
          <w:sz w:val="22"/>
          <w:szCs w:val="22"/>
        </w:rPr>
        <w:t>i</w:t>
      </w:r>
      <w:r w:rsidR="000F1539" w:rsidRPr="000F1539">
        <w:rPr>
          <w:rFonts w:ascii="Avenir Next" w:hAnsi="Avenir Next" w:cs="Arial"/>
          <w:color w:val="808080" w:themeColor="background1" w:themeShade="80"/>
          <w:sz w:val="22"/>
          <w:szCs w:val="22"/>
        </w:rPr>
        <w:t>s significantly less than the value, in money or money’s worth, of the consideration provided by the company</w:t>
      </w:r>
      <w:r w:rsidR="000F1539">
        <w:rPr>
          <w:rStyle w:val="FootnoteReference"/>
          <w:rFonts w:ascii="Avenir Next" w:hAnsi="Avenir Next" w:cs="Arial"/>
          <w:color w:val="808080" w:themeColor="background1" w:themeShade="80"/>
          <w:sz w:val="22"/>
          <w:szCs w:val="22"/>
        </w:rPr>
        <w:footnoteReference w:id="52"/>
      </w:r>
      <w:r w:rsidR="000F1539" w:rsidRPr="000F1539">
        <w:rPr>
          <w:rFonts w:ascii="Avenir Next" w:hAnsi="Avenir Next" w:cs="Arial"/>
          <w:color w:val="808080" w:themeColor="background1" w:themeShade="80"/>
          <w:sz w:val="22"/>
          <w:szCs w:val="22"/>
        </w:rPr>
        <w:t>.</w:t>
      </w:r>
      <w:r w:rsidR="00B049DA">
        <w:rPr>
          <w:rFonts w:ascii="Avenir Next" w:hAnsi="Avenir Next" w:cs="Arial"/>
          <w:color w:val="808080" w:themeColor="background1" w:themeShade="80"/>
          <w:sz w:val="22"/>
          <w:szCs w:val="22"/>
        </w:rPr>
        <w:t xml:space="preserve"> In the given fact set, </w:t>
      </w:r>
      <w:r w:rsidR="00031229">
        <w:rPr>
          <w:rFonts w:ascii="Avenir Next" w:hAnsi="Avenir Next" w:cs="Arial"/>
          <w:color w:val="808080" w:themeColor="background1" w:themeShade="80"/>
          <w:sz w:val="22"/>
          <w:szCs w:val="22"/>
        </w:rPr>
        <w:t>two</w:t>
      </w:r>
      <w:r w:rsidR="00B049DA">
        <w:rPr>
          <w:rFonts w:ascii="Avenir Next" w:hAnsi="Avenir Next" w:cs="Arial"/>
          <w:color w:val="808080" w:themeColor="background1" w:themeShade="80"/>
          <w:sz w:val="22"/>
          <w:szCs w:val="22"/>
        </w:rPr>
        <w:t xml:space="preserve"> marble cutting machines were sold for GBP </w:t>
      </w:r>
      <w:r w:rsidR="00031229">
        <w:rPr>
          <w:rFonts w:ascii="Avenir Next" w:hAnsi="Avenir Next" w:cs="Arial"/>
          <w:color w:val="808080" w:themeColor="background1" w:themeShade="80"/>
          <w:sz w:val="22"/>
          <w:szCs w:val="22"/>
        </w:rPr>
        <w:t>10,000 to Rita Perkins (who was a director and hence a related party)</w:t>
      </w:r>
      <w:r w:rsidR="00FC7B66">
        <w:rPr>
          <w:rFonts w:ascii="Avenir Next" w:hAnsi="Avenir Next" w:cs="Arial"/>
          <w:color w:val="808080" w:themeColor="background1" w:themeShade="80"/>
          <w:sz w:val="22"/>
          <w:szCs w:val="22"/>
        </w:rPr>
        <w:t xml:space="preserve">, while the company had only bought them an year ago for GBP 25,000. There can be some debate in terms of the valuation of machinery and the </w:t>
      </w:r>
      <w:r w:rsidR="0072298A">
        <w:rPr>
          <w:rFonts w:ascii="Avenir Next" w:hAnsi="Avenir Next" w:cs="Arial"/>
          <w:color w:val="808080" w:themeColor="background1" w:themeShade="80"/>
          <w:sz w:val="22"/>
          <w:szCs w:val="22"/>
        </w:rPr>
        <w:t>depreciation</w:t>
      </w:r>
      <w:r w:rsidR="00FC7B66">
        <w:rPr>
          <w:rFonts w:ascii="Avenir Next" w:hAnsi="Avenir Next" w:cs="Arial"/>
          <w:color w:val="808080" w:themeColor="background1" w:themeShade="80"/>
          <w:sz w:val="22"/>
          <w:szCs w:val="22"/>
        </w:rPr>
        <w:t xml:space="preserve"> on them, given the nature of the </w:t>
      </w:r>
      <w:r w:rsidR="00FF43F2">
        <w:rPr>
          <w:rFonts w:ascii="Avenir Next" w:hAnsi="Avenir Next" w:cs="Arial"/>
          <w:color w:val="808080" w:themeColor="background1" w:themeShade="80"/>
          <w:sz w:val="22"/>
          <w:szCs w:val="22"/>
        </w:rPr>
        <w:t>transaction.</w:t>
      </w:r>
    </w:p>
    <w:p w14:paraId="35DCD18B" w14:textId="77777777" w:rsidR="00FF43F2" w:rsidRDefault="00FF43F2" w:rsidP="00FF43F2">
      <w:pPr>
        <w:jc w:val="both"/>
        <w:rPr>
          <w:rFonts w:ascii="Avenir Next" w:hAnsi="Avenir Next" w:cs="Arial"/>
          <w:b/>
          <w:sz w:val="22"/>
          <w:szCs w:val="22"/>
        </w:rPr>
      </w:pPr>
    </w:p>
    <w:p w14:paraId="02E5A1E7" w14:textId="360912BC" w:rsidR="00FF43F2" w:rsidRDefault="00823DDB" w:rsidP="00FF43F2">
      <w:pPr>
        <w:pStyle w:val="ListParagraph"/>
        <w:numPr>
          <w:ilvl w:val="0"/>
          <w:numId w:val="28"/>
        </w:numPr>
        <w:jc w:val="both"/>
        <w:rPr>
          <w:rFonts w:ascii="Avenir Next" w:hAnsi="Avenir Next" w:cs="Arial"/>
          <w:color w:val="808080" w:themeColor="background1" w:themeShade="80"/>
          <w:sz w:val="22"/>
          <w:szCs w:val="22"/>
        </w:rPr>
      </w:pPr>
      <w:r w:rsidRPr="0072298A">
        <w:rPr>
          <w:rFonts w:ascii="Avenir Next" w:hAnsi="Avenir Next" w:cs="Arial"/>
          <w:b/>
          <w:bCs/>
          <w:color w:val="808080" w:themeColor="background1" w:themeShade="80"/>
          <w:sz w:val="22"/>
          <w:szCs w:val="22"/>
        </w:rPr>
        <w:t xml:space="preserve">Section 213- </w:t>
      </w:r>
      <w:r w:rsidR="0072298A" w:rsidRPr="0072298A">
        <w:rPr>
          <w:rFonts w:ascii="Avenir Next" w:hAnsi="Avenir Next" w:cs="Arial"/>
          <w:b/>
          <w:bCs/>
          <w:color w:val="808080" w:themeColor="background1" w:themeShade="80"/>
          <w:sz w:val="22"/>
          <w:szCs w:val="22"/>
        </w:rPr>
        <w:t>Fraudulent</w:t>
      </w:r>
      <w:r w:rsidRPr="0072298A">
        <w:rPr>
          <w:rFonts w:ascii="Avenir Next" w:hAnsi="Avenir Next" w:cs="Arial"/>
          <w:b/>
          <w:bCs/>
          <w:color w:val="808080" w:themeColor="background1" w:themeShade="80"/>
          <w:sz w:val="22"/>
          <w:szCs w:val="22"/>
        </w:rPr>
        <w:t xml:space="preserve"> Trading</w:t>
      </w:r>
      <w:r w:rsidRPr="0072298A">
        <w:rPr>
          <w:rFonts w:ascii="Avenir Next" w:hAnsi="Avenir Next" w:cs="Arial"/>
          <w:color w:val="808080" w:themeColor="background1" w:themeShade="80"/>
          <w:sz w:val="22"/>
          <w:szCs w:val="22"/>
        </w:rPr>
        <w:t xml:space="preserve">: In accordance to Section 213 of the Act, </w:t>
      </w:r>
      <w:r w:rsidR="00A62A62" w:rsidRPr="0072298A">
        <w:rPr>
          <w:rFonts w:ascii="Avenir Next" w:hAnsi="Avenir Next" w:cs="Arial"/>
          <w:color w:val="808080" w:themeColor="background1" w:themeShade="80"/>
          <w:sz w:val="22"/>
          <w:szCs w:val="22"/>
        </w:rPr>
        <w:t xml:space="preserve">if in the course of winding up of the Company, it appears that any business of the Company has ben carried on the with the intent </w:t>
      </w:r>
      <w:r w:rsidR="002400C8" w:rsidRPr="0072298A">
        <w:rPr>
          <w:rFonts w:ascii="Avenir Next" w:hAnsi="Avenir Next" w:cs="Arial"/>
          <w:color w:val="808080" w:themeColor="background1" w:themeShade="80"/>
          <w:sz w:val="22"/>
          <w:szCs w:val="22"/>
        </w:rPr>
        <w:t xml:space="preserve">to defraud the creditors of </w:t>
      </w:r>
      <w:r w:rsidR="000A508B" w:rsidRPr="0072298A">
        <w:rPr>
          <w:rFonts w:ascii="Avenir Next" w:hAnsi="Avenir Next" w:cs="Arial"/>
          <w:color w:val="808080" w:themeColor="background1" w:themeShade="80"/>
          <w:sz w:val="22"/>
          <w:szCs w:val="22"/>
        </w:rPr>
        <w:t>the Company or any other person</w:t>
      </w:r>
      <w:r w:rsidR="0072298A">
        <w:rPr>
          <w:rStyle w:val="FootnoteReference"/>
          <w:rFonts w:ascii="Avenir Next" w:hAnsi="Avenir Next" w:cs="Arial"/>
          <w:color w:val="808080" w:themeColor="background1" w:themeShade="80"/>
          <w:sz w:val="22"/>
          <w:szCs w:val="22"/>
        </w:rPr>
        <w:footnoteReference w:id="53"/>
      </w:r>
      <w:r w:rsidR="000A508B" w:rsidRPr="0072298A">
        <w:rPr>
          <w:rFonts w:ascii="Avenir Next" w:hAnsi="Avenir Next" w:cs="Arial"/>
          <w:color w:val="808080" w:themeColor="background1" w:themeShade="80"/>
          <w:sz w:val="22"/>
          <w:szCs w:val="22"/>
        </w:rPr>
        <w:t xml:space="preserve">, then on an application of the liquidator, the court may declare the persons who were </w:t>
      </w:r>
      <w:r w:rsidR="0072298A" w:rsidRPr="0072298A">
        <w:rPr>
          <w:rFonts w:ascii="Avenir Next" w:hAnsi="Avenir Next" w:cs="Arial"/>
          <w:color w:val="808080" w:themeColor="background1" w:themeShade="80"/>
          <w:sz w:val="22"/>
          <w:szCs w:val="22"/>
        </w:rPr>
        <w:t>knowingly</w:t>
      </w:r>
      <w:r w:rsidR="002226A4" w:rsidRPr="0072298A">
        <w:rPr>
          <w:rFonts w:ascii="Avenir Next" w:hAnsi="Avenir Next" w:cs="Arial"/>
          <w:color w:val="808080" w:themeColor="background1" w:themeShade="80"/>
          <w:sz w:val="22"/>
          <w:szCs w:val="22"/>
        </w:rPr>
        <w:t xml:space="preserve"> parties to carrying on the business of the Company in the aforementioned way to be liable to make such </w:t>
      </w:r>
      <w:r w:rsidR="0072298A" w:rsidRPr="0072298A">
        <w:rPr>
          <w:rFonts w:ascii="Avenir Next" w:hAnsi="Avenir Next" w:cs="Arial"/>
          <w:color w:val="808080" w:themeColor="background1" w:themeShade="80"/>
          <w:sz w:val="22"/>
          <w:szCs w:val="22"/>
        </w:rPr>
        <w:t>contributors</w:t>
      </w:r>
      <w:r w:rsidR="002226A4" w:rsidRPr="0072298A">
        <w:rPr>
          <w:rFonts w:ascii="Avenir Next" w:hAnsi="Avenir Next" w:cs="Arial"/>
          <w:color w:val="808080" w:themeColor="background1" w:themeShade="80"/>
          <w:sz w:val="22"/>
          <w:szCs w:val="22"/>
        </w:rPr>
        <w:t xml:space="preserve"> to the Company’s asset as the court thinks fit</w:t>
      </w:r>
      <w:r w:rsidR="0072298A">
        <w:rPr>
          <w:rStyle w:val="FootnoteReference"/>
          <w:rFonts w:ascii="Avenir Next" w:hAnsi="Avenir Next" w:cs="Arial"/>
          <w:color w:val="808080" w:themeColor="background1" w:themeShade="80"/>
          <w:sz w:val="22"/>
          <w:szCs w:val="22"/>
        </w:rPr>
        <w:footnoteReference w:id="54"/>
      </w:r>
      <w:r w:rsidR="002226A4" w:rsidRPr="0072298A">
        <w:rPr>
          <w:rFonts w:ascii="Avenir Next" w:hAnsi="Avenir Next" w:cs="Arial"/>
          <w:color w:val="808080" w:themeColor="background1" w:themeShade="80"/>
          <w:sz w:val="22"/>
          <w:szCs w:val="22"/>
        </w:rPr>
        <w:t xml:space="preserve">, In the </w:t>
      </w:r>
      <w:r w:rsidR="00296977" w:rsidRPr="0072298A">
        <w:rPr>
          <w:rFonts w:ascii="Avenir Next" w:hAnsi="Avenir Next" w:cs="Arial"/>
          <w:color w:val="808080" w:themeColor="background1" w:themeShade="80"/>
          <w:sz w:val="22"/>
          <w:szCs w:val="22"/>
        </w:rPr>
        <w:t>given instance, the directors have disposed asset</w:t>
      </w:r>
      <w:r w:rsidR="0072298A">
        <w:rPr>
          <w:rFonts w:ascii="Avenir Next" w:hAnsi="Avenir Next" w:cs="Arial"/>
          <w:color w:val="808080" w:themeColor="background1" w:themeShade="80"/>
          <w:sz w:val="22"/>
          <w:szCs w:val="22"/>
        </w:rPr>
        <w:t>s</w:t>
      </w:r>
      <w:r w:rsidR="00296977" w:rsidRPr="0072298A">
        <w:rPr>
          <w:rFonts w:ascii="Avenir Next" w:hAnsi="Avenir Next" w:cs="Arial"/>
          <w:color w:val="808080" w:themeColor="background1" w:themeShade="80"/>
          <w:sz w:val="22"/>
          <w:szCs w:val="22"/>
        </w:rPr>
        <w:t xml:space="preserve"> of the Company to a related director for </w:t>
      </w:r>
      <w:r w:rsidR="0072298A" w:rsidRPr="0072298A">
        <w:rPr>
          <w:rFonts w:ascii="Avenir Next" w:hAnsi="Avenir Next" w:cs="Arial"/>
          <w:color w:val="808080" w:themeColor="background1" w:themeShade="80"/>
          <w:sz w:val="22"/>
          <w:szCs w:val="22"/>
        </w:rPr>
        <w:t>a significantly less amount without any good reason, and hence can be subject to a claw-back.</w:t>
      </w:r>
    </w:p>
    <w:p w14:paraId="75523813" w14:textId="77777777" w:rsidR="00BF2EED" w:rsidRPr="00BF2EED" w:rsidRDefault="00BF2EED" w:rsidP="00BF2EED">
      <w:pPr>
        <w:pStyle w:val="ListParagraph"/>
        <w:rPr>
          <w:rFonts w:ascii="Avenir Next" w:hAnsi="Avenir Next" w:cs="Arial"/>
          <w:color w:val="808080" w:themeColor="background1" w:themeShade="80"/>
          <w:sz w:val="22"/>
          <w:szCs w:val="22"/>
        </w:rPr>
      </w:pPr>
    </w:p>
    <w:p w14:paraId="2D496FC9" w14:textId="37A6E243" w:rsidR="00BF2EED" w:rsidRDefault="00BF2EED" w:rsidP="00FF43F2">
      <w:pPr>
        <w:pStyle w:val="ListParagraph"/>
        <w:numPr>
          <w:ilvl w:val="0"/>
          <w:numId w:val="28"/>
        </w:numPr>
        <w:jc w:val="both"/>
        <w:rPr>
          <w:rFonts w:ascii="Avenir Next" w:hAnsi="Avenir Next" w:cs="Arial"/>
          <w:color w:val="808080" w:themeColor="background1" w:themeShade="80"/>
          <w:sz w:val="22"/>
          <w:szCs w:val="22"/>
        </w:rPr>
      </w:pPr>
      <w:r w:rsidRPr="00731D81">
        <w:rPr>
          <w:rFonts w:ascii="Avenir Next" w:hAnsi="Avenir Next" w:cs="Arial"/>
          <w:b/>
          <w:bCs/>
          <w:color w:val="808080" w:themeColor="background1" w:themeShade="80"/>
          <w:sz w:val="22"/>
          <w:szCs w:val="22"/>
        </w:rPr>
        <w:t>Section 214- Wrongful Trading</w:t>
      </w:r>
      <w:r>
        <w:rPr>
          <w:rFonts w:ascii="Avenir Next" w:hAnsi="Avenir Next" w:cs="Arial"/>
          <w:color w:val="808080" w:themeColor="background1" w:themeShade="80"/>
          <w:sz w:val="22"/>
          <w:szCs w:val="22"/>
        </w:rPr>
        <w:t xml:space="preserve">: </w:t>
      </w:r>
      <w:r w:rsidR="00155FE8">
        <w:rPr>
          <w:rFonts w:ascii="Avenir Next" w:hAnsi="Avenir Next" w:cs="Arial"/>
          <w:color w:val="808080" w:themeColor="background1" w:themeShade="80"/>
          <w:sz w:val="22"/>
          <w:szCs w:val="22"/>
        </w:rPr>
        <w:t xml:space="preserve">This application can be filed by the liquidator </w:t>
      </w:r>
      <w:r w:rsidR="00B763D7">
        <w:rPr>
          <w:rFonts w:ascii="Avenir Next" w:hAnsi="Avenir Next" w:cs="Arial"/>
          <w:color w:val="808080" w:themeColor="background1" w:themeShade="80"/>
          <w:sz w:val="22"/>
          <w:szCs w:val="22"/>
        </w:rPr>
        <w:t>against</w:t>
      </w:r>
      <w:r w:rsidR="00155FE8">
        <w:rPr>
          <w:rFonts w:ascii="Avenir Next" w:hAnsi="Avenir Next" w:cs="Arial"/>
          <w:color w:val="808080" w:themeColor="background1" w:themeShade="80"/>
          <w:sz w:val="22"/>
          <w:szCs w:val="22"/>
        </w:rPr>
        <w:t xml:space="preserve"> a director and he court</w:t>
      </w:r>
      <w:r w:rsidR="008C0D86" w:rsidRPr="00B763D7">
        <w:rPr>
          <w:rFonts w:ascii="Avenir Next" w:hAnsi="Avenir Next" w:cs="Arial"/>
          <w:color w:val="808080" w:themeColor="background1" w:themeShade="80"/>
          <w:sz w:val="22"/>
          <w:szCs w:val="22"/>
        </w:rPr>
        <w:t xml:space="preserve">, may declare </w:t>
      </w:r>
      <w:r w:rsidR="00136276" w:rsidRPr="00B763D7">
        <w:rPr>
          <w:rFonts w:ascii="Avenir Next" w:hAnsi="Avenir Next" w:cs="Arial"/>
          <w:color w:val="808080" w:themeColor="background1" w:themeShade="80"/>
          <w:sz w:val="22"/>
          <w:szCs w:val="22"/>
        </w:rPr>
        <w:t>the</w:t>
      </w:r>
      <w:r w:rsidR="008C0D86" w:rsidRPr="00B763D7">
        <w:rPr>
          <w:rFonts w:ascii="Avenir Next" w:hAnsi="Avenir Next" w:cs="Arial"/>
          <w:color w:val="808080" w:themeColor="background1" w:themeShade="80"/>
          <w:sz w:val="22"/>
          <w:szCs w:val="22"/>
        </w:rPr>
        <w:t xml:space="preserve"> director </w:t>
      </w:r>
      <w:r w:rsidR="008C0D86" w:rsidRPr="00B763D7">
        <w:rPr>
          <w:rFonts w:ascii="Avenir Next" w:hAnsi="Avenir Next" w:cs="Arial"/>
          <w:color w:val="808080" w:themeColor="background1" w:themeShade="80"/>
          <w:sz w:val="22"/>
          <w:szCs w:val="22"/>
        </w:rPr>
        <w:t xml:space="preserve">to be liable to make such contribution (if any) </w:t>
      </w:r>
      <w:r w:rsidR="008C0D86" w:rsidRPr="00B763D7">
        <w:rPr>
          <w:rFonts w:ascii="Avenir Next" w:hAnsi="Avenir Next" w:cs="Arial"/>
          <w:color w:val="808080" w:themeColor="background1" w:themeShade="80"/>
          <w:sz w:val="22"/>
          <w:szCs w:val="22"/>
        </w:rPr>
        <w:lastRenderedPageBreak/>
        <w:t>to the company’s assets as the court thinks prope</w:t>
      </w:r>
      <w:r w:rsidR="00136276" w:rsidRPr="00B763D7">
        <w:rPr>
          <w:rFonts w:ascii="Avenir Next" w:hAnsi="Avenir Next" w:cs="Arial"/>
          <w:color w:val="808080" w:themeColor="background1" w:themeShade="80"/>
          <w:sz w:val="22"/>
          <w:szCs w:val="22"/>
        </w:rPr>
        <w:t>r</w:t>
      </w:r>
      <w:r w:rsidR="00731D81">
        <w:rPr>
          <w:rStyle w:val="FootnoteReference"/>
          <w:rFonts w:ascii="Avenir Next" w:hAnsi="Avenir Next" w:cs="Arial"/>
          <w:color w:val="808080" w:themeColor="background1" w:themeShade="80"/>
          <w:sz w:val="22"/>
          <w:szCs w:val="22"/>
        </w:rPr>
        <w:footnoteReference w:id="55"/>
      </w:r>
      <w:r w:rsidR="00136276" w:rsidRPr="00B763D7">
        <w:rPr>
          <w:rFonts w:ascii="Avenir Next" w:hAnsi="Avenir Next" w:cs="Arial"/>
          <w:color w:val="808080" w:themeColor="background1" w:themeShade="80"/>
          <w:sz w:val="22"/>
          <w:szCs w:val="22"/>
        </w:rPr>
        <w:t>. The instant case, meets all the 3 requirements which are laid down by this section, being that the company should be in liquidation</w:t>
      </w:r>
      <w:r w:rsidR="00731D81">
        <w:rPr>
          <w:rStyle w:val="FootnoteReference"/>
          <w:rFonts w:ascii="Avenir Next" w:hAnsi="Avenir Next" w:cs="Arial"/>
          <w:color w:val="808080" w:themeColor="background1" w:themeShade="80"/>
          <w:sz w:val="22"/>
          <w:szCs w:val="22"/>
        </w:rPr>
        <w:footnoteReference w:id="56"/>
      </w:r>
      <w:r w:rsidR="00136276" w:rsidRPr="00B763D7">
        <w:rPr>
          <w:rFonts w:ascii="Avenir Next" w:hAnsi="Avenir Next" w:cs="Arial"/>
          <w:color w:val="808080" w:themeColor="background1" w:themeShade="80"/>
          <w:sz w:val="22"/>
          <w:szCs w:val="22"/>
        </w:rPr>
        <w:t xml:space="preserve">, at </w:t>
      </w:r>
      <w:r w:rsidR="00731D81" w:rsidRPr="00B763D7">
        <w:rPr>
          <w:rFonts w:ascii="Avenir Next" w:hAnsi="Avenir Next" w:cs="Arial"/>
          <w:color w:val="808080" w:themeColor="background1" w:themeShade="80"/>
          <w:sz w:val="22"/>
          <w:szCs w:val="22"/>
        </w:rPr>
        <w:t>some time</w:t>
      </w:r>
      <w:r w:rsidR="00136276" w:rsidRPr="00B763D7">
        <w:rPr>
          <w:rFonts w:ascii="Avenir Next" w:hAnsi="Avenir Next" w:cs="Arial"/>
          <w:color w:val="808080" w:themeColor="background1" w:themeShade="80"/>
          <w:sz w:val="22"/>
          <w:szCs w:val="22"/>
        </w:rPr>
        <w:t xml:space="preserve"> before the </w:t>
      </w:r>
      <w:r w:rsidR="00731D81" w:rsidRPr="00B763D7">
        <w:rPr>
          <w:rFonts w:ascii="Avenir Next" w:hAnsi="Avenir Next" w:cs="Arial"/>
          <w:color w:val="808080" w:themeColor="background1" w:themeShade="80"/>
          <w:sz w:val="22"/>
          <w:szCs w:val="22"/>
        </w:rPr>
        <w:t>commencement</w:t>
      </w:r>
      <w:r w:rsidR="00136276" w:rsidRPr="00B763D7">
        <w:rPr>
          <w:rFonts w:ascii="Avenir Next" w:hAnsi="Avenir Next" w:cs="Arial"/>
          <w:color w:val="808080" w:themeColor="background1" w:themeShade="80"/>
          <w:sz w:val="22"/>
          <w:szCs w:val="22"/>
        </w:rPr>
        <w:t xml:space="preserve"> of liquidation, </w:t>
      </w:r>
      <w:r w:rsidR="00880000" w:rsidRPr="00B763D7">
        <w:rPr>
          <w:rFonts w:ascii="Avenir Next" w:hAnsi="Avenir Next" w:cs="Arial"/>
          <w:color w:val="808080" w:themeColor="background1" w:themeShade="80"/>
          <w:sz w:val="22"/>
          <w:szCs w:val="22"/>
        </w:rPr>
        <w:t xml:space="preserve">the director ought to have known </w:t>
      </w:r>
      <w:r w:rsidR="00917DAB" w:rsidRPr="00B763D7">
        <w:rPr>
          <w:rFonts w:ascii="Avenir Next" w:hAnsi="Avenir Next" w:cs="Arial"/>
          <w:color w:val="808080" w:themeColor="background1" w:themeShade="80"/>
          <w:sz w:val="22"/>
          <w:szCs w:val="22"/>
        </w:rPr>
        <w:t>that there was no saving the company from liquidation</w:t>
      </w:r>
      <w:r w:rsidR="00731D81">
        <w:rPr>
          <w:rStyle w:val="FootnoteReference"/>
          <w:rFonts w:ascii="Avenir Next" w:hAnsi="Avenir Next" w:cs="Arial"/>
          <w:color w:val="808080" w:themeColor="background1" w:themeShade="80"/>
          <w:sz w:val="22"/>
          <w:szCs w:val="22"/>
        </w:rPr>
        <w:footnoteReference w:id="57"/>
      </w:r>
      <w:r w:rsidR="00917DAB" w:rsidRPr="00B763D7">
        <w:rPr>
          <w:rFonts w:ascii="Avenir Next" w:hAnsi="Avenir Next" w:cs="Arial"/>
          <w:color w:val="808080" w:themeColor="background1" w:themeShade="80"/>
          <w:sz w:val="22"/>
          <w:szCs w:val="22"/>
        </w:rPr>
        <w:t>, and the person should be a director</w:t>
      </w:r>
      <w:r w:rsidR="00731D81">
        <w:rPr>
          <w:rStyle w:val="FootnoteReference"/>
          <w:rFonts w:ascii="Avenir Next" w:hAnsi="Avenir Next" w:cs="Arial"/>
          <w:color w:val="808080" w:themeColor="background1" w:themeShade="80"/>
          <w:sz w:val="22"/>
          <w:szCs w:val="22"/>
        </w:rPr>
        <w:footnoteReference w:id="58"/>
      </w:r>
      <w:r w:rsidR="00917DAB" w:rsidRPr="00B763D7">
        <w:rPr>
          <w:rFonts w:ascii="Avenir Next" w:hAnsi="Avenir Next" w:cs="Arial"/>
          <w:color w:val="808080" w:themeColor="background1" w:themeShade="80"/>
          <w:sz w:val="22"/>
          <w:szCs w:val="22"/>
        </w:rPr>
        <w:t xml:space="preserve">. </w:t>
      </w:r>
      <w:r w:rsidR="009F3727" w:rsidRPr="00B763D7">
        <w:rPr>
          <w:rFonts w:ascii="Avenir Next" w:hAnsi="Avenir Next" w:cs="Arial"/>
          <w:color w:val="808080" w:themeColor="background1" w:themeShade="80"/>
          <w:sz w:val="22"/>
          <w:szCs w:val="22"/>
        </w:rPr>
        <w:t xml:space="preserve">The directors ought to have known about the impending </w:t>
      </w:r>
      <w:r w:rsidR="00731D81" w:rsidRPr="00B763D7">
        <w:rPr>
          <w:rFonts w:ascii="Avenir Next" w:hAnsi="Avenir Next" w:cs="Arial"/>
          <w:color w:val="808080" w:themeColor="background1" w:themeShade="80"/>
          <w:sz w:val="22"/>
          <w:szCs w:val="22"/>
        </w:rPr>
        <w:t>liquidation</w:t>
      </w:r>
      <w:r w:rsidR="009F3727" w:rsidRPr="00B763D7">
        <w:rPr>
          <w:rFonts w:ascii="Avenir Next" w:hAnsi="Avenir Next" w:cs="Arial"/>
          <w:color w:val="808080" w:themeColor="background1" w:themeShade="80"/>
          <w:sz w:val="22"/>
          <w:szCs w:val="22"/>
        </w:rPr>
        <w:t xml:space="preserve"> as it was facing cash crunch from February 2022, which was so grave that it was not able to pay its </w:t>
      </w:r>
      <w:r w:rsidR="007300EF" w:rsidRPr="00B763D7">
        <w:rPr>
          <w:rFonts w:ascii="Avenir Next" w:hAnsi="Avenir Next" w:cs="Arial"/>
          <w:color w:val="808080" w:themeColor="background1" w:themeShade="80"/>
          <w:sz w:val="22"/>
          <w:szCs w:val="22"/>
        </w:rPr>
        <w:t>outstanding loan</w:t>
      </w:r>
      <w:r w:rsidR="00B763D7" w:rsidRPr="00B763D7">
        <w:rPr>
          <w:rFonts w:ascii="Avenir Next" w:hAnsi="Avenir Next" w:cs="Arial"/>
          <w:color w:val="808080" w:themeColor="background1" w:themeShade="80"/>
          <w:sz w:val="22"/>
          <w:szCs w:val="22"/>
        </w:rPr>
        <w:t>s and hence there is more than enough evidence to persuade the court that the directors didn’t do everything to minimize the risk of liquidation</w:t>
      </w:r>
      <w:r w:rsidR="00731D81">
        <w:rPr>
          <w:rStyle w:val="FootnoteReference"/>
          <w:rFonts w:ascii="Avenir Next" w:hAnsi="Avenir Next" w:cs="Arial"/>
          <w:color w:val="808080" w:themeColor="background1" w:themeShade="80"/>
          <w:sz w:val="22"/>
          <w:szCs w:val="22"/>
        </w:rPr>
        <w:footnoteReference w:id="59"/>
      </w:r>
      <w:r w:rsidR="00B763D7" w:rsidRPr="00B763D7">
        <w:rPr>
          <w:rFonts w:ascii="Avenir Next" w:hAnsi="Avenir Next" w:cs="Arial"/>
          <w:color w:val="808080" w:themeColor="background1" w:themeShade="80"/>
          <w:sz w:val="22"/>
          <w:szCs w:val="22"/>
        </w:rPr>
        <w:t xml:space="preserve">. </w:t>
      </w:r>
    </w:p>
    <w:p w14:paraId="68ABE42A" w14:textId="77777777" w:rsidR="00A14E6A" w:rsidRPr="00D56330" w:rsidRDefault="00A14E6A" w:rsidP="00D56330">
      <w:pPr>
        <w:jc w:val="both"/>
        <w:rPr>
          <w:rFonts w:ascii="Avenir Next" w:hAnsi="Avenir Next" w:cs="Arial"/>
          <w:color w:val="808080" w:themeColor="background1" w:themeShade="80"/>
          <w:sz w:val="22"/>
          <w:szCs w:val="22"/>
        </w:rPr>
      </w:pPr>
    </w:p>
    <w:p w14:paraId="39B2E633" w14:textId="77777777" w:rsidR="005C2F94" w:rsidRDefault="005C2F94" w:rsidP="007E2919">
      <w:pPr>
        <w:rPr>
          <w:rFonts w:ascii="Avenir Next Demi Bold" w:hAnsi="Avenir Next Demi Bold" w:cs="Arial"/>
          <w:b/>
          <w:bCs/>
          <w:sz w:val="22"/>
          <w:szCs w:val="22"/>
        </w:rPr>
      </w:pPr>
    </w:p>
    <w:p w14:paraId="642039AC" w14:textId="32F69B5C"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0C6A8B6" w14:textId="2B9CB147" w:rsidR="00126A4D" w:rsidRPr="003D2445" w:rsidRDefault="00560E28" w:rsidP="00087F21">
      <w:pPr>
        <w:autoSpaceDE w:val="0"/>
        <w:autoSpaceDN w:val="0"/>
        <w:adjustRightInd w:val="0"/>
        <w:jc w:val="both"/>
        <w:rPr>
          <w:rFonts w:ascii="Avenir Next" w:hAnsi="Avenir Next" w:cs="Arial"/>
          <w:color w:val="808080" w:themeColor="background1" w:themeShade="80"/>
          <w:sz w:val="22"/>
          <w:szCs w:val="22"/>
        </w:rPr>
      </w:pPr>
      <w:r w:rsidRPr="003D2445">
        <w:rPr>
          <w:rFonts w:ascii="Avenir Next" w:hAnsi="Avenir Next" w:cs="Arial"/>
          <w:color w:val="808080" w:themeColor="background1" w:themeShade="80"/>
          <w:sz w:val="22"/>
          <w:szCs w:val="22"/>
        </w:rPr>
        <w:t xml:space="preserve">The fact that the supply of marble was seen as </w:t>
      </w:r>
      <w:r w:rsidR="003E7A80" w:rsidRPr="003D2445">
        <w:rPr>
          <w:rFonts w:ascii="Avenir Next" w:hAnsi="Avenir Next" w:cs="Arial"/>
          <w:color w:val="808080" w:themeColor="background1" w:themeShade="80"/>
          <w:sz w:val="22"/>
          <w:szCs w:val="22"/>
        </w:rPr>
        <w:t>critical</w:t>
      </w:r>
      <w:r w:rsidRPr="003D2445">
        <w:rPr>
          <w:rFonts w:ascii="Avenir Next" w:hAnsi="Avenir Next" w:cs="Arial"/>
          <w:color w:val="808080" w:themeColor="background1" w:themeShade="80"/>
          <w:sz w:val="22"/>
          <w:szCs w:val="22"/>
        </w:rPr>
        <w:t xml:space="preserve"> in continuation of business </w:t>
      </w:r>
      <w:r w:rsidR="003E7A80" w:rsidRPr="003D2445">
        <w:rPr>
          <w:rFonts w:ascii="Avenir Next" w:hAnsi="Avenir Next" w:cs="Arial"/>
          <w:color w:val="808080" w:themeColor="background1" w:themeShade="80"/>
          <w:sz w:val="22"/>
          <w:szCs w:val="22"/>
        </w:rPr>
        <w:t xml:space="preserve">of the Company and the management resolved to cover the existing trade payables and also </w:t>
      </w:r>
      <w:r w:rsidR="00F503E7" w:rsidRPr="003D2445">
        <w:rPr>
          <w:rFonts w:ascii="Avenir Next" w:hAnsi="Avenir Next" w:cs="Arial"/>
          <w:color w:val="808080" w:themeColor="background1" w:themeShade="80"/>
          <w:sz w:val="22"/>
          <w:szCs w:val="22"/>
        </w:rPr>
        <w:t>authorise cash on delivery payments to suppliers as they were</w:t>
      </w:r>
      <w:r w:rsidR="00A67CF6" w:rsidRPr="003D2445">
        <w:rPr>
          <w:rFonts w:ascii="Avenir Next" w:hAnsi="Avenir Next" w:cs="Arial"/>
          <w:color w:val="808080" w:themeColor="background1" w:themeShade="80"/>
          <w:sz w:val="22"/>
          <w:szCs w:val="22"/>
        </w:rPr>
        <w:t xml:space="preserve"> not willing to supply otherwise, can firstly be used as defence to an application under Section 214, where the directors can demonstrate that they did everything to minimise the risk of liquidation. </w:t>
      </w:r>
      <w:r w:rsidR="00C515F1" w:rsidRPr="003D2445">
        <w:rPr>
          <w:rFonts w:ascii="Avenir Next" w:hAnsi="Avenir Next" w:cs="Arial"/>
          <w:color w:val="808080" w:themeColor="background1" w:themeShade="80"/>
          <w:sz w:val="22"/>
          <w:szCs w:val="22"/>
        </w:rPr>
        <w:t>Secondly, the supply of marble which is spe</w:t>
      </w:r>
      <w:r w:rsidR="003D2445" w:rsidRPr="003D2445">
        <w:rPr>
          <w:rFonts w:ascii="Avenir Next" w:hAnsi="Avenir Next" w:cs="Arial"/>
          <w:color w:val="808080" w:themeColor="background1" w:themeShade="80"/>
          <w:sz w:val="22"/>
          <w:szCs w:val="22"/>
        </w:rPr>
        <w:t xml:space="preserve">cific to the Company is not an ‘essential’ as per Section 233. </w:t>
      </w:r>
      <w:r w:rsidR="00D56330">
        <w:rPr>
          <w:rFonts w:ascii="Avenir Next" w:hAnsi="Avenir Next" w:cs="Arial"/>
          <w:color w:val="808080" w:themeColor="background1" w:themeShade="80"/>
          <w:sz w:val="22"/>
          <w:szCs w:val="22"/>
        </w:rPr>
        <w:t>Further, it can be concluded that the supply was not essential as the company has now entered liquidation.</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687B" w14:textId="77777777" w:rsidR="00834697" w:rsidRDefault="00834697" w:rsidP="00241B44">
      <w:r>
        <w:separator/>
      </w:r>
    </w:p>
  </w:endnote>
  <w:endnote w:type="continuationSeparator" w:id="0">
    <w:p w14:paraId="7003C1F0" w14:textId="77777777" w:rsidR="00834697" w:rsidRDefault="0083469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D96288A" w:rsidR="00241FA3" w:rsidRPr="00A84235" w:rsidRDefault="009D68AC" w:rsidP="009B4976">
    <w:pPr>
      <w:pStyle w:val="Footer"/>
      <w:ind w:right="360"/>
      <w:rPr>
        <w:rFonts w:ascii="Avenir Next" w:hAnsi="Avenir Next" w:cs="Arial"/>
        <w:sz w:val="22"/>
        <w:szCs w:val="22"/>
        <w:lang w:val="en-GB"/>
      </w:rPr>
    </w:pPr>
    <w:r>
      <w:rPr>
        <w:rFonts w:ascii="Avenir Next" w:hAnsi="Avenir Next" w:cs="Arial"/>
        <w:sz w:val="22"/>
        <w:szCs w:val="22"/>
        <w:lang w:val="en-GB"/>
      </w:rPr>
      <w:t>202223-909</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3010" w14:textId="77777777" w:rsidR="00834697" w:rsidRDefault="00834697" w:rsidP="00241B44">
      <w:r>
        <w:separator/>
      </w:r>
    </w:p>
  </w:footnote>
  <w:footnote w:type="continuationSeparator" w:id="0">
    <w:p w14:paraId="6B36516A" w14:textId="77777777" w:rsidR="00834697" w:rsidRDefault="00834697" w:rsidP="00241B44">
      <w:r>
        <w:continuationSeparator/>
      </w:r>
    </w:p>
  </w:footnote>
  <w:footnote w:id="1">
    <w:p w14:paraId="4E0779A7" w14:textId="7660E7A4" w:rsidR="004B0226" w:rsidRPr="004B0226" w:rsidRDefault="004B0226">
      <w:pPr>
        <w:pStyle w:val="FootnoteText"/>
        <w:rPr>
          <w:lang w:val="en-IN"/>
        </w:rPr>
      </w:pPr>
      <w:r>
        <w:rPr>
          <w:rStyle w:val="FootnoteReference"/>
        </w:rPr>
        <w:footnoteRef/>
      </w:r>
      <w:r>
        <w:t xml:space="preserve"> </w:t>
      </w:r>
      <w:r w:rsidRPr="004B0226">
        <w:rPr>
          <w:lang w:val="en-IN"/>
        </w:rPr>
        <w:t>Company Directors Disqualification Act 1986</w:t>
      </w:r>
      <w:r w:rsidR="00F57A57">
        <w:rPr>
          <w:lang w:val="en-IN"/>
        </w:rPr>
        <w:t xml:space="preserve">, </w:t>
      </w:r>
      <w:r>
        <w:rPr>
          <w:lang w:val="en-IN"/>
        </w:rPr>
        <w:t xml:space="preserve">Section 16(4)(c): the </w:t>
      </w:r>
      <w:r w:rsidR="00F57A57">
        <w:rPr>
          <w:lang w:val="en-IN"/>
        </w:rPr>
        <w:t>Competition</w:t>
      </w:r>
      <w:r>
        <w:rPr>
          <w:lang w:val="en-IN"/>
        </w:rPr>
        <w:t xml:space="preserve"> or Markets Authority</w:t>
      </w:r>
    </w:p>
  </w:footnote>
  <w:footnote w:id="2">
    <w:p w14:paraId="3A2482F9" w14:textId="138A6C96" w:rsidR="004B0226" w:rsidRPr="004B0226" w:rsidRDefault="004B0226">
      <w:pPr>
        <w:pStyle w:val="FootnoteText"/>
        <w:rPr>
          <w:lang w:val="en-IN"/>
        </w:rPr>
      </w:pPr>
      <w:r w:rsidRPr="004B0226">
        <w:rPr>
          <w:lang w:val="en-IN"/>
        </w:rPr>
        <w:footnoteRef/>
      </w:r>
      <w:r w:rsidRPr="004B0226">
        <w:rPr>
          <w:lang w:val="en-IN"/>
        </w:rPr>
        <w:t xml:space="preserve"> </w:t>
      </w:r>
      <w:r w:rsidR="00F57A57" w:rsidRPr="00F57A57">
        <w:rPr>
          <w:i/>
          <w:iCs/>
          <w:lang w:val="en-IN"/>
        </w:rPr>
        <w:t>Ibid</w:t>
      </w:r>
      <w:r w:rsidR="00F57A57" w:rsidRPr="004B0226">
        <w:rPr>
          <w:lang w:val="en-IN"/>
        </w:rPr>
        <w:t>,</w:t>
      </w:r>
      <w:r>
        <w:rPr>
          <w:lang w:val="en-IN"/>
        </w:rPr>
        <w:t xml:space="preserve"> Section 9(e)</w:t>
      </w:r>
    </w:p>
  </w:footnote>
  <w:footnote w:id="3">
    <w:p w14:paraId="72821739" w14:textId="17D10A69" w:rsidR="000B3910" w:rsidRPr="000B3910" w:rsidRDefault="000B3910">
      <w:pPr>
        <w:pStyle w:val="FootnoteText"/>
        <w:rPr>
          <w:lang w:val="en-IN"/>
        </w:rPr>
      </w:pPr>
      <w:r>
        <w:rPr>
          <w:rStyle w:val="FootnoteReference"/>
        </w:rPr>
        <w:footnoteRef/>
      </w:r>
      <w:r>
        <w:t xml:space="preserve"> </w:t>
      </w:r>
      <w:r>
        <w:rPr>
          <w:lang w:val="en-IN"/>
        </w:rPr>
        <w:t>Section A18</w:t>
      </w:r>
      <w:r w:rsidR="008E580D">
        <w:rPr>
          <w:lang w:val="en-IN"/>
        </w:rPr>
        <w:t xml:space="preserve"> (Part 1A of the Insolvency Act, 1986)</w:t>
      </w:r>
      <w:r>
        <w:rPr>
          <w:lang w:val="en-IN"/>
        </w:rPr>
        <w:t xml:space="preserve">, sub-section </w:t>
      </w:r>
      <w:r w:rsidR="0004598B">
        <w:rPr>
          <w:lang w:val="en-IN"/>
        </w:rPr>
        <w:t>2</w:t>
      </w:r>
    </w:p>
  </w:footnote>
  <w:footnote w:id="4">
    <w:p w14:paraId="3972B893" w14:textId="6D0A8ED5" w:rsidR="008E580D" w:rsidRPr="008E580D" w:rsidRDefault="008E580D">
      <w:pPr>
        <w:pStyle w:val="FootnoteText"/>
        <w:rPr>
          <w:lang w:val="en-IN"/>
        </w:rPr>
      </w:pPr>
      <w:r>
        <w:rPr>
          <w:rStyle w:val="FootnoteReference"/>
        </w:rPr>
        <w:footnoteRef/>
      </w:r>
      <w:r>
        <w:t xml:space="preserve"> </w:t>
      </w:r>
      <w:r w:rsidRPr="008E580D">
        <w:rPr>
          <w:i/>
          <w:iCs/>
          <w:lang w:val="en-IN"/>
        </w:rPr>
        <w:t>Ibid</w:t>
      </w:r>
      <w:r>
        <w:rPr>
          <w:i/>
          <w:iCs/>
          <w:lang w:val="en-IN"/>
        </w:rPr>
        <w:t xml:space="preserve">, </w:t>
      </w:r>
      <w:r w:rsidRPr="008E580D">
        <w:rPr>
          <w:lang w:val="en-IN"/>
        </w:rPr>
        <w:t>sub-section 3</w:t>
      </w:r>
    </w:p>
  </w:footnote>
  <w:footnote w:id="5">
    <w:p w14:paraId="1B5D0647" w14:textId="0EAF48C1" w:rsidR="00130FE2" w:rsidRPr="00130FE2" w:rsidRDefault="00130FE2">
      <w:pPr>
        <w:pStyle w:val="FootnoteText"/>
        <w:rPr>
          <w:lang w:val="en-IN"/>
        </w:rPr>
      </w:pPr>
      <w:r>
        <w:rPr>
          <w:rStyle w:val="FootnoteReference"/>
        </w:rPr>
        <w:footnoteRef/>
      </w:r>
      <w:r>
        <w:t xml:space="preserve"> </w:t>
      </w:r>
      <w:r w:rsidR="00862946" w:rsidRPr="00B94298">
        <w:rPr>
          <w:i/>
          <w:iCs/>
          <w:lang w:val="en-IN"/>
        </w:rPr>
        <w:t>Ibid</w:t>
      </w:r>
      <w:r w:rsidR="00862946">
        <w:rPr>
          <w:lang w:val="en-IN"/>
        </w:rPr>
        <w:t>, sub-section 3(a)</w:t>
      </w:r>
    </w:p>
  </w:footnote>
  <w:footnote w:id="6">
    <w:p w14:paraId="51BD19D5" w14:textId="0999E398" w:rsidR="00862946" w:rsidRPr="00862946" w:rsidRDefault="00862946">
      <w:pPr>
        <w:pStyle w:val="FootnoteText"/>
        <w:rPr>
          <w:lang w:val="en-IN"/>
        </w:rPr>
      </w:pPr>
      <w:r>
        <w:rPr>
          <w:rStyle w:val="FootnoteReference"/>
        </w:rPr>
        <w:footnoteRef/>
      </w:r>
      <w:r>
        <w:t xml:space="preserve"> </w:t>
      </w:r>
      <w:r>
        <w:rPr>
          <w:lang w:val="en-IN"/>
        </w:rPr>
        <w:t>Section A18 (Part 1A of the Insolvency Act, 1986), sub-section 7</w:t>
      </w:r>
    </w:p>
  </w:footnote>
  <w:footnote w:id="7">
    <w:p w14:paraId="73B057AC" w14:textId="609E14E7" w:rsidR="00722DB6" w:rsidRPr="00722DB6" w:rsidRDefault="00722DB6">
      <w:pPr>
        <w:pStyle w:val="FootnoteText"/>
        <w:rPr>
          <w:lang w:val="en-IN"/>
        </w:rPr>
      </w:pPr>
      <w:r>
        <w:rPr>
          <w:rStyle w:val="FootnoteReference"/>
        </w:rPr>
        <w:footnoteRef/>
      </w:r>
      <w:r>
        <w:t xml:space="preserve"> </w:t>
      </w:r>
      <w:r w:rsidR="00B94298" w:rsidRPr="00B94298">
        <w:rPr>
          <w:i/>
          <w:iCs/>
        </w:rPr>
        <w:t>Idem</w:t>
      </w:r>
      <w:r w:rsidR="00B94298">
        <w:t>, point no. 5, sub-section 3(b)</w:t>
      </w:r>
    </w:p>
  </w:footnote>
  <w:footnote w:id="8">
    <w:p w14:paraId="2618F629" w14:textId="71A1B2D7" w:rsidR="000971A4" w:rsidRPr="000971A4" w:rsidRDefault="000971A4">
      <w:pPr>
        <w:pStyle w:val="FootnoteText"/>
        <w:rPr>
          <w:lang w:val="en-IN"/>
        </w:rPr>
      </w:pPr>
      <w:r>
        <w:rPr>
          <w:rStyle w:val="FootnoteReference"/>
        </w:rPr>
        <w:footnoteRef/>
      </w:r>
      <w:r w:rsidRPr="007B60F2">
        <w:rPr>
          <w:i/>
          <w:iCs/>
        </w:rPr>
        <w:t xml:space="preserve"> </w:t>
      </w:r>
      <w:r w:rsidRPr="007B60F2">
        <w:rPr>
          <w:i/>
          <w:iCs/>
          <w:lang w:val="en-IN"/>
        </w:rPr>
        <w:t>Ibid</w:t>
      </w:r>
      <w:r>
        <w:rPr>
          <w:lang w:val="en-IN"/>
        </w:rPr>
        <w:t>, sub-section 3(c)</w:t>
      </w:r>
    </w:p>
  </w:footnote>
  <w:footnote w:id="9">
    <w:p w14:paraId="42CD9790" w14:textId="0207315E" w:rsidR="007B60F2" w:rsidRPr="007B60F2" w:rsidRDefault="007B60F2">
      <w:pPr>
        <w:pStyle w:val="FootnoteText"/>
        <w:rPr>
          <w:lang w:val="en-IN"/>
        </w:rPr>
      </w:pPr>
      <w:r>
        <w:rPr>
          <w:rStyle w:val="FootnoteReference"/>
        </w:rPr>
        <w:footnoteRef/>
      </w:r>
      <w:r>
        <w:t xml:space="preserve"> </w:t>
      </w:r>
      <w:r w:rsidRPr="007B60F2">
        <w:rPr>
          <w:i/>
          <w:iCs/>
          <w:lang w:val="en-IN"/>
        </w:rPr>
        <w:t>Ibid</w:t>
      </w:r>
      <w:r>
        <w:rPr>
          <w:lang w:val="en-IN"/>
        </w:rPr>
        <w:t>, sub-section 3(d)</w:t>
      </w:r>
    </w:p>
  </w:footnote>
  <w:footnote w:id="10">
    <w:p w14:paraId="2D2763F0" w14:textId="659071BA" w:rsidR="00DF389C" w:rsidRPr="00DF389C" w:rsidRDefault="00DF389C">
      <w:pPr>
        <w:pStyle w:val="FootnoteText"/>
        <w:rPr>
          <w:lang w:val="en-IN"/>
        </w:rPr>
      </w:pPr>
      <w:r>
        <w:rPr>
          <w:rStyle w:val="FootnoteReference"/>
        </w:rPr>
        <w:footnoteRef/>
      </w:r>
      <w:r>
        <w:t xml:space="preserve"> </w:t>
      </w:r>
      <w:r w:rsidRPr="00DF389C">
        <w:rPr>
          <w:i/>
          <w:iCs/>
          <w:lang w:val="en-IN"/>
        </w:rPr>
        <w:t>Idem</w:t>
      </w:r>
      <w:r>
        <w:rPr>
          <w:lang w:val="en-IN"/>
        </w:rPr>
        <w:t xml:space="preserve">, point no. </w:t>
      </w:r>
      <w:r w:rsidR="00455876">
        <w:rPr>
          <w:lang w:val="en-IN"/>
        </w:rPr>
        <w:t>6</w:t>
      </w:r>
    </w:p>
  </w:footnote>
  <w:footnote w:id="11">
    <w:p w14:paraId="57C7780E" w14:textId="32DCEFFE" w:rsidR="003F7F0F" w:rsidRPr="003F7F0F" w:rsidRDefault="003F7F0F">
      <w:pPr>
        <w:pStyle w:val="FootnoteText"/>
        <w:rPr>
          <w:lang w:val="en-IN"/>
        </w:rPr>
      </w:pPr>
      <w:r>
        <w:rPr>
          <w:rStyle w:val="FootnoteReference"/>
        </w:rPr>
        <w:footnoteRef/>
      </w:r>
      <w:r>
        <w:t xml:space="preserve"> </w:t>
      </w:r>
      <w:r w:rsidRPr="00EE3D42">
        <w:rPr>
          <w:i/>
          <w:iCs/>
          <w:lang w:val="en-IN"/>
        </w:rPr>
        <w:t>Idem</w:t>
      </w:r>
      <w:r>
        <w:rPr>
          <w:lang w:val="en-IN"/>
        </w:rPr>
        <w:t xml:space="preserve">, </w:t>
      </w:r>
      <w:r w:rsidR="00455876">
        <w:rPr>
          <w:lang w:val="en-IN"/>
        </w:rPr>
        <w:t>point no. 9, sub-section 3(e)</w:t>
      </w:r>
    </w:p>
  </w:footnote>
  <w:footnote w:id="12">
    <w:p w14:paraId="234A1771" w14:textId="00FCE330" w:rsidR="00476AAC" w:rsidRPr="00476AAC" w:rsidRDefault="00476AAC">
      <w:pPr>
        <w:pStyle w:val="FootnoteText"/>
        <w:rPr>
          <w:lang w:val="en-IN"/>
        </w:rPr>
      </w:pPr>
      <w:r>
        <w:rPr>
          <w:rStyle w:val="FootnoteReference"/>
        </w:rPr>
        <w:footnoteRef/>
      </w:r>
      <w:r>
        <w:t xml:space="preserve"> </w:t>
      </w:r>
      <w:r w:rsidR="00455876" w:rsidRPr="00EE3D42">
        <w:rPr>
          <w:i/>
          <w:iCs/>
          <w:lang w:val="en-IN"/>
        </w:rPr>
        <w:t>Idem</w:t>
      </w:r>
      <w:r w:rsidR="00455876">
        <w:rPr>
          <w:lang w:val="en-IN"/>
        </w:rPr>
        <w:t>, point no. 6</w:t>
      </w:r>
    </w:p>
  </w:footnote>
  <w:footnote w:id="13">
    <w:p w14:paraId="24381A45" w14:textId="3658B9F0" w:rsidR="006E3F44" w:rsidRDefault="006E3F44">
      <w:pPr>
        <w:pStyle w:val="FootnoteText"/>
      </w:pPr>
      <w:r>
        <w:rPr>
          <w:rStyle w:val="FootnoteReference"/>
        </w:rPr>
        <w:footnoteRef/>
      </w:r>
      <w:r>
        <w:t xml:space="preserve"> The Insolvency Act, Section 233(3)</w:t>
      </w:r>
    </w:p>
  </w:footnote>
  <w:footnote w:id="14">
    <w:p w14:paraId="3E3B9D69" w14:textId="3657838C" w:rsidR="00515308" w:rsidRDefault="00515308">
      <w:pPr>
        <w:pStyle w:val="FootnoteText"/>
      </w:pPr>
      <w:r>
        <w:rPr>
          <w:rStyle w:val="FootnoteReference"/>
        </w:rPr>
        <w:footnoteRef/>
      </w:r>
      <w:r>
        <w:t xml:space="preserve"> </w:t>
      </w:r>
      <w:r w:rsidRPr="00EE3D42">
        <w:rPr>
          <w:i/>
          <w:iCs/>
        </w:rPr>
        <w:t>Idem</w:t>
      </w:r>
      <w:r>
        <w:t>, point no. 13, Section 233(5)(d)</w:t>
      </w:r>
    </w:p>
  </w:footnote>
  <w:footnote w:id="15">
    <w:p w14:paraId="7DF7D379" w14:textId="58F9372B" w:rsidR="00515308" w:rsidRDefault="00515308">
      <w:pPr>
        <w:pStyle w:val="FootnoteText"/>
      </w:pPr>
      <w:r>
        <w:rPr>
          <w:rStyle w:val="FootnoteReference"/>
        </w:rPr>
        <w:footnoteRef/>
      </w:r>
      <w:r>
        <w:t xml:space="preserve"> </w:t>
      </w:r>
      <w:r w:rsidR="008250C9" w:rsidRPr="00EE3D42">
        <w:rPr>
          <w:i/>
          <w:iCs/>
        </w:rPr>
        <w:t>Idem</w:t>
      </w:r>
      <w:r w:rsidR="008250C9">
        <w:t>, point no. 13, Section 233(</w:t>
      </w:r>
      <w:proofErr w:type="gramStart"/>
      <w:r w:rsidR="008250C9">
        <w:t>5)(</w:t>
      </w:r>
      <w:proofErr w:type="gramEnd"/>
      <w:r w:rsidR="008250C9">
        <w:t>3A)</w:t>
      </w:r>
    </w:p>
  </w:footnote>
  <w:footnote w:id="16">
    <w:p w14:paraId="345B4292" w14:textId="3DF7B806" w:rsidR="008250C9" w:rsidRDefault="008250C9">
      <w:pPr>
        <w:pStyle w:val="FootnoteText"/>
      </w:pPr>
      <w:r>
        <w:rPr>
          <w:rStyle w:val="FootnoteReference"/>
        </w:rPr>
        <w:footnoteRef/>
      </w:r>
      <w:r>
        <w:t xml:space="preserve"> </w:t>
      </w:r>
      <w:r w:rsidR="00DB4909" w:rsidRPr="00EE3D42">
        <w:rPr>
          <w:i/>
          <w:iCs/>
        </w:rPr>
        <w:t>Idem</w:t>
      </w:r>
      <w:r w:rsidR="00DB4909">
        <w:t>, point no. 13, Section 233(2)(a)</w:t>
      </w:r>
    </w:p>
  </w:footnote>
  <w:footnote w:id="17">
    <w:p w14:paraId="4990C442" w14:textId="3C1A90C3" w:rsidR="00DB4909" w:rsidRDefault="00DB4909">
      <w:pPr>
        <w:pStyle w:val="FootnoteText"/>
      </w:pPr>
      <w:r>
        <w:rPr>
          <w:rStyle w:val="FootnoteReference"/>
        </w:rPr>
        <w:footnoteRef/>
      </w:r>
      <w:r>
        <w:t xml:space="preserve"> </w:t>
      </w:r>
      <w:r w:rsidRPr="00EE3D42">
        <w:rPr>
          <w:i/>
          <w:iCs/>
        </w:rPr>
        <w:t>Idem</w:t>
      </w:r>
      <w:r>
        <w:t>, point no. 13, Section 233(5)(b)</w:t>
      </w:r>
    </w:p>
  </w:footnote>
  <w:footnote w:id="18">
    <w:p w14:paraId="11952240" w14:textId="6BDBE24E" w:rsidR="00963A11" w:rsidRPr="00963A11" w:rsidRDefault="00963A11">
      <w:pPr>
        <w:pStyle w:val="FootnoteText"/>
        <w:rPr>
          <w:lang w:val="en-IN"/>
        </w:rPr>
      </w:pPr>
      <w:r>
        <w:rPr>
          <w:rStyle w:val="FootnoteReference"/>
        </w:rPr>
        <w:footnoteRef/>
      </w:r>
      <w:r>
        <w:t xml:space="preserve"> </w:t>
      </w:r>
      <w:r w:rsidR="00653A9B">
        <w:rPr>
          <w:lang w:val="en-IN"/>
        </w:rPr>
        <w:t>The Insolvency Act, 1986, Section 233</w:t>
      </w:r>
      <w:proofErr w:type="gramStart"/>
      <w:r w:rsidR="00653A9B">
        <w:rPr>
          <w:lang w:val="en-IN"/>
        </w:rPr>
        <w:t>A(</w:t>
      </w:r>
      <w:proofErr w:type="gramEnd"/>
      <w:r w:rsidR="00653A9B">
        <w:rPr>
          <w:lang w:val="en-IN"/>
        </w:rPr>
        <w:t>8)</w:t>
      </w:r>
    </w:p>
  </w:footnote>
  <w:footnote w:id="19">
    <w:p w14:paraId="6AD0413F" w14:textId="11D7E36A" w:rsidR="00653A9B" w:rsidRPr="00653A9B" w:rsidRDefault="00653A9B">
      <w:pPr>
        <w:pStyle w:val="FootnoteText"/>
        <w:rPr>
          <w:lang w:val="en-IN"/>
        </w:rPr>
      </w:pPr>
      <w:r>
        <w:rPr>
          <w:rStyle w:val="FootnoteReference"/>
        </w:rPr>
        <w:footnoteRef/>
      </w:r>
      <w:r>
        <w:t xml:space="preserve"> </w:t>
      </w:r>
      <w:r w:rsidRPr="00EE3D42">
        <w:rPr>
          <w:i/>
          <w:iCs/>
          <w:lang w:val="en-IN"/>
        </w:rPr>
        <w:t>Idem</w:t>
      </w:r>
      <w:r>
        <w:rPr>
          <w:lang w:val="en-IN"/>
        </w:rPr>
        <w:t>, point no. 13, Section 233</w:t>
      </w:r>
      <w:proofErr w:type="gramStart"/>
      <w:r>
        <w:rPr>
          <w:lang w:val="en-IN"/>
        </w:rPr>
        <w:t>A(</w:t>
      </w:r>
      <w:proofErr w:type="gramEnd"/>
      <w:r>
        <w:rPr>
          <w:lang w:val="en-IN"/>
        </w:rPr>
        <w:t>1)</w:t>
      </w:r>
    </w:p>
  </w:footnote>
  <w:footnote w:id="20">
    <w:p w14:paraId="1BF6A519" w14:textId="51EFAB59" w:rsidR="005C72EF" w:rsidRPr="005C72EF" w:rsidRDefault="005C72EF">
      <w:pPr>
        <w:pStyle w:val="FootnoteText"/>
        <w:rPr>
          <w:lang w:val="en-IN"/>
        </w:rPr>
      </w:pPr>
      <w:r>
        <w:rPr>
          <w:rStyle w:val="FootnoteReference"/>
        </w:rPr>
        <w:footnoteRef/>
      </w:r>
      <w:r>
        <w:t xml:space="preserve"> </w:t>
      </w:r>
      <w:r w:rsidR="00F30718" w:rsidRPr="00EE3D42">
        <w:rPr>
          <w:i/>
          <w:iCs/>
          <w:lang w:val="en-IN"/>
        </w:rPr>
        <w:t>Idem</w:t>
      </w:r>
      <w:r w:rsidR="00F30718">
        <w:rPr>
          <w:lang w:val="en-IN"/>
        </w:rPr>
        <w:t>, point no. 13, Section 233A(3)(a)</w:t>
      </w:r>
    </w:p>
  </w:footnote>
  <w:footnote w:id="21">
    <w:p w14:paraId="3228DC66" w14:textId="1F4EC0C8" w:rsidR="00F30718" w:rsidRPr="00F30718" w:rsidRDefault="00F30718">
      <w:pPr>
        <w:pStyle w:val="FootnoteText"/>
      </w:pPr>
      <w:r>
        <w:rPr>
          <w:rStyle w:val="FootnoteReference"/>
        </w:rPr>
        <w:footnoteRef/>
      </w:r>
      <w:r>
        <w:t xml:space="preserve"> </w:t>
      </w:r>
      <w:r w:rsidRPr="00EE3D42">
        <w:rPr>
          <w:i/>
          <w:iCs/>
          <w:lang w:val="en-IN"/>
        </w:rPr>
        <w:t>Idem</w:t>
      </w:r>
      <w:r>
        <w:rPr>
          <w:lang w:val="en-IN"/>
        </w:rPr>
        <w:t>, point no. 13, Section 233A(</w:t>
      </w:r>
      <w:r w:rsidR="00AC3F10">
        <w:t>4)(a)</w:t>
      </w:r>
    </w:p>
  </w:footnote>
  <w:footnote w:id="22">
    <w:p w14:paraId="3732E383" w14:textId="4F7CE27F" w:rsidR="00AC3F10" w:rsidRDefault="00AC3F10">
      <w:pPr>
        <w:pStyle w:val="FootnoteText"/>
      </w:pPr>
      <w:r>
        <w:rPr>
          <w:rStyle w:val="FootnoteReference"/>
        </w:rPr>
        <w:footnoteRef/>
      </w:r>
      <w:r>
        <w:t xml:space="preserve"> </w:t>
      </w:r>
      <w:r w:rsidRPr="00EE3D42">
        <w:rPr>
          <w:i/>
          <w:iCs/>
          <w:lang w:val="en-IN"/>
        </w:rPr>
        <w:t>Idem</w:t>
      </w:r>
      <w:r>
        <w:rPr>
          <w:lang w:val="en-IN"/>
        </w:rPr>
        <w:t>, point no. 13, Section 233A(</w:t>
      </w:r>
      <w:r>
        <w:t>4)(b)</w:t>
      </w:r>
    </w:p>
  </w:footnote>
  <w:footnote w:id="23">
    <w:p w14:paraId="1E7B40D9" w14:textId="4A358329" w:rsidR="00AC3F10" w:rsidRDefault="00AC3F10">
      <w:pPr>
        <w:pStyle w:val="FootnoteText"/>
      </w:pPr>
      <w:r>
        <w:rPr>
          <w:rStyle w:val="FootnoteReference"/>
        </w:rPr>
        <w:footnoteRef/>
      </w:r>
      <w:r>
        <w:t xml:space="preserve"> </w:t>
      </w:r>
      <w:r w:rsidRPr="00EE3D42">
        <w:rPr>
          <w:i/>
          <w:iCs/>
          <w:lang w:val="en-IN"/>
        </w:rPr>
        <w:t>Idem</w:t>
      </w:r>
      <w:r>
        <w:rPr>
          <w:lang w:val="en-IN"/>
        </w:rPr>
        <w:t>, point no. 13, Section 233A(</w:t>
      </w:r>
      <w:r>
        <w:t>4)(c)</w:t>
      </w:r>
    </w:p>
  </w:footnote>
  <w:footnote w:id="24">
    <w:p w14:paraId="17FC31B3" w14:textId="15372903" w:rsidR="00BB22DB" w:rsidRDefault="00BB22DB">
      <w:pPr>
        <w:pStyle w:val="FootnoteText"/>
      </w:pPr>
      <w:r>
        <w:rPr>
          <w:rStyle w:val="FootnoteReference"/>
        </w:rPr>
        <w:footnoteRef/>
      </w:r>
      <w:r>
        <w:t xml:space="preserve"> </w:t>
      </w:r>
      <w:r w:rsidRPr="00EE3D42">
        <w:rPr>
          <w:i/>
          <w:iCs/>
          <w:lang w:val="en-IN"/>
        </w:rPr>
        <w:t>Idem</w:t>
      </w:r>
      <w:r>
        <w:rPr>
          <w:lang w:val="en-IN"/>
        </w:rPr>
        <w:t>, point no. 13, Section 233A(3)(b)</w:t>
      </w:r>
    </w:p>
  </w:footnote>
  <w:footnote w:id="25">
    <w:p w14:paraId="5B132BFE" w14:textId="69C85F90" w:rsidR="00BB22DB" w:rsidRDefault="00BB22DB">
      <w:pPr>
        <w:pStyle w:val="FootnoteText"/>
      </w:pPr>
      <w:r>
        <w:rPr>
          <w:rStyle w:val="FootnoteReference"/>
        </w:rPr>
        <w:footnoteRef/>
      </w:r>
      <w:r>
        <w:t xml:space="preserve"> </w:t>
      </w:r>
      <w:r w:rsidRPr="00EE3D42">
        <w:rPr>
          <w:i/>
          <w:iCs/>
          <w:lang w:val="en-IN"/>
        </w:rPr>
        <w:t>Idem</w:t>
      </w:r>
      <w:r>
        <w:rPr>
          <w:lang w:val="en-IN"/>
        </w:rPr>
        <w:t>, point no. 13, Section 233A(5)(a)</w:t>
      </w:r>
    </w:p>
  </w:footnote>
  <w:footnote w:id="26">
    <w:p w14:paraId="736C13A9" w14:textId="2F8AC1DE" w:rsidR="00BB22DB" w:rsidRDefault="00BB22DB">
      <w:pPr>
        <w:pStyle w:val="FootnoteText"/>
      </w:pPr>
      <w:r>
        <w:rPr>
          <w:rStyle w:val="FootnoteReference"/>
        </w:rPr>
        <w:footnoteRef/>
      </w:r>
      <w:r>
        <w:t xml:space="preserve"> </w:t>
      </w:r>
      <w:r w:rsidRPr="00EE3D42">
        <w:rPr>
          <w:i/>
          <w:iCs/>
          <w:lang w:val="en-IN"/>
        </w:rPr>
        <w:t>Idem</w:t>
      </w:r>
      <w:r>
        <w:rPr>
          <w:lang w:val="en-IN"/>
        </w:rPr>
        <w:t>, point no. 13, Section 233A(5)(b)</w:t>
      </w:r>
    </w:p>
  </w:footnote>
  <w:footnote w:id="27">
    <w:p w14:paraId="1E0764EC" w14:textId="7DDFAE78" w:rsidR="0048702F" w:rsidRDefault="0048702F">
      <w:pPr>
        <w:pStyle w:val="FootnoteText"/>
      </w:pPr>
      <w:r>
        <w:rPr>
          <w:rStyle w:val="FootnoteReference"/>
        </w:rPr>
        <w:footnoteRef/>
      </w:r>
      <w:r>
        <w:t xml:space="preserve"> Section </w:t>
      </w:r>
      <w:r w:rsidR="00042967">
        <w:t>223</w:t>
      </w:r>
      <w:proofErr w:type="gramStart"/>
      <w:r w:rsidR="00042967">
        <w:t>B(</w:t>
      </w:r>
      <w:proofErr w:type="gramEnd"/>
      <w:r w:rsidR="00042967">
        <w:t>4), The Insolvency Act, 1986</w:t>
      </w:r>
    </w:p>
  </w:footnote>
  <w:footnote w:id="28">
    <w:p w14:paraId="5AD23943" w14:textId="434B55E6" w:rsidR="00042967" w:rsidRDefault="00042967">
      <w:pPr>
        <w:pStyle w:val="FootnoteText"/>
      </w:pPr>
      <w:r>
        <w:rPr>
          <w:rStyle w:val="FootnoteReference"/>
        </w:rPr>
        <w:footnoteRef/>
      </w:r>
      <w:r>
        <w:t xml:space="preserve"> </w:t>
      </w:r>
      <w:r w:rsidR="006A20A2" w:rsidRPr="00EE3D42">
        <w:rPr>
          <w:i/>
          <w:iCs/>
        </w:rPr>
        <w:t>Idem</w:t>
      </w:r>
      <w:r w:rsidR="006A20A2">
        <w:t>, point no. 22, Section 223B(5)(a)</w:t>
      </w:r>
    </w:p>
  </w:footnote>
  <w:footnote w:id="29">
    <w:p w14:paraId="5E4AB49B" w14:textId="04DF5D1D" w:rsidR="006A20A2" w:rsidRDefault="006A20A2">
      <w:pPr>
        <w:pStyle w:val="FootnoteText"/>
      </w:pPr>
      <w:r>
        <w:rPr>
          <w:rStyle w:val="FootnoteReference"/>
        </w:rPr>
        <w:footnoteRef/>
      </w:r>
      <w:r>
        <w:t xml:space="preserve"> </w:t>
      </w:r>
      <w:r w:rsidRPr="00EE3D42">
        <w:rPr>
          <w:i/>
          <w:iCs/>
        </w:rPr>
        <w:t>Idem</w:t>
      </w:r>
      <w:r>
        <w:t>, point no. 22, Section 223B(5)(b)</w:t>
      </w:r>
    </w:p>
  </w:footnote>
  <w:footnote w:id="30">
    <w:p w14:paraId="2138BC5B" w14:textId="40B1B307" w:rsidR="006A20A2" w:rsidRDefault="006A20A2">
      <w:pPr>
        <w:pStyle w:val="FootnoteText"/>
      </w:pPr>
      <w:r>
        <w:rPr>
          <w:rStyle w:val="FootnoteReference"/>
        </w:rPr>
        <w:footnoteRef/>
      </w:r>
      <w:r>
        <w:t xml:space="preserve"> </w:t>
      </w:r>
      <w:r w:rsidRPr="003C44C3">
        <w:rPr>
          <w:i/>
          <w:iCs/>
        </w:rPr>
        <w:t>Idem</w:t>
      </w:r>
      <w:r>
        <w:t>, point no. 22, Section 223B(5)(c)</w:t>
      </w:r>
    </w:p>
  </w:footnote>
  <w:footnote w:id="31">
    <w:p w14:paraId="4A995377" w14:textId="57CF6821" w:rsidR="00910DA6" w:rsidRDefault="00910DA6">
      <w:pPr>
        <w:pStyle w:val="FootnoteText"/>
      </w:pPr>
      <w:r>
        <w:rPr>
          <w:rStyle w:val="FootnoteReference"/>
        </w:rPr>
        <w:footnoteRef/>
      </w:r>
      <w:r>
        <w:t xml:space="preserve"> </w:t>
      </w:r>
      <w:r w:rsidR="00E9157F" w:rsidRPr="00E9157F">
        <w:t xml:space="preserve">An Overview </w:t>
      </w:r>
      <w:r w:rsidR="00E9157F">
        <w:t>of</w:t>
      </w:r>
      <w:r w:rsidR="00E9157F" w:rsidRPr="00E9157F">
        <w:t xml:space="preserve"> The Essential Supplier Regime: Key Issues For Insolvency Practitioners</w:t>
      </w:r>
      <w:r w:rsidR="00E9157F">
        <w:t>, &lt;&lt;</w:t>
      </w:r>
      <w:r w:rsidR="00845F11">
        <w:t xml:space="preserve"> </w:t>
      </w:r>
      <w:hyperlink r:id="rId1" w:history="1">
        <w:r w:rsidR="00845F11">
          <w:rPr>
            <w:rStyle w:val="Hyperlink"/>
          </w:rPr>
          <w:t>An overview of the essential supplier regime: Key issues for insolvency practitioners - Stevens &amp; Bolton LLP (stevens-bolton.com)</w:t>
        </w:r>
      </w:hyperlink>
      <w:r w:rsidR="00845F11">
        <w:t xml:space="preserve"> &gt;&gt;, accessed on February 24, 2023.</w:t>
      </w:r>
    </w:p>
  </w:footnote>
  <w:footnote w:id="32">
    <w:p w14:paraId="1C1754FD" w14:textId="21CCE6CD" w:rsidR="006B0A0A" w:rsidRPr="006B0A0A" w:rsidRDefault="006B0A0A">
      <w:pPr>
        <w:pStyle w:val="FootnoteText"/>
        <w:rPr>
          <w:lang w:val="en-IN"/>
        </w:rPr>
      </w:pPr>
      <w:r>
        <w:rPr>
          <w:rStyle w:val="FootnoteReference"/>
        </w:rPr>
        <w:footnoteRef/>
      </w:r>
      <w:r>
        <w:t xml:space="preserve"> </w:t>
      </w:r>
      <w:r w:rsidR="00C0763F">
        <w:rPr>
          <w:lang w:val="en-IN"/>
        </w:rPr>
        <w:t>The Insolvency Act 1986, Section 248(a)</w:t>
      </w:r>
    </w:p>
  </w:footnote>
  <w:footnote w:id="33">
    <w:p w14:paraId="5A6CF890" w14:textId="25B49D89" w:rsidR="00C0763F" w:rsidRPr="00C0763F" w:rsidRDefault="00C0763F">
      <w:pPr>
        <w:pStyle w:val="FootnoteText"/>
        <w:rPr>
          <w:lang w:val="en-IN"/>
        </w:rPr>
      </w:pPr>
      <w:r>
        <w:rPr>
          <w:rStyle w:val="FootnoteReference"/>
        </w:rPr>
        <w:footnoteRef/>
      </w:r>
      <w:r>
        <w:t xml:space="preserve"> </w:t>
      </w:r>
      <w:r w:rsidR="00AE61D2">
        <w:rPr>
          <w:lang w:val="en-IN"/>
        </w:rPr>
        <w:t>The Insolvency Act 1986, Section 248(b)</w:t>
      </w:r>
    </w:p>
  </w:footnote>
  <w:footnote w:id="34">
    <w:p w14:paraId="7A205623" w14:textId="3CD13C46" w:rsidR="00FC7C9B" w:rsidRPr="00FC7C9B" w:rsidRDefault="00FC7C9B">
      <w:pPr>
        <w:pStyle w:val="FootnoteText"/>
        <w:rPr>
          <w:lang w:val="en-IN"/>
        </w:rPr>
      </w:pPr>
      <w:r>
        <w:rPr>
          <w:rStyle w:val="FootnoteReference"/>
        </w:rPr>
        <w:footnoteRef/>
      </w:r>
      <w:r>
        <w:t xml:space="preserve"> </w:t>
      </w:r>
      <w:r w:rsidR="0007576A">
        <w:rPr>
          <w:lang w:val="en-IN"/>
        </w:rPr>
        <w:t xml:space="preserve">The Insolvency (England &amp; Wales) </w:t>
      </w:r>
      <w:r w:rsidR="003C44C3">
        <w:rPr>
          <w:lang w:val="en-IN"/>
        </w:rPr>
        <w:t>Rules,</w:t>
      </w:r>
      <w:r w:rsidR="001518D3">
        <w:rPr>
          <w:lang w:val="en-IN"/>
        </w:rPr>
        <w:t xml:space="preserve"> </w:t>
      </w:r>
      <w:proofErr w:type="gramStart"/>
      <w:r w:rsidR="0007576A">
        <w:rPr>
          <w:lang w:val="en-IN"/>
        </w:rPr>
        <w:t xml:space="preserve">2016 </w:t>
      </w:r>
      <w:r w:rsidR="00902F49">
        <w:rPr>
          <w:lang w:val="en-IN"/>
        </w:rPr>
        <w:t>,</w:t>
      </w:r>
      <w:proofErr w:type="gramEnd"/>
      <w:r w:rsidR="00902F49">
        <w:rPr>
          <w:lang w:val="en-IN"/>
        </w:rPr>
        <w:t xml:space="preserve"> </w:t>
      </w:r>
      <w:r w:rsidR="005F1993">
        <w:rPr>
          <w:lang w:val="en-IN"/>
        </w:rPr>
        <w:t xml:space="preserve">Chapter 6: </w:t>
      </w:r>
      <w:r w:rsidR="005F1993" w:rsidRPr="005F1993">
        <w:rPr>
          <w:lang w:val="en-IN"/>
        </w:rPr>
        <w:t>Priority of payment of costs and expenses, etc.</w:t>
      </w:r>
    </w:p>
  </w:footnote>
  <w:footnote w:id="35">
    <w:p w14:paraId="30B2A5FB" w14:textId="58AC10DD" w:rsidR="000F0F56" w:rsidRPr="000F0F56" w:rsidRDefault="000F0F56">
      <w:pPr>
        <w:pStyle w:val="FootnoteText"/>
        <w:rPr>
          <w:lang w:val="en-IN"/>
        </w:rPr>
      </w:pPr>
      <w:r>
        <w:rPr>
          <w:rStyle w:val="FootnoteReference"/>
        </w:rPr>
        <w:footnoteRef/>
      </w:r>
      <w:r>
        <w:t xml:space="preserve"> </w:t>
      </w:r>
      <w:r w:rsidR="00237094">
        <w:rPr>
          <w:lang w:val="en-IN"/>
        </w:rPr>
        <w:t>The Insolvency Act, 1986, Section 386</w:t>
      </w:r>
    </w:p>
  </w:footnote>
  <w:footnote w:id="36">
    <w:p w14:paraId="1C49BE9E" w14:textId="2E297750" w:rsidR="001530FF" w:rsidRPr="001530FF" w:rsidRDefault="001530FF">
      <w:pPr>
        <w:pStyle w:val="FootnoteText"/>
        <w:rPr>
          <w:lang w:val="en-IN"/>
        </w:rPr>
      </w:pPr>
      <w:r>
        <w:rPr>
          <w:rStyle w:val="FootnoteReference"/>
        </w:rPr>
        <w:footnoteRef/>
      </w:r>
      <w:r>
        <w:t xml:space="preserve"> </w:t>
      </w:r>
      <w:r>
        <w:rPr>
          <w:lang w:val="en-IN"/>
        </w:rPr>
        <w:t>The Insolvency Act, 1986, Schedule 6 “T</w:t>
      </w:r>
      <w:r w:rsidRPr="008B06A7">
        <w:rPr>
          <w:lang w:val="en-IN"/>
        </w:rPr>
        <w:t>he Categories of Preferential Debts</w:t>
      </w:r>
      <w:r>
        <w:rPr>
          <w:lang w:val="en-IN"/>
        </w:rPr>
        <w:t>”, 8-15A</w:t>
      </w:r>
    </w:p>
  </w:footnote>
  <w:footnote w:id="37">
    <w:p w14:paraId="3C2DDA6F" w14:textId="17707BE9" w:rsidR="00CC51CA" w:rsidRPr="00CC51CA" w:rsidRDefault="00CC51CA">
      <w:pPr>
        <w:pStyle w:val="FootnoteText"/>
        <w:rPr>
          <w:lang w:val="en-IN"/>
        </w:rPr>
      </w:pPr>
      <w:r>
        <w:rPr>
          <w:rStyle w:val="FootnoteReference"/>
        </w:rPr>
        <w:footnoteRef/>
      </w:r>
      <w:r>
        <w:t xml:space="preserve"> </w:t>
      </w:r>
      <w:r>
        <w:rPr>
          <w:lang w:val="en-IN"/>
        </w:rPr>
        <w:t>The Insolvency Act, 1986, Schedule 6 “T</w:t>
      </w:r>
      <w:r w:rsidRPr="008B06A7">
        <w:rPr>
          <w:lang w:val="en-IN"/>
        </w:rPr>
        <w:t>he Categories of Preferential Debts</w:t>
      </w:r>
      <w:r>
        <w:rPr>
          <w:lang w:val="en-IN"/>
        </w:rPr>
        <w:t>”, 15</w:t>
      </w:r>
      <w:r w:rsidR="004D05AB">
        <w:rPr>
          <w:lang w:val="en-IN"/>
        </w:rPr>
        <w:t>AA, 15B, 15BA, 15BB &amp; 15D</w:t>
      </w:r>
    </w:p>
  </w:footnote>
  <w:footnote w:id="38">
    <w:p w14:paraId="21502E78" w14:textId="08971EC3" w:rsidR="003C72C3" w:rsidRPr="003C72C3" w:rsidRDefault="003C72C3">
      <w:pPr>
        <w:pStyle w:val="FootnoteText"/>
        <w:rPr>
          <w:lang w:val="en-IN"/>
        </w:rPr>
      </w:pPr>
      <w:r>
        <w:rPr>
          <w:rStyle w:val="FootnoteReference"/>
        </w:rPr>
        <w:footnoteRef/>
      </w:r>
      <w:r>
        <w:t xml:space="preserve"> </w:t>
      </w:r>
      <w:r>
        <w:rPr>
          <w:lang w:val="en-IN"/>
        </w:rPr>
        <w:t>Section 176(1A)</w:t>
      </w:r>
    </w:p>
  </w:footnote>
  <w:footnote w:id="39">
    <w:p w14:paraId="73C0775F" w14:textId="23E8A2BC" w:rsidR="001822F6" w:rsidRPr="001822F6" w:rsidRDefault="001822F6">
      <w:pPr>
        <w:pStyle w:val="FootnoteText"/>
        <w:rPr>
          <w:lang w:val="en-IN"/>
        </w:rPr>
      </w:pPr>
      <w:r>
        <w:rPr>
          <w:rStyle w:val="FootnoteReference"/>
        </w:rPr>
        <w:footnoteRef/>
      </w:r>
      <w:r>
        <w:t xml:space="preserve"> </w:t>
      </w:r>
      <w:r>
        <w:rPr>
          <w:lang w:val="en-IN"/>
        </w:rPr>
        <w:t>Section 176(1B)</w:t>
      </w:r>
    </w:p>
  </w:footnote>
  <w:footnote w:id="40">
    <w:p w14:paraId="5B053F97" w14:textId="6ABC0F7F" w:rsidR="001822F6" w:rsidRPr="001822F6" w:rsidRDefault="001822F6">
      <w:pPr>
        <w:pStyle w:val="FootnoteText"/>
        <w:rPr>
          <w:lang w:val="en-IN"/>
        </w:rPr>
      </w:pPr>
      <w:r>
        <w:rPr>
          <w:rStyle w:val="FootnoteReference"/>
        </w:rPr>
        <w:footnoteRef/>
      </w:r>
      <w:r>
        <w:t xml:space="preserve"> </w:t>
      </w:r>
      <w:r>
        <w:rPr>
          <w:lang w:val="en-IN"/>
        </w:rPr>
        <w:t>Section 176(2)(b)</w:t>
      </w:r>
    </w:p>
  </w:footnote>
  <w:footnote w:id="41">
    <w:p w14:paraId="4E90424E" w14:textId="2AF6CC24" w:rsidR="00B36BF6" w:rsidRPr="00B36BF6" w:rsidRDefault="00B36BF6">
      <w:pPr>
        <w:pStyle w:val="FootnoteText"/>
        <w:rPr>
          <w:lang w:val="en-IN"/>
        </w:rPr>
      </w:pPr>
      <w:r>
        <w:rPr>
          <w:rStyle w:val="FootnoteReference"/>
        </w:rPr>
        <w:footnoteRef/>
      </w:r>
      <w:r>
        <w:t xml:space="preserve"> Restructuring </w:t>
      </w:r>
      <w:r w:rsidR="00C83A45">
        <w:t xml:space="preserve">and Insolvency in the UK  (England &amp; Wales): Overview, &lt;&lt; </w:t>
      </w:r>
      <w:hyperlink r:id="rId2" w:anchor="co_anchor_a500083" w:history="1">
        <w:r w:rsidR="009E30F4" w:rsidRPr="00E92191">
          <w:rPr>
            <w:rStyle w:val="Hyperlink"/>
          </w:rPr>
          <w:t>https://uk.practicallaw.thomsonreuters.com/9-501-6812?originationContext=document&amp;transitionType=DocumentItem&amp;contextData=(sc.Default)&amp;ppcid=f76dcdb6d7bb443e9287f1dc01197f4d&amp;comp=pluk#co_anchor_a500083</w:t>
        </w:r>
      </w:hyperlink>
      <w:r w:rsidR="009E30F4">
        <w:t xml:space="preserve"> &gt;&gt;, accessed on February 25, 2023.</w:t>
      </w:r>
    </w:p>
  </w:footnote>
  <w:footnote w:id="42">
    <w:p w14:paraId="6157C9EE" w14:textId="13F5C141" w:rsidR="0063163C" w:rsidRPr="0063163C" w:rsidRDefault="0063163C">
      <w:pPr>
        <w:pStyle w:val="FootnoteText"/>
        <w:rPr>
          <w:lang w:val="en-IN"/>
        </w:rPr>
      </w:pPr>
      <w:r>
        <w:rPr>
          <w:rStyle w:val="FootnoteReference"/>
        </w:rPr>
        <w:footnoteRef/>
      </w:r>
      <w:r>
        <w:t xml:space="preserve"> </w:t>
      </w:r>
      <w:r>
        <w:rPr>
          <w:lang w:val="en-IN"/>
        </w:rPr>
        <w:t>The Insolvency Act, 1986, Section 174A(2)(a)</w:t>
      </w:r>
    </w:p>
  </w:footnote>
  <w:footnote w:id="43">
    <w:p w14:paraId="6129DD21" w14:textId="6476EE20" w:rsidR="0063163C" w:rsidRPr="0063163C" w:rsidRDefault="0063163C">
      <w:pPr>
        <w:pStyle w:val="FootnoteText"/>
        <w:rPr>
          <w:lang w:val="en-IN"/>
        </w:rPr>
      </w:pPr>
      <w:r>
        <w:rPr>
          <w:rStyle w:val="FootnoteReference"/>
        </w:rPr>
        <w:footnoteRef/>
      </w:r>
      <w:r>
        <w:t xml:space="preserve"> </w:t>
      </w:r>
      <w:r w:rsidRPr="003C44C3">
        <w:rPr>
          <w:i/>
          <w:iCs/>
          <w:lang w:val="en-IN"/>
        </w:rPr>
        <w:t>Ide</w:t>
      </w:r>
      <w:r w:rsidR="00CA3D78" w:rsidRPr="003C44C3">
        <w:rPr>
          <w:i/>
          <w:iCs/>
          <w:lang w:val="en-IN"/>
        </w:rPr>
        <w:t>m</w:t>
      </w:r>
      <w:r w:rsidR="00CA3D78">
        <w:rPr>
          <w:lang w:val="en-IN"/>
        </w:rPr>
        <w:t>, Section 174A(2)(b)</w:t>
      </w:r>
    </w:p>
  </w:footnote>
  <w:footnote w:id="44">
    <w:p w14:paraId="52611BC7" w14:textId="6F76CC26" w:rsidR="00CA3D78" w:rsidRPr="00CA3D78" w:rsidRDefault="00CA3D78">
      <w:pPr>
        <w:pStyle w:val="FootnoteText"/>
        <w:rPr>
          <w:lang w:val="en-IN"/>
        </w:rPr>
      </w:pPr>
      <w:r>
        <w:rPr>
          <w:rStyle w:val="FootnoteReference"/>
        </w:rPr>
        <w:footnoteRef/>
      </w:r>
      <w:r>
        <w:t xml:space="preserve"> </w:t>
      </w:r>
      <w:r w:rsidR="00571BE7" w:rsidRPr="003C44C3">
        <w:rPr>
          <w:i/>
          <w:iCs/>
          <w:lang w:val="en-IN"/>
        </w:rPr>
        <w:t>Idem</w:t>
      </w:r>
      <w:r w:rsidR="00571BE7">
        <w:rPr>
          <w:lang w:val="en-IN"/>
        </w:rPr>
        <w:t>, Section 174A(3)(a)(</w:t>
      </w:r>
      <w:proofErr w:type="spellStart"/>
      <w:r w:rsidR="00571BE7">
        <w:rPr>
          <w:lang w:val="en-IN"/>
        </w:rPr>
        <w:t>i</w:t>
      </w:r>
      <w:proofErr w:type="spellEnd"/>
      <w:r w:rsidR="00571BE7">
        <w:rPr>
          <w:lang w:val="en-IN"/>
        </w:rPr>
        <w:t>)</w:t>
      </w:r>
    </w:p>
  </w:footnote>
  <w:footnote w:id="45">
    <w:p w14:paraId="20DE9A3D" w14:textId="49713454" w:rsidR="00571BE7" w:rsidRPr="00571BE7" w:rsidRDefault="00571BE7">
      <w:pPr>
        <w:pStyle w:val="FootnoteText"/>
        <w:rPr>
          <w:lang w:val="en-IN"/>
        </w:rPr>
      </w:pPr>
      <w:r>
        <w:rPr>
          <w:rStyle w:val="FootnoteReference"/>
        </w:rPr>
        <w:footnoteRef/>
      </w:r>
      <w:r>
        <w:t xml:space="preserve"> </w:t>
      </w:r>
      <w:r w:rsidRPr="003C44C3">
        <w:rPr>
          <w:i/>
          <w:iCs/>
          <w:lang w:val="en-IN"/>
        </w:rPr>
        <w:t>Idem</w:t>
      </w:r>
      <w:r>
        <w:rPr>
          <w:lang w:val="en-IN"/>
        </w:rPr>
        <w:t>, Section 174A(3)(a)(ii)</w:t>
      </w:r>
    </w:p>
  </w:footnote>
  <w:footnote w:id="46">
    <w:p w14:paraId="43189A69" w14:textId="152D32DE" w:rsidR="00571BE7" w:rsidRPr="00571BE7" w:rsidRDefault="00571BE7">
      <w:pPr>
        <w:pStyle w:val="FootnoteText"/>
        <w:rPr>
          <w:lang w:val="en-IN"/>
        </w:rPr>
      </w:pPr>
      <w:r>
        <w:rPr>
          <w:rStyle w:val="FootnoteReference"/>
        </w:rPr>
        <w:footnoteRef/>
      </w:r>
      <w:r>
        <w:t xml:space="preserve"> </w:t>
      </w:r>
      <w:r w:rsidRPr="003C44C3">
        <w:rPr>
          <w:i/>
          <w:iCs/>
          <w:lang w:val="en-IN"/>
        </w:rPr>
        <w:t>Idem</w:t>
      </w:r>
      <w:r>
        <w:rPr>
          <w:lang w:val="en-IN"/>
        </w:rPr>
        <w:t>, Section 174A(3)(a)(iii)</w:t>
      </w:r>
    </w:p>
  </w:footnote>
  <w:footnote w:id="47">
    <w:p w14:paraId="1D818EB1" w14:textId="5ECB19AF" w:rsidR="00571BE7" w:rsidRPr="00571BE7" w:rsidRDefault="00571BE7">
      <w:pPr>
        <w:pStyle w:val="FootnoteText"/>
        <w:rPr>
          <w:lang w:val="en-IN"/>
        </w:rPr>
      </w:pPr>
      <w:r>
        <w:rPr>
          <w:rStyle w:val="FootnoteReference"/>
        </w:rPr>
        <w:footnoteRef/>
      </w:r>
      <w:r>
        <w:t xml:space="preserve"> </w:t>
      </w:r>
      <w:r w:rsidRPr="003C44C3">
        <w:rPr>
          <w:i/>
          <w:iCs/>
          <w:lang w:val="en-IN"/>
        </w:rPr>
        <w:t>Idem</w:t>
      </w:r>
      <w:r>
        <w:rPr>
          <w:lang w:val="en-IN"/>
        </w:rPr>
        <w:t>, Section 174A(3)(a)(iv)</w:t>
      </w:r>
    </w:p>
  </w:footnote>
  <w:footnote w:id="48">
    <w:p w14:paraId="4E003A2B" w14:textId="7476CCFA" w:rsidR="00571BE7" w:rsidRPr="00571BE7" w:rsidRDefault="00571BE7">
      <w:pPr>
        <w:pStyle w:val="FootnoteText"/>
        <w:rPr>
          <w:lang w:val="en-IN"/>
        </w:rPr>
      </w:pPr>
      <w:r>
        <w:rPr>
          <w:rStyle w:val="FootnoteReference"/>
        </w:rPr>
        <w:footnoteRef/>
      </w:r>
      <w:r>
        <w:t xml:space="preserve"> </w:t>
      </w:r>
      <w:r w:rsidRPr="003C44C3">
        <w:rPr>
          <w:i/>
          <w:iCs/>
          <w:lang w:val="en-IN"/>
        </w:rPr>
        <w:t>Idem</w:t>
      </w:r>
      <w:r>
        <w:rPr>
          <w:lang w:val="en-IN"/>
        </w:rPr>
        <w:t>, Section 174A(3)(b)(</w:t>
      </w:r>
      <w:proofErr w:type="spellStart"/>
      <w:r>
        <w:rPr>
          <w:lang w:val="en-IN"/>
        </w:rPr>
        <w:t>i</w:t>
      </w:r>
      <w:proofErr w:type="spellEnd"/>
      <w:r>
        <w:rPr>
          <w:lang w:val="en-IN"/>
        </w:rPr>
        <w:t>)</w:t>
      </w:r>
    </w:p>
  </w:footnote>
  <w:footnote w:id="49">
    <w:p w14:paraId="27125904" w14:textId="7BCCD78E" w:rsidR="008545EC" w:rsidRPr="008545EC" w:rsidRDefault="008545EC">
      <w:pPr>
        <w:pStyle w:val="FootnoteText"/>
        <w:rPr>
          <w:lang w:val="en-IN"/>
        </w:rPr>
      </w:pPr>
      <w:r>
        <w:rPr>
          <w:rStyle w:val="FootnoteReference"/>
        </w:rPr>
        <w:footnoteRef/>
      </w:r>
      <w:r>
        <w:t xml:space="preserve"> </w:t>
      </w:r>
      <w:r w:rsidRPr="003C44C3">
        <w:rPr>
          <w:i/>
          <w:iCs/>
          <w:lang w:val="en-IN"/>
        </w:rPr>
        <w:t>Idem</w:t>
      </w:r>
      <w:r>
        <w:rPr>
          <w:lang w:val="en-IN"/>
        </w:rPr>
        <w:t>, Section 174A(3)(c)(</w:t>
      </w:r>
      <w:proofErr w:type="spellStart"/>
      <w:r>
        <w:rPr>
          <w:lang w:val="en-IN"/>
        </w:rPr>
        <w:t>i</w:t>
      </w:r>
      <w:proofErr w:type="spellEnd"/>
      <w:r>
        <w:rPr>
          <w:lang w:val="en-IN"/>
        </w:rPr>
        <w:t>)</w:t>
      </w:r>
    </w:p>
  </w:footnote>
  <w:footnote w:id="50">
    <w:p w14:paraId="62826AAE" w14:textId="3B16E97F" w:rsidR="008545EC" w:rsidRPr="008545EC" w:rsidRDefault="008545EC">
      <w:pPr>
        <w:pStyle w:val="FootnoteText"/>
        <w:rPr>
          <w:lang w:val="en-IN"/>
        </w:rPr>
      </w:pPr>
      <w:r>
        <w:rPr>
          <w:rStyle w:val="FootnoteReference"/>
        </w:rPr>
        <w:footnoteRef/>
      </w:r>
      <w:r>
        <w:t xml:space="preserve"> </w:t>
      </w:r>
      <w:r w:rsidRPr="003C44C3">
        <w:rPr>
          <w:i/>
          <w:iCs/>
          <w:lang w:val="en-IN"/>
        </w:rPr>
        <w:t>Idem</w:t>
      </w:r>
      <w:r>
        <w:rPr>
          <w:lang w:val="en-IN"/>
        </w:rPr>
        <w:t>, Section 174A(3)(a)(iii)</w:t>
      </w:r>
    </w:p>
  </w:footnote>
  <w:footnote w:id="51">
    <w:p w14:paraId="086C3AD1" w14:textId="3F2614BE" w:rsidR="005C2F94" w:rsidRDefault="005C2F94">
      <w:pPr>
        <w:pStyle w:val="FootnoteText"/>
      </w:pPr>
      <w:r>
        <w:rPr>
          <w:rStyle w:val="FootnoteReference"/>
        </w:rPr>
        <w:footnoteRef/>
      </w:r>
      <w:r>
        <w:t xml:space="preserve"> The Insolvency Act, 1986, Section 240(1)(a)</w:t>
      </w:r>
    </w:p>
  </w:footnote>
  <w:footnote w:id="52">
    <w:p w14:paraId="27DEE71A" w14:textId="112014A9" w:rsidR="000F1539" w:rsidRDefault="000F1539">
      <w:pPr>
        <w:pStyle w:val="FootnoteText"/>
      </w:pPr>
      <w:r>
        <w:rPr>
          <w:rStyle w:val="FootnoteReference"/>
        </w:rPr>
        <w:footnoteRef/>
      </w:r>
      <w:r>
        <w:t xml:space="preserve"> </w:t>
      </w:r>
      <w:r w:rsidRPr="003C44C3">
        <w:rPr>
          <w:i/>
          <w:iCs/>
        </w:rPr>
        <w:t>Ibid</w:t>
      </w:r>
      <w:r>
        <w:t xml:space="preserve">, Section </w:t>
      </w:r>
      <w:r w:rsidR="002E7F55">
        <w:t>238(4)(b)</w:t>
      </w:r>
    </w:p>
  </w:footnote>
  <w:footnote w:id="53">
    <w:p w14:paraId="2A2D11D7" w14:textId="1CF653B7" w:rsidR="0072298A" w:rsidRDefault="0072298A">
      <w:pPr>
        <w:pStyle w:val="FootnoteText"/>
      </w:pPr>
      <w:r>
        <w:rPr>
          <w:rStyle w:val="FootnoteReference"/>
        </w:rPr>
        <w:footnoteRef/>
      </w:r>
      <w:r>
        <w:t xml:space="preserve"> </w:t>
      </w:r>
      <w:r w:rsidRPr="003C44C3">
        <w:rPr>
          <w:i/>
          <w:iCs/>
        </w:rPr>
        <w:t>Idem</w:t>
      </w:r>
      <w:r>
        <w:t>, Section 213(1)</w:t>
      </w:r>
    </w:p>
  </w:footnote>
  <w:footnote w:id="54">
    <w:p w14:paraId="165D1E20" w14:textId="62156202" w:rsidR="0072298A" w:rsidRDefault="0072298A">
      <w:pPr>
        <w:pStyle w:val="FootnoteText"/>
      </w:pPr>
      <w:r>
        <w:rPr>
          <w:rStyle w:val="FootnoteReference"/>
        </w:rPr>
        <w:footnoteRef/>
      </w:r>
      <w:r>
        <w:t xml:space="preserve"> </w:t>
      </w:r>
      <w:r w:rsidRPr="003C44C3">
        <w:rPr>
          <w:i/>
          <w:iCs/>
        </w:rPr>
        <w:t>Ibid</w:t>
      </w:r>
      <w:r>
        <w:t>, Section 213(2)</w:t>
      </w:r>
    </w:p>
  </w:footnote>
  <w:footnote w:id="55">
    <w:p w14:paraId="0E6F3A14" w14:textId="5A492DDD" w:rsidR="00731D81" w:rsidRDefault="00731D81">
      <w:pPr>
        <w:pStyle w:val="FootnoteText"/>
      </w:pPr>
      <w:r>
        <w:rPr>
          <w:rStyle w:val="FootnoteReference"/>
        </w:rPr>
        <w:footnoteRef/>
      </w:r>
      <w:r>
        <w:t xml:space="preserve"> </w:t>
      </w:r>
      <w:r w:rsidRPr="003C44C3">
        <w:rPr>
          <w:i/>
          <w:iCs/>
        </w:rPr>
        <w:t>Idem</w:t>
      </w:r>
      <w:r>
        <w:t>, Section 214(1)</w:t>
      </w:r>
    </w:p>
  </w:footnote>
  <w:footnote w:id="56">
    <w:p w14:paraId="49D20658" w14:textId="0E03F0C1" w:rsidR="00731D81" w:rsidRDefault="00731D81">
      <w:pPr>
        <w:pStyle w:val="FootnoteText"/>
      </w:pPr>
      <w:r>
        <w:rPr>
          <w:rStyle w:val="FootnoteReference"/>
        </w:rPr>
        <w:footnoteRef/>
      </w:r>
      <w:r>
        <w:t xml:space="preserve"> </w:t>
      </w:r>
      <w:r w:rsidRPr="003C44C3">
        <w:rPr>
          <w:i/>
          <w:iCs/>
        </w:rPr>
        <w:t>Ibid</w:t>
      </w:r>
      <w:r>
        <w:t>, Section 214(2)(a)</w:t>
      </w:r>
    </w:p>
  </w:footnote>
  <w:footnote w:id="57">
    <w:p w14:paraId="30914E69" w14:textId="6DB0852E" w:rsidR="00731D81" w:rsidRDefault="00731D81">
      <w:pPr>
        <w:pStyle w:val="FootnoteText"/>
      </w:pPr>
      <w:r>
        <w:rPr>
          <w:rStyle w:val="FootnoteReference"/>
        </w:rPr>
        <w:footnoteRef/>
      </w:r>
      <w:r>
        <w:t xml:space="preserve"> </w:t>
      </w:r>
      <w:r w:rsidRPr="003C44C3">
        <w:rPr>
          <w:i/>
          <w:iCs/>
        </w:rPr>
        <w:t>Ibid</w:t>
      </w:r>
      <w:r>
        <w:t>, Section 214(2)(</w:t>
      </w:r>
      <w:r>
        <w:t>b</w:t>
      </w:r>
      <w:r>
        <w:t>)</w:t>
      </w:r>
    </w:p>
  </w:footnote>
  <w:footnote w:id="58">
    <w:p w14:paraId="0EF78731" w14:textId="650B04AE" w:rsidR="00731D81" w:rsidRDefault="00731D81">
      <w:pPr>
        <w:pStyle w:val="FootnoteText"/>
      </w:pPr>
      <w:r>
        <w:rPr>
          <w:rStyle w:val="FootnoteReference"/>
        </w:rPr>
        <w:footnoteRef/>
      </w:r>
      <w:r>
        <w:t xml:space="preserve"> </w:t>
      </w:r>
      <w:r w:rsidRPr="003C44C3">
        <w:rPr>
          <w:i/>
          <w:iCs/>
        </w:rPr>
        <w:t>Ibid</w:t>
      </w:r>
      <w:r>
        <w:t>, Section 214(2)(</w:t>
      </w:r>
      <w:r>
        <w:t>c</w:t>
      </w:r>
      <w:r>
        <w:t>)</w:t>
      </w:r>
    </w:p>
  </w:footnote>
  <w:footnote w:id="59">
    <w:p w14:paraId="1842F664" w14:textId="68C76311" w:rsidR="00731D81" w:rsidRDefault="00731D81">
      <w:pPr>
        <w:pStyle w:val="FootnoteText"/>
      </w:pPr>
      <w:r>
        <w:rPr>
          <w:rStyle w:val="FootnoteReference"/>
        </w:rPr>
        <w:footnoteRef/>
      </w:r>
      <w:r>
        <w:t xml:space="preserve"> </w:t>
      </w:r>
      <w:r w:rsidRPr="003C44C3">
        <w:rPr>
          <w:i/>
          <w:iCs/>
        </w:rPr>
        <w:t>Ibid</w:t>
      </w:r>
      <w:r>
        <w:t>, Section 214(</w:t>
      </w:r>
      <w:r>
        <w:t>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3B7E24"/>
    <w:multiLevelType w:val="hybridMultilevel"/>
    <w:tmpl w:val="9BB86C1A"/>
    <w:lvl w:ilvl="0" w:tplc="31B66942">
      <w:start w:val="1"/>
      <w:numFmt w:val="decimal"/>
      <w:lvlText w:val="%1."/>
      <w:lvlJc w:val="left"/>
      <w:pPr>
        <w:ind w:left="720" w:hanging="360"/>
      </w:pPr>
      <w:rPr>
        <w:rFonts w:hint="default"/>
        <w:b w:val="0"/>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D1D86"/>
    <w:multiLevelType w:val="hybridMultilevel"/>
    <w:tmpl w:val="B58C2C9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15:restartNumberingAfterBreak="0">
    <w:nsid w:val="0CEC5DC0"/>
    <w:multiLevelType w:val="hybridMultilevel"/>
    <w:tmpl w:val="801C34C8"/>
    <w:lvl w:ilvl="0" w:tplc="88F82B54">
      <w:start w:val="1"/>
      <w:numFmt w:val="lowerRoman"/>
      <w:lvlText w:val="%1."/>
      <w:lvlJc w:val="left"/>
      <w:pPr>
        <w:ind w:left="1080" w:hanging="72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3F3D83"/>
    <w:multiLevelType w:val="hybridMultilevel"/>
    <w:tmpl w:val="5E30C082"/>
    <w:lvl w:ilvl="0" w:tplc="B1D492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D160722"/>
    <w:multiLevelType w:val="hybridMultilevel"/>
    <w:tmpl w:val="84589A1E"/>
    <w:lvl w:ilvl="0" w:tplc="40090001">
      <w:start w:val="1"/>
      <w:numFmt w:val="bullet"/>
      <w:lvlText w:val=""/>
      <w:lvlJc w:val="left"/>
      <w:pPr>
        <w:ind w:left="1850" w:hanging="360"/>
      </w:pPr>
      <w:rPr>
        <w:rFonts w:ascii="Symbol" w:hAnsi="Symbol" w:hint="default"/>
      </w:rPr>
    </w:lvl>
    <w:lvl w:ilvl="1" w:tplc="40090003" w:tentative="1">
      <w:start w:val="1"/>
      <w:numFmt w:val="bullet"/>
      <w:lvlText w:val="o"/>
      <w:lvlJc w:val="left"/>
      <w:pPr>
        <w:ind w:left="2570" w:hanging="360"/>
      </w:pPr>
      <w:rPr>
        <w:rFonts w:ascii="Courier New" w:hAnsi="Courier New" w:cs="Courier New" w:hint="default"/>
      </w:rPr>
    </w:lvl>
    <w:lvl w:ilvl="2" w:tplc="40090005" w:tentative="1">
      <w:start w:val="1"/>
      <w:numFmt w:val="bullet"/>
      <w:lvlText w:val=""/>
      <w:lvlJc w:val="left"/>
      <w:pPr>
        <w:ind w:left="3290" w:hanging="360"/>
      </w:pPr>
      <w:rPr>
        <w:rFonts w:ascii="Wingdings" w:hAnsi="Wingdings" w:hint="default"/>
      </w:rPr>
    </w:lvl>
    <w:lvl w:ilvl="3" w:tplc="40090001" w:tentative="1">
      <w:start w:val="1"/>
      <w:numFmt w:val="bullet"/>
      <w:lvlText w:val=""/>
      <w:lvlJc w:val="left"/>
      <w:pPr>
        <w:ind w:left="4010" w:hanging="360"/>
      </w:pPr>
      <w:rPr>
        <w:rFonts w:ascii="Symbol" w:hAnsi="Symbol" w:hint="default"/>
      </w:rPr>
    </w:lvl>
    <w:lvl w:ilvl="4" w:tplc="40090003" w:tentative="1">
      <w:start w:val="1"/>
      <w:numFmt w:val="bullet"/>
      <w:lvlText w:val="o"/>
      <w:lvlJc w:val="left"/>
      <w:pPr>
        <w:ind w:left="4730" w:hanging="360"/>
      </w:pPr>
      <w:rPr>
        <w:rFonts w:ascii="Courier New" w:hAnsi="Courier New" w:cs="Courier New" w:hint="default"/>
      </w:rPr>
    </w:lvl>
    <w:lvl w:ilvl="5" w:tplc="40090005" w:tentative="1">
      <w:start w:val="1"/>
      <w:numFmt w:val="bullet"/>
      <w:lvlText w:val=""/>
      <w:lvlJc w:val="left"/>
      <w:pPr>
        <w:ind w:left="5450" w:hanging="360"/>
      </w:pPr>
      <w:rPr>
        <w:rFonts w:ascii="Wingdings" w:hAnsi="Wingdings" w:hint="default"/>
      </w:rPr>
    </w:lvl>
    <w:lvl w:ilvl="6" w:tplc="40090001" w:tentative="1">
      <w:start w:val="1"/>
      <w:numFmt w:val="bullet"/>
      <w:lvlText w:val=""/>
      <w:lvlJc w:val="left"/>
      <w:pPr>
        <w:ind w:left="6170" w:hanging="360"/>
      </w:pPr>
      <w:rPr>
        <w:rFonts w:ascii="Symbol" w:hAnsi="Symbol" w:hint="default"/>
      </w:rPr>
    </w:lvl>
    <w:lvl w:ilvl="7" w:tplc="40090003" w:tentative="1">
      <w:start w:val="1"/>
      <w:numFmt w:val="bullet"/>
      <w:lvlText w:val="o"/>
      <w:lvlJc w:val="left"/>
      <w:pPr>
        <w:ind w:left="6890" w:hanging="360"/>
      </w:pPr>
      <w:rPr>
        <w:rFonts w:ascii="Courier New" w:hAnsi="Courier New" w:cs="Courier New" w:hint="default"/>
      </w:rPr>
    </w:lvl>
    <w:lvl w:ilvl="8" w:tplc="40090005" w:tentative="1">
      <w:start w:val="1"/>
      <w:numFmt w:val="bullet"/>
      <w:lvlText w:val=""/>
      <w:lvlJc w:val="left"/>
      <w:pPr>
        <w:ind w:left="7610" w:hanging="360"/>
      </w:pPr>
      <w:rPr>
        <w:rFonts w:ascii="Wingdings" w:hAnsi="Wingdings" w:hint="default"/>
      </w:rPr>
    </w:lvl>
  </w:abstractNum>
  <w:abstractNum w:abstractNumId="8" w15:restartNumberingAfterBreak="0">
    <w:nsid w:val="1F1A66D4"/>
    <w:multiLevelType w:val="hybridMultilevel"/>
    <w:tmpl w:val="15245852"/>
    <w:lvl w:ilvl="0" w:tplc="96CA2D10">
      <w:start w:val="1"/>
      <w:numFmt w:val="lowerRoman"/>
      <w:lvlText w:val="%1."/>
      <w:lvlJc w:val="left"/>
      <w:pPr>
        <w:ind w:left="1080" w:hanging="720"/>
      </w:pPr>
      <w:rPr>
        <w:rFonts w:ascii="Arial" w:hAnsi="Arial"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0AB7B6D"/>
    <w:multiLevelType w:val="hybridMultilevel"/>
    <w:tmpl w:val="B90A50D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A1733A"/>
    <w:multiLevelType w:val="hybridMultilevel"/>
    <w:tmpl w:val="D888999A"/>
    <w:lvl w:ilvl="0" w:tplc="3D3A30E6">
      <w:start w:val="1"/>
      <w:numFmt w:val="lowerRoman"/>
      <w:lvlText w:val="(%1)"/>
      <w:lvlJc w:val="left"/>
      <w:pPr>
        <w:ind w:left="1080" w:hanging="72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68723E1C"/>
    <w:multiLevelType w:val="hybridMultilevel"/>
    <w:tmpl w:val="006A63FE"/>
    <w:lvl w:ilvl="0" w:tplc="D95094C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60925"/>
    <w:multiLevelType w:val="hybridMultilevel"/>
    <w:tmpl w:val="817CFB58"/>
    <w:lvl w:ilvl="0" w:tplc="FE76A714">
      <w:start w:val="1"/>
      <w:numFmt w:val="lowerRoman"/>
      <w:lvlText w:val="%1."/>
      <w:lvlJc w:val="left"/>
      <w:pPr>
        <w:ind w:left="1080" w:hanging="72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CFE227C"/>
    <w:multiLevelType w:val="hybridMultilevel"/>
    <w:tmpl w:val="521EA268"/>
    <w:lvl w:ilvl="0" w:tplc="DA2C67B6">
      <w:start w:val="1"/>
      <w:numFmt w:val="bullet"/>
      <w:lvlText w:val=""/>
      <w:lvlJc w:val="left"/>
      <w:pPr>
        <w:ind w:left="1800" w:hanging="360"/>
      </w:pPr>
      <w:rPr>
        <w:rFonts w:ascii="Symbol" w:hAnsi="Symbol" w:hint="default"/>
        <w:color w:val="808080" w:themeColor="background1" w:themeShade="8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9553306">
    <w:abstractNumId w:val="10"/>
  </w:num>
  <w:num w:numId="2" w16cid:durableId="1681813383">
    <w:abstractNumId w:val="2"/>
  </w:num>
  <w:num w:numId="3" w16cid:durableId="217254485">
    <w:abstractNumId w:val="0"/>
  </w:num>
  <w:num w:numId="4" w16cid:durableId="838928408">
    <w:abstractNumId w:val="15"/>
  </w:num>
  <w:num w:numId="5" w16cid:durableId="443574823">
    <w:abstractNumId w:val="18"/>
  </w:num>
  <w:num w:numId="6" w16cid:durableId="1317690460">
    <w:abstractNumId w:val="3"/>
  </w:num>
  <w:num w:numId="7" w16cid:durableId="2128159391">
    <w:abstractNumId w:val="19"/>
  </w:num>
  <w:num w:numId="8" w16cid:durableId="87505021">
    <w:abstractNumId w:val="26"/>
  </w:num>
  <w:num w:numId="9" w16cid:durableId="1769764909">
    <w:abstractNumId w:val="16"/>
  </w:num>
  <w:num w:numId="10" w16cid:durableId="1059590646">
    <w:abstractNumId w:val="27"/>
  </w:num>
  <w:num w:numId="11" w16cid:durableId="751897009">
    <w:abstractNumId w:val="12"/>
  </w:num>
  <w:num w:numId="12" w16cid:durableId="905530931">
    <w:abstractNumId w:val="22"/>
  </w:num>
  <w:num w:numId="13" w16cid:durableId="27534955">
    <w:abstractNumId w:val="17"/>
  </w:num>
  <w:num w:numId="14" w16cid:durableId="564874690">
    <w:abstractNumId w:val="11"/>
  </w:num>
  <w:num w:numId="15" w16cid:durableId="1028872188">
    <w:abstractNumId w:val="20"/>
  </w:num>
  <w:num w:numId="16" w16cid:durableId="1246063748">
    <w:abstractNumId w:val="25"/>
  </w:num>
  <w:num w:numId="17" w16cid:durableId="2107848073">
    <w:abstractNumId w:val="13"/>
  </w:num>
  <w:num w:numId="18" w16cid:durableId="1930580500">
    <w:abstractNumId w:val="14"/>
  </w:num>
  <w:num w:numId="19" w16cid:durableId="2125339237">
    <w:abstractNumId w:val="6"/>
  </w:num>
  <w:num w:numId="20" w16cid:durableId="160778460">
    <w:abstractNumId w:val="21"/>
  </w:num>
  <w:num w:numId="21" w16cid:durableId="1596404856">
    <w:abstractNumId w:val="7"/>
  </w:num>
  <w:num w:numId="22" w16cid:durableId="1021779120">
    <w:abstractNumId w:val="5"/>
  </w:num>
  <w:num w:numId="23" w16cid:durableId="799229183">
    <w:abstractNumId w:val="9"/>
  </w:num>
  <w:num w:numId="24" w16cid:durableId="707728988">
    <w:abstractNumId w:val="4"/>
  </w:num>
  <w:num w:numId="25" w16cid:durableId="924848895">
    <w:abstractNumId w:val="24"/>
  </w:num>
  <w:num w:numId="26" w16cid:durableId="989554372">
    <w:abstractNumId w:val="8"/>
  </w:num>
  <w:num w:numId="27" w16cid:durableId="1608535211">
    <w:abstractNumId w:val="23"/>
  </w:num>
  <w:num w:numId="28" w16cid:durableId="388206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5A0"/>
    <w:rsid w:val="00010BA0"/>
    <w:rsid w:val="00020557"/>
    <w:rsid w:val="00021FC2"/>
    <w:rsid w:val="000250C7"/>
    <w:rsid w:val="00025265"/>
    <w:rsid w:val="00026F16"/>
    <w:rsid w:val="00031229"/>
    <w:rsid w:val="00037621"/>
    <w:rsid w:val="00042967"/>
    <w:rsid w:val="00044D46"/>
    <w:rsid w:val="00045088"/>
    <w:rsid w:val="00045904"/>
    <w:rsid w:val="0004598B"/>
    <w:rsid w:val="000502FD"/>
    <w:rsid w:val="000550F0"/>
    <w:rsid w:val="000614AE"/>
    <w:rsid w:val="00065166"/>
    <w:rsid w:val="000673FC"/>
    <w:rsid w:val="0007419B"/>
    <w:rsid w:val="00074DDB"/>
    <w:rsid w:val="0007576A"/>
    <w:rsid w:val="00080B96"/>
    <w:rsid w:val="0008151D"/>
    <w:rsid w:val="00082609"/>
    <w:rsid w:val="000851CC"/>
    <w:rsid w:val="00087F21"/>
    <w:rsid w:val="00093BE8"/>
    <w:rsid w:val="000971A4"/>
    <w:rsid w:val="000A407B"/>
    <w:rsid w:val="000A508B"/>
    <w:rsid w:val="000A68ED"/>
    <w:rsid w:val="000A6CE8"/>
    <w:rsid w:val="000A7140"/>
    <w:rsid w:val="000B3910"/>
    <w:rsid w:val="000B5FF1"/>
    <w:rsid w:val="000B609F"/>
    <w:rsid w:val="000C18B8"/>
    <w:rsid w:val="000D10C6"/>
    <w:rsid w:val="000D323C"/>
    <w:rsid w:val="000D3BF8"/>
    <w:rsid w:val="000D4DA5"/>
    <w:rsid w:val="000D55A8"/>
    <w:rsid w:val="000E4841"/>
    <w:rsid w:val="000E6029"/>
    <w:rsid w:val="000F07C0"/>
    <w:rsid w:val="000F0F56"/>
    <w:rsid w:val="000F1539"/>
    <w:rsid w:val="000F1677"/>
    <w:rsid w:val="000F3D6C"/>
    <w:rsid w:val="00101694"/>
    <w:rsid w:val="00101707"/>
    <w:rsid w:val="00102CC9"/>
    <w:rsid w:val="0010593A"/>
    <w:rsid w:val="00107282"/>
    <w:rsid w:val="0011473D"/>
    <w:rsid w:val="00115C85"/>
    <w:rsid w:val="00116CD8"/>
    <w:rsid w:val="00123855"/>
    <w:rsid w:val="00126A4D"/>
    <w:rsid w:val="00130FE2"/>
    <w:rsid w:val="00136276"/>
    <w:rsid w:val="0014171F"/>
    <w:rsid w:val="0014622C"/>
    <w:rsid w:val="001475BA"/>
    <w:rsid w:val="001518D3"/>
    <w:rsid w:val="00152348"/>
    <w:rsid w:val="001530FF"/>
    <w:rsid w:val="001537D3"/>
    <w:rsid w:val="001541BA"/>
    <w:rsid w:val="0015456D"/>
    <w:rsid w:val="00155FA2"/>
    <w:rsid w:val="00155FE8"/>
    <w:rsid w:val="00161F1B"/>
    <w:rsid w:val="00162829"/>
    <w:rsid w:val="00173BCC"/>
    <w:rsid w:val="001758C4"/>
    <w:rsid w:val="00180548"/>
    <w:rsid w:val="00180AC4"/>
    <w:rsid w:val="00180CCE"/>
    <w:rsid w:val="001822F6"/>
    <w:rsid w:val="0018267A"/>
    <w:rsid w:val="00182779"/>
    <w:rsid w:val="00182788"/>
    <w:rsid w:val="001830DF"/>
    <w:rsid w:val="001966D9"/>
    <w:rsid w:val="001A007A"/>
    <w:rsid w:val="001A021E"/>
    <w:rsid w:val="001A7E9A"/>
    <w:rsid w:val="001B0F70"/>
    <w:rsid w:val="001B4494"/>
    <w:rsid w:val="001B5016"/>
    <w:rsid w:val="001B57BC"/>
    <w:rsid w:val="001C45FC"/>
    <w:rsid w:val="001D0469"/>
    <w:rsid w:val="001D29C0"/>
    <w:rsid w:val="001D4862"/>
    <w:rsid w:val="001D5363"/>
    <w:rsid w:val="001D5601"/>
    <w:rsid w:val="001D7CF8"/>
    <w:rsid w:val="001E25B9"/>
    <w:rsid w:val="001E45AC"/>
    <w:rsid w:val="001E49E0"/>
    <w:rsid w:val="001E7B5A"/>
    <w:rsid w:val="001F01AF"/>
    <w:rsid w:val="001F18A5"/>
    <w:rsid w:val="001F2E89"/>
    <w:rsid w:val="001F3C98"/>
    <w:rsid w:val="001F597F"/>
    <w:rsid w:val="001F63A0"/>
    <w:rsid w:val="001F7412"/>
    <w:rsid w:val="001F77ED"/>
    <w:rsid w:val="0020090A"/>
    <w:rsid w:val="0020204E"/>
    <w:rsid w:val="00202DFE"/>
    <w:rsid w:val="0020725B"/>
    <w:rsid w:val="002110F1"/>
    <w:rsid w:val="00212001"/>
    <w:rsid w:val="0021345E"/>
    <w:rsid w:val="002226A4"/>
    <w:rsid w:val="002356EA"/>
    <w:rsid w:val="00237094"/>
    <w:rsid w:val="002400C8"/>
    <w:rsid w:val="0024116D"/>
    <w:rsid w:val="00241B44"/>
    <w:rsid w:val="00241FA3"/>
    <w:rsid w:val="00245EFB"/>
    <w:rsid w:val="00247E4A"/>
    <w:rsid w:val="00251927"/>
    <w:rsid w:val="0025386E"/>
    <w:rsid w:val="002638B0"/>
    <w:rsid w:val="0026647A"/>
    <w:rsid w:val="002668D3"/>
    <w:rsid w:val="002671F6"/>
    <w:rsid w:val="002701B4"/>
    <w:rsid w:val="0027299F"/>
    <w:rsid w:val="00284EBE"/>
    <w:rsid w:val="002903A7"/>
    <w:rsid w:val="0029255E"/>
    <w:rsid w:val="0029433F"/>
    <w:rsid w:val="00294829"/>
    <w:rsid w:val="0029690F"/>
    <w:rsid w:val="00296977"/>
    <w:rsid w:val="00297C8A"/>
    <w:rsid w:val="002A2A60"/>
    <w:rsid w:val="002A37BB"/>
    <w:rsid w:val="002B1C45"/>
    <w:rsid w:val="002C0E21"/>
    <w:rsid w:val="002C13C8"/>
    <w:rsid w:val="002C2D21"/>
    <w:rsid w:val="002C3547"/>
    <w:rsid w:val="002C46CB"/>
    <w:rsid w:val="002D0021"/>
    <w:rsid w:val="002D299D"/>
    <w:rsid w:val="002D3473"/>
    <w:rsid w:val="002E22EF"/>
    <w:rsid w:val="002E3AA3"/>
    <w:rsid w:val="002E7F55"/>
    <w:rsid w:val="002F1956"/>
    <w:rsid w:val="002F3440"/>
    <w:rsid w:val="002F60F0"/>
    <w:rsid w:val="002F75A3"/>
    <w:rsid w:val="002F77D6"/>
    <w:rsid w:val="00303C2F"/>
    <w:rsid w:val="00311816"/>
    <w:rsid w:val="003144EF"/>
    <w:rsid w:val="00314F32"/>
    <w:rsid w:val="0032512A"/>
    <w:rsid w:val="00326292"/>
    <w:rsid w:val="00326415"/>
    <w:rsid w:val="00330050"/>
    <w:rsid w:val="00330937"/>
    <w:rsid w:val="00330F31"/>
    <w:rsid w:val="00334648"/>
    <w:rsid w:val="0033768C"/>
    <w:rsid w:val="00337938"/>
    <w:rsid w:val="00340769"/>
    <w:rsid w:val="00341AA6"/>
    <w:rsid w:val="003600EE"/>
    <w:rsid w:val="00361A0A"/>
    <w:rsid w:val="00364836"/>
    <w:rsid w:val="0036565C"/>
    <w:rsid w:val="0036625E"/>
    <w:rsid w:val="0037465A"/>
    <w:rsid w:val="00382C98"/>
    <w:rsid w:val="00383CCD"/>
    <w:rsid w:val="0038410E"/>
    <w:rsid w:val="0038533C"/>
    <w:rsid w:val="00386568"/>
    <w:rsid w:val="00387148"/>
    <w:rsid w:val="003876AE"/>
    <w:rsid w:val="00390B57"/>
    <w:rsid w:val="003948D5"/>
    <w:rsid w:val="00396821"/>
    <w:rsid w:val="00397D3A"/>
    <w:rsid w:val="003A0278"/>
    <w:rsid w:val="003A051E"/>
    <w:rsid w:val="003A4482"/>
    <w:rsid w:val="003A7F17"/>
    <w:rsid w:val="003B0743"/>
    <w:rsid w:val="003B170F"/>
    <w:rsid w:val="003B3C5F"/>
    <w:rsid w:val="003B532A"/>
    <w:rsid w:val="003C4471"/>
    <w:rsid w:val="003C44C3"/>
    <w:rsid w:val="003C72C3"/>
    <w:rsid w:val="003D0A6D"/>
    <w:rsid w:val="003D1B31"/>
    <w:rsid w:val="003D2445"/>
    <w:rsid w:val="003D399F"/>
    <w:rsid w:val="003E0B16"/>
    <w:rsid w:val="003E1BBF"/>
    <w:rsid w:val="003E67D1"/>
    <w:rsid w:val="003E7A80"/>
    <w:rsid w:val="003F07AA"/>
    <w:rsid w:val="003F1D45"/>
    <w:rsid w:val="003F5371"/>
    <w:rsid w:val="003F7F0F"/>
    <w:rsid w:val="00402FB3"/>
    <w:rsid w:val="00404329"/>
    <w:rsid w:val="00405DC1"/>
    <w:rsid w:val="00413024"/>
    <w:rsid w:val="00415F1F"/>
    <w:rsid w:val="0042108F"/>
    <w:rsid w:val="00430FED"/>
    <w:rsid w:val="004338B3"/>
    <w:rsid w:val="00434A8C"/>
    <w:rsid w:val="00435114"/>
    <w:rsid w:val="00437297"/>
    <w:rsid w:val="00444284"/>
    <w:rsid w:val="00445CE6"/>
    <w:rsid w:val="004512B9"/>
    <w:rsid w:val="004534C2"/>
    <w:rsid w:val="0045446F"/>
    <w:rsid w:val="00455876"/>
    <w:rsid w:val="0045683E"/>
    <w:rsid w:val="00461F95"/>
    <w:rsid w:val="00466AA9"/>
    <w:rsid w:val="00474C2B"/>
    <w:rsid w:val="00476AAC"/>
    <w:rsid w:val="00477C72"/>
    <w:rsid w:val="004841A9"/>
    <w:rsid w:val="0048702F"/>
    <w:rsid w:val="00491675"/>
    <w:rsid w:val="00493855"/>
    <w:rsid w:val="00495E79"/>
    <w:rsid w:val="004974E3"/>
    <w:rsid w:val="004A21DB"/>
    <w:rsid w:val="004A2D83"/>
    <w:rsid w:val="004A57DD"/>
    <w:rsid w:val="004A7B51"/>
    <w:rsid w:val="004A7D71"/>
    <w:rsid w:val="004A7EF3"/>
    <w:rsid w:val="004B0226"/>
    <w:rsid w:val="004B11FD"/>
    <w:rsid w:val="004B23A2"/>
    <w:rsid w:val="004C3BEB"/>
    <w:rsid w:val="004D05AB"/>
    <w:rsid w:val="004D1A5A"/>
    <w:rsid w:val="004D2FFF"/>
    <w:rsid w:val="004D3721"/>
    <w:rsid w:val="004D64F9"/>
    <w:rsid w:val="004D69A9"/>
    <w:rsid w:val="004E06B4"/>
    <w:rsid w:val="004E3A6B"/>
    <w:rsid w:val="004E622C"/>
    <w:rsid w:val="004F2BC5"/>
    <w:rsid w:val="004F4050"/>
    <w:rsid w:val="004F5FDF"/>
    <w:rsid w:val="004F62C4"/>
    <w:rsid w:val="00504497"/>
    <w:rsid w:val="00505A62"/>
    <w:rsid w:val="005067F0"/>
    <w:rsid w:val="005105C0"/>
    <w:rsid w:val="005108D7"/>
    <w:rsid w:val="00515308"/>
    <w:rsid w:val="005177FE"/>
    <w:rsid w:val="00520242"/>
    <w:rsid w:val="0052263B"/>
    <w:rsid w:val="005227A1"/>
    <w:rsid w:val="00524728"/>
    <w:rsid w:val="00531F09"/>
    <w:rsid w:val="005331CA"/>
    <w:rsid w:val="00537970"/>
    <w:rsid w:val="00540E3A"/>
    <w:rsid w:val="00542572"/>
    <w:rsid w:val="00544127"/>
    <w:rsid w:val="005463A9"/>
    <w:rsid w:val="00553EB2"/>
    <w:rsid w:val="00560534"/>
    <w:rsid w:val="00560E28"/>
    <w:rsid w:val="005631F4"/>
    <w:rsid w:val="0056391B"/>
    <w:rsid w:val="005650E2"/>
    <w:rsid w:val="00565860"/>
    <w:rsid w:val="00567AD7"/>
    <w:rsid w:val="00571BE7"/>
    <w:rsid w:val="00575B2D"/>
    <w:rsid w:val="005833D0"/>
    <w:rsid w:val="005846F3"/>
    <w:rsid w:val="0058622F"/>
    <w:rsid w:val="00592F82"/>
    <w:rsid w:val="00594485"/>
    <w:rsid w:val="005A077B"/>
    <w:rsid w:val="005A0CCA"/>
    <w:rsid w:val="005A1083"/>
    <w:rsid w:val="005A3FC9"/>
    <w:rsid w:val="005A6FF2"/>
    <w:rsid w:val="005A704A"/>
    <w:rsid w:val="005A726D"/>
    <w:rsid w:val="005B48FD"/>
    <w:rsid w:val="005B67AC"/>
    <w:rsid w:val="005B79F4"/>
    <w:rsid w:val="005C2F94"/>
    <w:rsid w:val="005C4E6D"/>
    <w:rsid w:val="005C72EF"/>
    <w:rsid w:val="005C7499"/>
    <w:rsid w:val="005D09BD"/>
    <w:rsid w:val="005D16DD"/>
    <w:rsid w:val="005D3123"/>
    <w:rsid w:val="005D426C"/>
    <w:rsid w:val="005D43E0"/>
    <w:rsid w:val="005D58A3"/>
    <w:rsid w:val="005E1B79"/>
    <w:rsid w:val="005E5BEE"/>
    <w:rsid w:val="005E6076"/>
    <w:rsid w:val="005E7008"/>
    <w:rsid w:val="005F026D"/>
    <w:rsid w:val="005F1993"/>
    <w:rsid w:val="005F2AEA"/>
    <w:rsid w:val="005F2D0B"/>
    <w:rsid w:val="005F4B31"/>
    <w:rsid w:val="005F6B7B"/>
    <w:rsid w:val="00600264"/>
    <w:rsid w:val="00602824"/>
    <w:rsid w:val="006039EB"/>
    <w:rsid w:val="0060632E"/>
    <w:rsid w:val="00610043"/>
    <w:rsid w:val="00610388"/>
    <w:rsid w:val="00610AC7"/>
    <w:rsid w:val="00612CA5"/>
    <w:rsid w:val="00614B03"/>
    <w:rsid w:val="006153EC"/>
    <w:rsid w:val="00621A17"/>
    <w:rsid w:val="00622ACA"/>
    <w:rsid w:val="00627CC9"/>
    <w:rsid w:val="00627E7B"/>
    <w:rsid w:val="00630542"/>
    <w:rsid w:val="0063163C"/>
    <w:rsid w:val="00632E44"/>
    <w:rsid w:val="0063381C"/>
    <w:rsid w:val="00634622"/>
    <w:rsid w:val="00636808"/>
    <w:rsid w:val="00636F36"/>
    <w:rsid w:val="00641515"/>
    <w:rsid w:val="00653A9B"/>
    <w:rsid w:val="006541AC"/>
    <w:rsid w:val="00654C2F"/>
    <w:rsid w:val="00657087"/>
    <w:rsid w:val="006624AB"/>
    <w:rsid w:val="006639DB"/>
    <w:rsid w:val="006661EF"/>
    <w:rsid w:val="0067027E"/>
    <w:rsid w:val="00671B20"/>
    <w:rsid w:val="00677216"/>
    <w:rsid w:val="00677AEB"/>
    <w:rsid w:val="00680EF2"/>
    <w:rsid w:val="0068312E"/>
    <w:rsid w:val="00687A1D"/>
    <w:rsid w:val="006925C1"/>
    <w:rsid w:val="0069780D"/>
    <w:rsid w:val="00697EA1"/>
    <w:rsid w:val="006A20A2"/>
    <w:rsid w:val="006A2646"/>
    <w:rsid w:val="006A5F4D"/>
    <w:rsid w:val="006A6530"/>
    <w:rsid w:val="006B0A0A"/>
    <w:rsid w:val="006B435A"/>
    <w:rsid w:val="006B4C64"/>
    <w:rsid w:val="006D282B"/>
    <w:rsid w:val="006D5D6E"/>
    <w:rsid w:val="006D68DD"/>
    <w:rsid w:val="006D6BD5"/>
    <w:rsid w:val="006E0D3B"/>
    <w:rsid w:val="006E3F44"/>
    <w:rsid w:val="006E481A"/>
    <w:rsid w:val="006E5298"/>
    <w:rsid w:val="006E6061"/>
    <w:rsid w:val="006E6D46"/>
    <w:rsid w:val="006F4A78"/>
    <w:rsid w:val="006F734A"/>
    <w:rsid w:val="00700D83"/>
    <w:rsid w:val="00704852"/>
    <w:rsid w:val="0070524B"/>
    <w:rsid w:val="007074E9"/>
    <w:rsid w:val="00713DA4"/>
    <w:rsid w:val="00714BF1"/>
    <w:rsid w:val="007169FE"/>
    <w:rsid w:val="00717374"/>
    <w:rsid w:val="00717DFA"/>
    <w:rsid w:val="00721383"/>
    <w:rsid w:val="0072298A"/>
    <w:rsid w:val="00722DB6"/>
    <w:rsid w:val="007300EF"/>
    <w:rsid w:val="0073158B"/>
    <w:rsid w:val="00731D81"/>
    <w:rsid w:val="007333CC"/>
    <w:rsid w:val="0073399A"/>
    <w:rsid w:val="007368DB"/>
    <w:rsid w:val="00740DAD"/>
    <w:rsid w:val="00742AF3"/>
    <w:rsid w:val="00751D90"/>
    <w:rsid w:val="007603F5"/>
    <w:rsid w:val="00763348"/>
    <w:rsid w:val="00764DB0"/>
    <w:rsid w:val="0076694A"/>
    <w:rsid w:val="00766D86"/>
    <w:rsid w:val="0076764D"/>
    <w:rsid w:val="00773FF8"/>
    <w:rsid w:val="0077498C"/>
    <w:rsid w:val="007809BC"/>
    <w:rsid w:val="00782BA7"/>
    <w:rsid w:val="00784128"/>
    <w:rsid w:val="00787BCC"/>
    <w:rsid w:val="00793173"/>
    <w:rsid w:val="007A2A33"/>
    <w:rsid w:val="007A5171"/>
    <w:rsid w:val="007A7B34"/>
    <w:rsid w:val="007B57F4"/>
    <w:rsid w:val="007B5C89"/>
    <w:rsid w:val="007B60F2"/>
    <w:rsid w:val="007C1FCC"/>
    <w:rsid w:val="007C6201"/>
    <w:rsid w:val="007D7C92"/>
    <w:rsid w:val="007E1154"/>
    <w:rsid w:val="007E1674"/>
    <w:rsid w:val="007E2919"/>
    <w:rsid w:val="007E46A8"/>
    <w:rsid w:val="007E5ED6"/>
    <w:rsid w:val="007E6BA4"/>
    <w:rsid w:val="007F41F8"/>
    <w:rsid w:val="007F659B"/>
    <w:rsid w:val="008008C0"/>
    <w:rsid w:val="0080441E"/>
    <w:rsid w:val="0080454E"/>
    <w:rsid w:val="00804C32"/>
    <w:rsid w:val="00806302"/>
    <w:rsid w:val="00807119"/>
    <w:rsid w:val="00823DDB"/>
    <w:rsid w:val="0082483F"/>
    <w:rsid w:val="008250C9"/>
    <w:rsid w:val="008279C0"/>
    <w:rsid w:val="00834697"/>
    <w:rsid w:val="0083493A"/>
    <w:rsid w:val="00837417"/>
    <w:rsid w:val="00842DC4"/>
    <w:rsid w:val="00845F11"/>
    <w:rsid w:val="008545EC"/>
    <w:rsid w:val="00862946"/>
    <w:rsid w:val="008673A1"/>
    <w:rsid w:val="00867701"/>
    <w:rsid w:val="00871C74"/>
    <w:rsid w:val="008723F3"/>
    <w:rsid w:val="00876F56"/>
    <w:rsid w:val="00880000"/>
    <w:rsid w:val="00881DE6"/>
    <w:rsid w:val="008837A6"/>
    <w:rsid w:val="0089145D"/>
    <w:rsid w:val="00891690"/>
    <w:rsid w:val="00897DD0"/>
    <w:rsid w:val="008A4DF2"/>
    <w:rsid w:val="008A6CFE"/>
    <w:rsid w:val="008B06A7"/>
    <w:rsid w:val="008B293E"/>
    <w:rsid w:val="008B3AB4"/>
    <w:rsid w:val="008B4F63"/>
    <w:rsid w:val="008B5333"/>
    <w:rsid w:val="008B58D5"/>
    <w:rsid w:val="008B5B5A"/>
    <w:rsid w:val="008B5C1B"/>
    <w:rsid w:val="008B6223"/>
    <w:rsid w:val="008B72B8"/>
    <w:rsid w:val="008C0D86"/>
    <w:rsid w:val="008C4679"/>
    <w:rsid w:val="008C66E0"/>
    <w:rsid w:val="008D1616"/>
    <w:rsid w:val="008D2A0A"/>
    <w:rsid w:val="008E07C5"/>
    <w:rsid w:val="008E3339"/>
    <w:rsid w:val="008E580D"/>
    <w:rsid w:val="008F20FC"/>
    <w:rsid w:val="008F5FFE"/>
    <w:rsid w:val="00902F49"/>
    <w:rsid w:val="00905A43"/>
    <w:rsid w:val="009076AD"/>
    <w:rsid w:val="00907E3E"/>
    <w:rsid w:val="00910DA6"/>
    <w:rsid w:val="00912C79"/>
    <w:rsid w:val="00913D51"/>
    <w:rsid w:val="00917DAB"/>
    <w:rsid w:val="00921B8C"/>
    <w:rsid w:val="00924DAF"/>
    <w:rsid w:val="00931CB6"/>
    <w:rsid w:val="00931D14"/>
    <w:rsid w:val="009331C1"/>
    <w:rsid w:val="00933258"/>
    <w:rsid w:val="00942123"/>
    <w:rsid w:val="00943409"/>
    <w:rsid w:val="009452DF"/>
    <w:rsid w:val="00951AA8"/>
    <w:rsid w:val="0095207B"/>
    <w:rsid w:val="00962045"/>
    <w:rsid w:val="00963A11"/>
    <w:rsid w:val="00980E61"/>
    <w:rsid w:val="009821EF"/>
    <w:rsid w:val="00991428"/>
    <w:rsid w:val="00992676"/>
    <w:rsid w:val="009954B2"/>
    <w:rsid w:val="00996691"/>
    <w:rsid w:val="009A0952"/>
    <w:rsid w:val="009A1C05"/>
    <w:rsid w:val="009A3AB7"/>
    <w:rsid w:val="009B0723"/>
    <w:rsid w:val="009B07AD"/>
    <w:rsid w:val="009B0883"/>
    <w:rsid w:val="009B15E2"/>
    <w:rsid w:val="009B4976"/>
    <w:rsid w:val="009C0B8E"/>
    <w:rsid w:val="009C1BC8"/>
    <w:rsid w:val="009C2442"/>
    <w:rsid w:val="009C6B01"/>
    <w:rsid w:val="009D0811"/>
    <w:rsid w:val="009D0EE1"/>
    <w:rsid w:val="009D3AF0"/>
    <w:rsid w:val="009D68AC"/>
    <w:rsid w:val="009E033B"/>
    <w:rsid w:val="009E2AEB"/>
    <w:rsid w:val="009E2E27"/>
    <w:rsid w:val="009E30F4"/>
    <w:rsid w:val="009E45DF"/>
    <w:rsid w:val="009E4DE3"/>
    <w:rsid w:val="009E6894"/>
    <w:rsid w:val="009E76F6"/>
    <w:rsid w:val="009F275E"/>
    <w:rsid w:val="009F3727"/>
    <w:rsid w:val="009F5056"/>
    <w:rsid w:val="009F7CA3"/>
    <w:rsid w:val="00A016BB"/>
    <w:rsid w:val="00A047EE"/>
    <w:rsid w:val="00A05F93"/>
    <w:rsid w:val="00A14E6A"/>
    <w:rsid w:val="00A21DF1"/>
    <w:rsid w:val="00A2274A"/>
    <w:rsid w:val="00A235B7"/>
    <w:rsid w:val="00A27A7A"/>
    <w:rsid w:val="00A34ABE"/>
    <w:rsid w:val="00A37BA6"/>
    <w:rsid w:val="00A407EF"/>
    <w:rsid w:val="00A446A1"/>
    <w:rsid w:val="00A46B4C"/>
    <w:rsid w:val="00A5117B"/>
    <w:rsid w:val="00A51400"/>
    <w:rsid w:val="00A531F9"/>
    <w:rsid w:val="00A56D34"/>
    <w:rsid w:val="00A60074"/>
    <w:rsid w:val="00A62A62"/>
    <w:rsid w:val="00A6627C"/>
    <w:rsid w:val="00A67CF6"/>
    <w:rsid w:val="00A71019"/>
    <w:rsid w:val="00A75CDC"/>
    <w:rsid w:val="00A76060"/>
    <w:rsid w:val="00A81029"/>
    <w:rsid w:val="00A84235"/>
    <w:rsid w:val="00A845F5"/>
    <w:rsid w:val="00A86004"/>
    <w:rsid w:val="00A8790B"/>
    <w:rsid w:val="00A96489"/>
    <w:rsid w:val="00AA01D5"/>
    <w:rsid w:val="00AA2435"/>
    <w:rsid w:val="00AB2425"/>
    <w:rsid w:val="00AB685C"/>
    <w:rsid w:val="00AB6C2D"/>
    <w:rsid w:val="00AC0668"/>
    <w:rsid w:val="00AC08F7"/>
    <w:rsid w:val="00AC114D"/>
    <w:rsid w:val="00AC317D"/>
    <w:rsid w:val="00AC33AB"/>
    <w:rsid w:val="00AC3839"/>
    <w:rsid w:val="00AC3F10"/>
    <w:rsid w:val="00AC7082"/>
    <w:rsid w:val="00AD4BE8"/>
    <w:rsid w:val="00AE5B6F"/>
    <w:rsid w:val="00AE61D2"/>
    <w:rsid w:val="00AF228E"/>
    <w:rsid w:val="00B016A8"/>
    <w:rsid w:val="00B04033"/>
    <w:rsid w:val="00B049DA"/>
    <w:rsid w:val="00B11C77"/>
    <w:rsid w:val="00B14819"/>
    <w:rsid w:val="00B15E2F"/>
    <w:rsid w:val="00B17AA9"/>
    <w:rsid w:val="00B24112"/>
    <w:rsid w:val="00B2671B"/>
    <w:rsid w:val="00B271DA"/>
    <w:rsid w:val="00B36BF6"/>
    <w:rsid w:val="00B44713"/>
    <w:rsid w:val="00B455E5"/>
    <w:rsid w:val="00B4751A"/>
    <w:rsid w:val="00B51B95"/>
    <w:rsid w:val="00B56103"/>
    <w:rsid w:val="00B604A1"/>
    <w:rsid w:val="00B64929"/>
    <w:rsid w:val="00B663FD"/>
    <w:rsid w:val="00B736DF"/>
    <w:rsid w:val="00B73916"/>
    <w:rsid w:val="00B743D6"/>
    <w:rsid w:val="00B74FBD"/>
    <w:rsid w:val="00B763D7"/>
    <w:rsid w:val="00B77F46"/>
    <w:rsid w:val="00B82586"/>
    <w:rsid w:val="00B829A3"/>
    <w:rsid w:val="00B86DB1"/>
    <w:rsid w:val="00B87869"/>
    <w:rsid w:val="00B94298"/>
    <w:rsid w:val="00B9639B"/>
    <w:rsid w:val="00BA1CFD"/>
    <w:rsid w:val="00BA7422"/>
    <w:rsid w:val="00BB00D7"/>
    <w:rsid w:val="00BB0F2B"/>
    <w:rsid w:val="00BB22DB"/>
    <w:rsid w:val="00BE4FF3"/>
    <w:rsid w:val="00BE6F46"/>
    <w:rsid w:val="00BF2C93"/>
    <w:rsid w:val="00BF2EED"/>
    <w:rsid w:val="00BF3916"/>
    <w:rsid w:val="00BF50F7"/>
    <w:rsid w:val="00BF522A"/>
    <w:rsid w:val="00BF5CA7"/>
    <w:rsid w:val="00C02F29"/>
    <w:rsid w:val="00C0763F"/>
    <w:rsid w:val="00C17718"/>
    <w:rsid w:val="00C20AFE"/>
    <w:rsid w:val="00C22A25"/>
    <w:rsid w:val="00C305F5"/>
    <w:rsid w:val="00C35671"/>
    <w:rsid w:val="00C35B77"/>
    <w:rsid w:val="00C376EB"/>
    <w:rsid w:val="00C46A92"/>
    <w:rsid w:val="00C46EC1"/>
    <w:rsid w:val="00C515F1"/>
    <w:rsid w:val="00C52796"/>
    <w:rsid w:val="00C53E2C"/>
    <w:rsid w:val="00C550C8"/>
    <w:rsid w:val="00C55824"/>
    <w:rsid w:val="00C56B61"/>
    <w:rsid w:val="00C606C3"/>
    <w:rsid w:val="00C620F4"/>
    <w:rsid w:val="00C72848"/>
    <w:rsid w:val="00C7736C"/>
    <w:rsid w:val="00C82D87"/>
    <w:rsid w:val="00C83A45"/>
    <w:rsid w:val="00C8712A"/>
    <w:rsid w:val="00C902C8"/>
    <w:rsid w:val="00C91062"/>
    <w:rsid w:val="00C919D1"/>
    <w:rsid w:val="00C963D3"/>
    <w:rsid w:val="00CA3D78"/>
    <w:rsid w:val="00CB1983"/>
    <w:rsid w:val="00CB1DB2"/>
    <w:rsid w:val="00CB2CBB"/>
    <w:rsid w:val="00CB58F4"/>
    <w:rsid w:val="00CB7CAC"/>
    <w:rsid w:val="00CC51CA"/>
    <w:rsid w:val="00CC5335"/>
    <w:rsid w:val="00CC5BA4"/>
    <w:rsid w:val="00CD4998"/>
    <w:rsid w:val="00CD7450"/>
    <w:rsid w:val="00CE1035"/>
    <w:rsid w:val="00CE447D"/>
    <w:rsid w:val="00CE6E50"/>
    <w:rsid w:val="00CF1783"/>
    <w:rsid w:val="00CF2819"/>
    <w:rsid w:val="00CF4F9D"/>
    <w:rsid w:val="00CF6E3C"/>
    <w:rsid w:val="00CF70DC"/>
    <w:rsid w:val="00D01697"/>
    <w:rsid w:val="00D148DC"/>
    <w:rsid w:val="00D17FDC"/>
    <w:rsid w:val="00D21D8C"/>
    <w:rsid w:val="00D21F6C"/>
    <w:rsid w:val="00D4110F"/>
    <w:rsid w:val="00D47993"/>
    <w:rsid w:val="00D53719"/>
    <w:rsid w:val="00D55443"/>
    <w:rsid w:val="00D56330"/>
    <w:rsid w:val="00D63EFD"/>
    <w:rsid w:val="00D64827"/>
    <w:rsid w:val="00D672BB"/>
    <w:rsid w:val="00D67544"/>
    <w:rsid w:val="00D84752"/>
    <w:rsid w:val="00D86B3B"/>
    <w:rsid w:val="00D8748A"/>
    <w:rsid w:val="00D93196"/>
    <w:rsid w:val="00DA0DC0"/>
    <w:rsid w:val="00DA197C"/>
    <w:rsid w:val="00DA3E92"/>
    <w:rsid w:val="00DB243C"/>
    <w:rsid w:val="00DB482A"/>
    <w:rsid w:val="00DB4909"/>
    <w:rsid w:val="00DB50FB"/>
    <w:rsid w:val="00DB56F2"/>
    <w:rsid w:val="00DB6EF5"/>
    <w:rsid w:val="00DC3089"/>
    <w:rsid w:val="00DC4420"/>
    <w:rsid w:val="00DD0802"/>
    <w:rsid w:val="00DD2E11"/>
    <w:rsid w:val="00DE03AF"/>
    <w:rsid w:val="00DE121C"/>
    <w:rsid w:val="00DE5980"/>
    <w:rsid w:val="00DE6633"/>
    <w:rsid w:val="00DF389C"/>
    <w:rsid w:val="00DF75F8"/>
    <w:rsid w:val="00DF7A3A"/>
    <w:rsid w:val="00E007ED"/>
    <w:rsid w:val="00E00C00"/>
    <w:rsid w:val="00E07C5A"/>
    <w:rsid w:val="00E15BA9"/>
    <w:rsid w:val="00E26E19"/>
    <w:rsid w:val="00E31DF3"/>
    <w:rsid w:val="00E417A2"/>
    <w:rsid w:val="00E443D7"/>
    <w:rsid w:val="00E44929"/>
    <w:rsid w:val="00E450A4"/>
    <w:rsid w:val="00E506BE"/>
    <w:rsid w:val="00E55547"/>
    <w:rsid w:val="00E55B4A"/>
    <w:rsid w:val="00E604E0"/>
    <w:rsid w:val="00E6302B"/>
    <w:rsid w:val="00E6452F"/>
    <w:rsid w:val="00E64F45"/>
    <w:rsid w:val="00E6742D"/>
    <w:rsid w:val="00E70FD7"/>
    <w:rsid w:val="00E71CB0"/>
    <w:rsid w:val="00E77B45"/>
    <w:rsid w:val="00E77C3D"/>
    <w:rsid w:val="00E82787"/>
    <w:rsid w:val="00E833F4"/>
    <w:rsid w:val="00E879DD"/>
    <w:rsid w:val="00E90991"/>
    <w:rsid w:val="00E909F0"/>
    <w:rsid w:val="00E90D47"/>
    <w:rsid w:val="00E9157F"/>
    <w:rsid w:val="00E929B7"/>
    <w:rsid w:val="00E93225"/>
    <w:rsid w:val="00E93993"/>
    <w:rsid w:val="00E94797"/>
    <w:rsid w:val="00E9597C"/>
    <w:rsid w:val="00EA0913"/>
    <w:rsid w:val="00EA3B38"/>
    <w:rsid w:val="00EA434A"/>
    <w:rsid w:val="00EA5B00"/>
    <w:rsid w:val="00EB146B"/>
    <w:rsid w:val="00EB45AC"/>
    <w:rsid w:val="00EB4718"/>
    <w:rsid w:val="00EC441F"/>
    <w:rsid w:val="00EC4755"/>
    <w:rsid w:val="00EC73F4"/>
    <w:rsid w:val="00ED0BC4"/>
    <w:rsid w:val="00ED447D"/>
    <w:rsid w:val="00EE3D42"/>
    <w:rsid w:val="00EE4971"/>
    <w:rsid w:val="00EE6CB0"/>
    <w:rsid w:val="00EF090E"/>
    <w:rsid w:val="00EF5572"/>
    <w:rsid w:val="00F01D7D"/>
    <w:rsid w:val="00F033DA"/>
    <w:rsid w:val="00F03E73"/>
    <w:rsid w:val="00F13691"/>
    <w:rsid w:val="00F13FB1"/>
    <w:rsid w:val="00F253AE"/>
    <w:rsid w:val="00F27CD8"/>
    <w:rsid w:val="00F30351"/>
    <w:rsid w:val="00F30718"/>
    <w:rsid w:val="00F3323E"/>
    <w:rsid w:val="00F341F4"/>
    <w:rsid w:val="00F345CC"/>
    <w:rsid w:val="00F34670"/>
    <w:rsid w:val="00F34F9D"/>
    <w:rsid w:val="00F35CCE"/>
    <w:rsid w:val="00F37CD8"/>
    <w:rsid w:val="00F41146"/>
    <w:rsid w:val="00F503E7"/>
    <w:rsid w:val="00F50D33"/>
    <w:rsid w:val="00F5524B"/>
    <w:rsid w:val="00F57A57"/>
    <w:rsid w:val="00F60538"/>
    <w:rsid w:val="00F6194E"/>
    <w:rsid w:val="00F61DD2"/>
    <w:rsid w:val="00F62E7A"/>
    <w:rsid w:val="00F63D75"/>
    <w:rsid w:val="00F66AFF"/>
    <w:rsid w:val="00F70126"/>
    <w:rsid w:val="00F71433"/>
    <w:rsid w:val="00F81CF7"/>
    <w:rsid w:val="00F87B04"/>
    <w:rsid w:val="00F95B63"/>
    <w:rsid w:val="00F97C5B"/>
    <w:rsid w:val="00FA12B9"/>
    <w:rsid w:val="00FA3D50"/>
    <w:rsid w:val="00FA417D"/>
    <w:rsid w:val="00FB31D6"/>
    <w:rsid w:val="00FB7FBD"/>
    <w:rsid w:val="00FC151D"/>
    <w:rsid w:val="00FC374A"/>
    <w:rsid w:val="00FC74C8"/>
    <w:rsid w:val="00FC7B47"/>
    <w:rsid w:val="00FC7B66"/>
    <w:rsid w:val="00FC7C9B"/>
    <w:rsid w:val="00FD035C"/>
    <w:rsid w:val="00FD1A35"/>
    <w:rsid w:val="00FD2EA4"/>
    <w:rsid w:val="00FD36C5"/>
    <w:rsid w:val="00FD6310"/>
    <w:rsid w:val="00FD7C7B"/>
    <w:rsid w:val="00FE1D12"/>
    <w:rsid w:val="00FE2122"/>
    <w:rsid w:val="00FE2A86"/>
    <w:rsid w:val="00FE2DE2"/>
    <w:rsid w:val="00FF296F"/>
    <w:rsid w:val="00FF43F2"/>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1">
    <w:name w:val="heading 1"/>
    <w:basedOn w:val="Normal"/>
    <w:link w:val="Heading1Char"/>
    <w:uiPriority w:val="9"/>
    <w:qFormat/>
    <w:rsid w:val="00B36BF6"/>
    <w:pPr>
      <w:spacing w:before="100" w:beforeAutospacing="1" w:after="100" w:afterAutospacing="1"/>
      <w:outlineLvl w:val="0"/>
    </w:pPr>
    <w:rPr>
      <w:rFonts w:ascii="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EndnoteText">
    <w:name w:val="endnote text"/>
    <w:basedOn w:val="Normal"/>
    <w:link w:val="EndnoteTextChar"/>
    <w:uiPriority w:val="99"/>
    <w:semiHidden/>
    <w:unhideWhenUsed/>
    <w:rsid w:val="00F57A57"/>
    <w:rPr>
      <w:szCs w:val="20"/>
    </w:rPr>
  </w:style>
  <w:style w:type="character" w:customStyle="1" w:styleId="EndnoteTextChar">
    <w:name w:val="Endnote Text Char"/>
    <w:basedOn w:val="DefaultParagraphFont"/>
    <w:link w:val="EndnoteText"/>
    <w:uiPriority w:val="99"/>
    <w:semiHidden/>
    <w:rsid w:val="00F57A57"/>
    <w:rPr>
      <w:rFonts w:eastAsia="Times New Roman"/>
      <w:sz w:val="20"/>
      <w:szCs w:val="20"/>
    </w:rPr>
  </w:style>
  <w:style w:type="character" w:styleId="EndnoteReference">
    <w:name w:val="endnote reference"/>
    <w:basedOn w:val="DefaultParagraphFont"/>
    <w:uiPriority w:val="99"/>
    <w:semiHidden/>
    <w:unhideWhenUsed/>
    <w:rsid w:val="00F57A57"/>
    <w:rPr>
      <w:vertAlign w:val="superscript"/>
    </w:rPr>
  </w:style>
  <w:style w:type="character" w:customStyle="1" w:styleId="Heading1Char">
    <w:name w:val="Heading 1 Char"/>
    <w:basedOn w:val="DefaultParagraphFont"/>
    <w:link w:val="Heading1"/>
    <w:uiPriority w:val="9"/>
    <w:rsid w:val="00B36BF6"/>
    <w:rPr>
      <w:rFonts w:ascii="Times New Roman" w:eastAsia="Times New Roman" w:hAnsi="Times New Roman" w:cs="Times New Roman"/>
      <w:b/>
      <w:bCs/>
      <w:kern w:val="36"/>
      <w:sz w:val="48"/>
      <w:szCs w:val="48"/>
      <w:lang w:val="en-IN" w:eastAsia="en-IN"/>
    </w:rPr>
  </w:style>
  <w:style w:type="character" w:styleId="UnresolvedMention">
    <w:name w:val="Unresolved Mention"/>
    <w:basedOn w:val="DefaultParagraphFont"/>
    <w:uiPriority w:val="99"/>
    <w:semiHidden/>
    <w:unhideWhenUsed/>
    <w:rsid w:val="009E3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660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k.practicallaw.thomsonreuters.com/9-501-6812?originationContext=document&amp;transitionType=DocumentItem&amp;contextData=(sc.Default)&amp;ppcid=f76dcdb6d7bb443e9287f1dc01197f4d&amp;comp=pluk" TargetMode="External"/><Relationship Id="rId1" Type="http://schemas.openxmlformats.org/officeDocument/2006/relationships/hyperlink" Target="https://www.stevens-bolton.com/site/insights/articles/overview-essential-supplier-regime-insolvency-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14</Pages>
  <Words>4672</Words>
  <Characters>26635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Rashika Sharma</cp:lastModifiedBy>
  <cp:revision>321</cp:revision>
  <cp:lastPrinted>2019-08-27T05:42:00Z</cp:lastPrinted>
  <dcterms:created xsi:type="dcterms:W3CDTF">2023-02-23T19:10:00Z</dcterms:created>
  <dcterms:modified xsi:type="dcterms:W3CDTF">2023-02-25T06:29:00Z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