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276E42">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276E42">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4C7719" w:rsidRDefault="00436884" w:rsidP="00276E42">
      <w:pPr>
        <w:pStyle w:val="ListParagraph"/>
        <w:numPr>
          <w:ilvl w:val="0"/>
          <w:numId w:val="1"/>
        </w:numPr>
        <w:ind w:left="426"/>
        <w:jc w:val="both"/>
        <w:rPr>
          <w:rFonts w:ascii="Avenir Next" w:hAnsi="Avenir Next" w:cs="Arial"/>
          <w:sz w:val="22"/>
          <w:szCs w:val="22"/>
          <w:highlight w:val="yellow"/>
          <w:lang w:val="en-GB"/>
        </w:rPr>
      </w:pPr>
      <w:r w:rsidRPr="004C7719">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276E42">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276E4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276E4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276E4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8326AD" w:rsidRDefault="00436884" w:rsidP="00276E42">
      <w:pPr>
        <w:pStyle w:val="ListParagraph"/>
        <w:numPr>
          <w:ilvl w:val="0"/>
          <w:numId w:val="2"/>
        </w:numPr>
        <w:ind w:left="426"/>
        <w:jc w:val="both"/>
        <w:rPr>
          <w:rFonts w:ascii="Avenir Next" w:hAnsi="Avenir Next" w:cs="Arial"/>
          <w:sz w:val="22"/>
          <w:szCs w:val="22"/>
          <w:highlight w:val="yellow"/>
          <w:lang w:val="en-GB"/>
        </w:rPr>
      </w:pPr>
      <w:r w:rsidRPr="008326AD">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276E4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276E4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646123" w:rsidRDefault="00853A74" w:rsidP="00276E42">
      <w:pPr>
        <w:pStyle w:val="ListParagraph"/>
        <w:numPr>
          <w:ilvl w:val="0"/>
          <w:numId w:val="3"/>
        </w:numPr>
        <w:ind w:left="426"/>
        <w:jc w:val="both"/>
        <w:rPr>
          <w:rFonts w:ascii="Avenir Next" w:hAnsi="Avenir Next" w:cs="Arial"/>
          <w:sz w:val="22"/>
          <w:szCs w:val="22"/>
          <w:highlight w:val="yellow"/>
          <w:lang w:val="en-GB"/>
        </w:rPr>
      </w:pPr>
      <w:r w:rsidRPr="00646123">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276E4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276E4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F6530" w:rsidRDefault="00436884" w:rsidP="00276E42">
      <w:pPr>
        <w:pStyle w:val="ListParagraph"/>
        <w:numPr>
          <w:ilvl w:val="0"/>
          <w:numId w:val="4"/>
        </w:numPr>
        <w:ind w:left="426"/>
        <w:jc w:val="both"/>
        <w:rPr>
          <w:rFonts w:ascii="Avenir Next" w:hAnsi="Avenir Next" w:cs="Arial"/>
          <w:sz w:val="22"/>
          <w:szCs w:val="22"/>
          <w:highlight w:val="yellow"/>
          <w:lang w:val="en-GB"/>
        </w:rPr>
      </w:pPr>
      <w:r w:rsidRPr="003F653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276E4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276E4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276E4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276E4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0625CD" w:rsidRDefault="00C504E5" w:rsidP="00276E42">
      <w:pPr>
        <w:pStyle w:val="ListParagraph"/>
        <w:numPr>
          <w:ilvl w:val="0"/>
          <w:numId w:val="5"/>
        </w:numPr>
        <w:ind w:left="426"/>
        <w:jc w:val="both"/>
        <w:rPr>
          <w:rFonts w:ascii="Avenir Next" w:hAnsi="Avenir Next" w:cs="Arial"/>
          <w:sz w:val="22"/>
          <w:szCs w:val="22"/>
          <w:highlight w:val="yellow"/>
          <w:lang w:val="en-GB"/>
        </w:rPr>
      </w:pPr>
      <w:r w:rsidRPr="000625CD">
        <w:rPr>
          <w:rFonts w:ascii="Avenir Next" w:hAnsi="Avenir Next" w:cs="Arial"/>
          <w:sz w:val="22"/>
          <w:szCs w:val="22"/>
          <w:highlight w:val="yellow"/>
          <w:lang w:val="en-GB"/>
        </w:rPr>
        <w:t xml:space="preserve">Both the foreign main proceedings in South Africa and the foreign non-main proceedings in </w:t>
      </w:r>
      <w:r w:rsidR="004137C3" w:rsidRPr="000625CD">
        <w:rPr>
          <w:rFonts w:ascii="Avenir Next" w:hAnsi="Avenir Next" w:cs="Arial"/>
          <w:sz w:val="22"/>
          <w:szCs w:val="22"/>
          <w:highlight w:val="yellow"/>
          <w:lang w:val="en-GB"/>
        </w:rPr>
        <w:t xml:space="preserve">Argentina </w:t>
      </w:r>
      <w:r w:rsidRPr="000625CD">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276E4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276E4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276E4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276E4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C67AFC" w:rsidRDefault="00B72F5F" w:rsidP="00276E42">
      <w:pPr>
        <w:pStyle w:val="ListParagraph"/>
        <w:numPr>
          <w:ilvl w:val="0"/>
          <w:numId w:val="6"/>
        </w:numPr>
        <w:ind w:left="426"/>
        <w:jc w:val="both"/>
        <w:rPr>
          <w:rFonts w:ascii="Avenir Next" w:hAnsi="Avenir Next" w:cs="Arial"/>
          <w:sz w:val="22"/>
          <w:szCs w:val="22"/>
          <w:highlight w:val="yellow"/>
          <w:lang w:val="en-GB"/>
        </w:rPr>
      </w:pPr>
      <w:r w:rsidRPr="00C67AFC">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67AFC">
        <w:rPr>
          <w:rFonts w:ascii="Avenir Next" w:hAnsi="Avenir Next" w:cs="Arial"/>
          <w:sz w:val="22"/>
          <w:szCs w:val="22"/>
          <w:highlight w:val="yellow"/>
          <w:lang w:val="en-GB"/>
        </w:rPr>
        <w:t>will</w:t>
      </w:r>
      <w:r w:rsidRPr="00C67AFC">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276E4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AA03EA" w:rsidRDefault="00436884" w:rsidP="00276E42">
      <w:pPr>
        <w:pStyle w:val="ListParagraph"/>
        <w:numPr>
          <w:ilvl w:val="0"/>
          <w:numId w:val="7"/>
        </w:numPr>
        <w:ind w:left="426"/>
        <w:jc w:val="both"/>
        <w:rPr>
          <w:rFonts w:ascii="Avenir Next" w:hAnsi="Avenir Next" w:cs="Arial"/>
          <w:sz w:val="22"/>
          <w:szCs w:val="22"/>
          <w:highlight w:val="yellow"/>
          <w:lang w:val="en-GB"/>
        </w:rPr>
      </w:pPr>
      <w:r w:rsidRPr="00AA03EA">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276E4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276E4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3A716D" w:rsidRDefault="00436884" w:rsidP="00276E42">
      <w:pPr>
        <w:pStyle w:val="ListParagraph"/>
        <w:numPr>
          <w:ilvl w:val="0"/>
          <w:numId w:val="8"/>
        </w:numPr>
        <w:ind w:left="426"/>
        <w:jc w:val="both"/>
        <w:rPr>
          <w:rFonts w:ascii="Avenir Next" w:hAnsi="Avenir Next" w:cs="Arial"/>
          <w:sz w:val="22"/>
          <w:szCs w:val="22"/>
          <w:highlight w:val="yellow"/>
          <w:lang w:val="en-GB"/>
        </w:rPr>
      </w:pPr>
      <w:r w:rsidRPr="003A716D">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276E4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276E4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276E42">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276E4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276E4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625C44" w:rsidRDefault="00436884" w:rsidP="00276E42">
      <w:pPr>
        <w:pStyle w:val="ListParagraph"/>
        <w:numPr>
          <w:ilvl w:val="0"/>
          <w:numId w:val="9"/>
        </w:numPr>
        <w:ind w:left="426"/>
        <w:jc w:val="both"/>
        <w:rPr>
          <w:rFonts w:ascii="Avenir Next" w:hAnsi="Avenir Next" w:cs="Arial"/>
          <w:sz w:val="22"/>
          <w:szCs w:val="22"/>
          <w:highlight w:val="yellow"/>
          <w:lang w:val="en-GB"/>
        </w:rPr>
      </w:pPr>
      <w:r w:rsidRPr="00625C4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276E4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D4C23" w:rsidRDefault="00436884" w:rsidP="00276E42">
      <w:pPr>
        <w:pStyle w:val="ListParagraph"/>
        <w:numPr>
          <w:ilvl w:val="0"/>
          <w:numId w:val="10"/>
        </w:numPr>
        <w:ind w:left="426"/>
        <w:jc w:val="both"/>
        <w:rPr>
          <w:rFonts w:ascii="Avenir Next" w:hAnsi="Avenir Next" w:cs="Arial"/>
          <w:sz w:val="22"/>
          <w:szCs w:val="22"/>
          <w:highlight w:val="yellow"/>
          <w:lang w:val="en-GB"/>
        </w:rPr>
      </w:pPr>
      <w:r w:rsidRPr="00BD4C23">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D4C23">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276E42">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276E42">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276E42">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0E37130E" w:rsidR="00B77352" w:rsidRPr="00AC125C" w:rsidRDefault="00D134FB" w:rsidP="00AC125C">
      <w:pPr>
        <w:tabs>
          <w:tab w:val="left" w:pos="4730"/>
        </w:tabs>
        <w:ind w:left="720" w:hanging="720"/>
        <w:jc w:val="both"/>
        <w:rPr>
          <w:rFonts w:ascii="Avenir Next" w:hAnsi="Avenir Next" w:cs="Arial"/>
          <w:sz w:val="22"/>
          <w:szCs w:val="22"/>
          <w:lang w:val="en-IN"/>
        </w:rPr>
      </w:pPr>
      <w:r>
        <w:rPr>
          <w:rFonts w:ascii="Avenir Next" w:hAnsi="Avenir Next" w:cs="Arial"/>
          <w:color w:val="808080" w:themeColor="background1" w:themeShade="80"/>
          <w:sz w:val="22"/>
          <w:szCs w:val="22"/>
          <w:lang w:val="en-GB"/>
        </w:rPr>
        <w:t xml:space="preserve">              </w:t>
      </w:r>
      <w:r w:rsidR="00AC125C">
        <w:rPr>
          <w:rFonts w:ascii="Avenir Next" w:hAnsi="Avenir Next" w:cs="Arial"/>
          <w:color w:val="808080" w:themeColor="background1" w:themeShade="80"/>
          <w:sz w:val="22"/>
          <w:szCs w:val="22"/>
          <w:lang w:val="en-GB"/>
        </w:rPr>
        <w:t xml:space="preserve">The Model Law does not lay down a decisive and conclusive recommendation in relation to the date for determining the COMI of a debtor. However, reference can be made to Article 17 (2)(a) of the Model Law, which states that a ‘foreign proceeding shall be recognised as a foreign main proceeding if it </w:t>
      </w:r>
      <w:r w:rsidR="00AC125C" w:rsidRPr="00E77322">
        <w:rPr>
          <w:rFonts w:ascii="Avenir Next" w:hAnsi="Avenir Next" w:cs="Arial"/>
          <w:i/>
          <w:iCs/>
          <w:color w:val="808080" w:themeColor="background1" w:themeShade="80"/>
          <w:sz w:val="22"/>
          <w:szCs w:val="22"/>
          <w:lang w:val="en-GB"/>
        </w:rPr>
        <w:t>is taking place</w:t>
      </w:r>
      <w:r w:rsidR="00AC125C">
        <w:rPr>
          <w:rFonts w:ascii="Avenir Next" w:hAnsi="Avenir Next" w:cs="Arial"/>
          <w:color w:val="808080" w:themeColor="background1" w:themeShade="80"/>
          <w:sz w:val="22"/>
          <w:szCs w:val="22"/>
          <w:lang w:val="en-GB"/>
        </w:rPr>
        <w:t xml:space="preserve"> in the State where the debtor has its centre of main interest</w:t>
      </w:r>
      <w:r w:rsidR="00E77322">
        <w:rPr>
          <w:rFonts w:ascii="Avenir Next" w:hAnsi="Avenir Next" w:cs="Arial"/>
          <w:color w:val="808080" w:themeColor="background1" w:themeShade="80"/>
          <w:sz w:val="22"/>
          <w:szCs w:val="22"/>
          <w:lang w:val="en-GB"/>
        </w:rPr>
        <w:t>’</w:t>
      </w:r>
      <w:r w:rsidR="00AC125C">
        <w:rPr>
          <w:rFonts w:ascii="Avenir Next" w:hAnsi="Avenir Next" w:cs="Arial"/>
          <w:color w:val="808080" w:themeColor="background1" w:themeShade="80"/>
          <w:sz w:val="22"/>
          <w:szCs w:val="22"/>
          <w:lang w:val="en-GB"/>
        </w:rPr>
        <w:t xml:space="preserve">. The use of the present tense in the aforesaid, gives us the primary understanding that the foreign insolvency/liquidation proceedings should be pending and sub-judice at the time when a recognition application is referenced </w:t>
      </w:r>
      <w:r w:rsidR="0048359B">
        <w:rPr>
          <w:rFonts w:ascii="Avenir Next" w:hAnsi="Avenir Next" w:cs="Arial"/>
          <w:color w:val="808080" w:themeColor="background1" w:themeShade="80"/>
          <w:sz w:val="22"/>
          <w:szCs w:val="22"/>
          <w:lang w:val="en-GB"/>
        </w:rPr>
        <w:t>before</w:t>
      </w:r>
      <w:r w:rsidR="00AC125C">
        <w:rPr>
          <w:rFonts w:ascii="Avenir Next" w:hAnsi="Avenir Next" w:cs="Arial"/>
          <w:color w:val="808080" w:themeColor="background1" w:themeShade="80"/>
          <w:sz w:val="22"/>
          <w:szCs w:val="22"/>
          <w:lang w:val="en-GB"/>
        </w:rPr>
        <w:t xml:space="preserve"> the relevant court in the enacting state. </w:t>
      </w:r>
      <w:r w:rsidR="009505A8">
        <w:rPr>
          <w:rFonts w:ascii="Avenir Next" w:hAnsi="Avenir Next" w:cs="Arial"/>
          <w:color w:val="808080" w:themeColor="background1" w:themeShade="80"/>
          <w:sz w:val="22"/>
          <w:szCs w:val="22"/>
          <w:lang w:val="en-GB"/>
        </w:rPr>
        <w:t xml:space="preserve">Hence broadly it has been understood </w:t>
      </w:r>
      <w:r w:rsidR="00645680">
        <w:rPr>
          <w:rFonts w:ascii="Avenir Next" w:hAnsi="Avenir Next" w:cs="Arial"/>
          <w:color w:val="808080" w:themeColor="background1" w:themeShade="80"/>
          <w:sz w:val="22"/>
          <w:szCs w:val="22"/>
          <w:lang w:val="en-GB"/>
        </w:rPr>
        <w:t xml:space="preserve">that </w:t>
      </w:r>
      <w:r w:rsidR="009505A8">
        <w:rPr>
          <w:rFonts w:ascii="Avenir Next" w:hAnsi="Avenir Next" w:cs="Arial"/>
          <w:color w:val="808080" w:themeColor="background1" w:themeShade="80"/>
          <w:sz w:val="22"/>
          <w:szCs w:val="22"/>
          <w:lang w:val="en-GB"/>
        </w:rPr>
        <w:t>the appropriate date for determining the COMI should be the same as the one on which the foreign proceedings were admitted or commenced. However, it is pertinent to note that</w:t>
      </w:r>
      <w:r w:rsidR="00645680">
        <w:rPr>
          <w:rFonts w:ascii="Avenir Next" w:hAnsi="Avenir Next" w:cs="Arial"/>
          <w:color w:val="808080" w:themeColor="background1" w:themeShade="80"/>
          <w:sz w:val="22"/>
          <w:szCs w:val="22"/>
          <w:lang w:val="en-GB"/>
        </w:rPr>
        <w:t xml:space="preserve"> the </w:t>
      </w:r>
      <w:r w:rsidR="009505A8">
        <w:rPr>
          <w:rFonts w:ascii="Avenir Next" w:hAnsi="Avenir Next" w:cs="Arial"/>
          <w:color w:val="808080" w:themeColor="background1" w:themeShade="80"/>
          <w:sz w:val="22"/>
          <w:szCs w:val="22"/>
          <w:lang w:val="en-GB"/>
        </w:rPr>
        <w:t xml:space="preserve"> judicial interpretation and applicability of the same has been varied. For instance, in </w:t>
      </w:r>
      <w:r w:rsidR="00417725">
        <w:rPr>
          <w:rFonts w:ascii="Avenir Next" w:hAnsi="Avenir Next" w:cs="Arial"/>
          <w:color w:val="808080" w:themeColor="background1" w:themeShade="80"/>
          <w:sz w:val="22"/>
          <w:szCs w:val="22"/>
          <w:lang w:val="en-GB"/>
        </w:rPr>
        <w:t xml:space="preserve">a </w:t>
      </w:r>
      <w:r w:rsidR="009505A8">
        <w:rPr>
          <w:rFonts w:ascii="Avenir Next" w:hAnsi="Avenir Next" w:cs="Arial"/>
          <w:color w:val="808080" w:themeColor="background1" w:themeShade="80"/>
          <w:sz w:val="22"/>
          <w:szCs w:val="22"/>
          <w:lang w:val="en-GB"/>
        </w:rPr>
        <w:t xml:space="preserve">United States recognition proceedings, the judge considered </w:t>
      </w:r>
      <w:r w:rsidR="00417725">
        <w:rPr>
          <w:rFonts w:ascii="Avenir Next" w:hAnsi="Avenir Next" w:cs="Arial"/>
          <w:color w:val="808080" w:themeColor="background1" w:themeShade="80"/>
          <w:sz w:val="22"/>
          <w:szCs w:val="22"/>
          <w:lang w:val="en-GB"/>
        </w:rPr>
        <w:t xml:space="preserve">that </w:t>
      </w:r>
      <w:r w:rsidR="009505A8">
        <w:rPr>
          <w:rFonts w:ascii="Avenir Next" w:hAnsi="Avenir Next" w:cs="Arial"/>
          <w:color w:val="808080" w:themeColor="background1" w:themeShade="80"/>
          <w:sz w:val="22"/>
          <w:szCs w:val="22"/>
          <w:lang w:val="en-GB"/>
        </w:rPr>
        <w:t>the date of determination of COMI should be the same as on which the application for recognition was made</w:t>
      </w:r>
      <w:r w:rsidR="009505A8">
        <w:rPr>
          <w:rStyle w:val="FootnoteReference"/>
          <w:rFonts w:ascii="Avenir Next" w:hAnsi="Avenir Next" w:cs="Arial"/>
          <w:color w:val="808080" w:themeColor="background1" w:themeShade="80"/>
          <w:sz w:val="22"/>
          <w:szCs w:val="22"/>
          <w:lang w:val="en-GB"/>
        </w:rPr>
        <w:footnoteReference w:id="1"/>
      </w:r>
      <w:r w:rsidR="0048359B">
        <w:rPr>
          <w:rFonts w:ascii="Avenir Next" w:hAnsi="Avenir Next" w:cs="Arial"/>
          <w:color w:val="808080" w:themeColor="background1" w:themeShade="80"/>
          <w:sz w:val="22"/>
          <w:szCs w:val="22"/>
          <w:lang w:val="en-GB"/>
        </w:rPr>
        <w:t xml:space="preserve">, which approach was followed in an array of American cases. To the contrary, in the United Kingdom, the judges have opined that the date of determination should be the same as the </w:t>
      </w:r>
      <w:r w:rsidR="00D3075A">
        <w:rPr>
          <w:rFonts w:ascii="Avenir Next" w:hAnsi="Avenir Next" w:cs="Arial"/>
          <w:color w:val="808080" w:themeColor="background1" w:themeShade="80"/>
          <w:sz w:val="22"/>
          <w:szCs w:val="22"/>
          <w:lang w:val="en-GB"/>
        </w:rPr>
        <w:t>commencement</w:t>
      </w:r>
      <w:r w:rsidR="0048359B">
        <w:rPr>
          <w:rFonts w:ascii="Avenir Next" w:hAnsi="Avenir Next" w:cs="Arial"/>
          <w:color w:val="808080" w:themeColor="background1" w:themeShade="80"/>
          <w:sz w:val="22"/>
          <w:szCs w:val="22"/>
          <w:lang w:val="en-GB"/>
        </w:rPr>
        <w:t xml:space="preserve"> of the foreign </w:t>
      </w:r>
      <w:r w:rsidR="00D3075A">
        <w:rPr>
          <w:rFonts w:ascii="Avenir Next" w:hAnsi="Avenir Next" w:cs="Arial"/>
          <w:color w:val="808080" w:themeColor="background1" w:themeShade="80"/>
          <w:sz w:val="22"/>
          <w:szCs w:val="22"/>
          <w:lang w:val="en-GB"/>
        </w:rPr>
        <w:t>proceedings</w:t>
      </w:r>
      <w:r w:rsidR="0048359B">
        <w:rPr>
          <w:rFonts w:ascii="Avenir Next" w:hAnsi="Avenir Next" w:cs="Arial"/>
          <w:color w:val="808080" w:themeColor="background1" w:themeShade="80"/>
          <w:sz w:val="22"/>
          <w:szCs w:val="22"/>
          <w:lang w:val="en-GB"/>
        </w:rPr>
        <w:t xml:space="preserve">. </w:t>
      </w:r>
      <w:r w:rsidR="00D3075A">
        <w:rPr>
          <w:rFonts w:ascii="Avenir Next" w:hAnsi="Avenir Next" w:cs="Arial"/>
          <w:color w:val="808080" w:themeColor="background1" w:themeShade="80"/>
          <w:sz w:val="22"/>
          <w:szCs w:val="22"/>
          <w:lang w:val="en-GB"/>
        </w:rPr>
        <w:t>Interestingly</w:t>
      </w:r>
      <w:r w:rsidR="0048359B">
        <w:rPr>
          <w:rFonts w:ascii="Avenir Next" w:hAnsi="Avenir Next" w:cs="Arial"/>
          <w:color w:val="808080" w:themeColor="background1" w:themeShade="80"/>
          <w:sz w:val="22"/>
          <w:szCs w:val="22"/>
          <w:lang w:val="en-GB"/>
        </w:rPr>
        <w:t xml:space="preserve">, in two cited cases (one from the United States and one from the United Kingdom), the judges have considered </w:t>
      </w:r>
      <w:r w:rsidR="00605E29">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finer</w:t>
      </w:r>
      <w:r w:rsidR="00605E29">
        <w:rPr>
          <w:rFonts w:ascii="Avenir Next" w:hAnsi="Avenir Next" w:cs="Arial"/>
          <w:color w:val="808080" w:themeColor="background1" w:themeShade="80"/>
          <w:sz w:val="22"/>
          <w:szCs w:val="22"/>
          <w:lang w:val="en-GB"/>
        </w:rPr>
        <w:t xml:space="preserve">, detailed approach for the same, where they closely </w:t>
      </w:r>
      <w:r w:rsidR="00D3075A">
        <w:rPr>
          <w:rFonts w:ascii="Avenir Next" w:hAnsi="Avenir Next" w:cs="Arial"/>
          <w:color w:val="808080" w:themeColor="background1" w:themeShade="80"/>
          <w:sz w:val="22"/>
          <w:szCs w:val="22"/>
          <w:lang w:val="en-GB"/>
        </w:rPr>
        <w:t xml:space="preserve">lensed </w:t>
      </w:r>
      <w:r w:rsidR="00605E29">
        <w:rPr>
          <w:rFonts w:ascii="Avenir Next" w:hAnsi="Avenir Next" w:cs="Arial"/>
          <w:color w:val="808080" w:themeColor="background1" w:themeShade="80"/>
          <w:sz w:val="22"/>
          <w:szCs w:val="22"/>
          <w:lang w:val="en-GB"/>
        </w:rPr>
        <w:t xml:space="preserve">the activities of the debtor in the </w:t>
      </w:r>
      <w:r w:rsidR="00D3075A">
        <w:rPr>
          <w:rFonts w:ascii="Avenir Next" w:hAnsi="Avenir Next" w:cs="Arial"/>
          <w:color w:val="808080" w:themeColor="background1" w:themeShade="80"/>
          <w:sz w:val="22"/>
          <w:szCs w:val="22"/>
          <w:lang w:val="en-GB"/>
        </w:rPr>
        <w:t>period</w:t>
      </w:r>
      <w:r w:rsidR="00605E29">
        <w:rPr>
          <w:rFonts w:ascii="Avenir Next" w:hAnsi="Avenir Next" w:cs="Arial"/>
          <w:color w:val="808080" w:themeColor="background1" w:themeShade="80"/>
          <w:sz w:val="22"/>
          <w:szCs w:val="22"/>
          <w:lang w:val="en-GB"/>
        </w:rPr>
        <w:t xml:space="preserve"> between the commencement of </w:t>
      </w:r>
      <w:r w:rsidR="00605E29">
        <w:rPr>
          <w:rFonts w:ascii="Avenir Next" w:hAnsi="Avenir Next" w:cs="Arial"/>
          <w:color w:val="808080" w:themeColor="background1" w:themeShade="80"/>
          <w:sz w:val="22"/>
          <w:szCs w:val="22"/>
          <w:lang w:val="en-GB"/>
        </w:rPr>
        <w:lastRenderedPageBreak/>
        <w:t>the foreign proc</w:t>
      </w:r>
      <w:r w:rsidR="00D3075A">
        <w:rPr>
          <w:rFonts w:ascii="Avenir Next" w:hAnsi="Avenir Next" w:cs="Arial"/>
          <w:color w:val="808080" w:themeColor="background1" w:themeShade="80"/>
          <w:sz w:val="22"/>
          <w:szCs w:val="22"/>
          <w:lang w:val="en-GB"/>
        </w:rPr>
        <w:t xml:space="preserve">eedings and the date of filing of the recognition application, </w:t>
      </w:r>
      <w:r>
        <w:rPr>
          <w:rFonts w:ascii="Avenir Next" w:hAnsi="Avenir Next" w:cs="Arial"/>
          <w:color w:val="808080" w:themeColor="background1" w:themeShade="80"/>
          <w:sz w:val="22"/>
          <w:szCs w:val="22"/>
          <w:lang w:val="en-GB"/>
        </w:rPr>
        <w:t>to rule out any fraudulent element in relation to the manipulation of COMI</w:t>
      </w:r>
      <w:r w:rsidR="00D3075A">
        <w:rPr>
          <w:rStyle w:val="FootnoteReference"/>
          <w:rFonts w:ascii="Avenir Next" w:hAnsi="Avenir Next" w:cs="Arial"/>
          <w:color w:val="808080" w:themeColor="background1" w:themeShade="80"/>
          <w:sz w:val="22"/>
          <w:szCs w:val="22"/>
          <w:lang w:val="en-GB"/>
        </w:rPr>
        <w:footnoteReference w:id="2"/>
      </w:r>
      <w:r w:rsidR="00D3075A">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64F695E3" w:rsidR="00CB56CE" w:rsidRDefault="0097747A" w:rsidP="00707FC8">
      <w:pPr>
        <w:ind w:left="720" w:hanging="720"/>
        <w:jc w:val="both"/>
        <w:rPr>
          <w:rFonts w:ascii="Avenir Next" w:hAnsi="Avenir Next" w:cs="Arial"/>
          <w:color w:val="808080" w:themeColor="background1" w:themeShade="80"/>
          <w:sz w:val="22"/>
          <w:szCs w:val="22"/>
          <w:lang w:val="en-GB"/>
        </w:rPr>
      </w:pPr>
      <w:r w:rsidRPr="00CD1CBB">
        <w:rPr>
          <w:rFonts w:ascii="Avenir Next" w:hAnsi="Avenir Next" w:cs="Arial"/>
          <w:b/>
          <w:bCs/>
          <w:color w:val="808080" w:themeColor="background1" w:themeShade="80"/>
          <w:sz w:val="22"/>
          <w:szCs w:val="22"/>
          <w:lang w:val="en-GB"/>
        </w:rPr>
        <w:t xml:space="preserve">              </w:t>
      </w:r>
      <w:r w:rsidR="002C27E8" w:rsidRPr="00CD1CBB">
        <w:rPr>
          <w:rFonts w:ascii="Avenir Next" w:hAnsi="Avenir Next" w:cs="Arial"/>
          <w:b/>
          <w:bCs/>
          <w:color w:val="808080" w:themeColor="background1" w:themeShade="80"/>
          <w:sz w:val="22"/>
          <w:szCs w:val="22"/>
          <w:lang w:val="en-GB"/>
        </w:rPr>
        <w:t>Statement 1</w:t>
      </w:r>
      <w:r w:rsidR="002C27E8">
        <w:rPr>
          <w:rFonts w:ascii="Avenir Next" w:hAnsi="Avenir Next" w:cs="Arial"/>
          <w:color w:val="808080" w:themeColor="background1" w:themeShade="80"/>
          <w:sz w:val="22"/>
          <w:szCs w:val="22"/>
          <w:lang w:val="en-GB"/>
        </w:rPr>
        <w:t xml:space="preserve">: The Model Law lays down the requirement to provide notice to the foreign creditors as when any notification is ought to be given to the creditors in the enacting </w:t>
      </w:r>
      <w:r w:rsidR="0094366A">
        <w:rPr>
          <w:rFonts w:ascii="Avenir Next" w:hAnsi="Avenir Next" w:cs="Arial"/>
          <w:color w:val="808080" w:themeColor="background1" w:themeShade="80"/>
          <w:sz w:val="22"/>
          <w:szCs w:val="22"/>
          <w:lang w:val="en-GB"/>
        </w:rPr>
        <w:t xml:space="preserve">state </w:t>
      </w:r>
      <w:r w:rsidR="00113FCB">
        <w:rPr>
          <w:rFonts w:ascii="Avenir Next" w:hAnsi="Avenir Next" w:cs="Arial"/>
          <w:color w:val="808080" w:themeColor="background1" w:themeShade="80"/>
          <w:sz w:val="22"/>
          <w:szCs w:val="22"/>
          <w:lang w:val="en-GB"/>
        </w:rPr>
        <w:t>under</w:t>
      </w:r>
      <w:r w:rsidR="0094366A">
        <w:rPr>
          <w:rFonts w:ascii="Avenir Next" w:hAnsi="Avenir Next" w:cs="Arial"/>
          <w:color w:val="808080" w:themeColor="background1" w:themeShade="80"/>
          <w:sz w:val="22"/>
          <w:szCs w:val="22"/>
          <w:lang w:val="en-GB"/>
        </w:rPr>
        <w:t xml:space="preserve"> Article 14. Article 14 substantiates that the court of the enacting state may decide on the most appropriate mode or channel for the said communication which does not involve any formal, official or diplomatic procedures. The article also lays down certain mandatory requirements of any notice given hereunder, which includes: the timelines for filing of the claims; indication to the secured lenders qua their security interest and any special requirements stemming from it and any other pertinent information in relation to any law or order of the court which ought to be communicated to such a foreign creditor.</w:t>
      </w:r>
    </w:p>
    <w:p w14:paraId="60D92565" w14:textId="057C7840" w:rsidR="0094366A" w:rsidRDefault="0094366A" w:rsidP="00707FC8">
      <w:pPr>
        <w:ind w:left="720" w:hanging="720"/>
        <w:jc w:val="both"/>
        <w:rPr>
          <w:rFonts w:ascii="Avenir Next" w:hAnsi="Avenir Next" w:cs="Arial"/>
          <w:color w:val="808080" w:themeColor="background1" w:themeShade="80"/>
          <w:sz w:val="22"/>
          <w:szCs w:val="22"/>
          <w:lang w:val="en-GB"/>
        </w:rPr>
      </w:pPr>
    </w:p>
    <w:p w14:paraId="41CCDF05" w14:textId="38FBAA07" w:rsidR="0094366A" w:rsidRDefault="0097747A" w:rsidP="009436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94366A" w:rsidRPr="00113FCB">
        <w:rPr>
          <w:rFonts w:ascii="Avenir Next" w:hAnsi="Avenir Next" w:cs="Arial"/>
          <w:b/>
          <w:bCs/>
          <w:color w:val="808080" w:themeColor="background1" w:themeShade="80"/>
          <w:sz w:val="22"/>
          <w:szCs w:val="22"/>
          <w:lang w:val="en-GB"/>
        </w:rPr>
        <w:t>Statement 2</w:t>
      </w:r>
      <w:r w:rsidR="0094366A">
        <w:rPr>
          <w:rFonts w:ascii="Avenir Next" w:hAnsi="Avenir Next" w:cs="Arial"/>
          <w:color w:val="808080" w:themeColor="background1" w:themeShade="80"/>
          <w:sz w:val="22"/>
          <w:szCs w:val="22"/>
          <w:lang w:val="en-GB"/>
        </w:rPr>
        <w:t>: The “Safe Conduct Rule” is enshrined in Article 10, the limited text of which states “</w:t>
      </w:r>
      <w:r w:rsidR="00EE1EC9" w:rsidRPr="00EE1EC9">
        <w:rPr>
          <w:rFonts w:ascii="Avenir Next" w:hAnsi="Avenir Next" w:cs="Arial"/>
          <w:i/>
          <w:iCs/>
          <w:color w:val="808080" w:themeColor="background1" w:themeShade="80"/>
          <w:sz w:val="22"/>
          <w:szCs w:val="22"/>
          <w:lang w:val="en-GB"/>
        </w:rPr>
        <w:t>The sole fact that an application pursuant to this Law is made to a court in this State by a foreign representative does not subject the foreign representative or the foreign assets and affairs of the debtor to the jurisdiction of the courts of this State for any purpose other than the application</w:t>
      </w:r>
      <w:r w:rsidR="00EE1EC9">
        <w:rPr>
          <w:rFonts w:ascii="Avenir Next" w:hAnsi="Avenir Next" w:cs="Arial"/>
          <w:color w:val="808080" w:themeColor="background1" w:themeShade="80"/>
          <w:sz w:val="22"/>
          <w:szCs w:val="22"/>
          <w:lang w:val="en-GB"/>
        </w:rPr>
        <w:t>”. The rule tries to protect the foreign creditors and representative from an over-arching assumption of jurisdiction of the courts of the enacting state merely on the basis of reference of the recognition application thereto.</w:t>
      </w:r>
    </w:p>
    <w:p w14:paraId="234EEF9E" w14:textId="264B50B9" w:rsidR="00EE1EC9" w:rsidRDefault="00EE1EC9" w:rsidP="0094366A">
      <w:pPr>
        <w:ind w:left="720" w:hanging="720"/>
        <w:jc w:val="both"/>
        <w:rPr>
          <w:rFonts w:ascii="Avenir Next" w:hAnsi="Avenir Next" w:cs="Arial"/>
          <w:color w:val="808080" w:themeColor="background1" w:themeShade="80"/>
          <w:sz w:val="22"/>
          <w:szCs w:val="22"/>
          <w:lang w:val="en-GB"/>
        </w:rPr>
      </w:pPr>
    </w:p>
    <w:p w14:paraId="32649842" w14:textId="2690D388" w:rsidR="00EE1EC9" w:rsidRPr="0094366A" w:rsidRDefault="0097747A" w:rsidP="009436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EE1EC9" w:rsidRPr="00F07AE1">
        <w:rPr>
          <w:rFonts w:ascii="Avenir Next" w:hAnsi="Avenir Next" w:cs="Arial"/>
          <w:b/>
          <w:bCs/>
          <w:color w:val="808080" w:themeColor="background1" w:themeShade="80"/>
          <w:sz w:val="22"/>
          <w:szCs w:val="22"/>
          <w:lang w:val="en-GB"/>
        </w:rPr>
        <w:t>Statement 3</w:t>
      </w:r>
      <w:r w:rsidR="00EE1EC9">
        <w:rPr>
          <w:rFonts w:ascii="Avenir Next" w:hAnsi="Avenir Next" w:cs="Arial"/>
          <w:color w:val="808080" w:themeColor="background1" w:themeShade="80"/>
          <w:sz w:val="22"/>
          <w:szCs w:val="22"/>
          <w:lang w:val="en-GB"/>
        </w:rPr>
        <w:t xml:space="preserve">: An undefined key concept under the Model Law is that of Centre of Main Interest or </w:t>
      </w:r>
      <w:r w:rsidR="00F07AE1">
        <w:rPr>
          <w:rFonts w:ascii="Avenir Next" w:hAnsi="Avenir Next" w:cs="Arial"/>
          <w:color w:val="808080" w:themeColor="background1" w:themeShade="80"/>
          <w:sz w:val="22"/>
          <w:szCs w:val="22"/>
          <w:lang w:val="en-GB"/>
        </w:rPr>
        <w:t>‘</w:t>
      </w:r>
      <w:r w:rsidR="00EE1EC9">
        <w:rPr>
          <w:rFonts w:ascii="Avenir Next" w:hAnsi="Avenir Next" w:cs="Arial"/>
          <w:color w:val="808080" w:themeColor="background1" w:themeShade="80"/>
          <w:sz w:val="22"/>
          <w:szCs w:val="22"/>
          <w:lang w:val="en-GB"/>
        </w:rPr>
        <w:t>COMI</w:t>
      </w:r>
      <w:r w:rsidR="00F07AE1">
        <w:rPr>
          <w:rFonts w:ascii="Avenir Next" w:hAnsi="Avenir Next" w:cs="Arial"/>
          <w:color w:val="808080" w:themeColor="background1" w:themeShade="80"/>
          <w:sz w:val="22"/>
          <w:szCs w:val="22"/>
          <w:lang w:val="en-GB"/>
        </w:rPr>
        <w:t>’</w:t>
      </w:r>
      <w:r w:rsidR="00EE1EC9">
        <w:rPr>
          <w:rFonts w:ascii="Avenir Next" w:hAnsi="Avenir Next" w:cs="Arial"/>
          <w:color w:val="808080" w:themeColor="background1" w:themeShade="80"/>
          <w:sz w:val="22"/>
          <w:szCs w:val="22"/>
          <w:lang w:val="en-GB"/>
        </w:rPr>
        <w:t xml:space="preserve">. The Model Law contains a rebuttal </w:t>
      </w:r>
      <w:r w:rsidR="008E1904">
        <w:rPr>
          <w:rFonts w:ascii="Avenir Next" w:hAnsi="Avenir Next" w:cs="Arial"/>
          <w:color w:val="808080" w:themeColor="background1" w:themeShade="80"/>
          <w:sz w:val="22"/>
          <w:szCs w:val="22"/>
          <w:lang w:val="en-GB"/>
        </w:rPr>
        <w:t>presumption</w:t>
      </w:r>
      <w:r w:rsidR="00EE1EC9">
        <w:rPr>
          <w:rFonts w:ascii="Avenir Next" w:hAnsi="Avenir Next" w:cs="Arial"/>
          <w:color w:val="808080" w:themeColor="background1" w:themeShade="80"/>
          <w:sz w:val="22"/>
          <w:szCs w:val="22"/>
          <w:lang w:val="en-GB"/>
        </w:rPr>
        <w:t xml:space="preserve"> in </w:t>
      </w:r>
      <w:r w:rsidR="008E1904">
        <w:rPr>
          <w:rFonts w:ascii="Avenir Next" w:hAnsi="Avenir Next" w:cs="Arial"/>
          <w:color w:val="808080" w:themeColor="background1" w:themeShade="80"/>
          <w:sz w:val="22"/>
          <w:szCs w:val="22"/>
          <w:lang w:val="en-GB"/>
        </w:rPr>
        <w:t>Article 16(3), which states that “</w:t>
      </w:r>
      <w:r w:rsidR="00210C7F" w:rsidRPr="00210C7F">
        <w:rPr>
          <w:rFonts w:ascii="Avenir Next" w:hAnsi="Avenir Next" w:cs="Arial"/>
          <w:i/>
          <w:iCs/>
          <w:color w:val="808080" w:themeColor="background1" w:themeShade="80"/>
          <w:sz w:val="22"/>
          <w:szCs w:val="22"/>
          <w:lang w:val="en-GB"/>
        </w:rPr>
        <w:t>In the absence of proof to the contrary, the debtor’s registered office, or habitual residence in the case of an individual, is presumed to be the center of the debtor’s main interests</w:t>
      </w:r>
      <w:r w:rsidR="00210C7F" w:rsidRPr="00210C7F">
        <w:rPr>
          <w:rFonts w:ascii="Avenir Next" w:hAnsi="Avenir Next" w:cs="Arial"/>
          <w:color w:val="808080" w:themeColor="background1" w:themeShade="80"/>
          <w:sz w:val="22"/>
          <w:szCs w:val="22"/>
          <w:lang w:val="en-GB"/>
        </w:rPr>
        <w:t>”</w:t>
      </w:r>
      <w:r w:rsidR="00906B1E">
        <w:rPr>
          <w:rFonts w:ascii="Avenir Next" w:hAnsi="Avenir Next" w:cs="Arial"/>
          <w:color w:val="808080" w:themeColor="background1" w:themeShade="80"/>
          <w:sz w:val="22"/>
          <w:szCs w:val="22"/>
          <w:lang w:val="en-GB"/>
        </w:rPr>
        <w:t>. The concept and interpretation of COMI has been widely and variedly opined upon in the cross-border</w:t>
      </w:r>
      <w:r w:rsidR="00F07AE1">
        <w:rPr>
          <w:rFonts w:ascii="Avenir Next" w:hAnsi="Avenir Next" w:cs="Arial"/>
          <w:color w:val="808080" w:themeColor="background1" w:themeShade="80"/>
          <w:sz w:val="22"/>
          <w:szCs w:val="22"/>
          <w:lang w:val="en-GB"/>
        </w:rPr>
        <w:t xml:space="preserve"> law</w:t>
      </w:r>
      <w:r w:rsidR="00906B1E">
        <w:rPr>
          <w:rFonts w:ascii="Avenir Next" w:hAnsi="Avenir Next" w:cs="Arial"/>
          <w:color w:val="808080" w:themeColor="background1" w:themeShade="80"/>
          <w:sz w:val="22"/>
          <w:szCs w:val="22"/>
          <w:lang w:val="en-GB"/>
        </w:rPr>
        <w:t xml:space="preserve"> space</w:t>
      </w:r>
      <w:r w:rsidR="00F07AE1">
        <w:rPr>
          <w:rFonts w:ascii="Avenir Next" w:hAnsi="Avenir Next" w:cs="Arial"/>
          <w:color w:val="808080" w:themeColor="background1" w:themeShade="80"/>
          <w:sz w:val="22"/>
          <w:szCs w:val="22"/>
          <w:lang w:val="en-GB"/>
        </w:rPr>
        <w:t xml:space="preserve"> </w:t>
      </w:r>
      <w:r w:rsidR="00906B1E">
        <w:rPr>
          <w:rFonts w:ascii="Avenir Next" w:hAnsi="Avenir Next" w:cs="Arial"/>
          <w:color w:val="808080" w:themeColor="background1" w:themeShade="80"/>
          <w:sz w:val="22"/>
          <w:szCs w:val="22"/>
          <w:lang w:val="en-GB"/>
        </w:rPr>
        <w:t xml:space="preserve">by different judgements, however the unsurpassed way to summarise the </w:t>
      </w:r>
      <w:r>
        <w:rPr>
          <w:rFonts w:ascii="Avenir Next" w:hAnsi="Avenir Next" w:cs="Arial"/>
          <w:color w:val="808080" w:themeColor="background1" w:themeShade="80"/>
          <w:sz w:val="22"/>
          <w:szCs w:val="22"/>
          <w:lang w:val="en-GB"/>
        </w:rPr>
        <w:t>interpretation</w:t>
      </w:r>
      <w:r w:rsidR="00906B1E">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interplay</w:t>
      </w:r>
      <w:r w:rsidR="00906B1E">
        <w:rPr>
          <w:rFonts w:ascii="Avenir Next" w:hAnsi="Avenir Next" w:cs="Arial"/>
          <w:color w:val="808080" w:themeColor="background1" w:themeShade="80"/>
          <w:sz w:val="22"/>
          <w:szCs w:val="22"/>
          <w:lang w:val="en-GB"/>
        </w:rPr>
        <w:t xml:space="preserve"> thereof as </w:t>
      </w:r>
      <w:r w:rsidR="00563FA0">
        <w:rPr>
          <w:rFonts w:ascii="Avenir Next" w:hAnsi="Avenir Next" w:cs="Arial"/>
          <w:color w:val="808080" w:themeColor="background1" w:themeShade="80"/>
          <w:sz w:val="22"/>
          <w:szCs w:val="22"/>
          <w:lang w:val="en-GB"/>
        </w:rPr>
        <w:t xml:space="preserve">a </w:t>
      </w:r>
      <w:r w:rsidR="00906B1E">
        <w:rPr>
          <w:rFonts w:ascii="Avenir Next" w:hAnsi="Avenir Next" w:cs="Arial"/>
          <w:color w:val="808080" w:themeColor="background1" w:themeShade="80"/>
          <w:sz w:val="22"/>
          <w:szCs w:val="22"/>
          <w:lang w:val="en-GB"/>
        </w:rPr>
        <w:t>key concept of the Model Law, which highlight</w:t>
      </w:r>
      <w:r w:rsidR="00563FA0">
        <w:rPr>
          <w:rFonts w:ascii="Avenir Next" w:hAnsi="Avenir Next" w:cs="Arial"/>
          <w:color w:val="808080" w:themeColor="background1" w:themeShade="80"/>
          <w:sz w:val="22"/>
          <w:szCs w:val="22"/>
          <w:lang w:val="en-GB"/>
        </w:rPr>
        <w:t>s</w:t>
      </w:r>
      <w:r w:rsidR="00906B1E">
        <w:rPr>
          <w:rFonts w:ascii="Avenir Next" w:hAnsi="Avenir Next" w:cs="Arial"/>
          <w:color w:val="808080" w:themeColor="background1" w:themeShade="80"/>
          <w:sz w:val="22"/>
          <w:szCs w:val="22"/>
          <w:lang w:val="en-GB"/>
        </w:rPr>
        <w:t xml:space="preserve"> the objectivity of this concept is to say that “</w:t>
      </w:r>
      <w:r w:rsidR="00906B1E" w:rsidRPr="00906B1E">
        <w:rPr>
          <w:rFonts w:ascii="Avenir Next" w:hAnsi="Avenir Next" w:cs="Arial"/>
          <w:i/>
          <w:iCs/>
          <w:color w:val="808080" w:themeColor="background1" w:themeShade="80"/>
          <w:sz w:val="22"/>
          <w:szCs w:val="22"/>
          <w:lang w:val="en-GB"/>
        </w:rPr>
        <w:t xml:space="preserve">The ‘centre of main interests’ should correspond to the place where the debtor conducts the administration of his interests on a </w:t>
      </w:r>
      <w:r w:rsidR="00906B1E">
        <w:rPr>
          <w:rFonts w:ascii="Avenir Next" w:hAnsi="Avenir Next" w:cs="Arial"/>
          <w:i/>
          <w:iCs/>
          <w:color w:val="808080" w:themeColor="background1" w:themeShade="80"/>
          <w:sz w:val="22"/>
          <w:szCs w:val="22"/>
          <w:lang w:val="en-GB"/>
        </w:rPr>
        <w:t xml:space="preserve">regular </w:t>
      </w:r>
      <w:r w:rsidR="00906B1E" w:rsidRPr="00906B1E">
        <w:rPr>
          <w:rFonts w:ascii="Avenir Next" w:hAnsi="Avenir Next" w:cs="Arial"/>
          <w:i/>
          <w:iCs/>
          <w:color w:val="808080" w:themeColor="background1" w:themeShade="80"/>
          <w:sz w:val="22"/>
          <w:szCs w:val="22"/>
          <w:lang w:val="en-GB"/>
        </w:rPr>
        <w:t>basis and is therefore ascertainable by third parties.”</w:t>
      </w:r>
      <w:r w:rsidR="00906B1E">
        <w:rPr>
          <w:rStyle w:val="FootnoteReference"/>
          <w:rFonts w:ascii="Avenir Next" w:hAnsi="Avenir Next" w:cs="Arial"/>
          <w:i/>
          <w:iCs/>
          <w:color w:val="808080" w:themeColor="background1" w:themeShade="80"/>
          <w:sz w:val="22"/>
          <w:szCs w:val="22"/>
          <w:lang w:val="en-GB"/>
        </w:rPr>
        <w:footnoteReference w:id="3"/>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417DB7A" w14:textId="070E4FA3" w:rsidR="00CB56CE" w:rsidRDefault="002A3240"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The English Court of Appeal</w:t>
      </w:r>
      <w:r w:rsidR="00164FCB">
        <w:rPr>
          <w:rFonts w:ascii="Avenir Next" w:hAnsi="Avenir Next" w:cs="Arial"/>
          <w:color w:val="808080" w:themeColor="background1" w:themeShade="80"/>
          <w:sz w:val="22"/>
          <w:szCs w:val="22"/>
          <w:lang w:val="en-GB"/>
        </w:rPr>
        <w:t xml:space="preserve"> (“</w:t>
      </w:r>
      <w:r w:rsidR="00164FCB" w:rsidRPr="00164FCB">
        <w:rPr>
          <w:rFonts w:ascii="Avenir Next" w:hAnsi="Avenir Next" w:cs="Arial"/>
          <w:b/>
          <w:bCs/>
          <w:color w:val="808080" w:themeColor="background1" w:themeShade="80"/>
          <w:sz w:val="22"/>
          <w:szCs w:val="22"/>
          <w:lang w:val="en-GB"/>
        </w:rPr>
        <w:t>Court of Appeal</w:t>
      </w:r>
      <w:r w:rsidR="00164FC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in upholding the decision of Justice Hildyard</w:t>
      </w:r>
      <w:r w:rsidR="00164FCB">
        <w:rPr>
          <w:rFonts w:ascii="Avenir Next" w:hAnsi="Avenir Next" w:cs="Arial"/>
          <w:color w:val="808080" w:themeColor="background1" w:themeShade="80"/>
          <w:sz w:val="22"/>
          <w:szCs w:val="22"/>
          <w:lang w:val="en-GB"/>
        </w:rPr>
        <w:t xml:space="preserve"> (“</w:t>
      </w:r>
      <w:r w:rsidR="00164FCB" w:rsidRPr="00164FCB">
        <w:rPr>
          <w:rFonts w:ascii="Avenir Next" w:hAnsi="Avenir Next" w:cs="Arial"/>
          <w:b/>
          <w:bCs/>
          <w:color w:val="808080" w:themeColor="background1" w:themeShade="80"/>
          <w:sz w:val="22"/>
          <w:szCs w:val="22"/>
          <w:lang w:val="en-GB"/>
        </w:rPr>
        <w:t>Court of First Instance</w:t>
      </w:r>
      <w:r w:rsidR="00164FC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approached the IBA Case</w:t>
      </w:r>
      <w:r>
        <w:rPr>
          <w:rStyle w:val="FootnoteReference"/>
          <w:rFonts w:ascii="Avenir Next" w:hAnsi="Avenir Next" w:cs="Arial"/>
          <w:color w:val="808080" w:themeColor="background1" w:themeShade="80"/>
          <w:sz w:val="22"/>
          <w:szCs w:val="22"/>
          <w:lang w:val="en-GB"/>
        </w:rPr>
        <w:footnoteReference w:id="4"/>
      </w:r>
      <w:r>
        <w:rPr>
          <w:rFonts w:ascii="Avenir Next" w:hAnsi="Avenir Next" w:cs="Arial"/>
          <w:color w:val="808080" w:themeColor="background1" w:themeShade="80"/>
          <w:sz w:val="22"/>
          <w:szCs w:val="22"/>
          <w:lang w:val="en-GB"/>
        </w:rPr>
        <w:t xml:space="preserve"> (“</w:t>
      </w:r>
      <w:r w:rsidRPr="002A3240">
        <w:rPr>
          <w:rFonts w:ascii="Avenir Next" w:hAnsi="Avenir Next" w:cs="Arial"/>
          <w:b/>
          <w:bCs/>
          <w:color w:val="808080" w:themeColor="background1" w:themeShade="80"/>
          <w:sz w:val="22"/>
          <w:szCs w:val="22"/>
          <w:lang w:val="en-GB"/>
        </w:rPr>
        <w:t>IBA Case</w:t>
      </w:r>
      <w:r>
        <w:rPr>
          <w:rFonts w:ascii="Avenir Next" w:hAnsi="Avenir Next" w:cs="Arial"/>
          <w:color w:val="808080" w:themeColor="background1" w:themeShade="80"/>
          <w:sz w:val="22"/>
          <w:szCs w:val="22"/>
          <w:lang w:val="en-GB"/>
        </w:rPr>
        <w:t>”), from the perspective of what would effectuate if the English court were to grant the request under the Moratorium Continuation Application (“</w:t>
      </w:r>
      <w:r w:rsidRPr="002A3240">
        <w:rPr>
          <w:rFonts w:ascii="Avenir Next" w:hAnsi="Avenir Next" w:cs="Arial"/>
          <w:b/>
          <w:bCs/>
          <w:color w:val="808080" w:themeColor="background1" w:themeShade="80"/>
          <w:sz w:val="22"/>
          <w:szCs w:val="22"/>
          <w:lang w:val="en-GB"/>
        </w:rPr>
        <w:t>Moratorium Application</w:t>
      </w:r>
      <w:r>
        <w:rPr>
          <w:rFonts w:ascii="Avenir Next" w:hAnsi="Avenir Next" w:cs="Arial"/>
          <w:color w:val="808080" w:themeColor="background1" w:themeShade="80"/>
          <w:sz w:val="22"/>
          <w:szCs w:val="22"/>
          <w:lang w:val="en-GB"/>
        </w:rPr>
        <w:t xml:space="preserve">”). The </w:t>
      </w:r>
      <w:r w:rsidR="00164FCB">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of </w:t>
      </w:r>
      <w:r w:rsidR="00164FC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ppeal, essentially concluded that in granting the requests under the Moratorium Application, they would essentially be denying the rights of the English </w:t>
      </w:r>
      <w:r w:rsidR="00F615FC">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reditors to </w:t>
      </w:r>
      <w:r w:rsidR="004D53CD">
        <w:rPr>
          <w:rFonts w:ascii="Avenir Next" w:hAnsi="Avenir Next" w:cs="Arial"/>
          <w:color w:val="808080" w:themeColor="background1" w:themeShade="80"/>
          <w:sz w:val="22"/>
          <w:szCs w:val="22"/>
          <w:lang w:val="en-GB"/>
        </w:rPr>
        <w:t xml:space="preserve">seek </w:t>
      </w:r>
      <w:r>
        <w:rPr>
          <w:rFonts w:ascii="Avenir Next" w:hAnsi="Avenir Next" w:cs="Arial"/>
          <w:color w:val="808080" w:themeColor="background1" w:themeShade="80"/>
          <w:sz w:val="22"/>
          <w:szCs w:val="22"/>
          <w:lang w:val="en-GB"/>
        </w:rPr>
        <w:t>repayment of the bonds under the Gibbs Rule</w:t>
      </w:r>
      <w:r w:rsidR="00164FCB">
        <w:rPr>
          <w:rFonts w:ascii="Avenir Next" w:hAnsi="Avenir Next" w:cs="Arial"/>
          <w:color w:val="808080" w:themeColor="background1" w:themeShade="80"/>
          <w:sz w:val="22"/>
          <w:szCs w:val="22"/>
          <w:lang w:val="en-GB"/>
        </w:rPr>
        <w:t xml:space="preserve"> (in relation to which there was nothing to say that</w:t>
      </w:r>
      <w:r w:rsidR="004D53CD">
        <w:rPr>
          <w:rFonts w:ascii="Avenir Next" w:hAnsi="Avenir Next" w:cs="Arial"/>
          <w:color w:val="808080" w:themeColor="background1" w:themeShade="80"/>
          <w:sz w:val="22"/>
          <w:szCs w:val="22"/>
          <w:lang w:val="en-GB"/>
        </w:rPr>
        <w:t>,</w:t>
      </w:r>
      <w:r w:rsidR="00164FCB">
        <w:rPr>
          <w:rFonts w:ascii="Avenir Next" w:hAnsi="Avenir Next" w:cs="Arial"/>
          <w:color w:val="808080" w:themeColor="background1" w:themeShade="80"/>
          <w:sz w:val="22"/>
          <w:szCs w:val="22"/>
          <w:lang w:val="en-GB"/>
        </w:rPr>
        <w:t xml:space="preserve"> in the application of the principles of modified universalism </w:t>
      </w:r>
      <w:r w:rsidR="004D53CD">
        <w:rPr>
          <w:rFonts w:ascii="Avenir Next" w:hAnsi="Avenir Next" w:cs="Arial"/>
          <w:color w:val="808080" w:themeColor="background1" w:themeShade="80"/>
          <w:sz w:val="22"/>
          <w:szCs w:val="22"/>
          <w:lang w:val="en-GB"/>
        </w:rPr>
        <w:t xml:space="preserve">or </w:t>
      </w:r>
      <w:r w:rsidR="00164FCB">
        <w:rPr>
          <w:rFonts w:ascii="Avenir Next" w:hAnsi="Avenir Next" w:cs="Arial"/>
          <w:color w:val="808080" w:themeColor="background1" w:themeShade="80"/>
          <w:sz w:val="22"/>
          <w:szCs w:val="22"/>
          <w:lang w:val="en-GB"/>
        </w:rPr>
        <w:t xml:space="preserve">the Model Law, </w:t>
      </w:r>
      <w:r w:rsidR="004D53CD">
        <w:rPr>
          <w:rFonts w:ascii="Avenir Next" w:hAnsi="Avenir Next" w:cs="Arial"/>
          <w:color w:val="808080" w:themeColor="background1" w:themeShade="80"/>
          <w:sz w:val="22"/>
          <w:szCs w:val="22"/>
          <w:lang w:val="en-GB"/>
        </w:rPr>
        <w:t xml:space="preserve">a </w:t>
      </w:r>
      <w:r w:rsidR="00164FCB">
        <w:rPr>
          <w:rFonts w:ascii="Avenir Next" w:hAnsi="Avenir Next" w:cs="Arial"/>
          <w:color w:val="808080" w:themeColor="background1" w:themeShade="80"/>
          <w:sz w:val="22"/>
          <w:szCs w:val="22"/>
          <w:lang w:val="en-GB"/>
        </w:rPr>
        <w:t>foreign law c</w:t>
      </w:r>
      <w:r w:rsidR="004D53CD">
        <w:rPr>
          <w:rFonts w:ascii="Avenir Next" w:hAnsi="Avenir Next" w:cs="Arial"/>
          <w:color w:val="808080" w:themeColor="background1" w:themeShade="80"/>
          <w:sz w:val="22"/>
          <w:szCs w:val="22"/>
          <w:lang w:val="en-GB"/>
        </w:rPr>
        <w:t xml:space="preserve">ould </w:t>
      </w:r>
      <w:r w:rsidR="00164FCB">
        <w:rPr>
          <w:rFonts w:ascii="Avenir Next" w:hAnsi="Avenir Next" w:cs="Arial"/>
          <w:color w:val="808080" w:themeColor="background1" w:themeShade="80"/>
          <w:sz w:val="22"/>
          <w:szCs w:val="22"/>
          <w:lang w:val="en-GB"/>
        </w:rPr>
        <w:t xml:space="preserve">override </w:t>
      </w:r>
      <w:r w:rsidR="004D53CD">
        <w:rPr>
          <w:rFonts w:ascii="Avenir Next" w:hAnsi="Avenir Next" w:cs="Arial"/>
          <w:color w:val="808080" w:themeColor="background1" w:themeShade="80"/>
          <w:sz w:val="22"/>
          <w:szCs w:val="22"/>
          <w:lang w:val="en-GB"/>
        </w:rPr>
        <w:t xml:space="preserve">a </w:t>
      </w:r>
      <w:r w:rsidR="00164FCB">
        <w:rPr>
          <w:rFonts w:ascii="Avenir Next" w:hAnsi="Avenir Next" w:cs="Arial"/>
          <w:color w:val="808080" w:themeColor="background1" w:themeShade="80"/>
          <w:sz w:val="22"/>
          <w:szCs w:val="22"/>
          <w:lang w:val="en-GB"/>
        </w:rPr>
        <w:t xml:space="preserve">domestic law). And also, that in doing so, they would also be artificially prolonging the lifespan of the restructuring proceedings which were essentially terminated in Azerbaijan (in relation to which, the essentials of Model Law were adopted and interpreted to state that the Model Law requires the foreign proceedings to be in effect and continuing at the time of the filing of the recognition application). </w:t>
      </w:r>
      <w:r w:rsidR="004D53CD">
        <w:rPr>
          <w:rFonts w:ascii="Avenir Next" w:hAnsi="Avenir Next" w:cs="Arial"/>
          <w:color w:val="808080" w:themeColor="background1" w:themeShade="80"/>
          <w:sz w:val="22"/>
          <w:szCs w:val="22"/>
          <w:lang w:val="en-GB"/>
        </w:rPr>
        <w:t>So,</w:t>
      </w:r>
      <w:r w:rsidR="00164FCB">
        <w:rPr>
          <w:rFonts w:ascii="Avenir Next" w:hAnsi="Avenir Next" w:cs="Arial"/>
          <w:color w:val="808080" w:themeColor="background1" w:themeShade="80"/>
          <w:sz w:val="22"/>
          <w:szCs w:val="22"/>
          <w:lang w:val="en-GB"/>
        </w:rPr>
        <w:t xml:space="preserve"> while the </w:t>
      </w:r>
      <w:r w:rsidR="004D53CD">
        <w:rPr>
          <w:rFonts w:ascii="Avenir Next" w:hAnsi="Avenir Next" w:cs="Arial"/>
          <w:color w:val="808080" w:themeColor="background1" w:themeShade="80"/>
          <w:sz w:val="22"/>
          <w:szCs w:val="22"/>
          <w:lang w:val="en-GB"/>
        </w:rPr>
        <w:t>C</w:t>
      </w:r>
      <w:r w:rsidR="00164FCB">
        <w:rPr>
          <w:rFonts w:ascii="Avenir Next" w:hAnsi="Avenir Next" w:cs="Arial"/>
          <w:color w:val="808080" w:themeColor="background1" w:themeShade="80"/>
          <w:sz w:val="22"/>
          <w:szCs w:val="22"/>
          <w:lang w:val="en-GB"/>
        </w:rPr>
        <w:t xml:space="preserve">ourt of </w:t>
      </w:r>
      <w:r w:rsidR="004D53CD">
        <w:rPr>
          <w:rFonts w:ascii="Avenir Next" w:hAnsi="Avenir Next" w:cs="Arial"/>
          <w:color w:val="808080" w:themeColor="background1" w:themeShade="80"/>
          <w:sz w:val="22"/>
          <w:szCs w:val="22"/>
          <w:lang w:val="en-GB"/>
        </w:rPr>
        <w:t>F</w:t>
      </w:r>
      <w:r w:rsidR="00164FCB">
        <w:rPr>
          <w:rFonts w:ascii="Avenir Next" w:hAnsi="Avenir Next" w:cs="Arial"/>
          <w:color w:val="808080" w:themeColor="background1" w:themeShade="80"/>
          <w:sz w:val="22"/>
          <w:szCs w:val="22"/>
          <w:lang w:val="en-GB"/>
        </w:rPr>
        <w:t xml:space="preserve">irst </w:t>
      </w:r>
      <w:r w:rsidR="004D53CD">
        <w:rPr>
          <w:rFonts w:ascii="Avenir Next" w:hAnsi="Avenir Next" w:cs="Arial"/>
          <w:color w:val="808080" w:themeColor="background1" w:themeShade="80"/>
          <w:sz w:val="22"/>
          <w:szCs w:val="22"/>
          <w:lang w:val="en-GB"/>
        </w:rPr>
        <w:t>I</w:t>
      </w:r>
      <w:r w:rsidR="00164FCB">
        <w:rPr>
          <w:rFonts w:ascii="Avenir Next" w:hAnsi="Avenir Next" w:cs="Arial"/>
          <w:color w:val="808080" w:themeColor="background1" w:themeShade="80"/>
          <w:sz w:val="22"/>
          <w:szCs w:val="22"/>
          <w:lang w:val="en-GB"/>
        </w:rPr>
        <w:t xml:space="preserve">nstance dwelled and touched upon the </w:t>
      </w:r>
      <w:r w:rsidR="004D53CD">
        <w:rPr>
          <w:rFonts w:ascii="Avenir Next" w:hAnsi="Avenir Next" w:cs="Arial"/>
          <w:color w:val="808080" w:themeColor="background1" w:themeShade="80"/>
          <w:sz w:val="22"/>
          <w:szCs w:val="22"/>
          <w:lang w:val="en-GB"/>
        </w:rPr>
        <w:t xml:space="preserve">jurisprudential </w:t>
      </w:r>
      <w:r w:rsidR="00164FCB">
        <w:rPr>
          <w:rFonts w:ascii="Avenir Next" w:hAnsi="Avenir Next" w:cs="Arial"/>
          <w:color w:val="808080" w:themeColor="background1" w:themeShade="80"/>
          <w:sz w:val="22"/>
          <w:szCs w:val="22"/>
          <w:lang w:val="en-GB"/>
        </w:rPr>
        <w:t xml:space="preserve">aspect of the applicable provisions and laws </w:t>
      </w:r>
      <w:r w:rsidR="004D53CD">
        <w:rPr>
          <w:rFonts w:ascii="Avenir Next" w:hAnsi="Avenir Next" w:cs="Arial"/>
          <w:color w:val="808080" w:themeColor="background1" w:themeShade="80"/>
          <w:sz w:val="22"/>
          <w:szCs w:val="22"/>
          <w:lang w:val="en-GB"/>
        </w:rPr>
        <w:t xml:space="preserve">including the </w:t>
      </w:r>
      <w:r w:rsidR="00164FCB">
        <w:rPr>
          <w:rFonts w:ascii="Avenir Next" w:hAnsi="Avenir Next" w:cs="Arial"/>
          <w:color w:val="808080" w:themeColor="background1" w:themeShade="80"/>
          <w:sz w:val="22"/>
          <w:szCs w:val="22"/>
          <w:lang w:val="en-GB"/>
        </w:rPr>
        <w:t xml:space="preserve">Gibbs Rule, the </w:t>
      </w:r>
      <w:r w:rsidR="004D53CD">
        <w:rPr>
          <w:rFonts w:ascii="Avenir Next" w:hAnsi="Avenir Next" w:cs="Arial"/>
          <w:color w:val="808080" w:themeColor="background1" w:themeShade="80"/>
          <w:sz w:val="22"/>
          <w:szCs w:val="22"/>
          <w:lang w:val="en-GB"/>
        </w:rPr>
        <w:t>C</w:t>
      </w:r>
      <w:r w:rsidR="00164FCB">
        <w:rPr>
          <w:rFonts w:ascii="Avenir Next" w:hAnsi="Avenir Next" w:cs="Arial"/>
          <w:color w:val="808080" w:themeColor="background1" w:themeShade="80"/>
          <w:sz w:val="22"/>
          <w:szCs w:val="22"/>
          <w:lang w:val="en-GB"/>
        </w:rPr>
        <w:t xml:space="preserve">ourt of </w:t>
      </w:r>
      <w:r w:rsidR="004D53CD">
        <w:rPr>
          <w:rFonts w:ascii="Avenir Next" w:hAnsi="Avenir Next" w:cs="Arial"/>
          <w:color w:val="808080" w:themeColor="background1" w:themeShade="80"/>
          <w:sz w:val="22"/>
          <w:szCs w:val="22"/>
          <w:lang w:val="en-GB"/>
        </w:rPr>
        <w:t>A</w:t>
      </w:r>
      <w:r w:rsidR="00164FCB">
        <w:rPr>
          <w:rFonts w:ascii="Avenir Next" w:hAnsi="Avenir Next" w:cs="Arial"/>
          <w:color w:val="808080" w:themeColor="background1" w:themeShade="80"/>
          <w:sz w:val="22"/>
          <w:szCs w:val="22"/>
          <w:lang w:val="en-GB"/>
        </w:rPr>
        <w:t>ppeal, approached the problem statement head</w:t>
      </w:r>
      <w:r w:rsidR="004D53CD">
        <w:rPr>
          <w:rFonts w:ascii="Avenir Next" w:hAnsi="Avenir Next" w:cs="Arial"/>
          <w:color w:val="808080" w:themeColor="background1" w:themeShade="80"/>
          <w:sz w:val="22"/>
          <w:szCs w:val="22"/>
          <w:lang w:val="en-GB"/>
        </w:rPr>
        <w:t>-</w:t>
      </w:r>
      <w:r w:rsidR="00164FCB">
        <w:rPr>
          <w:rFonts w:ascii="Avenir Next" w:hAnsi="Avenir Next" w:cs="Arial"/>
          <w:color w:val="808080" w:themeColor="background1" w:themeShade="80"/>
          <w:sz w:val="22"/>
          <w:szCs w:val="22"/>
          <w:lang w:val="en-GB"/>
        </w:rPr>
        <w:t xml:space="preserve">on by directly corresponding the issues to the relevant articles of the Model Law.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1500A1BF" w:rsidR="00257437" w:rsidRDefault="00FC26E7"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question is answered in in two parts:</w:t>
      </w:r>
    </w:p>
    <w:p w14:paraId="0E5D7CF6" w14:textId="77777777" w:rsidR="00BF453B" w:rsidRDefault="00BF453B" w:rsidP="00707FC8">
      <w:pPr>
        <w:jc w:val="both"/>
        <w:rPr>
          <w:rFonts w:ascii="Avenir Next" w:hAnsi="Avenir Next" w:cs="Arial"/>
          <w:color w:val="808080" w:themeColor="background1" w:themeShade="80"/>
          <w:sz w:val="22"/>
          <w:szCs w:val="22"/>
          <w:lang w:val="en-GB"/>
        </w:rPr>
      </w:pPr>
    </w:p>
    <w:p w14:paraId="6AF2B917" w14:textId="5BDFFC3F" w:rsidR="006207E2" w:rsidRDefault="00FC26E7" w:rsidP="00707FC8">
      <w:pPr>
        <w:jc w:val="both"/>
      </w:pPr>
      <w:r w:rsidRPr="00BF453B">
        <w:rPr>
          <w:rFonts w:ascii="Avenir Next" w:hAnsi="Avenir Next" w:cs="Arial"/>
          <w:b/>
          <w:bCs/>
          <w:color w:val="808080" w:themeColor="background1" w:themeShade="80"/>
          <w:sz w:val="22"/>
          <w:szCs w:val="22"/>
          <w:lang w:val="en-GB"/>
        </w:rPr>
        <w:t>PART A</w:t>
      </w:r>
      <w:r>
        <w:rPr>
          <w:rFonts w:ascii="Avenir Next" w:hAnsi="Avenir Next" w:cs="Arial"/>
          <w:color w:val="808080" w:themeColor="background1" w:themeShade="80"/>
          <w:sz w:val="22"/>
          <w:szCs w:val="22"/>
          <w:lang w:val="en-GB"/>
        </w:rPr>
        <w:t xml:space="preserve">: The most relevant article the Model Law qua the given situation is Article 29(a). The said article establishes the supremacy of the domestic insolvency proceedings if in the event the foreign main proceedings have been recognised after the commencement of the domestic insolvency proceedings. It further requires the </w:t>
      </w:r>
      <w:r w:rsidRPr="00FC26E7">
        <w:rPr>
          <w:rFonts w:ascii="Avenir Next" w:hAnsi="Avenir Next" w:cs="Arial"/>
          <w:color w:val="808080" w:themeColor="background1" w:themeShade="80"/>
          <w:sz w:val="22"/>
          <w:szCs w:val="22"/>
          <w:lang w:val="en-GB"/>
        </w:rPr>
        <w:t>reliefs</w:t>
      </w:r>
      <w:r w:rsidR="006207E2">
        <w:rPr>
          <w:rStyle w:val="FootnoteReference"/>
          <w:rFonts w:ascii="Avenir Next" w:hAnsi="Avenir Next" w:cs="Arial"/>
          <w:color w:val="808080" w:themeColor="background1" w:themeShade="80"/>
          <w:sz w:val="22"/>
          <w:szCs w:val="22"/>
          <w:lang w:val="en-GB"/>
        </w:rPr>
        <w:footnoteReference w:id="5"/>
      </w:r>
      <w:r w:rsidR="006207E2">
        <w:t xml:space="preserve"> </w:t>
      </w:r>
      <w:r w:rsidRPr="00FC26E7">
        <w:rPr>
          <w:rFonts w:ascii="Avenir Next" w:hAnsi="Avenir Next" w:cs="Arial"/>
          <w:color w:val="808080" w:themeColor="background1" w:themeShade="80"/>
          <w:sz w:val="22"/>
          <w:szCs w:val="22"/>
          <w:lang w:val="en-GB"/>
        </w:rPr>
        <w:t>to be granted to the foreign proceeding to be consistent with the local proceeding</w:t>
      </w:r>
      <w:r w:rsidR="006207E2">
        <w:rPr>
          <w:rStyle w:val="FootnoteReference"/>
          <w:rFonts w:ascii="Avenir Next" w:hAnsi="Avenir Next" w:cs="Arial"/>
          <w:color w:val="808080" w:themeColor="background1" w:themeShade="80"/>
          <w:sz w:val="22"/>
          <w:szCs w:val="22"/>
          <w:lang w:val="en-GB"/>
        </w:rPr>
        <w:footnoteReference w:id="6"/>
      </w:r>
      <w:r w:rsidR="006207E2">
        <w:t xml:space="preserve"> </w:t>
      </w:r>
      <w:r w:rsidRPr="006207E2">
        <w:rPr>
          <w:rFonts w:ascii="Avenir Next" w:hAnsi="Avenir Next" w:cs="Arial"/>
          <w:color w:val="808080" w:themeColor="background1" w:themeShade="80"/>
          <w:sz w:val="22"/>
          <w:szCs w:val="22"/>
          <w:lang w:val="en-GB"/>
        </w:rPr>
        <w:t>and in the present scenario, where the foreign proceedings are foreign main proceedings, they will not enjoy any automatic effects of Article 20</w:t>
      </w:r>
      <w:r w:rsidR="006207E2">
        <w:rPr>
          <w:rStyle w:val="FootnoteReference"/>
          <w:rFonts w:ascii="Avenir Next" w:hAnsi="Avenir Next" w:cs="Arial"/>
          <w:color w:val="808080" w:themeColor="background1" w:themeShade="80"/>
          <w:sz w:val="22"/>
          <w:szCs w:val="22"/>
          <w:lang w:val="en-GB"/>
        </w:rPr>
        <w:footnoteReference w:id="7"/>
      </w:r>
      <w:r w:rsidRPr="006207E2">
        <w:rPr>
          <w:rFonts w:ascii="Avenir Next" w:hAnsi="Avenir Next" w:cs="Arial"/>
          <w:color w:val="808080" w:themeColor="background1" w:themeShade="80"/>
          <w:sz w:val="22"/>
          <w:szCs w:val="22"/>
          <w:lang w:val="en-GB"/>
        </w:rPr>
        <w:t>.</w:t>
      </w:r>
    </w:p>
    <w:p w14:paraId="4B297015" w14:textId="1DF438F2" w:rsidR="006207E2" w:rsidRDefault="006207E2" w:rsidP="00707FC8">
      <w:pPr>
        <w:jc w:val="both"/>
      </w:pPr>
    </w:p>
    <w:p w14:paraId="3D395070" w14:textId="559D8BD1" w:rsidR="006207E2" w:rsidRDefault="006207E2" w:rsidP="00707FC8">
      <w:pPr>
        <w:jc w:val="both"/>
        <w:rPr>
          <w:rFonts w:ascii="Avenir Next" w:hAnsi="Avenir Next" w:cs="Arial"/>
          <w:color w:val="808080" w:themeColor="background1" w:themeShade="80"/>
          <w:sz w:val="22"/>
          <w:szCs w:val="22"/>
          <w:lang w:val="en-GB"/>
        </w:rPr>
      </w:pPr>
      <w:r w:rsidRPr="001C58E3">
        <w:rPr>
          <w:rFonts w:ascii="Avenir Next" w:hAnsi="Avenir Next" w:cs="Arial"/>
          <w:b/>
          <w:bCs/>
          <w:color w:val="808080" w:themeColor="background1" w:themeShade="80"/>
          <w:sz w:val="22"/>
          <w:szCs w:val="22"/>
          <w:lang w:val="en-GB"/>
        </w:rPr>
        <w:t>PART B</w:t>
      </w:r>
      <w:r w:rsidRPr="006207E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most relevant article of the Model Law which establishes and highlights the </w:t>
      </w:r>
      <w:r w:rsidR="00D96D8B">
        <w:rPr>
          <w:rFonts w:ascii="Avenir Next" w:hAnsi="Avenir Next" w:cs="Arial"/>
          <w:color w:val="808080" w:themeColor="background1" w:themeShade="80"/>
          <w:sz w:val="22"/>
          <w:szCs w:val="22"/>
          <w:lang w:val="en-GB"/>
        </w:rPr>
        <w:t xml:space="preserve">on-going </w:t>
      </w:r>
      <w:r>
        <w:rPr>
          <w:rFonts w:ascii="Avenir Next" w:hAnsi="Avenir Next" w:cs="Arial"/>
          <w:color w:val="808080" w:themeColor="background1" w:themeShade="80"/>
          <w:sz w:val="22"/>
          <w:szCs w:val="22"/>
          <w:lang w:val="en-GB"/>
        </w:rPr>
        <w:t>responsibility of the foreign representative qua the domestic insolvency proceedings is Article 18</w:t>
      </w:r>
      <w:r w:rsidR="001C58E3">
        <w:rPr>
          <w:rFonts w:ascii="Avenir Next" w:hAnsi="Avenir Next" w:cs="Arial"/>
          <w:color w:val="808080" w:themeColor="background1" w:themeShade="80"/>
          <w:sz w:val="22"/>
          <w:szCs w:val="22"/>
          <w:lang w:val="en-GB"/>
        </w:rPr>
        <w:t>,</w:t>
      </w:r>
      <w:r w:rsidR="00D96D8B">
        <w:rPr>
          <w:rFonts w:ascii="Avenir Next" w:hAnsi="Avenir Next" w:cs="Arial"/>
          <w:color w:val="808080" w:themeColor="background1" w:themeShade="80"/>
          <w:sz w:val="22"/>
          <w:szCs w:val="22"/>
          <w:lang w:val="en-GB"/>
        </w:rPr>
        <w:t xml:space="preserve"> ‘Subsequent Information”. The said article rests a responsibility on the foreign representative of a foreign main/non-main proceedings after the recognition of the same in the enacting state, to regularly keep its courts informed of any substantial change in the foreign proceedings or in the terms </w:t>
      </w:r>
      <w:r w:rsidR="00D96D8B">
        <w:rPr>
          <w:rFonts w:ascii="Avenir Next" w:hAnsi="Avenir Next" w:cs="Arial"/>
          <w:color w:val="808080" w:themeColor="background1" w:themeShade="80"/>
          <w:sz w:val="22"/>
          <w:szCs w:val="22"/>
          <w:lang w:val="en-GB"/>
        </w:rPr>
        <w:lastRenderedPageBreak/>
        <w:t xml:space="preserve">of his/her appointment or/and of any other foreign proceedings that the representative may come to know of. The premise of the same is that the court in the enacting state should always have the most updated information about the status of all the relevant proceedings so as to be able </w:t>
      </w:r>
      <w:r w:rsidR="00062330">
        <w:rPr>
          <w:rFonts w:ascii="Avenir Next" w:hAnsi="Avenir Next" w:cs="Arial"/>
          <w:color w:val="808080" w:themeColor="background1" w:themeShade="80"/>
          <w:sz w:val="22"/>
          <w:szCs w:val="22"/>
          <w:lang w:val="en-GB"/>
        </w:rPr>
        <w:t xml:space="preserve">to </w:t>
      </w:r>
      <w:r w:rsidR="00D96D8B">
        <w:rPr>
          <w:rFonts w:ascii="Avenir Next" w:hAnsi="Avenir Next" w:cs="Arial"/>
          <w:color w:val="808080" w:themeColor="background1" w:themeShade="80"/>
          <w:sz w:val="22"/>
          <w:szCs w:val="22"/>
          <w:lang w:val="en-GB"/>
        </w:rPr>
        <w:t xml:space="preserve">review, modify and/or terminate any recognition order granted and also that the foreign representative will always be privy to such facts. </w:t>
      </w:r>
    </w:p>
    <w:p w14:paraId="7455CB62" w14:textId="77777777" w:rsidR="00D96D8B" w:rsidRPr="006207E2" w:rsidRDefault="00D96D8B" w:rsidP="00707FC8">
      <w:pPr>
        <w:jc w:val="both"/>
        <w:rPr>
          <w:rFonts w:ascii="Avenir Next" w:hAnsi="Avenir Next" w:cs="Arial"/>
          <w:color w:val="808080" w:themeColor="background1" w:themeShade="80"/>
          <w:sz w:val="22"/>
          <w:szCs w:val="22"/>
          <w:lang w:val="en-GB"/>
        </w:rPr>
      </w:pPr>
    </w:p>
    <w:p w14:paraId="170A9E71" w14:textId="12F79C18"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w:t>
      </w:r>
      <w:r w:rsidR="00D96D8B">
        <w:rPr>
          <w:rFonts w:ascii="Avenir Next Demi Bold" w:hAnsi="Avenir Next Demi Bold" w:cs="Arial"/>
          <w:b/>
          <w:bCs/>
          <w:sz w:val="22"/>
          <w:szCs w:val="22"/>
          <w:lang w:val="en-GB"/>
        </w:rPr>
        <w:t xml:space="preserve"> </w:t>
      </w:r>
      <w:r w:rsidR="00962045" w:rsidRPr="00B1112C">
        <w:rPr>
          <w:rFonts w:ascii="Avenir Next Demi Bold" w:hAnsi="Avenir Next Demi Bold" w:cs="Arial"/>
          <w:b/>
          <w:bCs/>
          <w:sz w:val="22"/>
          <w:szCs w:val="22"/>
          <w:lang w:val="en-GB"/>
        </w:rPr>
        <w:t>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1999D2BC" w14:textId="4B4A2CE2" w:rsidR="00602791" w:rsidRDefault="002475A9" w:rsidP="00D21C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986B94">
        <w:rPr>
          <w:rFonts w:ascii="Avenir Next" w:hAnsi="Avenir Next" w:cs="Arial"/>
          <w:color w:val="808080" w:themeColor="background1" w:themeShade="80"/>
          <w:sz w:val="22"/>
          <w:szCs w:val="22"/>
          <w:lang w:val="en-GB"/>
        </w:rPr>
        <w:t xml:space="preserve"> the </w:t>
      </w:r>
      <w:r w:rsidR="00C14575">
        <w:rPr>
          <w:rFonts w:ascii="Avenir Next" w:hAnsi="Avenir Next" w:cs="Arial"/>
          <w:color w:val="808080" w:themeColor="background1" w:themeShade="80"/>
          <w:sz w:val="22"/>
          <w:szCs w:val="22"/>
          <w:lang w:val="en-GB"/>
        </w:rPr>
        <w:t xml:space="preserve">foreign </w:t>
      </w:r>
      <w:r w:rsidR="001B649C">
        <w:rPr>
          <w:rFonts w:ascii="Avenir Next" w:hAnsi="Avenir Next" w:cs="Arial"/>
          <w:color w:val="808080" w:themeColor="background1" w:themeShade="80"/>
          <w:sz w:val="22"/>
          <w:szCs w:val="22"/>
          <w:lang w:val="en-GB"/>
        </w:rPr>
        <w:t xml:space="preserve">representative </w:t>
      </w:r>
      <w:r w:rsidR="00C14575">
        <w:rPr>
          <w:rFonts w:ascii="Avenir Next" w:hAnsi="Avenir Next" w:cs="Arial"/>
          <w:color w:val="808080" w:themeColor="background1" w:themeShade="80"/>
          <w:sz w:val="22"/>
          <w:szCs w:val="22"/>
          <w:lang w:val="en-GB"/>
        </w:rPr>
        <w:t xml:space="preserve">should be considerate of the fact that </w:t>
      </w:r>
      <w:r w:rsidR="001B649C">
        <w:rPr>
          <w:rFonts w:ascii="Avenir Next" w:hAnsi="Avenir Next" w:cs="Arial"/>
          <w:color w:val="808080" w:themeColor="background1" w:themeShade="80"/>
          <w:sz w:val="22"/>
          <w:szCs w:val="22"/>
          <w:lang w:val="en-GB"/>
        </w:rPr>
        <w:t>a recognition of the foreign proceedings will have tremendous upside</w:t>
      </w:r>
      <w:r w:rsidR="009367D5">
        <w:rPr>
          <w:rFonts w:ascii="Avenir Next" w:hAnsi="Avenir Next" w:cs="Arial"/>
          <w:color w:val="808080" w:themeColor="background1" w:themeShade="80"/>
          <w:sz w:val="22"/>
          <w:szCs w:val="22"/>
          <w:lang w:val="en-GB"/>
        </w:rPr>
        <w:t>s</w:t>
      </w:r>
      <w:r w:rsidR="001B649C">
        <w:rPr>
          <w:rFonts w:ascii="Avenir Next" w:hAnsi="Avenir Next" w:cs="Arial"/>
          <w:color w:val="808080" w:themeColor="background1" w:themeShade="80"/>
          <w:sz w:val="22"/>
          <w:szCs w:val="22"/>
          <w:lang w:val="en-GB"/>
        </w:rPr>
        <w:t xml:space="preserve"> </w:t>
      </w:r>
      <w:r w:rsidR="00306302">
        <w:rPr>
          <w:rFonts w:ascii="Avenir Next" w:hAnsi="Avenir Next" w:cs="Arial"/>
          <w:color w:val="808080" w:themeColor="background1" w:themeShade="80"/>
          <w:sz w:val="22"/>
          <w:szCs w:val="22"/>
          <w:lang w:val="en-GB"/>
        </w:rPr>
        <w:t xml:space="preserve">compared to </w:t>
      </w:r>
      <w:r w:rsidR="001B649C">
        <w:rPr>
          <w:rFonts w:ascii="Avenir Next" w:hAnsi="Avenir Next" w:cs="Arial"/>
          <w:color w:val="808080" w:themeColor="background1" w:themeShade="80"/>
          <w:sz w:val="22"/>
          <w:szCs w:val="22"/>
          <w:lang w:val="en-GB"/>
        </w:rPr>
        <w:t>having no recognition</w:t>
      </w:r>
      <w:r w:rsidR="009367D5">
        <w:rPr>
          <w:rFonts w:ascii="Avenir Next" w:hAnsi="Avenir Next" w:cs="Arial"/>
          <w:color w:val="808080" w:themeColor="background1" w:themeShade="80"/>
          <w:sz w:val="22"/>
          <w:szCs w:val="22"/>
          <w:lang w:val="en-GB"/>
        </w:rPr>
        <w:t>, as under Article 9 of the Model Law,</w:t>
      </w:r>
      <w:r w:rsidR="0083296D">
        <w:rPr>
          <w:rFonts w:ascii="Avenir Next" w:hAnsi="Avenir Next" w:cs="Arial"/>
          <w:color w:val="808080" w:themeColor="background1" w:themeShade="80"/>
          <w:sz w:val="22"/>
          <w:szCs w:val="22"/>
          <w:lang w:val="en-GB"/>
        </w:rPr>
        <w:t xml:space="preserve"> the foreign representative may only have a direct access </w:t>
      </w:r>
      <w:r w:rsidR="00716D2B">
        <w:rPr>
          <w:rFonts w:ascii="Avenir Next" w:hAnsi="Avenir Next" w:cs="Arial"/>
          <w:color w:val="808080" w:themeColor="background1" w:themeShade="80"/>
          <w:sz w:val="22"/>
          <w:szCs w:val="22"/>
          <w:lang w:val="en-GB"/>
        </w:rPr>
        <w:t xml:space="preserve">or </w:t>
      </w:r>
      <w:r w:rsidR="00716D2B" w:rsidRPr="00780ED1">
        <w:rPr>
          <w:rFonts w:ascii="Avenir Next" w:hAnsi="Avenir Next" w:cs="Arial"/>
          <w:i/>
          <w:iCs/>
          <w:color w:val="808080" w:themeColor="background1" w:themeShade="80"/>
          <w:sz w:val="22"/>
          <w:szCs w:val="22"/>
          <w:lang w:val="en-GB"/>
        </w:rPr>
        <w:t>locus standi</w:t>
      </w:r>
      <w:r w:rsidR="00716D2B">
        <w:rPr>
          <w:rFonts w:ascii="Avenir Next" w:hAnsi="Avenir Next" w:cs="Arial"/>
          <w:color w:val="808080" w:themeColor="background1" w:themeShade="80"/>
          <w:sz w:val="22"/>
          <w:szCs w:val="22"/>
          <w:lang w:val="en-GB"/>
        </w:rPr>
        <w:t xml:space="preserve"> in the courts in State A, </w:t>
      </w:r>
      <w:r w:rsidR="008C6838">
        <w:rPr>
          <w:rFonts w:ascii="Avenir Next" w:hAnsi="Avenir Next" w:cs="Arial"/>
          <w:color w:val="808080" w:themeColor="background1" w:themeShade="80"/>
          <w:sz w:val="22"/>
          <w:szCs w:val="22"/>
          <w:lang w:val="en-GB"/>
        </w:rPr>
        <w:t xml:space="preserve">but the same will not </w:t>
      </w:r>
      <w:r>
        <w:rPr>
          <w:rFonts w:ascii="Avenir Next" w:hAnsi="Avenir Next" w:cs="Arial"/>
          <w:color w:val="808080" w:themeColor="background1" w:themeShade="80"/>
          <w:sz w:val="22"/>
          <w:szCs w:val="22"/>
          <w:lang w:val="en-GB"/>
        </w:rPr>
        <w:t>dictate</w:t>
      </w:r>
      <w:r w:rsidR="008C6838">
        <w:rPr>
          <w:rFonts w:ascii="Avenir Next" w:hAnsi="Avenir Next" w:cs="Arial"/>
          <w:color w:val="808080" w:themeColor="background1" w:themeShade="80"/>
          <w:sz w:val="22"/>
          <w:szCs w:val="22"/>
          <w:lang w:val="en-GB"/>
        </w:rPr>
        <w:t xml:space="preserve"> </w:t>
      </w:r>
      <w:r w:rsidR="00027025" w:rsidRPr="002475A9">
        <w:rPr>
          <w:rFonts w:ascii="Avenir Next" w:hAnsi="Avenir Next" w:cs="Arial"/>
          <w:color w:val="808080" w:themeColor="background1" w:themeShade="80"/>
          <w:sz w:val="22"/>
          <w:szCs w:val="22"/>
          <w:lang w:val="en-GB"/>
        </w:rPr>
        <w:t>that relief</w:t>
      </w:r>
      <w:r w:rsidR="00780ED1">
        <w:rPr>
          <w:rFonts w:ascii="Avenir Next" w:hAnsi="Avenir Next" w:cs="Arial"/>
          <w:color w:val="808080" w:themeColor="background1" w:themeShade="80"/>
          <w:sz w:val="22"/>
          <w:szCs w:val="22"/>
          <w:lang w:val="en-GB"/>
        </w:rPr>
        <w:t>s</w:t>
      </w:r>
      <w:r w:rsidR="00027025" w:rsidRPr="002475A9">
        <w:rPr>
          <w:rFonts w:ascii="Avenir Next" w:hAnsi="Avenir Next" w:cs="Arial"/>
          <w:color w:val="808080" w:themeColor="background1" w:themeShade="80"/>
          <w:sz w:val="22"/>
          <w:szCs w:val="22"/>
          <w:lang w:val="en-GB"/>
        </w:rPr>
        <w:t xml:space="preserve"> </w:t>
      </w:r>
      <w:r w:rsidR="00306302">
        <w:rPr>
          <w:rFonts w:ascii="Avenir Next" w:hAnsi="Avenir Next" w:cs="Arial"/>
          <w:color w:val="808080" w:themeColor="background1" w:themeShade="80"/>
          <w:sz w:val="22"/>
          <w:szCs w:val="22"/>
          <w:lang w:val="en-GB"/>
        </w:rPr>
        <w:t xml:space="preserve">that </w:t>
      </w:r>
      <w:r w:rsidR="00027025" w:rsidRPr="002475A9">
        <w:rPr>
          <w:rFonts w:ascii="Avenir Next" w:hAnsi="Avenir Next" w:cs="Arial"/>
          <w:color w:val="808080" w:themeColor="background1" w:themeShade="80"/>
          <w:sz w:val="22"/>
          <w:szCs w:val="22"/>
          <w:lang w:val="en-GB"/>
        </w:rPr>
        <w:t>must be given to the foreign representative, as reliefs</w:t>
      </w:r>
      <w:r w:rsidR="00306302">
        <w:rPr>
          <w:rFonts w:ascii="Avenir Next" w:hAnsi="Avenir Next" w:cs="Arial"/>
          <w:color w:val="808080" w:themeColor="background1" w:themeShade="80"/>
          <w:sz w:val="22"/>
          <w:szCs w:val="22"/>
          <w:lang w:val="en-GB"/>
        </w:rPr>
        <w:t xml:space="preserve"> are </w:t>
      </w:r>
      <w:r w:rsidR="00027025" w:rsidRPr="002475A9">
        <w:rPr>
          <w:rFonts w:ascii="Avenir Next" w:hAnsi="Avenir Next" w:cs="Arial"/>
          <w:color w:val="808080" w:themeColor="background1" w:themeShade="80"/>
          <w:sz w:val="22"/>
          <w:szCs w:val="22"/>
          <w:lang w:val="en-GB"/>
        </w:rPr>
        <w:t>specifically addressed under other articles</w:t>
      </w:r>
      <w:r w:rsidR="009367D5">
        <w:rPr>
          <w:rFonts w:ascii="Avenir Next" w:hAnsi="Avenir Next" w:cs="Arial"/>
          <w:color w:val="808080" w:themeColor="background1" w:themeShade="80"/>
          <w:sz w:val="22"/>
          <w:szCs w:val="22"/>
          <w:lang w:val="en-GB"/>
        </w:rPr>
        <w:t xml:space="preserve"> </w:t>
      </w:r>
      <w:r w:rsidR="00306302">
        <w:rPr>
          <w:rFonts w:ascii="Avenir Next" w:hAnsi="Avenir Next" w:cs="Arial"/>
          <w:color w:val="808080" w:themeColor="background1" w:themeShade="80"/>
          <w:sz w:val="22"/>
          <w:szCs w:val="22"/>
          <w:lang w:val="en-GB"/>
        </w:rPr>
        <w:t xml:space="preserve">of </w:t>
      </w:r>
      <w:r w:rsidR="00027025">
        <w:rPr>
          <w:rFonts w:ascii="Avenir Next" w:hAnsi="Avenir Next" w:cs="Arial"/>
          <w:color w:val="808080" w:themeColor="background1" w:themeShade="80"/>
          <w:sz w:val="22"/>
          <w:szCs w:val="22"/>
          <w:lang w:val="en-GB"/>
        </w:rPr>
        <w:t>the Model Law</w:t>
      </w:r>
      <w:r>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w:t>
      </w:r>
      <w:r w:rsidR="005910F8">
        <w:rPr>
          <w:rFonts w:ascii="Avenir Next" w:hAnsi="Avenir Next" w:cs="Arial"/>
          <w:color w:val="808080" w:themeColor="background1" w:themeShade="80"/>
          <w:sz w:val="22"/>
          <w:szCs w:val="22"/>
          <w:lang w:val="en-GB"/>
        </w:rPr>
        <w:t>Considering that the foreign representative</w:t>
      </w:r>
      <w:r w:rsidR="00602791">
        <w:rPr>
          <w:rFonts w:ascii="Avenir Next" w:hAnsi="Avenir Next" w:cs="Arial"/>
          <w:color w:val="808080" w:themeColor="background1" w:themeShade="80"/>
          <w:sz w:val="22"/>
          <w:szCs w:val="22"/>
          <w:lang w:val="en-GB"/>
        </w:rPr>
        <w:t xml:space="preserve"> interest</w:t>
      </w:r>
      <w:r w:rsidR="00306302">
        <w:rPr>
          <w:rFonts w:ascii="Avenir Next" w:hAnsi="Avenir Next" w:cs="Arial"/>
          <w:color w:val="808080" w:themeColor="background1" w:themeShade="80"/>
          <w:sz w:val="22"/>
          <w:szCs w:val="22"/>
          <w:lang w:val="en-GB"/>
        </w:rPr>
        <w:t>s</w:t>
      </w:r>
      <w:r w:rsidR="00602791">
        <w:rPr>
          <w:rFonts w:ascii="Avenir Next" w:hAnsi="Avenir Next" w:cs="Arial"/>
          <w:color w:val="808080" w:themeColor="background1" w:themeShade="80"/>
          <w:sz w:val="22"/>
          <w:szCs w:val="22"/>
          <w:lang w:val="en-GB"/>
        </w:rPr>
        <w:t xml:space="preserve"> lie in securing the value of the debtor’s assets located in State A, and in the event he/she decides to move a recognition application under the Model Law provisions of State A, the following will</w:t>
      </w:r>
      <w:r w:rsidR="00F831EB">
        <w:rPr>
          <w:rFonts w:ascii="Avenir Next" w:hAnsi="Avenir Next" w:cs="Arial"/>
          <w:color w:val="808080" w:themeColor="background1" w:themeShade="80"/>
          <w:sz w:val="22"/>
          <w:szCs w:val="22"/>
          <w:lang w:val="en-GB"/>
        </w:rPr>
        <w:t xml:space="preserve"> be</w:t>
      </w:r>
      <w:r w:rsidR="00602791">
        <w:rPr>
          <w:rFonts w:ascii="Avenir Next" w:hAnsi="Avenir Next" w:cs="Arial"/>
          <w:color w:val="808080" w:themeColor="background1" w:themeShade="80"/>
          <w:sz w:val="22"/>
          <w:szCs w:val="22"/>
          <w:lang w:val="en-GB"/>
        </w:rPr>
        <w:t xml:space="preserve"> the </w:t>
      </w:r>
      <w:r w:rsidR="00D21C9A">
        <w:rPr>
          <w:rFonts w:ascii="Avenir Next" w:hAnsi="Avenir Next" w:cs="Arial"/>
          <w:color w:val="808080" w:themeColor="background1" w:themeShade="80"/>
          <w:sz w:val="22"/>
          <w:szCs w:val="22"/>
          <w:lang w:val="en-GB"/>
        </w:rPr>
        <w:t>likely</w:t>
      </w:r>
      <w:r w:rsidR="00602791">
        <w:rPr>
          <w:rFonts w:ascii="Avenir Next" w:hAnsi="Avenir Next" w:cs="Arial"/>
          <w:color w:val="808080" w:themeColor="background1" w:themeShade="80"/>
          <w:sz w:val="22"/>
          <w:szCs w:val="22"/>
          <w:lang w:val="en-GB"/>
        </w:rPr>
        <w:t xml:space="preserve"> benefits of the same:</w:t>
      </w:r>
    </w:p>
    <w:p w14:paraId="5A98D7D8" w14:textId="77777777" w:rsidR="00D21C9A" w:rsidRDefault="00D21C9A" w:rsidP="00D21C9A">
      <w:pPr>
        <w:jc w:val="both"/>
        <w:rPr>
          <w:rFonts w:ascii="Avenir Next" w:hAnsi="Avenir Next" w:cs="Arial"/>
          <w:color w:val="808080" w:themeColor="background1" w:themeShade="80"/>
          <w:sz w:val="22"/>
          <w:szCs w:val="22"/>
          <w:lang w:val="en-GB"/>
        </w:rPr>
      </w:pPr>
    </w:p>
    <w:p w14:paraId="51824301" w14:textId="3E509572" w:rsidR="00257437" w:rsidRPr="002A40EC" w:rsidRDefault="007870ED" w:rsidP="00276E42">
      <w:pPr>
        <w:pStyle w:val="ListParagraph"/>
        <w:numPr>
          <w:ilvl w:val="0"/>
          <w:numId w:val="15"/>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foreign representative will be entitled to interim reliefs even when the said recognition application </w:t>
      </w:r>
      <w:r w:rsidR="00596DBF">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sub-judice before the courts of State A</w:t>
      </w:r>
      <w:r w:rsidR="00D644CB">
        <w:rPr>
          <w:rFonts w:ascii="Avenir Next" w:hAnsi="Avenir Next" w:cs="Arial"/>
          <w:color w:val="808080" w:themeColor="background1" w:themeShade="80"/>
          <w:sz w:val="22"/>
          <w:szCs w:val="22"/>
          <w:lang w:val="en-GB"/>
        </w:rPr>
        <w:t>. Under Article 19, the courts are empowered to grant reliefs such as</w:t>
      </w:r>
      <w:r w:rsidR="00E44395">
        <w:rPr>
          <w:rFonts w:ascii="Avenir Next" w:hAnsi="Avenir Next" w:cs="Arial"/>
          <w:color w:val="808080" w:themeColor="background1" w:themeShade="80"/>
          <w:sz w:val="22"/>
          <w:szCs w:val="22"/>
          <w:lang w:val="en-GB"/>
        </w:rPr>
        <w:t xml:space="preserve">; staying the execution as </w:t>
      </w:r>
      <w:r w:rsidR="005427DA">
        <w:rPr>
          <w:rFonts w:ascii="Avenir Next" w:hAnsi="Avenir Next" w:cs="Arial"/>
          <w:color w:val="808080" w:themeColor="background1" w:themeShade="80"/>
          <w:sz w:val="22"/>
          <w:szCs w:val="22"/>
          <w:lang w:val="en-GB"/>
        </w:rPr>
        <w:t>against</w:t>
      </w:r>
      <w:r w:rsidR="00E44395">
        <w:rPr>
          <w:rFonts w:ascii="Avenir Next" w:hAnsi="Avenir Next" w:cs="Arial"/>
          <w:color w:val="808080" w:themeColor="background1" w:themeShade="80"/>
          <w:sz w:val="22"/>
          <w:szCs w:val="22"/>
          <w:lang w:val="en-GB"/>
        </w:rPr>
        <w:t xml:space="preserve"> the debtor’s assets in the state</w:t>
      </w:r>
      <w:r w:rsidR="005427DA">
        <w:rPr>
          <w:rStyle w:val="FootnoteReference"/>
          <w:rFonts w:ascii="Avenir Next" w:hAnsi="Avenir Next" w:cs="Arial"/>
          <w:color w:val="808080" w:themeColor="background1" w:themeShade="80"/>
          <w:sz w:val="22"/>
          <w:szCs w:val="22"/>
          <w:lang w:val="en-GB"/>
        </w:rPr>
        <w:footnoteReference w:id="9"/>
      </w:r>
      <w:r w:rsidR="00E44395">
        <w:rPr>
          <w:rFonts w:ascii="Avenir Next" w:hAnsi="Avenir Next" w:cs="Arial"/>
          <w:color w:val="808080" w:themeColor="background1" w:themeShade="80"/>
          <w:sz w:val="22"/>
          <w:szCs w:val="22"/>
          <w:lang w:val="en-GB"/>
        </w:rPr>
        <w:t xml:space="preserve">, </w:t>
      </w:r>
      <w:r w:rsidR="00596DBF">
        <w:rPr>
          <w:rFonts w:ascii="Avenir Next" w:hAnsi="Avenir Next" w:cs="Arial"/>
          <w:color w:val="808080" w:themeColor="background1" w:themeShade="80"/>
          <w:sz w:val="22"/>
          <w:szCs w:val="22"/>
          <w:lang w:val="en-GB"/>
        </w:rPr>
        <w:t xml:space="preserve">entrusting </w:t>
      </w:r>
      <w:r w:rsidR="00357093">
        <w:rPr>
          <w:rFonts w:ascii="Avenir Next" w:hAnsi="Avenir Next" w:cs="Arial"/>
          <w:color w:val="808080" w:themeColor="background1" w:themeShade="80"/>
          <w:sz w:val="22"/>
          <w:szCs w:val="22"/>
          <w:lang w:val="en-GB"/>
        </w:rPr>
        <w:t>the administration/realisation and preservation of the assets of the debtor to a court appointed administrator or to the foreign representative</w:t>
      </w:r>
      <w:r w:rsidR="00F83ACD">
        <w:rPr>
          <w:rStyle w:val="FootnoteReference"/>
          <w:rFonts w:ascii="Avenir Next" w:hAnsi="Avenir Next" w:cs="Arial"/>
          <w:color w:val="808080" w:themeColor="background1" w:themeShade="80"/>
          <w:sz w:val="22"/>
          <w:szCs w:val="22"/>
          <w:lang w:val="en-GB"/>
        </w:rPr>
        <w:footnoteReference w:id="10"/>
      </w:r>
      <w:r w:rsidR="00F66004">
        <w:rPr>
          <w:rFonts w:ascii="Avenir Next" w:hAnsi="Avenir Next" w:cs="Arial"/>
          <w:color w:val="808080" w:themeColor="background1" w:themeShade="80"/>
          <w:sz w:val="22"/>
          <w:szCs w:val="22"/>
          <w:lang w:val="en-GB"/>
        </w:rPr>
        <w:t>, declaring a moratorium as against disposal</w:t>
      </w:r>
      <w:r w:rsidR="005427DA">
        <w:rPr>
          <w:rFonts w:ascii="Avenir Next" w:hAnsi="Avenir Next" w:cs="Arial"/>
          <w:color w:val="808080" w:themeColor="background1" w:themeShade="80"/>
          <w:sz w:val="22"/>
          <w:szCs w:val="22"/>
          <w:lang w:val="en-GB"/>
        </w:rPr>
        <w:t>/transfer</w:t>
      </w:r>
      <w:r w:rsidR="00F66004">
        <w:rPr>
          <w:rFonts w:ascii="Avenir Next" w:hAnsi="Avenir Next" w:cs="Arial"/>
          <w:color w:val="808080" w:themeColor="background1" w:themeShade="80"/>
          <w:sz w:val="22"/>
          <w:szCs w:val="22"/>
          <w:lang w:val="en-GB"/>
        </w:rPr>
        <w:t xml:space="preserve"> of the assets</w:t>
      </w:r>
      <w:r w:rsidR="00F83ACD">
        <w:rPr>
          <w:rStyle w:val="FootnoteReference"/>
          <w:rFonts w:ascii="Avenir Next" w:hAnsi="Avenir Next" w:cs="Arial"/>
          <w:color w:val="808080" w:themeColor="background1" w:themeShade="80"/>
          <w:sz w:val="22"/>
          <w:szCs w:val="22"/>
          <w:lang w:val="en-GB"/>
        </w:rPr>
        <w:footnoteReference w:id="11"/>
      </w:r>
      <w:r w:rsidR="00102E6F">
        <w:rPr>
          <w:rFonts w:ascii="Avenir Next" w:hAnsi="Avenir Next" w:cs="Arial"/>
          <w:color w:val="808080" w:themeColor="background1" w:themeShade="80"/>
          <w:sz w:val="22"/>
          <w:szCs w:val="22"/>
          <w:lang w:val="en-GB"/>
        </w:rPr>
        <w:t xml:space="preserve">. </w:t>
      </w:r>
      <w:r w:rsidR="00ED2B4C">
        <w:rPr>
          <w:rFonts w:ascii="Avenir Next" w:hAnsi="Avenir Next" w:cs="Arial"/>
          <w:color w:val="808080" w:themeColor="background1" w:themeShade="80"/>
          <w:sz w:val="22"/>
          <w:szCs w:val="22"/>
          <w:lang w:val="en-GB"/>
        </w:rPr>
        <w:t>The interim reliefs can be extended if the recognition application is allowed</w:t>
      </w:r>
      <w:r w:rsidR="00ED2B4C">
        <w:rPr>
          <w:rStyle w:val="FootnoteReference"/>
          <w:rFonts w:ascii="Avenir Next" w:hAnsi="Avenir Next" w:cs="Arial"/>
          <w:color w:val="808080" w:themeColor="background1" w:themeShade="80"/>
          <w:sz w:val="22"/>
          <w:szCs w:val="22"/>
          <w:lang w:val="en-GB"/>
        </w:rPr>
        <w:footnoteReference w:id="12"/>
      </w:r>
      <w:r w:rsidR="00830D9A">
        <w:rPr>
          <w:rFonts w:ascii="Avenir Next" w:hAnsi="Avenir Next" w:cs="Arial"/>
          <w:color w:val="808080" w:themeColor="background1" w:themeShade="80"/>
          <w:sz w:val="22"/>
          <w:szCs w:val="22"/>
          <w:lang w:val="en-GB"/>
        </w:rPr>
        <w:t>;</w:t>
      </w:r>
    </w:p>
    <w:p w14:paraId="5CD83E20" w14:textId="75AE21D6" w:rsidR="00EA6D31" w:rsidRPr="00A24623" w:rsidRDefault="00C9400F" w:rsidP="00276E42">
      <w:pPr>
        <w:pStyle w:val="ListParagraph"/>
        <w:numPr>
          <w:ilvl w:val="0"/>
          <w:numId w:val="15"/>
        </w:numPr>
        <w:jc w:val="both"/>
        <w:rPr>
          <w:rFonts w:ascii="Avenir Next" w:hAnsi="Avenir Next" w:cs="Arial"/>
          <w:sz w:val="22"/>
          <w:szCs w:val="22"/>
          <w:lang w:val="en-GB"/>
        </w:rPr>
      </w:pPr>
      <w:r w:rsidRPr="00102E6F">
        <w:rPr>
          <w:rFonts w:ascii="Avenir Next" w:hAnsi="Avenir Next" w:cs="Arial"/>
          <w:color w:val="808080" w:themeColor="background1" w:themeShade="80"/>
          <w:sz w:val="22"/>
          <w:szCs w:val="22"/>
          <w:lang w:val="en-GB"/>
        </w:rPr>
        <w:t xml:space="preserve">Further, </w:t>
      </w:r>
      <w:r w:rsidR="0077564B" w:rsidRPr="00102E6F">
        <w:rPr>
          <w:rFonts w:ascii="Avenir Next" w:hAnsi="Avenir Next" w:cs="Arial"/>
          <w:color w:val="808080" w:themeColor="background1" w:themeShade="80"/>
          <w:sz w:val="22"/>
          <w:szCs w:val="22"/>
          <w:lang w:val="en-GB"/>
        </w:rPr>
        <w:t>once the foreign proceedings have been</w:t>
      </w:r>
      <w:r w:rsidR="00050E06" w:rsidRPr="00102E6F">
        <w:rPr>
          <w:rFonts w:ascii="Avenir Next" w:hAnsi="Avenir Next" w:cs="Arial"/>
          <w:color w:val="808080" w:themeColor="background1" w:themeShade="80"/>
          <w:sz w:val="22"/>
          <w:szCs w:val="22"/>
          <w:lang w:val="en-GB"/>
        </w:rPr>
        <w:t xml:space="preserve"> recognised, the courts in State A, have the discretionary power</w:t>
      </w:r>
      <w:r w:rsidR="00520932" w:rsidRPr="00102E6F">
        <w:rPr>
          <w:rStyle w:val="FootnoteReference"/>
          <w:rFonts w:ascii="Avenir Next" w:hAnsi="Avenir Next" w:cs="Arial"/>
          <w:color w:val="808080" w:themeColor="background1" w:themeShade="80"/>
          <w:sz w:val="22"/>
          <w:szCs w:val="22"/>
          <w:lang w:val="en-GB"/>
        </w:rPr>
        <w:footnoteReference w:id="13"/>
      </w:r>
      <w:r w:rsidR="00FA0335" w:rsidRPr="00102E6F">
        <w:rPr>
          <w:rFonts w:ascii="Avenir Next" w:hAnsi="Avenir Next" w:cs="Arial"/>
          <w:color w:val="808080" w:themeColor="background1" w:themeShade="80"/>
          <w:sz w:val="22"/>
          <w:szCs w:val="22"/>
          <w:lang w:val="en-GB"/>
        </w:rPr>
        <w:t xml:space="preserve"> to grant various reliefs under Article 21</w:t>
      </w:r>
      <w:r w:rsidR="00621987" w:rsidRPr="00102E6F">
        <w:rPr>
          <w:rFonts w:ascii="Avenir Next" w:hAnsi="Avenir Next" w:cs="Arial"/>
          <w:color w:val="808080" w:themeColor="background1" w:themeShade="80"/>
          <w:sz w:val="22"/>
          <w:szCs w:val="22"/>
          <w:lang w:val="en-GB"/>
        </w:rPr>
        <w:t xml:space="preserve">, such as a moratorium </w:t>
      </w:r>
      <w:r w:rsidR="00263CC9" w:rsidRPr="00102E6F">
        <w:rPr>
          <w:rFonts w:ascii="Avenir Next" w:hAnsi="Avenir Next" w:cs="Arial"/>
          <w:color w:val="808080" w:themeColor="background1" w:themeShade="80"/>
          <w:sz w:val="22"/>
          <w:szCs w:val="22"/>
          <w:lang w:val="en-GB"/>
        </w:rPr>
        <w:t>in favour of the debtor’s assets, rights and obligations</w:t>
      </w:r>
      <w:r w:rsidR="00263CC9" w:rsidRPr="00102E6F">
        <w:rPr>
          <w:rStyle w:val="FootnoteReference"/>
          <w:rFonts w:ascii="Avenir Next" w:hAnsi="Avenir Next" w:cs="Arial"/>
          <w:color w:val="808080" w:themeColor="background1" w:themeShade="80"/>
          <w:sz w:val="22"/>
          <w:szCs w:val="22"/>
          <w:lang w:val="en-GB"/>
        </w:rPr>
        <w:footnoteReference w:id="14"/>
      </w:r>
      <w:r w:rsidR="00263CC9" w:rsidRPr="00102E6F">
        <w:rPr>
          <w:rFonts w:ascii="Avenir Next" w:hAnsi="Avenir Next" w:cs="Arial"/>
          <w:color w:val="808080" w:themeColor="background1" w:themeShade="80"/>
          <w:sz w:val="22"/>
          <w:szCs w:val="22"/>
          <w:lang w:val="en-GB"/>
        </w:rPr>
        <w:t>,</w:t>
      </w:r>
      <w:r w:rsidR="006674FA" w:rsidRPr="00102E6F">
        <w:rPr>
          <w:rFonts w:ascii="Avenir Next" w:hAnsi="Avenir Next" w:cs="Arial"/>
          <w:color w:val="808080" w:themeColor="background1" w:themeShade="80"/>
          <w:sz w:val="22"/>
          <w:szCs w:val="22"/>
          <w:lang w:val="en-GB"/>
        </w:rPr>
        <w:t xml:space="preserve"> staying of execution against the debtor’s assets</w:t>
      </w:r>
      <w:r w:rsidR="006674FA" w:rsidRPr="00102E6F">
        <w:rPr>
          <w:rStyle w:val="FootnoteReference"/>
          <w:rFonts w:ascii="Avenir Next" w:hAnsi="Avenir Next" w:cs="Arial"/>
          <w:color w:val="808080" w:themeColor="background1" w:themeShade="80"/>
          <w:sz w:val="22"/>
          <w:szCs w:val="22"/>
          <w:lang w:val="en-GB"/>
        </w:rPr>
        <w:footnoteReference w:id="15"/>
      </w:r>
      <w:r w:rsidR="006674FA" w:rsidRPr="00102E6F">
        <w:rPr>
          <w:rFonts w:ascii="Avenir Next" w:hAnsi="Avenir Next" w:cs="Arial"/>
          <w:color w:val="808080" w:themeColor="background1" w:themeShade="80"/>
          <w:sz w:val="22"/>
          <w:szCs w:val="22"/>
          <w:lang w:val="en-GB"/>
        </w:rPr>
        <w:t>,</w:t>
      </w:r>
      <w:r w:rsidR="00EB1936" w:rsidRPr="00102E6F">
        <w:rPr>
          <w:rFonts w:ascii="Avenir Next" w:hAnsi="Avenir Next" w:cs="Arial"/>
          <w:color w:val="808080" w:themeColor="background1" w:themeShade="80"/>
          <w:sz w:val="22"/>
          <w:szCs w:val="22"/>
          <w:lang w:val="en-GB"/>
        </w:rPr>
        <w:t xml:space="preserve"> </w:t>
      </w:r>
      <w:r w:rsidR="004E1100" w:rsidRPr="00102E6F">
        <w:rPr>
          <w:rFonts w:ascii="Avenir Next" w:hAnsi="Avenir Next" w:cs="Arial"/>
          <w:color w:val="808080" w:themeColor="background1" w:themeShade="80"/>
          <w:sz w:val="22"/>
          <w:szCs w:val="22"/>
          <w:lang w:val="en-GB"/>
        </w:rPr>
        <w:t xml:space="preserve">suspending the rights to dispose </w:t>
      </w:r>
      <w:r w:rsidR="00102E6F" w:rsidRPr="00102E6F">
        <w:rPr>
          <w:rFonts w:ascii="Avenir Next" w:hAnsi="Avenir Next" w:cs="Arial"/>
          <w:color w:val="808080" w:themeColor="background1" w:themeShade="80"/>
          <w:sz w:val="22"/>
          <w:szCs w:val="22"/>
          <w:lang w:val="en-GB"/>
        </w:rPr>
        <w:t>of</w:t>
      </w:r>
      <w:r w:rsidR="004E1100" w:rsidRPr="00102E6F">
        <w:rPr>
          <w:rFonts w:ascii="Avenir Next" w:hAnsi="Avenir Next" w:cs="Arial"/>
          <w:color w:val="808080" w:themeColor="background1" w:themeShade="80"/>
          <w:sz w:val="22"/>
          <w:szCs w:val="22"/>
          <w:lang w:val="en-GB"/>
        </w:rPr>
        <w:t xml:space="preserve"> or rather deal in any manner with the assets of </w:t>
      </w:r>
      <w:r w:rsidR="004E1100" w:rsidRPr="00102E6F">
        <w:rPr>
          <w:rFonts w:ascii="Avenir Next" w:hAnsi="Avenir Next" w:cs="Arial"/>
          <w:color w:val="808080" w:themeColor="background1" w:themeShade="80"/>
          <w:sz w:val="22"/>
          <w:szCs w:val="22"/>
          <w:lang w:val="en-GB"/>
        </w:rPr>
        <w:lastRenderedPageBreak/>
        <w:t>the debtor</w:t>
      </w:r>
      <w:r w:rsidR="004E1100" w:rsidRPr="00102E6F">
        <w:rPr>
          <w:rStyle w:val="FootnoteReference"/>
          <w:rFonts w:ascii="Avenir Next" w:hAnsi="Avenir Next" w:cs="Arial"/>
          <w:color w:val="808080" w:themeColor="background1" w:themeShade="80"/>
          <w:sz w:val="22"/>
          <w:szCs w:val="22"/>
          <w:lang w:val="en-GB"/>
        </w:rPr>
        <w:footnoteReference w:id="16"/>
      </w:r>
      <w:r w:rsidR="004E1100" w:rsidRPr="00102E6F">
        <w:rPr>
          <w:rFonts w:ascii="Avenir Next" w:hAnsi="Avenir Next" w:cs="Arial"/>
          <w:color w:val="808080" w:themeColor="background1" w:themeShade="80"/>
          <w:sz w:val="22"/>
          <w:szCs w:val="22"/>
          <w:lang w:val="en-GB"/>
        </w:rPr>
        <w:t xml:space="preserve">, </w:t>
      </w:r>
      <w:r w:rsidR="00EB1936" w:rsidRPr="00102E6F">
        <w:rPr>
          <w:rFonts w:ascii="Avenir Next" w:hAnsi="Avenir Next" w:cs="Arial"/>
          <w:color w:val="808080" w:themeColor="background1" w:themeShade="80"/>
          <w:sz w:val="22"/>
          <w:szCs w:val="22"/>
          <w:lang w:val="en-GB"/>
        </w:rPr>
        <w:t>providing access to evidence and information in relation to the debtor’s assets</w:t>
      </w:r>
      <w:r w:rsidR="00D96CB6" w:rsidRPr="00102E6F">
        <w:rPr>
          <w:rStyle w:val="FootnoteReference"/>
          <w:rFonts w:ascii="Avenir Next" w:hAnsi="Avenir Next" w:cs="Arial"/>
          <w:color w:val="808080" w:themeColor="background1" w:themeShade="80"/>
          <w:sz w:val="22"/>
          <w:szCs w:val="22"/>
          <w:lang w:val="en-GB"/>
        </w:rPr>
        <w:footnoteReference w:id="17"/>
      </w:r>
      <w:r w:rsidR="004E1100" w:rsidRPr="00102E6F">
        <w:rPr>
          <w:rFonts w:ascii="Avenir Next" w:hAnsi="Avenir Next" w:cs="Arial"/>
          <w:color w:val="808080" w:themeColor="background1" w:themeShade="80"/>
          <w:sz w:val="22"/>
          <w:szCs w:val="22"/>
          <w:lang w:val="en-GB"/>
        </w:rPr>
        <w:t xml:space="preserve">, </w:t>
      </w:r>
      <w:r w:rsidR="00DF7553" w:rsidRPr="0030546B">
        <w:rPr>
          <w:rFonts w:ascii="Avenir Next" w:hAnsi="Avenir Next" w:cs="Arial"/>
          <w:color w:val="808080" w:themeColor="background1" w:themeShade="80"/>
          <w:sz w:val="22"/>
          <w:szCs w:val="22"/>
          <w:lang w:val="en-GB"/>
        </w:rPr>
        <w:t>entrusting the administration/realisation and preservation of the assets of the debtor to a court appointed administrator or to the foreign representative</w:t>
      </w:r>
      <w:r w:rsidR="00DF7553">
        <w:rPr>
          <w:rStyle w:val="FootnoteReference"/>
          <w:rFonts w:ascii="Avenir Next" w:hAnsi="Avenir Next" w:cs="Arial"/>
          <w:color w:val="808080" w:themeColor="background1" w:themeShade="80"/>
          <w:sz w:val="22"/>
          <w:szCs w:val="22"/>
          <w:lang w:val="en-GB"/>
        </w:rPr>
        <w:footnoteReference w:id="18"/>
      </w:r>
      <w:r w:rsidR="00DF7553" w:rsidRPr="0030546B">
        <w:rPr>
          <w:rFonts w:ascii="Avenir Next" w:hAnsi="Avenir Next" w:cs="Arial"/>
          <w:color w:val="808080" w:themeColor="background1" w:themeShade="80"/>
          <w:sz w:val="22"/>
          <w:szCs w:val="22"/>
          <w:lang w:val="en-GB"/>
        </w:rPr>
        <w:t>, extending any interim reliefs granted under Article 19</w:t>
      </w:r>
      <w:r w:rsidR="00DF7553">
        <w:rPr>
          <w:rStyle w:val="FootnoteReference"/>
          <w:rFonts w:ascii="Avenir Next" w:hAnsi="Avenir Next" w:cs="Arial"/>
          <w:color w:val="808080" w:themeColor="background1" w:themeShade="80"/>
          <w:sz w:val="22"/>
          <w:szCs w:val="22"/>
          <w:lang w:val="en-GB"/>
        </w:rPr>
        <w:footnoteReference w:id="19"/>
      </w:r>
      <w:r w:rsidR="0030546B" w:rsidRPr="0030546B">
        <w:rPr>
          <w:rFonts w:ascii="Avenir Next" w:hAnsi="Avenir Next" w:cs="Arial"/>
          <w:color w:val="808080" w:themeColor="background1" w:themeShade="80"/>
          <w:sz w:val="22"/>
          <w:szCs w:val="22"/>
          <w:lang w:val="en-GB"/>
        </w:rPr>
        <w:t xml:space="preserve"> and/or granting any other reliefs that the foreign representative may apply for. </w:t>
      </w:r>
      <w:r w:rsidR="009522EE">
        <w:rPr>
          <w:rFonts w:ascii="Avenir Next" w:hAnsi="Avenir Next" w:cs="Arial"/>
          <w:color w:val="808080" w:themeColor="background1" w:themeShade="80"/>
          <w:sz w:val="22"/>
          <w:szCs w:val="22"/>
          <w:lang w:val="en-GB"/>
        </w:rPr>
        <w:t xml:space="preserve">The court can also, under Article 21(2), entrust the responsibility to the court representative or the foreign creditor for distribution of the debtor’s domestic assets </w:t>
      </w:r>
      <w:r w:rsidR="00A24623">
        <w:rPr>
          <w:rFonts w:ascii="Avenir Next" w:hAnsi="Avenir Next" w:cs="Arial"/>
          <w:color w:val="808080" w:themeColor="background1" w:themeShade="80"/>
          <w:sz w:val="22"/>
          <w:szCs w:val="22"/>
          <w:lang w:val="en-GB"/>
        </w:rPr>
        <w:t>provided the court is satisfied that the interests of all the other stakeholders is protected</w:t>
      </w:r>
      <w:r w:rsidR="00830D9A">
        <w:rPr>
          <w:rFonts w:ascii="Avenir Next" w:hAnsi="Avenir Next" w:cs="Arial"/>
          <w:color w:val="808080" w:themeColor="background1" w:themeShade="80"/>
          <w:sz w:val="22"/>
          <w:szCs w:val="22"/>
          <w:lang w:val="en-GB"/>
        </w:rPr>
        <w:t>;</w:t>
      </w:r>
    </w:p>
    <w:p w14:paraId="0FA1E239" w14:textId="0025FD9D" w:rsidR="00A24623" w:rsidRPr="00830D9A" w:rsidRDefault="00E138C3" w:rsidP="00276E42">
      <w:pPr>
        <w:pStyle w:val="ListParagraph"/>
        <w:numPr>
          <w:ilvl w:val="0"/>
          <w:numId w:val="15"/>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foreign presentative will also have </w:t>
      </w:r>
      <w:r w:rsidR="00830D9A">
        <w:rPr>
          <w:rFonts w:ascii="Avenir Next" w:hAnsi="Avenir Next" w:cs="Arial"/>
          <w:color w:val="808080" w:themeColor="background1" w:themeShade="80"/>
          <w:sz w:val="22"/>
          <w:szCs w:val="22"/>
          <w:lang w:val="en-GB"/>
        </w:rPr>
        <w:t>right to initiate proceedings to set aside any voidable transactions detrimental to the value of the assets under Article 21(1);</w:t>
      </w:r>
    </w:p>
    <w:p w14:paraId="4695F256" w14:textId="1582B86D" w:rsidR="00830D9A" w:rsidRPr="00044AA6" w:rsidRDefault="00BB07E8" w:rsidP="00276E42">
      <w:pPr>
        <w:pStyle w:val="ListParagraph"/>
        <w:numPr>
          <w:ilvl w:val="0"/>
          <w:numId w:val="15"/>
        </w:numPr>
        <w:jc w:val="both"/>
        <w:rPr>
          <w:rFonts w:ascii="Avenir Next" w:hAnsi="Avenir Next" w:cs="Arial"/>
          <w:color w:val="808080" w:themeColor="background1" w:themeShade="80"/>
          <w:sz w:val="22"/>
          <w:szCs w:val="22"/>
          <w:lang w:val="en-GB"/>
        </w:rPr>
      </w:pPr>
      <w:r w:rsidRPr="00044AA6">
        <w:rPr>
          <w:rFonts w:ascii="Avenir Next" w:hAnsi="Avenir Next" w:cs="Arial"/>
          <w:color w:val="808080" w:themeColor="background1" w:themeShade="80"/>
          <w:sz w:val="22"/>
          <w:szCs w:val="22"/>
          <w:lang w:val="en-GB"/>
        </w:rPr>
        <w:t>The foreign representative will also be entitled to intervene in any proceedings locally to which the debtor is a party, in order to safeguard the assets and to voice his/h</w:t>
      </w:r>
      <w:r w:rsidR="00AE6811">
        <w:rPr>
          <w:rFonts w:ascii="Avenir Next" w:hAnsi="Avenir Next" w:cs="Arial"/>
          <w:color w:val="808080" w:themeColor="background1" w:themeShade="80"/>
          <w:sz w:val="22"/>
          <w:szCs w:val="22"/>
          <w:lang w:val="en-GB"/>
        </w:rPr>
        <w:t>e</w:t>
      </w:r>
      <w:r w:rsidRPr="00044AA6">
        <w:rPr>
          <w:rFonts w:ascii="Avenir Next" w:hAnsi="Avenir Next" w:cs="Arial"/>
          <w:color w:val="808080" w:themeColor="background1" w:themeShade="80"/>
          <w:sz w:val="22"/>
          <w:szCs w:val="22"/>
          <w:lang w:val="en-GB"/>
        </w:rPr>
        <w:t>r interest and claim qua it under Article 24;</w:t>
      </w:r>
    </w:p>
    <w:p w14:paraId="128B751B" w14:textId="08CC31A7" w:rsidR="00BB07E8" w:rsidRDefault="00BB07E8" w:rsidP="00276E42">
      <w:pPr>
        <w:pStyle w:val="ListParagraph"/>
        <w:numPr>
          <w:ilvl w:val="0"/>
          <w:numId w:val="15"/>
        </w:numPr>
        <w:jc w:val="both"/>
        <w:rPr>
          <w:rFonts w:ascii="Avenir Next" w:hAnsi="Avenir Next" w:cs="Arial"/>
          <w:color w:val="808080" w:themeColor="background1" w:themeShade="80"/>
          <w:sz w:val="22"/>
          <w:szCs w:val="22"/>
          <w:lang w:val="en-GB"/>
        </w:rPr>
      </w:pPr>
      <w:r w:rsidRPr="00044AA6">
        <w:rPr>
          <w:rFonts w:ascii="Avenir Next" w:hAnsi="Avenir Next" w:cs="Arial"/>
          <w:color w:val="808080" w:themeColor="background1" w:themeShade="80"/>
          <w:sz w:val="22"/>
          <w:szCs w:val="22"/>
          <w:lang w:val="en-GB"/>
        </w:rPr>
        <w:t xml:space="preserve">In addition to the aforesaid benefits, the foreign representative will also benefit from the general provisions </w:t>
      </w:r>
      <w:r w:rsidR="00570E79" w:rsidRPr="00044AA6">
        <w:rPr>
          <w:rFonts w:ascii="Avenir Next" w:hAnsi="Avenir Next" w:cs="Arial"/>
          <w:color w:val="808080" w:themeColor="background1" w:themeShade="80"/>
          <w:sz w:val="22"/>
          <w:szCs w:val="22"/>
          <w:lang w:val="en-GB"/>
        </w:rPr>
        <w:t xml:space="preserve">of </w:t>
      </w:r>
      <w:r w:rsidR="00044AA6" w:rsidRPr="00044AA6">
        <w:rPr>
          <w:rFonts w:ascii="Avenir Next" w:hAnsi="Avenir Next" w:cs="Arial"/>
          <w:color w:val="808080" w:themeColor="background1" w:themeShade="80"/>
          <w:sz w:val="22"/>
          <w:szCs w:val="22"/>
          <w:lang w:val="en-GB"/>
        </w:rPr>
        <w:t>cooperation</w:t>
      </w:r>
      <w:r w:rsidR="00570E79" w:rsidRPr="00044AA6">
        <w:rPr>
          <w:rFonts w:ascii="Avenir Next" w:hAnsi="Avenir Next" w:cs="Arial"/>
          <w:color w:val="808080" w:themeColor="background1" w:themeShade="80"/>
          <w:sz w:val="22"/>
          <w:szCs w:val="22"/>
          <w:lang w:val="en-GB"/>
        </w:rPr>
        <w:t xml:space="preserve"> between the court of State A and the </w:t>
      </w:r>
      <w:r w:rsidR="00BD2B0E" w:rsidRPr="00044AA6">
        <w:rPr>
          <w:rFonts w:ascii="Avenir Next" w:hAnsi="Avenir Next" w:cs="Arial"/>
          <w:color w:val="808080" w:themeColor="background1" w:themeShade="80"/>
          <w:sz w:val="22"/>
          <w:szCs w:val="22"/>
          <w:lang w:val="en-GB"/>
        </w:rPr>
        <w:t xml:space="preserve">insolvency </w:t>
      </w:r>
      <w:r w:rsidR="00044AA6" w:rsidRPr="00044AA6">
        <w:rPr>
          <w:rFonts w:ascii="Avenir Next" w:hAnsi="Avenir Next" w:cs="Arial"/>
          <w:color w:val="808080" w:themeColor="background1" w:themeShade="80"/>
          <w:sz w:val="22"/>
          <w:szCs w:val="22"/>
          <w:lang w:val="en-GB"/>
        </w:rPr>
        <w:t>administrator</w:t>
      </w:r>
      <w:r w:rsidR="00BD2B0E" w:rsidRPr="00044AA6">
        <w:rPr>
          <w:rFonts w:ascii="Avenir Next" w:hAnsi="Avenir Next" w:cs="Arial"/>
          <w:color w:val="808080" w:themeColor="background1" w:themeShade="80"/>
          <w:sz w:val="22"/>
          <w:szCs w:val="22"/>
          <w:lang w:val="en-GB"/>
        </w:rPr>
        <w:t xml:space="preserve"> of the debtor in State A (if applicable) with the foreign repr</w:t>
      </w:r>
      <w:r w:rsidR="00044AA6" w:rsidRPr="00044AA6">
        <w:rPr>
          <w:rFonts w:ascii="Avenir Next" w:hAnsi="Avenir Next" w:cs="Arial"/>
          <w:color w:val="808080" w:themeColor="background1" w:themeShade="80"/>
          <w:sz w:val="22"/>
          <w:szCs w:val="22"/>
          <w:lang w:val="en-GB"/>
        </w:rPr>
        <w:t>esentative</w:t>
      </w:r>
      <w:r w:rsidR="00BD2B0E" w:rsidRPr="00044AA6">
        <w:rPr>
          <w:rFonts w:ascii="Avenir Next" w:hAnsi="Avenir Next" w:cs="Arial"/>
          <w:color w:val="808080" w:themeColor="background1" w:themeShade="80"/>
          <w:sz w:val="22"/>
          <w:szCs w:val="22"/>
          <w:lang w:val="en-GB"/>
        </w:rPr>
        <w:t xml:space="preserve"> and the </w:t>
      </w:r>
      <w:r w:rsidR="00044AA6" w:rsidRPr="00044AA6">
        <w:rPr>
          <w:rFonts w:ascii="Avenir Next" w:hAnsi="Avenir Next" w:cs="Arial"/>
          <w:color w:val="808080" w:themeColor="background1" w:themeShade="80"/>
          <w:sz w:val="22"/>
          <w:szCs w:val="22"/>
          <w:lang w:val="en-GB"/>
        </w:rPr>
        <w:t>foreign</w:t>
      </w:r>
      <w:r w:rsidR="00BD2B0E" w:rsidRPr="00044AA6">
        <w:rPr>
          <w:rFonts w:ascii="Avenir Next" w:hAnsi="Avenir Next" w:cs="Arial"/>
          <w:color w:val="808080" w:themeColor="background1" w:themeShade="80"/>
          <w:sz w:val="22"/>
          <w:szCs w:val="22"/>
          <w:lang w:val="en-GB"/>
        </w:rPr>
        <w:t xml:space="preserve"> court under Article 25 and Article 26, which shall include </w:t>
      </w:r>
      <w:r w:rsidR="00044AA6" w:rsidRPr="00044AA6">
        <w:rPr>
          <w:rFonts w:ascii="Avenir Next" w:hAnsi="Avenir Next" w:cs="Arial"/>
          <w:color w:val="808080" w:themeColor="background1" w:themeShade="80"/>
          <w:sz w:val="22"/>
          <w:szCs w:val="22"/>
          <w:lang w:val="en-GB"/>
        </w:rPr>
        <w:t xml:space="preserve">coordination of the administration and supervision of the </w:t>
      </w:r>
      <w:r w:rsidR="00D21C9A" w:rsidRPr="00044AA6">
        <w:rPr>
          <w:rFonts w:ascii="Avenir Next" w:hAnsi="Avenir Next" w:cs="Arial"/>
          <w:color w:val="808080" w:themeColor="background1" w:themeShade="80"/>
          <w:sz w:val="22"/>
          <w:szCs w:val="22"/>
          <w:lang w:val="en-GB"/>
        </w:rPr>
        <w:t>debtors’</w:t>
      </w:r>
      <w:r w:rsidR="00044AA6" w:rsidRPr="00044AA6">
        <w:rPr>
          <w:rFonts w:ascii="Avenir Next" w:hAnsi="Avenir Next" w:cs="Arial"/>
          <w:color w:val="808080" w:themeColor="background1" w:themeShade="80"/>
          <w:sz w:val="22"/>
          <w:szCs w:val="22"/>
          <w:lang w:val="en-GB"/>
        </w:rPr>
        <w:t xml:space="preserve"> assets and affairs</w:t>
      </w:r>
      <w:r w:rsidR="00044AA6" w:rsidRPr="00044AA6">
        <w:rPr>
          <w:rStyle w:val="FootnoteReference"/>
          <w:rFonts w:ascii="Avenir Next" w:hAnsi="Avenir Next" w:cs="Arial"/>
          <w:color w:val="808080" w:themeColor="background1" w:themeShade="80"/>
          <w:sz w:val="22"/>
          <w:szCs w:val="22"/>
          <w:lang w:val="en-GB"/>
        </w:rPr>
        <w:footnoteReference w:id="20"/>
      </w:r>
      <w:r w:rsidR="00044AA6" w:rsidRPr="00044AA6">
        <w:rPr>
          <w:rFonts w:ascii="Avenir Next" w:hAnsi="Avenir Next" w:cs="Arial"/>
          <w:color w:val="808080" w:themeColor="background1" w:themeShade="80"/>
          <w:sz w:val="22"/>
          <w:szCs w:val="22"/>
          <w:lang w:val="en-GB"/>
        </w:rPr>
        <w:t>.</w:t>
      </w:r>
    </w:p>
    <w:p w14:paraId="51F98313" w14:textId="77777777" w:rsidR="00044AA6" w:rsidRPr="00044AA6" w:rsidRDefault="00044AA6" w:rsidP="00044AA6">
      <w:pPr>
        <w:pStyle w:val="ListParagraph"/>
        <w:jc w:val="both"/>
        <w:rPr>
          <w:rFonts w:ascii="Avenir Next" w:hAnsi="Avenir Next" w:cs="Arial"/>
          <w:color w:val="808080" w:themeColor="background1" w:themeShade="80"/>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0939C321"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w:t>
      </w:r>
      <w:r w:rsidRPr="00721308">
        <w:rPr>
          <w:rFonts w:ascii="Avenir Next" w:hAnsi="Avenir Next" w:cs="Arial"/>
          <w:sz w:val="22"/>
          <w:szCs w:val="22"/>
          <w:lang w:val="en-GB"/>
        </w:rPr>
        <w:t xml:space="preserve">qualify as such, list and briefly explain (with reference to </w:t>
      </w:r>
      <w:r w:rsidR="0003619C" w:rsidRPr="00721308">
        <w:rPr>
          <w:rFonts w:ascii="Avenir Next" w:hAnsi="Avenir Next" w:cs="Arial"/>
          <w:sz w:val="22"/>
          <w:szCs w:val="22"/>
          <w:lang w:val="en-GB"/>
        </w:rPr>
        <w:t xml:space="preserve">the </w:t>
      </w:r>
      <w:r w:rsidRPr="00721308">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13C0C0F" w14:textId="4EB212E1" w:rsidR="0017257C" w:rsidRDefault="00275B68"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the recognition application has passed </w:t>
      </w:r>
      <w:r w:rsidR="00C73290">
        <w:rPr>
          <w:rFonts w:ascii="Avenir Next" w:hAnsi="Avenir Next" w:cs="Arial"/>
          <w:color w:val="808080" w:themeColor="background1" w:themeShade="80"/>
          <w:sz w:val="22"/>
          <w:szCs w:val="22"/>
          <w:lang w:val="en-GB"/>
        </w:rPr>
        <w:t>the qualification</w:t>
      </w:r>
      <w:r w:rsidR="00A91725">
        <w:rPr>
          <w:rFonts w:ascii="Avenir Next" w:hAnsi="Avenir Next" w:cs="Arial"/>
          <w:color w:val="808080" w:themeColor="background1" w:themeShade="80"/>
          <w:sz w:val="22"/>
          <w:szCs w:val="22"/>
          <w:lang w:val="en-GB"/>
        </w:rPr>
        <w:t xml:space="preserve">s </w:t>
      </w:r>
      <w:r w:rsidR="00C73290">
        <w:rPr>
          <w:rFonts w:ascii="Avenir Next" w:hAnsi="Avenir Next" w:cs="Arial"/>
          <w:color w:val="808080" w:themeColor="background1" w:themeShade="80"/>
          <w:sz w:val="22"/>
          <w:szCs w:val="22"/>
          <w:lang w:val="en-GB"/>
        </w:rPr>
        <w:t xml:space="preserve">of </w:t>
      </w:r>
      <w:r w:rsidR="00EE2BF9">
        <w:rPr>
          <w:rFonts w:ascii="Avenir Next" w:hAnsi="Avenir Next" w:cs="Arial"/>
          <w:color w:val="808080" w:themeColor="background1" w:themeShade="80"/>
          <w:sz w:val="22"/>
          <w:szCs w:val="22"/>
          <w:lang w:val="en-GB"/>
        </w:rPr>
        <w:t xml:space="preserve">being </w:t>
      </w:r>
      <w:r w:rsidR="00C73290">
        <w:rPr>
          <w:rFonts w:ascii="Avenir Next" w:hAnsi="Avenir Next" w:cs="Arial"/>
          <w:color w:val="808080" w:themeColor="background1" w:themeShade="80"/>
          <w:sz w:val="22"/>
          <w:szCs w:val="22"/>
          <w:lang w:val="en-GB"/>
        </w:rPr>
        <w:t xml:space="preserve">a </w:t>
      </w:r>
      <w:r w:rsidR="00306302">
        <w:rPr>
          <w:rFonts w:ascii="Avenir Next" w:hAnsi="Avenir Next" w:cs="Arial"/>
          <w:color w:val="808080" w:themeColor="background1" w:themeShade="80"/>
          <w:sz w:val="22"/>
          <w:szCs w:val="22"/>
          <w:lang w:val="en-GB"/>
        </w:rPr>
        <w:t>“foreign proceeding”</w:t>
      </w:r>
      <w:r w:rsidR="00C73290">
        <w:rPr>
          <w:rFonts w:ascii="Avenir Next" w:hAnsi="Avenir Next" w:cs="Arial"/>
          <w:color w:val="808080" w:themeColor="background1" w:themeShade="80"/>
          <w:sz w:val="22"/>
          <w:szCs w:val="22"/>
          <w:lang w:val="en-GB"/>
        </w:rPr>
        <w:t xml:space="preserve"> and the foreign representative has been recognised as </w:t>
      </w:r>
      <w:r w:rsidR="00921853">
        <w:rPr>
          <w:rFonts w:ascii="Avenir Next" w:hAnsi="Avenir Next" w:cs="Arial"/>
          <w:color w:val="808080" w:themeColor="background1" w:themeShade="80"/>
          <w:sz w:val="22"/>
          <w:szCs w:val="22"/>
          <w:lang w:val="en-GB"/>
        </w:rPr>
        <w:t xml:space="preserve">such, then the </w:t>
      </w:r>
      <w:r w:rsidR="00A91725">
        <w:rPr>
          <w:rFonts w:ascii="Avenir Next" w:hAnsi="Avenir Next" w:cs="Arial"/>
          <w:color w:val="808080" w:themeColor="background1" w:themeShade="80"/>
          <w:sz w:val="22"/>
          <w:szCs w:val="22"/>
          <w:lang w:val="en-GB"/>
        </w:rPr>
        <w:t xml:space="preserve">following are the various considerations which have to be overcome </w:t>
      </w:r>
      <w:r w:rsidR="00565D30">
        <w:rPr>
          <w:rFonts w:ascii="Avenir Next" w:hAnsi="Avenir Next" w:cs="Arial"/>
          <w:color w:val="808080" w:themeColor="background1" w:themeShade="80"/>
          <w:sz w:val="22"/>
          <w:szCs w:val="22"/>
          <w:lang w:val="en-GB"/>
        </w:rPr>
        <w:t>for the application to be successful:</w:t>
      </w:r>
    </w:p>
    <w:p w14:paraId="15C19684" w14:textId="77777777" w:rsidR="00EE2BF9" w:rsidRDefault="00EE2BF9" w:rsidP="00707FC8">
      <w:pPr>
        <w:jc w:val="both"/>
        <w:rPr>
          <w:rFonts w:ascii="Avenir Next" w:hAnsi="Avenir Next" w:cs="Arial"/>
          <w:color w:val="808080" w:themeColor="background1" w:themeShade="80"/>
          <w:sz w:val="22"/>
          <w:szCs w:val="22"/>
          <w:lang w:val="en-GB"/>
        </w:rPr>
      </w:pPr>
    </w:p>
    <w:p w14:paraId="48DAA269" w14:textId="025D9316" w:rsidR="00565D30" w:rsidRDefault="004810BE" w:rsidP="00276E42">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 xml:space="preserve">The International obligations of State A: In accordance to </w:t>
      </w:r>
      <w:r w:rsidR="00057E3C" w:rsidRPr="00057F12">
        <w:rPr>
          <w:rFonts w:ascii="Avenir Next" w:hAnsi="Avenir Next" w:cs="Arial"/>
          <w:color w:val="808080" w:themeColor="background1" w:themeShade="80"/>
          <w:sz w:val="22"/>
          <w:szCs w:val="22"/>
          <w:shd w:val="clear" w:color="auto" w:fill="FFFFFF"/>
          <w:lang w:val="en-GB"/>
        </w:rPr>
        <w:t xml:space="preserve">Article 3 of the Model Law, the concerned court in State A has to be mindful </w:t>
      </w:r>
      <w:r w:rsidR="000A485C" w:rsidRPr="00057F12">
        <w:rPr>
          <w:rFonts w:ascii="Avenir Next" w:hAnsi="Avenir Next" w:cs="Arial"/>
          <w:color w:val="808080" w:themeColor="background1" w:themeShade="80"/>
          <w:sz w:val="22"/>
          <w:szCs w:val="22"/>
          <w:shd w:val="clear" w:color="auto" w:fill="FFFFFF"/>
          <w:lang w:val="en-GB"/>
        </w:rPr>
        <w:t xml:space="preserve">that </w:t>
      </w:r>
      <w:r w:rsidR="00083C15" w:rsidRPr="00057F12">
        <w:rPr>
          <w:rFonts w:ascii="Avenir Next" w:hAnsi="Avenir Next" w:cs="Arial"/>
          <w:color w:val="808080" w:themeColor="background1" w:themeShade="80"/>
          <w:sz w:val="22"/>
          <w:szCs w:val="22"/>
          <w:shd w:val="clear" w:color="auto" w:fill="FFFFFF"/>
          <w:lang w:val="en-GB"/>
        </w:rPr>
        <w:t>recognition</w:t>
      </w:r>
      <w:r w:rsidR="000A485C" w:rsidRPr="00057F12">
        <w:rPr>
          <w:rFonts w:ascii="Avenir Next" w:hAnsi="Avenir Next" w:cs="Arial"/>
          <w:color w:val="808080" w:themeColor="background1" w:themeShade="80"/>
          <w:sz w:val="22"/>
          <w:szCs w:val="22"/>
          <w:shd w:val="clear" w:color="auto" w:fill="FFFFFF"/>
          <w:lang w:val="en-GB"/>
        </w:rPr>
        <w:t xml:space="preserve"> application and/or any relief sought thereunder is not in violation or contrar</w:t>
      </w:r>
      <w:r w:rsidR="00C854CB" w:rsidRPr="00057F12">
        <w:rPr>
          <w:rFonts w:ascii="Avenir Next" w:hAnsi="Avenir Next" w:cs="Arial"/>
          <w:color w:val="808080" w:themeColor="background1" w:themeShade="80"/>
          <w:sz w:val="22"/>
          <w:szCs w:val="22"/>
          <w:shd w:val="clear" w:color="auto" w:fill="FFFFFF"/>
          <w:lang w:val="en-GB"/>
        </w:rPr>
        <w:t xml:space="preserve">y to the obligations of State A </w:t>
      </w:r>
      <w:r w:rsidR="00DB7CFF" w:rsidRPr="00057F12">
        <w:rPr>
          <w:rFonts w:ascii="Avenir Next" w:hAnsi="Avenir Next" w:cs="Arial"/>
          <w:color w:val="808080" w:themeColor="background1" w:themeShade="80"/>
          <w:sz w:val="22"/>
          <w:szCs w:val="22"/>
          <w:shd w:val="clear" w:color="auto" w:fill="FFFFFF"/>
          <w:lang w:val="en-GB"/>
        </w:rPr>
        <w:t xml:space="preserve">under any treaty or any other form of agreement qua one or more other states. If the answer to the aforesaid is in the affirmative then, such a treaty or agreement will prevail over the Model Law. </w:t>
      </w:r>
      <w:r w:rsidR="001646D9" w:rsidRPr="00057F12">
        <w:rPr>
          <w:rFonts w:ascii="Avenir Next" w:hAnsi="Avenir Next" w:cs="Arial"/>
          <w:color w:val="808080" w:themeColor="background1" w:themeShade="80"/>
          <w:sz w:val="22"/>
          <w:szCs w:val="22"/>
          <w:shd w:val="clear" w:color="auto" w:fill="FFFFFF"/>
          <w:lang w:val="en-GB"/>
        </w:rPr>
        <w:t xml:space="preserve">This is </w:t>
      </w:r>
      <w:r w:rsidR="00030CAE" w:rsidRPr="00057F12">
        <w:rPr>
          <w:rFonts w:ascii="Avenir Next" w:hAnsi="Avenir Next" w:cs="Arial"/>
          <w:color w:val="808080" w:themeColor="background1" w:themeShade="80"/>
          <w:sz w:val="22"/>
          <w:szCs w:val="22"/>
          <w:shd w:val="clear" w:color="auto" w:fill="FFFFFF"/>
          <w:lang w:val="en-GB"/>
        </w:rPr>
        <w:t xml:space="preserve">a sort of </w:t>
      </w:r>
      <w:r w:rsidR="00FA52BF">
        <w:rPr>
          <w:rFonts w:ascii="Avenir Next" w:hAnsi="Avenir Next" w:cs="Arial"/>
          <w:color w:val="808080" w:themeColor="background1" w:themeShade="80"/>
          <w:sz w:val="22"/>
          <w:szCs w:val="22"/>
          <w:shd w:val="clear" w:color="auto" w:fill="FFFFFF"/>
          <w:lang w:val="en-GB"/>
        </w:rPr>
        <w:t xml:space="preserve">a </w:t>
      </w:r>
      <w:r w:rsidR="00030CAE" w:rsidRPr="00057F12">
        <w:rPr>
          <w:rFonts w:ascii="Avenir Next" w:hAnsi="Avenir Next" w:cs="Arial"/>
          <w:color w:val="808080" w:themeColor="background1" w:themeShade="80"/>
          <w:sz w:val="22"/>
          <w:szCs w:val="22"/>
          <w:shd w:val="clear" w:color="auto" w:fill="FFFFFF"/>
          <w:lang w:val="en-GB"/>
        </w:rPr>
        <w:t xml:space="preserve">standard and </w:t>
      </w:r>
      <w:r w:rsidR="00FA52BF">
        <w:rPr>
          <w:rFonts w:ascii="Avenir Next" w:hAnsi="Avenir Next" w:cs="Arial"/>
          <w:color w:val="808080" w:themeColor="background1" w:themeShade="80"/>
          <w:sz w:val="22"/>
          <w:szCs w:val="22"/>
          <w:shd w:val="clear" w:color="auto" w:fill="FFFFFF"/>
          <w:lang w:val="en-GB"/>
        </w:rPr>
        <w:t xml:space="preserve">a </w:t>
      </w:r>
      <w:r w:rsidR="00030CAE" w:rsidRPr="00057F12">
        <w:rPr>
          <w:rFonts w:ascii="Avenir Next" w:hAnsi="Avenir Next" w:cs="Arial"/>
          <w:color w:val="808080" w:themeColor="background1" w:themeShade="80"/>
          <w:sz w:val="22"/>
          <w:szCs w:val="22"/>
          <w:shd w:val="clear" w:color="auto" w:fill="FFFFFF"/>
          <w:lang w:val="en-GB"/>
        </w:rPr>
        <w:t>fundamental principle which has been adopted in the other texts prepare</w:t>
      </w:r>
      <w:r w:rsidR="00FA52BF">
        <w:rPr>
          <w:rFonts w:ascii="Avenir Next" w:hAnsi="Avenir Next" w:cs="Arial"/>
          <w:color w:val="808080" w:themeColor="background1" w:themeShade="80"/>
          <w:sz w:val="22"/>
          <w:szCs w:val="22"/>
          <w:shd w:val="clear" w:color="auto" w:fill="FFFFFF"/>
          <w:lang w:val="en-GB"/>
        </w:rPr>
        <w:t>d</w:t>
      </w:r>
      <w:r w:rsidR="00030CAE" w:rsidRPr="00057F12">
        <w:rPr>
          <w:rFonts w:ascii="Avenir Next" w:hAnsi="Avenir Next" w:cs="Arial"/>
          <w:color w:val="808080" w:themeColor="background1" w:themeShade="80"/>
          <w:sz w:val="22"/>
          <w:szCs w:val="22"/>
          <w:shd w:val="clear" w:color="auto" w:fill="FFFFFF"/>
          <w:lang w:val="en-GB"/>
        </w:rPr>
        <w:t xml:space="preserve"> by UNCITRAL</w:t>
      </w:r>
      <w:r w:rsidR="00571DBC" w:rsidRPr="00057F12">
        <w:rPr>
          <w:rStyle w:val="FootnoteReference"/>
          <w:rFonts w:ascii="Avenir Next" w:hAnsi="Avenir Next" w:cs="Arial"/>
          <w:color w:val="808080" w:themeColor="background1" w:themeShade="80"/>
          <w:sz w:val="22"/>
          <w:szCs w:val="22"/>
          <w:shd w:val="clear" w:color="auto" w:fill="FFFFFF"/>
          <w:lang w:val="en-GB"/>
        </w:rPr>
        <w:footnoteReference w:id="21"/>
      </w:r>
      <w:r w:rsidR="00571DBC" w:rsidRPr="00057F12">
        <w:rPr>
          <w:rFonts w:ascii="Avenir Next" w:hAnsi="Avenir Next" w:cs="Arial"/>
          <w:color w:val="808080" w:themeColor="background1" w:themeShade="80"/>
          <w:sz w:val="22"/>
          <w:szCs w:val="22"/>
          <w:shd w:val="clear" w:color="auto" w:fill="FFFFFF"/>
          <w:lang w:val="en-GB"/>
        </w:rPr>
        <w:t xml:space="preserve">. </w:t>
      </w:r>
      <w:r w:rsidR="00906DF6" w:rsidRPr="00057F12">
        <w:rPr>
          <w:rFonts w:ascii="Avenir Next" w:hAnsi="Avenir Next" w:cs="Arial"/>
          <w:color w:val="808080" w:themeColor="background1" w:themeShade="80"/>
          <w:sz w:val="22"/>
          <w:szCs w:val="22"/>
          <w:shd w:val="clear" w:color="auto" w:fill="FFFFFF"/>
          <w:lang w:val="en-GB"/>
        </w:rPr>
        <w:t xml:space="preserve">Having </w:t>
      </w:r>
      <w:r w:rsidR="004A250C" w:rsidRPr="00057F12">
        <w:rPr>
          <w:rFonts w:ascii="Avenir Next" w:hAnsi="Avenir Next" w:cs="Arial"/>
          <w:color w:val="808080" w:themeColor="background1" w:themeShade="80"/>
          <w:sz w:val="22"/>
          <w:szCs w:val="22"/>
          <w:shd w:val="clear" w:color="auto" w:fill="FFFFFF"/>
          <w:lang w:val="en-GB"/>
        </w:rPr>
        <w:t>said that, the foreign representative must note that there is a general expectation that the courts will deal with this scrutiny in the cont</w:t>
      </w:r>
      <w:r w:rsidR="0030501A" w:rsidRPr="00057F12">
        <w:rPr>
          <w:rFonts w:ascii="Avenir Next" w:hAnsi="Avenir Next" w:cs="Arial"/>
          <w:color w:val="808080" w:themeColor="background1" w:themeShade="80"/>
          <w:sz w:val="22"/>
          <w:szCs w:val="22"/>
          <w:shd w:val="clear" w:color="auto" w:fill="FFFFFF"/>
          <w:lang w:val="en-GB"/>
        </w:rPr>
        <w:t xml:space="preserve">ext of international law, and further a nexus should be established between what the concerned treaty deals with </w:t>
      </w:r>
      <w:r w:rsidR="004702F0" w:rsidRPr="00057F12">
        <w:rPr>
          <w:rFonts w:ascii="Avenir Next" w:hAnsi="Avenir Next" w:cs="Arial"/>
          <w:color w:val="808080" w:themeColor="background1" w:themeShade="80"/>
          <w:sz w:val="22"/>
          <w:szCs w:val="22"/>
          <w:shd w:val="clear" w:color="auto" w:fill="FFFFFF"/>
          <w:lang w:val="en-GB"/>
        </w:rPr>
        <w:t>and the Model Law</w:t>
      </w:r>
      <w:r w:rsidR="001663A1" w:rsidRPr="00057F12">
        <w:rPr>
          <w:rFonts w:ascii="Avenir Next" w:hAnsi="Avenir Next" w:cs="Arial"/>
          <w:color w:val="808080" w:themeColor="background1" w:themeShade="80"/>
          <w:sz w:val="22"/>
          <w:szCs w:val="22"/>
          <w:shd w:val="clear" w:color="auto" w:fill="FFFFFF"/>
          <w:lang w:val="en-GB"/>
        </w:rPr>
        <w:t>. Additionally, given th</w:t>
      </w:r>
      <w:r w:rsidR="007D2767" w:rsidRPr="00057F12">
        <w:rPr>
          <w:rFonts w:ascii="Avenir Next" w:hAnsi="Avenir Next" w:cs="Arial"/>
          <w:color w:val="808080" w:themeColor="background1" w:themeShade="80"/>
          <w:sz w:val="22"/>
          <w:szCs w:val="22"/>
          <w:shd w:val="clear" w:color="auto" w:fill="FFFFFF"/>
          <w:lang w:val="en-GB"/>
        </w:rPr>
        <w:t xml:space="preserve">e executing and non-executing nature of international treaties, it would be pertinent to note the way in which State </w:t>
      </w:r>
      <w:r w:rsidR="00083C15" w:rsidRPr="00057F12">
        <w:rPr>
          <w:rFonts w:ascii="Avenir Next" w:hAnsi="Avenir Next" w:cs="Arial"/>
          <w:color w:val="808080" w:themeColor="background1" w:themeShade="80"/>
          <w:sz w:val="22"/>
          <w:szCs w:val="22"/>
          <w:shd w:val="clear" w:color="auto" w:fill="FFFFFF"/>
          <w:lang w:val="en-GB"/>
        </w:rPr>
        <w:t>A has adopted Article 3.</w:t>
      </w:r>
    </w:p>
    <w:p w14:paraId="29E0DD35" w14:textId="77777777" w:rsidR="00306302" w:rsidRPr="00057F12" w:rsidRDefault="00306302" w:rsidP="00306302">
      <w:pPr>
        <w:pStyle w:val="ListParagraph"/>
        <w:jc w:val="both"/>
        <w:rPr>
          <w:rFonts w:ascii="Avenir Next" w:hAnsi="Avenir Next" w:cs="Arial"/>
          <w:color w:val="808080" w:themeColor="background1" w:themeShade="80"/>
          <w:sz w:val="22"/>
          <w:szCs w:val="22"/>
          <w:shd w:val="clear" w:color="auto" w:fill="FFFFFF"/>
          <w:lang w:val="en-GB"/>
        </w:rPr>
      </w:pPr>
    </w:p>
    <w:p w14:paraId="428642FE" w14:textId="44BA3C6D" w:rsidR="00083C15" w:rsidRDefault="0010124E" w:rsidP="00276E42">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lastRenderedPageBreak/>
        <w:t>Public Policy Exception: Article 6 of the Model Law states that “</w:t>
      </w:r>
      <w:r w:rsidR="00574786" w:rsidRPr="00057F12">
        <w:rPr>
          <w:rFonts w:ascii="Avenir Next" w:hAnsi="Avenir Next" w:cs="Arial"/>
          <w:i/>
          <w:iCs/>
          <w:color w:val="808080" w:themeColor="background1" w:themeShade="80"/>
          <w:sz w:val="22"/>
          <w:szCs w:val="22"/>
          <w:shd w:val="clear" w:color="auto" w:fill="FFFFFF"/>
          <w:lang w:val="en-GB"/>
        </w:rPr>
        <w:t xml:space="preserve">Nothing in this Law prevents the court from refusing </w:t>
      </w:r>
      <w:r w:rsidR="00574786" w:rsidRPr="00057F12">
        <w:rPr>
          <w:rFonts w:ascii="Avenir Next" w:hAnsi="Avenir Next" w:cs="Arial"/>
          <w:i/>
          <w:iCs/>
          <w:color w:val="808080" w:themeColor="background1" w:themeShade="80"/>
          <w:sz w:val="22"/>
          <w:szCs w:val="22"/>
          <w:shd w:val="clear" w:color="auto" w:fill="FFFFFF"/>
          <w:lang w:val="en-GB"/>
        </w:rPr>
        <w:tab/>
        <w:t>to take an action governed by this Law if the action would be manifestly contrary to the public policy of this State</w:t>
      </w:r>
      <w:r w:rsidR="00574786" w:rsidRPr="00057F12">
        <w:rPr>
          <w:rFonts w:ascii="Avenir Next" w:hAnsi="Avenir Next" w:cs="Arial"/>
          <w:color w:val="808080" w:themeColor="background1" w:themeShade="80"/>
          <w:sz w:val="22"/>
          <w:szCs w:val="22"/>
          <w:shd w:val="clear" w:color="auto" w:fill="FFFFFF"/>
          <w:lang w:val="en-GB"/>
        </w:rPr>
        <w:t>”</w:t>
      </w:r>
      <w:r w:rsidR="003A1BB6" w:rsidRPr="00057F12">
        <w:rPr>
          <w:rFonts w:ascii="Avenir Next" w:hAnsi="Avenir Next" w:cs="Arial"/>
          <w:color w:val="808080" w:themeColor="background1" w:themeShade="80"/>
          <w:sz w:val="22"/>
          <w:szCs w:val="22"/>
          <w:shd w:val="clear" w:color="auto" w:fill="FFFFFF"/>
          <w:lang w:val="en-GB"/>
        </w:rPr>
        <w:t xml:space="preserve">. The notions of public policy depend state to state and hence any uniform </w:t>
      </w:r>
      <w:r w:rsidR="00477C35" w:rsidRPr="00057F12">
        <w:rPr>
          <w:rFonts w:ascii="Avenir Next" w:hAnsi="Avenir Next" w:cs="Arial"/>
          <w:color w:val="808080" w:themeColor="background1" w:themeShade="80"/>
          <w:sz w:val="22"/>
          <w:szCs w:val="22"/>
          <w:shd w:val="clear" w:color="auto" w:fill="FFFFFF"/>
          <w:lang w:val="en-GB"/>
        </w:rPr>
        <w:t>of applicability of this article has to be ruled out</w:t>
      </w:r>
      <w:r w:rsidR="00E50172" w:rsidRPr="00057F12">
        <w:rPr>
          <w:rFonts w:ascii="Avenir Next" w:hAnsi="Avenir Next" w:cs="Arial"/>
          <w:color w:val="808080" w:themeColor="background1" w:themeShade="80"/>
          <w:sz w:val="22"/>
          <w:szCs w:val="22"/>
          <w:shd w:val="clear" w:color="auto" w:fill="FFFFFF"/>
          <w:lang w:val="en-GB"/>
        </w:rPr>
        <w:t xml:space="preserve">. This article requires </w:t>
      </w:r>
      <w:r w:rsidR="00A53EC0" w:rsidRPr="00057F12">
        <w:rPr>
          <w:rFonts w:ascii="Avenir Next" w:hAnsi="Avenir Next" w:cs="Arial"/>
          <w:color w:val="808080" w:themeColor="background1" w:themeShade="80"/>
          <w:sz w:val="22"/>
          <w:szCs w:val="22"/>
          <w:shd w:val="clear" w:color="auto" w:fill="FFFFFF"/>
          <w:lang w:val="en-GB"/>
        </w:rPr>
        <w:t>a court to consider whether the action in question would be contrary to the public policy of the enacting State</w:t>
      </w:r>
      <w:r w:rsidR="00A53EC0" w:rsidRPr="00057F12">
        <w:rPr>
          <w:rStyle w:val="FootnoteReference"/>
          <w:rFonts w:ascii="Avenir Next" w:hAnsi="Avenir Next" w:cs="Arial"/>
          <w:color w:val="808080" w:themeColor="background1" w:themeShade="80"/>
          <w:sz w:val="22"/>
          <w:szCs w:val="22"/>
          <w:shd w:val="clear" w:color="auto" w:fill="FFFFFF"/>
          <w:lang w:val="en-GB"/>
        </w:rPr>
        <w:footnoteReference w:id="22"/>
      </w:r>
      <w:r w:rsidR="005D498C" w:rsidRPr="00057F12">
        <w:rPr>
          <w:rFonts w:ascii="Avenir Next" w:hAnsi="Avenir Next" w:cs="Arial"/>
          <w:color w:val="808080" w:themeColor="background1" w:themeShade="80"/>
          <w:sz w:val="22"/>
          <w:szCs w:val="22"/>
          <w:shd w:val="clear" w:color="auto" w:fill="FFFFFF"/>
          <w:lang w:val="en-GB"/>
        </w:rPr>
        <w:t xml:space="preserve">. To the comfort of the foreign representative, </w:t>
      </w:r>
      <w:r w:rsidR="00281B97" w:rsidRPr="00057F12">
        <w:rPr>
          <w:rFonts w:ascii="Avenir Next" w:hAnsi="Avenir Next" w:cs="Arial"/>
          <w:color w:val="808080" w:themeColor="background1" w:themeShade="80"/>
          <w:sz w:val="22"/>
          <w:szCs w:val="22"/>
          <w:shd w:val="clear" w:color="auto" w:fill="FFFFFF"/>
          <w:lang w:val="en-GB"/>
        </w:rPr>
        <w:t xml:space="preserve">there have been a </w:t>
      </w:r>
      <w:r w:rsidR="00306302" w:rsidRPr="00057F12">
        <w:rPr>
          <w:rFonts w:ascii="Avenir Next" w:hAnsi="Avenir Next" w:cs="Arial"/>
          <w:color w:val="808080" w:themeColor="background1" w:themeShade="80"/>
          <w:sz w:val="22"/>
          <w:szCs w:val="22"/>
          <w:shd w:val="clear" w:color="auto" w:fill="FFFFFF"/>
          <w:lang w:val="en-GB"/>
        </w:rPr>
        <w:t>plethora</w:t>
      </w:r>
      <w:r w:rsidR="00281B97" w:rsidRPr="00057F12">
        <w:rPr>
          <w:rFonts w:ascii="Avenir Next" w:hAnsi="Avenir Next" w:cs="Arial"/>
          <w:color w:val="808080" w:themeColor="background1" w:themeShade="80"/>
          <w:sz w:val="22"/>
          <w:szCs w:val="22"/>
          <w:shd w:val="clear" w:color="auto" w:fill="FFFFFF"/>
          <w:lang w:val="en-GB"/>
        </w:rPr>
        <w:t xml:space="preserve"> of judgements and case laws on the applicability of this article, but</w:t>
      </w:r>
      <w:r w:rsidR="001A5759" w:rsidRPr="00057F12">
        <w:rPr>
          <w:rFonts w:ascii="Avenir Next" w:hAnsi="Avenir Next" w:cs="Arial"/>
          <w:color w:val="808080" w:themeColor="background1" w:themeShade="80"/>
          <w:sz w:val="22"/>
          <w:szCs w:val="22"/>
          <w:shd w:val="clear" w:color="auto" w:fill="FFFFFF"/>
          <w:lang w:val="en-GB"/>
        </w:rPr>
        <w:t xml:space="preserve"> have been ruled applicable only in a few case</w:t>
      </w:r>
      <w:r w:rsidR="00AC0A05" w:rsidRPr="00057F12">
        <w:rPr>
          <w:rFonts w:ascii="Avenir Next" w:hAnsi="Avenir Next" w:cs="Arial"/>
          <w:color w:val="808080" w:themeColor="background1" w:themeShade="80"/>
          <w:sz w:val="22"/>
          <w:szCs w:val="22"/>
          <w:shd w:val="clear" w:color="auto" w:fill="FFFFFF"/>
          <w:lang w:val="en-GB"/>
        </w:rPr>
        <w:t>s such as, when the recognition was sought on the basis of an ex-</w:t>
      </w:r>
      <w:proofErr w:type="spellStart"/>
      <w:r w:rsidR="00AC0A05" w:rsidRPr="00057F12">
        <w:rPr>
          <w:rFonts w:ascii="Avenir Next" w:hAnsi="Avenir Next" w:cs="Arial"/>
          <w:color w:val="808080" w:themeColor="background1" w:themeShade="80"/>
          <w:sz w:val="22"/>
          <w:szCs w:val="22"/>
          <w:shd w:val="clear" w:color="auto" w:fill="FFFFFF"/>
          <w:lang w:val="en-GB"/>
        </w:rPr>
        <w:t>parte</w:t>
      </w:r>
      <w:proofErr w:type="spellEnd"/>
      <w:r w:rsidR="00AC0A05" w:rsidRPr="00057F12">
        <w:rPr>
          <w:rFonts w:ascii="Avenir Next" w:hAnsi="Avenir Next" w:cs="Arial"/>
          <w:color w:val="808080" w:themeColor="background1" w:themeShade="80"/>
          <w:sz w:val="22"/>
          <w:szCs w:val="22"/>
          <w:shd w:val="clear" w:color="auto" w:fill="FFFFFF"/>
          <w:lang w:val="en-GB"/>
        </w:rPr>
        <w:t xml:space="preserve"> o</w:t>
      </w:r>
      <w:r w:rsidR="00306302">
        <w:rPr>
          <w:rFonts w:ascii="Avenir Next" w:hAnsi="Avenir Next" w:cs="Arial"/>
          <w:color w:val="808080" w:themeColor="background1" w:themeShade="80"/>
          <w:sz w:val="22"/>
          <w:szCs w:val="22"/>
          <w:shd w:val="clear" w:color="auto" w:fill="FFFFFF"/>
          <w:lang w:val="en-GB"/>
        </w:rPr>
        <w:t>r</w:t>
      </w:r>
      <w:r w:rsidR="00AC0A05" w:rsidRPr="00057F12">
        <w:rPr>
          <w:rFonts w:ascii="Avenir Next" w:hAnsi="Avenir Next" w:cs="Arial"/>
          <w:color w:val="808080" w:themeColor="background1" w:themeShade="80"/>
          <w:sz w:val="22"/>
          <w:szCs w:val="22"/>
          <w:shd w:val="clear" w:color="auto" w:fill="FFFFFF"/>
          <w:lang w:val="en-GB"/>
        </w:rPr>
        <w:t>der</w:t>
      </w:r>
      <w:r w:rsidR="007C44AB" w:rsidRPr="00057F12">
        <w:rPr>
          <w:rStyle w:val="FootnoteReference"/>
          <w:rFonts w:ascii="Avenir Next" w:hAnsi="Avenir Next" w:cs="Arial"/>
          <w:color w:val="808080" w:themeColor="background1" w:themeShade="80"/>
          <w:sz w:val="22"/>
          <w:szCs w:val="22"/>
          <w:shd w:val="clear" w:color="auto" w:fill="FFFFFF"/>
          <w:lang w:val="en-GB"/>
        </w:rPr>
        <w:footnoteReference w:id="23"/>
      </w:r>
      <w:r w:rsidR="00C30938">
        <w:rPr>
          <w:rFonts w:ascii="Avenir Next" w:hAnsi="Avenir Next" w:cs="Arial"/>
          <w:color w:val="808080" w:themeColor="background1" w:themeShade="80"/>
          <w:sz w:val="22"/>
          <w:szCs w:val="22"/>
          <w:shd w:val="clear" w:color="auto" w:fill="FFFFFF"/>
          <w:lang w:val="en-GB"/>
        </w:rPr>
        <w:t xml:space="preserve"> which was not permissible in the enacting state</w:t>
      </w:r>
      <w:r w:rsidR="007C44AB" w:rsidRPr="00057F12">
        <w:rPr>
          <w:rFonts w:ascii="Avenir Next" w:hAnsi="Avenir Next" w:cs="Arial"/>
          <w:color w:val="808080" w:themeColor="background1" w:themeShade="80"/>
          <w:sz w:val="22"/>
          <w:szCs w:val="22"/>
          <w:shd w:val="clear" w:color="auto" w:fill="FFFFFF"/>
          <w:lang w:val="en-GB"/>
        </w:rPr>
        <w:t xml:space="preserve">, </w:t>
      </w:r>
      <w:r w:rsidR="002454EB" w:rsidRPr="00057F12">
        <w:rPr>
          <w:rFonts w:ascii="Avenir Next" w:hAnsi="Avenir Next" w:cs="Arial"/>
          <w:color w:val="808080" w:themeColor="background1" w:themeShade="80"/>
          <w:sz w:val="22"/>
          <w:szCs w:val="22"/>
          <w:shd w:val="clear" w:color="auto" w:fill="FFFFFF"/>
          <w:lang w:val="en-GB"/>
        </w:rPr>
        <w:t xml:space="preserve">where the recognition application would insufficiently protect the interests of the creditors in the enacting State under </w:t>
      </w:r>
      <w:r w:rsidR="00260510" w:rsidRPr="00057F12">
        <w:rPr>
          <w:rFonts w:ascii="Avenir Next" w:hAnsi="Avenir Next" w:cs="Arial"/>
          <w:color w:val="808080" w:themeColor="background1" w:themeShade="80"/>
          <w:sz w:val="22"/>
          <w:szCs w:val="22"/>
          <w:shd w:val="clear" w:color="auto" w:fill="FFFFFF"/>
          <w:lang w:val="en-GB"/>
        </w:rPr>
        <w:t>Article 22</w:t>
      </w:r>
      <w:r w:rsidR="00260510" w:rsidRPr="00057F12">
        <w:rPr>
          <w:rStyle w:val="FootnoteReference"/>
          <w:rFonts w:ascii="Avenir Next" w:hAnsi="Avenir Next" w:cs="Arial"/>
          <w:color w:val="808080" w:themeColor="background1" w:themeShade="80"/>
          <w:sz w:val="22"/>
          <w:szCs w:val="22"/>
          <w:shd w:val="clear" w:color="auto" w:fill="FFFFFF"/>
          <w:lang w:val="en-GB"/>
        </w:rPr>
        <w:footnoteReference w:id="24"/>
      </w:r>
      <w:r w:rsidR="00260510" w:rsidRPr="00057F12">
        <w:rPr>
          <w:rFonts w:ascii="Avenir Next" w:hAnsi="Avenir Next" w:cs="Arial"/>
          <w:color w:val="808080" w:themeColor="background1" w:themeShade="80"/>
          <w:sz w:val="22"/>
          <w:szCs w:val="22"/>
          <w:shd w:val="clear" w:color="auto" w:fill="FFFFFF"/>
          <w:lang w:val="en-GB"/>
        </w:rPr>
        <w:t>,</w:t>
      </w:r>
      <w:r w:rsidR="00036F3C" w:rsidRPr="00057F12">
        <w:rPr>
          <w:rFonts w:ascii="Avenir Next" w:hAnsi="Avenir Next" w:cs="Arial"/>
          <w:color w:val="808080" w:themeColor="background1" w:themeShade="80"/>
          <w:sz w:val="22"/>
          <w:szCs w:val="22"/>
          <w:shd w:val="clear" w:color="auto" w:fill="FFFFFF"/>
          <w:lang w:val="en-GB"/>
        </w:rPr>
        <w:t xml:space="preserve"> where a party was denied jury trial in the </w:t>
      </w:r>
      <w:r w:rsidR="00766391" w:rsidRPr="00057F12">
        <w:rPr>
          <w:rFonts w:ascii="Avenir Next" w:hAnsi="Avenir Next" w:cs="Arial"/>
          <w:color w:val="808080" w:themeColor="background1" w:themeShade="80"/>
          <w:sz w:val="22"/>
          <w:szCs w:val="22"/>
          <w:shd w:val="clear" w:color="auto" w:fill="FFFFFF"/>
          <w:lang w:val="en-GB"/>
        </w:rPr>
        <w:t xml:space="preserve">original state and would have been entitled to one in </w:t>
      </w:r>
      <w:r w:rsidR="00754BC9" w:rsidRPr="00057F12">
        <w:rPr>
          <w:rFonts w:ascii="Avenir Next" w:hAnsi="Avenir Next" w:cs="Arial"/>
          <w:color w:val="808080" w:themeColor="background1" w:themeShade="80"/>
          <w:sz w:val="22"/>
          <w:szCs w:val="22"/>
          <w:shd w:val="clear" w:color="auto" w:fill="FFFFFF"/>
          <w:lang w:val="en-GB"/>
        </w:rPr>
        <w:t>the enacting stat</w:t>
      </w:r>
      <w:r w:rsidR="008E4B2A" w:rsidRPr="00057F12">
        <w:rPr>
          <w:rFonts w:ascii="Avenir Next" w:hAnsi="Avenir Next" w:cs="Arial"/>
          <w:color w:val="808080" w:themeColor="background1" w:themeShade="80"/>
          <w:sz w:val="22"/>
          <w:szCs w:val="22"/>
          <w:shd w:val="clear" w:color="auto" w:fill="FFFFFF"/>
          <w:lang w:val="en-GB"/>
        </w:rPr>
        <w:t>e</w:t>
      </w:r>
      <w:r w:rsidR="008E4B2A" w:rsidRPr="00057F12">
        <w:rPr>
          <w:rStyle w:val="FootnoteReference"/>
          <w:rFonts w:ascii="Avenir Next" w:hAnsi="Avenir Next" w:cs="Arial"/>
          <w:color w:val="808080" w:themeColor="background1" w:themeShade="80"/>
          <w:sz w:val="22"/>
          <w:szCs w:val="22"/>
          <w:shd w:val="clear" w:color="auto" w:fill="FFFFFF"/>
          <w:lang w:val="en-GB"/>
        </w:rPr>
        <w:footnoteReference w:id="25"/>
      </w:r>
      <w:r w:rsidR="000946AD" w:rsidRPr="00057F12">
        <w:rPr>
          <w:rFonts w:ascii="Avenir Next" w:hAnsi="Avenir Next" w:cs="Arial"/>
          <w:color w:val="808080" w:themeColor="background1" w:themeShade="80"/>
          <w:sz w:val="22"/>
          <w:szCs w:val="22"/>
          <w:shd w:val="clear" w:color="auto" w:fill="FFFFFF"/>
          <w:lang w:val="en-GB"/>
        </w:rPr>
        <w:t xml:space="preserve">, </w:t>
      </w:r>
      <w:r w:rsidR="00326092" w:rsidRPr="00057F12">
        <w:rPr>
          <w:rFonts w:ascii="Avenir Next" w:hAnsi="Avenir Next" w:cs="Arial"/>
          <w:color w:val="808080" w:themeColor="background1" w:themeShade="80"/>
          <w:sz w:val="22"/>
          <w:szCs w:val="22"/>
          <w:shd w:val="clear" w:color="auto" w:fill="FFFFFF"/>
          <w:lang w:val="en-GB"/>
        </w:rPr>
        <w:t xml:space="preserve">or where there was a conflict of interest, </w:t>
      </w:r>
      <w:r w:rsidR="009A4EA0" w:rsidRPr="00057F12">
        <w:rPr>
          <w:rFonts w:ascii="Avenir Next" w:hAnsi="Avenir Next" w:cs="Arial"/>
          <w:color w:val="808080" w:themeColor="background1" w:themeShade="80"/>
          <w:sz w:val="22"/>
          <w:szCs w:val="22"/>
          <w:shd w:val="clear" w:color="auto" w:fill="FFFFFF"/>
          <w:lang w:val="en-GB"/>
        </w:rPr>
        <w:t xml:space="preserve">when various elements of the </w:t>
      </w:r>
      <w:r w:rsidR="00713FF8" w:rsidRPr="00057F12">
        <w:rPr>
          <w:rFonts w:ascii="Avenir Next" w:hAnsi="Avenir Next" w:cs="Arial"/>
          <w:color w:val="808080" w:themeColor="background1" w:themeShade="80"/>
          <w:sz w:val="22"/>
          <w:szCs w:val="22"/>
          <w:shd w:val="clear" w:color="auto" w:fill="FFFFFF"/>
          <w:lang w:val="en-GB"/>
        </w:rPr>
        <w:t>foreign insolvency law were argued to be manifestly contrary to public policy</w:t>
      </w:r>
      <w:r w:rsidR="00713FF8" w:rsidRPr="00057F12">
        <w:rPr>
          <w:rStyle w:val="FootnoteReference"/>
          <w:rFonts w:ascii="Avenir Next" w:hAnsi="Avenir Next" w:cs="Arial"/>
          <w:color w:val="808080" w:themeColor="background1" w:themeShade="80"/>
          <w:sz w:val="22"/>
          <w:szCs w:val="22"/>
          <w:shd w:val="clear" w:color="auto" w:fill="FFFFFF"/>
          <w:lang w:val="en-GB"/>
        </w:rPr>
        <w:footnoteReference w:id="26"/>
      </w:r>
      <w:r w:rsidR="00713FF8" w:rsidRPr="00057F12">
        <w:rPr>
          <w:rFonts w:ascii="Avenir Next" w:hAnsi="Avenir Next" w:cs="Arial"/>
          <w:color w:val="808080" w:themeColor="background1" w:themeShade="80"/>
          <w:sz w:val="22"/>
          <w:szCs w:val="22"/>
          <w:shd w:val="clear" w:color="auto" w:fill="FFFFFF"/>
          <w:lang w:val="en-GB"/>
        </w:rPr>
        <w:t xml:space="preserve"> etc. </w:t>
      </w:r>
      <w:r w:rsidR="00826727" w:rsidRPr="00057F12">
        <w:rPr>
          <w:rFonts w:ascii="Avenir Next" w:hAnsi="Avenir Next" w:cs="Arial"/>
          <w:color w:val="808080" w:themeColor="background1" w:themeShade="80"/>
          <w:sz w:val="22"/>
          <w:szCs w:val="22"/>
          <w:shd w:val="clear" w:color="auto" w:fill="FFFFFF"/>
          <w:lang w:val="en-GB"/>
        </w:rPr>
        <w:t>Application of the public policy exception has been argued in several cases involving bad faith or failure on the part of the foreign representative to fully and frankly disclose pertinent facts to the receiving court</w:t>
      </w:r>
      <w:r w:rsidR="00DF544C" w:rsidRPr="00057F12">
        <w:rPr>
          <w:rStyle w:val="FootnoteReference"/>
          <w:rFonts w:ascii="Avenir Next" w:hAnsi="Avenir Next" w:cs="Arial"/>
          <w:color w:val="808080" w:themeColor="background1" w:themeShade="80"/>
          <w:sz w:val="22"/>
          <w:szCs w:val="22"/>
          <w:shd w:val="clear" w:color="auto" w:fill="FFFFFF"/>
          <w:lang w:val="en-GB"/>
        </w:rPr>
        <w:footnoteReference w:id="27"/>
      </w:r>
      <w:r w:rsidR="00826727" w:rsidRPr="00057F12">
        <w:rPr>
          <w:rFonts w:ascii="Avenir Next" w:hAnsi="Avenir Next" w:cs="Arial"/>
          <w:color w:val="808080" w:themeColor="background1" w:themeShade="80"/>
          <w:sz w:val="22"/>
          <w:szCs w:val="22"/>
          <w:shd w:val="clear" w:color="auto" w:fill="FFFFFF"/>
          <w:lang w:val="en-GB"/>
        </w:rPr>
        <w:t>.</w:t>
      </w:r>
    </w:p>
    <w:p w14:paraId="052D70E6" w14:textId="77777777" w:rsidR="00306302" w:rsidRPr="00057F12" w:rsidRDefault="00306302" w:rsidP="00306302">
      <w:pPr>
        <w:pStyle w:val="ListParagraph"/>
        <w:jc w:val="both"/>
        <w:rPr>
          <w:rFonts w:ascii="Avenir Next" w:hAnsi="Avenir Next" w:cs="Arial"/>
          <w:color w:val="808080" w:themeColor="background1" w:themeShade="80"/>
          <w:sz w:val="22"/>
          <w:szCs w:val="22"/>
          <w:shd w:val="clear" w:color="auto" w:fill="FFFFFF"/>
          <w:lang w:val="en-GB"/>
        </w:rPr>
      </w:pPr>
    </w:p>
    <w:p w14:paraId="1DDA5B0F" w14:textId="2B4A5014" w:rsidR="00276E42" w:rsidRPr="00057F12" w:rsidRDefault="00276E42" w:rsidP="00276E42">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 xml:space="preserve">Application for recognition: </w:t>
      </w:r>
      <w:r w:rsidR="00907602" w:rsidRPr="00057F12">
        <w:rPr>
          <w:rFonts w:ascii="Avenir Next" w:hAnsi="Avenir Next" w:cs="Arial"/>
          <w:color w:val="808080" w:themeColor="background1" w:themeShade="80"/>
          <w:sz w:val="22"/>
          <w:szCs w:val="22"/>
          <w:shd w:val="clear" w:color="auto" w:fill="FFFFFF"/>
          <w:lang w:val="en-GB"/>
        </w:rPr>
        <w:t xml:space="preserve">Article 15 of the Model Law lays down the mandatory contents of the recognition application. </w:t>
      </w:r>
      <w:r w:rsidR="00A71C3E" w:rsidRPr="00057F12">
        <w:rPr>
          <w:rFonts w:ascii="Avenir Next" w:hAnsi="Avenir Next" w:cs="Arial"/>
          <w:color w:val="808080" w:themeColor="background1" w:themeShade="80"/>
          <w:sz w:val="22"/>
          <w:szCs w:val="22"/>
          <w:shd w:val="clear" w:color="auto" w:fill="FFFFFF"/>
          <w:lang w:val="en-GB"/>
        </w:rPr>
        <w:t xml:space="preserve">It states that the recognition application should be </w:t>
      </w:r>
      <w:r w:rsidR="002346F0" w:rsidRPr="00057F12">
        <w:rPr>
          <w:rFonts w:ascii="Avenir Next" w:hAnsi="Avenir Next" w:cs="Arial"/>
          <w:color w:val="808080" w:themeColor="background1" w:themeShade="80"/>
          <w:sz w:val="22"/>
          <w:szCs w:val="22"/>
          <w:shd w:val="clear" w:color="auto" w:fill="FFFFFF"/>
          <w:lang w:val="en-GB"/>
        </w:rPr>
        <w:t>accompanied by:</w:t>
      </w:r>
    </w:p>
    <w:p w14:paraId="521B9D61" w14:textId="2C0EEEAD" w:rsidR="002346F0" w:rsidRPr="00057F12" w:rsidRDefault="002346F0" w:rsidP="002346F0">
      <w:pPr>
        <w:pStyle w:val="ListParagraph"/>
        <w:numPr>
          <w:ilvl w:val="0"/>
          <w:numId w:val="17"/>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A certified cop</w:t>
      </w:r>
      <w:r w:rsidR="00FC2DD5" w:rsidRPr="00057F12">
        <w:rPr>
          <w:rFonts w:ascii="Avenir Next" w:hAnsi="Avenir Next" w:cs="Arial"/>
          <w:color w:val="808080" w:themeColor="background1" w:themeShade="80"/>
          <w:sz w:val="22"/>
          <w:szCs w:val="22"/>
          <w:shd w:val="clear" w:color="auto" w:fill="FFFFFF"/>
          <w:lang w:val="en-GB"/>
        </w:rPr>
        <w:t xml:space="preserve">y of the commencement/admission </w:t>
      </w:r>
      <w:r w:rsidR="008B0E75" w:rsidRPr="00057F12">
        <w:rPr>
          <w:rFonts w:ascii="Avenir Next" w:hAnsi="Avenir Next" w:cs="Arial"/>
          <w:color w:val="808080" w:themeColor="background1" w:themeShade="80"/>
          <w:sz w:val="22"/>
          <w:szCs w:val="22"/>
          <w:shd w:val="clear" w:color="auto" w:fill="FFFFFF"/>
          <w:lang w:val="en-GB"/>
        </w:rPr>
        <w:t xml:space="preserve">order of a foreign court appointing </w:t>
      </w:r>
      <w:r w:rsidR="00023C3C" w:rsidRPr="00057F12">
        <w:rPr>
          <w:rFonts w:ascii="Avenir Next" w:hAnsi="Avenir Next" w:cs="Arial"/>
          <w:color w:val="808080" w:themeColor="background1" w:themeShade="80"/>
          <w:sz w:val="22"/>
          <w:szCs w:val="22"/>
          <w:shd w:val="clear" w:color="auto" w:fill="FFFFFF"/>
          <w:lang w:val="en-GB"/>
        </w:rPr>
        <w:t>the foreign representative;</w:t>
      </w:r>
    </w:p>
    <w:p w14:paraId="69A29703" w14:textId="67CAEC53" w:rsidR="00023C3C" w:rsidRPr="00057F12" w:rsidRDefault="001F55AB" w:rsidP="002346F0">
      <w:pPr>
        <w:pStyle w:val="ListParagraph"/>
        <w:numPr>
          <w:ilvl w:val="0"/>
          <w:numId w:val="17"/>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A certificate from the foreign court certifying the existence of the foreign proceedings and the appointment of the foreign representative;</w:t>
      </w:r>
    </w:p>
    <w:p w14:paraId="1C1D1585" w14:textId="63B3312D" w:rsidR="001F55AB" w:rsidRPr="00057F12" w:rsidRDefault="00A62604" w:rsidP="002346F0">
      <w:pPr>
        <w:pStyle w:val="ListParagraph"/>
        <w:numPr>
          <w:ilvl w:val="0"/>
          <w:numId w:val="17"/>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 xml:space="preserve">In the absence of the aforesaid, </w:t>
      </w:r>
      <w:r w:rsidR="00351AEF" w:rsidRPr="00057F12">
        <w:rPr>
          <w:rFonts w:ascii="Avenir Next" w:hAnsi="Avenir Next" w:cs="Arial"/>
          <w:color w:val="808080" w:themeColor="background1" w:themeShade="80"/>
          <w:sz w:val="22"/>
          <w:szCs w:val="22"/>
          <w:shd w:val="clear" w:color="auto" w:fill="FFFFFF"/>
          <w:lang w:val="en-GB"/>
        </w:rPr>
        <w:t xml:space="preserve">any other evidence that is acceptable to the court </w:t>
      </w:r>
      <w:r w:rsidR="000808A9" w:rsidRPr="00057F12">
        <w:rPr>
          <w:rFonts w:ascii="Avenir Next" w:hAnsi="Avenir Next" w:cs="Arial"/>
          <w:color w:val="808080" w:themeColor="background1" w:themeShade="80"/>
          <w:sz w:val="22"/>
          <w:szCs w:val="22"/>
          <w:shd w:val="clear" w:color="auto" w:fill="FFFFFF"/>
          <w:lang w:val="en-GB"/>
        </w:rPr>
        <w:t>to that effect. This provides flexibility to the court but could also prove to be a hinderance in the even</w:t>
      </w:r>
      <w:r w:rsidR="00593588">
        <w:rPr>
          <w:rFonts w:ascii="Avenir Next" w:hAnsi="Avenir Next" w:cs="Arial"/>
          <w:color w:val="808080" w:themeColor="background1" w:themeShade="80"/>
          <w:sz w:val="22"/>
          <w:szCs w:val="22"/>
          <w:shd w:val="clear" w:color="auto" w:fill="FFFFFF"/>
          <w:lang w:val="en-GB"/>
        </w:rPr>
        <w:t>t</w:t>
      </w:r>
      <w:r w:rsidR="000808A9" w:rsidRPr="00057F12">
        <w:rPr>
          <w:rFonts w:ascii="Avenir Next" w:hAnsi="Avenir Next" w:cs="Arial"/>
          <w:color w:val="808080" w:themeColor="background1" w:themeShade="80"/>
          <w:sz w:val="22"/>
          <w:szCs w:val="22"/>
          <w:shd w:val="clear" w:color="auto" w:fill="FFFFFF"/>
          <w:lang w:val="en-GB"/>
        </w:rPr>
        <w:t xml:space="preserve"> the court in State A is not accepting of the available evidence on record</w:t>
      </w:r>
      <w:r w:rsidR="00174116" w:rsidRPr="00057F12">
        <w:rPr>
          <w:rFonts w:ascii="Avenir Next" w:hAnsi="Avenir Next" w:cs="Arial"/>
          <w:color w:val="808080" w:themeColor="background1" w:themeShade="80"/>
          <w:sz w:val="22"/>
          <w:szCs w:val="22"/>
          <w:shd w:val="clear" w:color="auto" w:fill="FFFFFF"/>
          <w:lang w:val="en-GB"/>
        </w:rPr>
        <w:t>. The same could include,</w:t>
      </w:r>
      <w:r w:rsidR="001B6DF7" w:rsidRPr="00057F12">
        <w:rPr>
          <w:rFonts w:ascii="Avenir Next" w:hAnsi="Avenir Next" w:cs="Arial"/>
          <w:color w:val="808080" w:themeColor="background1" w:themeShade="80"/>
          <w:sz w:val="22"/>
          <w:szCs w:val="22"/>
          <w:shd w:val="clear" w:color="auto" w:fill="FFFFFF"/>
          <w:lang w:val="en-GB"/>
        </w:rPr>
        <w:t xml:space="preserve"> verified copies of minutes</w:t>
      </w:r>
      <w:r w:rsidR="00B22B62" w:rsidRPr="00057F12">
        <w:rPr>
          <w:rFonts w:ascii="Avenir Next" w:hAnsi="Avenir Next" w:cs="Arial"/>
          <w:color w:val="808080" w:themeColor="background1" w:themeShade="80"/>
          <w:sz w:val="22"/>
          <w:szCs w:val="22"/>
          <w:shd w:val="clear" w:color="auto" w:fill="FFFFFF"/>
          <w:lang w:val="en-GB"/>
        </w:rPr>
        <w:t xml:space="preserve">, court order, reports to creditors, </w:t>
      </w:r>
      <w:r w:rsidR="00E076C9" w:rsidRPr="00057F12">
        <w:rPr>
          <w:rFonts w:ascii="Avenir Next" w:hAnsi="Avenir Next" w:cs="Arial"/>
          <w:color w:val="808080" w:themeColor="background1" w:themeShade="80"/>
          <w:sz w:val="22"/>
          <w:szCs w:val="22"/>
          <w:shd w:val="clear" w:color="auto" w:fill="FFFFFF"/>
          <w:lang w:val="en-GB"/>
        </w:rPr>
        <w:t xml:space="preserve">company and court registry services, </w:t>
      </w:r>
      <w:r w:rsidR="008A7278" w:rsidRPr="00057F12">
        <w:rPr>
          <w:rFonts w:ascii="Avenir Next" w:hAnsi="Avenir Next" w:cs="Arial"/>
          <w:color w:val="808080" w:themeColor="background1" w:themeShade="80"/>
          <w:sz w:val="22"/>
          <w:szCs w:val="22"/>
          <w:shd w:val="clear" w:color="auto" w:fill="FFFFFF"/>
          <w:lang w:val="en-GB"/>
        </w:rPr>
        <w:t>registration</w:t>
      </w:r>
      <w:r w:rsidR="00BE31E2" w:rsidRPr="00057F12">
        <w:rPr>
          <w:rFonts w:ascii="Avenir Next" w:hAnsi="Avenir Next" w:cs="Arial"/>
          <w:color w:val="808080" w:themeColor="background1" w:themeShade="80"/>
          <w:sz w:val="22"/>
          <w:szCs w:val="22"/>
          <w:shd w:val="clear" w:color="auto" w:fill="FFFFFF"/>
          <w:lang w:val="en-GB"/>
        </w:rPr>
        <w:t xml:space="preserve"> details of the foreign </w:t>
      </w:r>
      <w:r w:rsidR="008A7278" w:rsidRPr="00057F12">
        <w:rPr>
          <w:rFonts w:ascii="Avenir Next" w:hAnsi="Avenir Next" w:cs="Arial"/>
          <w:color w:val="808080" w:themeColor="background1" w:themeShade="80"/>
          <w:sz w:val="22"/>
          <w:szCs w:val="22"/>
          <w:shd w:val="clear" w:color="auto" w:fill="FFFFFF"/>
          <w:lang w:val="en-GB"/>
        </w:rPr>
        <w:t>representative</w:t>
      </w:r>
      <w:r w:rsidR="00BE31E2" w:rsidRPr="00057F12">
        <w:rPr>
          <w:rFonts w:ascii="Avenir Next" w:hAnsi="Avenir Next" w:cs="Arial"/>
          <w:color w:val="808080" w:themeColor="background1" w:themeShade="80"/>
          <w:sz w:val="22"/>
          <w:szCs w:val="22"/>
          <w:shd w:val="clear" w:color="auto" w:fill="FFFFFF"/>
          <w:lang w:val="en-GB"/>
        </w:rPr>
        <w:t xml:space="preserve">, </w:t>
      </w:r>
      <w:r w:rsidR="00120CFD" w:rsidRPr="00057F12">
        <w:rPr>
          <w:rFonts w:ascii="Avenir Next" w:hAnsi="Avenir Next" w:cs="Arial"/>
          <w:color w:val="808080" w:themeColor="background1" w:themeShade="80"/>
          <w:sz w:val="22"/>
          <w:szCs w:val="22"/>
          <w:shd w:val="clear" w:color="auto" w:fill="FFFFFF"/>
          <w:lang w:val="en-GB"/>
        </w:rPr>
        <w:t>etc</w:t>
      </w:r>
      <w:r w:rsidR="00120CFD" w:rsidRPr="00057F12">
        <w:rPr>
          <w:rStyle w:val="FootnoteReference"/>
          <w:rFonts w:ascii="Avenir Next" w:hAnsi="Avenir Next" w:cs="Arial"/>
          <w:color w:val="808080" w:themeColor="background1" w:themeShade="80"/>
          <w:sz w:val="22"/>
          <w:szCs w:val="22"/>
          <w:shd w:val="clear" w:color="auto" w:fill="FFFFFF"/>
          <w:lang w:val="en-GB"/>
        </w:rPr>
        <w:footnoteReference w:id="28"/>
      </w:r>
      <w:r w:rsidR="0072412E" w:rsidRPr="00057F12">
        <w:rPr>
          <w:rFonts w:ascii="Avenir Next" w:hAnsi="Avenir Next" w:cs="Arial"/>
          <w:color w:val="808080" w:themeColor="background1" w:themeShade="80"/>
          <w:sz w:val="22"/>
          <w:szCs w:val="22"/>
          <w:shd w:val="clear" w:color="auto" w:fill="FFFFFF"/>
          <w:lang w:val="en-GB"/>
        </w:rPr>
        <w:t>;</w:t>
      </w:r>
    </w:p>
    <w:p w14:paraId="02EAEF34" w14:textId="0C173884" w:rsidR="0072412E" w:rsidRPr="00057F12" w:rsidRDefault="00F64FFF" w:rsidP="002346F0">
      <w:pPr>
        <w:pStyle w:val="ListParagraph"/>
        <w:numPr>
          <w:ilvl w:val="0"/>
          <w:numId w:val="17"/>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A statement recognising all the foreign proceedings in respect of the debtor that are known to the foreign representative</w:t>
      </w:r>
      <w:r w:rsidR="009314D6" w:rsidRPr="00057F12">
        <w:rPr>
          <w:rFonts w:ascii="Avenir Next" w:hAnsi="Avenir Next" w:cs="Arial"/>
          <w:color w:val="808080" w:themeColor="background1" w:themeShade="80"/>
          <w:sz w:val="22"/>
          <w:szCs w:val="22"/>
          <w:shd w:val="clear" w:color="auto" w:fill="FFFFFF"/>
          <w:lang w:val="en-GB"/>
        </w:rPr>
        <w:t xml:space="preserve">. While this statement is not required </w:t>
      </w:r>
      <w:r w:rsidR="00001F31" w:rsidRPr="00057F12">
        <w:rPr>
          <w:rFonts w:ascii="Avenir Next" w:hAnsi="Avenir Next" w:cs="Arial"/>
          <w:color w:val="808080" w:themeColor="background1" w:themeShade="80"/>
          <w:sz w:val="22"/>
          <w:szCs w:val="22"/>
          <w:shd w:val="clear" w:color="auto" w:fill="FFFFFF"/>
          <w:lang w:val="en-GB"/>
        </w:rPr>
        <w:t>qua the recognition itself, but more so for the reliefs that accompany the recognition application so as to make sure that the reliefs granted is not inconsistent</w:t>
      </w:r>
      <w:r w:rsidR="008A66FC" w:rsidRPr="00057F12">
        <w:rPr>
          <w:rFonts w:ascii="Avenir Next" w:hAnsi="Avenir Next" w:cs="Arial"/>
          <w:color w:val="808080" w:themeColor="background1" w:themeShade="80"/>
          <w:sz w:val="22"/>
          <w:szCs w:val="22"/>
          <w:shd w:val="clear" w:color="auto" w:fill="FFFFFF"/>
          <w:lang w:val="en-GB"/>
        </w:rPr>
        <w:t xml:space="preserve"> the </w:t>
      </w:r>
      <w:r w:rsidR="0034283C" w:rsidRPr="00057F12">
        <w:rPr>
          <w:rFonts w:ascii="Avenir Next" w:hAnsi="Avenir Next" w:cs="Arial"/>
          <w:color w:val="808080" w:themeColor="background1" w:themeShade="80"/>
          <w:sz w:val="22"/>
          <w:szCs w:val="22"/>
          <w:shd w:val="clear" w:color="auto" w:fill="FFFFFF"/>
          <w:lang w:val="en-GB"/>
        </w:rPr>
        <w:t>on-going</w:t>
      </w:r>
      <w:r w:rsidR="008A66FC" w:rsidRPr="00057F12">
        <w:rPr>
          <w:rFonts w:ascii="Avenir Next" w:hAnsi="Avenir Next" w:cs="Arial"/>
          <w:color w:val="808080" w:themeColor="background1" w:themeShade="80"/>
          <w:sz w:val="22"/>
          <w:szCs w:val="22"/>
          <w:shd w:val="clear" w:color="auto" w:fill="FFFFFF"/>
          <w:lang w:val="en-GB"/>
        </w:rPr>
        <w:t xml:space="preserve"> proceedings. </w:t>
      </w:r>
    </w:p>
    <w:p w14:paraId="02C80DA2" w14:textId="4E967530" w:rsidR="004629D5" w:rsidRPr="00057F12" w:rsidRDefault="00F64FFF" w:rsidP="004629D5">
      <w:pPr>
        <w:pStyle w:val="ListParagraph"/>
        <w:numPr>
          <w:ilvl w:val="0"/>
          <w:numId w:val="17"/>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 xml:space="preserve">A </w:t>
      </w:r>
      <w:r w:rsidR="0065333D" w:rsidRPr="00057F12">
        <w:rPr>
          <w:rFonts w:ascii="Avenir Next" w:hAnsi="Avenir Next" w:cs="Arial"/>
          <w:color w:val="808080" w:themeColor="background1" w:themeShade="80"/>
          <w:sz w:val="22"/>
          <w:szCs w:val="22"/>
          <w:shd w:val="clear" w:color="auto" w:fill="FFFFFF"/>
          <w:lang w:val="en-GB"/>
        </w:rPr>
        <w:t xml:space="preserve">copy of the documents supplied in the official language of the </w:t>
      </w:r>
      <w:r w:rsidR="00E139A5" w:rsidRPr="00057F12">
        <w:rPr>
          <w:rFonts w:ascii="Avenir Next" w:hAnsi="Avenir Next" w:cs="Arial"/>
          <w:color w:val="808080" w:themeColor="background1" w:themeShade="80"/>
          <w:sz w:val="22"/>
          <w:szCs w:val="22"/>
          <w:shd w:val="clear" w:color="auto" w:fill="FFFFFF"/>
          <w:lang w:val="en-GB"/>
        </w:rPr>
        <w:t xml:space="preserve">state. </w:t>
      </w:r>
    </w:p>
    <w:p w14:paraId="538D432F" w14:textId="77777777" w:rsidR="00034D72" w:rsidRDefault="00034D72" w:rsidP="00707FC8">
      <w:pPr>
        <w:jc w:val="both"/>
        <w:rPr>
          <w:rFonts w:ascii="Avenir Next" w:hAnsi="Avenir Next" w:cs="Arial"/>
          <w:color w:val="808080" w:themeColor="background1" w:themeShade="80"/>
          <w:sz w:val="22"/>
          <w:szCs w:val="22"/>
          <w:shd w:val="clear" w:color="auto" w:fill="FFFFFF"/>
          <w:lang w:val="en-GB"/>
        </w:rPr>
      </w:pPr>
    </w:p>
    <w:p w14:paraId="1F77AA0F" w14:textId="6FFD88FC" w:rsidR="00867A8F" w:rsidRDefault="00427D34" w:rsidP="00707FC8">
      <w:p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t>In the event the documents mentioned in (</w:t>
      </w:r>
      <w:proofErr w:type="spellStart"/>
      <w:r w:rsidRPr="00057F12">
        <w:rPr>
          <w:rFonts w:ascii="Avenir Next" w:hAnsi="Avenir Next" w:cs="Arial"/>
          <w:color w:val="808080" w:themeColor="background1" w:themeShade="80"/>
          <w:sz w:val="22"/>
          <w:szCs w:val="22"/>
          <w:shd w:val="clear" w:color="auto" w:fill="FFFFFF"/>
          <w:lang w:val="en-GB"/>
        </w:rPr>
        <w:t>i</w:t>
      </w:r>
      <w:proofErr w:type="spellEnd"/>
      <w:r w:rsidRPr="00057F12">
        <w:rPr>
          <w:rFonts w:ascii="Avenir Next" w:hAnsi="Avenir Next" w:cs="Arial"/>
          <w:color w:val="808080" w:themeColor="background1" w:themeShade="80"/>
          <w:sz w:val="22"/>
          <w:szCs w:val="22"/>
          <w:shd w:val="clear" w:color="auto" w:fill="FFFFFF"/>
          <w:lang w:val="en-GB"/>
        </w:rPr>
        <w:t xml:space="preserve">) and (ii) above are not available or are not in order, the foreign representative may also be asked to submit </w:t>
      </w:r>
      <w:r w:rsidR="00E50A8D" w:rsidRPr="00057F12">
        <w:rPr>
          <w:rFonts w:ascii="Avenir Next" w:hAnsi="Avenir Next" w:cs="Arial"/>
          <w:color w:val="808080" w:themeColor="background1" w:themeShade="80"/>
          <w:sz w:val="22"/>
          <w:szCs w:val="22"/>
          <w:shd w:val="clear" w:color="auto" w:fill="FFFFFF"/>
          <w:lang w:val="en-GB"/>
        </w:rPr>
        <w:t xml:space="preserve">satisfactory </w:t>
      </w:r>
      <w:r w:rsidR="00E31D99" w:rsidRPr="00057F12">
        <w:rPr>
          <w:rFonts w:ascii="Avenir Next" w:hAnsi="Avenir Next" w:cs="Arial"/>
          <w:color w:val="808080" w:themeColor="background1" w:themeShade="80"/>
          <w:sz w:val="22"/>
          <w:szCs w:val="22"/>
          <w:shd w:val="clear" w:color="auto" w:fill="FFFFFF"/>
          <w:lang w:val="en-GB"/>
        </w:rPr>
        <w:t>submissions</w:t>
      </w:r>
      <w:r w:rsidR="00E50A8D" w:rsidRPr="00057F12">
        <w:rPr>
          <w:rFonts w:ascii="Avenir Next" w:hAnsi="Avenir Next" w:cs="Arial"/>
          <w:color w:val="808080" w:themeColor="background1" w:themeShade="80"/>
          <w:sz w:val="22"/>
          <w:szCs w:val="22"/>
          <w:shd w:val="clear" w:color="auto" w:fill="FFFFFF"/>
          <w:lang w:val="en-GB"/>
        </w:rPr>
        <w:t xml:space="preserve"> justifying the absence thereof</w:t>
      </w:r>
      <w:r w:rsidR="00E31D99" w:rsidRPr="00057F12">
        <w:rPr>
          <w:rStyle w:val="FootnoteReference"/>
          <w:rFonts w:ascii="Avenir Next" w:hAnsi="Avenir Next" w:cs="Arial"/>
          <w:color w:val="808080" w:themeColor="background1" w:themeShade="80"/>
          <w:sz w:val="22"/>
          <w:szCs w:val="22"/>
          <w:shd w:val="clear" w:color="auto" w:fill="FFFFFF"/>
          <w:lang w:val="en-GB"/>
        </w:rPr>
        <w:footnoteReference w:id="29"/>
      </w:r>
      <w:r w:rsidR="00E50A8D" w:rsidRPr="00057F12">
        <w:rPr>
          <w:rFonts w:ascii="Avenir Next" w:hAnsi="Avenir Next" w:cs="Arial"/>
          <w:color w:val="808080" w:themeColor="background1" w:themeShade="80"/>
          <w:sz w:val="22"/>
          <w:szCs w:val="22"/>
          <w:shd w:val="clear" w:color="auto" w:fill="FFFFFF"/>
          <w:lang w:val="en-GB"/>
        </w:rPr>
        <w:t xml:space="preserve">. </w:t>
      </w:r>
      <w:r w:rsidR="00F63F63" w:rsidRPr="00057F12">
        <w:rPr>
          <w:rFonts w:ascii="Avenir Next" w:hAnsi="Avenir Next" w:cs="Arial"/>
          <w:color w:val="808080" w:themeColor="background1" w:themeShade="80"/>
          <w:sz w:val="22"/>
          <w:szCs w:val="22"/>
          <w:shd w:val="clear" w:color="auto" w:fill="FFFFFF"/>
          <w:lang w:val="en-GB"/>
        </w:rPr>
        <w:t xml:space="preserve">Hence it should be remembered that while the court has </w:t>
      </w:r>
      <w:r w:rsidR="00965425" w:rsidRPr="00057F12">
        <w:rPr>
          <w:rFonts w:ascii="Avenir Next" w:hAnsi="Avenir Next" w:cs="Arial"/>
          <w:color w:val="808080" w:themeColor="background1" w:themeShade="80"/>
          <w:sz w:val="22"/>
          <w:szCs w:val="22"/>
          <w:shd w:val="clear" w:color="auto" w:fill="FFFFFF"/>
          <w:lang w:val="en-GB"/>
        </w:rPr>
        <w:t>flexibility, the</w:t>
      </w:r>
      <w:r w:rsidR="00F63F63" w:rsidRPr="00057F12">
        <w:rPr>
          <w:rFonts w:ascii="Avenir Next" w:hAnsi="Avenir Next" w:cs="Arial"/>
          <w:color w:val="808080" w:themeColor="background1" w:themeShade="80"/>
          <w:sz w:val="22"/>
          <w:szCs w:val="22"/>
          <w:shd w:val="clear" w:color="auto" w:fill="FFFFFF"/>
          <w:lang w:val="en-GB"/>
        </w:rPr>
        <w:t xml:space="preserve"> court the powers to demand the presentation of certain documents</w:t>
      </w:r>
      <w:r w:rsidR="00034D72">
        <w:rPr>
          <w:rFonts w:ascii="Avenir Next" w:hAnsi="Avenir Next" w:cs="Arial"/>
          <w:color w:val="808080" w:themeColor="background1" w:themeShade="80"/>
          <w:sz w:val="22"/>
          <w:szCs w:val="22"/>
          <w:shd w:val="clear" w:color="auto" w:fill="FFFFFF"/>
          <w:lang w:val="en-GB"/>
        </w:rPr>
        <w:t xml:space="preserve"> which can derail and delay the process of recognition</w:t>
      </w:r>
      <w:r w:rsidR="00F63F63" w:rsidRPr="00057F12">
        <w:rPr>
          <w:rFonts w:ascii="Avenir Next" w:hAnsi="Avenir Next" w:cs="Arial"/>
          <w:color w:val="808080" w:themeColor="background1" w:themeShade="80"/>
          <w:sz w:val="22"/>
          <w:szCs w:val="22"/>
          <w:shd w:val="clear" w:color="auto" w:fill="FFFFFF"/>
          <w:lang w:val="en-GB"/>
        </w:rPr>
        <w:t xml:space="preserve">. </w:t>
      </w:r>
    </w:p>
    <w:p w14:paraId="7B1DB0EA" w14:textId="77777777" w:rsidR="00306302" w:rsidRPr="00057F12" w:rsidRDefault="00306302" w:rsidP="00707FC8">
      <w:pPr>
        <w:jc w:val="both"/>
        <w:rPr>
          <w:rFonts w:ascii="Avenir Next" w:hAnsi="Avenir Next" w:cs="Arial"/>
          <w:color w:val="808080" w:themeColor="background1" w:themeShade="80"/>
          <w:sz w:val="22"/>
          <w:szCs w:val="22"/>
          <w:shd w:val="clear" w:color="auto" w:fill="FFFFFF"/>
          <w:lang w:val="en-GB"/>
        </w:rPr>
      </w:pPr>
    </w:p>
    <w:p w14:paraId="372C80C8" w14:textId="55B5F34A" w:rsidR="00965425" w:rsidRDefault="00965425" w:rsidP="00965425">
      <w:pPr>
        <w:pStyle w:val="ListParagraph"/>
        <w:numPr>
          <w:ilvl w:val="0"/>
          <w:numId w:val="16"/>
        </w:numPr>
        <w:jc w:val="both"/>
        <w:rPr>
          <w:rFonts w:ascii="Avenir Next" w:hAnsi="Avenir Next" w:cs="Arial"/>
          <w:color w:val="808080" w:themeColor="background1" w:themeShade="80"/>
          <w:sz w:val="22"/>
          <w:szCs w:val="22"/>
          <w:shd w:val="clear" w:color="auto" w:fill="FFFFFF"/>
          <w:lang w:val="en-GB"/>
        </w:rPr>
      </w:pPr>
      <w:r w:rsidRPr="00057F12">
        <w:rPr>
          <w:rFonts w:ascii="Avenir Next" w:hAnsi="Avenir Next" w:cs="Arial"/>
          <w:color w:val="808080" w:themeColor="background1" w:themeShade="80"/>
          <w:sz w:val="22"/>
          <w:szCs w:val="22"/>
          <w:shd w:val="clear" w:color="auto" w:fill="FFFFFF"/>
          <w:lang w:val="en-GB"/>
        </w:rPr>
        <w:lastRenderedPageBreak/>
        <w:t xml:space="preserve">When does a court allow a recognition application: </w:t>
      </w:r>
      <w:r w:rsidR="0076609D" w:rsidRPr="00057F12">
        <w:rPr>
          <w:rFonts w:ascii="Avenir Next" w:hAnsi="Avenir Next" w:cs="Arial"/>
          <w:color w:val="808080" w:themeColor="background1" w:themeShade="80"/>
          <w:sz w:val="22"/>
          <w:szCs w:val="22"/>
          <w:shd w:val="clear" w:color="auto" w:fill="FFFFFF"/>
          <w:lang w:val="en-GB"/>
        </w:rPr>
        <w:t>Under Article 17, t</w:t>
      </w:r>
      <w:r w:rsidRPr="00057F12">
        <w:rPr>
          <w:rFonts w:ascii="Avenir Next" w:hAnsi="Avenir Next" w:cs="Arial"/>
          <w:color w:val="808080" w:themeColor="background1" w:themeShade="80"/>
          <w:sz w:val="22"/>
          <w:szCs w:val="22"/>
          <w:shd w:val="clear" w:color="auto" w:fill="FFFFFF"/>
          <w:lang w:val="en-GB"/>
        </w:rPr>
        <w:t xml:space="preserve">he court in State A can allow the recognition application </w:t>
      </w:r>
      <w:r w:rsidR="007A12AF" w:rsidRPr="00057F12">
        <w:rPr>
          <w:rFonts w:ascii="Avenir Next" w:hAnsi="Avenir Next" w:cs="Arial"/>
          <w:color w:val="808080" w:themeColor="background1" w:themeShade="80"/>
          <w:sz w:val="22"/>
          <w:szCs w:val="22"/>
          <w:shd w:val="clear" w:color="auto" w:fill="FFFFFF"/>
          <w:lang w:val="en-GB"/>
        </w:rPr>
        <w:t xml:space="preserve">(assuming that the </w:t>
      </w:r>
      <w:r w:rsidR="0076609D" w:rsidRPr="00057F12">
        <w:rPr>
          <w:rFonts w:ascii="Avenir Next" w:hAnsi="Avenir Next" w:cs="Arial"/>
          <w:color w:val="808080" w:themeColor="background1" w:themeShade="80"/>
          <w:sz w:val="22"/>
          <w:szCs w:val="22"/>
          <w:shd w:val="clear" w:color="auto" w:fill="FFFFFF"/>
          <w:lang w:val="en-GB"/>
        </w:rPr>
        <w:t>proceedings have been recognised as foreign proceedings and the foreign representative is deemed a foreign representative under Article 2 of the Model Law</w:t>
      </w:r>
      <w:r w:rsidR="00C42F5E">
        <w:rPr>
          <w:rFonts w:ascii="Avenir Next" w:hAnsi="Avenir Next" w:cs="Arial"/>
          <w:color w:val="808080" w:themeColor="background1" w:themeShade="80"/>
          <w:sz w:val="22"/>
          <w:szCs w:val="22"/>
          <w:shd w:val="clear" w:color="auto" w:fill="FFFFFF"/>
          <w:lang w:val="en-GB"/>
        </w:rPr>
        <w:t>)</w:t>
      </w:r>
      <w:r w:rsidR="0076609D" w:rsidRPr="00057F12">
        <w:rPr>
          <w:rFonts w:ascii="Avenir Next" w:hAnsi="Avenir Next" w:cs="Arial"/>
          <w:color w:val="808080" w:themeColor="background1" w:themeShade="80"/>
          <w:sz w:val="22"/>
          <w:szCs w:val="22"/>
          <w:shd w:val="clear" w:color="auto" w:fill="FFFFFF"/>
          <w:lang w:val="en-GB"/>
        </w:rPr>
        <w:t xml:space="preserve">, if all the requirements according to the court under Article 15 are met, </w:t>
      </w:r>
      <w:r w:rsidR="00FA50D3" w:rsidRPr="00057F12">
        <w:rPr>
          <w:rFonts w:ascii="Avenir Next" w:hAnsi="Avenir Next" w:cs="Arial"/>
          <w:color w:val="808080" w:themeColor="background1" w:themeShade="80"/>
          <w:sz w:val="22"/>
          <w:szCs w:val="22"/>
          <w:shd w:val="clear" w:color="auto" w:fill="FFFFFF"/>
          <w:lang w:val="en-GB"/>
        </w:rPr>
        <w:t xml:space="preserve">the application is submitted to a competent court, </w:t>
      </w:r>
      <w:r w:rsidR="008B4FC0" w:rsidRPr="00057F12">
        <w:rPr>
          <w:rFonts w:ascii="Avenir Next" w:hAnsi="Avenir Next" w:cs="Arial"/>
          <w:color w:val="808080" w:themeColor="background1" w:themeShade="80"/>
          <w:sz w:val="22"/>
          <w:szCs w:val="22"/>
          <w:shd w:val="clear" w:color="auto" w:fill="FFFFFF"/>
          <w:lang w:val="en-GB"/>
        </w:rPr>
        <w:t xml:space="preserve">and the same will be recognised and main or non-main in corelation to the </w:t>
      </w:r>
      <w:r w:rsidR="00FE30FE" w:rsidRPr="00057F12">
        <w:rPr>
          <w:rFonts w:ascii="Avenir Next" w:hAnsi="Avenir Next" w:cs="Arial"/>
          <w:color w:val="808080" w:themeColor="background1" w:themeShade="80"/>
          <w:sz w:val="22"/>
          <w:szCs w:val="22"/>
          <w:shd w:val="clear" w:color="auto" w:fill="FFFFFF"/>
          <w:lang w:val="en-GB"/>
        </w:rPr>
        <w:t xml:space="preserve">centre of main interest/establishment assessment of the corporate debtor. </w:t>
      </w:r>
    </w:p>
    <w:p w14:paraId="0ACD38EF" w14:textId="0094C22B" w:rsidR="00AC5D83" w:rsidRPr="00C82960" w:rsidRDefault="00AC5D83" w:rsidP="00C82960">
      <w:pPr>
        <w:pStyle w:val="ListParagraph"/>
        <w:numPr>
          <w:ilvl w:val="0"/>
          <w:numId w:val="16"/>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post recognition reliefs which are common for main and non-main </w:t>
      </w:r>
      <w:r w:rsidR="00BF34C6">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are </w:t>
      </w:r>
      <w:r w:rsidR="00BF34C6">
        <w:rPr>
          <w:rFonts w:ascii="Avenir Next" w:hAnsi="Avenir Next" w:cs="Arial"/>
          <w:color w:val="808080" w:themeColor="background1" w:themeShade="80"/>
          <w:sz w:val="22"/>
          <w:szCs w:val="22"/>
          <w:lang w:val="en-GB"/>
        </w:rPr>
        <w:t xml:space="preserve">that </w:t>
      </w:r>
      <w:r w:rsidRPr="00102E6F">
        <w:rPr>
          <w:rFonts w:ascii="Avenir Next" w:hAnsi="Avenir Next" w:cs="Arial"/>
          <w:color w:val="808080" w:themeColor="background1" w:themeShade="80"/>
          <w:sz w:val="22"/>
          <w:szCs w:val="22"/>
          <w:lang w:val="en-GB"/>
        </w:rPr>
        <w:t>the courts in State A, have the discretionary power</w:t>
      </w:r>
      <w:r w:rsidRPr="00102E6F">
        <w:rPr>
          <w:rStyle w:val="FootnoteReference"/>
          <w:rFonts w:ascii="Avenir Next" w:hAnsi="Avenir Next" w:cs="Arial"/>
          <w:color w:val="808080" w:themeColor="background1" w:themeShade="80"/>
          <w:sz w:val="22"/>
          <w:szCs w:val="22"/>
          <w:lang w:val="en-GB"/>
        </w:rPr>
        <w:footnoteReference w:id="30"/>
      </w:r>
      <w:r w:rsidRPr="00102E6F">
        <w:rPr>
          <w:rFonts w:ascii="Avenir Next" w:hAnsi="Avenir Next" w:cs="Arial"/>
          <w:color w:val="808080" w:themeColor="background1" w:themeShade="80"/>
          <w:sz w:val="22"/>
          <w:szCs w:val="22"/>
          <w:lang w:val="en-GB"/>
        </w:rPr>
        <w:t xml:space="preserve"> to grant various reliefs under Article 21, such as a moratorium in favour of the debtor’s assets, rights and obligations</w:t>
      </w:r>
      <w:r w:rsidRPr="00102E6F">
        <w:rPr>
          <w:rStyle w:val="FootnoteReference"/>
          <w:rFonts w:ascii="Avenir Next" w:hAnsi="Avenir Next" w:cs="Arial"/>
          <w:color w:val="808080" w:themeColor="background1" w:themeShade="80"/>
          <w:sz w:val="22"/>
          <w:szCs w:val="22"/>
          <w:lang w:val="en-GB"/>
        </w:rPr>
        <w:footnoteReference w:id="31"/>
      </w:r>
      <w:r w:rsidRPr="00102E6F">
        <w:rPr>
          <w:rFonts w:ascii="Avenir Next" w:hAnsi="Avenir Next" w:cs="Arial"/>
          <w:color w:val="808080" w:themeColor="background1" w:themeShade="80"/>
          <w:sz w:val="22"/>
          <w:szCs w:val="22"/>
          <w:lang w:val="en-GB"/>
        </w:rPr>
        <w:t>, staying of execution against the debtor’s assets</w:t>
      </w:r>
      <w:r w:rsidRPr="00102E6F">
        <w:rPr>
          <w:rStyle w:val="FootnoteReference"/>
          <w:rFonts w:ascii="Avenir Next" w:hAnsi="Avenir Next" w:cs="Arial"/>
          <w:color w:val="808080" w:themeColor="background1" w:themeShade="80"/>
          <w:sz w:val="22"/>
          <w:szCs w:val="22"/>
          <w:lang w:val="en-GB"/>
        </w:rPr>
        <w:footnoteReference w:id="32"/>
      </w:r>
      <w:r w:rsidRPr="00102E6F">
        <w:rPr>
          <w:rFonts w:ascii="Avenir Next" w:hAnsi="Avenir Next" w:cs="Arial"/>
          <w:color w:val="808080" w:themeColor="background1" w:themeShade="80"/>
          <w:sz w:val="22"/>
          <w:szCs w:val="22"/>
          <w:lang w:val="en-GB"/>
        </w:rPr>
        <w:t>, suspending the rights to dispose of or rather deal in any manner with the assets of the debtor</w:t>
      </w:r>
      <w:r w:rsidRPr="00102E6F">
        <w:rPr>
          <w:rStyle w:val="FootnoteReference"/>
          <w:rFonts w:ascii="Avenir Next" w:hAnsi="Avenir Next" w:cs="Arial"/>
          <w:color w:val="808080" w:themeColor="background1" w:themeShade="80"/>
          <w:sz w:val="22"/>
          <w:szCs w:val="22"/>
          <w:lang w:val="en-GB"/>
        </w:rPr>
        <w:footnoteReference w:id="33"/>
      </w:r>
      <w:r w:rsidRPr="00102E6F">
        <w:rPr>
          <w:rFonts w:ascii="Avenir Next" w:hAnsi="Avenir Next" w:cs="Arial"/>
          <w:color w:val="808080" w:themeColor="background1" w:themeShade="80"/>
          <w:sz w:val="22"/>
          <w:szCs w:val="22"/>
          <w:lang w:val="en-GB"/>
        </w:rPr>
        <w:t>, providing access to evidence and information in relation to the debtor’s assets</w:t>
      </w:r>
      <w:r w:rsidRPr="00102E6F">
        <w:rPr>
          <w:rStyle w:val="FootnoteReference"/>
          <w:rFonts w:ascii="Avenir Next" w:hAnsi="Avenir Next" w:cs="Arial"/>
          <w:color w:val="808080" w:themeColor="background1" w:themeShade="80"/>
          <w:sz w:val="22"/>
          <w:szCs w:val="22"/>
          <w:lang w:val="en-GB"/>
        </w:rPr>
        <w:footnoteReference w:id="34"/>
      </w:r>
      <w:r w:rsidRPr="00102E6F">
        <w:rPr>
          <w:rFonts w:ascii="Avenir Next" w:hAnsi="Avenir Next" w:cs="Arial"/>
          <w:color w:val="808080" w:themeColor="background1" w:themeShade="80"/>
          <w:sz w:val="22"/>
          <w:szCs w:val="22"/>
          <w:lang w:val="en-GB"/>
        </w:rPr>
        <w:t xml:space="preserve">, </w:t>
      </w:r>
      <w:r w:rsidRPr="0030546B">
        <w:rPr>
          <w:rFonts w:ascii="Avenir Next" w:hAnsi="Avenir Next" w:cs="Arial"/>
          <w:color w:val="808080" w:themeColor="background1" w:themeShade="80"/>
          <w:sz w:val="22"/>
          <w:szCs w:val="22"/>
          <w:lang w:val="en-GB"/>
        </w:rPr>
        <w:t>entrusting the administration/realisation and preservation of the assets of the debtor to a court appointed administrator or to the foreign representative</w:t>
      </w:r>
      <w:r>
        <w:rPr>
          <w:rStyle w:val="FootnoteReference"/>
          <w:rFonts w:ascii="Avenir Next" w:hAnsi="Avenir Next" w:cs="Arial"/>
          <w:color w:val="808080" w:themeColor="background1" w:themeShade="80"/>
          <w:sz w:val="22"/>
          <w:szCs w:val="22"/>
          <w:lang w:val="en-GB"/>
        </w:rPr>
        <w:footnoteReference w:id="35"/>
      </w:r>
      <w:r w:rsidRPr="0030546B">
        <w:rPr>
          <w:rFonts w:ascii="Avenir Next" w:hAnsi="Avenir Next" w:cs="Arial"/>
          <w:color w:val="808080" w:themeColor="background1" w:themeShade="80"/>
          <w:sz w:val="22"/>
          <w:szCs w:val="22"/>
          <w:lang w:val="en-GB"/>
        </w:rPr>
        <w:t>, extending any interim reliefs granted under Article 19</w:t>
      </w:r>
      <w:r>
        <w:rPr>
          <w:rStyle w:val="FootnoteReference"/>
          <w:rFonts w:ascii="Avenir Next" w:hAnsi="Avenir Next" w:cs="Arial"/>
          <w:color w:val="808080" w:themeColor="background1" w:themeShade="80"/>
          <w:sz w:val="22"/>
          <w:szCs w:val="22"/>
          <w:lang w:val="en-GB"/>
        </w:rPr>
        <w:footnoteReference w:id="36"/>
      </w:r>
      <w:r w:rsidRPr="0030546B">
        <w:rPr>
          <w:rFonts w:ascii="Avenir Next" w:hAnsi="Avenir Next" w:cs="Arial"/>
          <w:color w:val="808080" w:themeColor="background1" w:themeShade="80"/>
          <w:sz w:val="22"/>
          <w:szCs w:val="22"/>
          <w:lang w:val="en-GB"/>
        </w:rPr>
        <w:t xml:space="preserve"> and/or granting any other reliefs that the foreign representative may apply for. </w:t>
      </w:r>
      <w:r>
        <w:rPr>
          <w:rFonts w:ascii="Avenir Next" w:hAnsi="Avenir Next" w:cs="Arial"/>
          <w:color w:val="808080" w:themeColor="background1" w:themeShade="80"/>
          <w:sz w:val="22"/>
          <w:szCs w:val="22"/>
          <w:lang w:val="en-GB"/>
        </w:rPr>
        <w:t xml:space="preserve">The court can also, under Article 21(2), entrust the responsibility to the court representative or the foreign creditor for distribution of the debtor’s domestic assets provided the court is satisfied that the interests of all the other stakeholders is protected. </w:t>
      </w:r>
      <w:r w:rsidRPr="00AC5D83">
        <w:rPr>
          <w:rFonts w:ascii="Avenir Next" w:hAnsi="Avenir Next" w:cs="Arial"/>
          <w:color w:val="808080" w:themeColor="background1" w:themeShade="80"/>
          <w:sz w:val="22"/>
          <w:szCs w:val="22"/>
          <w:lang w:val="en-GB"/>
        </w:rPr>
        <w:t>The foreign presentative will also have right to initiate proceedings to set aside any voidable transactions detrimental to the value of the assets under Article 21(1)</w:t>
      </w:r>
      <w:r w:rsidR="00C82960">
        <w:rPr>
          <w:rFonts w:ascii="Avenir Next" w:hAnsi="Avenir Next" w:cs="Arial"/>
          <w:color w:val="808080" w:themeColor="background1" w:themeShade="80"/>
          <w:sz w:val="22"/>
          <w:szCs w:val="22"/>
          <w:lang w:val="en-GB"/>
        </w:rPr>
        <w:t>. In granting t</w:t>
      </w:r>
      <w:r w:rsidR="003D729C">
        <w:rPr>
          <w:rFonts w:ascii="Avenir Next" w:hAnsi="Avenir Next" w:cs="Arial"/>
          <w:color w:val="808080" w:themeColor="background1" w:themeShade="80"/>
          <w:sz w:val="22"/>
          <w:szCs w:val="22"/>
          <w:lang w:val="en-GB"/>
        </w:rPr>
        <w:t xml:space="preserve">he reliefs under this Article, the courts in State A have to impose a limitation qua proceedings that are non-main in nature, </w:t>
      </w:r>
      <w:r w:rsidR="00FB0353">
        <w:rPr>
          <w:rFonts w:ascii="Avenir Next" w:hAnsi="Avenir Next" w:cs="Arial"/>
          <w:color w:val="808080" w:themeColor="background1" w:themeShade="80"/>
          <w:sz w:val="22"/>
          <w:szCs w:val="22"/>
          <w:lang w:val="en-GB"/>
        </w:rPr>
        <w:t>since its scope out to be much limited compared to foreign main proceedings.</w:t>
      </w: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w:t>
      </w:r>
      <w:r w:rsidRPr="0054171F">
        <w:rPr>
          <w:rFonts w:ascii="Avenir Next" w:hAnsi="Avenir Next" w:cs="Arial"/>
          <w:sz w:val="22"/>
          <w:szCs w:val="22"/>
          <w:lang w:val="en-GB"/>
        </w:rPr>
        <w:t>restrictions, limitations or conditions should be considered in this context. For</w:t>
      </w:r>
      <w:r w:rsidRPr="00E2622D">
        <w:rPr>
          <w:rFonts w:ascii="Avenir Next" w:hAnsi="Avenir Next" w:cs="Arial"/>
          <w:sz w:val="22"/>
          <w:szCs w:val="22"/>
          <w:lang w:val="en-GB"/>
        </w:rPr>
        <w:t xml:space="preserve">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55CD70B" w14:textId="4173F262" w:rsidR="00D5244F" w:rsidRDefault="00D5244F" w:rsidP="00707FC8">
      <w:pPr>
        <w:ind w:left="720" w:hanging="720"/>
        <w:jc w:val="both"/>
        <w:rPr>
          <w:rFonts w:ascii="Avenir Next" w:hAnsi="Avenir Next" w:cs="Arial"/>
          <w:sz w:val="22"/>
          <w:szCs w:val="22"/>
          <w:lang w:val="en-GB"/>
        </w:rPr>
      </w:pPr>
    </w:p>
    <w:p w14:paraId="3AD64608" w14:textId="746DFA16" w:rsidR="00867A8F" w:rsidRDefault="00312B8A" w:rsidP="00707FC8">
      <w:pPr>
        <w:ind w:left="720" w:hanging="720"/>
        <w:jc w:val="both"/>
        <w:rPr>
          <w:rFonts w:ascii="Avenir Next" w:hAnsi="Avenir Next" w:cs="Arial"/>
          <w:color w:val="808080" w:themeColor="background1" w:themeShade="80"/>
          <w:sz w:val="22"/>
          <w:szCs w:val="22"/>
          <w:lang w:val="en-GB"/>
        </w:rPr>
      </w:pPr>
      <w:r w:rsidRPr="002F11FD">
        <w:rPr>
          <w:rFonts w:ascii="Avenir Next" w:hAnsi="Avenir Next" w:cs="Arial"/>
          <w:color w:val="808080" w:themeColor="background1" w:themeShade="80"/>
          <w:sz w:val="22"/>
          <w:szCs w:val="22"/>
          <w:lang w:val="en-GB"/>
        </w:rPr>
        <w:t>On filing of the recognition application</w:t>
      </w:r>
      <w:r w:rsidR="000272F5">
        <w:rPr>
          <w:rFonts w:ascii="Avenir Next" w:hAnsi="Avenir Next" w:cs="Arial"/>
          <w:color w:val="808080" w:themeColor="background1" w:themeShade="80"/>
          <w:sz w:val="22"/>
          <w:szCs w:val="22"/>
          <w:lang w:val="en-GB"/>
        </w:rPr>
        <w:t>, when the same is pending adjudication</w:t>
      </w:r>
      <w:r w:rsidR="000272F5">
        <w:rPr>
          <w:rStyle w:val="FootnoteReference"/>
          <w:rFonts w:ascii="Avenir Next" w:hAnsi="Avenir Next" w:cs="Arial"/>
          <w:color w:val="808080" w:themeColor="background1" w:themeShade="80"/>
          <w:sz w:val="22"/>
          <w:szCs w:val="22"/>
          <w:lang w:val="en-GB"/>
        </w:rPr>
        <w:footnoteReference w:id="37"/>
      </w:r>
      <w:r w:rsidR="00FE306E">
        <w:rPr>
          <w:rFonts w:ascii="Avenir Next" w:hAnsi="Avenir Next" w:cs="Arial"/>
          <w:color w:val="808080" w:themeColor="background1" w:themeShade="80"/>
          <w:sz w:val="22"/>
          <w:szCs w:val="22"/>
          <w:lang w:val="en-GB"/>
        </w:rPr>
        <w:t>,</w:t>
      </w:r>
      <w:r w:rsidRPr="002F11FD">
        <w:rPr>
          <w:rFonts w:ascii="Avenir Next" w:hAnsi="Avenir Next" w:cs="Arial"/>
          <w:color w:val="808080" w:themeColor="background1" w:themeShade="80"/>
          <w:sz w:val="22"/>
          <w:szCs w:val="22"/>
          <w:lang w:val="en-GB"/>
        </w:rPr>
        <w:t>the foreign representative</w:t>
      </w:r>
      <w:r w:rsidR="00856FCB" w:rsidRPr="002F11FD">
        <w:rPr>
          <w:rFonts w:ascii="Avenir Next" w:hAnsi="Avenir Next" w:cs="Arial"/>
          <w:color w:val="808080" w:themeColor="background1" w:themeShade="80"/>
          <w:sz w:val="22"/>
          <w:szCs w:val="22"/>
          <w:lang w:val="en-GB"/>
        </w:rPr>
        <w:t xml:space="preserve"> is </w:t>
      </w:r>
      <w:r w:rsidR="00232B5B" w:rsidRPr="002F11FD">
        <w:rPr>
          <w:rFonts w:ascii="Avenir Next" w:hAnsi="Avenir Next" w:cs="Arial"/>
          <w:color w:val="808080" w:themeColor="background1" w:themeShade="80"/>
          <w:sz w:val="22"/>
          <w:szCs w:val="22"/>
          <w:lang w:val="en-GB"/>
        </w:rPr>
        <w:t>entitled</w:t>
      </w:r>
      <w:r w:rsidR="00232B5B">
        <w:rPr>
          <w:rFonts w:ascii="Avenir Next" w:hAnsi="Avenir Next" w:cs="Arial"/>
          <w:color w:val="808080" w:themeColor="background1" w:themeShade="80"/>
          <w:sz w:val="22"/>
          <w:szCs w:val="22"/>
          <w:lang w:val="en-GB"/>
        </w:rPr>
        <w:t xml:space="preserve"> </w:t>
      </w:r>
      <w:r w:rsidR="00856FCB" w:rsidRPr="002F11FD">
        <w:rPr>
          <w:rFonts w:ascii="Avenir Next" w:hAnsi="Avenir Next" w:cs="Arial"/>
          <w:color w:val="808080" w:themeColor="background1" w:themeShade="80"/>
          <w:sz w:val="22"/>
          <w:szCs w:val="22"/>
          <w:lang w:val="en-GB"/>
        </w:rPr>
        <w:t>to the following reliefs in State A:</w:t>
      </w:r>
    </w:p>
    <w:p w14:paraId="255E77E2" w14:textId="77777777" w:rsidR="0054171F" w:rsidRPr="002F11FD" w:rsidRDefault="0054171F" w:rsidP="00707FC8">
      <w:pPr>
        <w:ind w:left="720" w:hanging="720"/>
        <w:jc w:val="both"/>
        <w:rPr>
          <w:rFonts w:ascii="Avenir Next" w:hAnsi="Avenir Next" w:cs="Arial"/>
          <w:color w:val="808080" w:themeColor="background1" w:themeShade="80"/>
          <w:sz w:val="22"/>
          <w:szCs w:val="22"/>
          <w:lang w:val="en-GB"/>
        </w:rPr>
      </w:pPr>
    </w:p>
    <w:p w14:paraId="05B39EBC" w14:textId="08A9F87A" w:rsidR="002F11FD" w:rsidRPr="002A40EC" w:rsidRDefault="002F11FD" w:rsidP="002F11FD">
      <w:pPr>
        <w:pStyle w:val="ListParagraph"/>
        <w:numPr>
          <w:ilvl w:val="0"/>
          <w:numId w:val="18"/>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foreign representative will be entitled to interim reliefs even when the said recognition application is sub-judice before the courts of State A. Under Article 19, the courts are empowered to grant reliefs such as; staying the execution as against the debtor’s assets in the state</w:t>
      </w:r>
      <w:r>
        <w:rPr>
          <w:rStyle w:val="FootnoteReference"/>
          <w:rFonts w:ascii="Avenir Next" w:hAnsi="Avenir Next" w:cs="Arial"/>
          <w:color w:val="808080" w:themeColor="background1" w:themeShade="80"/>
          <w:sz w:val="22"/>
          <w:szCs w:val="22"/>
          <w:lang w:val="en-GB"/>
        </w:rPr>
        <w:footnoteReference w:id="38"/>
      </w:r>
      <w:r>
        <w:rPr>
          <w:rFonts w:ascii="Avenir Next" w:hAnsi="Avenir Next" w:cs="Arial"/>
          <w:color w:val="808080" w:themeColor="background1" w:themeShade="80"/>
          <w:sz w:val="22"/>
          <w:szCs w:val="22"/>
          <w:lang w:val="en-GB"/>
        </w:rPr>
        <w:t>, entrusting the administration/realisation and preservation of the assets of the debtor to a court appointed administrator or to the foreign representative</w:t>
      </w:r>
      <w:r w:rsidR="009745AD">
        <w:rPr>
          <w:rFonts w:ascii="Avenir Next" w:hAnsi="Avenir Next" w:cs="Arial"/>
          <w:color w:val="808080" w:themeColor="background1" w:themeShade="80"/>
          <w:sz w:val="22"/>
          <w:szCs w:val="22"/>
          <w:lang w:val="en-GB"/>
        </w:rPr>
        <w:t xml:space="preserve"> in order to protect and preserve the value of the assets </w:t>
      </w:r>
      <w:r w:rsidR="006B0975">
        <w:rPr>
          <w:rFonts w:ascii="Avenir Next" w:hAnsi="Avenir Next" w:cs="Arial"/>
          <w:color w:val="808080" w:themeColor="background1" w:themeShade="80"/>
          <w:sz w:val="22"/>
          <w:szCs w:val="22"/>
          <w:lang w:val="en-GB"/>
        </w:rPr>
        <w:t>which are perishable, susceptible to devaluation</w:t>
      </w:r>
      <w:r>
        <w:rPr>
          <w:rStyle w:val="FootnoteReference"/>
          <w:rFonts w:ascii="Avenir Next" w:hAnsi="Avenir Next" w:cs="Arial"/>
          <w:color w:val="808080" w:themeColor="background1" w:themeShade="80"/>
          <w:sz w:val="22"/>
          <w:szCs w:val="22"/>
          <w:lang w:val="en-GB"/>
        </w:rPr>
        <w:footnoteReference w:id="39"/>
      </w:r>
      <w:r>
        <w:rPr>
          <w:rFonts w:ascii="Avenir Next" w:hAnsi="Avenir Next" w:cs="Arial"/>
          <w:color w:val="808080" w:themeColor="background1" w:themeShade="80"/>
          <w:sz w:val="22"/>
          <w:szCs w:val="22"/>
          <w:lang w:val="en-GB"/>
        </w:rPr>
        <w:t xml:space="preserve">, declaring </w:t>
      </w:r>
      <w:r>
        <w:rPr>
          <w:rFonts w:ascii="Avenir Next" w:hAnsi="Avenir Next" w:cs="Arial"/>
          <w:color w:val="808080" w:themeColor="background1" w:themeShade="80"/>
          <w:sz w:val="22"/>
          <w:szCs w:val="22"/>
          <w:lang w:val="en-GB"/>
        </w:rPr>
        <w:lastRenderedPageBreak/>
        <w:t>a moratorium as against disposal/transfer of the assets</w:t>
      </w:r>
      <w:r>
        <w:rPr>
          <w:rStyle w:val="FootnoteReference"/>
          <w:rFonts w:ascii="Avenir Next" w:hAnsi="Avenir Next" w:cs="Arial"/>
          <w:color w:val="808080" w:themeColor="background1" w:themeShade="80"/>
          <w:sz w:val="22"/>
          <w:szCs w:val="22"/>
          <w:lang w:val="en-GB"/>
        </w:rPr>
        <w:footnoteReference w:id="40"/>
      </w:r>
      <w:r>
        <w:rPr>
          <w:rFonts w:ascii="Avenir Next" w:hAnsi="Avenir Next" w:cs="Arial"/>
          <w:color w:val="808080" w:themeColor="background1" w:themeShade="80"/>
          <w:sz w:val="22"/>
          <w:szCs w:val="22"/>
          <w:lang w:val="en-GB"/>
        </w:rPr>
        <w:t>. The interim reliefs can be extended if the recognition application is allowed</w:t>
      </w:r>
      <w:r>
        <w:rPr>
          <w:rStyle w:val="FootnoteReference"/>
          <w:rFonts w:ascii="Avenir Next" w:hAnsi="Avenir Next" w:cs="Arial"/>
          <w:color w:val="808080" w:themeColor="background1" w:themeShade="80"/>
          <w:sz w:val="22"/>
          <w:szCs w:val="22"/>
          <w:lang w:val="en-GB"/>
        </w:rPr>
        <w:footnoteReference w:id="41"/>
      </w:r>
      <w:r>
        <w:rPr>
          <w:rFonts w:ascii="Avenir Next" w:hAnsi="Avenir Next" w:cs="Arial"/>
          <w:color w:val="808080" w:themeColor="background1" w:themeShade="80"/>
          <w:sz w:val="22"/>
          <w:szCs w:val="22"/>
          <w:lang w:val="en-GB"/>
        </w:rPr>
        <w:t>;</w:t>
      </w:r>
    </w:p>
    <w:p w14:paraId="71F272C1" w14:textId="2D274112" w:rsidR="00856FCB" w:rsidRPr="002F11FD" w:rsidRDefault="00856FCB" w:rsidP="00232B5B">
      <w:pPr>
        <w:pStyle w:val="ListParagraph"/>
        <w:jc w:val="both"/>
        <w:rPr>
          <w:rFonts w:ascii="Avenir Next" w:hAnsi="Avenir Next" w:cs="Arial"/>
          <w:sz w:val="22"/>
          <w:szCs w:val="22"/>
          <w:lang w:val="en-GB"/>
        </w:rPr>
      </w:pPr>
    </w:p>
    <w:p w14:paraId="4A0E319B" w14:textId="10276D26" w:rsidR="00867A8F" w:rsidRPr="00B03264" w:rsidRDefault="004D2710" w:rsidP="00500CB7">
      <w:pPr>
        <w:pStyle w:val="ListParagraph"/>
        <w:numPr>
          <w:ilvl w:val="0"/>
          <w:numId w:val="18"/>
        </w:numPr>
        <w:jc w:val="both"/>
        <w:rPr>
          <w:rFonts w:ascii="Avenir Next" w:hAnsi="Avenir Next" w:cs="Arial"/>
          <w:sz w:val="22"/>
          <w:szCs w:val="22"/>
          <w:lang w:val="en-GB"/>
        </w:rPr>
      </w:pPr>
      <w:r w:rsidRPr="00C9302A">
        <w:rPr>
          <w:rFonts w:ascii="Avenir Next" w:hAnsi="Avenir Next" w:cs="Arial"/>
          <w:color w:val="808080" w:themeColor="background1" w:themeShade="80"/>
          <w:sz w:val="22"/>
          <w:szCs w:val="22"/>
          <w:lang w:val="en-GB"/>
        </w:rPr>
        <w:t xml:space="preserve">The reliefs which can be granted by the courts of State A have to be qua </w:t>
      </w:r>
      <w:r w:rsidR="00093E94">
        <w:rPr>
          <w:rFonts w:ascii="Avenir Next" w:hAnsi="Avenir Next" w:cs="Arial"/>
          <w:color w:val="808080" w:themeColor="background1" w:themeShade="80"/>
          <w:sz w:val="22"/>
          <w:szCs w:val="22"/>
          <w:lang w:val="en-GB"/>
        </w:rPr>
        <w:t xml:space="preserve">the </w:t>
      </w:r>
      <w:r w:rsidRPr="00C9302A">
        <w:rPr>
          <w:rFonts w:ascii="Avenir Next" w:hAnsi="Avenir Next" w:cs="Arial"/>
          <w:color w:val="808080" w:themeColor="background1" w:themeShade="80"/>
          <w:sz w:val="22"/>
          <w:szCs w:val="22"/>
          <w:lang w:val="en-GB"/>
        </w:rPr>
        <w:t>requests which show case</w:t>
      </w:r>
      <w:r w:rsidR="00EC459F" w:rsidRPr="00C9302A">
        <w:rPr>
          <w:rFonts w:ascii="Avenir Next" w:hAnsi="Avenir Next" w:cs="Arial"/>
          <w:color w:val="808080" w:themeColor="background1" w:themeShade="80"/>
          <w:sz w:val="22"/>
          <w:szCs w:val="22"/>
          <w:lang w:val="en-GB"/>
        </w:rPr>
        <w:t xml:space="preserve"> ‘urgency’ and needless to add</w:t>
      </w:r>
      <w:r w:rsidR="00AD1819">
        <w:rPr>
          <w:rFonts w:ascii="Avenir Next" w:hAnsi="Avenir Next" w:cs="Arial"/>
          <w:color w:val="808080" w:themeColor="background1" w:themeShade="80"/>
          <w:sz w:val="22"/>
          <w:szCs w:val="22"/>
          <w:lang w:val="en-GB"/>
        </w:rPr>
        <w:t xml:space="preserve">, </w:t>
      </w:r>
      <w:r w:rsidR="00EC459F" w:rsidRPr="00C9302A">
        <w:rPr>
          <w:rFonts w:ascii="Avenir Next" w:hAnsi="Avenir Next" w:cs="Arial"/>
          <w:color w:val="808080" w:themeColor="background1" w:themeShade="80"/>
          <w:sz w:val="22"/>
          <w:szCs w:val="22"/>
          <w:lang w:val="en-GB"/>
        </w:rPr>
        <w:t xml:space="preserve">the grant thereof is </w:t>
      </w:r>
      <w:r w:rsidR="00656B73" w:rsidRPr="00C9302A">
        <w:rPr>
          <w:rFonts w:ascii="Avenir Next" w:hAnsi="Avenir Next" w:cs="Arial"/>
          <w:color w:val="808080" w:themeColor="background1" w:themeShade="80"/>
          <w:sz w:val="22"/>
          <w:szCs w:val="22"/>
          <w:lang w:val="en-GB"/>
        </w:rPr>
        <w:t>discretionary</w:t>
      </w:r>
      <w:r w:rsidR="00EC459F" w:rsidRPr="00C9302A">
        <w:rPr>
          <w:rFonts w:ascii="Avenir Next" w:hAnsi="Avenir Next" w:cs="Arial"/>
          <w:color w:val="808080" w:themeColor="background1" w:themeShade="80"/>
          <w:sz w:val="22"/>
          <w:szCs w:val="22"/>
          <w:lang w:val="en-GB"/>
        </w:rPr>
        <w:t xml:space="preserve"> in nature. </w:t>
      </w:r>
      <w:r w:rsidR="005A66D3" w:rsidRPr="00C9302A">
        <w:rPr>
          <w:rFonts w:ascii="Avenir Next" w:hAnsi="Avenir Next" w:cs="Arial"/>
          <w:color w:val="808080" w:themeColor="background1" w:themeShade="80"/>
          <w:sz w:val="22"/>
          <w:szCs w:val="22"/>
          <w:lang w:val="en-GB"/>
        </w:rPr>
        <w:t xml:space="preserve">Additionally, these are in the nature of ‘collective reliefs’ </w:t>
      </w:r>
      <w:r w:rsidR="00656B73" w:rsidRPr="00C9302A">
        <w:rPr>
          <w:rFonts w:ascii="Avenir Next" w:hAnsi="Avenir Next" w:cs="Arial"/>
          <w:color w:val="808080" w:themeColor="background1" w:themeShade="80"/>
          <w:sz w:val="22"/>
          <w:szCs w:val="22"/>
          <w:lang w:val="en-GB"/>
        </w:rPr>
        <w:t>as they may be required</w:t>
      </w:r>
      <w:r w:rsidR="00093E94">
        <w:rPr>
          <w:rFonts w:ascii="Avenir Next" w:hAnsi="Avenir Next" w:cs="Arial"/>
          <w:color w:val="808080" w:themeColor="background1" w:themeShade="80"/>
          <w:sz w:val="22"/>
          <w:szCs w:val="22"/>
          <w:lang w:val="en-GB"/>
        </w:rPr>
        <w:t>,</w:t>
      </w:r>
      <w:r w:rsidR="00656B73" w:rsidRPr="00C9302A">
        <w:rPr>
          <w:rFonts w:ascii="Avenir Next" w:hAnsi="Avenir Next" w:cs="Arial"/>
          <w:color w:val="808080" w:themeColor="background1" w:themeShade="80"/>
          <w:sz w:val="22"/>
          <w:szCs w:val="22"/>
          <w:lang w:val="en-GB"/>
        </w:rPr>
        <w:t xml:space="preserve"> </w:t>
      </w:r>
      <w:r w:rsidR="00C66017" w:rsidRPr="00C9302A">
        <w:rPr>
          <w:rFonts w:ascii="Avenir Next" w:hAnsi="Avenir Next" w:cs="Arial"/>
          <w:color w:val="808080" w:themeColor="background1" w:themeShade="80"/>
          <w:sz w:val="22"/>
          <w:szCs w:val="22"/>
          <w:lang w:val="en-GB"/>
        </w:rPr>
        <w:t xml:space="preserve">before a decision on the recognition can be </w:t>
      </w:r>
      <w:r w:rsidR="008A5BFC" w:rsidRPr="00C9302A">
        <w:rPr>
          <w:rFonts w:ascii="Avenir Next" w:hAnsi="Avenir Next" w:cs="Arial"/>
          <w:color w:val="808080" w:themeColor="background1" w:themeShade="80"/>
          <w:sz w:val="22"/>
          <w:szCs w:val="22"/>
          <w:lang w:val="en-GB"/>
        </w:rPr>
        <w:t>taken</w:t>
      </w:r>
      <w:r w:rsidR="00C66017" w:rsidRPr="00C9302A">
        <w:rPr>
          <w:rFonts w:ascii="Avenir Next" w:hAnsi="Avenir Next" w:cs="Arial"/>
          <w:color w:val="808080" w:themeColor="background1" w:themeShade="80"/>
          <w:sz w:val="22"/>
          <w:szCs w:val="22"/>
          <w:lang w:val="en-GB"/>
        </w:rPr>
        <w:t xml:space="preserve"> to protect the ass</w:t>
      </w:r>
      <w:r w:rsidR="00093E94">
        <w:rPr>
          <w:rFonts w:ascii="Avenir Next" w:hAnsi="Avenir Next" w:cs="Arial"/>
          <w:color w:val="808080" w:themeColor="background1" w:themeShade="80"/>
          <w:sz w:val="22"/>
          <w:szCs w:val="22"/>
          <w:lang w:val="en-GB"/>
        </w:rPr>
        <w:t>e</w:t>
      </w:r>
      <w:r w:rsidR="00C66017" w:rsidRPr="00C9302A">
        <w:rPr>
          <w:rFonts w:ascii="Avenir Next" w:hAnsi="Avenir Next" w:cs="Arial"/>
          <w:color w:val="808080" w:themeColor="background1" w:themeShade="80"/>
          <w:sz w:val="22"/>
          <w:szCs w:val="22"/>
          <w:lang w:val="en-GB"/>
        </w:rPr>
        <w:t xml:space="preserve">ts of the </w:t>
      </w:r>
      <w:r w:rsidR="00AD1819">
        <w:rPr>
          <w:rFonts w:ascii="Avenir Next" w:hAnsi="Avenir Next" w:cs="Arial"/>
          <w:color w:val="808080" w:themeColor="background1" w:themeShade="80"/>
          <w:sz w:val="22"/>
          <w:szCs w:val="22"/>
          <w:lang w:val="en-GB"/>
        </w:rPr>
        <w:t xml:space="preserve">Debtor </w:t>
      </w:r>
      <w:r w:rsidR="00222759" w:rsidRPr="00C9302A">
        <w:rPr>
          <w:rFonts w:ascii="Avenir Next" w:hAnsi="Avenir Next" w:cs="Arial"/>
          <w:color w:val="808080" w:themeColor="background1" w:themeShade="80"/>
          <w:sz w:val="22"/>
          <w:szCs w:val="22"/>
          <w:lang w:val="en-GB"/>
        </w:rPr>
        <w:t>and the interests of the creditors in State A</w:t>
      </w:r>
      <w:r w:rsidR="00C07EDD" w:rsidRPr="00FE306E">
        <w:rPr>
          <w:rStyle w:val="FootnoteReference"/>
          <w:rFonts w:ascii="Avenir Next" w:hAnsi="Avenir Next" w:cs="Arial"/>
          <w:color w:val="808080" w:themeColor="background1" w:themeShade="80"/>
          <w:sz w:val="22"/>
          <w:szCs w:val="22"/>
          <w:lang w:val="en-GB"/>
        </w:rPr>
        <w:footnoteReference w:id="42"/>
      </w:r>
      <w:r w:rsidR="00222759" w:rsidRPr="00C9302A">
        <w:rPr>
          <w:rFonts w:ascii="Avenir Next" w:hAnsi="Avenir Next" w:cs="Arial"/>
          <w:color w:val="808080" w:themeColor="background1" w:themeShade="80"/>
          <w:sz w:val="22"/>
          <w:szCs w:val="22"/>
          <w:lang w:val="en-GB"/>
        </w:rPr>
        <w:t>.</w:t>
      </w:r>
      <w:r w:rsidR="00030E01" w:rsidRPr="00C9302A">
        <w:rPr>
          <w:rFonts w:ascii="Avenir Next" w:hAnsi="Avenir Next" w:cs="Arial"/>
          <w:color w:val="808080" w:themeColor="background1" w:themeShade="80"/>
          <w:sz w:val="22"/>
          <w:szCs w:val="22"/>
          <w:lang w:val="en-GB"/>
        </w:rPr>
        <w:t xml:space="preserve"> </w:t>
      </w:r>
      <w:r w:rsidR="0020519D">
        <w:rPr>
          <w:rFonts w:ascii="Avenir Next" w:hAnsi="Avenir Next" w:cs="Arial"/>
          <w:color w:val="808080" w:themeColor="background1" w:themeShade="80"/>
          <w:sz w:val="22"/>
          <w:szCs w:val="22"/>
          <w:lang w:val="en-GB"/>
        </w:rPr>
        <w:t>Resultantly, th</w:t>
      </w:r>
      <w:r w:rsidR="00237E7E">
        <w:rPr>
          <w:rFonts w:ascii="Avenir Next" w:hAnsi="Avenir Next" w:cs="Arial"/>
          <w:color w:val="808080" w:themeColor="background1" w:themeShade="80"/>
          <w:sz w:val="22"/>
          <w:szCs w:val="22"/>
          <w:lang w:val="en-GB"/>
        </w:rPr>
        <w:t xml:space="preserve">is restriction for the relief to be ‘collective’ </w:t>
      </w:r>
      <w:r w:rsidR="003701C3">
        <w:rPr>
          <w:rFonts w:ascii="Avenir Next" w:hAnsi="Avenir Next" w:cs="Arial"/>
          <w:color w:val="808080" w:themeColor="background1" w:themeShade="80"/>
          <w:sz w:val="22"/>
          <w:szCs w:val="22"/>
          <w:lang w:val="en-GB"/>
        </w:rPr>
        <w:t>a</w:t>
      </w:r>
      <w:r w:rsidR="00030E01" w:rsidRPr="00C9302A">
        <w:rPr>
          <w:rFonts w:ascii="Avenir Next" w:hAnsi="Avenir Next" w:cs="Arial"/>
          <w:color w:val="808080" w:themeColor="background1" w:themeShade="80"/>
          <w:sz w:val="22"/>
          <w:szCs w:val="22"/>
          <w:lang w:val="en-GB"/>
        </w:rPr>
        <w:t>s stated in Article 19</w:t>
      </w:r>
      <w:r w:rsidR="004B1ECA" w:rsidRPr="00C9302A">
        <w:rPr>
          <w:rFonts w:ascii="Avenir Next" w:hAnsi="Avenir Next" w:cs="Arial"/>
          <w:color w:val="808080" w:themeColor="background1" w:themeShade="80"/>
          <w:sz w:val="22"/>
          <w:szCs w:val="22"/>
          <w:lang w:val="en-GB"/>
        </w:rPr>
        <w:t xml:space="preserve">(3), are conditional or interim in nature and can terminate once the </w:t>
      </w:r>
      <w:r w:rsidR="00EB5AD1" w:rsidRPr="00C9302A">
        <w:rPr>
          <w:rFonts w:ascii="Avenir Next" w:hAnsi="Avenir Next" w:cs="Arial"/>
          <w:color w:val="808080" w:themeColor="background1" w:themeShade="80"/>
          <w:sz w:val="22"/>
          <w:szCs w:val="22"/>
          <w:lang w:val="en-GB"/>
        </w:rPr>
        <w:t>recognition application is allowed. Also, in relation to Article 19(4), it should be noted that</w:t>
      </w:r>
      <w:r w:rsidR="00502EFF" w:rsidRPr="00C9302A">
        <w:rPr>
          <w:rFonts w:ascii="Avenir Next" w:hAnsi="Avenir Next" w:cs="Arial"/>
          <w:color w:val="808080" w:themeColor="background1" w:themeShade="80"/>
          <w:sz w:val="22"/>
          <w:szCs w:val="22"/>
          <w:lang w:val="en-GB"/>
        </w:rPr>
        <w:t xml:space="preserve"> (if applicable)</w:t>
      </w:r>
      <w:r w:rsidR="003701C3">
        <w:rPr>
          <w:rFonts w:ascii="Avenir Next" w:hAnsi="Avenir Next" w:cs="Arial"/>
          <w:color w:val="808080" w:themeColor="background1" w:themeShade="80"/>
          <w:sz w:val="22"/>
          <w:szCs w:val="22"/>
          <w:lang w:val="en-GB"/>
        </w:rPr>
        <w:t>,</w:t>
      </w:r>
      <w:r w:rsidR="00EB5AD1" w:rsidRPr="00C9302A">
        <w:rPr>
          <w:rFonts w:ascii="Avenir Next" w:hAnsi="Avenir Next" w:cs="Arial"/>
          <w:color w:val="808080" w:themeColor="background1" w:themeShade="80"/>
          <w:sz w:val="22"/>
          <w:szCs w:val="22"/>
          <w:lang w:val="en-GB"/>
        </w:rPr>
        <w:t xml:space="preserve"> if the reliefs th</w:t>
      </w:r>
      <w:r w:rsidR="00F84CE7" w:rsidRPr="00C9302A">
        <w:rPr>
          <w:rFonts w:ascii="Avenir Next" w:hAnsi="Avenir Next" w:cs="Arial"/>
          <w:color w:val="808080" w:themeColor="background1" w:themeShade="80"/>
          <w:sz w:val="22"/>
          <w:szCs w:val="22"/>
          <w:lang w:val="en-GB"/>
        </w:rPr>
        <w:t>at are be</w:t>
      </w:r>
      <w:r w:rsidR="006F2E7A" w:rsidRPr="00C9302A">
        <w:rPr>
          <w:rFonts w:ascii="Avenir Next" w:hAnsi="Avenir Next" w:cs="Arial"/>
          <w:color w:val="808080" w:themeColor="background1" w:themeShade="80"/>
          <w:sz w:val="22"/>
          <w:szCs w:val="22"/>
          <w:lang w:val="en-GB"/>
        </w:rPr>
        <w:t xml:space="preserve">ing asked for in a </w:t>
      </w:r>
      <w:r w:rsidR="00502EFF" w:rsidRPr="00C9302A">
        <w:rPr>
          <w:rFonts w:ascii="Avenir Next" w:hAnsi="Avenir Next" w:cs="Arial"/>
          <w:color w:val="808080" w:themeColor="background1" w:themeShade="80"/>
          <w:sz w:val="22"/>
          <w:szCs w:val="22"/>
          <w:lang w:val="en-GB"/>
        </w:rPr>
        <w:t>foreign non-main proceeding,</w:t>
      </w:r>
      <w:r w:rsidR="006F2E7A" w:rsidRPr="00C9302A">
        <w:rPr>
          <w:rFonts w:ascii="Avenir Next" w:hAnsi="Avenir Next" w:cs="Arial"/>
          <w:color w:val="808080" w:themeColor="background1" w:themeShade="80"/>
          <w:sz w:val="22"/>
          <w:szCs w:val="22"/>
          <w:lang w:val="en-GB"/>
        </w:rPr>
        <w:t xml:space="preserve"> then the court in State A has to make sure that the same are consistent with</w:t>
      </w:r>
      <w:r w:rsidR="00502EFF" w:rsidRPr="00C9302A">
        <w:rPr>
          <w:rFonts w:ascii="Avenir Next" w:hAnsi="Avenir Next" w:cs="Arial"/>
          <w:color w:val="808080" w:themeColor="background1" w:themeShade="80"/>
          <w:sz w:val="22"/>
          <w:szCs w:val="22"/>
          <w:lang w:val="en-GB"/>
        </w:rPr>
        <w:t xml:space="preserve"> the foreign main proceedings</w:t>
      </w:r>
      <w:r w:rsidR="00D56652" w:rsidRPr="00C9302A">
        <w:rPr>
          <w:rFonts w:ascii="Avenir Next" w:hAnsi="Avenir Next" w:cs="Arial"/>
          <w:color w:val="808080" w:themeColor="background1" w:themeShade="80"/>
          <w:sz w:val="22"/>
          <w:szCs w:val="22"/>
          <w:lang w:val="en-GB"/>
        </w:rPr>
        <w:t xml:space="preserve">. </w:t>
      </w:r>
      <w:r w:rsidR="00324A44" w:rsidRPr="00C9302A">
        <w:rPr>
          <w:rFonts w:ascii="Avenir Next" w:hAnsi="Avenir Next" w:cs="Arial"/>
          <w:color w:val="808080" w:themeColor="background1" w:themeShade="80"/>
          <w:sz w:val="22"/>
          <w:szCs w:val="22"/>
          <w:lang w:val="en-GB"/>
        </w:rPr>
        <w:t xml:space="preserve">The ‘assets in jeopardy’ concept that has been referred to </w:t>
      </w:r>
      <w:r w:rsidR="00C9302A">
        <w:rPr>
          <w:rFonts w:ascii="Avenir Next" w:hAnsi="Avenir Next" w:cs="Arial"/>
          <w:color w:val="808080" w:themeColor="background1" w:themeShade="80"/>
          <w:sz w:val="22"/>
          <w:szCs w:val="22"/>
          <w:lang w:val="en-GB"/>
        </w:rPr>
        <w:t>under Article 19(1)(</w:t>
      </w:r>
      <w:r w:rsidR="00B85C94">
        <w:rPr>
          <w:rFonts w:ascii="Avenir Next" w:hAnsi="Avenir Next" w:cs="Arial"/>
          <w:color w:val="808080" w:themeColor="background1" w:themeShade="80"/>
          <w:sz w:val="22"/>
          <w:szCs w:val="22"/>
          <w:lang w:val="en-GB"/>
        </w:rPr>
        <w:t>a</w:t>
      </w:r>
      <w:r w:rsidR="00C9302A">
        <w:rPr>
          <w:rFonts w:ascii="Avenir Next" w:hAnsi="Avenir Next" w:cs="Arial"/>
          <w:color w:val="808080" w:themeColor="background1" w:themeShade="80"/>
          <w:sz w:val="22"/>
          <w:szCs w:val="22"/>
          <w:lang w:val="en-GB"/>
        </w:rPr>
        <w:t>)</w:t>
      </w:r>
      <w:r w:rsidR="00B85C94">
        <w:rPr>
          <w:rFonts w:ascii="Avenir Next" w:hAnsi="Avenir Next" w:cs="Arial"/>
          <w:color w:val="808080" w:themeColor="background1" w:themeShade="80"/>
          <w:sz w:val="22"/>
          <w:szCs w:val="22"/>
          <w:lang w:val="en-GB"/>
        </w:rPr>
        <w:t xml:space="preserve"> and Article 19(1)(b)</w:t>
      </w:r>
      <w:r w:rsidR="00C9302A">
        <w:rPr>
          <w:rFonts w:ascii="Avenir Next" w:hAnsi="Avenir Next" w:cs="Arial"/>
          <w:color w:val="808080" w:themeColor="background1" w:themeShade="80"/>
          <w:sz w:val="22"/>
          <w:szCs w:val="22"/>
          <w:lang w:val="en-GB"/>
        </w:rPr>
        <w:t>,</w:t>
      </w:r>
      <w:r w:rsidR="009E3E41">
        <w:rPr>
          <w:rFonts w:ascii="Avenir Next" w:hAnsi="Avenir Next" w:cs="Arial"/>
          <w:color w:val="808080" w:themeColor="background1" w:themeShade="80"/>
          <w:sz w:val="22"/>
          <w:szCs w:val="22"/>
          <w:lang w:val="en-GB"/>
        </w:rPr>
        <w:t xml:space="preserve"> has been held to include circumstances by creditors to possess and control the assets of the debtor, actions qua ipso facto clauses</w:t>
      </w:r>
      <w:r w:rsidR="000A5D69">
        <w:rPr>
          <w:rFonts w:ascii="Avenir Next" w:hAnsi="Avenir Next" w:cs="Arial"/>
          <w:color w:val="808080" w:themeColor="background1" w:themeShade="80"/>
          <w:sz w:val="22"/>
          <w:szCs w:val="22"/>
          <w:lang w:val="en-GB"/>
        </w:rPr>
        <w:t>, tightening of credit terms</w:t>
      </w:r>
      <w:r w:rsidR="003149F9">
        <w:rPr>
          <w:rFonts w:ascii="Avenir Next" w:hAnsi="Avenir Next" w:cs="Arial"/>
          <w:color w:val="808080" w:themeColor="background1" w:themeShade="80"/>
          <w:sz w:val="22"/>
          <w:szCs w:val="22"/>
          <w:lang w:val="en-GB"/>
        </w:rPr>
        <w:t xml:space="preserve">, </w:t>
      </w:r>
      <w:r w:rsidR="00B85C94">
        <w:rPr>
          <w:rFonts w:ascii="Avenir Next" w:hAnsi="Avenir Next" w:cs="Arial"/>
          <w:color w:val="808080" w:themeColor="background1" w:themeShade="80"/>
          <w:sz w:val="22"/>
          <w:szCs w:val="22"/>
          <w:lang w:val="en-GB"/>
        </w:rPr>
        <w:t>or any other actions that are deemed to be detrimental to the health of the corporate debtor</w:t>
      </w:r>
      <w:r w:rsidR="000B1DBE">
        <w:rPr>
          <w:rStyle w:val="FootnoteReference"/>
          <w:rFonts w:ascii="Avenir Next" w:hAnsi="Avenir Next" w:cs="Arial"/>
          <w:color w:val="808080" w:themeColor="background1" w:themeShade="80"/>
          <w:sz w:val="22"/>
          <w:szCs w:val="22"/>
          <w:lang w:val="en-GB"/>
        </w:rPr>
        <w:footnoteReference w:id="43"/>
      </w:r>
      <w:r w:rsidR="00B85C94">
        <w:rPr>
          <w:rFonts w:ascii="Avenir Next" w:hAnsi="Avenir Next" w:cs="Arial"/>
          <w:color w:val="808080" w:themeColor="background1" w:themeShade="80"/>
          <w:sz w:val="22"/>
          <w:szCs w:val="22"/>
          <w:lang w:val="en-GB"/>
        </w:rPr>
        <w:t xml:space="preserve">. </w:t>
      </w:r>
      <w:r w:rsidR="000C13D3">
        <w:rPr>
          <w:rFonts w:ascii="Avenir Next" w:hAnsi="Avenir Next" w:cs="Arial"/>
          <w:color w:val="808080" w:themeColor="background1" w:themeShade="80"/>
          <w:sz w:val="22"/>
          <w:szCs w:val="22"/>
          <w:lang w:val="en-GB"/>
        </w:rPr>
        <w:t xml:space="preserve">It has also been suggested time and again that the nature of interim and pre-recognition reliefs under Article 19 are not exhaustive </w:t>
      </w:r>
      <w:r w:rsidR="001A0D3B">
        <w:rPr>
          <w:rFonts w:ascii="Avenir Next" w:hAnsi="Avenir Next" w:cs="Arial"/>
          <w:color w:val="808080" w:themeColor="background1" w:themeShade="80"/>
          <w:sz w:val="22"/>
          <w:szCs w:val="22"/>
          <w:lang w:val="en-GB"/>
        </w:rPr>
        <w:t xml:space="preserve">and can be tailored and dependant on the fact so the case. </w:t>
      </w:r>
      <w:r w:rsidR="00FE5E70" w:rsidRPr="00FE5E70">
        <w:rPr>
          <w:rFonts w:ascii="Avenir Next" w:hAnsi="Avenir Next" w:cs="Arial"/>
          <w:color w:val="808080" w:themeColor="background1" w:themeShade="80"/>
          <w:sz w:val="22"/>
          <w:szCs w:val="22"/>
          <w:lang w:val="en-GB"/>
        </w:rPr>
        <w:t>In addition to addressing the possibility that interim relief might be subjected to conditions the court thinks appropriate</w:t>
      </w:r>
      <w:r w:rsidR="00FE5E70">
        <w:rPr>
          <w:rStyle w:val="FootnoteReference"/>
          <w:rFonts w:ascii="Avenir Next" w:hAnsi="Avenir Next" w:cs="Arial"/>
          <w:color w:val="808080" w:themeColor="background1" w:themeShade="80"/>
          <w:sz w:val="22"/>
          <w:szCs w:val="22"/>
          <w:lang w:val="en-GB"/>
        </w:rPr>
        <w:footnoteReference w:id="44"/>
      </w:r>
      <w:r w:rsidR="00FE5E70">
        <w:rPr>
          <w:rFonts w:ascii="Avenir Next" w:hAnsi="Avenir Next" w:cs="Arial"/>
          <w:color w:val="808080" w:themeColor="background1" w:themeShade="80"/>
          <w:sz w:val="22"/>
          <w:szCs w:val="22"/>
          <w:lang w:val="en-GB"/>
        </w:rPr>
        <w:t>.</w:t>
      </w:r>
    </w:p>
    <w:p w14:paraId="0291F78F" w14:textId="77777777" w:rsidR="00B03264" w:rsidRDefault="00B03264" w:rsidP="00B03264">
      <w:pPr>
        <w:jc w:val="both"/>
        <w:rPr>
          <w:rFonts w:ascii="Avenir Next" w:hAnsi="Avenir Next" w:cs="Arial"/>
          <w:sz w:val="22"/>
          <w:szCs w:val="22"/>
          <w:lang w:val="en-GB"/>
        </w:rPr>
      </w:pPr>
    </w:p>
    <w:p w14:paraId="3CAED5FE" w14:textId="20CAFF2D" w:rsidR="00B03264" w:rsidRDefault="00B03264" w:rsidP="00B03264">
      <w:pPr>
        <w:jc w:val="both"/>
        <w:rPr>
          <w:rFonts w:ascii="Avenir Next" w:hAnsi="Avenir Next" w:cs="Arial"/>
          <w:color w:val="808080" w:themeColor="background1" w:themeShade="80"/>
          <w:sz w:val="22"/>
          <w:szCs w:val="22"/>
          <w:lang w:val="en-GB"/>
        </w:rPr>
      </w:pPr>
      <w:r w:rsidRPr="00A80EC9">
        <w:rPr>
          <w:rFonts w:ascii="Avenir Next" w:hAnsi="Avenir Next" w:cs="Arial"/>
          <w:color w:val="808080" w:themeColor="background1" w:themeShade="80"/>
          <w:sz w:val="22"/>
          <w:szCs w:val="22"/>
          <w:lang w:val="en-GB"/>
        </w:rPr>
        <w:t xml:space="preserve">The </w:t>
      </w:r>
      <w:r w:rsidR="001E5EBA" w:rsidRPr="00A80EC9">
        <w:rPr>
          <w:rFonts w:ascii="Avenir Next" w:hAnsi="Avenir Next" w:cs="Arial"/>
          <w:color w:val="808080" w:themeColor="background1" w:themeShade="80"/>
          <w:sz w:val="22"/>
          <w:szCs w:val="22"/>
          <w:lang w:val="en-GB"/>
        </w:rPr>
        <w:t>details in relation the reliefs post recognition are as follows:</w:t>
      </w:r>
    </w:p>
    <w:p w14:paraId="4C5D9A12" w14:textId="77777777" w:rsidR="008F6DA0" w:rsidRPr="00A80EC9" w:rsidRDefault="008F6DA0" w:rsidP="00B03264">
      <w:pPr>
        <w:jc w:val="both"/>
        <w:rPr>
          <w:rFonts w:ascii="Avenir Next" w:hAnsi="Avenir Next" w:cs="Arial"/>
          <w:color w:val="808080" w:themeColor="background1" w:themeShade="80"/>
          <w:sz w:val="22"/>
          <w:szCs w:val="22"/>
          <w:lang w:val="en-GB"/>
        </w:rPr>
      </w:pPr>
    </w:p>
    <w:p w14:paraId="37279CFF" w14:textId="022FB6F9" w:rsidR="001E5EBA" w:rsidRPr="00A80EC9" w:rsidRDefault="001E5EBA" w:rsidP="001E5EBA">
      <w:pPr>
        <w:pStyle w:val="ListParagraph"/>
        <w:numPr>
          <w:ilvl w:val="0"/>
          <w:numId w:val="19"/>
        </w:numPr>
        <w:jc w:val="both"/>
        <w:rPr>
          <w:rFonts w:ascii="Avenir Next" w:hAnsi="Avenir Next" w:cs="Arial"/>
          <w:color w:val="808080" w:themeColor="background1" w:themeShade="80"/>
          <w:sz w:val="22"/>
          <w:szCs w:val="22"/>
          <w:lang w:val="en-GB"/>
        </w:rPr>
      </w:pPr>
      <w:r w:rsidRPr="00A80EC9">
        <w:rPr>
          <w:rFonts w:ascii="Avenir Next" w:hAnsi="Avenir Next" w:cs="Arial"/>
          <w:color w:val="808080" w:themeColor="background1" w:themeShade="80"/>
          <w:sz w:val="22"/>
          <w:szCs w:val="22"/>
          <w:lang w:val="en-GB"/>
        </w:rPr>
        <w:t xml:space="preserve">Assuming that </w:t>
      </w:r>
      <w:r w:rsidR="00434CA0" w:rsidRPr="00A80EC9">
        <w:rPr>
          <w:rFonts w:ascii="Avenir Next" w:hAnsi="Avenir Next" w:cs="Arial"/>
          <w:color w:val="808080" w:themeColor="background1" w:themeShade="80"/>
          <w:sz w:val="22"/>
          <w:szCs w:val="22"/>
          <w:lang w:val="en-GB"/>
        </w:rPr>
        <w:t xml:space="preserve">the Debtor has its </w:t>
      </w:r>
      <w:proofErr w:type="spellStart"/>
      <w:r w:rsidR="00434CA0" w:rsidRPr="00A80EC9">
        <w:rPr>
          <w:rFonts w:ascii="Avenir Next" w:hAnsi="Avenir Next" w:cs="Arial"/>
          <w:color w:val="808080" w:themeColor="background1" w:themeShade="80"/>
          <w:sz w:val="22"/>
          <w:szCs w:val="22"/>
          <w:lang w:val="en-GB"/>
        </w:rPr>
        <w:t>center</w:t>
      </w:r>
      <w:proofErr w:type="spellEnd"/>
      <w:r w:rsidR="00434CA0" w:rsidRPr="00A80EC9">
        <w:rPr>
          <w:rFonts w:ascii="Avenir Next" w:hAnsi="Avenir Next" w:cs="Arial"/>
          <w:color w:val="808080" w:themeColor="background1" w:themeShade="80"/>
          <w:sz w:val="22"/>
          <w:szCs w:val="22"/>
          <w:lang w:val="en-GB"/>
        </w:rPr>
        <w:t xml:space="preserve"> of main interest in State B, and the foreign proceedings are recognised as foreign main proceedings in State A</w:t>
      </w:r>
      <w:r w:rsidR="007D1A01" w:rsidRPr="00A80EC9">
        <w:rPr>
          <w:rFonts w:ascii="Avenir Next" w:hAnsi="Avenir Next" w:cs="Arial"/>
          <w:color w:val="808080" w:themeColor="background1" w:themeShade="80"/>
          <w:sz w:val="22"/>
          <w:szCs w:val="22"/>
          <w:lang w:val="en-GB"/>
        </w:rPr>
        <w:t xml:space="preserve"> pursuant to the recognition application, there are certain reliefs under Article 20 of the Model Law, </w:t>
      </w:r>
      <w:r w:rsidR="001D2B06" w:rsidRPr="00A80EC9">
        <w:rPr>
          <w:rFonts w:ascii="Avenir Next" w:hAnsi="Avenir Next" w:cs="Arial"/>
          <w:color w:val="808080" w:themeColor="background1" w:themeShade="80"/>
          <w:sz w:val="22"/>
          <w:szCs w:val="22"/>
          <w:lang w:val="en-GB"/>
        </w:rPr>
        <w:t xml:space="preserve">such as </w:t>
      </w:r>
      <w:r w:rsidR="00232AC3" w:rsidRPr="00A80EC9">
        <w:rPr>
          <w:rFonts w:ascii="Avenir Next" w:hAnsi="Avenir Next" w:cs="Arial"/>
          <w:color w:val="808080" w:themeColor="background1" w:themeShade="80"/>
          <w:sz w:val="22"/>
          <w:szCs w:val="22"/>
          <w:lang w:val="en-GB"/>
        </w:rPr>
        <w:t>stay on the commencement or continuation of individual actions against the debtor’s assets</w:t>
      </w:r>
      <w:r w:rsidR="000A6F22" w:rsidRPr="00A80EC9">
        <w:rPr>
          <w:rFonts w:ascii="Avenir Next" w:hAnsi="Avenir Next" w:cs="Arial"/>
          <w:color w:val="808080" w:themeColor="background1" w:themeShade="80"/>
          <w:sz w:val="22"/>
          <w:szCs w:val="22"/>
          <w:lang w:val="en-GB"/>
        </w:rPr>
        <w:t>, rights obligations or liabilities</w:t>
      </w:r>
      <w:r w:rsidR="000A6F22" w:rsidRPr="00A80EC9">
        <w:rPr>
          <w:rStyle w:val="FootnoteReference"/>
          <w:rFonts w:ascii="Avenir Next" w:hAnsi="Avenir Next" w:cs="Arial"/>
          <w:color w:val="808080" w:themeColor="background1" w:themeShade="80"/>
          <w:sz w:val="22"/>
          <w:szCs w:val="22"/>
          <w:lang w:val="en-GB"/>
        </w:rPr>
        <w:footnoteReference w:id="45"/>
      </w:r>
      <w:r w:rsidR="000A6F22" w:rsidRPr="00A80EC9">
        <w:rPr>
          <w:rFonts w:ascii="Avenir Next" w:hAnsi="Avenir Next" w:cs="Arial"/>
          <w:color w:val="808080" w:themeColor="background1" w:themeShade="80"/>
          <w:sz w:val="22"/>
          <w:szCs w:val="22"/>
          <w:lang w:val="en-GB"/>
        </w:rPr>
        <w:t>,</w:t>
      </w:r>
      <w:r w:rsidR="00A530F0" w:rsidRPr="00A80EC9">
        <w:rPr>
          <w:rFonts w:ascii="Avenir Next" w:hAnsi="Avenir Next" w:cs="Arial"/>
          <w:color w:val="808080" w:themeColor="background1" w:themeShade="80"/>
          <w:sz w:val="22"/>
          <w:szCs w:val="22"/>
          <w:lang w:val="en-GB"/>
        </w:rPr>
        <w:t xml:space="preserve"> stay qua execution against the debtor’s assets</w:t>
      </w:r>
      <w:r w:rsidR="00A530F0" w:rsidRPr="00A80EC9">
        <w:rPr>
          <w:rStyle w:val="FootnoteReference"/>
          <w:rFonts w:ascii="Avenir Next" w:hAnsi="Avenir Next" w:cs="Arial"/>
          <w:color w:val="808080" w:themeColor="background1" w:themeShade="80"/>
          <w:sz w:val="22"/>
          <w:szCs w:val="22"/>
          <w:lang w:val="en-GB"/>
        </w:rPr>
        <w:footnoteReference w:id="46"/>
      </w:r>
      <w:r w:rsidR="00A530F0" w:rsidRPr="00A80EC9">
        <w:rPr>
          <w:rFonts w:ascii="Avenir Next" w:hAnsi="Avenir Next" w:cs="Arial"/>
          <w:color w:val="808080" w:themeColor="background1" w:themeShade="80"/>
          <w:sz w:val="22"/>
          <w:szCs w:val="22"/>
          <w:lang w:val="en-GB"/>
        </w:rPr>
        <w:t>, sus</w:t>
      </w:r>
      <w:r w:rsidR="002803F4" w:rsidRPr="00A80EC9">
        <w:rPr>
          <w:rFonts w:ascii="Avenir Next" w:hAnsi="Avenir Next" w:cs="Arial"/>
          <w:color w:val="808080" w:themeColor="background1" w:themeShade="80"/>
          <w:sz w:val="22"/>
          <w:szCs w:val="22"/>
          <w:lang w:val="en-GB"/>
        </w:rPr>
        <w:t xml:space="preserve">pension of the debtors right to transfer, encumber or dispose </w:t>
      </w:r>
      <w:proofErr w:type="spellStart"/>
      <w:r w:rsidR="002803F4" w:rsidRPr="00A80EC9">
        <w:rPr>
          <w:rFonts w:ascii="Avenir Next" w:hAnsi="Avenir Next" w:cs="Arial"/>
          <w:color w:val="808080" w:themeColor="background1" w:themeShade="80"/>
          <w:sz w:val="22"/>
          <w:szCs w:val="22"/>
          <w:lang w:val="en-GB"/>
        </w:rPr>
        <w:t>off</w:t>
      </w:r>
      <w:proofErr w:type="spellEnd"/>
      <w:r w:rsidR="002803F4" w:rsidRPr="00A80EC9">
        <w:rPr>
          <w:rFonts w:ascii="Avenir Next" w:hAnsi="Avenir Next" w:cs="Arial"/>
          <w:color w:val="808080" w:themeColor="background1" w:themeShade="80"/>
          <w:sz w:val="22"/>
          <w:szCs w:val="22"/>
          <w:lang w:val="en-GB"/>
        </w:rPr>
        <w:t xml:space="preserve"> its assets</w:t>
      </w:r>
      <w:r w:rsidR="002803F4" w:rsidRPr="00A80EC9">
        <w:rPr>
          <w:rStyle w:val="FootnoteReference"/>
          <w:rFonts w:ascii="Avenir Next" w:hAnsi="Avenir Next" w:cs="Arial"/>
          <w:color w:val="808080" w:themeColor="background1" w:themeShade="80"/>
          <w:sz w:val="22"/>
          <w:szCs w:val="22"/>
          <w:lang w:val="en-GB"/>
        </w:rPr>
        <w:footnoteReference w:id="47"/>
      </w:r>
      <w:r w:rsidR="00FA1579" w:rsidRPr="00A80EC9">
        <w:rPr>
          <w:rFonts w:ascii="Avenir Next" w:hAnsi="Avenir Next" w:cs="Arial"/>
          <w:color w:val="808080" w:themeColor="background1" w:themeShade="80"/>
          <w:sz w:val="22"/>
          <w:szCs w:val="22"/>
          <w:lang w:val="en-GB"/>
        </w:rPr>
        <w:t xml:space="preserve">. Article 20(2), makes the </w:t>
      </w:r>
      <w:r w:rsidR="00E609D0" w:rsidRPr="00A80EC9">
        <w:rPr>
          <w:rFonts w:ascii="Avenir Next" w:hAnsi="Avenir Next" w:cs="Arial"/>
          <w:color w:val="808080" w:themeColor="background1" w:themeShade="80"/>
          <w:sz w:val="22"/>
          <w:szCs w:val="22"/>
          <w:lang w:val="en-GB"/>
        </w:rPr>
        <w:t>scope of the aforementioned reliefs subject to t</w:t>
      </w:r>
      <w:r w:rsidR="000C4BC5" w:rsidRPr="00A80EC9">
        <w:rPr>
          <w:rFonts w:ascii="Avenir Next" w:hAnsi="Avenir Next" w:cs="Arial"/>
          <w:color w:val="808080" w:themeColor="background1" w:themeShade="80"/>
          <w:sz w:val="22"/>
          <w:szCs w:val="22"/>
          <w:lang w:val="en-GB"/>
        </w:rPr>
        <w:t xml:space="preserve">he insolvency law of State A, the enacting state at its </w:t>
      </w:r>
      <w:r w:rsidR="002F14DF" w:rsidRPr="00A80EC9">
        <w:rPr>
          <w:rFonts w:ascii="Avenir Next" w:hAnsi="Avenir Next" w:cs="Arial"/>
          <w:color w:val="808080" w:themeColor="background1" w:themeShade="80"/>
          <w:sz w:val="22"/>
          <w:szCs w:val="22"/>
          <w:lang w:val="en-GB"/>
        </w:rPr>
        <w:t>discretion</w:t>
      </w:r>
      <w:r w:rsidR="000C4BC5" w:rsidRPr="00A80EC9">
        <w:rPr>
          <w:rFonts w:ascii="Avenir Next" w:hAnsi="Avenir Next" w:cs="Arial"/>
          <w:color w:val="808080" w:themeColor="background1" w:themeShade="80"/>
          <w:sz w:val="22"/>
          <w:szCs w:val="22"/>
          <w:lang w:val="en-GB"/>
        </w:rPr>
        <w:t xml:space="preserve">. </w:t>
      </w:r>
      <w:r w:rsidR="002F14DF" w:rsidRPr="00A80EC9">
        <w:rPr>
          <w:rFonts w:ascii="Avenir Next" w:hAnsi="Avenir Next" w:cs="Arial"/>
          <w:color w:val="808080" w:themeColor="background1" w:themeShade="80"/>
          <w:sz w:val="22"/>
          <w:szCs w:val="22"/>
          <w:lang w:val="en-GB"/>
        </w:rPr>
        <w:t xml:space="preserve">The </w:t>
      </w:r>
      <w:r w:rsidR="00C8518E" w:rsidRPr="00A80EC9">
        <w:rPr>
          <w:rFonts w:ascii="Avenir Next" w:hAnsi="Avenir Next" w:cs="Arial"/>
          <w:color w:val="808080" w:themeColor="background1" w:themeShade="80"/>
          <w:sz w:val="22"/>
          <w:szCs w:val="22"/>
          <w:lang w:val="en-GB"/>
        </w:rPr>
        <w:t xml:space="preserve">reliefs that are granted under this Article are not </w:t>
      </w:r>
      <w:r w:rsidR="00482D53" w:rsidRPr="00A80EC9">
        <w:rPr>
          <w:rFonts w:ascii="Avenir Next" w:hAnsi="Avenir Next" w:cs="Arial"/>
          <w:color w:val="808080" w:themeColor="background1" w:themeShade="80"/>
          <w:sz w:val="22"/>
          <w:szCs w:val="22"/>
          <w:lang w:val="en-GB"/>
        </w:rPr>
        <w:t>discretionary</w:t>
      </w:r>
      <w:r w:rsidR="00FA5358">
        <w:rPr>
          <w:rFonts w:ascii="Avenir Next" w:hAnsi="Avenir Next" w:cs="Arial"/>
          <w:color w:val="808080" w:themeColor="background1" w:themeShade="80"/>
          <w:sz w:val="22"/>
          <w:szCs w:val="22"/>
          <w:lang w:val="en-GB"/>
        </w:rPr>
        <w:t xml:space="preserve"> but </w:t>
      </w:r>
      <w:r w:rsidR="00C8518E" w:rsidRPr="00A80EC9">
        <w:rPr>
          <w:rFonts w:ascii="Avenir Next" w:hAnsi="Avenir Next" w:cs="Arial"/>
          <w:color w:val="808080" w:themeColor="background1" w:themeShade="80"/>
          <w:sz w:val="22"/>
          <w:szCs w:val="22"/>
          <w:lang w:val="en-GB"/>
        </w:rPr>
        <w:t>automatic</w:t>
      </w:r>
      <w:r w:rsidR="00FA5358">
        <w:rPr>
          <w:rFonts w:ascii="Avenir Next" w:hAnsi="Avenir Next" w:cs="Arial"/>
          <w:color w:val="808080" w:themeColor="background1" w:themeShade="80"/>
          <w:sz w:val="22"/>
          <w:szCs w:val="22"/>
          <w:lang w:val="en-GB"/>
        </w:rPr>
        <w:t>,</w:t>
      </w:r>
      <w:r w:rsidR="00C8518E" w:rsidRPr="00A80EC9">
        <w:rPr>
          <w:rFonts w:ascii="Avenir Next" w:hAnsi="Avenir Next" w:cs="Arial"/>
          <w:color w:val="808080" w:themeColor="background1" w:themeShade="80"/>
          <w:sz w:val="22"/>
          <w:szCs w:val="22"/>
          <w:lang w:val="en-GB"/>
        </w:rPr>
        <w:t xml:space="preserve"> giving due respect to the fact that </w:t>
      </w:r>
      <w:r w:rsidR="00064CA2" w:rsidRPr="00A80EC9">
        <w:rPr>
          <w:rFonts w:ascii="Avenir Next" w:hAnsi="Avenir Next" w:cs="Arial"/>
          <w:color w:val="808080" w:themeColor="background1" w:themeShade="80"/>
          <w:sz w:val="22"/>
          <w:szCs w:val="22"/>
          <w:lang w:val="en-GB"/>
        </w:rPr>
        <w:t>proceedings in State A are only ancillary to the ones which are going on in State B</w:t>
      </w:r>
      <w:r w:rsidR="00C62032" w:rsidRPr="00A80EC9">
        <w:rPr>
          <w:rFonts w:ascii="Avenir Next" w:hAnsi="Avenir Next" w:cs="Arial"/>
          <w:color w:val="808080" w:themeColor="background1" w:themeShade="80"/>
          <w:sz w:val="22"/>
          <w:szCs w:val="22"/>
          <w:lang w:val="en-GB"/>
        </w:rPr>
        <w:t>, and this is approach reflects a basic principle underlying the Model Law according to which recognition of foreign proceedings by the court of the enacting State produces effects that are considered necessary for an orderly and fair conduct of a cross-border insolvency</w:t>
      </w:r>
      <w:r w:rsidR="00C62032" w:rsidRPr="00A80EC9">
        <w:rPr>
          <w:rStyle w:val="FootnoteReference"/>
          <w:rFonts w:ascii="Avenir Next" w:hAnsi="Avenir Next" w:cs="Arial"/>
          <w:color w:val="808080" w:themeColor="background1" w:themeShade="80"/>
          <w:sz w:val="22"/>
          <w:szCs w:val="22"/>
          <w:lang w:val="en-GB"/>
        </w:rPr>
        <w:footnoteReference w:id="48"/>
      </w:r>
      <w:r w:rsidR="00C62032" w:rsidRPr="00A80EC9">
        <w:rPr>
          <w:rFonts w:ascii="Avenir Next" w:hAnsi="Avenir Next" w:cs="Arial"/>
          <w:color w:val="808080" w:themeColor="background1" w:themeShade="80"/>
          <w:sz w:val="22"/>
          <w:szCs w:val="22"/>
          <w:lang w:val="en-GB"/>
        </w:rPr>
        <w:t>.</w:t>
      </w:r>
      <w:r w:rsidR="00AD13F4" w:rsidRPr="00A80EC9">
        <w:rPr>
          <w:rFonts w:ascii="Avenir Next" w:hAnsi="Avenir Next" w:cs="Arial"/>
          <w:color w:val="808080" w:themeColor="background1" w:themeShade="80"/>
          <w:sz w:val="22"/>
          <w:szCs w:val="22"/>
          <w:lang w:val="en-GB"/>
        </w:rPr>
        <w:t xml:space="preserve"> In relation to the limitations and </w:t>
      </w:r>
      <w:r w:rsidR="00552136" w:rsidRPr="00A80EC9">
        <w:rPr>
          <w:rFonts w:ascii="Avenir Next" w:hAnsi="Avenir Next" w:cs="Arial"/>
          <w:color w:val="808080" w:themeColor="background1" w:themeShade="80"/>
          <w:sz w:val="22"/>
          <w:szCs w:val="22"/>
          <w:lang w:val="en-GB"/>
        </w:rPr>
        <w:t>modifications</w:t>
      </w:r>
      <w:r w:rsidR="00AD13F4" w:rsidRPr="00A80EC9">
        <w:rPr>
          <w:rFonts w:ascii="Avenir Next" w:hAnsi="Avenir Next" w:cs="Arial"/>
          <w:color w:val="808080" w:themeColor="background1" w:themeShade="80"/>
          <w:sz w:val="22"/>
          <w:szCs w:val="22"/>
          <w:lang w:val="en-GB"/>
        </w:rPr>
        <w:t xml:space="preserve"> which can be </w:t>
      </w:r>
      <w:r w:rsidR="00552136" w:rsidRPr="00A80EC9">
        <w:rPr>
          <w:rFonts w:ascii="Avenir Next" w:hAnsi="Avenir Next" w:cs="Arial"/>
          <w:color w:val="808080" w:themeColor="background1" w:themeShade="80"/>
          <w:sz w:val="22"/>
          <w:szCs w:val="22"/>
          <w:lang w:val="en-GB"/>
        </w:rPr>
        <w:t>exercised</w:t>
      </w:r>
      <w:r w:rsidR="00AD13F4" w:rsidRPr="00A80EC9">
        <w:rPr>
          <w:rFonts w:ascii="Avenir Next" w:hAnsi="Avenir Next" w:cs="Arial"/>
          <w:color w:val="808080" w:themeColor="background1" w:themeShade="80"/>
          <w:sz w:val="22"/>
          <w:szCs w:val="22"/>
          <w:lang w:val="en-GB"/>
        </w:rPr>
        <w:t xml:space="preserve"> by the court in State A, the same has been imported in the Model Law, to principally give an </w:t>
      </w:r>
      <w:r w:rsidR="00552136" w:rsidRPr="00A80EC9">
        <w:rPr>
          <w:rFonts w:ascii="Avenir Next" w:hAnsi="Avenir Next" w:cs="Arial"/>
          <w:color w:val="808080" w:themeColor="background1" w:themeShade="80"/>
          <w:sz w:val="22"/>
          <w:szCs w:val="22"/>
          <w:lang w:val="en-GB"/>
        </w:rPr>
        <w:t>opportunity</w:t>
      </w:r>
      <w:r w:rsidR="00AD13F4" w:rsidRPr="00A80EC9">
        <w:rPr>
          <w:rFonts w:ascii="Avenir Next" w:hAnsi="Avenir Next" w:cs="Arial"/>
          <w:color w:val="808080" w:themeColor="background1" w:themeShade="80"/>
          <w:sz w:val="22"/>
          <w:szCs w:val="22"/>
          <w:lang w:val="en-GB"/>
        </w:rPr>
        <w:t xml:space="preserve"> to those who are being affected by the reliefs which are granted under this Article</w:t>
      </w:r>
      <w:r w:rsidR="002C1C9F" w:rsidRPr="00A80EC9">
        <w:rPr>
          <w:rFonts w:ascii="Avenir Next" w:hAnsi="Avenir Next" w:cs="Arial"/>
          <w:color w:val="808080" w:themeColor="background1" w:themeShade="80"/>
          <w:sz w:val="22"/>
          <w:szCs w:val="22"/>
          <w:lang w:val="en-GB"/>
        </w:rPr>
        <w:t xml:space="preserve"> </w:t>
      </w:r>
      <w:r w:rsidR="00D61CFF" w:rsidRPr="00A80EC9">
        <w:rPr>
          <w:rFonts w:ascii="Avenir Next" w:hAnsi="Avenir Next" w:cs="Arial"/>
          <w:color w:val="808080" w:themeColor="background1" w:themeShade="80"/>
          <w:sz w:val="22"/>
          <w:szCs w:val="22"/>
          <w:lang w:val="en-GB"/>
        </w:rPr>
        <w:t xml:space="preserve">or have some protection which they </w:t>
      </w:r>
      <w:r w:rsidR="00552136" w:rsidRPr="00A80EC9">
        <w:rPr>
          <w:rFonts w:ascii="Avenir Next" w:hAnsi="Avenir Next" w:cs="Arial"/>
          <w:color w:val="808080" w:themeColor="background1" w:themeShade="80"/>
          <w:sz w:val="22"/>
          <w:szCs w:val="22"/>
          <w:lang w:val="en-GB"/>
        </w:rPr>
        <w:t>would</w:t>
      </w:r>
      <w:r w:rsidR="00D61CFF" w:rsidRPr="00A80EC9">
        <w:rPr>
          <w:rFonts w:ascii="Avenir Next" w:hAnsi="Avenir Next" w:cs="Arial"/>
          <w:color w:val="808080" w:themeColor="background1" w:themeShade="80"/>
          <w:sz w:val="22"/>
          <w:szCs w:val="22"/>
          <w:lang w:val="en-GB"/>
        </w:rPr>
        <w:t xml:space="preserve"> be entitled to under the insolvency law of State A</w:t>
      </w:r>
      <w:r w:rsidR="005F3FC3" w:rsidRPr="00A80EC9">
        <w:rPr>
          <w:rFonts w:ascii="Avenir Next" w:hAnsi="Avenir Next" w:cs="Arial"/>
          <w:color w:val="808080" w:themeColor="background1" w:themeShade="80"/>
          <w:sz w:val="22"/>
          <w:szCs w:val="22"/>
          <w:lang w:val="en-GB"/>
        </w:rPr>
        <w:t>. An instance of the s</w:t>
      </w:r>
      <w:r w:rsidR="000B22EB" w:rsidRPr="00A80EC9">
        <w:rPr>
          <w:rFonts w:ascii="Avenir Next" w:hAnsi="Avenir Next" w:cs="Arial"/>
          <w:color w:val="808080" w:themeColor="background1" w:themeShade="80"/>
          <w:sz w:val="22"/>
          <w:szCs w:val="22"/>
          <w:lang w:val="en-GB"/>
        </w:rPr>
        <w:t xml:space="preserve">uch an </w:t>
      </w:r>
      <w:r w:rsidR="00552136" w:rsidRPr="00A80EC9">
        <w:rPr>
          <w:rFonts w:ascii="Avenir Next" w:hAnsi="Avenir Next" w:cs="Arial"/>
          <w:color w:val="808080" w:themeColor="background1" w:themeShade="80"/>
          <w:sz w:val="22"/>
          <w:szCs w:val="22"/>
          <w:lang w:val="en-GB"/>
        </w:rPr>
        <w:t>exception</w:t>
      </w:r>
      <w:r w:rsidR="000B22EB" w:rsidRPr="00A80EC9">
        <w:rPr>
          <w:rFonts w:ascii="Avenir Next" w:hAnsi="Avenir Next" w:cs="Arial"/>
          <w:color w:val="808080" w:themeColor="background1" w:themeShade="80"/>
          <w:sz w:val="22"/>
          <w:szCs w:val="22"/>
          <w:lang w:val="en-GB"/>
        </w:rPr>
        <w:t xml:space="preserve"> or limitation</w:t>
      </w:r>
      <w:r w:rsidR="001C2D5B" w:rsidRPr="00A80EC9">
        <w:rPr>
          <w:rFonts w:ascii="Avenir Next" w:hAnsi="Avenir Next" w:cs="Arial"/>
          <w:color w:val="808080" w:themeColor="background1" w:themeShade="80"/>
          <w:sz w:val="22"/>
          <w:szCs w:val="22"/>
          <w:lang w:val="en-GB"/>
        </w:rPr>
        <w:t xml:space="preserve"> can be the one which is included </w:t>
      </w:r>
      <w:r w:rsidR="001C2D5B" w:rsidRPr="00A80EC9">
        <w:rPr>
          <w:rFonts w:ascii="Avenir Next" w:hAnsi="Avenir Next" w:cs="Arial"/>
          <w:color w:val="808080" w:themeColor="background1" w:themeShade="80"/>
          <w:sz w:val="22"/>
          <w:szCs w:val="22"/>
          <w:lang w:val="en-GB"/>
        </w:rPr>
        <w:lastRenderedPageBreak/>
        <w:t xml:space="preserve">in </w:t>
      </w:r>
      <w:r w:rsidR="00552136">
        <w:rPr>
          <w:rFonts w:ascii="Avenir Next" w:hAnsi="Avenir Next" w:cs="Arial"/>
          <w:color w:val="808080" w:themeColor="background1" w:themeShade="80"/>
          <w:sz w:val="22"/>
          <w:szCs w:val="22"/>
          <w:lang w:val="en-GB"/>
        </w:rPr>
        <w:t xml:space="preserve">UK </w:t>
      </w:r>
      <w:r w:rsidR="008A6EE2">
        <w:rPr>
          <w:rFonts w:ascii="Avenir Next" w:hAnsi="Avenir Next" w:cs="Arial"/>
          <w:color w:val="808080" w:themeColor="background1" w:themeShade="80"/>
          <w:sz w:val="22"/>
          <w:szCs w:val="22"/>
          <w:lang w:val="en-GB"/>
        </w:rPr>
        <w:t xml:space="preserve">insolvency framework </w:t>
      </w:r>
      <w:r w:rsidR="006F7735" w:rsidRPr="00A80EC9">
        <w:rPr>
          <w:rFonts w:ascii="Avenir Next" w:hAnsi="Avenir Next" w:cs="Arial"/>
          <w:color w:val="808080" w:themeColor="background1" w:themeShade="80"/>
          <w:sz w:val="22"/>
          <w:szCs w:val="22"/>
          <w:lang w:val="en-GB"/>
        </w:rPr>
        <w:t xml:space="preserve">(the relevant part which </w:t>
      </w:r>
      <w:r w:rsidR="00552136" w:rsidRPr="00A80EC9">
        <w:rPr>
          <w:rFonts w:ascii="Avenir Next" w:hAnsi="Avenir Next" w:cs="Arial"/>
          <w:color w:val="808080" w:themeColor="background1" w:themeShade="80"/>
          <w:sz w:val="22"/>
          <w:szCs w:val="22"/>
          <w:lang w:val="en-GB"/>
        </w:rPr>
        <w:t>adopts</w:t>
      </w:r>
      <w:r w:rsidR="006F7735" w:rsidRPr="00A80EC9">
        <w:rPr>
          <w:rFonts w:ascii="Avenir Next" w:hAnsi="Avenir Next" w:cs="Arial"/>
          <w:color w:val="808080" w:themeColor="background1" w:themeShade="80"/>
          <w:sz w:val="22"/>
          <w:szCs w:val="22"/>
          <w:lang w:val="en-GB"/>
        </w:rPr>
        <w:t xml:space="preserve"> the Model Law), the same is as follows:</w:t>
      </w:r>
    </w:p>
    <w:p w14:paraId="5AFEFD75" w14:textId="4ABAA71C" w:rsidR="006F7735" w:rsidRDefault="006F7735" w:rsidP="006F7735">
      <w:pPr>
        <w:pStyle w:val="ListParagraph"/>
        <w:jc w:val="both"/>
        <w:rPr>
          <w:i/>
          <w:iCs/>
          <w:color w:val="808080" w:themeColor="background1" w:themeShade="80"/>
        </w:rPr>
      </w:pPr>
      <w:r w:rsidRPr="00A80EC9">
        <w:rPr>
          <w:rFonts w:ascii="Avenir Next" w:hAnsi="Avenir Next" w:cs="Arial"/>
          <w:color w:val="808080" w:themeColor="background1" w:themeShade="80"/>
          <w:sz w:val="22"/>
          <w:szCs w:val="22"/>
          <w:lang w:val="en-GB"/>
        </w:rPr>
        <w:t>“</w:t>
      </w:r>
      <w:r w:rsidR="000C6743" w:rsidRPr="00A80EC9">
        <w:rPr>
          <w:rFonts w:ascii="Avenir Next" w:hAnsi="Avenir Next" w:cs="Arial"/>
          <w:i/>
          <w:iCs/>
          <w:color w:val="808080" w:themeColor="background1" w:themeShade="80"/>
          <w:sz w:val="22"/>
          <w:szCs w:val="22"/>
          <w:lang w:val="en-GB"/>
        </w:rPr>
        <w:t>t</w:t>
      </w:r>
      <w:r w:rsidR="000C6743" w:rsidRPr="00A80EC9">
        <w:rPr>
          <w:i/>
          <w:iCs/>
          <w:color w:val="808080" w:themeColor="background1" w:themeShade="80"/>
        </w:rPr>
        <w:t xml:space="preserve">he same in scope and effect as if the debtor, in the case of an individual, had been adjudged bankrupt under the Insolvency Act 1986 (a) or had his estate sequestrated under the Bankruptcy (Scotland) Act 1985 (b), or, in the case of a debtor other than an individual, had been made the subject of a winding-up order under the Insolvency Act 1986; and (b) subject to the same powers of the court and the same prohibitions, limitations, exceptions and conditions as would apply under the law of Great Britain in such a case, and the provisions of para. 1 of this </w:t>
      </w:r>
      <w:proofErr w:type="gramStart"/>
      <w:r w:rsidR="000C6743" w:rsidRPr="00A80EC9">
        <w:rPr>
          <w:i/>
          <w:iCs/>
          <w:color w:val="808080" w:themeColor="background1" w:themeShade="80"/>
        </w:rPr>
        <w:t>article</w:t>
      </w:r>
      <w:proofErr w:type="gramEnd"/>
      <w:r w:rsidR="000C6743" w:rsidRPr="00A80EC9">
        <w:rPr>
          <w:i/>
          <w:iCs/>
          <w:color w:val="808080" w:themeColor="background1" w:themeShade="80"/>
        </w:rPr>
        <w:t xml:space="preserve"> shall be interpreted accordingly.”</w:t>
      </w:r>
    </w:p>
    <w:p w14:paraId="66CDE539" w14:textId="77777777" w:rsidR="00552136" w:rsidRPr="00A80EC9" w:rsidRDefault="00552136" w:rsidP="006F7735">
      <w:pPr>
        <w:pStyle w:val="ListParagraph"/>
        <w:jc w:val="both"/>
        <w:rPr>
          <w:i/>
          <w:iCs/>
          <w:color w:val="808080" w:themeColor="background1" w:themeShade="80"/>
        </w:rPr>
      </w:pPr>
    </w:p>
    <w:p w14:paraId="2C4CA6AB" w14:textId="4674D8D5" w:rsidR="00384BE4" w:rsidRPr="00A87261" w:rsidRDefault="00384BE4" w:rsidP="00F4463F">
      <w:pPr>
        <w:pStyle w:val="ListParagraph"/>
        <w:numPr>
          <w:ilvl w:val="0"/>
          <w:numId w:val="19"/>
        </w:numPr>
        <w:jc w:val="both"/>
        <w:rPr>
          <w:rFonts w:ascii="Avenir Next" w:hAnsi="Avenir Next" w:cs="Arial"/>
          <w:color w:val="808080" w:themeColor="background1" w:themeShade="80"/>
          <w:sz w:val="22"/>
          <w:szCs w:val="22"/>
          <w:lang w:val="en-GB"/>
        </w:rPr>
      </w:pPr>
      <w:r w:rsidRPr="008A6EE2">
        <w:rPr>
          <w:rFonts w:ascii="Avenir Next" w:hAnsi="Avenir Next" w:cs="Arial"/>
          <w:color w:val="808080" w:themeColor="background1" w:themeShade="80"/>
          <w:sz w:val="22"/>
          <w:szCs w:val="22"/>
          <w:lang w:val="en-GB"/>
        </w:rPr>
        <w:t>Article 20(3) is a limitation to the scope o</w:t>
      </w:r>
      <w:r w:rsidR="008A6EE2">
        <w:rPr>
          <w:rFonts w:ascii="Avenir Next" w:hAnsi="Avenir Next" w:cs="Arial"/>
          <w:color w:val="808080" w:themeColor="background1" w:themeShade="80"/>
          <w:sz w:val="22"/>
          <w:szCs w:val="22"/>
          <w:lang w:val="en-GB"/>
        </w:rPr>
        <w:t>f</w:t>
      </w:r>
      <w:r w:rsidRPr="008A6EE2">
        <w:rPr>
          <w:rFonts w:ascii="Avenir Next" w:hAnsi="Avenir Next" w:cs="Arial"/>
          <w:color w:val="808080" w:themeColor="background1" w:themeShade="80"/>
          <w:sz w:val="22"/>
          <w:szCs w:val="22"/>
          <w:lang w:val="en-GB"/>
        </w:rPr>
        <w:t xml:space="preserve"> reliefs granted itself, which states that </w:t>
      </w:r>
      <w:r w:rsidR="00453D16" w:rsidRPr="008A6EE2">
        <w:rPr>
          <w:rFonts w:ascii="Avenir Next" w:hAnsi="Avenir Next" w:cs="Arial"/>
          <w:color w:val="808080" w:themeColor="background1" w:themeShade="80"/>
          <w:sz w:val="22"/>
          <w:szCs w:val="22"/>
          <w:lang w:val="en-GB"/>
        </w:rPr>
        <w:t>the nothing in this article shall affect the right to commence individual actions or proceedings to the extent necessary to preserve a claim against the debtor</w:t>
      </w:r>
      <w:r w:rsidR="00631230" w:rsidRPr="008A6EE2">
        <w:rPr>
          <w:rFonts w:ascii="Avenir Next" w:hAnsi="Avenir Next" w:cs="Arial"/>
          <w:color w:val="808080" w:themeColor="background1" w:themeShade="80"/>
          <w:sz w:val="22"/>
          <w:szCs w:val="22"/>
          <w:lang w:val="en-GB"/>
        </w:rPr>
        <w:t xml:space="preserve"> or to protect </w:t>
      </w:r>
      <w:proofErr w:type="gramStart"/>
      <w:r w:rsidR="00631230" w:rsidRPr="008A6EE2">
        <w:rPr>
          <w:rFonts w:ascii="Avenir Next" w:hAnsi="Avenir Next" w:cs="Arial"/>
          <w:color w:val="808080" w:themeColor="background1" w:themeShade="80"/>
          <w:sz w:val="22"/>
          <w:szCs w:val="22"/>
          <w:lang w:val="en-GB"/>
        </w:rPr>
        <w:t>the a</w:t>
      </w:r>
      <w:proofErr w:type="gramEnd"/>
      <w:r w:rsidR="00631230" w:rsidRPr="008A6EE2">
        <w:rPr>
          <w:rFonts w:ascii="Avenir Next" w:hAnsi="Avenir Next" w:cs="Arial"/>
          <w:color w:val="808080" w:themeColor="background1" w:themeShade="80"/>
          <w:sz w:val="22"/>
          <w:szCs w:val="22"/>
          <w:lang w:val="en-GB"/>
        </w:rPr>
        <w:t xml:space="preserve"> creditor</w:t>
      </w:r>
      <w:r w:rsidR="00B40258" w:rsidRPr="008A6EE2">
        <w:rPr>
          <w:rFonts w:ascii="Avenir Next" w:hAnsi="Avenir Next" w:cs="Arial"/>
          <w:color w:val="808080" w:themeColor="background1" w:themeShade="80"/>
          <w:sz w:val="22"/>
          <w:szCs w:val="22"/>
          <w:lang w:val="en-GB"/>
        </w:rPr>
        <w:t xml:space="preserve"> </w:t>
      </w:r>
      <w:r w:rsidR="00631230" w:rsidRPr="008A6EE2">
        <w:rPr>
          <w:rFonts w:ascii="Avenir Next" w:hAnsi="Avenir Next" w:cs="Arial"/>
          <w:color w:val="808080" w:themeColor="background1" w:themeShade="80"/>
          <w:sz w:val="22"/>
          <w:szCs w:val="22"/>
          <w:lang w:val="en-GB"/>
        </w:rPr>
        <w:t>from losing</w:t>
      </w:r>
      <w:r w:rsidR="00B40258" w:rsidRPr="008A6EE2">
        <w:rPr>
          <w:rFonts w:ascii="Avenir Next" w:hAnsi="Avenir Next" w:cs="Arial"/>
          <w:color w:val="808080" w:themeColor="background1" w:themeShade="80"/>
          <w:sz w:val="22"/>
          <w:szCs w:val="22"/>
          <w:lang w:val="en-GB"/>
        </w:rPr>
        <w:t xml:space="preserve"> its claim. Further Article 20(4) also envisaged a limitation </w:t>
      </w:r>
      <w:r w:rsidR="00D431C6" w:rsidRPr="008A6EE2">
        <w:rPr>
          <w:rFonts w:ascii="Avenir Next" w:hAnsi="Avenir Next" w:cs="Arial"/>
          <w:color w:val="808080" w:themeColor="background1" w:themeShade="80"/>
          <w:sz w:val="22"/>
          <w:szCs w:val="22"/>
          <w:lang w:val="en-GB"/>
        </w:rPr>
        <w:t>which states that the automatic stay and suspension pursuant to Article 20 do</w:t>
      </w:r>
      <w:r w:rsidR="00A80EC9" w:rsidRPr="008A6EE2">
        <w:rPr>
          <w:rFonts w:ascii="Avenir Next" w:hAnsi="Avenir Next" w:cs="Arial"/>
          <w:color w:val="808080" w:themeColor="background1" w:themeShade="80"/>
          <w:sz w:val="22"/>
          <w:szCs w:val="22"/>
          <w:lang w:val="en-GB"/>
        </w:rPr>
        <w:t>es</w:t>
      </w:r>
      <w:r w:rsidR="00D431C6" w:rsidRPr="008A6EE2">
        <w:rPr>
          <w:rFonts w:ascii="Avenir Next" w:hAnsi="Avenir Next" w:cs="Arial"/>
          <w:color w:val="808080" w:themeColor="background1" w:themeShade="80"/>
          <w:sz w:val="22"/>
          <w:szCs w:val="22"/>
          <w:lang w:val="en-GB"/>
        </w:rPr>
        <w:t xml:space="preserve"> not prevent anyone, including the foreign representative or foreign creditors, from requesting the commencement of a local insolvency proceeding and from participating in that proceeding</w:t>
      </w:r>
      <w:r w:rsidR="00D431C6" w:rsidRPr="00A80EC9">
        <w:rPr>
          <w:rStyle w:val="FootnoteReference"/>
          <w:color w:val="808080" w:themeColor="background1" w:themeShade="80"/>
        </w:rPr>
        <w:footnoteReference w:id="49"/>
      </w:r>
      <w:r w:rsidR="00D431C6" w:rsidRPr="00A80EC9">
        <w:rPr>
          <w:color w:val="808080" w:themeColor="background1" w:themeShade="80"/>
        </w:rPr>
        <w:t>.</w:t>
      </w:r>
    </w:p>
    <w:p w14:paraId="5103FCC1" w14:textId="77777777" w:rsidR="00A87261" w:rsidRPr="00A80EC9" w:rsidRDefault="00A87261" w:rsidP="00A87261">
      <w:pPr>
        <w:pStyle w:val="ListParagraph"/>
        <w:jc w:val="both"/>
        <w:rPr>
          <w:rFonts w:ascii="Avenir Next" w:hAnsi="Avenir Next" w:cs="Arial"/>
          <w:color w:val="808080" w:themeColor="background1" w:themeShade="80"/>
          <w:sz w:val="22"/>
          <w:szCs w:val="22"/>
          <w:lang w:val="en-GB"/>
        </w:rPr>
      </w:pPr>
    </w:p>
    <w:p w14:paraId="029C47C8" w14:textId="0AE950F8" w:rsidR="00867A8F" w:rsidRPr="00A87261" w:rsidRDefault="0027547C" w:rsidP="00F4463F">
      <w:pPr>
        <w:pStyle w:val="ListParagraph"/>
        <w:numPr>
          <w:ilvl w:val="0"/>
          <w:numId w:val="19"/>
        </w:numPr>
        <w:jc w:val="both"/>
        <w:rPr>
          <w:rFonts w:ascii="Avenir Next" w:hAnsi="Avenir Next" w:cs="Arial"/>
          <w:color w:val="808080" w:themeColor="background1" w:themeShade="80"/>
          <w:sz w:val="22"/>
          <w:szCs w:val="22"/>
          <w:lang w:val="en-GB"/>
        </w:rPr>
      </w:pPr>
      <w:r w:rsidRPr="00A87261">
        <w:rPr>
          <w:rFonts w:ascii="Avenir Next" w:hAnsi="Avenir Next" w:cs="Arial"/>
          <w:color w:val="808080" w:themeColor="background1" w:themeShade="80"/>
          <w:sz w:val="22"/>
          <w:szCs w:val="22"/>
          <w:lang w:val="en-GB"/>
        </w:rPr>
        <w:t xml:space="preserve">Reliefs under Article 14, 23 and 24: </w:t>
      </w:r>
      <w:r w:rsidR="0095684C" w:rsidRPr="00A87261">
        <w:rPr>
          <w:rFonts w:ascii="Avenir Next" w:hAnsi="Avenir Next" w:cs="Arial"/>
          <w:color w:val="808080" w:themeColor="background1" w:themeShade="80"/>
          <w:sz w:val="22"/>
          <w:szCs w:val="22"/>
          <w:lang w:val="en-GB"/>
        </w:rPr>
        <w:t xml:space="preserve">Article 14 gives the right to foreign creditors to receive notices, Article 23, gives the power to the foreign representative </w:t>
      </w:r>
      <w:r w:rsidR="00A87261" w:rsidRPr="00A87261">
        <w:rPr>
          <w:rFonts w:ascii="Avenir Next" w:hAnsi="Avenir Next" w:cs="Arial"/>
          <w:color w:val="808080" w:themeColor="background1" w:themeShade="80"/>
          <w:sz w:val="22"/>
          <w:szCs w:val="22"/>
          <w:lang w:val="en-GB"/>
        </w:rPr>
        <w:t>to take actions against voidable transactions and Article 24, give</w:t>
      </w:r>
      <w:r w:rsidR="00A87261">
        <w:rPr>
          <w:rFonts w:ascii="Avenir Next" w:hAnsi="Avenir Next" w:cs="Arial"/>
          <w:color w:val="808080" w:themeColor="background1" w:themeShade="80"/>
          <w:sz w:val="22"/>
          <w:szCs w:val="22"/>
          <w:lang w:val="en-GB"/>
        </w:rPr>
        <w:t>s</w:t>
      </w:r>
      <w:r w:rsidR="00A87261" w:rsidRPr="00A87261">
        <w:rPr>
          <w:rFonts w:ascii="Avenir Next" w:hAnsi="Avenir Next" w:cs="Arial"/>
          <w:color w:val="808080" w:themeColor="background1" w:themeShade="80"/>
          <w:sz w:val="22"/>
          <w:szCs w:val="22"/>
          <w:lang w:val="en-GB"/>
        </w:rPr>
        <w:t xml:space="preserve"> the foreign representative the right to intervene in local proceeding</w:t>
      </w:r>
      <w:r w:rsidR="00A87261">
        <w:rPr>
          <w:rFonts w:ascii="Avenir Next" w:hAnsi="Avenir Next" w:cs="Arial"/>
          <w:color w:val="808080" w:themeColor="background1" w:themeShade="80"/>
          <w:sz w:val="22"/>
          <w:szCs w:val="22"/>
          <w:lang w:val="en-GB"/>
        </w:rPr>
        <w:t>s</w:t>
      </w:r>
      <w:r w:rsidR="00A87261" w:rsidRPr="00A87261">
        <w:rPr>
          <w:rFonts w:ascii="Avenir Next" w:hAnsi="Avenir Next" w:cs="Arial"/>
          <w:color w:val="808080" w:themeColor="background1" w:themeShade="80"/>
          <w:sz w:val="22"/>
          <w:szCs w:val="22"/>
          <w:lang w:val="en-GB"/>
        </w:rPr>
        <w:t xml:space="preserve"> where the Debtor would have been a party. </w:t>
      </w:r>
    </w:p>
    <w:p w14:paraId="16F36216" w14:textId="77777777" w:rsidR="00384BE4" w:rsidRDefault="00384BE4"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7B08B2" w:rsidRDefault="00980314" w:rsidP="000077DD">
      <w:pPr>
        <w:jc w:val="both"/>
        <w:rPr>
          <w:rFonts w:ascii="Avenir Next" w:hAnsi="Avenir Next" w:cs="Arial"/>
          <w:color w:val="808080" w:themeColor="background1" w:themeShade="80"/>
          <w:sz w:val="22"/>
          <w:szCs w:val="22"/>
          <w:lang w:val="en-GB"/>
        </w:rPr>
      </w:pPr>
    </w:p>
    <w:p w14:paraId="55D111B1" w14:textId="75DB49B1" w:rsidR="00867A8F" w:rsidRPr="007B08B2" w:rsidRDefault="00A5579A" w:rsidP="00867A8F">
      <w:pPr>
        <w:ind w:left="720" w:hanging="720"/>
        <w:jc w:val="both"/>
        <w:rPr>
          <w:rFonts w:ascii="Avenir Next" w:hAnsi="Avenir Next" w:cs="Arial"/>
          <w:color w:val="808080" w:themeColor="background1" w:themeShade="80"/>
          <w:sz w:val="22"/>
          <w:szCs w:val="22"/>
          <w:lang w:val="en-GB"/>
        </w:rPr>
      </w:pPr>
      <w:r w:rsidRPr="007B08B2">
        <w:rPr>
          <w:rFonts w:ascii="Avenir Next" w:hAnsi="Avenir Next" w:cs="Arial"/>
          <w:color w:val="808080" w:themeColor="background1" w:themeShade="80"/>
          <w:sz w:val="22"/>
          <w:szCs w:val="22"/>
          <w:lang w:val="en-GB"/>
        </w:rPr>
        <w:t xml:space="preserve"> </w:t>
      </w:r>
      <w:r w:rsidR="00F75B9A">
        <w:rPr>
          <w:rFonts w:ascii="Avenir Next" w:hAnsi="Avenir Next" w:cs="Arial"/>
          <w:color w:val="808080" w:themeColor="background1" w:themeShade="80"/>
          <w:sz w:val="22"/>
          <w:szCs w:val="22"/>
          <w:lang w:val="en-GB"/>
        </w:rPr>
        <w:t xml:space="preserve">             </w:t>
      </w:r>
      <w:r w:rsidR="006A44D2" w:rsidRPr="00F75B9A">
        <w:rPr>
          <w:rFonts w:ascii="Avenir Next" w:hAnsi="Avenir Next" w:cs="Arial"/>
          <w:b/>
          <w:bCs/>
          <w:i/>
          <w:iCs/>
          <w:color w:val="808080" w:themeColor="background1" w:themeShade="80"/>
          <w:sz w:val="22"/>
          <w:szCs w:val="22"/>
          <w:u w:val="single"/>
          <w:lang w:val="en-GB"/>
        </w:rPr>
        <w:t xml:space="preserve">In the case of </w:t>
      </w:r>
      <w:r w:rsidR="00A119B3" w:rsidRPr="00F75B9A">
        <w:rPr>
          <w:rFonts w:ascii="Avenir Next" w:hAnsi="Avenir Next" w:cs="Arial"/>
          <w:b/>
          <w:bCs/>
          <w:i/>
          <w:iCs/>
          <w:color w:val="808080" w:themeColor="background1" w:themeShade="80"/>
          <w:sz w:val="22"/>
          <w:szCs w:val="22"/>
          <w:u w:val="single"/>
          <w:lang w:val="en-GB"/>
        </w:rPr>
        <w:t>Igor Vitalievich Protasov Vs Khadzhi-Murat Derev- In The High Court of</w:t>
      </w:r>
      <w:r w:rsidR="006D5FE2" w:rsidRPr="00F75B9A">
        <w:rPr>
          <w:rFonts w:ascii="Avenir Next" w:hAnsi="Avenir Next" w:cs="Arial"/>
          <w:b/>
          <w:bCs/>
          <w:i/>
          <w:iCs/>
          <w:color w:val="808080" w:themeColor="background1" w:themeShade="80"/>
          <w:sz w:val="22"/>
          <w:szCs w:val="22"/>
          <w:u w:val="single"/>
          <w:lang w:val="en-GB"/>
        </w:rPr>
        <w:t xml:space="preserve"> </w:t>
      </w:r>
      <w:r w:rsidR="00A119B3" w:rsidRPr="00F75B9A">
        <w:rPr>
          <w:rFonts w:ascii="Avenir Next" w:hAnsi="Avenir Next" w:cs="Arial"/>
          <w:b/>
          <w:bCs/>
          <w:i/>
          <w:iCs/>
          <w:color w:val="808080" w:themeColor="background1" w:themeShade="80"/>
          <w:sz w:val="22"/>
          <w:szCs w:val="22"/>
          <w:u w:val="single"/>
          <w:lang w:val="en-GB"/>
        </w:rPr>
        <w:t>Justice</w:t>
      </w:r>
      <w:r w:rsidR="00A119B3" w:rsidRPr="00F75B9A">
        <w:rPr>
          <w:rFonts w:ascii="Avenir Next" w:hAnsi="Avenir Next" w:cs="Arial"/>
          <w:b/>
          <w:bCs/>
          <w:i/>
          <w:iCs/>
          <w:color w:val="808080" w:themeColor="background1" w:themeShade="80"/>
          <w:sz w:val="22"/>
          <w:szCs w:val="22"/>
          <w:u w:val="single"/>
          <w:lang w:val="en-GB"/>
        </w:rPr>
        <w:br/>
        <w:t>Business &amp; Property Courts Of England &amp; Wales, dated February 24, 2021</w:t>
      </w:r>
      <w:r w:rsidR="00A119B3" w:rsidRPr="00F75B9A">
        <w:rPr>
          <w:rFonts w:ascii="Avenir Next" w:hAnsi="Avenir Next" w:cs="Arial"/>
          <w:b/>
          <w:bCs/>
          <w:i/>
          <w:iCs/>
          <w:color w:val="808080" w:themeColor="background1" w:themeShade="80"/>
          <w:sz w:val="22"/>
          <w:szCs w:val="22"/>
          <w:u w:val="single"/>
          <w:lang w:val="en-GB"/>
        </w:rPr>
        <w:footnoteReference w:id="50"/>
      </w:r>
      <w:r w:rsidR="006D5FE2" w:rsidRPr="00F75B9A">
        <w:rPr>
          <w:rFonts w:ascii="Avenir Next" w:hAnsi="Avenir Next" w:cs="Arial"/>
          <w:b/>
          <w:bCs/>
          <w:i/>
          <w:iCs/>
          <w:color w:val="808080" w:themeColor="background1" w:themeShade="80"/>
          <w:sz w:val="22"/>
          <w:szCs w:val="22"/>
          <w:u w:val="single"/>
          <w:lang w:val="en-GB"/>
        </w:rPr>
        <w:t>,</w:t>
      </w:r>
      <w:r w:rsidR="006D5FE2" w:rsidRPr="007B08B2">
        <w:rPr>
          <w:rFonts w:ascii="Avenir Next" w:hAnsi="Avenir Next" w:cs="Arial"/>
          <w:color w:val="808080" w:themeColor="background1" w:themeShade="80"/>
          <w:sz w:val="22"/>
          <w:szCs w:val="22"/>
          <w:lang w:val="en-GB"/>
        </w:rPr>
        <w:t xml:space="preserve"> the court England </w:t>
      </w:r>
      <w:r w:rsidR="00F75B9A">
        <w:rPr>
          <w:rFonts w:ascii="Avenir Next" w:hAnsi="Avenir Next" w:cs="Arial"/>
          <w:color w:val="808080" w:themeColor="background1" w:themeShade="80"/>
          <w:sz w:val="22"/>
          <w:szCs w:val="22"/>
          <w:lang w:val="en-GB"/>
        </w:rPr>
        <w:t xml:space="preserve">had </w:t>
      </w:r>
      <w:r w:rsidR="006D5FE2" w:rsidRPr="007B08B2">
        <w:rPr>
          <w:rFonts w:ascii="Avenir Next" w:hAnsi="Avenir Next" w:cs="Arial"/>
          <w:color w:val="808080" w:themeColor="background1" w:themeShade="80"/>
          <w:sz w:val="22"/>
          <w:szCs w:val="22"/>
          <w:lang w:val="en-GB"/>
        </w:rPr>
        <w:t xml:space="preserve">the opportunity to determine </w:t>
      </w:r>
      <w:r w:rsidR="00F75B9A">
        <w:rPr>
          <w:rFonts w:ascii="Avenir Next" w:hAnsi="Avenir Next" w:cs="Arial"/>
          <w:color w:val="808080" w:themeColor="background1" w:themeShade="80"/>
          <w:sz w:val="22"/>
          <w:szCs w:val="22"/>
          <w:lang w:val="en-GB"/>
        </w:rPr>
        <w:t xml:space="preserve">if </w:t>
      </w:r>
      <w:r w:rsidR="006D5FE2" w:rsidRPr="007B08B2">
        <w:rPr>
          <w:rFonts w:ascii="Avenir Next" w:hAnsi="Avenir Next" w:cs="Arial"/>
          <w:color w:val="808080" w:themeColor="background1" w:themeShade="80"/>
          <w:sz w:val="22"/>
          <w:szCs w:val="22"/>
          <w:lang w:val="en-GB"/>
        </w:rPr>
        <w:t xml:space="preserve">a worldwide freezing order granted under </w:t>
      </w:r>
      <w:r w:rsidR="002528CB" w:rsidRPr="007B08B2">
        <w:rPr>
          <w:rFonts w:ascii="Avenir Next" w:hAnsi="Avenir Next" w:cs="Arial"/>
          <w:color w:val="808080" w:themeColor="background1" w:themeShade="80"/>
          <w:sz w:val="22"/>
          <w:szCs w:val="22"/>
          <w:lang w:val="en-GB"/>
        </w:rPr>
        <w:t xml:space="preserve">Article 19 of the Model Law can continue after the foreign </w:t>
      </w:r>
      <w:r w:rsidR="007D7BA2" w:rsidRPr="007B08B2">
        <w:rPr>
          <w:rFonts w:ascii="Avenir Next" w:hAnsi="Avenir Next" w:cs="Arial"/>
          <w:color w:val="808080" w:themeColor="background1" w:themeShade="80"/>
          <w:sz w:val="22"/>
          <w:szCs w:val="22"/>
          <w:lang w:val="en-GB"/>
        </w:rPr>
        <w:t>proceedings had been recognised.</w:t>
      </w:r>
    </w:p>
    <w:p w14:paraId="0919FFB9" w14:textId="77777777" w:rsidR="007D7BA2" w:rsidRPr="007B08B2" w:rsidRDefault="007D7BA2" w:rsidP="00867A8F">
      <w:pPr>
        <w:ind w:left="720" w:hanging="720"/>
        <w:jc w:val="both"/>
        <w:rPr>
          <w:rFonts w:ascii="Avenir Next" w:hAnsi="Avenir Next" w:cs="Arial"/>
          <w:color w:val="808080" w:themeColor="background1" w:themeShade="80"/>
          <w:sz w:val="22"/>
          <w:szCs w:val="22"/>
          <w:lang w:val="en-GB"/>
        </w:rPr>
      </w:pPr>
    </w:p>
    <w:p w14:paraId="691D1F45" w14:textId="5FAAD13B" w:rsidR="00A5579A" w:rsidRPr="007B08B2" w:rsidRDefault="00A5579A" w:rsidP="00867A8F">
      <w:pPr>
        <w:ind w:left="720" w:hanging="720"/>
        <w:jc w:val="both"/>
        <w:rPr>
          <w:rFonts w:ascii="Avenir Next" w:hAnsi="Avenir Next" w:cs="Arial"/>
          <w:color w:val="808080" w:themeColor="background1" w:themeShade="80"/>
          <w:sz w:val="22"/>
          <w:szCs w:val="22"/>
          <w:lang w:val="en-GB"/>
        </w:rPr>
      </w:pPr>
      <w:r w:rsidRPr="007B08B2">
        <w:rPr>
          <w:rFonts w:ascii="Avenir Next" w:hAnsi="Avenir Next" w:cs="Arial"/>
          <w:color w:val="808080" w:themeColor="background1" w:themeShade="80"/>
          <w:sz w:val="22"/>
          <w:szCs w:val="22"/>
          <w:lang w:val="en-GB"/>
        </w:rPr>
        <w:t xml:space="preserve">               </w:t>
      </w:r>
      <w:r w:rsidR="007D7BA2" w:rsidRPr="00F75B9A">
        <w:rPr>
          <w:rFonts w:ascii="Avenir Next" w:hAnsi="Avenir Next" w:cs="Arial"/>
          <w:b/>
          <w:bCs/>
          <w:color w:val="808080" w:themeColor="background1" w:themeShade="80"/>
          <w:sz w:val="22"/>
          <w:szCs w:val="22"/>
          <w:lang w:val="en-GB"/>
        </w:rPr>
        <w:t>Facts</w:t>
      </w:r>
      <w:r w:rsidR="007D7BA2" w:rsidRPr="007B08B2">
        <w:rPr>
          <w:rFonts w:ascii="Avenir Next" w:hAnsi="Avenir Next" w:cs="Arial"/>
          <w:color w:val="808080" w:themeColor="background1" w:themeShade="80"/>
          <w:sz w:val="22"/>
          <w:szCs w:val="22"/>
          <w:lang w:val="en-GB"/>
        </w:rPr>
        <w:t>: M</w:t>
      </w:r>
      <w:r w:rsidR="00723F59" w:rsidRPr="007B08B2">
        <w:rPr>
          <w:rFonts w:ascii="Avenir Next" w:hAnsi="Avenir Next" w:cs="Arial"/>
          <w:color w:val="808080" w:themeColor="background1" w:themeShade="80"/>
          <w:sz w:val="22"/>
          <w:szCs w:val="22"/>
          <w:lang w:val="en-GB"/>
        </w:rPr>
        <w:t xml:space="preserve">r. </w:t>
      </w:r>
      <w:proofErr w:type="spellStart"/>
      <w:r w:rsidR="00723F59" w:rsidRPr="007B08B2">
        <w:rPr>
          <w:rFonts w:ascii="Avenir Next" w:hAnsi="Avenir Next" w:cs="Arial"/>
          <w:color w:val="808080" w:themeColor="background1" w:themeShade="80"/>
          <w:sz w:val="22"/>
          <w:szCs w:val="22"/>
          <w:lang w:val="en-GB"/>
        </w:rPr>
        <w:t>Devrev</w:t>
      </w:r>
      <w:proofErr w:type="spellEnd"/>
      <w:r w:rsidR="00723F59" w:rsidRPr="007B08B2">
        <w:rPr>
          <w:rFonts w:ascii="Avenir Next" w:hAnsi="Avenir Next" w:cs="Arial"/>
          <w:color w:val="808080" w:themeColor="background1" w:themeShade="80"/>
          <w:sz w:val="22"/>
          <w:szCs w:val="22"/>
          <w:lang w:val="en-GB"/>
        </w:rPr>
        <w:t xml:space="preserve"> was declared bankrupt in Russ</w:t>
      </w:r>
      <w:r w:rsidR="00F75B9A">
        <w:rPr>
          <w:rFonts w:ascii="Avenir Next" w:hAnsi="Avenir Next" w:cs="Arial"/>
          <w:color w:val="808080" w:themeColor="background1" w:themeShade="80"/>
          <w:sz w:val="22"/>
          <w:szCs w:val="22"/>
          <w:lang w:val="en-GB"/>
        </w:rPr>
        <w:t>ia</w:t>
      </w:r>
      <w:r w:rsidR="00723F59" w:rsidRPr="007B08B2">
        <w:rPr>
          <w:rFonts w:ascii="Avenir Next" w:hAnsi="Avenir Next" w:cs="Arial"/>
          <w:color w:val="808080" w:themeColor="background1" w:themeShade="80"/>
          <w:sz w:val="22"/>
          <w:szCs w:val="22"/>
          <w:lang w:val="en-GB"/>
        </w:rPr>
        <w:t>, and shortly before that he had moved to London</w:t>
      </w:r>
      <w:r w:rsidR="006C57F4" w:rsidRPr="007B08B2">
        <w:rPr>
          <w:rFonts w:ascii="Avenir Next" w:hAnsi="Avenir Next" w:cs="Arial"/>
          <w:color w:val="808080" w:themeColor="background1" w:themeShade="80"/>
          <w:sz w:val="22"/>
          <w:szCs w:val="22"/>
          <w:lang w:val="en-GB"/>
        </w:rPr>
        <w:t xml:space="preserve">. On declaration of the bankruptcy, the </w:t>
      </w:r>
      <w:r w:rsidR="00F75B9A" w:rsidRPr="007B08B2">
        <w:rPr>
          <w:rFonts w:ascii="Avenir Next" w:hAnsi="Avenir Next" w:cs="Arial"/>
          <w:color w:val="808080" w:themeColor="background1" w:themeShade="80"/>
          <w:sz w:val="22"/>
          <w:szCs w:val="22"/>
          <w:lang w:val="en-GB"/>
        </w:rPr>
        <w:t>administrator</w:t>
      </w:r>
      <w:r w:rsidR="006C57F4" w:rsidRPr="007B08B2">
        <w:rPr>
          <w:rFonts w:ascii="Avenir Next" w:hAnsi="Avenir Next" w:cs="Arial"/>
          <w:color w:val="808080" w:themeColor="background1" w:themeShade="80"/>
          <w:sz w:val="22"/>
          <w:szCs w:val="22"/>
          <w:lang w:val="en-GB"/>
        </w:rPr>
        <w:t xml:space="preserve"> who was </w:t>
      </w:r>
      <w:r w:rsidR="00F75B9A" w:rsidRPr="007B08B2">
        <w:rPr>
          <w:rFonts w:ascii="Avenir Next" w:hAnsi="Avenir Next" w:cs="Arial"/>
          <w:color w:val="808080" w:themeColor="background1" w:themeShade="80"/>
          <w:sz w:val="22"/>
          <w:szCs w:val="22"/>
          <w:lang w:val="en-GB"/>
        </w:rPr>
        <w:t>appointed</w:t>
      </w:r>
      <w:r w:rsidR="006C57F4" w:rsidRPr="007B08B2">
        <w:rPr>
          <w:rFonts w:ascii="Avenir Next" w:hAnsi="Avenir Next" w:cs="Arial"/>
          <w:color w:val="808080" w:themeColor="background1" w:themeShade="80"/>
          <w:sz w:val="22"/>
          <w:szCs w:val="22"/>
          <w:lang w:val="en-GB"/>
        </w:rPr>
        <w:t xml:space="preserve"> by the </w:t>
      </w:r>
      <w:r w:rsidR="00F75B9A" w:rsidRPr="007B08B2">
        <w:rPr>
          <w:rFonts w:ascii="Avenir Next" w:hAnsi="Avenir Next" w:cs="Arial"/>
          <w:color w:val="808080" w:themeColor="background1" w:themeShade="80"/>
          <w:sz w:val="22"/>
          <w:szCs w:val="22"/>
          <w:lang w:val="en-GB"/>
        </w:rPr>
        <w:t>Russian</w:t>
      </w:r>
      <w:r w:rsidR="006C57F4" w:rsidRPr="007B08B2">
        <w:rPr>
          <w:rFonts w:ascii="Avenir Next" w:hAnsi="Avenir Next" w:cs="Arial"/>
          <w:color w:val="808080" w:themeColor="background1" w:themeShade="80"/>
          <w:sz w:val="22"/>
          <w:szCs w:val="22"/>
          <w:lang w:val="en-GB"/>
        </w:rPr>
        <w:t xml:space="preserve"> court</w:t>
      </w:r>
      <w:r w:rsidR="009B4E34">
        <w:rPr>
          <w:rFonts w:ascii="Avenir Next" w:hAnsi="Avenir Next" w:cs="Arial"/>
          <w:color w:val="808080" w:themeColor="background1" w:themeShade="80"/>
          <w:sz w:val="22"/>
          <w:szCs w:val="22"/>
          <w:lang w:val="en-GB"/>
        </w:rPr>
        <w:t xml:space="preserve"> moved a </w:t>
      </w:r>
      <w:r w:rsidR="005C1A32" w:rsidRPr="007B08B2">
        <w:rPr>
          <w:rFonts w:ascii="Avenir Next" w:hAnsi="Avenir Next" w:cs="Arial"/>
          <w:color w:val="808080" w:themeColor="background1" w:themeShade="80"/>
          <w:sz w:val="22"/>
          <w:szCs w:val="22"/>
          <w:lang w:val="en-GB"/>
        </w:rPr>
        <w:t xml:space="preserve">recognition </w:t>
      </w:r>
      <w:r w:rsidR="009B4E34" w:rsidRPr="007B08B2">
        <w:rPr>
          <w:rFonts w:ascii="Avenir Next" w:hAnsi="Avenir Next" w:cs="Arial"/>
          <w:color w:val="808080" w:themeColor="background1" w:themeShade="80"/>
          <w:sz w:val="22"/>
          <w:szCs w:val="22"/>
          <w:lang w:val="en-GB"/>
        </w:rPr>
        <w:t>application</w:t>
      </w:r>
      <w:r w:rsidR="005C1A32" w:rsidRPr="007B08B2">
        <w:rPr>
          <w:rFonts w:ascii="Avenir Next" w:hAnsi="Avenir Next" w:cs="Arial"/>
          <w:color w:val="808080" w:themeColor="background1" w:themeShade="80"/>
          <w:sz w:val="22"/>
          <w:szCs w:val="22"/>
          <w:lang w:val="en-GB"/>
        </w:rPr>
        <w:t xml:space="preserve"> and also successfully got an interim worldwide freezing order in his favour under Article 19. </w:t>
      </w:r>
      <w:r w:rsidR="009B4E34" w:rsidRPr="007B08B2">
        <w:rPr>
          <w:rFonts w:ascii="Avenir Next" w:hAnsi="Avenir Next" w:cs="Arial"/>
          <w:color w:val="808080" w:themeColor="background1" w:themeShade="80"/>
          <w:sz w:val="22"/>
          <w:szCs w:val="22"/>
          <w:lang w:val="en-GB"/>
        </w:rPr>
        <w:t>Thereafter</w:t>
      </w:r>
      <w:r w:rsidR="005C1A32" w:rsidRPr="007B08B2">
        <w:rPr>
          <w:rFonts w:ascii="Avenir Next" w:hAnsi="Avenir Next" w:cs="Arial"/>
          <w:color w:val="808080" w:themeColor="background1" w:themeShade="80"/>
          <w:sz w:val="22"/>
          <w:szCs w:val="22"/>
          <w:lang w:val="en-GB"/>
        </w:rPr>
        <w:t>, the recognition application was allowed</w:t>
      </w:r>
      <w:r w:rsidR="001731AD" w:rsidRPr="007B08B2">
        <w:rPr>
          <w:rFonts w:ascii="Avenir Next" w:hAnsi="Avenir Next" w:cs="Arial"/>
          <w:color w:val="808080" w:themeColor="background1" w:themeShade="80"/>
          <w:sz w:val="22"/>
          <w:szCs w:val="22"/>
          <w:lang w:val="en-GB"/>
        </w:rPr>
        <w:t xml:space="preserve"> as foreign main proceedings</w:t>
      </w:r>
      <w:r w:rsidR="009B5779" w:rsidRPr="007B08B2">
        <w:rPr>
          <w:rFonts w:ascii="Avenir Next" w:hAnsi="Avenir Next" w:cs="Arial"/>
          <w:color w:val="808080" w:themeColor="background1" w:themeShade="80"/>
          <w:sz w:val="22"/>
          <w:szCs w:val="22"/>
          <w:lang w:val="en-GB"/>
        </w:rPr>
        <w:t xml:space="preserve">. </w:t>
      </w:r>
    </w:p>
    <w:p w14:paraId="0D3CF44B" w14:textId="77777777" w:rsidR="00A5579A" w:rsidRPr="007B08B2" w:rsidRDefault="00A5579A" w:rsidP="00867A8F">
      <w:pPr>
        <w:ind w:left="720" w:hanging="720"/>
        <w:jc w:val="both"/>
        <w:rPr>
          <w:rFonts w:ascii="Avenir Next" w:hAnsi="Avenir Next" w:cs="Arial"/>
          <w:color w:val="808080" w:themeColor="background1" w:themeShade="80"/>
          <w:sz w:val="22"/>
          <w:szCs w:val="22"/>
          <w:lang w:val="en-GB"/>
        </w:rPr>
      </w:pPr>
    </w:p>
    <w:p w14:paraId="114555D8" w14:textId="289BC488" w:rsidR="007D7BA2" w:rsidRPr="00A5579A" w:rsidRDefault="00A5579A" w:rsidP="00867A8F">
      <w:pPr>
        <w:ind w:left="720" w:hanging="720"/>
        <w:jc w:val="both"/>
        <w:rPr>
          <w:color w:val="808080" w:themeColor="background1" w:themeShade="80"/>
        </w:rPr>
      </w:pPr>
      <w:r w:rsidRPr="007B08B2">
        <w:rPr>
          <w:rFonts w:ascii="Avenir Next" w:hAnsi="Avenir Next" w:cs="Arial"/>
          <w:color w:val="808080" w:themeColor="background1" w:themeShade="80"/>
          <w:sz w:val="22"/>
          <w:szCs w:val="22"/>
          <w:lang w:val="en-GB"/>
        </w:rPr>
        <w:t xml:space="preserve">               </w:t>
      </w:r>
      <w:r w:rsidRPr="009B4E34">
        <w:rPr>
          <w:rFonts w:ascii="Avenir Next" w:hAnsi="Avenir Next" w:cs="Arial"/>
          <w:b/>
          <w:bCs/>
          <w:color w:val="808080" w:themeColor="background1" w:themeShade="80"/>
          <w:sz w:val="22"/>
          <w:szCs w:val="22"/>
          <w:lang w:val="en-GB"/>
        </w:rPr>
        <w:t>Held</w:t>
      </w:r>
      <w:r w:rsidRPr="007B08B2">
        <w:rPr>
          <w:rFonts w:ascii="Avenir Next" w:hAnsi="Avenir Next" w:cs="Arial"/>
          <w:color w:val="808080" w:themeColor="background1" w:themeShade="80"/>
          <w:sz w:val="22"/>
          <w:szCs w:val="22"/>
          <w:lang w:val="en-GB"/>
        </w:rPr>
        <w:t xml:space="preserve">: </w:t>
      </w:r>
      <w:r w:rsidR="009B5779" w:rsidRPr="007B08B2">
        <w:rPr>
          <w:rFonts w:ascii="Avenir Next" w:hAnsi="Avenir Next" w:cs="Arial"/>
          <w:color w:val="808080" w:themeColor="background1" w:themeShade="80"/>
          <w:sz w:val="22"/>
          <w:szCs w:val="22"/>
          <w:lang w:val="en-GB"/>
        </w:rPr>
        <w:t xml:space="preserve">In deciding whether the </w:t>
      </w:r>
      <w:r w:rsidR="009B4E34">
        <w:rPr>
          <w:rFonts w:ascii="Avenir Next" w:hAnsi="Avenir Next" w:cs="Arial"/>
          <w:color w:val="808080" w:themeColor="background1" w:themeShade="80"/>
          <w:sz w:val="22"/>
          <w:szCs w:val="22"/>
          <w:lang w:val="en-GB"/>
        </w:rPr>
        <w:t xml:space="preserve">worldwide </w:t>
      </w:r>
      <w:r w:rsidR="009B5779" w:rsidRPr="007B08B2">
        <w:rPr>
          <w:rFonts w:ascii="Avenir Next" w:hAnsi="Avenir Next" w:cs="Arial"/>
          <w:color w:val="808080" w:themeColor="background1" w:themeShade="80"/>
          <w:sz w:val="22"/>
          <w:szCs w:val="22"/>
          <w:lang w:val="en-GB"/>
        </w:rPr>
        <w:t>freezing order should continu</w:t>
      </w:r>
      <w:r w:rsidR="00E132B6" w:rsidRPr="007B08B2">
        <w:rPr>
          <w:rFonts w:ascii="Avenir Next" w:hAnsi="Avenir Next" w:cs="Arial"/>
          <w:color w:val="808080" w:themeColor="background1" w:themeShade="80"/>
          <w:sz w:val="22"/>
          <w:szCs w:val="22"/>
          <w:lang w:val="en-GB"/>
        </w:rPr>
        <w:t xml:space="preserve">e under Article 21, the court observed in the negative, as the </w:t>
      </w:r>
      <w:r w:rsidRPr="007B08B2">
        <w:rPr>
          <w:rFonts w:ascii="Avenir Next" w:hAnsi="Avenir Next" w:cs="Arial"/>
          <w:color w:val="808080" w:themeColor="background1" w:themeShade="80"/>
          <w:sz w:val="22"/>
          <w:szCs w:val="22"/>
          <w:lang w:val="en-GB"/>
        </w:rPr>
        <w:t xml:space="preserve">court held that, when the recognition order was made, the provisional suspension under the freezing order was superseded by a permanent suspension of the bankrupt’s rights by way of Article 20(1) and Article 20(2) of the Model Law. </w:t>
      </w:r>
      <w:r w:rsidR="009B4E34">
        <w:rPr>
          <w:rFonts w:ascii="Avenir Next" w:hAnsi="Avenir Next" w:cs="Arial"/>
          <w:color w:val="808080" w:themeColor="background1" w:themeShade="80"/>
          <w:sz w:val="22"/>
          <w:szCs w:val="22"/>
          <w:lang w:val="en-GB"/>
        </w:rPr>
        <w:t>Hence, t</w:t>
      </w:r>
      <w:r w:rsidRPr="007B08B2">
        <w:rPr>
          <w:rFonts w:ascii="Avenir Next" w:hAnsi="Avenir Next" w:cs="Arial"/>
          <w:color w:val="808080" w:themeColor="background1" w:themeShade="80"/>
          <w:sz w:val="22"/>
          <w:szCs w:val="22"/>
          <w:lang w:val="en-GB"/>
        </w:rPr>
        <w:t>here was no reason for the freezing order to be extended</w:t>
      </w:r>
      <w:r>
        <w:rPr>
          <w:rStyle w:val="FootnoteReference"/>
          <w:color w:val="808080" w:themeColor="background1" w:themeShade="80"/>
        </w:rPr>
        <w:footnoteReference w:id="51"/>
      </w:r>
      <w:r w:rsidRPr="00A5579A">
        <w:rPr>
          <w:color w:val="808080" w:themeColor="background1" w:themeShade="80"/>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lastRenderedPageBreak/>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9B4E34"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w:t>
      </w:r>
      <w:r w:rsidRPr="009B4E34">
        <w:rPr>
          <w:rFonts w:ascii="Avenir Next" w:hAnsi="Avenir Next" w:cs="Arial"/>
          <w:color w:val="000000"/>
          <w:sz w:val="22"/>
          <w:szCs w:val="22"/>
          <w:lang w:val="en-GB" w:eastAsia="en-GB"/>
        </w:rPr>
        <w:t>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 xml:space="preserve">Proceedings were </w:t>
      </w:r>
      <w:r w:rsidR="004137C3" w:rsidRPr="009B4E34">
        <w:rPr>
          <w:rFonts w:ascii="Avenir Next" w:hAnsi="Avenir Next" w:cs="Arial"/>
          <w:color w:val="000000"/>
          <w:sz w:val="22"/>
          <w:szCs w:val="22"/>
          <w:lang w:val="en-GB" w:eastAsia="en-GB"/>
        </w:rPr>
        <w:t xml:space="preserve">commenced </w:t>
      </w:r>
      <w:r w:rsidRPr="009B4E34">
        <w:rPr>
          <w:rFonts w:ascii="Avenir Next" w:hAnsi="Avenir Next" w:cs="Arial"/>
          <w:color w:val="000000"/>
          <w:sz w:val="22"/>
          <w:szCs w:val="22"/>
          <w:lang w:val="en-GB" w:eastAsia="en-GB"/>
        </w:rPr>
        <w:t>in the High Court</w:t>
      </w:r>
      <w:r w:rsidRPr="00E2622D">
        <w:rPr>
          <w:rFonts w:ascii="Avenir Next" w:hAnsi="Avenir Next" w:cs="Arial"/>
          <w:color w:val="000000"/>
          <w:sz w:val="22"/>
          <w:szCs w:val="22"/>
          <w:lang w:val="en-GB" w:eastAsia="en-GB"/>
        </w:rPr>
        <w:t xml:space="preserve">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 xml:space="preserve">The NB may classify a bank as </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troubled</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 xml:space="preserve">The NB is obliged to classify a bank as insolvent if it meets the criteria set </w:t>
      </w:r>
      <w:r w:rsidRPr="009B4E34">
        <w:rPr>
          <w:rFonts w:ascii="Avenir Next" w:hAnsi="Avenir Next" w:cs="Arial"/>
          <w:color w:val="000000"/>
          <w:sz w:val="22"/>
          <w:szCs w:val="22"/>
          <w:lang w:val="en-GB" w:eastAsia="en-GB"/>
        </w:rPr>
        <w:t>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276E4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276E4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276E4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9B4E34">
        <w:rPr>
          <w:rFonts w:ascii="Avenir Next" w:hAnsi="Avenir Next" w:cs="Arial"/>
          <w:color w:val="000000"/>
          <w:sz w:val="22"/>
          <w:szCs w:val="22"/>
          <w:lang w:val="en-GB" w:eastAsia="en-GB"/>
        </w:rPr>
        <w:lastRenderedPageBreak/>
        <w:t xml:space="preserve">The NB has the ability to classify a bank as insolvent without necessarily needing </w:t>
      </w:r>
      <w:r w:rsidR="00860E61" w:rsidRPr="009B4E34">
        <w:rPr>
          <w:rFonts w:ascii="Avenir Next" w:hAnsi="Avenir Next" w:cs="Arial"/>
          <w:color w:val="000000"/>
          <w:sz w:val="22"/>
          <w:szCs w:val="22"/>
          <w:lang w:val="en-GB" w:eastAsia="en-GB"/>
        </w:rPr>
        <w:t xml:space="preserve">to </w:t>
      </w:r>
      <w:r w:rsidRPr="009B4E34">
        <w:rPr>
          <w:rFonts w:ascii="Avenir Next" w:hAnsi="Avenir Next" w:cs="Arial"/>
          <w:color w:val="000000"/>
          <w:sz w:val="22"/>
          <w:szCs w:val="22"/>
          <w:lang w:val="en-GB" w:eastAsia="en-GB"/>
        </w:rPr>
        <w:t xml:space="preserve">first go through the troubled stage. Article 77 </w:t>
      </w:r>
      <w:r w:rsidR="0050682B" w:rsidRPr="009B4E34">
        <w:rPr>
          <w:rFonts w:ascii="Avenir Next" w:hAnsi="Avenir Next" w:cs="Arial"/>
          <w:color w:val="000000"/>
          <w:sz w:val="22"/>
          <w:szCs w:val="22"/>
          <w:lang w:val="en-GB" w:eastAsia="en-GB"/>
        </w:rPr>
        <w:t xml:space="preserve">of the </w:t>
      </w:r>
      <w:r w:rsidRPr="009B4E34">
        <w:rPr>
          <w:rFonts w:ascii="Avenir Next" w:hAnsi="Avenir Next" w:cs="Arial"/>
          <w:color w:val="000000"/>
          <w:sz w:val="22"/>
          <w:szCs w:val="22"/>
          <w:lang w:val="en-GB" w:eastAsia="en-GB"/>
        </w:rPr>
        <w:t>LBBA accordingly provides that a bank can be liquidated by the NB directly</w:t>
      </w:r>
      <w:r w:rsidR="00860E61"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9B4E34"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interim or provisional administration and its ultimate </w:t>
      </w:r>
      <w:r w:rsidRPr="009B4E34">
        <w:rPr>
          <w:rFonts w:ascii="Avenir Next" w:hAnsi="Avenir Next" w:cs="Arial"/>
          <w:color w:val="000000"/>
          <w:sz w:val="22"/>
          <w:szCs w:val="22"/>
          <w:lang w:val="en-GB" w:eastAsia="en-GB"/>
        </w:rPr>
        <w:t>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276E42">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276E42">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decision to revoke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9B4E34">
        <w:rPr>
          <w:rFonts w:ascii="Avenir Next" w:hAnsi="Avenir Next" w:cs="Arial"/>
          <w:sz w:val="22"/>
          <w:szCs w:val="22"/>
          <w:lang w:val="en-GB" w:eastAsia="en-GB"/>
        </w:rPr>
        <w:t xml:space="preserve">As liquidator, the DGF has </w:t>
      </w:r>
      <w:r w:rsidRPr="00E2622D">
        <w:rPr>
          <w:rFonts w:ascii="Avenir Next" w:hAnsi="Avenir Next" w:cs="Arial"/>
          <w:color w:val="000000"/>
          <w:sz w:val="22"/>
          <w:szCs w:val="22"/>
          <w:lang w:val="en-GB" w:eastAsia="en-GB"/>
        </w:rPr>
        <w:t>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276E4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9B4E34" w:rsidRDefault="008A7470" w:rsidP="00276E42">
      <w:pPr>
        <w:pStyle w:val="ListParagraph"/>
        <w:numPr>
          <w:ilvl w:val="0"/>
          <w:numId w:val="13"/>
        </w:numPr>
        <w:ind w:left="426" w:hanging="357"/>
        <w:jc w:val="both"/>
        <w:rPr>
          <w:rFonts w:ascii="Avenir Next" w:hAnsi="Avenir Next" w:cs="Arial"/>
          <w:sz w:val="22"/>
          <w:szCs w:val="22"/>
          <w:lang w:val="en-GB" w:eastAsia="en-GB"/>
        </w:rPr>
      </w:pPr>
      <w:r w:rsidRPr="009B4E34">
        <w:rPr>
          <w:rFonts w:ascii="Avenir Next" w:hAnsi="Avenir Next" w:cs="Arial"/>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276E4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276E4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276E4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276E4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9B4E34" w:rsidRDefault="006B4FFC" w:rsidP="006B4FFC">
      <w:pPr>
        <w:jc w:val="both"/>
        <w:rPr>
          <w:rFonts w:ascii="Avenir Next" w:hAnsi="Avenir Next" w:cs="Arial"/>
          <w:sz w:val="22"/>
          <w:szCs w:val="22"/>
          <w:lang w:val="en-GB" w:eastAsia="en-GB"/>
        </w:rPr>
      </w:pPr>
    </w:p>
    <w:p w14:paraId="09753855" w14:textId="62E6C3A9" w:rsidR="008A7470" w:rsidRPr="009B4E34" w:rsidRDefault="008A7470" w:rsidP="006B4FFC">
      <w:pPr>
        <w:jc w:val="both"/>
        <w:rPr>
          <w:rFonts w:ascii="Avenir Next" w:hAnsi="Avenir Next" w:cs="Arial"/>
          <w:sz w:val="22"/>
          <w:szCs w:val="22"/>
          <w:lang w:val="en-GB" w:eastAsia="en-GB"/>
        </w:rPr>
      </w:pPr>
      <w:r w:rsidRPr="009B4E34">
        <w:rPr>
          <w:rFonts w:ascii="Avenir Next" w:hAnsi="Avenir Next" w:cs="Arial"/>
          <w:sz w:val="22"/>
          <w:szCs w:val="22"/>
          <w:lang w:val="en-GB" w:eastAsia="en-GB"/>
        </w:rPr>
        <w:t xml:space="preserve">However, article 48(3) of the DGF Law empowers the DGF to delegate its powers to an </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authorised officer</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 xml:space="preserve"> or </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authorised person</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 xml:space="preserve">. The </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Fund</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s authorised person</w:t>
      </w:r>
      <w:r w:rsidR="008512FA" w:rsidRPr="009B4E34">
        <w:rPr>
          <w:rFonts w:ascii="Avenir Next" w:hAnsi="Avenir Next" w:cs="Arial"/>
          <w:sz w:val="22"/>
          <w:szCs w:val="22"/>
          <w:lang w:val="en-GB" w:eastAsia="en-GB"/>
        </w:rPr>
        <w:t>”</w:t>
      </w:r>
      <w:r w:rsidRPr="009B4E34">
        <w:rPr>
          <w:rFonts w:ascii="Avenir Next" w:hAnsi="Avenir Next" w:cs="Arial"/>
          <w:sz w:val="22"/>
          <w:szCs w:val="22"/>
          <w:lang w:val="en-GB" w:eastAsia="en-GB"/>
        </w:rPr>
        <w:t xml:space="preserve"> is defined by article 2(1)(17) of the DGF </w:t>
      </w:r>
      <w:r w:rsidR="002F78CA" w:rsidRPr="009B4E34">
        <w:rPr>
          <w:rFonts w:ascii="Avenir Next" w:hAnsi="Avenir Next" w:cs="Arial"/>
          <w:sz w:val="22"/>
          <w:szCs w:val="22"/>
          <w:lang w:val="en-GB" w:eastAsia="en-GB"/>
        </w:rPr>
        <w:t>L</w:t>
      </w:r>
      <w:r w:rsidRPr="009B4E34">
        <w:rPr>
          <w:rFonts w:ascii="Avenir Next" w:hAnsi="Avenir Next" w:cs="Arial"/>
          <w:sz w:val="22"/>
          <w:szCs w:val="22"/>
          <w:lang w:val="en-GB" w:eastAsia="en-GB"/>
        </w:rPr>
        <w:t xml:space="preserve">aw as: </w:t>
      </w:r>
      <w:r w:rsidR="008512FA" w:rsidRPr="009B4E34">
        <w:rPr>
          <w:rFonts w:ascii="Avenir Next" w:hAnsi="Avenir Next" w:cs="Arial"/>
          <w:i/>
          <w:iCs/>
          <w:sz w:val="22"/>
          <w:szCs w:val="22"/>
          <w:lang w:val="en-GB" w:eastAsia="en-GB"/>
        </w:rPr>
        <w:t>“</w:t>
      </w:r>
      <w:r w:rsidRPr="009B4E34">
        <w:rPr>
          <w:rFonts w:ascii="Avenir Next" w:hAnsi="Avenir Next" w:cs="Arial"/>
          <w:i/>
          <w:iCs/>
          <w:sz w:val="22"/>
          <w:szCs w:val="22"/>
          <w:lang w:val="en-GB" w:eastAsia="en-GB"/>
        </w:rPr>
        <w:t>an employee of the Fund, who on behalf of the Fund and within the powers provided for by this Law and</w:t>
      </w:r>
      <w:r w:rsidR="003427B9" w:rsidRPr="009B4E34">
        <w:rPr>
          <w:rFonts w:ascii="Avenir Next" w:hAnsi="Avenir Next" w:cs="Arial"/>
          <w:i/>
          <w:iCs/>
          <w:sz w:val="22"/>
          <w:szCs w:val="22"/>
          <w:lang w:val="en-GB" w:eastAsia="en-GB"/>
        </w:rPr>
        <w:t xml:space="preserve"> </w:t>
      </w:r>
      <w:r w:rsidRPr="009B4E34">
        <w:rPr>
          <w:rFonts w:ascii="Avenir Next" w:hAnsi="Avenir Next" w:cs="Arial"/>
          <w:i/>
          <w:iCs/>
          <w:sz w:val="22"/>
          <w:szCs w:val="22"/>
          <w:lang w:val="en-GB" w:eastAsia="en-GB"/>
        </w:rPr>
        <w:t>/</w:t>
      </w:r>
      <w:r w:rsidR="003427B9" w:rsidRPr="009B4E34">
        <w:rPr>
          <w:rFonts w:ascii="Avenir Next" w:hAnsi="Avenir Next" w:cs="Arial"/>
          <w:i/>
          <w:iCs/>
          <w:sz w:val="22"/>
          <w:szCs w:val="22"/>
          <w:lang w:val="en-GB" w:eastAsia="en-GB"/>
        </w:rPr>
        <w:t xml:space="preserve"> </w:t>
      </w:r>
      <w:r w:rsidRPr="009B4E34">
        <w:rPr>
          <w:rFonts w:ascii="Avenir Next" w:hAnsi="Avenir Next" w:cs="Arial"/>
          <w:i/>
          <w:iCs/>
          <w:sz w:val="22"/>
          <w:szCs w:val="22"/>
          <w:lang w:val="en-GB" w:eastAsia="en-GB"/>
        </w:rPr>
        <w:t>or delegated by the Fund, performs actions to ensure the bank</w:t>
      </w:r>
      <w:r w:rsidR="008512FA" w:rsidRPr="009B4E34">
        <w:rPr>
          <w:rFonts w:ascii="Avenir Next" w:hAnsi="Avenir Next" w:cs="Arial"/>
          <w:i/>
          <w:iCs/>
          <w:sz w:val="22"/>
          <w:szCs w:val="22"/>
          <w:lang w:val="en-GB" w:eastAsia="en-GB"/>
        </w:rPr>
        <w:t>’</w:t>
      </w:r>
      <w:r w:rsidRPr="009B4E34">
        <w:rPr>
          <w:rFonts w:ascii="Avenir Next" w:hAnsi="Avenir Next" w:cs="Arial"/>
          <w:i/>
          <w:iCs/>
          <w:sz w:val="22"/>
          <w:szCs w:val="22"/>
          <w:lang w:val="en-GB" w:eastAsia="en-GB"/>
        </w:rPr>
        <w:t>s withdrawal from the market during provisional administration of the insolvent bank and/or bank liquidation</w:t>
      </w:r>
      <w:r w:rsidR="008512FA" w:rsidRPr="009B4E34">
        <w:rPr>
          <w:rFonts w:ascii="Avenir Next" w:hAnsi="Avenir Next" w:cs="Arial"/>
          <w:i/>
          <w:iCs/>
          <w:sz w:val="22"/>
          <w:szCs w:val="22"/>
          <w:lang w:val="en-GB" w:eastAsia="en-GB"/>
        </w:rPr>
        <w:t>”</w:t>
      </w:r>
      <w:r w:rsidRPr="009B4E34">
        <w:rPr>
          <w:rFonts w:ascii="Avenir Next" w:hAnsi="Avenir Next" w:cs="Arial"/>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w:t>
      </w:r>
      <w:r w:rsidR="008A7470" w:rsidRPr="009B4E34">
        <w:rPr>
          <w:rFonts w:ascii="Avenir Next" w:hAnsi="Avenir Next" w:cs="Arial"/>
          <w:color w:val="000000"/>
          <w:sz w:val="22"/>
          <w:szCs w:val="22"/>
          <w:lang w:val="en-GB" w:eastAsia="en-GB"/>
        </w:rPr>
        <w:t>The statistical reports-based analysis of the Bank</w:t>
      </w:r>
      <w:r w:rsidRPr="009B4E34">
        <w:rPr>
          <w:rFonts w:ascii="Avenir Next" w:hAnsi="Avenir Next" w:cs="Arial"/>
          <w:color w:val="000000"/>
          <w:sz w:val="22"/>
          <w:szCs w:val="22"/>
          <w:lang w:val="en-GB" w:eastAsia="en-GB"/>
        </w:rPr>
        <w:t>’</w:t>
      </w:r>
      <w:r w:rsidR="008A7470" w:rsidRPr="009B4E34">
        <w:rPr>
          <w:rFonts w:ascii="Avenir Next" w:hAnsi="Avenir Next" w:cs="Arial"/>
          <w:color w:val="000000"/>
          <w:sz w:val="22"/>
          <w:szCs w:val="22"/>
          <w:lang w:val="en-GB" w:eastAsia="en-GB"/>
        </w:rPr>
        <w:t>s compliance with the banking law requirements has found that the Bank has been engaged in risky operations</w:t>
      </w:r>
      <w:r w:rsidR="003B1310"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276E4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276E4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276E4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276E4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276E4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9B4E34" w:rsidRDefault="008A7470" w:rsidP="00424D07">
      <w:pPr>
        <w:jc w:val="both"/>
        <w:rPr>
          <w:rFonts w:ascii="Avenir Next" w:hAnsi="Avenir Next" w:cs="Arial"/>
          <w:color w:val="000000"/>
          <w:sz w:val="22"/>
          <w:szCs w:val="22"/>
          <w:lang w:val="en-GB" w:eastAsia="en-GB"/>
        </w:rPr>
      </w:pPr>
      <w:bookmarkStart w:id="25" w:name="para39"/>
      <w:r w:rsidRPr="009B4E34">
        <w:rPr>
          <w:rFonts w:ascii="Avenir Next" w:hAnsi="Avenir Next" w:cs="Arial"/>
          <w:color w:val="000000"/>
          <w:sz w:val="22"/>
          <w:szCs w:val="22"/>
          <w:lang w:val="en-GB" w:eastAsia="en-GB"/>
        </w:rPr>
        <w:t>Despite initially appearing to improve, by September 2015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9B4E34" w:rsidRDefault="00424D07" w:rsidP="00424D07">
      <w:pPr>
        <w:jc w:val="both"/>
        <w:rPr>
          <w:rFonts w:ascii="Avenir Next" w:hAnsi="Avenir Next" w:cs="Arial"/>
          <w:color w:val="000000"/>
          <w:sz w:val="22"/>
          <w:szCs w:val="22"/>
          <w:lang w:val="en-GB" w:eastAsia="en-GB"/>
        </w:rPr>
      </w:pPr>
    </w:p>
    <w:p w14:paraId="7E962B78" w14:textId="70259619" w:rsidR="008A7470" w:rsidRPr="009B4E34" w:rsidRDefault="008A7470" w:rsidP="00424D07">
      <w:pPr>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Three months later, on 17 December 2015, the NB formally revoked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4E34"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Ms G</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leading bank liquidation professional</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 xml:space="preserve">. It delegates to her </w:t>
      </w:r>
      <w:proofErr w:type="gramStart"/>
      <w:r w:rsidRPr="009B4E34">
        <w:rPr>
          <w:rFonts w:ascii="Avenir Next" w:hAnsi="Avenir Next" w:cs="Arial"/>
          <w:color w:val="000000"/>
          <w:sz w:val="22"/>
          <w:szCs w:val="22"/>
          <w:lang w:val="en-GB" w:eastAsia="en-GB"/>
        </w:rPr>
        <w:t>all liquidation</w:t>
      </w:r>
      <w:proofErr w:type="gramEnd"/>
      <w:r w:rsidRPr="009B4E34">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assets in the manner prescribed by the DGF Law. Resolution 1513 expressly excludes from Ms G</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assets. Each of the excluded powers remains vested in the DGF as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9B4E34" w:rsidRDefault="008A7470" w:rsidP="00424D07">
      <w:pPr>
        <w:jc w:val="both"/>
        <w:rPr>
          <w:rFonts w:ascii="Avenir Next" w:hAnsi="Avenir Next" w:cs="Arial"/>
          <w:color w:val="000000"/>
          <w:sz w:val="22"/>
          <w:szCs w:val="22"/>
          <w:lang w:val="en-GB" w:eastAsia="en-GB"/>
        </w:rPr>
      </w:pPr>
      <w:r w:rsidRPr="009B4E34">
        <w:rPr>
          <w:rFonts w:ascii="Avenir Next" w:hAnsi="Avenir Next" w:cs="Arial"/>
          <w:color w:val="000000"/>
          <w:sz w:val="22"/>
          <w:szCs w:val="22"/>
          <w:lang w:val="en-GB" w:eastAsia="en-GB"/>
        </w:rPr>
        <w:t>On 7 September 2020, the DGF resolved to approve an amended list of creditors</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 xml:space="preserve"> claims totalling approximately US</w:t>
      </w:r>
      <w:r w:rsidR="0056535A" w:rsidRPr="009B4E34">
        <w:rPr>
          <w:rFonts w:ascii="Avenir Next" w:hAnsi="Avenir Next" w:cs="Arial"/>
          <w:color w:val="000000"/>
          <w:sz w:val="22"/>
          <w:szCs w:val="22"/>
          <w:lang w:val="en-GB" w:eastAsia="en-GB"/>
        </w:rPr>
        <w:t>D</w:t>
      </w:r>
      <w:r w:rsidRPr="009B4E34">
        <w:rPr>
          <w:rFonts w:ascii="Avenir Next" w:hAnsi="Avenir Next" w:cs="Arial"/>
          <w:color w:val="000000"/>
          <w:sz w:val="22"/>
          <w:szCs w:val="22"/>
          <w:lang w:val="en-GB" w:eastAsia="en-GB"/>
        </w:rPr>
        <w:t xml:space="preserve"> 1.113 billion. The Affidavit states that the Bank</w:t>
      </w:r>
      <w:r w:rsidR="008512FA"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s current, estimated deficiency exceeds US</w:t>
      </w:r>
      <w:r w:rsidR="0056535A" w:rsidRPr="009B4E34">
        <w:rPr>
          <w:rFonts w:ascii="Avenir Next" w:hAnsi="Avenir Next" w:cs="Arial"/>
          <w:color w:val="000000"/>
          <w:sz w:val="22"/>
          <w:szCs w:val="22"/>
          <w:lang w:val="en-GB" w:eastAsia="en-GB"/>
        </w:rPr>
        <w:t>D</w:t>
      </w:r>
      <w:r w:rsidRPr="009B4E34">
        <w:rPr>
          <w:rFonts w:ascii="Avenir Next" w:hAnsi="Avenir Next" w:cs="Arial"/>
          <w:color w:val="000000"/>
          <w:sz w:val="22"/>
          <w:szCs w:val="22"/>
          <w:lang w:val="en-GB" w:eastAsia="en-GB"/>
        </w:rPr>
        <w:t xml:space="preserve"> 823 million.</w:t>
      </w:r>
      <w:bookmarkEnd w:id="27"/>
    </w:p>
    <w:p w14:paraId="494F9F45" w14:textId="77777777" w:rsidR="00F87BEA" w:rsidRPr="009B4E34" w:rsidRDefault="00F87BEA" w:rsidP="00424D07">
      <w:pPr>
        <w:jc w:val="both"/>
        <w:rPr>
          <w:rFonts w:ascii="Avenir Next" w:hAnsi="Avenir Next" w:cs="Arial"/>
          <w:color w:val="000000"/>
          <w:sz w:val="22"/>
          <w:szCs w:val="22"/>
          <w:lang w:val="en-GB" w:eastAsia="en-GB"/>
        </w:rPr>
      </w:pPr>
    </w:p>
    <w:p w14:paraId="5199ECB1" w14:textId="51A02551" w:rsidR="008A7470" w:rsidRPr="009B4E34" w:rsidRDefault="008A7470" w:rsidP="008A7470">
      <w:pPr>
        <w:jc w:val="both"/>
        <w:rPr>
          <w:rFonts w:ascii="Avenir Next Demi Bold" w:hAnsi="Avenir Next Demi Bold" w:cs="Arial"/>
          <w:b/>
          <w:bCs/>
          <w:sz w:val="22"/>
          <w:szCs w:val="22"/>
          <w:lang w:val="en-GB"/>
        </w:rPr>
      </w:pPr>
      <w:r w:rsidRPr="009B4E34">
        <w:rPr>
          <w:rFonts w:ascii="Avenir Next Demi Bold" w:hAnsi="Avenir Next Demi Bold" w:cs="Arial"/>
          <w:b/>
          <w:bCs/>
          <w:sz w:val="22"/>
          <w:szCs w:val="22"/>
          <w:lang w:val="en-GB"/>
        </w:rPr>
        <w:t xml:space="preserve">QUESTION </w:t>
      </w:r>
      <w:r w:rsidR="0020264E" w:rsidRPr="009B4E34">
        <w:rPr>
          <w:rFonts w:ascii="Avenir Next Demi Bold" w:hAnsi="Avenir Next Demi Bold" w:cs="Arial"/>
          <w:b/>
          <w:bCs/>
          <w:sz w:val="22"/>
          <w:szCs w:val="22"/>
          <w:lang w:val="en-GB"/>
        </w:rPr>
        <w:t>4.1</w:t>
      </w:r>
      <w:r w:rsidR="0022599E" w:rsidRPr="009B4E34">
        <w:rPr>
          <w:rFonts w:ascii="Avenir Next Demi Bold" w:hAnsi="Avenir Next Demi Bold" w:cs="Arial"/>
          <w:b/>
          <w:bCs/>
          <w:sz w:val="22"/>
          <w:szCs w:val="22"/>
          <w:lang w:val="en-GB"/>
        </w:rPr>
        <w:t xml:space="preserve"> [maximum 15 marks]</w:t>
      </w:r>
    </w:p>
    <w:p w14:paraId="41AC2AB4" w14:textId="77777777" w:rsidR="0056535A" w:rsidRPr="009B4E34"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9B4E34">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9B4E34">
        <w:rPr>
          <w:rFonts w:ascii="Avenir Next" w:hAnsi="Avenir Next" w:cs="Arial"/>
          <w:color w:val="000000"/>
          <w:sz w:val="22"/>
          <w:szCs w:val="22"/>
          <w:lang w:val="en-GB" w:eastAsia="en-GB"/>
        </w:rPr>
        <w:t>the Commercial Bank for Business Corporation (the Bank), together with the DGF (the Applicants)</w:t>
      </w:r>
      <w:r w:rsidR="00001E0C" w:rsidRPr="009B4E34">
        <w:rPr>
          <w:rFonts w:ascii="Avenir Next" w:hAnsi="Avenir Next" w:cs="Arial"/>
          <w:color w:val="000000"/>
          <w:sz w:val="22"/>
          <w:szCs w:val="22"/>
          <w:lang w:val="en-GB" w:eastAsia="en-GB"/>
        </w:rPr>
        <w:t>,</w:t>
      </w:r>
      <w:r w:rsidRPr="009B4E34">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4E34">
        <w:rPr>
          <w:rFonts w:ascii="Avenir Next" w:hAnsi="Avenir Next" w:cs="Arial"/>
          <w:color w:val="000000"/>
          <w:sz w:val="22"/>
          <w:szCs w:val="22"/>
          <w:lang w:val="en-GB" w:eastAsia="en-GB"/>
        </w:rPr>
        <w:t>ed version</w:t>
      </w:r>
      <w:r w:rsidRPr="009B4E34">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DB29B40" w14:textId="23E5DBB4" w:rsidR="00C43D91" w:rsidRPr="00183649" w:rsidRDefault="00183649" w:rsidP="00957951">
      <w:pPr>
        <w:ind w:left="720" w:hanging="720"/>
        <w:jc w:val="both"/>
        <w:rPr>
          <w:rFonts w:ascii="Avenir Next" w:hAnsi="Avenir Next" w:cs="Arial"/>
          <w:color w:val="808080" w:themeColor="background1" w:themeShade="80"/>
          <w:sz w:val="22"/>
          <w:szCs w:val="22"/>
          <w:lang w:val="en-GB" w:eastAsia="en-GB"/>
        </w:rPr>
      </w:pPr>
      <w:r w:rsidRPr="00183649">
        <w:rPr>
          <w:rFonts w:ascii="Avenir Next" w:hAnsi="Avenir Next" w:cs="Arial"/>
          <w:color w:val="808080" w:themeColor="background1" w:themeShade="80"/>
          <w:sz w:val="22"/>
          <w:szCs w:val="22"/>
          <w:lang w:val="en-GB" w:eastAsia="en-GB"/>
        </w:rPr>
        <w:t xml:space="preserve"> </w:t>
      </w:r>
    </w:p>
    <w:p w14:paraId="05AE71D0" w14:textId="77777777" w:rsidR="00C43D91" w:rsidRPr="00183649" w:rsidRDefault="00C43D91" w:rsidP="00957951">
      <w:pPr>
        <w:ind w:left="720" w:hanging="720"/>
        <w:jc w:val="both"/>
        <w:rPr>
          <w:rFonts w:ascii="Avenir Next" w:hAnsi="Avenir Next" w:cs="Arial"/>
          <w:color w:val="808080" w:themeColor="background1" w:themeShade="80"/>
          <w:sz w:val="22"/>
          <w:szCs w:val="22"/>
          <w:lang w:val="en-GB" w:eastAsia="en-GB"/>
        </w:rPr>
      </w:pPr>
    </w:p>
    <w:p w14:paraId="0B930C46" w14:textId="64526346" w:rsidR="00C43D91" w:rsidRPr="00183649" w:rsidRDefault="00183649" w:rsidP="00957951">
      <w:pPr>
        <w:ind w:left="720" w:hanging="720"/>
        <w:jc w:val="both"/>
        <w:rPr>
          <w:rFonts w:ascii="Avenir Next" w:hAnsi="Avenir Next" w:cs="Arial"/>
          <w:color w:val="808080" w:themeColor="background1" w:themeShade="80"/>
          <w:sz w:val="22"/>
          <w:szCs w:val="22"/>
          <w:lang w:val="en-GB" w:eastAsia="en-GB"/>
        </w:rPr>
      </w:pPr>
      <w:r w:rsidRPr="00183649">
        <w:rPr>
          <w:rFonts w:ascii="Avenir Next" w:hAnsi="Avenir Next" w:cs="Arial"/>
          <w:color w:val="808080" w:themeColor="background1" w:themeShade="80"/>
          <w:sz w:val="22"/>
          <w:szCs w:val="22"/>
          <w:lang w:val="en-GB" w:eastAsia="en-GB"/>
        </w:rPr>
        <w:t xml:space="preserve">               </w:t>
      </w:r>
      <w:r w:rsidR="00243AD1" w:rsidRPr="00183649">
        <w:rPr>
          <w:rFonts w:ascii="Avenir Next" w:hAnsi="Avenir Next" w:cs="Arial"/>
          <w:color w:val="808080" w:themeColor="background1" w:themeShade="80"/>
          <w:sz w:val="22"/>
          <w:szCs w:val="22"/>
          <w:lang w:val="en-GB" w:eastAsia="en-GB"/>
        </w:rPr>
        <w:t xml:space="preserve">In reference to Article 2(1) of the Model Law, </w:t>
      </w:r>
      <w:r w:rsidR="0022276C" w:rsidRPr="00183649">
        <w:rPr>
          <w:rFonts w:ascii="Avenir Next" w:hAnsi="Avenir Next" w:cs="Arial"/>
          <w:color w:val="808080" w:themeColor="background1" w:themeShade="80"/>
          <w:sz w:val="22"/>
          <w:szCs w:val="22"/>
          <w:lang w:val="en-GB" w:eastAsia="en-GB"/>
        </w:rPr>
        <w:t xml:space="preserve">to qualify as “foreign proceedings”, </w:t>
      </w:r>
      <w:r w:rsidR="00B9752B" w:rsidRPr="00183649">
        <w:rPr>
          <w:rFonts w:ascii="Avenir Next" w:hAnsi="Avenir Next" w:cs="Arial"/>
          <w:color w:val="808080" w:themeColor="background1" w:themeShade="80"/>
          <w:sz w:val="22"/>
          <w:szCs w:val="22"/>
          <w:lang w:val="en-GB" w:eastAsia="en-GB"/>
        </w:rPr>
        <w:t xml:space="preserve">there are certain requirements to be met. The said </w:t>
      </w:r>
      <w:r w:rsidR="00BB75FB" w:rsidRPr="00183649">
        <w:rPr>
          <w:rFonts w:ascii="Avenir Next" w:hAnsi="Avenir Next" w:cs="Arial"/>
          <w:color w:val="808080" w:themeColor="background1" w:themeShade="80"/>
          <w:sz w:val="22"/>
          <w:szCs w:val="22"/>
          <w:lang w:val="en-GB" w:eastAsia="en-GB"/>
        </w:rPr>
        <w:t>requirements</w:t>
      </w:r>
      <w:r w:rsidR="00B9752B" w:rsidRPr="00183649">
        <w:rPr>
          <w:rFonts w:ascii="Avenir Next" w:hAnsi="Avenir Next" w:cs="Arial"/>
          <w:color w:val="808080" w:themeColor="background1" w:themeShade="80"/>
          <w:sz w:val="22"/>
          <w:szCs w:val="22"/>
          <w:lang w:val="en-GB" w:eastAsia="en-GB"/>
        </w:rPr>
        <w:t xml:space="preserve"> are listed hereinbelow </w:t>
      </w:r>
      <w:r w:rsidR="00BB75FB" w:rsidRPr="00183649">
        <w:rPr>
          <w:rFonts w:ascii="Avenir Next" w:hAnsi="Avenir Next" w:cs="Arial"/>
          <w:color w:val="808080" w:themeColor="background1" w:themeShade="80"/>
          <w:sz w:val="22"/>
          <w:szCs w:val="22"/>
          <w:lang w:val="en-GB" w:eastAsia="en-GB"/>
        </w:rPr>
        <w:t>with</w:t>
      </w:r>
      <w:r w:rsidR="0077525E" w:rsidRPr="00183649">
        <w:rPr>
          <w:rFonts w:ascii="Avenir Next" w:hAnsi="Avenir Next" w:cs="Arial"/>
          <w:color w:val="808080" w:themeColor="background1" w:themeShade="80"/>
          <w:sz w:val="22"/>
          <w:szCs w:val="22"/>
          <w:lang w:val="en-GB" w:eastAsia="en-GB"/>
        </w:rPr>
        <w:t xml:space="preserve"> the respective </w:t>
      </w:r>
      <w:r w:rsidR="00B9752B" w:rsidRPr="00183649">
        <w:rPr>
          <w:rFonts w:ascii="Avenir Next" w:hAnsi="Avenir Next" w:cs="Arial"/>
          <w:color w:val="808080" w:themeColor="background1" w:themeShade="80"/>
          <w:sz w:val="22"/>
          <w:szCs w:val="22"/>
          <w:lang w:val="en-GB" w:eastAsia="en-GB"/>
        </w:rPr>
        <w:t>specific instances from the above fact set</w:t>
      </w:r>
      <w:r w:rsidR="0077525E" w:rsidRPr="00183649">
        <w:rPr>
          <w:rFonts w:ascii="Avenir Next" w:hAnsi="Avenir Next" w:cs="Arial"/>
          <w:color w:val="808080" w:themeColor="background1" w:themeShade="80"/>
          <w:sz w:val="22"/>
          <w:szCs w:val="22"/>
          <w:lang w:val="en-GB" w:eastAsia="en-GB"/>
        </w:rPr>
        <w:t xml:space="preserve">. </w:t>
      </w:r>
    </w:p>
    <w:p w14:paraId="20D56437" w14:textId="77777777" w:rsidR="00183649" w:rsidRPr="00183649" w:rsidRDefault="00183649" w:rsidP="00957951">
      <w:pPr>
        <w:ind w:left="720" w:hanging="720"/>
        <w:jc w:val="both"/>
        <w:rPr>
          <w:rFonts w:ascii="Avenir Next" w:hAnsi="Avenir Next" w:cs="Arial"/>
          <w:color w:val="808080" w:themeColor="background1" w:themeShade="80"/>
          <w:sz w:val="22"/>
          <w:szCs w:val="22"/>
          <w:lang w:val="en-GB" w:eastAsia="en-GB"/>
        </w:rPr>
      </w:pPr>
    </w:p>
    <w:p w14:paraId="7429432F" w14:textId="674788A9" w:rsidR="0077525E" w:rsidRPr="00183649" w:rsidRDefault="00183649" w:rsidP="00957951">
      <w:pPr>
        <w:ind w:left="720" w:hanging="720"/>
        <w:jc w:val="both"/>
        <w:rPr>
          <w:rFonts w:ascii="Avenir Next" w:hAnsi="Avenir Next" w:cs="Arial"/>
          <w:i/>
          <w:iCs/>
          <w:color w:val="808080" w:themeColor="background1" w:themeShade="80"/>
          <w:sz w:val="22"/>
          <w:szCs w:val="22"/>
          <w:lang w:val="en-GB" w:eastAsia="en-GB"/>
        </w:rPr>
      </w:pPr>
      <w:r w:rsidRPr="00183649">
        <w:rPr>
          <w:rFonts w:ascii="Avenir Next" w:hAnsi="Avenir Next" w:cs="Arial"/>
          <w:i/>
          <w:iCs/>
          <w:color w:val="808080" w:themeColor="background1" w:themeShade="80"/>
          <w:sz w:val="22"/>
          <w:szCs w:val="22"/>
          <w:lang w:val="en-GB" w:eastAsia="en-GB"/>
        </w:rPr>
        <w:t xml:space="preserve">               </w:t>
      </w:r>
      <w:r w:rsidR="0077525E" w:rsidRPr="00183649">
        <w:rPr>
          <w:rFonts w:ascii="Avenir Next" w:hAnsi="Avenir Next" w:cs="Arial"/>
          <w:i/>
          <w:iCs/>
          <w:color w:val="808080" w:themeColor="background1" w:themeShade="80"/>
          <w:sz w:val="22"/>
          <w:szCs w:val="22"/>
          <w:lang w:val="en-GB" w:eastAsia="en-GB"/>
        </w:rPr>
        <w:t xml:space="preserve">Assumption: For the purpose of analysis of the above fact set in light of the </w:t>
      </w:r>
      <w:r w:rsidR="00BB75FB" w:rsidRPr="00183649">
        <w:rPr>
          <w:rFonts w:ascii="Avenir Next" w:hAnsi="Avenir Next" w:cs="Arial"/>
          <w:i/>
          <w:iCs/>
          <w:color w:val="808080" w:themeColor="background1" w:themeShade="80"/>
          <w:sz w:val="22"/>
          <w:szCs w:val="22"/>
          <w:lang w:val="en-GB" w:eastAsia="en-GB"/>
        </w:rPr>
        <w:t>provisions</w:t>
      </w:r>
      <w:r w:rsidR="0077525E" w:rsidRPr="00183649">
        <w:rPr>
          <w:rFonts w:ascii="Avenir Next" w:hAnsi="Avenir Next" w:cs="Arial"/>
          <w:i/>
          <w:iCs/>
          <w:color w:val="808080" w:themeColor="background1" w:themeShade="80"/>
          <w:sz w:val="22"/>
          <w:szCs w:val="22"/>
          <w:lang w:val="en-GB" w:eastAsia="en-GB"/>
        </w:rPr>
        <w:t xml:space="preserve"> of the Model Law</w:t>
      </w:r>
      <w:r w:rsidR="00DA0C68">
        <w:rPr>
          <w:rFonts w:ascii="Avenir Next" w:hAnsi="Avenir Next" w:cs="Arial"/>
          <w:i/>
          <w:iCs/>
          <w:color w:val="808080" w:themeColor="background1" w:themeShade="80"/>
          <w:sz w:val="22"/>
          <w:szCs w:val="22"/>
          <w:lang w:val="en-GB" w:eastAsia="en-GB"/>
        </w:rPr>
        <w:t xml:space="preserve"> and </w:t>
      </w:r>
      <w:r w:rsidR="0077525E" w:rsidRPr="00183649">
        <w:rPr>
          <w:rFonts w:ascii="Avenir Next" w:hAnsi="Avenir Next" w:cs="Arial"/>
          <w:i/>
          <w:iCs/>
          <w:color w:val="808080" w:themeColor="background1" w:themeShade="80"/>
          <w:sz w:val="22"/>
          <w:szCs w:val="22"/>
          <w:lang w:val="en-GB" w:eastAsia="en-GB"/>
        </w:rPr>
        <w:t xml:space="preserve">to arrive at an answer as set out in question 4.1.1, </w:t>
      </w:r>
      <w:r w:rsidRPr="00183649">
        <w:rPr>
          <w:rFonts w:ascii="Avenir Next" w:hAnsi="Avenir Next" w:cs="Arial"/>
          <w:i/>
          <w:iCs/>
          <w:color w:val="808080" w:themeColor="background1" w:themeShade="80"/>
          <w:sz w:val="22"/>
          <w:szCs w:val="22"/>
          <w:lang w:val="en-GB" w:eastAsia="en-GB"/>
        </w:rPr>
        <w:t xml:space="preserve">it is assumed that in the UK, a financial services institution like a bank, qualifies as a ‘debtor’ under its insolvency law framework. </w:t>
      </w:r>
    </w:p>
    <w:p w14:paraId="7ECA296A" w14:textId="77777777" w:rsidR="00C43D91" w:rsidRDefault="00C43D91" w:rsidP="00957951">
      <w:pPr>
        <w:ind w:left="720" w:hanging="720"/>
        <w:jc w:val="both"/>
        <w:rPr>
          <w:rFonts w:ascii="Avenir Next" w:hAnsi="Avenir Next" w:cs="Arial"/>
          <w:color w:val="000000"/>
          <w:sz w:val="22"/>
          <w:szCs w:val="22"/>
          <w:lang w:val="en-GB" w:eastAsia="en-GB"/>
        </w:rPr>
      </w:pPr>
    </w:p>
    <w:p w14:paraId="28B3C6DF" w14:textId="2AACE1B6" w:rsidR="00183649" w:rsidRPr="00373F19" w:rsidRDefault="004C7C21" w:rsidP="00183649">
      <w:pPr>
        <w:pStyle w:val="ListParagraph"/>
        <w:numPr>
          <w:ilvl w:val="0"/>
          <w:numId w:val="20"/>
        </w:numPr>
        <w:jc w:val="both"/>
        <w:rPr>
          <w:rFonts w:ascii="Avenir Next" w:hAnsi="Avenir Next" w:cs="Arial"/>
          <w:color w:val="808080" w:themeColor="background1" w:themeShade="80"/>
          <w:sz w:val="22"/>
          <w:szCs w:val="22"/>
          <w:lang w:val="en-GB" w:eastAsia="en-GB"/>
        </w:rPr>
      </w:pPr>
      <w:r w:rsidRPr="007F2731">
        <w:rPr>
          <w:rFonts w:ascii="Avenir Next" w:hAnsi="Avenir Next" w:cs="Arial"/>
          <w:color w:val="808080" w:themeColor="background1" w:themeShade="80"/>
          <w:sz w:val="22"/>
          <w:szCs w:val="22"/>
          <w:u w:val="single"/>
          <w:lang w:val="en-GB" w:eastAsia="en-GB"/>
        </w:rPr>
        <w:t>The ‘foreign proceedings’ must be judicial or administrative</w:t>
      </w:r>
      <w:r w:rsidR="002D30FA" w:rsidRPr="007F2731">
        <w:rPr>
          <w:rFonts w:ascii="Avenir Next" w:hAnsi="Avenir Next" w:cs="Arial"/>
          <w:color w:val="808080" w:themeColor="background1" w:themeShade="80"/>
          <w:sz w:val="22"/>
          <w:szCs w:val="22"/>
          <w:u w:val="single"/>
          <w:lang w:val="en-GB" w:eastAsia="en-GB"/>
        </w:rPr>
        <w:t xml:space="preserve"> proceedings</w:t>
      </w:r>
      <w:r w:rsidRPr="007F2731">
        <w:rPr>
          <w:rFonts w:ascii="Avenir Next" w:hAnsi="Avenir Next" w:cs="Arial"/>
          <w:color w:val="808080" w:themeColor="background1" w:themeShade="80"/>
          <w:sz w:val="22"/>
          <w:szCs w:val="22"/>
          <w:u w:val="single"/>
          <w:lang w:val="en-GB" w:eastAsia="en-GB"/>
        </w:rPr>
        <w:t xml:space="preserve"> in nature</w:t>
      </w:r>
      <w:r w:rsidRPr="00373F19">
        <w:rPr>
          <w:rFonts w:ascii="Avenir Next" w:hAnsi="Avenir Next" w:cs="Arial"/>
          <w:color w:val="808080" w:themeColor="background1" w:themeShade="80"/>
          <w:sz w:val="22"/>
          <w:szCs w:val="22"/>
          <w:lang w:val="en-GB" w:eastAsia="en-GB"/>
        </w:rPr>
        <w:t xml:space="preserve">: </w:t>
      </w:r>
      <w:r w:rsidR="00F55DE5" w:rsidRPr="00373F19">
        <w:rPr>
          <w:rFonts w:ascii="Avenir Next" w:hAnsi="Avenir Next" w:cs="Arial"/>
          <w:color w:val="808080" w:themeColor="background1" w:themeShade="80"/>
          <w:sz w:val="22"/>
          <w:szCs w:val="22"/>
          <w:lang w:val="en-GB" w:eastAsia="en-GB"/>
        </w:rPr>
        <w:t xml:space="preserve">According to the jurisprudence on the subject, a </w:t>
      </w:r>
      <w:r w:rsidR="00BB75FB" w:rsidRPr="00373F19">
        <w:rPr>
          <w:rFonts w:ascii="Avenir Next" w:hAnsi="Avenir Next" w:cs="Arial"/>
          <w:color w:val="808080" w:themeColor="background1" w:themeShade="80"/>
          <w:sz w:val="22"/>
          <w:szCs w:val="22"/>
          <w:lang w:val="en-GB" w:eastAsia="en-GB"/>
        </w:rPr>
        <w:t>foreign proceeding</w:t>
      </w:r>
      <w:r w:rsidR="00F55DE5" w:rsidRPr="00373F19">
        <w:rPr>
          <w:rFonts w:ascii="Avenir Next" w:hAnsi="Avenir Next" w:cs="Arial"/>
          <w:color w:val="808080" w:themeColor="background1" w:themeShade="80"/>
          <w:sz w:val="22"/>
          <w:szCs w:val="22"/>
          <w:lang w:val="en-GB" w:eastAsia="en-GB"/>
        </w:rPr>
        <w:t xml:space="preserve"> can be either. In the case of </w:t>
      </w:r>
      <w:r w:rsidR="006C1928" w:rsidRPr="00373F19">
        <w:rPr>
          <w:rFonts w:ascii="Avenir Next" w:hAnsi="Avenir Next" w:cs="Arial"/>
          <w:color w:val="808080" w:themeColor="background1" w:themeShade="80"/>
          <w:sz w:val="22"/>
          <w:szCs w:val="22"/>
          <w:lang w:val="en-GB" w:eastAsia="en-GB"/>
        </w:rPr>
        <w:t>Commercial Bank for Business Corporation (the “</w:t>
      </w:r>
      <w:r w:rsidR="006C1928" w:rsidRPr="00373F19">
        <w:rPr>
          <w:rFonts w:ascii="Avenir Next" w:hAnsi="Avenir Next" w:cs="Arial"/>
          <w:b/>
          <w:bCs/>
          <w:color w:val="808080" w:themeColor="background1" w:themeShade="80"/>
          <w:sz w:val="22"/>
          <w:szCs w:val="22"/>
          <w:lang w:val="en-GB" w:eastAsia="en-GB"/>
        </w:rPr>
        <w:t>Bank</w:t>
      </w:r>
      <w:r w:rsidR="006C1928" w:rsidRPr="00373F19">
        <w:rPr>
          <w:rFonts w:ascii="Avenir Next" w:hAnsi="Avenir Next" w:cs="Arial"/>
          <w:color w:val="808080" w:themeColor="background1" w:themeShade="80"/>
          <w:sz w:val="22"/>
          <w:szCs w:val="22"/>
          <w:lang w:val="en-GB" w:eastAsia="en-GB"/>
        </w:rPr>
        <w:t>”), the liquidation proceedings thereof would be more administrative in nature as its being done under the supervision of the National Bank (“</w:t>
      </w:r>
      <w:r w:rsidR="006C1928" w:rsidRPr="00373F19">
        <w:rPr>
          <w:rFonts w:ascii="Avenir Next" w:hAnsi="Avenir Next" w:cs="Arial"/>
          <w:b/>
          <w:bCs/>
          <w:color w:val="808080" w:themeColor="background1" w:themeShade="80"/>
          <w:sz w:val="22"/>
          <w:szCs w:val="22"/>
          <w:lang w:val="en-GB" w:eastAsia="en-GB"/>
        </w:rPr>
        <w:t>NB</w:t>
      </w:r>
      <w:r w:rsidR="006C1928" w:rsidRPr="00373F19">
        <w:rPr>
          <w:rFonts w:ascii="Avenir Next" w:hAnsi="Avenir Next" w:cs="Arial"/>
          <w:color w:val="808080" w:themeColor="background1" w:themeShade="80"/>
          <w:sz w:val="22"/>
          <w:szCs w:val="22"/>
          <w:lang w:val="en-GB" w:eastAsia="en-GB"/>
        </w:rPr>
        <w:t>”)</w:t>
      </w:r>
      <w:r w:rsidR="00DA0C68">
        <w:rPr>
          <w:rFonts w:ascii="Avenir Next" w:hAnsi="Avenir Next" w:cs="Arial"/>
          <w:color w:val="808080" w:themeColor="background1" w:themeShade="80"/>
          <w:sz w:val="22"/>
          <w:szCs w:val="22"/>
          <w:lang w:val="en-GB" w:eastAsia="en-GB"/>
        </w:rPr>
        <w:t xml:space="preserve"> </w:t>
      </w:r>
      <w:r w:rsidR="0099024F" w:rsidRPr="00373F19">
        <w:rPr>
          <w:rFonts w:ascii="Avenir Next" w:hAnsi="Avenir Next" w:cs="Arial"/>
          <w:color w:val="808080" w:themeColor="background1" w:themeShade="80"/>
          <w:sz w:val="22"/>
          <w:szCs w:val="22"/>
          <w:lang w:val="en-GB" w:eastAsia="en-GB"/>
        </w:rPr>
        <w:t xml:space="preserve">under the </w:t>
      </w:r>
      <w:r w:rsidR="00FA5F18" w:rsidRPr="00373F19">
        <w:rPr>
          <w:rFonts w:ascii="Avenir Next" w:hAnsi="Avenir Next" w:cs="Arial"/>
          <w:color w:val="808080" w:themeColor="background1" w:themeShade="80"/>
          <w:sz w:val="22"/>
          <w:szCs w:val="22"/>
          <w:lang w:val="en-GB" w:eastAsia="en-GB"/>
        </w:rPr>
        <w:t xml:space="preserve">law of Country A on Banks and Banking </w:t>
      </w:r>
      <w:r w:rsidR="00E57003" w:rsidRPr="00373F19">
        <w:rPr>
          <w:rFonts w:ascii="Avenir Next" w:hAnsi="Avenir Next" w:cs="Arial"/>
          <w:color w:val="808080" w:themeColor="background1" w:themeShade="80"/>
          <w:sz w:val="22"/>
          <w:szCs w:val="22"/>
          <w:lang w:val="en-GB" w:eastAsia="en-GB"/>
        </w:rPr>
        <w:t>A</w:t>
      </w:r>
      <w:r w:rsidR="00FA5F18" w:rsidRPr="00373F19">
        <w:rPr>
          <w:rFonts w:ascii="Avenir Next" w:hAnsi="Avenir Next" w:cs="Arial"/>
          <w:color w:val="808080" w:themeColor="background1" w:themeShade="80"/>
          <w:sz w:val="22"/>
          <w:szCs w:val="22"/>
          <w:lang w:val="en-GB" w:eastAsia="en-GB"/>
        </w:rPr>
        <w:t xml:space="preserve">ctivity, hence essentially by a central bank under a special legislation coupled with the </w:t>
      </w:r>
      <w:r w:rsidR="00BB75FB" w:rsidRPr="00373F19">
        <w:rPr>
          <w:rFonts w:ascii="Avenir Next" w:hAnsi="Avenir Next" w:cs="Arial"/>
          <w:color w:val="808080" w:themeColor="background1" w:themeShade="80"/>
          <w:sz w:val="22"/>
          <w:szCs w:val="22"/>
          <w:lang w:val="en-GB" w:eastAsia="en-GB"/>
        </w:rPr>
        <w:t>Deposit Guarantee Fund Law (“</w:t>
      </w:r>
      <w:r w:rsidR="00BB75FB" w:rsidRPr="00373F19">
        <w:rPr>
          <w:rFonts w:ascii="Avenir Next" w:hAnsi="Avenir Next" w:cs="Arial"/>
          <w:b/>
          <w:bCs/>
          <w:color w:val="808080" w:themeColor="background1" w:themeShade="80"/>
          <w:sz w:val="22"/>
          <w:szCs w:val="22"/>
          <w:lang w:val="en-GB" w:eastAsia="en-GB"/>
        </w:rPr>
        <w:t>DGF Law</w:t>
      </w:r>
      <w:r w:rsidR="00BB75FB" w:rsidRPr="00373F19">
        <w:rPr>
          <w:rFonts w:ascii="Avenir Next" w:hAnsi="Avenir Next" w:cs="Arial"/>
          <w:color w:val="808080" w:themeColor="background1" w:themeShade="80"/>
          <w:sz w:val="22"/>
          <w:szCs w:val="22"/>
          <w:lang w:val="en-GB" w:eastAsia="en-GB"/>
        </w:rPr>
        <w:t>”)</w:t>
      </w:r>
      <w:r w:rsidR="00B102C9" w:rsidRPr="00373F19">
        <w:rPr>
          <w:rFonts w:ascii="Avenir Next" w:hAnsi="Avenir Next" w:cs="Arial"/>
          <w:color w:val="808080" w:themeColor="background1" w:themeShade="80"/>
          <w:sz w:val="22"/>
          <w:szCs w:val="22"/>
          <w:lang w:val="en-GB" w:eastAsia="en-GB"/>
        </w:rPr>
        <w:t>. Th</w:t>
      </w:r>
      <w:r w:rsidR="00116931" w:rsidRPr="00373F19">
        <w:rPr>
          <w:rFonts w:ascii="Avenir Next" w:hAnsi="Avenir Next" w:cs="Arial"/>
          <w:color w:val="808080" w:themeColor="background1" w:themeShade="80"/>
          <w:sz w:val="22"/>
          <w:szCs w:val="22"/>
          <w:lang w:val="en-GB" w:eastAsia="en-GB"/>
        </w:rPr>
        <w:t xml:space="preserve">is case has to be distinguished from the case of an ordinary company. </w:t>
      </w:r>
      <w:r w:rsidR="002D30FA" w:rsidRPr="00373F19">
        <w:rPr>
          <w:rFonts w:ascii="Avenir Next" w:hAnsi="Avenir Next" w:cs="Arial"/>
          <w:color w:val="808080" w:themeColor="background1" w:themeShade="80"/>
          <w:sz w:val="22"/>
          <w:szCs w:val="22"/>
          <w:lang w:val="en-GB" w:eastAsia="en-GB"/>
        </w:rPr>
        <w:t xml:space="preserve">Further, these should also be </w:t>
      </w:r>
      <w:r w:rsidR="00F271EC" w:rsidRPr="00373F19">
        <w:rPr>
          <w:rFonts w:ascii="Avenir Next" w:hAnsi="Avenir Next" w:cs="Arial"/>
          <w:color w:val="808080" w:themeColor="background1" w:themeShade="80"/>
          <w:sz w:val="22"/>
          <w:szCs w:val="22"/>
          <w:lang w:val="en-GB" w:eastAsia="en-GB"/>
        </w:rPr>
        <w:t xml:space="preserve">‘proceedings’ in so far as being under a statutory </w:t>
      </w:r>
      <w:r w:rsidR="00157102" w:rsidRPr="00373F19">
        <w:rPr>
          <w:rFonts w:ascii="Avenir Next" w:hAnsi="Avenir Next" w:cs="Arial"/>
          <w:color w:val="808080" w:themeColor="background1" w:themeShade="80"/>
          <w:sz w:val="22"/>
          <w:szCs w:val="22"/>
          <w:lang w:val="en-GB" w:eastAsia="en-GB"/>
        </w:rPr>
        <w:t>framework</w:t>
      </w:r>
      <w:r w:rsidR="00F271EC" w:rsidRPr="00373F19">
        <w:rPr>
          <w:rFonts w:ascii="Avenir Next" w:hAnsi="Avenir Next" w:cs="Arial"/>
          <w:color w:val="808080" w:themeColor="background1" w:themeShade="80"/>
          <w:sz w:val="22"/>
          <w:szCs w:val="22"/>
          <w:lang w:val="en-GB" w:eastAsia="en-GB"/>
        </w:rPr>
        <w:t xml:space="preserve"> </w:t>
      </w:r>
      <w:r w:rsidR="00910439" w:rsidRPr="00373F19">
        <w:rPr>
          <w:rFonts w:ascii="Avenir Next" w:hAnsi="Avenir Next" w:cs="Arial"/>
          <w:color w:val="808080" w:themeColor="background1" w:themeShade="80"/>
          <w:sz w:val="22"/>
          <w:szCs w:val="22"/>
          <w:lang w:val="en-GB" w:eastAsia="en-GB"/>
        </w:rPr>
        <w:t xml:space="preserve">that has the power to constrain the </w:t>
      </w:r>
      <w:r w:rsidR="00157102">
        <w:rPr>
          <w:rFonts w:ascii="Avenir Next" w:hAnsi="Avenir Next" w:cs="Arial"/>
          <w:color w:val="808080" w:themeColor="background1" w:themeShade="80"/>
          <w:sz w:val="22"/>
          <w:szCs w:val="22"/>
          <w:lang w:val="en-GB" w:eastAsia="en-GB"/>
        </w:rPr>
        <w:t>B</w:t>
      </w:r>
      <w:r w:rsidR="00910439" w:rsidRPr="00373F19">
        <w:rPr>
          <w:rFonts w:ascii="Avenir Next" w:hAnsi="Avenir Next" w:cs="Arial"/>
          <w:color w:val="808080" w:themeColor="background1" w:themeShade="80"/>
          <w:sz w:val="22"/>
          <w:szCs w:val="22"/>
          <w:lang w:val="en-GB" w:eastAsia="en-GB"/>
        </w:rPr>
        <w:t>ank</w:t>
      </w:r>
      <w:r w:rsidR="00157102">
        <w:rPr>
          <w:rFonts w:ascii="Avenir Next" w:hAnsi="Avenir Next" w:cs="Arial"/>
          <w:color w:val="808080" w:themeColor="background1" w:themeShade="80"/>
          <w:sz w:val="22"/>
          <w:szCs w:val="22"/>
          <w:lang w:val="en-GB" w:eastAsia="en-GB"/>
        </w:rPr>
        <w:t>’</w:t>
      </w:r>
      <w:r w:rsidR="00910439" w:rsidRPr="00373F19">
        <w:rPr>
          <w:rFonts w:ascii="Avenir Next" w:hAnsi="Avenir Next" w:cs="Arial"/>
          <w:color w:val="808080" w:themeColor="background1" w:themeShade="80"/>
          <w:sz w:val="22"/>
          <w:szCs w:val="22"/>
          <w:lang w:val="en-GB" w:eastAsia="en-GB"/>
        </w:rPr>
        <w:t>s actions</w:t>
      </w:r>
      <w:r w:rsidR="00B83A2F" w:rsidRPr="00373F19">
        <w:rPr>
          <w:rFonts w:ascii="Avenir Next" w:hAnsi="Avenir Next" w:cs="Arial"/>
          <w:color w:val="808080" w:themeColor="background1" w:themeShade="80"/>
          <w:sz w:val="22"/>
          <w:szCs w:val="22"/>
          <w:lang w:val="en-GB" w:eastAsia="en-GB"/>
        </w:rPr>
        <w:t xml:space="preserve">. </w:t>
      </w:r>
      <w:r w:rsidR="00116931" w:rsidRPr="00373F19">
        <w:rPr>
          <w:rFonts w:ascii="Avenir Next" w:hAnsi="Avenir Next" w:cs="Arial"/>
          <w:color w:val="808080" w:themeColor="background1" w:themeShade="80"/>
          <w:sz w:val="22"/>
          <w:szCs w:val="22"/>
          <w:lang w:val="en-GB" w:eastAsia="en-GB"/>
        </w:rPr>
        <w:t>Hence these “foreign proceedings</w:t>
      </w:r>
      <w:r w:rsidR="002D30FA" w:rsidRPr="00373F19">
        <w:rPr>
          <w:rFonts w:ascii="Avenir Next" w:hAnsi="Avenir Next" w:cs="Arial"/>
          <w:color w:val="808080" w:themeColor="background1" w:themeShade="80"/>
          <w:sz w:val="22"/>
          <w:szCs w:val="22"/>
          <w:lang w:val="en-GB" w:eastAsia="en-GB"/>
        </w:rPr>
        <w:t>”</w:t>
      </w:r>
      <w:r w:rsidR="00B83A2F" w:rsidRPr="00373F19">
        <w:rPr>
          <w:rFonts w:ascii="Avenir Next" w:hAnsi="Avenir Next" w:cs="Arial"/>
          <w:color w:val="808080" w:themeColor="background1" w:themeShade="80"/>
          <w:sz w:val="22"/>
          <w:szCs w:val="22"/>
          <w:lang w:val="en-GB" w:eastAsia="en-GB"/>
        </w:rPr>
        <w:t xml:space="preserve"> are </w:t>
      </w:r>
      <w:r w:rsidR="00B83A2F" w:rsidRPr="00373F19">
        <w:rPr>
          <w:rFonts w:ascii="Avenir Next" w:hAnsi="Avenir Next" w:cs="Arial"/>
          <w:b/>
          <w:bCs/>
          <w:color w:val="808080" w:themeColor="background1" w:themeShade="80"/>
          <w:sz w:val="22"/>
          <w:szCs w:val="22"/>
          <w:lang w:val="en-GB" w:eastAsia="en-GB"/>
        </w:rPr>
        <w:t>ADMINISTRATIVE PROCEEDINGS</w:t>
      </w:r>
      <w:r w:rsidR="00B83A2F" w:rsidRPr="00373F19">
        <w:rPr>
          <w:rFonts w:ascii="Avenir Next" w:hAnsi="Avenir Next" w:cs="Arial"/>
          <w:color w:val="808080" w:themeColor="background1" w:themeShade="80"/>
          <w:sz w:val="22"/>
          <w:szCs w:val="22"/>
          <w:lang w:val="en-GB" w:eastAsia="en-GB"/>
        </w:rPr>
        <w:t>.</w:t>
      </w:r>
    </w:p>
    <w:p w14:paraId="4E593768" w14:textId="77777777" w:rsidR="00E57003" w:rsidRPr="00373F19" w:rsidRDefault="00E57003" w:rsidP="00E57003">
      <w:pPr>
        <w:pStyle w:val="ListParagraph"/>
        <w:jc w:val="both"/>
        <w:rPr>
          <w:rFonts w:ascii="Avenir Next" w:hAnsi="Avenir Next" w:cs="Arial"/>
          <w:color w:val="808080" w:themeColor="background1" w:themeShade="80"/>
          <w:sz w:val="22"/>
          <w:szCs w:val="22"/>
          <w:lang w:val="en-GB" w:eastAsia="en-GB"/>
        </w:rPr>
      </w:pPr>
    </w:p>
    <w:p w14:paraId="121DEC27" w14:textId="5F79E9F9" w:rsidR="00B83A2F" w:rsidRPr="00373F19" w:rsidRDefault="00001061" w:rsidP="00183649">
      <w:pPr>
        <w:pStyle w:val="ListParagraph"/>
        <w:numPr>
          <w:ilvl w:val="0"/>
          <w:numId w:val="20"/>
        </w:numPr>
        <w:jc w:val="both"/>
        <w:rPr>
          <w:rFonts w:ascii="Avenir Next" w:hAnsi="Avenir Next" w:cs="Arial"/>
          <w:color w:val="808080" w:themeColor="background1" w:themeShade="80"/>
          <w:sz w:val="22"/>
          <w:szCs w:val="22"/>
          <w:lang w:val="en-GB" w:eastAsia="en-GB"/>
        </w:rPr>
      </w:pPr>
      <w:r w:rsidRPr="007F2731">
        <w:rPr>
          <w:rFonts w:ascii="Avenir Next" w:hAnsi="Avenir Next" w:cs="Arial"/>
          <w:color w:val="808080" w:themeColor="background1" w:themeShade="80"/>
          <w:sz w:val="22"/>
          <w:szCs w:val="22"/>
          <w:u w:val="single"/>
          <w:lang w:val="en-GB" w:eastAsia="en-GB"/>
        </w:rPr>
        <w:t>The ‘foreign proceedings’ must be collective</w:t>
      </w:r>
      <w:r w:rsidRPr="00373F19">
        <w:rPr>
          <w:rFonts w:ascii="Avenir Next" w:hAnsi="Avenir Next" w:cs="Arial"/>
          <w:color w:val="808080" w:themeColor="background1" w:themeShade="80"/>
          <w:sz w:val="22"/>
          <w:szCs w:val="22"/>
          <w:lang w:val="en-GB" w:eastAsia="en-GB"/>
        </w:rPr>
        <w:t xml:space="preserve">: This requirement lays down that </w:t>
      </w:r>
      <w:r w:rsidR="004111E1" w:rsidRPr="00373F19">
        <w:rPr>
          <w:rFonts w:ascii="Avenir Next" w:hAnsi="Avenir Next" w:cs="Arial"/>
          <w:color w:val="808080" w:themeColor="background1" w:themeShade="80"/>
          <w:sz w:val="22"/>
          <w:szCs w:val="22"/>
          <w:lang w:val="en-GB" w:eastAsia="en-GB"/>
        </w:rPr>
        <w:t xml:space="preserve">these </w:t>
      </w:r>
      <w:r w:rsidR="00E57003" w:rsidRPr="00373F19">
        <w:rPr>
          <w:rFonts w:ascii="Avenir Next" w:hAnsi="Avenir Next" w:cs="Arial"/>
          <w:color w:val="808080" w:themeColor="background1" w:themeShade="80"/>
          <w:sz w:val="22"/>
          <w:szCs w:val="22"/>
          <w:lang w:val="en-GB" w:eastAsia="en-GB"/>
        </w:rPr>
        <w:t>proceedings</w:t>
      </w:r>
      <w:r w:rsidR="004111E1" w:rsidRPr="00373F19">
        <w:rPr>
          <w:rFonts w:ascii="Avenir Next" w:hAnsi="Avenir Next" w:cs="Arial"/>
          <w:color w:val="808080" w:themeColor="background1" w:themeShade="80"/>
          <w:sz w:val="22"/>
          <w:szCs w:val="22"/>
          <w:lang w:val="en-GB" w:eastAsia="en-GB"/>
        </w:rPr>
        <w:t xml:space="preserve"> should “affect” all creditors if </w:t>
      </w:r>
      <w:r w:rsidR="00157102">
        <w:rPr>
          <w:rFonts w:ascii="Avenir Next" w:hAnsi="Avenir Next" w:cs="Arial"/>
          <w:color w:val="808080" w:themeColor="background1" w:themeShade="80"/>
          <w:sz w:val="22"/>
          <w:szCs w:val="22"/>
          <w:lang w:val="en-GB" w:eastAsia="en-GB"/>
        </w:rPr>
        <w:t xml:space="preserve">the </w:t>
      </w:r>
      <w:r w:rsidR="004111E1" w:rsidRPr="00373F19">
        <w:rPr>
          <w:rFonts w:ascii="Avenir Next" w:hAnsi="Avenir Next" w:cs="Arial"/>
          <w:color w:val="808080" w:themeColor="background1" w:themeShade="80"/>
          <w:sz w:val="22"/>
          <w:szCs w:val="22"/>
          <w:lang w:val="en-GB" w:eastAsia="en-GB"/>
        </w:rPr>
        <w:t>realised assets</w:t>
      </w:r>
      <w:r w:rsidR="00E57003" w:rsidRPr="00373F19">
        <w:rPr>
          <w:rFonts w:ascii="Avenir Next" w:hAnsi="Avenir Next" w:cs="Arial"/>
          <w:color w:val="808080" w:themeColor="background1" w:themeShade="80"/>
          <w:sz w:val="22"/>
          <w:szCs w:val="22"/>
          <w:lang w:val="en-GB" w:eastAsia="en-GB"/>
        </w:rPr>
        <w:t xml:space="preserve"> are</w:t>
      </w:r>
      <w:r w:rsidR="004111E1" w:rsidRPr="00373F19">
        <w:rPr>
          <w:rFonts w:ascii="Avenir Next" w:hAnsi="Avenir Next" w:cs="Arial"/>
          <w:color w:val="808080" w:themeColor="background1" w:themeShade="80"/>
          <w:sz w:val="22"/>
          <w:szCs w:val="22"/>
          <w:lang w:val="en-GB" w:eastAsia="en-GB"/>
        </w:rPr>
        <w:t xml:space="preserve"> for the general benefit of all creditors</w:t>
      </w:r>
      <w:r w:rsidR="00BA3A65" w:rsidRPr="00373F19">
        <w:rPr>
          <w:rStyle w:val="FootnoteReference"/>
          <w:rFonts w:ascii="Avenir Next" w:hAnsi="Avenir Next" w:cs="Arial"/>
          <w:color w:val="808080" w:themeColor="background1" w:themeShade="80"/>
          <w:sz w:val="22"/>
          <w:szCs w:val="22"/>
          <w:lang w:val="en-GB" w:eastAsia="en-GB"/>
        </w:rPr>
        <w:footnoteReference w:id="52"/>
      </w:r>
      <w:r w:rsidR="00BA3A65" w:rsidRPr="00373F19">
        <w:rPr>
          <w:rFonts w:ascii="Avenir Next" w:hAnsi="Avenir Next" w:cs="Arial"/>
          <w:color w:val="808080" w:themeColor="background1" w:themeShade="80"/>
          <w:sz w:val="22"/>
          <w:szCs w:val="22"/>
          <w:lang w:val="en-GB" w:eastAsia="en-GB"/>
        </w:rPr>
        <w:t>.</w:t>
      </w:r>
      <w:r w:rsidR="00126B3A" w:rsidRPr="00373F19">
        <w:rPr>
          <w:rFonts w:ascii="Avenir Next" w:hAnsi="Avenir Next" w:cs="Arial"/>
          <w:color w:val="808080" w:themeColor="background1" w:themeShade="80"/>
          <w:sz w:val="22"/>
          <w:szCs w:val="22"/>
          <w:lang w:val="en-GB" w:eastAsia="en-GB"/>
        </w:rPr>
        <w:t xml:space="preserve"> Essentially, this means that no creditor or class of creditor should be excluded from the process. </w:t>
      </w:r>
      <w:r w:rsidR="00E57003" w:rsidRPr="00373F19">
        <w:rPr>
          <w:rFonts w:ascii="Avenir Next" w:hAnsi="Avenir Next" w:cs="Arial"/>
          <w:color w:val="808080" w:themeColor="background1" w:themeShade="80"/>
          <w:sz w:val="22"/>
          <w:szCs w:val="22"/>
          <w:lang w:val="en-GB" w:eastAsia="en-GB"/>
        </w:rPr>
        <w:t>From the fact set, it clear that the Deposit Guarantee Fund (“</w:t>
      </w:r>
      <w:r w:rsidR="00E57003" w:rsidRPr="00373F19">
        <w:rPr>
          <w:rFonts w:ascii="Avenir Next" w:hAnsi="Avenir Next" w:cs="Arial"/>
          <w:b/>
          <w:bCs/>
          <w:color w:val="808080" w:themeColor="background1" w:themeShade="80"/>
          <w:sz w:val="22"/>
          <w:szCs w:val="22"/>
          <w:lang w:val="en-GB" w:eastAsia="en-GB"/>
        </w:rPr>
        <w:t>D</w:t>
      </w:r>
      <w:r w:rsidR="00EA4FFE" w:rsidRPr="00373F19">
        <w:rPr>
          <w:rFonts w:ascii="Avenir Next" w:hAnsi="Avenir Next" w:cs="Arial"/>
          <w:b/>
          <w:bCs/>
          <w:color w:val="808080" w:themeColor="background1" w:themeShade="80"/>
          <w:sz w:val="22"/>
          <w:szCs w:val="22"/>
          <w:lang w:val="en-GB" w:eastAsia="en-GB"/>
        </w:rPr>
        <w:t>GF</w:t>
      </w:r>
      <w:r w:rsidR="00EA4FFE" w:rsidRPr="00373F19">
        <w:rPr>
          <w:rFonts w:ascii="Avenir Next" w:hAnsi="Avenir Next" w:cs="Arial"/>
          <w:color w:val="808080" w:themeColor="background1" w:themeShade="80"/>
          <w:sz w:val="22"/>
          <w:szCs w:val="22"/>
          <w:lang w:val="en-GB" w:eastAsia="en-GB"/>
        </w:rPr>
        <w:t xml:space="preserve">”), </w:t>
      </w:r>
      <w:r w:rsidR="000B4E62" w:rsidRPr="00373F19">
        <w:rPr>
          <w:rFonts w:ascii="Avenir Next" w:hAnsi="Avenir Next" w:cs="Arial"/>
          <w:color w:val="808080" w:themeColor="background1" w:themeShade="80"/>
          <w:sz w:val="22"/>
          <w:szCs w:val="22"/>
          <w:lang w:val="en-GB" w:eastAsia="en-GB"/>
        </w:rPr>
        <w:t>as the liquidator is empowered to “</w:t>
      </w:r>
      <w:r w:rsidR="001D2520" w:rsidRPr="00373F19">
        <w:rPr>
          <w:rFonts w:ascii="Avenir Next" w:hAnsi="Avenir Next" w:cs="Arial"/>
          <w:color w:val="808080" w:themeColor="background1" w:themeShade="80"/>
          <w:sz w:val="22"/>
          <w:szCs w:val="22"/>
          <w:lang w:val="en-GB" w:eastAsia="en-GB"/>
        </w:rPr>
        <w:t xml:space="preserve">the power to compile a register of creditor claims and to seek to satisfy those claims” which suggests no discrimination between different creditors. Hence these “foreign proceedings” are </w:t>
      </w:r>
      <w:r w:rsidR="001D2520" w:rsidRPr="00373F19">
        <w:rPr>
          <w:rFonts w:ascii="Avenir Next" w:hAnsi="Avenir Next" w:cs="Arial"/>
          <w:b/>
          <w:bCs/>
          <w:color w:val="808080" w:themeColor="background1" w:themeShade="80"/>
          <w:sz w:val="22"/>
          <w:szCs w:val="22"/>
          <w:lang w:val="en-GB" w:eastAsia="en-GB"/>
        </w:rPr>
        <w:t>COLLECTIVE</w:t>
      </w:r>
      <w:r w:rsidR="001D2520" w:rsidRPr="00373F19">
        <w:rPr>
          <w:rFonts w:ascii="Avenir Next" w:hAnsi="Avenir Next" w:cs="Arial"/>
          <w:color w:val="808080" w:themeColor="background1" w:themeShade="80"/>
          <w:sz w:val="22"/>
          <w:szCs w:val="22"/>
          <w:lang w:val="en-GB" w:eastAsia="en-GB"/>
        </w:rPr>
        <w:t>.</w:t>
      </w:r>
    </w:p>
    <w:p w14:paraId="219BE997" w14:textId="1AD17D0E" w:rsidR="00C43D91" w:rsidRDefault="00C43D91" w:rsidP="00373F19">
      <w:pPr>
        <w:pStyle w:val="ListParagraph"/>
        <w:jc w:val="both"/>
        <w:rPr>
          <w:rFonts w:ascii="Avenir Next" w:hAnsi="Avenir Next" w:cs="Arial"/>
          <w:color w:val="000000"/>
          <w:sz w:val="22"/>
          <w:szCs w:val="22"/>
          <w:lang w:val="en-GB" w:eastAsia="en-GB"/>
        </w:rPr>
      </w:pPr>
    </w:p>
    <w:p w14:paraId="423CCB8A" w14:textId="50F9B3AF" w:rsidR="00373F19" w:rsidRPr="00432441" w:rsidRDefault="00390D1B" w:rsidP="00373F19">
      <w:pPr>
        <w:pStyle w:val="ListParagraph"/>
        <w:numPr>
          <w:ilvl w:val="0"/>
          <w:numId w:val="20"/>
        </w:numPr>
        <w:jc w:val="both"/>
        <w:rPr>
          <w:rFonts w:ascii="Avenir Next" w:hAnsi="Avenir Next" w:cs="Arial"/>
          <w:color w:val="000000"/>
          <w:sz w:val="22"/>
          <w:szCs w:val="22"/>
          <w:lang w:val="en-GB" w:eastAsia="en-GB"/>
        </w:rPr>
      </w:pPr>
      <w:r w:rsidRPr="007F2731">
        <w:rPr>
          <w:rFonts w:ascii="Avenir Next" w:hAnsi="Avenir Next" w:cs="Arial"/>
          <w:color w:val="808080" w:themeColor="background1" w:themeShade="80"/>
          <w:sz w:val="22"/>
          <w:szCs w:val="22"/>
          <w:u w:val="single"/>
          <w:lang w:val="en-GB" w:eastAsia="en-GB"/>
        </w:rPr>
        <w:t xml:space="preserve">The “foreign proceedings” should be pursuant to the law related to </w:t>
      </w:r>
      <w:r w:rsidR="0043500C" w:rsidRPr="007F2731">
        <w:rPr>
          <w:rFonts w:ascii="Avenir Next" w:hAnsi="Avenir Next" w:cs="Arial"/>
          <w:color w:val="808080" w:themeColor="background1" w:themeShade="80"/>
          <w:sz w:val="22"/>
          <w:szCs w:val="22"/>
          <w:u w:val="single"/>
          <w:lang w:val="en-GB" w:eastAsia="en-GB"/>
        </w:rPr>
        <w:t>insolvency</w:t>
      </w:r>
      <w:r w:rsidR="0043500C" w:rsidRPr="00264724">
        <w:rPr>
          <w:rFonts w:ascii="Avenir Next" w:hAnsi="Avenir Next" w:cs="Arial"/>
          <w:color w:val="808080" w:themeColor="background1" w:themeShade="80"/>
          <w:sz w:val="22"/>
          <w:szCs w:val="22"/>
          <w:lang w:val="en-GB" w:eastAsia="en-GB"/>
        </w:rPr>
        <w:t xml:space="preserve">: </w:t>
      </w:r>
      <w:r w:rsidR="00B26F43" w:rsidRPr="00264724">
        <w:rPr>
          <w:rFonts w:ascii="Avenir Next" w:hAnsi="Avenir Next" w:cs="Arial"/>
          <w:color w:val="808080" w:themeColor="background1" w:themeShade="80"/>
          <w:sz w:val="22"/>
          <w:szCs w:val="22"/>
          <w:lang w:val="en-GB" w:eastAsia="en-GB"/>
        </w:rPr>
        <w:t xml:space="preserve">As highlighted hereinabove, </w:t>
      </w:r>
      <w:r w:rsidR="00CC730E" w:rsidRPr="00264724">
        <w:rPr>
          <w:rFonts w:ascii="Avenir Next" w:hAnsi="Avenir Next" w:cs="Arial"/>
          <w:color w:val="808080" w:themeColor="background1" w:themeShade="80"/>
          <w:sz w:val="22"/>
          <w:szCs w:val="22"/>
          <w:lang w:val="en-GB" w:eastAsia="en-GB"/>
        </w:rPr>
        <w:t xml:space="preserve">the liquidation proceeding of the Bank are being conducted under the </w:t>
      </w:r>
      <w:r w:rsidR="00CC730E" w:rsidRPr="00373F19">
        <w:rPr>
          <w:rFonts w:ascii="Avenir Next" w:hAnsi="Avenir Next" w:cs="Arial"/>
          <w:color w:val="808080" w:themeColor="background1" w:themeShade="80"/>
          <w:sz w:val="22"/>
          <w:szCs w:val="22"/>
          <w:lang w:val="en-GB" w:eastAsia="en-GB"/>
        </w:rPr>
        <w:t>law of Country A on Banks and Banking Activity</w:t>
      </w:r>
      <w:r w:rsidR="00CC730E">
        <w:rPr>
          <w:rFonts w:ascii="Avenir Next" w:hAnsi="Avenir Next" w:cs="Arial"/>
          <w:color w:val="808080" w:themeColor="background1" w:themeShade="80"/>
          <w:sz w:val="22"/>
          <w:szCs w:val="22"/>
          <w:lang w:val="en-GB" w:eastAsia="en-GB"/>
        </w:rPr>
        <w:t xml:space="preserve"> along with the DGF Law.</w:t>
      </w:r>
      <w:r w:rsidR="00845BDB">
        <w:rPr>
          <w:rFonts w:ascii="Avenir Next" w:hAnsi="Avenir Next" w:cs="Arial"/>
          <w:color w:val="808080" w:themeColor="background1" w:themeShade="80"/>
          <w:sz w:val="22"/>
          <w:szCs w:val="22"/>
          <w:lang w:val="en-GB" w:eastAsia="en-GB"/>
        </w:rPr>
        <w:t xml:space="preserve"> For the purposes of determ</w:t>
      </w:r>
      <w:r w:rsidR="0035073A">
        <w:rPr>
          <w:rFonts w:ascii="Avenir Next" w:hAnsi="Avenir Next" w:cs="Arial"/>
          <w:color w:val="808080" w:themeColor="background1" w:themeShade="80"/>
          <w:sz w:val="22"/>
          <w:szCs w:val="22"/>
          <w:lang w:val="en-GB" w:eastAsia="en-GB"/>
        </w:rPr>
        <w:t>ination</w:t>
      </w:r>
      <w:r w:rsidR="00845BDB">
        <w:rPr>
          <w:rFonts w:ascii="Avenir Next" w:hAnsi="Avenir Next" w:cs="Arial"/>
          <w:color w:val="808080" w:themeColor="background1" w:themeShade="80"/>
          <w:sz w:val="22"/>
          <w:szCs w:val="22"/>
          <w:lang w:val="en-GB" w:eastAsia="en-GB"/>
        </w:rPr>
        <w:t xml:space="preserve">, it is to be noted that the scope of the Model Law is quite wide qua this, </w:t>
      </w:r>
      <w:r w:rsidR="00384CAB" w:rsidRPr="00384CAB">
        <w:rPr>
          <w:rFonts w:ascii="Avenir Next" w:hAnsi="Avenir Next" w:cs="Arial"/>
          <w:color w:val="808080" w:themeColor="background1" w:themeShade="80"/>
          <w:sz w:val="22"/>
          <w:szCs w:val="22"/>
          <w:lang w:val="en-GB" w:eastAsia="en-GB"/>
        </w:rPr>
        <w:t xml:space="preserve">and the description </w:t>
      </w:r>
      <w:r w:rsidR="0035073A">
        <w:rPr>
          <w:rFonts w:ascii="Avenir Next" w:hAnsi="Avenir Next" w:cs="Arial"/>
          <w:color w:val="808080" w:themeColor="background1" w:themeShade="80"/>
          <w:sz w:val="22"/>
          <w:szCs w:val="22"/>
          <w:lang w:val="en-GB" w:eastAsia="en-GB"/>
        </w:rPr>
        <w:t>is</w:t>
      </w:r>
      <w:r w:rsidR="00384CAB" w:rsidRPr="00384CAB">
        <w:rPr>
          <w:rFonts w:ascii="Avenir Next" w:hAnsi="Avenir Next" w:cs="Arial"/>
          <w:color w:val="808080" w:themeColor="background1" w:themeShade="80"/>
          <w:sz w:val="22"/>
          <w:szCs w:val="22"/>
          <w:lang w:val="en-GB" w:eastAsia="en-GB"/>
        </w:rPr>
        <w:t xml:space="preserve"> sufficiently broad to encompass a range of insolvency rules irrespective of the type of statute or law in which they might be contained</w:t>
      </w:r>
      <w:r w:rsidR="00021677">
        <w:rPr>
          <w:rStyle w:val="FootnoteReference"/>
          <w:rFonts w:ascii="Avenir Next" w:hAnsi="Avenir Next" w:cs="Arial"/>
          <w:color w:val="808080" w:themeColor="background1" w:themeShade="80"/>
          <w:sz w:val="22"/>
          <w:szCs w:val="22"/>
          <w:lang w:val="en-GB" w:eastAsia="en-GB"/>
        </w:rPr>
        <w:footnoteReference w:id="53"/>
      </w:r>
      <w:r w:rsidR="00021677">
        <w:rPr>
          <w:rFonts w:ascii="Avenir Next" w:hAnsi="Avenir Next" w:cs="Arial"/>
          <w:color w:val="808080" w:themeColor="background1" w:themeShade="80"/>
          <w:sz w:val="22"/>
          <w:szCs w:val="22"/>
          <w:lang w:val="en-GB" w:eastAsia="en-GB"/>
        </w:rPr>
        <w:t xml:space="preserve">. </w:t>
      </w:r>
      <w:r w:rsidR="00432441">
        <w:rPr>
          <w:rFonts w:ascii="Avenir Next" w:hAnsi="Avenir Next" w:cs="Arial"/>
          <w:color w:val="808080" w:themeColor="background1" w:themeShade="80"/>
          <w:sz w:val="22"/>
          <w:szCs w:val="22"/>
          <w:lang w:val="en-GB" w:eastAsia="en-GB"/>
        </w:rPr>
        <w:t xml:space="preserve">Further, </w:t>
      </w:r>
      <w:r w:rsidR="00432441" w:rsidRPr="00432441">
        <w:rPr>
          <w:rFonts w:ascii="Avenir Next" w:hAnsi="Avenir Next" w:cs="Arial"/>
          <w:color w:val="808080" w:themeColor="background1" w:themeShade="80"/>
          <w:sz w:val="22"/>
          <w:szCs w:val="22"/>
          <w:lang w:val="en-GB" w:eastAsia="en-GB"/>
        </w:rPr>
        <w:t>a liquidation commenced in the originating State on just and equitable grounds against an insolvent debtor based upon regulatory misbehavior was found to be pursuant to a law relating to insolvency</w:t>
      </w:r>
      <w:r w:rsidR="00432441">
        <w:rPr>
          <w:rStyle w:val="FootnoteReference"/>
        </w:rPr>
        <w:footnoteReference w:id="54"/>
      </w:r>
      <w:r w:rsidR="00432441">
        <w:rPr>
          <w:rFonts w:ascii="Avenir Next" w:hAnsi="Avenir Next" w:cs="Arial"/>
          <w:color w:val="808080" w:themeColor="background1" w:themeShade="80"/>
          <w:sz w:val="22"/>
          <w:szCs w:val="22"/>
          <w:lang w:val="en-GB" w:eastAsia="en-GB"/>
        </w:rPr>
        <w:t xml:space="preserve">, which is exactly as in the case of the Bank. </w:t>
      </w:r>
    </w:p>
    <w:p w14:paraId="4571E1A2" w14:textId="77777777" w:rsidR="00432441" w:rsidRPr="00432441" w:rsidRDefault="00432441" w:rsidP="00432441">
      <w:pPr>
        <w:pStyle w:val="ListParagraph"/>
        <w:rPr>
          <w:rFonts w:ascii="Avenir Next" w:hAnsi="Avenir Next" w:cs="Arial"/>
          <w:color w:val="000000"/>
          <w:sz w:val="22"/>
          <w:szCs w:val="22"/>
          <w:lang w:val="en-GB" w:eastAsia="en-GB"/>
        </w:rPr>
      </w:pPr>
    </w:p>
    <w:p w14:paraId="7A87C3DD" w14:textId="2EC7F8A1" w:rsidR="00432441" w:rsidRDefault="00305B79" w:rsidP="00373F19">
      <w:pPr>
        <w:pStyle w:val="ListParagraph"/>
        <w:numPr>
          <w:ilvl w:val="0"/>
          <w:numId w:val="20"/>
        </w:numPr>
        <w:jc w:val="both"/>
        <w:rPr>
          <w:rFonts w:ascii="Avenir Next" w:hAnsi="Avenir Next" w:cs="Arial"/>
          <w:color w:val="808080" w:themeColor="background1" w:themeShade="80"/>
          <w:sz w:val="22"/>
          <w:szCs w:val="22"/>
          <w:lang w:val="en-GB" w:eastAsia="en-GB"/>
        </w:rPr>
      </w:pPr>
      <w:r w:rsidRPr="007F2731">
        <w:rPr>
          <w:rFonts w:ascii="Avenir Next" w:hAnsi="Avenir Next" w:cs="Arial"/>
          <w:color w:val="808080" w:themeColor="background1" w:themeShade="80"/>
          <w:sz w:val="22"/>
          <w:szCs w:val="22"/>
          <w:u w:val="single"/>
          <w:lang w:val="en-GB" w:eastAsia="en-GB"/>
        </w:rPr>
        <w:t>The “foreign proceedings” should be for the purpose of reorganisation or liquidation</w:t>
      </w:r>
      <w:r w:rsidRPr="00264724">
        <w:rPr>
          <w:rFonts w:ascii="Avenir Next" w:hAnsi="Avenir Next" w:cs="Arial"/>
          <w:color w:val="808080" w:themeColor="background1" w:themeShade="80"/>
          <w:sz w:val="22"/>
          <w:szCs w:val="22"/>
          <w:lang w:val="en-GB" w:eastAsia="en-GB"/>
        </w:rPr>
        <w:t xml:space="preserve">: </w:t>
      </w:r>
      <w:r w:rsidR="00F008AD" w:rsidRPr="00264724">
        <w:rPr>
          <w:rFonts w:ascii="Avenir Next" w:hAnsi="Avenir Next" w:cs="Arial"/>
          <w:color w:val="808080" w:themeColor="background1" w:themeShade="80"/>
          <w:sz w:val="22"/>
          <w:szCs w:val="22"/>
          <w:lang w:val="en-GB" w:eastAsia="en-GB"/>
        </w:rPr>
        <w:t>In relation to the present proceedings in State A</w:t>
      </w:r>
      <w:r w:rsidR="00A16A4E" w:rsidRPr="00264724">
        <w:rPr>
          <w:rFonts w:ascii="Avenir Next" w:hAnsi="Avenir Next" w:cs="Arial"/>
          <w:color w:val="808080" w:themeColor="background1" w:themeShade="80"/>
          <w:sz w:val="22"/>
          <w:szCs w:val="22"/>
          <w:lang w:val="en-GB" w:eastAsia="en-GB"/>
        </w:rPr>
        <w:t xml:space="preserve"> under its law of insolvency and liquidation for banks or financial services organisations, more than enough determination has been </w:t>
      </w:r>
      <w:r w:rsidR="00E25AB6" w:rsidRPr="00264724">
        <w:rPr>
          <w:rFonts w:ascii="Avenir Next" w:hAnsi="Avenir Next" w:cs="Arial"/>
          <w:color w:val="808080" w:themeColor="background1" w:themeShade="80"/>
          <w:sz w:val="22"/>
          <w:szCs w:val="22"/>
          <w:lang w:val="en-GB" w:eastAsia="en-GB"/>
        </w:rPr>
        <w:t xml:space="preserve">made by NB, to firstly declare the Bank ‘insolvent’ and then to withdraw is banking license and then to finally remove it from the market and liquidate. In relation to this, the DGF, as a liquidator, </w:t>
      </w:r>
      <w:r w:rsidR="00E25AB6" w:rsidRPr="00264724">
        <w:rPr>
          <w:rFonts w:ascii="Avenir Next" w:hAnsi="Avenir Next" w:cs="Arial"/>
          <w:color w:val="808080" w:themeColor="background1" w:themeShade="80"/>
          <w:sz w:val="22"/>
          <w:szCs w:val="22"/>
          <w:lang w:val="en-GB" w:eastAsia="en-GB"/>
        </w:rPr>
        <w:lastRenderedPageBreak/>
        <w:t>ha</w:t>
      </w:r>
      <w:r w:rsidR="00A4285D">
        <w:rPr>
          <w:rFonts w:ascii="Avenir Next" w:hAnsi="Avenir Next" w:cs="Arial"/>
          <w:color w:val="808080" w:themeColor="background1" w:themeShade="80"/>
          <w:sz w:val="22"/>
          <w:szCs w:val="22"/>
          <w:lang w:val="en-GB" w:eastAsia="en-GB"/>
        </w:rPr>
        <w:t xml:space="preserve">s </w:t>
      </w:r>
      <w:r w:rsidR="00E25AB6" w:rsidRPr="00264724">
        <w:rPr>
          <w:rFonts w:ascii="Avenir Next" w:hAnsi="Avenir Next" w:cs="Arial"/>
          <w:color w:val="808080" w:themeColor="background1" w:themeShade="80"/>
          <w:sz w:val="22"/>
          <w:szCs w:val="22"/>
          <w:lang w:val="en-GB" w:eastAsia="en-GB"/>
        </w:rPr>
        <w:t xml:space="preserve">enough powers to conclude that these are liquidation proceedings. Hencethese are </w:t>
      </w:r>
      <w:r w:rsidR="00264724" w:rsidRPr="00264724">
        <w:rPr>
          <w:rFonts w:ascii="Avenir Next" w:hAnsi="Avenir Next" w:cs="Arial"/>
          <w:b/>
          <w:bCs/>
          <w:color w:val="808080" w:themeColor="background1" w:themeShade="80"/>
          <w:sz w:val="22"/>
          <w:szCs w:val="22"/>
          <w:lang w:val="en-GB" w:eastAsia="en-GB"/>
        </w:rPr>
        <w:t>LIQUIDATION PROCEEDINGS</w:t>
      </w:r>
      <w:r w:rsidR="00264724" w:rsidRPr="00264724">
        <w:rPr>
          <w:rFonts w:ascii="Avenir Next" w:hAnsi="Avenir Next" w:cs="Arial"/>
          <w:color w:val="808080" w:themeColor="background1" w:themeShade="80"/>
          <w:sz w:val="22"/>
          <w:szCs w:val="22"/>
          <w:lang w:val="en-GB" w:eastAsia="en-GB"/>
        </w:rPr>
        <w:t xml:space="preserve">. </w:t>
      </w:r>
    </w:p>
    <w:p w14:paraId="60B89B2B" w14:textId="77777777" w:rsidR="004075BE" w:rsidRPr="004075BE" w:rsidRDefault="004075BE" w:rsidP="004075BE">
      <w:pPr>
        <w:jc w:val="both"/>
        <w:rPr>
          <w:rFonts w:ascii="Avenir Next" w:hAnsi="Avenir Next" w:cs="Arial"/>
          <w:color w:val="808080" w:themeColor="background1" w:themeShade="80"/>
          <w:sz w:val="22"/>
          <w:szCs w:val="22"/>
          <w:lang w:val="en-GB" w:eastAsia="en-GB"/>
        </w:rPr>
      </w:pPr>
    </w:p>
    <w:p w14:paraId="0F2E7181" w14:textId="26897065" w:rsidR="00C43D91" w:rsidRPr="004075BE" w:rsidRDefault="00027029" w:rsidP="00027029">
      <w:pPr>
        <w:pStyle w:val="ListParagraph"/>
        <w:numPr>
          <w:ilvl w:val="0"/>
          <w:numId w:val="20"/>
        </w:numPr>
        <w:jc w:val="both"/>
        <w:rPr>
          <w:rFonts w:ascii="Avenir Next" w:hAnsi="Avenir Next" w:cs="Arial"/>
          <w:color w:val="808080" w:themeColor="background1" w:themeShade="80"/>
          <w:sz w:val="22"/>
          <w:szCs w:val="22"/>
          <w:lang w:val="en-GB" w:eastAsia="en-GB"/>
        </w:rPr>
      </w:pPr>
      <w:r w:rsidRPr="007F2731">
        <w:rPr>
          <w:rFonts w:ascii="Avenir Next" w:hAnsi="Avenir Next" w:cs="Arial"/>
          <w:color w:val="808080" w:themeColor="background1" w:themeShade="80"/>
          <w:sz w:val="22"/>
          <w:szCs w:val="22"/>
          <w:u w:val="single"/>
          <w:lang w:val="en-GB" w:eastAsia="en-GB"/>
        </w:rPr>
        <w:t xml:space="preserve">The control or supervision </w:t>
      </w:r>
      <w:r w:rsidR="00093B16" w:rsidRPr="007F2731">
        <w:rPr>
          <w:rFonts w:ascii="Avenir Next" w:hAnsi="Avenir Next" w:cs="Arial"/>
          <w:color w:val="808080" w:themeColor="background1" w:themeShade="80"/>
          <w:sz w:val="22"/>
          <w:szCs w:val="22"/>
          <w:u w:val="single"/>
          <w:lang w:val="en-GB" w:eastAsia="en-GB"/>
        </w:rPr>
        <w:t>of the affairs and assets of the debtor by a court or another official body:</w:t>
      </w:r>
      <w:r w:rsidR="00093B16" w:rsidRPr="004075BE">
        <w:rPr>
          <w:rFonts w:ascii="Avenir Next" w:hAnsi="Avenir Next" w:cs="Arial"/>
          <w:color w:val="808080" w:themeColor="background1" w:themeShade="80"/>
          <w:sz w:val="22"/>
          <w:szCs w:val="22"/>
          <w:lang w:val="en-GB" w:eastAsia="en-GB"/>
        </w:rPr>
        <w:t xml:space="preserve"> </w:t>
      </w:r>
      <w:r w:rsidR="00A4285D">
        <w:rPr>
          <w:rFonts w:ascii="Avenir Next" w:hAnsi="Avenir Next" w:cs="Arial"/>
          <w:color w:val="808080" w:themeColor="background1" w:themeShade="80"/>
          <w:sz w:val="22"/>
          <w:szCs w:val="22"/>
          <w:lang w:val="en-GB" w:eastAsia="en-GB"/>
        </w:rPr>
        <w:t>T</w:t>
      </w:r>
      <w:r w:rsidR="00093B16" w:rsidRPr="004075BE">
        <w:rPr>
          <w:rFonts w:ascii="Avenir Next" w:hAnsi="Avenir Next" w:cs="Arial"/>
          <w:color w:val="808080" w:themeColor="background1" w:themeShade="80"/>
          <w:sz w:val="22"/>
          <w:szCs w:val="22"/>
          <w:lang w:val="en-GB" w:eastAsia="en-GB"/>
        </w:rPr>
        <w:t>he present proceedings</w:t>
      </w:r>
      <w:r w:rsidR="00BD2F59" w:rsidRPr="004075BE">
        <w:rPr>
          <w:rFonts w:ascii="Avenir Next" w:hAnsi="Avenir Next" w:cs="Arial"/>
          <w:color w:val="808080" w:themeColor="background1" w:themeShade="80"/>
          <w:sz w:val="22"/>
          <w:szCs w:val="22"/>
          <w:lang w:val="en-GB" w:eastAsia="en-GB"/>
        </w:rPr>
        <w:t xml:space="preserve"> are being administered by the central bank of State A being, the National Bank and a statutorily </w:t>
      </w:r>
      <w:r w:rsidR="004075BE" w:rsidRPr="004075BE">
        <w:rPr>
          <w:rFonts w:ascii="Avenir Next" w:hAnsi="Avenir Next" w:cs="Arial"/>
          <w:color w:val="808080" w:themeColor="background1" w:themeShade="80"/>
          <w:sz w:val="22"/>
          <w:szCs w:val="22"/>
          <w:lang w:val="en-GB" w:eastAsia="en-GB"/>
        </w:rPr>
        <w:t xml:space="preserve">appointed body being the DGF. </w:t>
      </w:r>
    </w:p>
    <w:p w14:paraId="4E32A9B1" w14:textId="77777777" w:rsidR="00C43D91" w:rsidRDefault="00C43D91" w:rsidP="00957951">
      <w:pPr>
        <w:ind w:left="720" w:hanging="720"/>
        <w:jc w:val="both"/>
        <w:rPr>
          <w:rFonts w:ascii="Avenir Next" w:hAnsi="Avenir Next" w:cs="Arial"/>
          <w:color w:val="000000"/>
          <w:sz w:val="22"/>
          <w:szCs w:val="22"/>
          <w:lang w:val="en-GB" w:eastAsia="en-GB"/>
        </w:rPr>
      </w:pPr>
    </w:p>
    <w:p w14:paraId="341A8887" w14:textId="35BA44E6" w:rsidR="00C43D91" w:rsidRPr="007F2731" w:rsidRDefault="004075BE" w:rsidP="004075BE">
      <w:pPr>
        <w:jc w:val="both"/>
        <w:rPr>
          <w:rFonts w:ascii="Avenir Next" w:hAnsi="Avenir Next" w:cs="Arial"/>
          <w:color w:val="808080" w:themeColor="background1" w:themeShade="80"/>
          <w:sz w:val="22"/>
          <w:szCs w:val="22"/>
          <w:lang w:val="en-GB" w:eastAsia="en-GB"/>
        </w:rPr>
      </w:pPr>
      <w:r w:rsidRPr="007F2731">
        <w:rPr>
          <w:rFonts w:ascii="Avenir Next" w:hAnsi="Avenir Next" w:cs="Arial"/>
          <w:color w:val="808080" w:themeColor="background1" w:themeShade="80"/>
          <w:sz w:val="22"/>
          <w:szCs w:val="22"/>
          <w:lang w:val="en-GB" w:eastAsia="en-GB"/>
        </w:rPr>
        <w:t>As all the above 5 pointers have been answered in the affirmative,</w:t>
      </w:r>
      <w:r w:rsidR="00A4285D">
        <w:rPr>
          <w:rFonts w:ascii="Avenir Next" w:hAnsi="Avenir Next" w:cs="Arial"/>
          <w:color w:val="808080" w:themeColor="background1" w:themeShade="80"/>
          <w:sz w:val="22"/>
          <w:szCs w:val="22"/>
          <w:lang w:val="en-GB" w:eastAsia="en-GB"/>
        </w:rPr>
        <w:t xml:space="preserve"> hence</w:t>
      </w:r>
      <w:r w:rsidRPr="007F2731">
        <w:rPr>
          <w:rFonts w:ascii="Avenir Next" w:hAnsi="Avenir Next" w:cs="Arial"/>
          <w:color w:val="808080" w:themeColor="background1" w:themeShade="80"/>
          <w:sz w:val="22"/>
          <w:szCs w:val="22"/>
          <w:lang w:val="en-GB" w:eastAsia="en-GB"/>
        </w:rPr>
        <w:t xml:space="preserve"> its concluded that these should be adjudicated as “foreign proceedings”</w:t>
      </w:r>
      <w:r w:rsidR="007F2731" w:rsidRPr="007F2731">
        <w:rPr>
          <w:rFonts w:ascii="Avenir Next" w:hAnsi="Avenir Next" w:cs="Arial"/>
          <w:color w:val="808080" w:themeColor="background1" w:themeShade="80"/>
          <w:sz w:val="22"/>
          <w:szCs w:val="22"/>
          <w:lang w:val="en-GB" w:eastAsia="en-GB"/>
        </w:rPr>
        <w:t xml:space="preserve"> under Article 2(a) of the Model Law. </w:t>
      </w:r>
    </w:p>
    <w:p w14:paraId="544B5416" w14:textId="77777777" w:rsidR="00C43D91" w:rsidRPr="007F2731" w:rsidRDefault="00C43D91" w:rsidP="00957951">
      <w:pPr>
        <w:ind w:left="720" w:hanging="720"/>
        <w:jc w:val="both"/>
        <w:rPr>
          <w:rFonts w:ascii="Avenir Next" w:hAnsi="Avenir Next" w:cs="Arial"/>
          <w:color w:val="808080" w:themeColor="background1" w:themeShade="8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FA0FFEA" w14:textId="77777777" w:rsidR="007F2731" w:rsidRPr="00291F87" w:rsidRDefault="007F2731" w:rsidP="00957951">
      <w:pPr>
        <w:ind w:left="720" w:hanging="720"/>
        <w:jc w:val="both"/>
        <w:rPr>
          <w:rFonts w:ascii="Avenir Next" w:hAnsi="Avenir Next" w:cs="Arial"/>
          <w:color w:val="808080" w:themeColor="background1" w:themeShade="80"/>
          <w:sz w:val="22"/>
          <w:szCs w:val="22"/>
          <w:lang w:val="en-GB" w:eastAsia="en-GB"/>
        </w:rPr>
      </w:pPr>
    </w:p>
    <w:p w14:paraId="623E69CC" w14:textId="562FE78C" w:rsidR="00351553" w:rsidRPr="00291F87" w:rsidRDefault="00291F87" w:rsidP="00957951">
      <w:pPr>
        <w:ind w:left="720" w:hanging="720"/>
        <w:jc w:val="both"/>
        <w:rPr>
          <w:color w:val="808080" w:themeColor="background1" w:themeShade="80"/>
          <w:sz w:val="22"/>
          <w:szCs w:val="22"/>
        </w:rPr>
      </w:pPr>
      <w:r w:rsidRPr="00291F87">
        <w:rPr>
          <w:rFonts w:ascii="Avenir Next" w:hAnsi="Avenir Next" w:cs="Arial"/>
          <w:color w:val="808080" w:themeColor="background1" w:themeShade="80"/>
          <w:sz w:val="22"/>
          <w:szCs w:val="22"/>
          <w:lang w:val="en-GB" w:eastAsia="en-GB"/>
        </w:rPr>
        <w:t xml:space="preserve">               </w:t>
      </w:r>
      <w:r w:rsidR="00351553" w:rsidRPr="00291F87">
        <w:rPr>
          <w:rFonts w:ascii="Avenir Next" w:hAnsi="Avenir Next" w:cs="Arial"/>
          <w:color w:val="808080" w:themeColor="background1" w:themeShade="80"/>
          <w:sz w:val="22"/>
          <w:szCs w:val="22"/>
          <w:lang w:val="en-GB" w:eastAsia="en-GB"/>
        </w:rPr>
        <w:t>In accordance to Article 2(d), a “foreign representative”, is</w:t>
      </w:r>
      <w:r w:rsidR="002A48E2" w:rsidRPr="00291F87">
        <w:rPr>
          <w:rFonts w:ascii="Avenir Next" w:hAnsi="Avenir Next" w:cs="Arial"/>
          <w:color w:val="808080" w:themeColor="background1" w:themeShade="80"/>
          <w:sz w:val="22"/>
          <w:szCs w:val="22"/>
          <w:lang w:val="en-GB" w:eastAsia="en-GB"/>
        </w:rPr>
        <w:t xml:space="preserve"> </w:t>
      </w:r>
      <w:r w:rsidR="002A48E2" w:rsidRPr="00291F87">
        <w:rPr>
          <w:color w:val="808080" w:themeColor="background1" w:themeShade="80"/>
          <w:sz w:val="22"/>
          <w:szCs w:val="22"/>
        </w:rPr>
        <w:t>“</w:t>
      </w:r>
      <w:r w:rsidR="002A48E2" w:rsidRPr="00A4285D">
        <w:rPr>
          <w:i/>
          <w:iCs/>
          <w:color w:val="808080" w:themeColor="background1" w:themeShade="80"/>
          <w:sz w:val="22"/>
          <w:szCs w:val="22"/>
        </w:rPr>
        <w:t>a person or body, including one appointed on an interim basis, authorized in a foreign proceeding to administer the reorganization or the liquidation of the debtor’s assets or affairs or to act as a representative of the foreign proceeding</w:t>
      </w:r>
      <w:r w:rsidR="002A48E2" w:rsidRPr="00291F87">
        <w:rPr>
          <w:color w:val="808080" w:themeColor="background1" w:themeShade="80"/>
          <w:sz w:val="22"/>
          <w:szCs w:val="22"/>
        </w:rPr>
        <w:t>”</w:t>
      </w:r>
    </w:p>
    <w:p w14:paraId="4D49D6E4" w14:textId="77777777" w:rsidR="00291F87" w:rsidRDefault="00291F87" w:rsidP="00957951">
      <w:pPr>
        <w:ind w:left="720" w:hanging="720"/>
        <w:jc w:val="both"/>
      </w:pPr>
    </w:p>
    <w:p w14:paraId="3F837C04" w14:textId="5E79D233" w:rsidR="002A48E2" w:rsidRPr="00291F87" w:rsidRDefault="00291F87" w:rsidP="00957951">
      <w:pPr>
        <w:ind w:left="720" w:hanging="720"/>
        <w:jc w:val="both"/>
        <w:rPr>
          <w:color w:val="808080" w:themeColor="background1" w:themeShade="80"/>
        </w:rPr>
      </w:pPr>
      <w:r>
        <w:t xml:space="preserve">   </w:t>
      </w:r>
      <w:r w:rsidR="002A48E2" w:rsidRPr="00291F87">
        <w:rPr>
          <w:rFonts w:ascii="Avenir Next" w:hAnsi="Avenir Next" w:cs="Arial"/>
          <w:color w:val="808080" w:themeColor="background1" w:themeShade="80"/>
          <w:sz w:val="22"/>
          <w:szCs w:val="22"/>
          <w:lang w:val="en-GB" w:eastAsia="en-GB"/>
        </w:rPr>
        <w:t>Breaking down the</w:t>
      </w:r>
      <w:r w:rsidR="000D7C72">
        <w:rPr>
          <w:rFonts w:ascii="Avenir Next" w:hAnsi="Avenir Next" w:cs="Arial"/>
          <w:color w:val="808080" w:themeColor="background1" w:themeShade="80"/>
          <w:sz w:val="22"/>
          <w:szCs w:val="22"/>
          <w:lang w:val="en-GB" w:eastAsia="en-GB"/>
        </w:rPr>
        <w:t xml:space="preserve"> relevant</w:t>
      </w:r>
      <w:r w:rsidR="002A48E2" w:rsidRPr="00291F87">
        <w:rPr>
          <w:rFonts w:ascii="Avenir Next" w:hAnsi="Avenir Next" w:cs="Arial"/>
          <w:color w:val="808080" w:themeColor="background1" w:themeShade="80"/>
          <w:sz w:val="22"/>
          <w:szCs w:val="22"/>
          <w:lang w:val="en-GB" w:eastAsia="en-GB"/>
        </w:rPr>
        <w:t xml:space="preserve"> </w:t>
      </w:r>
      <w:r w:rsidR="000D7C72" w:rsidRPr="00291F87">
        <w:rPr>
          <w:rFonts w:ascii="Avenir Next" w:hAnsi="Avenir Next" w:cs="Arial"/>
          <w:color w:val="808080" w:themeColor="background1" w:themeShade="80"/>
          <w:sz w:val="22"/>
          <w:szCs w:val="22"/>
          <w:lang w:val="en-GB" w:eastAsia="en-GB"/>
        </w:rPr>
        <w:t>requirements</w:t>
      </w:r>
      <w:r w:rsidR="002A48E2" w:rsidRPr="00291F87">
        <w:rPr>
          <w:rFonts w:ascii="Avenir Next" w:hAnsi="Avenir Next" w:cs="Arial"/>
          <w:color w:val="808080" w:themeColor="background1" w:themeShade="80"/>
          <w:sz w:val="22"/>
          <w:szCs w:val="22"/>
          <w:lang w:val="en-GB" w:eastAsia="en-GB"/>
        </w:rPr>
        <w:t xml:space="preserve"> in the aforementioned definition:</w:t>
      </w:r>
    </w:p>
    <w:p w14:paraId="57CE32FE" w14:textId="77777777" w:rsidR="002A48E2" w:rsidRPr="00291F87" w:rsidRDefault="002A48E2" w:rsidP="00957951">
      <w:pPr>
        <w:ind w:left="720" w:hanging="720"/>
        <w:jc w:val="both"/>
        <w:rPr>
          <w:color w:val="808080" w:themeColor="background1" w:themeShade="80"/>
        </w:rPr>
      </w:pPr>
    </w:p>
    <w:p w14:paraId="089965FE" w14:textId="2629E109" w:rsidR="002A48E2" w:rsidRPr="00291F87" w:rsidRDefault="00B86D53" w:rsidP="002A48E2">
      <w:pPr>
        <w:pStyle w:val="ListParagraph"/>
        <w:numPr>
          <w:ilvl w:val="0"/>
          <w:numId w:val="21"/>
        </w:numPr>
        <w:jc w:val="both"/>
        <w:rPr>
          <w:rFonts w:ascii="Avenir Next" w:hAnsi="Avenir Next" w:cs="Arial"/>
          <w:color w:val="808080" w:themeColor="background1" w:themeShade="80"/>
          <w:sz w:val="22"/>
          <w:szCs w:val="22"/>
          <w:lang w:val="en-GB" w:eastAsia="en-GB"/>
        </w:rPr>
      </w:pPr>
      <w:r w:rsidRPr="000D7C72">
        <w:rPr>
          <w:rFonts w:ascii="Avenir Next" w:hAnsi="Avenir Next" w:cs="Arial"/>
          <w:color w:val="808080" w:themeColor="background1" w:themeShade="80"/>
          <w:sz w:val="22"/>
          <w:szCs w:val="22"/>
          <w:u w:val="single"/>
          <w:lang w:val="en-GB" w:eastAsia="en-GB"/>
        </w:rPr>
        <w:t>Should be a person or a body of persons</w:t>
      </w:r>
      <w:r w:rsidRPr="00291F87">
        <w:rPr>
          <w:rFonts w:ascii="Avenir Next" w:hAnsi="Avenir Next" w:cs="Arial"/>
          <w:color w:val="808080" w:themeColor="background1" w:themeShade="80"/>
          <w:sz w:val="22"/>
          <w:szCs w:val="22"/>
          <w:lang w:val="en-GB" w:eastAsia="en-GB"/>
        </w:rPr>
        <w:t>: In this case, DGF is the body which is the recognised body to act as the official liquidator of the Bank under the DGF Law</w:t>
      </w:r>
      <w:r w:rsidR="00061D87" w:rsidRPr="00291F87">
        <w:rPr>
          <w:rFonts w:ascii="Avenir Next" w:hAnsi="Avenir Next" w:cs="Arial"/>
          <w:color w:val="808080" w:themeColor="background1" w:themeShade="80"/>
          <w:sz w:val="22"/>
          <w:szCs w:val="22"/>
          <w:lang w:val="en-GB" w:eastAsia="en-GB"/>
        </w:rPr>
        <w:t xml:space="preserve">. It should be noted that Mr. C and Ms. G are only </w:t>
      </w:r>
      <w:r w:rsidR="000D7C72" w:rsidRPr="00291F87">
        <w:rPr>
          <w:rFonts w:ascii="Avenir Next" w:hAnsi="Avenir Next" w:cs="Arial"/>
          <w:color w:val="808080" w:themeColor="background1" w:themeShade="80"/>
          <w:sz w:val="22"/>
          <w:szCs w:val="22"/>
          <w:lang w:val="en-GB" w:eastAsia="en-GB"/>
        </w:rPr>
        <w:t>delegates</w:t>
      </w:r>
      <w:r w:rsidR="00061D87" w:rsidRPr="00291F87">
        <w:rPr>
          <w:rFonts w:ascii="Avenir Next" w:hAnsi="Avenir Next" w:cs="Arial"/>
          <w:color w:val="808080" w:themeColor="background1" w:themeShade="80"/>
          <w:sz w:val="22"/>
          <w:szCs w:val="22"/>
          <w:lang w:val="en-GB" w:eastAsia="en-GB"/>
        </w:rPr>
        <w:t xml:space="preserve"> and the powers of a </w:t>
      </w:r>
      <w:r w:rsidR="000D7C72" w:rsidRPr="00291F87">
        <w:rPr>
          <w:rFonts w:ascii="Avenir Next" w:hAnsi="Avenir Next" w:cs="Arial"/>
          <w:color w:val="808080" w:themeColor="background1" w:themeShade="80"/>
          <w:sz w:val="22"/>
          <w:szCs w:val="22"/>
          <w:lang w:val="en-GB" w:eastAsia="en-GB"/>
        </w:rPr>
        <w:t>liquidator</w:t>
      </w:r>
      <w:r w:rsidR="00061D87" w:rsidRPr="00291F87">
        <w:rPr>
          <w:rFonts w:ascii="Avenir Next" w:hAnsi="Avenir Next" w:cs="Arial"/>
          <w:color w:val="808080" w:themeColor="background1" w:themeShade="80"/>
          <w:sz w:val="22"/>
          <w:szCs w:val="22"/>
          <w:lang w:val="en-GB" w:eastAsia="en-GB"/>
        </w:rPr>
        <w:t xml:space="preserve"> remain with the DGF;</w:t>
      </w:r>
    </w:p>
    <w:p w14:paraId="22A5435F" w14:textId="77777777" w:rsidR="007D2F45" w:rsidRPr="00291F87" w:rsidRDefault="007D2F45" w:rsidP="007D2F45">
      <w:pPr>
        <w:pStyle w:val="ListParagraph"/>
        <w:jc w:val="both"/>
        <w:rPr>
          <w:rFonts w:ascii="Avenir Next" w:hAnsi="Avenir Next" w:cs="Arial"/>
          <w:color w:val="808080" w:themeColor="background1" w:themeShade="80"/>
          <w:sz w:val="22"/>
          <w:szCs w:val="22"/>
          <w:lang w:val="en-GB" w:eastAsia="en-GB"/>
        </w:rPr>
      </w:pPr>
    </w:p>
    <w:p w14:paraId="6E72CCEA" w14:textId="64F64D68" w:rsidR="00061D87" w:rsidRPr="00291F87" w:rsidRDefault="002A48F4" w:rsidP="002A48E2">
      <w:pPr>
        <w:pStyle w:val="ListParagraph"/>
        <w:numPr>
          <w:ilvl w:val="0"/>
          <w:numId w:val="21"/>
        </w:numPr>
        <w:jc w:val="both"/>
        <w:rPr>
          <w:rFonts w:ascii="Avenir Next" w:hAnsi="Avenir Next" w:cs="Arial"/>
          <w:color w:val="808080" w:themeColor="background1" w:themeShade="80"/>
          <w:sz w:val="22"/>
          <w:szCs w:val="22"/>
          <w:lang w:val="en-GB" w:eastAsia="en-GB"/>
        </w:rPr>
      </w:pPr>
      <w:r w:rsidRPr="000D7C72">
        <w:rPr>
          <w:rFonts w:ascii="Avenir Next" w:hAnsi="Avenir Next" w:cs="Arial"/>
          <w:color w:val="808080" w:themeColor="background1" w:themeShade="80"/>
          <w:sz w:val="22"/>
          <w:szCs w:val="22"/>
          <w:u w:val="single"/>
          <w:lang w:val="en-GB" w:eastAsia="en-GB"/>
        </w:rPr>
        <w:t>I</w:t>
      </w:r>
      <w:r w:rsidR="000D7C72">
        <w:rPr>
          <w:rFonts w:ascii="Avenir Next" w:hAnsi="Avenir Next" w:cs="Arial"/>
          <w:color w:val="808080" w:themeColor="background1" w:themeShade="80"/>
          <w:sz w:val="22"/>
          <w:szCs w:val="22"/>
          <w:u w:val="single"/>
          <w:lang w:val="en-GB" w:eastAsia="en-GB"/>
        </w:rPr>
        <w:t xml:space="preserve">t is </w:t>
      </w:r>
      <w:r w:rsidR="000D7C72" w:rsidRPr="000D7C72">
        <w:rPr>
          <w:rFonts w:ascii="Avenir Next" w:hAnsi="Avenir Next" w:cs="Arial"/>
          <w:color w:val="808080" w:themeColor="background1" w:themeShade="80"/>
          <w:sz w:val="22"/>
          <w:szCs w:val="22"/>
          <w:u w:val="single"/>
          <w:lang w:val="en-GB" w:eastAsia="en-GB"/>
        </w:rPr>
        <w:t>authorised</w:t>
      </w:r>
      <w:r w:rsidRPr="000D7C72">
        <w:rPr>
          <w:rFonts w:ascii="Avenir Next" w:hAnsi="Avenir Next" w:cs="Arial"/>
          <w:color w:val="808080" w:themeColor="background1" w:themeShade="80"/>
          <w:sz w:val="22"/>
          <w:szCs w:val="22"/>
          <w:u w:val="single"/>
          <w:lang w:val="en-GB" w:eastAsia="en-GB"/>
        </w:rPr>
        <w:t xml:space="preserve"> in a </w:t>
      </w:r>
      <w:r w:rsidR="00577F8E" w:rsidRPr="000D7C72">
        <w:rPr>
          <w:rFonts w:ascii="Avenir Next" w:hAnsi="Avenir Next" w:cs="Arial"/>
          <w:color w:val="808080" w:themeColor="background1" w:themeShade="80"/>
          <w:sz w:val="22"/>
          <w:szCs w:val="22"/>
          <w:u w:val="single"/>
          <w:lang w:val="en-GB" w:eastAsia="en-GB"/>
        </w:rPr>
        <w:t>foreign proceeding</w:t>
      </w:r>
      <w:r w:rsidRPr="000D7C72">
        <w:rPr>
          <w:rFonts w:ascii="Avenir Next" w:hAnsi="Avenir Next" w:cs="Arial"/>
          <w:color w:val="808080" w:themeColor="background1" w:themeShade="80"/>
          <w:sz w:val="22"/>
          <w:szCs w:val="22"/>
          <w:u w:val="single"/>
          <w:lang w:val="en-GB" w:eastAsia="en-GB"/>
        </w:rPr>
        <w:t xml:space="preserve"> to administer the liquidation</w:t>
      </w:r>
      <w:r w:rsidR="00727217" w:rsidRPr="000D7C72">
        <w:rPr>
          <w:rFonts w:ascii="Avenir Next" w:hAnsi="Avenir Next" w:cs="Arial"/>
          <w:color w:val="808080" w:themeColor="background1" w:themeShade="80"/>
          <w:sz w:val="22"/>
          <w:szCs w:val="22"/>
          <w:u w:val="single"/>
          <w:lang w:val="en-GB" w:eastAsia="en-GB"/>
        </w:rPr>
        <w:t xml:space="preserve"> of the debtor’s assets or affairs</w:t>
      </w:r>
      <w:r w:rsidRPr="00291F87">
        <w:rPr>
          <w:rFonts w:ascii="Avenir Next" w:hAnsi="Avenir Next" w:cs="Arial"/>
          <w:color w:val="808080" w:themeColor="background1" w:themeShade="80"/>
          <w:sz w:val="22"/>
          <w:szCs w:val="22"/>
          <w:lang w:val="en-GB" w:eastAsia="en-GB"/>
        </w:rPr>
        <w:t>: As has been clarified hereinabove, the law of Country A on Banks and Banking Activity read along with the DGF Law, officially recognise DGF as the authorised body to conduct the liquidation and has various powers of a liquidator under Articles 34, 35(5), 36(1</w:t>
      </w:r>
      <w:r w:rsidR="007D2F45" w:rsidRPr="00291F87">
        <w:rPr>
          <w:rFonts w:ascii="Avenir Next" w:hAnsi="Avenir Next" w:cs="Arial"/>
          <w:color w:val="808080" w:themeColor="background1" w:themeShade="80"/>
          <w:sz w:val="22"/>
          <w:szCs w:val="22"/>
          <w:lang w:val="en-GB" w:eastAsia="en-GB"/>
        </w:rPr>
        <w:t xml:space="preserve">), 37, 47-52, 521, 53 etc of the DGF Law. </w:t>
      </w:r>
    </w:p>
    <w:p w14:paraId="2F3B263C" w14:textId="77777777" w:rsidR="00727217" w:rsidRPr="00291F87" w:rsidRDefault="00727217" w:rsidP="00727217">
      <w:pPr>
        <w:pStyle w:val="ListParagraph"/>
        <w:rPr>
          <w:rFonts w:ascii="Avenir Next" w:hAnsi="Avenir Next" w:cs="Arial"/>
          <w:color w:val="808080" w:themeColor="background1" w:themeShade="80"/>
          <w:sz w:val="22"/>
          <w:szCs w:val="22"/>
          <w:lang w:val="en-GB" w:eastAsia="en-GB"/>
        </w:rPr>
      </w:pPr>
    </w:p>
    <w:p w14:paraId="4B08E4B7" w14:textId="3F308012" w:rsidR="00727217" w:rsidRPr="00291F87" w:rsidRDefault="00727217" w:rsidP="00727217">
      <w:pPr>
        <w:jc w:val="both"/>
        <w:rPr>
          <w:rFonts w:ascii="Avenir Next" w:hAnsi="Avenir Next" w:cs="Arial"/>
          <w:color w:val="808080" w:themeColor="background1" w:themeShade="80"/>
          <w:sz w:val="22"/>
          <w:szCs w:val="22"/>
          <w:lang w:val="en-GB" w:eastAsia="en-GB"/>
        </w:rPr>
      </w:pPr>
      <w:r w:rsidRPr="00487171">
        <w:rPr>
          <w:rFonts w:ascii="Avenir Next" w:hAnsi="Avenir Next" w:cs="Arial"/>
          <w:b/>
          <w:bCs/>
          <w:color w:val="808080" w:themeColor="background1" w:themeShade="80"/>
          <w:sz w:val="22"/>
          <w:szCs w:val="22"/>
          <w:u w:val="single"/>
          <w:lang w:val="en-GB" w:eastAsia="en-GB"/>
        </w:rPr>
        <w:t xml:space="preserve">It is to be noted that </w:t>
      </w:r>
      <w:r w:rsidR="00487171" w:rsidRPr="00487171">
        <w:rPr>
          <w:rFonts w:ascii="Avenir Next" w:hAnsi="Avenir Next" w:cs="Arial"/>
          <w:b/>
          <w:bCs/>
          <w:color w:val="808080" w:themeColor="background1" w:themeShade="80"/>
          <w:sz w:val="22"/>
          <w:szCs w:val="22"/>
          <w:u w:val="single"/>
          <w:lang w:val="en-GB" w:eastAsia="en-GB"/>
        </w:rPr>
        <w:t>it</w:t>
      </w:r>
      <w:r w:rsidRPr="00487171">
        <w:rPr>
          <w:rFonts w:ascii="Avenir Next" w:hAnsi="Avenir Next" w:cs="Arial"/>
          <w:b/>
          <w:bCs/>
          <w:color w:val="808080" w:themeColor="background1" w:themeShade="80"/>
          <w:sz w:val="22"/>
          <w:szCs w:val="22"/>
          <w:u w:val="single"/>
          <w:lang w:val="en-GB" w:eastAsia="en-GB"/>
        </w:rPr>
        <w:t xml:space="preserve"> is DGF that should be recognised as the “foreign proceedings</w:t>
      </w:r>
      <w:r w:rsidRPr="00291F87">
        <w:rPr>
          <w:rFonts w:ascii="Avenir Next" w:hAnsi="Avenir Next" w:cs="Arial"/>
          <w:color w:val="808080" w:themeColor="background1" w:themeShade="80"/>
          <w:sz w:val="22"/>
          <w:szCs w:val="22"/>
          <w:lang w:val="en-GB" w:eastAsia="en-GB"/>
        </w:rPr>
        <w:t>” and not Ms. G,</w:t>
      </w:r>
      <w:r w:rsidR="00E97504" w:rsidRPr="00291F87">
        <w:rPr>
          <w:rFonts w:ascii="Avenir Next" w:hAnsi="Avenir Next" w:cs="Arial"/>
          <w:color w:val="808080" w:themeColor="background1" w:themeShade="80"/>
          <w:sz w:val="22"/>
          <w:szCs w:val="22"/>
          <w:lang w:val="en-GB" w:eastAsia="en-GB"/>
        </w:rPr>
        <w:t xml:space="preserve"> who has been </w:t>
      </w:r>
      <w:r w:rsidR="00487171">
        <w:rPr>
          <w:rFonts w:ascii="Avenir Next" w:hAnsi="Avenir Next" w:cs="Arial"/>
          <w:color w:val="808080" w:themeColor="background1" w:themeShade="80"/>
          <w:sz w:val="22"/>
          <w:szCs w:val="22"/>
          <w:lang w:val="en-GB" w:eastAsia="en-GB"/>
        </w:rPr>
        <w:t xml:space="preserve">only </w:t>
      </w:r>
      <w:r w:rsidR="00E97504" w:rsidRPr="00291F87">
        <w:rPr>
          <w:rFonts w:ascii="Avenir Next" w:hAnsi="Avenir Next" w:cs="Arial"/>
          <w:color w:val="808080" w:themeColor="background1" w:themeShade="80"/>
          <w:sz w:val="22"/>
          <w:szCs w:val="22"/>
          <w:lang w:val="en-GB" w:eastAsia="en-GB"/>
        </w:rPr>
        <w:t xml:space="preserve">delegated certain powers of the DGF as the official liquidator. </w:t>
      </w:r>
      <w:r w:rsidR="00487171" w:rsidRPr="00291F87">
        <w:rPr>
          <w:rFonts w:ascii="Avenir Next" w:hAnsi="Avenir Next" w:cs="Arial"/>
          <w:color w:val="808080" w:themeColor="background1" w:themeShade="80"/>
          <w:sz w:val="22"/>
          <w:szCs w:val="22"/>
          <w:lang w:val="en-GB" w:eastAsia="en-GB"/>
        </w:rPr>
        <w:t>Hence</w:t>
      </w:r>
      <w:r w:rsidR="0041449D" w:rsidRPr="00291F87">
        <w:rPr>
          <w:rFonts w:ascii="Avenir Next" w:hAnsi="Avenir Next" w:cs="Arial"/>
          <w:color w:val="808080" w:themeColor="background1" w:themeShade="80"/>
          <w:sz w:val="22"/>
          <w:szCs w:val="22"/>
          <w:lang w:val="en-GB" w:eastAsia="en-GB"/>
        </w:rPr>
        <w:t xml:space="preserve"> the main applicant in the recognition application should be DGF. Basis the jurisprudence on the </w:t>
      </w:r>
      <w:r w:rsidR="00D00BD7" w:rsidRPr="00291F87">
        <w:rPr>
          <w:rFonts w:ascii="Avenir Next" w:hAnsi="Avenir Next" w:cs="Arial"/>
          <w:color w:val="808080" w:themeColor="background1" w:themeShade="80"/>
          <w:sz w:val="22"/>
          <w:szCs w:val="22"/>
          <w:lang w:val="en-GB" w:eastAsia="en-GB"/>
        </w:rPr>
        <w:t xml:space="preserve">subject, </w:t>
      </w:r>
      <w:r w:rsidR="00D00BD7" w:rsidRPr="00291F87">
        <w:rPr>
          <w:color w:val="808080" w:themeColor="background1" w:themeShade="80"/>
          <w:sz w:val="22"/>
          <w:szCs w:val="22"/>
        </w:rPr>
        <w:t>an order of the foreign court affirming that the foreign representative did have the power to dispose of property once held by the debtor was considered by the receiving court to clarify the grant of powers to the foreign representative and to delineate the starting point for recognition</w:t>
      </w:r>
      <w:r w:rsidR="00D00BD7" w:rsidRPr="00291F87">
        <w:rPr>
          <w:rStyle w:val="FootnoteReference"/>
          <w:color w:val="808080" w:themeColor="background1" w:themeShade="80"/>
          <w:sz w:val="22"/>
          <w:szCs w:val="22"/>
        </w:rPr>
        <w:footnoteReference w:id="55"/>
      </w:r>
      <w:r w:rsidR="00EE7083" w:rsidRPr="00291F87">
        <w:rPr>
          <w:color w:val="808080" w:themeColor="background1" w:themeShade="80"/>
          <w:sz w:val="22"/>
          <w:szCs w:val="22"/>
        </w:rPr>
        <w:t xml:space="preserve">, and its as per this understanding that it should be concluded that Ms. G will not be adjudged as the “foreign proceedings” because the power to </w:t>
      </w:r>
      <w:r w:rsidR="00EE7083" w:rsidRPr="00291F87">
        <w:rPr>
          <w:rFonts w:ascii="Avenir Next" w:hAnsi="Avenir Next" w:cs="Arial"/>
          <w:color w:val="808080" w:themeColor="background1" w:themeShade="80"/>
          <w:sz w:val="22"/>
          <w:szCs w:val="22"/>
          <w:lang w:val="en-GB" w:eastAsia="en-GB"/>
        </w:rPr>
        <w:t xml:space="preserve">and the power to arrange for the sale of the Bank’s assets, has specifically not been </w:t>
      </w:r>
      <w:r w:rsidR="00291F87" w:rsidRPr="00291F87">
        <w:rPr>
          <w:rFonts w:ascii="Avenir Next" w:hAnsi="Avenir Next" w:cs="Arial"/>
          <w:color w:val="808080" w:themeColor="background1" w:themeShade="80"/>
          <w:sz w:val="22"/>
          <w:szCs w:val="22"/>
          <w:lang w:val="en-GB" w:eastAsia="en-GB"/>
        </w:rPr>
        <w:t>delegated to her</w:t>
      </w:r>
      <w:r w:rsidR="007571CB">
        <w:rPr>
          <w:rFonts w:ascii="Avenir Next" w:hAnsi="Avenir Next" w:cs="Arial"/>
          <w:color w:val="808080" w:themeColor="background1" w:themeShade="80"/>
          <w:sz w:val="22"/>
          <w:szCs w:val="22"/>
          <w:lang w:val="en-GB" w:eastAsia="en-GB"/>
        </w:rPr>
        <w:t>, but DGF would.</w:t>
      </w:r>
    </w:p>
    <w:p w14:paraId="5D80729C" w14:textId="77777777" w:rsidR="007F2731" w:rsidRPr="00E2622D" w:rsidRDefault="007F2731"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189F8A64" w14:textId="67747B0C" w:rsidR="00E2622D" w:rsidRPr="00E2622D" w:rsidRDefault="009B0723">
      <w:pPr>
        <w:rPr>
          <w:rFonts w:ascii="Avenir Next" w:hAnsi="Avenir Next" w:cs="Arial"/>
          <w:sz w:val="22"/>
          <w:szCs w:val="22"/>
          <w:lang w:val="en-GB"/>
        </w:rPr>
      </w:pPr>
      <w:r w:rsidRPr="00E2622D">
        <w:rPr>
          <w:rFonts w:ascii="Avenir Next" w:hAnsi="Avenir Next" w:cs="Arial"/>
          <w:sz w:val="22"/>
          <w:szCs w:val="22"/>
          <w:lang w:val="en-GB"/>
        </w:rPr>
        <w:t xml:space="preserve"> </w:t>
      </w: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F85" w14:textId="77777777" w:rsidR="00DF7926" w:rsidRDefault="00DF7926" w:rsidP="00241B44">
      <w:r>
        <w:separator/>
      </w:r>
    </w:p>
  </w:endnote>
  <w:endnote w:type="continuationSeparator" w:id="0">
    <w:p w14:paraId="7AE9A659" w14:textId="77777777" w:rsidR="00DF7926" w:rsidRDefault="00DF79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4B2F28BF"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5FE2">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BDD5606" w:rsidR="000300E0" w:rsidRPr="00B46CE2" w:rsidRDefault="00D13EC2" w:rsidP="000300E0">
    <w:pPr>
      <w:pStyle w:val="Footer"/>
      <w:ind w:right="360"/>
      <w:rPr>
        <w:rFonts w:ascii="Avenir Next" w:hAnsi="Avenir Next"/>
        <w:sz w:val="22"/>
        <w:szCs w:val="22"/>
      </w:rPr>
    </w:pPr>
    <w:r>
      <w:rPr>
        <w:rFonts w:ascii="Avenir Next" w:hAnsi="Avenir Next"/>
        <w:sz w:val="22"/>
        <w:szCs w:val="22"/>
      </w:rPr>
      <w:t>202223-909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E336" w14:textId="77777777" w:rsidR="00DF7926" w:rsidRDefault="00DF7926" w:rsidP="00241B44">
      <w:r>
        <w:separator/>
      </w:r>
    </w:p>
  </w:footnote>
  <w:footnote w:type="continuationSeparator" w:id="0">
    <w:p w14:paraId="39DC88E7" w14:textId="77777777" w:rsidR="00DF7926" w:rsidRDefault="00DF7926" w:rsidP="00241B44">
      <w:r>
        <w:continuationSeparator/>
      </w:r>
    </w:p>
  </w:footnote>
  <w:footnote w:id="1">
    <w:p w14:paraId="6D80B2F8" w14:textId="774F6282" w:rsidR="0048359B" w:rsidRPr="0048359B" w:rsidRDefault="009505A8">
      <w:pPr>
        <w:pStyle w:val="FootnoteText"/>
      </w:pPr>
      <w:r>
        <w:rPr>
          <w:rStyle w:val="FootnoteReference"/>
        </w:rPr>
        <w:footnoteRef/>
      </w:r>
      <w:r>
        <w:t xml:space="preserve"> </w:t>
      </w:r>
      <w:r w:rsidR="0048359B" w:rsidRPr="00D134FB">
        <w:rPr>
          <w:i/>
          <w:iCs/>
        </w:rPr>
        <w:t>Betcorp Ltd</w:t>
      </w:r>
      <w:r w:rsidR="0048359B">
        <w:t xml:space="preserve"> (</w:t>
      </w:r>
      <w:r w:rsidR="0048359B" w:rsidRPr="0048359B">
        <w:rPr>
          <w:i/>
          <w:iCs/>
        </w:rPr>
        <w:t>in re</w:t>
      </w:r>
      <w:r w:rsidR="0048359B">
        <w:t>) (</w:t>
      </w:r>
      <w:r w:rsidR="0048359B" w:rsidRPr="0048359B">
        <w:rPr>
          <w:i/>
          <w:iCs/>
        </w:rPr>
        <w:t>in liquidation</w:t>
      </w:r>
      <w:r w:rsidR="0048359B">
        <w:t>) 400 B.R. 266 (Bankr. D. Nev.2009), CLOUT 927.</w:t>
      </w:r>
    </w:p>
  </w:footnote>
  <w:footnote w:id="2">
    <w:p w14:paraId="2B56EA48" w14:textId="3D364050" w:rsidR="00D3075A" w:rsidRPr="00D3075A" w:rsidRDefault="00D3075A">
      <w:pPr>
        <w:pStyle w:val="FootnoteText"/>
        <w:rPr>
          <w:lang w:val="en-IN"/>
        </w:rPr>
      </w:pPr>
      <w:r>
        <w:rPr>
          <w:rStyle w:val="FootnoteReference"/>
        </w:rPr>
        <w:footnoteRef/>
      </w:r>
      <w:r>
        <w:t xml:space="preserve"> </w:t>
      </w:r>
      <w:r w:rsidRPr="00D134FB">
        <w:rPr>
          <w:i/>
          <w:iCs/>
        </w:rPr>
        <w:t xml:space="preserve">Morning Mist Holdings Ltd v Krys </w:t>
      </w:r>
      <w:r>
        <w:t xml:space="preserve">(In re Fairfield Sentry Ltd) 714 F.3d 127 (2d Cir. Apr. 16, 2013), CLOUT 1339 affirming 458 B.R. 665 (S.D.N.Y. 2011), CLOUT 1316 (second instance) affirming 440 B.R. 60 (Bankr. S.D.N.Y. 2010) (first instance). The consideration of the COMI was only considered in the appellate court. The United Kingdom followed the the interpretation of </w:t>
      </w:r>
      <w:r w:rsidRPr="00D134FB">
        <w:rPr>
          <w:i/>
          <w:iCs/>
        </w:rPr>
        <w:t>Morning Mist</w:t>
      </w:r>
      <w:r>
        <w:t xml:space="preserve"> </w:t>
      </w:r>
      <w:r w:rsidR="00D134FB">
        <w:t xml:space="preserve">in </w:t>
      </w:r>
      <w:r w:rsidR="00D134FB" w:rsidRPr="00D134FB">
        <w:rPr>
          <w:i/>
          <w:iCs/>
        </w:rPr>
        <w:t>Re Toisa Limited</w:t>
      </w:r>
      <w:r w:rsidR="00D134FB">
        <w:t xml:space="preserve"> (unpublished)</w:t>
      </w:r>
    </w:p>
  </w:footnote>
  <w:footnote w:id="3">
    <w:p w14:paraId="3F5BDBFE" w14:textId="5F0088DF" w:rsidR="00906B1E" w:rsidRPr="00906B1E" w:rsidRDefault="00906B1E" w:rsidP="006207E2">
      <w:pPr>
        <w:pStyle w:val="FootnoteText"/>
        <w:jc w:val="both"/>
        <w:rPr>
          <w:lang w:val="en-IN"/>
        </w:rPr>
      </w:pPr>
      <w:r>
        <w:rPr>
          <w:rStyle w:val="FootnoteReference"/>
        </w:rPr>
        <w:footnoteRef/>
      </w:r>
      <w:r>
        <w:t xml:space="preserve"> M.Virgos and E. Schmit, Report on the Convention on Insolvency Proceedings, Brussels 3 May 1996 &lt;&lt;</w:t>
      </w:r>
      <w:hyperlink r:id="rId1" w:history="1">
        <w:r>
          <w:rPr>
            <w:rStyle w:val="Hyperlink"/>
          </w:rPr>
          <w:t>Report on the Convention on Insolvency Proceedings - Archive of European Integration (pitt.edu)</w:t>
        </w:r>
      </w:hyperlink>
      <w:r>
        <w:t>&gt;&gt;, accessed on February 2, 2023.</w:t>
      </w:r>
      <w:r>
        <w:tab/>
        <w:t xml:space="preserve"> The aforesaid  report is in </w:t>
      </w:r>
      <w:r w:rsidR="0097747A">
        <w:t xml:space="preserve">relation to the to the European Convention , but the same is comparable to the Model Law and hence can relied </w:t>
      </w:r>
      <w:r w:rsidR="00245544">
        <w:t>up</w:t>
      </w:r>
      <w:r w:rsidR="0097747A">
        <w:t>on for interpretation.</w:t>
      </w:r>
    </w:p>
  </w:footnote>
  <w:footnote w:id="4">
    <w:p w14:paraId="24EADC56" w14:textId="7D5260EC" w:rsidR="002A3240" w:rsidRPr="002A3240" w:rsidRDefault="002A3240" w:rsidP="006207E2">
      <w:pPr>
        <w:pStyle w:val="FootnoteText"/>
        <w:jc w:val="both"/>
        <w:rPr>
          <w:lang w:val="en-IN"/>
        </w:rPr>
      </w:pPr>
      <w:r>
        <w:rPr>
          <w:rStyle w:val="FootnoteReference"/>
        </w:rPr>
        <w:footnoteRef/>
      </w:r>
      <w:r>
        <w:t xml:space="preserve"> </w:t>
      </w:r>
      <w:r>
        <w:rPr>
          <w:lang w:val="en-IN"/>
        </w:rPr>
        <w:t>OJSC International Bank of Azerbijan and the CBIR 2006- (</w:t>
      </w:r>
      <w:r>
        <w:t>Bakhshiyeva v Sberbank of Russia [2018] EWCA Civ 2802)</w:t>
      </w:r>
    </w:p>
  </w:footnote>
  <w:footnote w:id="5">
    <w:p w14:paraId="2B144653" w14:textId="3808D632" w:rsidR="006207E2" w:rsidRPr="006207E2" w:rsidRDefault="006207E2" w:rsidP="006207E2">
      <w:pPr>
        <w:pStyle w:val="FootnoteText"/>
        <w:jc w:val="both"/>
        <w:rPr>
          <w:lang w:val="en-IN"/>
        </w:rPr>
      </w:pPr>
      <w:r>
        <w:rPr>
          <w:rStyle w:val="FootnoteReference"/>
        </w:rPr>
        <w:footnoteRef/>
      </w:r>
      <w:r>
        <w:t xml:space="preserve"> </w:t>
      </w:r>
      <w:r>
        <w:rPr>
          <w:lang w:val="en-IN"/>
        </w:rPr>
        <w:t>Under Article 19 or Article 21 of the Model Law</w:t>
      </w:r>
    </w:p>
  </w:footnote>
  <w:footnote w:id="6">
    <w:p w14:paraId="436F824B" w14:textId="4B03D60B" w:rsidR="006207E2" w:rsidRPr="006207E2" w:rsidRDefault="006207E2" w:rsidP="006207E2">
      <w:pPr>
        <w:pStyle w:val="FootnoteText"/>
        <w:jc w:val="both"/>
        <w:rPr>
          <w:lang w:val="en-IN"/>
        </w:rPr>
      </w:pPr>
      <w:r>
        <w:rPr>
          <w:rStyle w:val="FootnoteReference"/>
        </w:rPr>
        <w:footnoteRef/>
      </w:r>
      <w:r>
        <w:t xml:space="preserve"> </w:t>
      </w:r>
      <w:r>
        <w:rPr>
          <w:lang w:val="en-IN"/>
        </w:rPr>
        <w:t xml:space="preserve">Digest of Case Law on the UNCITRAL Model Law on Cross-Border Insolvency, </w:t>
      </w:r>
      <w:r w:rsidRPr="006207E2">
        <w:rPr>
          <w:i/>
          <w:iCs/>
          <w:lang w:val="en-IN"/>
        </w:rPr>
        <w:t>Page 85</w:t>
      </w:r>
    </w:p>
  </w:footnote>
  <w:footnote w:id="7">
    <w:p w14:paraId="5F2B374D" w14:textId="0E32E0F2" w:rsidR="006207E2" w:rsidRPr="006207E2" w:rsidRDefault="006207E2" w:rsidP="006207E2">
      <w:pPr>
        <w:pStyle w:val="FootnoteText"/>
        <w:jc w:val="both"/>
        <w:rPr>
          <w:lang w:val="en-IN"/>
        </w:rPr>
      </w:pPr>
      <w:r>
        <w:rPr>
          <w:rStyle w:val="FootnoteReference"/>
        </w:rPr>
        <w:footnoteRef/>
      </w:r>
      <w:r>
        <w:t xml:space="preserve"> </w:t>
      </w:r>
      <w:r w:rsidRPr="006207E2">
        <w:rPr>
          <w:i/>
          <w:iCs/>
        </w:rPr>
        <w:t>Ibid</w:t>
      </w:r>
    </w:p>
  </w:footnote>
  <w:footnote w:id="8">
    <w:p w14:paraId="102D2732" w14:textId="03396C22" w:rsidR="002475A9" w:rsidRPr="002475A9" w:rsidRDefault="002475A9">
      <w:pPr>
        <w:pStyle w:val="FootnoteText"/>
        <w:rPr>
          <w:lang w:val="en-IN"/>
        </w:rPr>
      </w:pPr>
      <w:r>
        <w:rPr>
          <w:rStyle w:val="FootnoteReference"/>
        </w:rPr>
        <w:footnoteRef/>
      </w:r>
      <w:r>
        <w:t xml:space="preserve"> </w:t>
      </w:r>
      <w:r w:rsidRPr="002475A9">
        <w:rPr>
          <w:i/>
          <w:iCs/>
        </w:rPr>
        <w:t>United States</w:t>
      </w:r>
      <w:r>
        <w:t>: Cozumel Caribe, S.A., de C.V. 482 B.R. 96, 109–110 (Bankr. S.D.N.Y. 2012), CLOUT 1311.</w:t>
      </w:r>
    </w:p>
  </w:footnote>
  <w:footnote w:id="9">
    <w:p w14:paraId="5FD368B4" w14:textId="77FF27F9" w:rsidR="00F83ACD" w:rsidRPr="005427DA" w:rsidRDefault="005427DA">
      <w:pPr>
        <w:pStyle w:val="FootnoteText"/>
        <w:rPr>
          <w:lang w:val="en-IN"/>
        </w:rPr>
      </w:pPr>
      <w:r>
        <w:rPr>
          <w:rStyle w:val="FootnoteReference"/>
        </w:rPr>
        <w:footnoteRef/>
      </w:r>
      <w:r>
        <w:t xml:space="preserve"> </w:t>
      </w:r>
      <w:r>
        <w:rPr>
          <w:lang w:val="en-IN"/>
        </w:rPr>
        <w:t>Article 19</w:t>
      </w:r>
      <w:r w:rsidR="00F83ACD">
        <w:rPr>
          <w:lang w:val="en-IN"/>
        </w:rPr>
        <w:t>(1)(a)</w:t>
      </w:r>
    </w:p>
  </w:footnote>
  <w:footnote w:id="10">
    <w:p w14:paraId="7184E7AD" w14:textId="2654691C" w:rsidR="00F83ACD" w:rsidRPr="00F83ACD" w:rsidRDefault="00F83ACD">
      <w:pPr>
        <w:pStyle w:val="FootnoteText"/>
      </w:pPr>
      <w:r>
        <w:rPr>
          <w:rStyle w:val="FootnoteReference"/>
        </w:rPr>
        <w:footnoteRef/>
      </w:r>
      <w:r>
        <w:t xml:space="preserve"> Article 19(1)(b)</w:t>
      </w:r>
    </w:p>
  </w:footnote>
  <w:footnote w:id="11">
    <w:p w14:paraId="23F239A1" w14:textId="7B8B1832" w:rsidR="00F83ACD" w:rsidRPr="00F83ACD" w:rsidRDefault="00F83ACD">
      <w:pPr>
        <w:pStyle w:val="FootnoteText"/>
        <w:rPr>
          <w:lang w:val="en-IN"/>
        </w:rPr>
      </w:pPr>
      <w:r>
        <w:rPr>
          <w:rStyle w:val="FootnoteReference"/>
        </w:rPr>
        <w:footnoteRef/>
      </w:r>
      <w:r>
        <w:t xml:space="preserve"> </w:t>
      </w:r>
      <w:r w:rsidR="002A40EC">
        <w:rPr>
          <w:lang w:val="en-IN"/>
        </w:rPr>
        <w:t>Article 19(1)(c)</w:t>
      </w:r>
    </w:p>
  </w:footnote>
  <w:footnote w:id="12">
    <w:p w14:paraId="4E6C7D3C" w14:textId="0F9FAB4A" w:rsidR="00ED2B4C" w:rsidRPr="00ED2B4C" w:rsidRDefault="00ED2B4C">
      <w:pPr>
        <w:pStyle w:val="FootnoteText"/>
        <w:rPr>
          <w:lang w:val="en-IN"/>
        </w:rPr>
      </w:pPr>
      <w:r>
        <w:rPr>
          <w:rStyle w:val="FootnoteReference"/>
        </w:rPr>
        <w:footnoteRef/>
      </w:r>
      <w:r>
        <w:t xml:space="preserve"> </w:t>
      </w:r>
      <w:r w:rsidR="00C9400F">
        <w:rPr>
          <w:lang w:val="en-IN"/>
        </w:rPr>
        <w:t>Article 19(3)</w:t>
      </w:r>
    </w:p>
  </w:footnote>
  <w:footnote w:id="13">
    <w:p w14:paraId="50C8C556" w14:textId="4852660E" w:rsidR="00520932" w:rsidRPr="00520932" w:rsidRDefault="00520932">
      <w:pPr>
        <w:pStyle w:val="FootnoteText"/>
        <w:rPr>
          <w:lang w:val="en-IN"/>
        </w:rPr>
      </w:pPr>
      <w:r>
        <w:rPr>
          <w:rStyle w:val="FootnoteReference"/>
        </w:rPr>
        <w:footnoteRef/>
      </w:r>
      <w:r>
        <w:t xml:space="preserve"> </w:t>
      </w:r>
      <w:r>
        <w:rPr>
          <w:lang w:val="en-IN"/>
        </w:rPr>
        <w:t>Article 21(1): the power is discretionary</w:t>
      </w:r>
      <w:r w:rsidR="00A74006">
        <w:rPr>
          <w:lang w:val="en-IN"/>
        </w:rPr>
        <w:t xml:space="preserve"> rather than automatic as under Article 20</w:t>
      </w:r>
    </w:p>
  </w:footnote>
  <w:footnote w:id="14">
    <w:p w14:paraId="2C90EFCE" w14:textId="5892ED1C" w:rsidR="00263CC9" w:rsidRPr="00263CC9" w:rsidRDefault="00263CC9">
      <w:pPr>
        <w:pStyle w:val="FootnoteText"/>
        <w:rPr>
          <w:lang w:val="en-IN"/>
        </w:rPr>
      </w:pPr>
      <w:r>
        <w:rPr>
          <w:rStyle w:val="FootnoteReference"/>
        </w:rPr>
        <w:footnoteRef/>
      </w:r>
      <w:r>
        <w:t xml:space="preserve"> </w:t>
      </w:r>
      <w:r>
        <w:rPr>
          <w:lang w:val="en-IN"/>
        </w:rPr>
        <w:t>Article</w:t>
      </w:r>
      <w:r w:rsidR="00520932">
        <w:rPr>
          <w:lang w:val="en-IN"/>
        </w:rPr>
        <w:t xml:space="preserve"> 21(1)(a)</w:t>
      </w:r>
    </w:p>
  </w:footnote>
  <w:footnote w:id="15">
    <w:p w14:paraId="26D7DAA1" w14:textId="3377C930" w:rsidR="006674FA" w:rsidRPr="006674FA" w:rsidRDefault="006674FA">
      <w:pPr>
        <w:pStyle w:val="FootnoteText"/>
        <w:rPr>
          <w:lang w:val="en-IN"/>
        </w:rPr>
      </w:pPr>
      <w:r>
        <w:rPr>
          <w:rStyle w:val="FootnoteReference"/>
        </w:rPr>
        <w:footnoteRef/>
      </w:r>
      <w:r>
        <w:t xml:space="preserve"> </w:t>
      </w:r>
      <w:r>
        <w:rPr>
          <w:lang w:val="en-IN"/>
        </w:rPr>
        <w:t>Article 21(1)(b)</w:t>
      </w:r>
    </w:p>
  </w:footnote>
  <w:footnote w:id="16">
    <w:p w14:paraId="592744D4" w14:textId="6581F5F8" w:rsidR="004E1100" w:rsidRPr="004E1100" w:rsidRDefault="004E1100">
      <w:pPr>
        <w:pStyle w:val="FootnoteText"/>
        <w:rPr>
          <w:lang w:val="en-IN"/>
        </w:rPr>
      </w:pPr>
      <w:r>
        <w:rPr>
          <w:rStyle w:val="FootnoteReference"/>
        </w:rPr>
        <w:footnoteRef/>
      </w:r>
      <w:r>
        <w:t xml:space="preserve"> </w:t>
      </w:r>
      <w:r>
        <w:rPr>
          <w:lang w:val="en-IN"/>
        </w:rPr>
        <w:t>Article 21(1)(c)</w:t>
      </w:r>
    </w:p>
  </w:footnote>
  <w:footnote w:id="17">
    <w:p w14:paraId="26A892E5" w14:textId="4A7DC119" w:rsidR="00D96CB6" w:rsidRPr="00D96CB6" w:rsidRDefault="00D96CB6">
      <w:pPr>
        <w:pStyle w:val="FootnoteText"/>
        <w:rPr>
          <w:lang w:val="en-IN"/>
        </w:rPr>
      </w:pPr>
      <w:r>
        <w:rPr>
          <w:rStyle w:val="FootnoteReference"/>
        </w:rPr>
        <w:footnoteRef/>
      </w:r>
      <w:r>
        <w:t xml:space="preserve"> </w:t>
      </w:r>
      <w:r>
        <w:rPr>
          <w:lang w:val="en-IN"/>
        </w:rPr>
        <w:t>Article 21(1)(d)</w:t>
      </w:r>
    </w:p>
  </w:footnote>
  <w:footnote w:id="18">
    <w:p w14:paraId="6C4B45D9" w14:textId="7C07C778" w:rsidR="00DF7553" w:rsidRPr="00DF7553" w:rsidRDefault="00DF7553">
      <w:pPr>
        <w:pStyle w:val="FootnoteText"/>
        <w:rPr>
          <w:lang w:val="en-IN"/>
        </w:rPr>
      </w:pPr>
      <w:r>
        <w:rPr>
          <w:rStyle w:val="FootnoteReference"/>
        </w:rPr>
        <w:footnoteRef/>
      </w:r>
      <w:r>
        <w:t xml:space="preserve"> </w:t>
      </w:r>
      <w:r>
        <w:rPr>
          <w:lang w:val="en-IN"/>
        </w:rPr>
        <w:t>Article 21(1)(e)</w:t>
      </w:r>
    </w:p>
  </w:footnote>
  <w:footnote w:id="19">
    <w:p w14:paraId="2DC518E3" w14:textId="77195A7E" w:rsidR="00DF7553" w:rsidRPr="00DF7553" w:rsidRDefault="00DF7553">
      <w:pPr>
        <w:pStyle w:val="FootnoteText"/>
        <w:rPr>
          <w:lang w:val="en-IN"/>
        </w:rPr>
      </w:pPr>
      <w:r>
        <w:rPr>
          <w:rStyle w:val="FootnoteReference"/>
        </w:rPr>
        <w:footnoteRef/>
      </w:r>
      <w:r>
        <w:t xml:space="preserve"> </w:t>
      </w:r>
      <w:r>
        <w:rPr>
          <w:lang w:val="en-IN"/>
        </w:rPr>
        <w:t>Article 21(1)(f)</w:t>
      </w:r>
    </w:p>
  </w:footnote>
  <w:footnote w:id="20">
    <w:p w14:paraId="55AC198A" w14:textId="14178676" w:rsidR="00044AA6" w:rsidRPr="00044AA6" w:rsidRDefault="00044AA6">
      <w:pPr>
        <w:pStyle w:val="FootnoteText"/>
        <w:rPr>
          <w:lang w:val="en-IN"/>
        </w:rPr>
      </w:pPr>
      <w:r>
        <w:rPr>
          <w:rStyle w:val="FootnoteReference"/>
        </w:rPr>
        <w:footnoteRef/>
      </w:r>
      <w:r>
        <w:t xml:space="preserve"> </w:t>
      </w:r>
      <w:r>
        <w:rPr>
          <w:lang w:val="en-IN"/>
        </w:rPr>
        <w:t>Article 27(c)</w:t>
      </w:r>
    </w:p>
  </w:footnote>
  <w:footnote w:id="21">
    <w:p w14:paraId="5BC0D107" w14:textId="66147389" w:rsidR="00571DBC" w:rsidRPr="00571DBC" w:rsidRDefault="00571DBC">
      <w:pPr>
        <w:pStyle w:val="FootnoteText"/>
        <w:rPr>
          <w:lang w:val="en-IN"/>
        </w:rPr>
      </w:pPr>
      <w:r>
        <w:rPr>
          <w:rStyle w:val="FootnoteReference"/>
        </w:rPr>
        <w:footnoteRef/>
      </w:r>
      <w:r>
        <w:t xml:space="preserve"> </w:t>
      </w:r>
      <w:r>
        <w:rPr>
          <w:lang w:val="en-IN"/>
        </w:rPr>
        <w:t xml:space="preserve">Digest of Case Law on the UNCITRAL Model Law on Cross-Border Insolvency, Page 29, </w:t>
      </w:r>
      <w:r w:rsidRPr="00571DBC">
        <w:rPr>
          <w:i/>
          <w:iCs/>
          <w:lang w:val="en-IN"/>
        </w:rPr>
        <w:t>Introduction -1</w:t>
      </w:r>
    </w:p>
  </w:footnote>
  <w:footnote w:id="22">
    <w:p w14:paraId="6D886ADA" w14:textId="56668943" w:rsidR="00A53EC0" w:rsidRPr="00A53EC0" w:rsidRDefault="00A53EC0">
      <w:pPr>
        <w:pStyle w:val="FootnoteText"/>
        <w:rPr>
          <w:lang w:val="en-IN"/>
        </w:rPr>
      </w:pPr>
      <w:r>
        <w:rPr>
          <w:rStyle w:val="FootnoteReference"/>
        </w:rPr>
        <w:footnoteRef/>
      </w:r>
      <w:r>
        <w:t xml:space="preserve"> Digest of Case Law on the UNCITRAL Model Law on Cross-Border Insolvency, Page 20</w:t>
      </w:r>
      <w:r w:rsidR="00593C82">
        <w:t>, Paragraph 4</w:t>
      </w:r>
    </w:p>
  </w:footnote>
  <w:footnote w:id="23">
    <w:p w14:paraId="5267D229" w14:textId="59D152D4" w:rsidR="007C44AB" w:rsidRPr="007C44AB" w:rsidRDefault="007C44AB">
      <w:pPr>
        <w:pStyle w:val="FootnoteText"/>
        <w:rPr>
          <w:lang w:val="en-IN"/>
        </w:rPr>
      </w:pPr>
      <w:r>
        <w:rPr>
          <w:rStyle w:val="FootnoteReference"/>
        </w:rPr>
        <w:footnoteRef/>
      </w:r>
      <w:r>
        <w:t xml:space="preserve"> United States: Gold &amp; Honey, Ltd. 410 B.R. 357, 371 (Bankr. E.D.N.Y. 2009), CLOUT 1008.</w:t>
      </w:r>
    </w:p>
  </w:footnote>
  <w:footnote w:id="24">
    <w:p w14:paraId="34757F07" w14:textId="3FDE7635" w:rsidR="00260510" w:rsidRPr="00260510" w:rsidRDefault="00260510">
      <w:pPr>
        <w:pStyle w:val="FootnoteText"/>
        <w:rPr>
          <w:lang w:val="en-IN"/>
        </w:rPr>
      </w:pPr>
      <w:r>
        <w:rPr>
          <w:rStyle w:val="FootnoteReference"/>
        </w:rPr>
        <w:footnoteRef/>
      </w:r>
      <w:r>
        <w:t xml:space="preserve"> United States: Toft 453 B.R. 186, 196 (Bankr. S.D.N.Y 2011), CLOUT 1209</w:t>
      </w:r>
    </w:p>
  </w:footnote>
  <w:footnote w:id="25">
    <w:p w14:paraId="0ED393B4" w14:textId="5155B4AB" w:rsidR="008E4B2A" w:rsidRPr="008E4B2A" w:rsidRDefault="008E4B2A">
      <w:pPr>
        <w:pStyle w:val="FootnoteText"/>
        <w:rPr>
          <w:lang w:val="en-IN"/>
        </w:rPr>
      </w:pPr>
      <w:r>
        <w:rPr>
          <w:rStyle w:val="FootnoteReference"/>
        </w:rPr>
        <w:footnoteRef/>
      </w:r>
      <w:r>
        <w:t xml:space="preserve"> United States: Jaffé v Samsung Electronics Co., Ltd., 737 F.3d 14 (4th Cir. 2013), CLOUT 1337.</w:t>
      </w:r>
    </w:p>
  </w:footnote>
  <w:footnote w:id="26">
    <w:p w14:paraId="0BEA112F" w14:textId="691F02D5" w:rsidR="00713FF8" w:rsidRPr="00713FF8" w:rsidRDefault="00713FF8">
      <w:pPr>
        <w:pStyle w:val="FootnoteText"/>
        <w:rPr>
          <w:lang w:val="en-IN"/>
        </w:rPr>
      </w:pPr>
      <w:r>
        <w:rPr>
          <w:rStyle w:val="FootnoteReference"/>
        </w:rPr>
        <w:footnoteRef/>
      </w:r>
      <w:r>
        <w:t xml:space="preserve"> United States: ABC Learning Centres Limited 728 F.3d 301, 310–311 (3d Cir. 2013), CLOUT 1338.</w:t>
      </w:r>
    </w:p>
  </w:footnote>
  <w:footnote w:id="27">
    <w:p w14:paraId="43F272B6" w14:textId="6A65EA1E" w:rsidR="00DF544C" w:rsidRPr="00DF544C" w:rsidRDefault="00DF544C">
      <w:pPr>
        <w:pStyle w:val="FootnoteText"/>
        <w:rPr>
          <w:lang w:val="en-IN"/>
        </w:rPr>
      </w:pPr>
      <w:r>
        <w:rPr>
          <w:rStyle w:val="FootnoteReference"/>
        </w:rPr>
        <w:footnoteRef/>
      </w:r>
      <w:r w:rsidRPr="003F10B8">
        <w:rPr>
          <w:i/>
          <w:iCs/>
        </w:rPr>
        <w:t xml:space="preserve"> </w:t>
      </w:r>
      <w:r w:rsidR="003F10B8" w:rsidRPr="003F10B8">
        <w:rPr>
          <w:i/>
          <w:iCs/>
        </w:rPr>
        <w:t>Idem</w:t>
      </w:r>
      <w:r w:rsidR="003F10B8">
        <w:t>, Page 21, Paragraph 9.</w:t>
      </w:r>
    </w:p>
  </w:footnote>
  <w:footnote w:id="28">
    <w:p w14:paraId="0458325B" w14:textId="61F9736F" w:rsidR="00120CFD" w:rsidRPr="00120CFD" w:rsidRDefault="00120CFD">
      <w:pPr>
        <w:pStyle w:val="FootnoteText"/>
        <w:rPr>
          <w:lang w:val="en-IN"/>
        </w:rPr>
      </w:pPr>
      <w:r>
        <w:rPr>
          <w:rStyle w:val="FootnoteReference"/>
        </w:rPr>
        <w:footnoteRef/>
      </w:r>
      <w:r>
        <w:t xml:space="preserve"> </w:t>
      </w:r>
      <w:r w:rsidRPr="00C07EDD">
        <w:rPr>
          <w:i/>
          <w:iCs/>
          <w:lang w:val="en-IN"/>
        </w:rPr>
        <w:t>Idem,</w:t>
      </w:r>
      <w:r>
        <w:rPr>
          <w:lang w:val="en-IN"/>
        </w:rPr>
        <w:t xml:space="preserve"> Page 31, Paragrah 5</w:t>
      </w:r>
      <w:r w:rsidR="008A7278">
        <w:rPr>
          <w:lang w:val="en-IN"/>
        </w:rPr>
        <w:t xml:space="preserve">; </w:t>
      </w:r>
      <w:r w:rsidR="008A7278">
        <w:t>Australia: Raithatha v Ariel Industries PLC [2012] FCA 1526 [paras. 47–48].</w:t>
      </w:r>
    </w:p>
  </w:footnote>
  <w:footnote w:id="29">
    <w:p w14:paraId="231A280A" w14:textId="0A233711" w:rsidR="00E31D99" w:rsidRPr="00E31D99" w:rsidRDefault="00E31D99">
      <w:pPr>
        <w:pStyle w:val="FootnoteText"/>
        <w:rPr>
          <w:lang w:val="en-IN"/>
        </w:rPr>
      </w:pPr>
      <w:r>
        <w:rPr>
          <w:rStyle w:val="FootnoteReference"/>
        </w:rPr>
        <w:footnoteRef/>
      </w:r>
      <w:r>
        <w:t xml:space="preserve"> Canada: Probe Resources Ltd. (2011), 2011 CarswellBC 1043, 79 C.B.R. (5th) 148 (B.C. S.C.) [paras. 14–16].</w:t>
      </w:r>
    </w:p>
  </w:footnote>
  <w:footnote w:id="30">
    <w:p w14:paraId="1827575D" w14:textId="77777777" w:rsidR="00AC5D83" w:rsidRPr="00520932" w:rsidRDefault="00AC5D83" w:rsidP="00AC5D83">
      <w:pPr>
        <w:pStyle w:val="FootnoteText"/>
        <w:rPr>
          <w:lang w:val="en-IN"/>
        </w:rPr>
      </w:pPr>
      <w:r>
        <w:rPr>
          <w:rStyle w:val="FootnoteReference"/>
        </w:rPr>
        <w:footnoteRef/>
      </w:r>
      <w:r>
        <w:t xml:space="preserve"> </w:t>
      </w:r>
      <w:r>
        <w:rPr>
          <w:lang w:val="en-IN"/>
        </w:rPr>
        <w:t>Article 21(1): the power is discretionary rather than automatic as under Article 20</w:t>
      </w:r>
    </w:p>
  </w:footnote>
  <w:footnote w:id="31">
    <w:p w14:paraId="384F47DA" w14:textId="77777777" w:rsidR="00AC5D83" w:rsidRPr="00263CC9" w:rsidRDefault="00AC5D83" w:rsidP="00AC5D83">
      <w:pPr>
        <w:pStyle w:val="FootnoteText"/>
        <w:rPr>
          <w:lang w:val="en-IN"/>
        </w:rPr>
      </w:pPr>
      <w:r>
        <w:rPr>
          <w:rStyle w:val="FootnoteReference"/>
        </w:rPr>
        <w:footnoteRef/>
      </w:r>
      <w:r>
        <w:t xml:space="preserve"> </w:t>
      </w:r>
      <w:r>
        <w:rPr>
          <w:lang w:val="en-IN"/>
        </w:rPr>
        <w:t>Article 21(1)(a)</w:t>
      </w:r>
    </w:p>
  </w:footnote>
  <w:footnote w:id="32">
    <w:p w14:paraId="54845175" w14:textId="77777777" w:rsidR="00AC5D83" w:rsidRPr="006674FA" w:rsidRDefault="00AC5D83" w:rsidP="00AC5D83">
      <w:pPr>
        <w:pStyle w:val="FootnoteText"/>
        <w:rPr>
          <w:lang w:val="en-IN"/>
        </w:rPr>
      </w:pPr>
      <w:r>
        <w:rPr>
          <w:rStyle w:val="FootnoteReference"/>
        </w:rPr>
        <w:footnoteRef/>
      </w:r>
      <w:r>
        <w:t xml:space="preserve"> </w:t>
      </w:r>
      <w:r>
        <w:rPr>
          <w:lang w:val="en-IN"/>
        </w:rPr>
        <w:t>Article 21(1)(b)</w:t>
      </w:r>
    </w:p>
  </w:footnote>
  <w:footnote w:id="33">
    <w:p w14:paraId="7335D87B" w14:textId="77777777" w:rsidR="00AC5D83" w:rsidRPr="004E1100" w:rsidRDefault="00AC5D83" w:rsidP="00AC5D83">
      <w:pPr>
        <w:pStyle w:val="FootnoteText"/>
        <w:rPr>
          <w:lang w:val="en-IN"/>
        </w:rPr>
      </w:pPr>
      <w:r>
        <w:rPr>
          <w:rStyle w:val="FootnoteReference"/>
        </w:rPr>
        <w:footnoteRef/>
      </w:r>
      <w:r>
        <w:t xml:space="preserve"> </w:t>
      </w:r>
      <w:r>
        <w:rPr>
          <w:lang w:val="en-IN"/>
        </w:rPr>
        <w:t>Article 21(1)(c)</w:t>
      </w:r>
    </w:p>
  </w:footnote>
  <w:footnote w:id="34">
    <w:p w14:paraId="73BEE4DC" w14:textId="77777777" w:rsidR="00AC5D83" w:rsidRPr="00D96CB6" w:rsidRDefault="00AC5D83" w:rsidP="00AC5D83">
      <w:pPr>
        <w:pStyle w:val="FootnoteText"/>
        <w:rPr>
          <w:lang w:val="en-IN"/>
        </w:rPr>
      </w:pPr>
      <w:r>
        <w:rPr>
          <w:rStyle w:val="FootnoteReference"/>
        </w:rPr>
        <w:footnoteRef/>
      </w:r>
      <w:r>
        <w:t xml:space="preserve"> </w:t>
      </w:r>
      <w:r>
        <w:rPr>
          <w:lang w:val="en-IN"/>
        </w:rPr>
        <w:t>Article 21(1)(d)</w:t>
      </w:r>
    </w:p>
  </w:footnote>
  <w:footnote w:id="35">
    <w:p w14:paraId="7D5EC7A0" w14:textId="77777777" w:rsidR="00AC5D83" w:rsidRPr="00DF7553" w:rsidRDefault="00AC5D83" w:rsidP="00AC5D83">
      <w:pPr>
        <w:pStyle w:val="FootnoteText"/>
        <w:rPr>
          <w:lang w:val="en-IN"/>
        </w:rPr>
      </w:pPr>
      <w:r>
        <w:rPr>
          <w:rStyle w:val="FootnoteReference"/>
        </w:rPr>
        <w:footnoteRef/>
      </w:r>
      <w:r>
        <w:t xml:space="preserve"> </w:t>
      </w:r>
      <w:r>
        <w:rPr>
          <w:lang w:val="en-IN"/>
        </w:rPr>
        <w:t>Article 21(1)(e)</w:t>
      </w:r>
    </w:p>
  </w:footnote>
  <w:footnote w:id="36">
    <w:p w14:paraId="381D4122" w14:textId="77777777" w:rsidR="00AC5D83" w:rsidRPr="00DF7553" w:rsidRDefault="00AC5D83" w:rsidP="00AC5D83">
      <w:pPr>
        <w:pStyle w:val="FootnoteText"/>
        <w:rPr>
          <w:lang w:val="en-IN"/>
        </w:rPr>
      </w:pPr>
      <w:r>
        <w:rPr>
          <w:rStyle w:val="FootnoteReference"/>
        </w:rPr>
        <w:footnoteRef/>
      </w:r>
      <w:r>
        <w:t xml:space="preserve"> </w:t>
      </w:r>
      <w:r>
        <w:rPr>
          <w:lang w:val="en-IN"/>
        </w:rPr>
        <w:t>Article 21(1)(f)</w:t>
      </w:r>
    </w:p>
  </w:footnote>
  <w:footnote w:id="37">
    <w:p w14:paraId="6118B0F3" w14:textId="114DBB9C" w:rsidR="000272F5" w:rsidRPr="000272F5" w:rsidRDefault="000272F5">
      <w:pPr>
        <w:pStyle w:val="FootnoteText"/>
        <w:rPr>
          <w:lang w:val="en-IN"/>
        </w:rPr>
      </w:pPr>
      <w:r>
        <w:rPr>
          <w:rStyle w:val="FootnoteReference"/>
        </w:rPr>
        <w:footnoteRef/>
      </w:r>
      <w:r>
        <w:t xml:space="preserve"> Yu v STX Pan Ocean Co Ltd (South Korea) [2013] FCA 680 [para. 17]</w:t>
      </w:r>
    </w:p>
  </w:footnote>
  <w:footnote w:id="38">
    <w:p w14:paraId="56DD4A44" w14:textId="77777777" w:rsidR="002F11FD" w:rsidRPr="005427DA" w:rsidRDefault="002F11FD" w:rsidP="002F11FD">
      <w:pPr>
        <w:pStyle w:val="FootnoteText"/>
        <w:rPr>
          <w:lang w:val="en-IN"/>
        </w:rPr>
      </w:pPr>
      <w:r>
        <w:rPr>
          <w:rStyle w:val="FootnoteReference"/>
        </w:rPr>
        <w:footnoteRef/>
      </w:r>
      <w:r>
        <w:t xml:space="preserve"> </w:t>
      </w:r>
      <w:r>
        <w:rPr>
          <w:lang w:val="en-IN"/>
        </w:rPr>
        <w:t>Article 19(1)(a)</w:t>
      </w:r>
    </w:p>
  </w:footnote>
  <w:footnote w:id="39">
    <w:p w14:paraId="027706D9" w14:textId="77777777" w:rsidR="002F11FD" w:rsidRPr="00F83ACD" w:rsidRDefault="002F11FD" w:rsidP="002F11FD">
      <w:pPr>
        <w:pStyle w:val="FootnoteText"/>
      </w:pPr>
      <w:r>
        <w:rPr>
          <w:rStyle w:val="FootnoteReference"/>
        </w:rPr>
        <w:footnoteRef/>
      </w:r>
      <w:r>
        <w:t xml:space="preserve"> Article 19(1)(b)</w:t>
      </w:r>
    </w:p>
  </w:footnote>
  <w:footnote w:id="40">
    <w:p w14:paraId="2B4E54C7" w14:textId="77777777" w:rsidR="002F11FD" w:rsidRPr="00F83ACD" w:rsidRDefault="002F11FD" w:rsidP="002F11FD">
      <w:pPr>
        <w:pStyle w:val="FootnoteText"/>
        <w:rPr>
          <w:lang w:val="en-IN"/>
        </w:rPr>
      </w:pPr>
      <w:r>
        <w:rPr>
          <w:rStyle w:val="FootnoteReference"/>
        </w:rPr>
        <w:footnoteRef/>
      </w:r>
      <w:r>
        <w:t xml:space="preserve"> </w:t>
      </w:r>
      <w:r>
        <w:rPr>
          <w:lang w:val="en-IN"/>
        </w:rPr>
        <w:t>Article 19(1)(c)</w:t>
      </w:r>
    </w:p>
  </w:footnote>
  <w:footnote w:id="41">
    <w:p w14:paraId="771714A2" w14:textId="77777777" w:rsidR="002F11FD" w:rsidRPr="00ED2B4C" w:rsidRDefault="002F11FD" w:rsidP="002F11FD">
      <w:pPr>
        <w:pStyle w:val="FootnoteText"/>
        <w:rPr>
          <w:lang w:val="en-IN"/>
        </w:rPr>
      </w:pPr>
      <w:r>
        <w:rPr>
          <w:rStyle w:val="FootnoteReference"/>
        </w:rPr>
        <w:footnoteRef/>
      </w:r>
      <w:r>
        <w:t xml:space="preserve"> </w:t>
      </w:r>
      <w:r>
        <w:rPr>
          <w:lang w:val="en-IN"/>
        </w:rPr>
        <w:t>Article 19(3)</w:t>
      </w:r>
    </w:p>
  </w:footnote>
  <w:footnote w:id="42">
    <w:p w14:paraId="40D734F0" w14:textId="0E3235AC" w:rsidR="00C07EDD" w:rsidRPr="00C07EDD" w:rsidRDefault="00C07EDD">
      <w:pPr>
        <w:pStyle w:val="FootnoteText"/>
        <w:rPr>
          <w:lang w:val="en-IN"/>
        </w:rPr>
      </w:pPr>
      <w:r>
        <w:rPr>
          <w:rStyle w:val="FootnoteReference"/>
        </w:rPr>
        <w:footnoteRef/>
      </w:r>
      <w:r>
        <w:t xml:space="preserve"> </w:t>
      </w:r>
      <w:r w:rsidR="00227432">
        <w:t>UNCITRAL Model Law on Cross-Border Insolvency with Guide to Enactment and Interpretation</w:t>
      </w:r>
      <w:r w:rsidR="007B37EA">
        <w:t>, Page 88, Paragraph 17</w:t>
      </w:r>
      <w:r w:rsidR="008A5BFC">
        <w:t>2.</w:t>
      </w:r>
    </w:p>
  </w:footnote>
  <w:footnote w:id="43">
    <w:p w14:paraId="27CC11C8" w14:textId="213522B7" w:rsidR="000B1DBE" w:rsidRPr="000B1DBE" w:rsidRDefault="000B1DBE">
      <w:pPr>
        <w:pStyle w:val="FootnoteText"/>
        <w:rPr>
          <w:lang w:val="en-IN"/>
        </w:rPr>
      </w:pPr>
      <w:r>
        <w:rPr>
          <w:rStyle w:val="FootnoteReference"/>
        </w:rPr>
        <w:footnoteRef/>
      </w:r>
      <w:r>
        <w:t xml:space="preserve"> </w:t>
      </w:r>
      <w:r w:rsidR="007D2FC0">
        <w:t>United States: Japan Airlines Corp. (Bankr. S.D.N.Y. Jan. 28, 2010), pp.1–2.</w:t>
      </w:r>
    </w:p>
  </w:footnote>
  <w:footnote w:id="44">
    <w:p w14:paraId="6EC2857B" w14:textId="39B57896" w:rsidR="00FE5E70" w:rsidRPr="00FE5E70" w:rsidRDefault="00FE5E70">
      <w:pPr>
        <w:pStyle w:val="FootnoteText"/>
        <w:rPr>
          <w:lang w:val="en-IN"/>
        </w:rPr>
      </w:pPr>
      <w:r>
        <w:rPr>
          <w:rStyle w:val="FootnoteReference"/>
        </w:rPr>
        <w:footnoteRef/>
      </w:r>
      <w:r>
        <w:t xml:space="preserve"> </w:t>
      </w:r>
      <w:r w:rsidR="00853D5B">
        <w:rPr>
          <w:lang w:val="en-IN"/>
        </w:rPr>
        <w:t xml:space="preserve">UNCITRAL Model Law on Cross-Border Insolvency: The Judicial </w:t>
      </w:r>
      <w:r w:rsidR="00B03264">
        <w:rPr>
          <w:lang w:val="en-IN"/>
        </w:rPr>
        <w:t xml:space="preserve">Perspective, Page 52, Paragraph 156 </w:t>
      </w:r>
    </w:p>
  </w:footnote>
  <w:footnote w:id="45">
    <w:p w14:paraId="5ADD393C" w14:textId="6A180C65" w:rsidR="000A6F22" w:rsidRPr="000A6F22" w:rsidRDefault="000A6F22">
      <w:pPr>
        <w:pStyle w:val="FootnoteText"/>
        <w:rPr>
          <w:lang w:val="en-IN"/>
        </w:rPr>
      </w:pPr>
      <w:r>
        <w:rPr>
          <w:rStyle w:val="FootnoteReference"/>
        </w:rPr>
        <w:footnoteRef/>
      </w:r>
      <w:r>
        <w:t xml:space="preserve"> </w:t>
      </w:r>
      <w:r>
        <w:rPr>
          <w:lang w:val="en-IN"/>
        </w:rPr>
        <w:t>Article 20(1)(a)</w:t>
      </w:r>
    </w:p>
  </w:footnote>
  <w:footnote w:id="46">
    <w:p w14:paraId="55B4823F" w14:textId="718FA285" w:rsidR="00A530F0" w:rsidRPr="00A530F0" w:rsidRDefault="00A530F0">
      <w:pPr>
        <w:pStyle w:val="FootnoteText"/>
        <w:rPr>
          <w:lang w:val="en-IN"/>
        </w:rPr>
      </w:pPr>
      <w:r>
        <w:rPr>
          <w:rStyle w:val="FootnoteReference"/>
        </w:rPr>
        <w:footnoteRef/>
      </w:r>
      <w:r>
        <w:t xml:space="preserve"> </w:t>
      </w:r>
      <w:r>
        <w:rPr>
          <w:lang w:val="en-IN"/>
        </w:rPr>
        <w:t>Article 20(1)(b)</w:t>
      </w:r>
    </w:p>
  </w:footnote>
  <w:footnote w:id="47">
    <w:p w14:paraId="692DFA8F" w14:textId="24D9C2B0" w:rsidR="00FB37A0" w:rsidRPr="002803F4" w:rsidRDefault="002803F4">
      <w:pPr>
        <w:pStyle w:val="FootnoteText"/>
        <w:rPr>
          <w:lang w:val="en-IN"/>
        </w:rPr>
      </w:pPr>
      <w:r>
        <w:rPr>
          <w:rStyle w:val="FootnoteReference"/>
        </w:rPr>
        <w:footnoteRef/>
      </w:r>
      <w:r>
        <w:t xml:space="preserve"> </w:t>
      </w:r>
      <w:r>
        <w:rPr>
          <w:lang w:val="en-IN"/>
        </w:rPr>
        <w:t>Article 20(1)(c)</w:t>
      </w:r>
    </w:p>
  </w:footnote>
  <w:footnote w:id="48">
    <w:p w14:paraId="0D3BAA29" w14:textId="5CE5EB94" w:rsidR="00C62032" w:rsidRPr="00C62032" w:rsidRDefault="00C62032">
      <w:pPr>
        <w:pStyle w:val="FootnoteText"/>
        <w:rPr>
          <w:lang w:val="en-IN"/>
        </w:rPr>
      </w:pPr>
      <w:r>
        <w:rPr>
          <w:rStyle w:val="FootnoteReference"/>
        </w:rPr>
        <w:footnoteRef/>
      </w:r>
      <w:r>
        <w:t xml:space="preserve"> </w:t>
      </w:r>
      <w:r w:rsidR="001316BD" w:rsidRPr="00482D53">
        <w:rPr>
          <w:i/>
          <w:iCs/>
        </w:rPr>
        <w:t>Idem</w:t>
      </w:r>
      <w:r w:rsidR="001316BD">
        <w:t xml:space="preserve">, Point 35, </w:t>
      </w:r>
      <w:r w:rsidR="00482D53">
        <w:t>Paragraph 178</w:t>
      </w:r>
    </w:p>
  </w:footnote>
  <w:footnote w:id="49">
    <w:p w14:paraId="0BC1D0DD" w14:textId="50EFE7F9" w:rsidR="00D431C6" w:rsidRPr="00D431C6" w:rsidRDefault="00D431C6">
      <w:pPr>
        <w:pStyle w:val="FootnoteText"/>
        <w:rPr>
          <w:lang w:val="en-IN"/>
        </w:rPr>
      </w:pPr>
      <w:r>
        <w:rPr>
          <w:rStyle w:val="FootnoteReference"/>
        </w:rPr>
        <w:footnoteRef/>
      </w:r>
      <w:r>
        <w:t xml:space="preserve"> </w:t>
      </w:r>
      <w:r w:rsidRPr="00724EC3">
        <w:rPr>
          <w:i/>
          <w:iCs/>
          <w:lang w:val="en-IN"/>
        </w:rPr>
        <w:t>Ibid</w:t>
      </w:r>
      <w:r>
        <w:rPr>
          <w:lang w:val="en-IN"/>
        </w:rPr>
        <w:t>, Paragraph 188</w:t>
      </w:r>
    </w:p>
  </w:footnote>
  <w:footnote w:id="50">
    <w:p w14:paraId="726CD0DA" w14:textId="42D7061A" w:rsidR="00A119B3" w:rsidRPr="00A119B3" w:rsidRDefault="00A119B3">
      <w:pPr>
        <w:pStyle w:val="FootnoteText"/>
        <w:rPr>
          <w:lang w:val="en-IN"/>
        </w:rPr>
      </w:pPr>
      <w:r>
        <w:rPr>
          <w:rStyle w:val="FootnoteReference"/>
        </w:rPr>
        <w:footnoteRef/>
      </w:r>
      <w:r>
        <w:t xml:space="preserve"> </w:t>
      </w:r>
      <w:r w:rsidR="003172EB" w:rsidRPr="003172EB">
        <w:rPr>
          <w:lang w:val="en-IN"/>
        </w:rPr>
        <w:t>[2021] EWHC 392 (Ch)</w:t>
      </w:r>
      <w:r w:rsidR="003172EB">
        <w:rPr>
          <w:lang w:val="en-IN"/>
        </w:rPr>
        <w:t>; &lt;&lt;</w:t>
      </w:r>
      <w:r w:rsidR="003172EB" w:rsidRPr="003172EB">
        <w:t xml:space="preserve"> </w:t>
      </w:r>
      <w:hyperlink r:id="rId2" w:history="1">
        <w:r w:rsidR="003172EB" w:rsidRPr="00A208EF">
          <w:rPr>
            <w:rStyle w:val="Hyperlink"/>
          </w:rPr>
          <w:t>https://www.bailii.org/ew/cases/EWHC/Ch/2021/392.html</w:t>
        </w:r>
      </w:hyperlink>
      <w:r w:rsidR="003172EB">
        <w:t xml:space="preserve"> &gt;&gt;, accessed on February 23, 2023</w:t>
      </w:r>
    </w:p>
  </w:footnote>
  <w:footnote w:id="51">
    <w:p w14:paraId="6808F925" w14:textId="083C7150" w:rsidR="00A51A8A" w:rsidRPr="00A51A8A" w:rsidRDefault="00A5579A" w:rsidP="00A51A8A">
      <w:pPr>
        <w:pStyle w:val="Heading1"/>
        <w:shd w:val="clear" w:color="auto" w:fill="FFFFFF"/>
        <w:spacing w:before="0" w:beforeAutospacing="0" w:after="0" w:afterAutospacing="0"/>
        <w:rPr>
          <w:rFonts w:ascii="Arial" w:hAnsi="Arial" w:cs="Arial"/>
          <w:b w:val="0"/>
          <w:bCs w:val="0"/>
          <w:color w:val="125568"/>
        </w:rPr>
      </w:pPr>
      <w:r w:rsidRPr="00A51A8A">
        <w:rPr>
          <w:rStyle w:val="FootnoteReference"/>
          <w:rFonts w:asciiTheme="minorHAnsi" w:hAnsiTheme="minorHAnsi" w:cstheme="minorBidi"/>
          <w:b w:val="0"/>
          <w:bCs w:val="0"/>
          <w:kern w:val="0"/>
          <w:sz w:val="20"/>
          <w:szCs w:val="20"/>
          <w:lang w:val="en-US" w:eastAsia="en-US"/>
        </w:rPr>
        <w:footnoteRef/>
      </w:r>
      <w:r>
        <w:t xml:space="preserve"> </w:t>
      </w:r>
      <w:r w:rsidR="00A51A8A" w:rsidRPr="00A51A8A">
        <w:rPr>
          <w:rFonts w:asciiTheme="minorHAnsi" w:hAnsiTheme="minorHAnsi" w:cstheme="minorBidi"/>
          <w:b w:val="0"/>
          <w:bCs w:val="0"/>
          <w:kern w:val="0"/>
          <w:sz w:val="20"/>
          <w:szCs w:val="20"/>
          <w:lang w:eastAsia="en-US"/>
        </w:rPr>
        <w:t>Protasov v Derev [2021] EWHC 392 (Ch)</w:t>
      </w:r>
      <w:r w:rsidR="00D42103">
        <w:rPr>
          <w:rFonts w:asciiTheme="minorHAnsi" w:hAnsiTheme="minorHAnsi" w:cstheme="minorBidi"/>
          <w:b w:val="0"/>
          <w:bCs w:val="0"/>
          <w:kern w:val="0"/>
          <w:sz w:val="20"/>
          <w:szCs w:val="20"/>
          <w:lang w:eastAsia="en-US"/>
        </w:rPr>
        <w:t xml:space="preserve"> &lt;&lt; </w:t>
      </w:r>
      <w:hyperlink r:id="rId3" w:history="1">
        <w:r w:rsidR="00D42103" w:rsidRPr="00A208EF">
          <w:rPr>
            <w:rStyle w:val="Hyperlink"/>
            <w:rFonts w:asciiTheme="minorHAnsi" w:hAnsiTheme="minorHAnsi" w:cstheme="minorBidi"/>
            <w:b w:val="0"/>
            <w:bCs w:val="0"/>
            <w:kern w:val="0"/>
            <w:sz w:val="20"/>
            <w:szCs w:val="20"/>
            <w:lang w:eastAsia="en-US"/>
          </w:rPr>
          <w:t>https://www.ashfords.co.uk/news-and-media/general/protasov-v-derev-2021-ewhc-392-ch</w:t>
        </w:r>
      </w:hyperlink>
      <w:r w:rsidR="00D42103">
        <w:rPr>
          <w:rFonts w:asciiTheme="minorHAnsi" w:hAnsiTheme="minorHAnsi" w:cstheme="minorBidi"/>
          <w:b w:val="0"/>
          <w:bCs w:val="0"/>
          <w:kern w:val="0"/>
          <w:sz w:val="20"/>
          <w:szCs w:val="20"/>
          <w:lang w:eastAsia="en-US"/>
        </w:rPr>
        <w:t xml:space="preserve"> &gt;&gt;, accessed on February 23, 2023</w:t>
      </w:r>
    </w:p>
    <w:p w14:paraId="2E2A44D1" w14:textId="3B4AE7EB" w:rsidR="00A5579A" w:rsidRPr="00A5579A" w:rsidRDefault="00A5579A">
      <w:pPr>
        <w:pStyle w:val="FootnoteText"/>
        <w:rPr>
          <w:lang w:val="en-IN"/>
        </w:rPr>
      </w:pPr>
    </w:p>
  </w:footnote>
  <w:footnote w:id="52">
    <w:p w14:paraId="3E9D7EE1" w14:textId="3C10A8C8" w:rsidR="00BA3A65" w:rsidRDefault="00BA3A65">
      <w:pPr>
        <w:pStyle w:val="FootnoteText"/>
      </w:pPr>
      <w:r>
        <w:rPr>
          <w:rStyle w:val="FootnoteReference"/>
        </w:rPr>
        <w:footnoteRef/>
      </w:r>
      <w:r>
        <w:t xml:space="preserve"> United States: Betcorp Limited 400 B.R. 266, 281</w:t>
      </w:r>
    </w:p>
  </w:footnote>
  <w:footnote w:id="53">
    <w:p w14:paraId="472707E3" w14:textId="10EBD817" w:rsidR="00021677" w:rsidRDefault="00021677">
      <w:pPr>
        <w:pStyle w:val="FootnoteText"/>
      </w:pPr>
      <w:r>
        <w:rPr>
          <w:rStyle w:val="FootnoteReference"/>
        </w:rPr>
        <w:footnoteRef/>
      </w:r>
      <w:r>
        <w:t xml:space="preserve"> England: Stanford International Bank Limited [2010] EWCA Civ 137</w:t>
      </w:r>
    </w:p>
  </w:footnote>
  <w:footnote w:id="54">
    <w:p w14:paraId="6AE07C33" w14:textId="48F1B75F" w:rsidR="00432441" w:rsidRDefault="00432441">
      <w:pPr>
        <w:pStyle w:val="FootnoteText"/>
      </w:pPr>
      <w:r>
        <w:rPr>
          <w:rStyle w:val="FootnoteReference"/>
        </w:rPr>
        <w:footnoteRef/>
      </w:r>
      <w:r>
        <w:t xml:space="preserve"> </w:t>
      </w:r>
      <w:r w:rsidRPr="00432441">
        <w:rPr>
          <w:i/>
          <w:iCs/>
        </w:rPr>
        <w:t>Ibid</w:t>
      </w:r>
    </w:p>
  </w:footnote>
  <w:footnote w:id="55">
    <w:p w14:paraId="058FD764" w14:textId="7FC2D991" w:rsidR="00D00BD7" w:rsidRDefault="00D00BD7">
      <w:pPr>
        <w:pStyle w:val="FootnoteText"/>
      </w:pPr>
      <w:r>
        <w:rPr>
          <w:rStyle w:val="FootnoteReference"/>
        </w:rPr>
        <w:footnoteRef/>
      </w:r>
      <w:r>
        <w:t xml:space="preserve"> </w:t>
      </w:r>
      <w:r w:rsidRPr="00D00BD7">
        <w:rPr>
          <w:i/>
          <w:iC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22AE0"/>
    <w:multiLevelType w:val="hybridMultilevel"/>
    <w:tmpl w:val="6BC6E48A"/>
    <w:lvl w:ilvl="0" w:tplc="D410F57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F427FA"/>
    <w:multiLevelType w:val="hybridMultilevel"/>
    <w:tmpl w:val="8FF883C6"/>
    <w:lvl w:ilvl="0" w:tplc="DE12F646">
      <w:start w:val="1"/>
      <w:numFmt w:val="lowerLetter"/>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38D2AF3"/>
    <w:multiLevelType w:val="hybridMultilevel"/>
    <w:tmpl w:val="4E1019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640B84"/>
    <w:multiLevelType w:val="hybridMultilevel"/>
    <w:tmpl w:val="010C92EA"/>
    <w:lvl w:ilvl="0" w:tplc="A252C3D0">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DD656A"/>
    <w:multiLevelType w:val="hybridMultilevel"/>
    <w:tmpl w:val="ACC81E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ED9083F"/>
    <w:multiLevelType w:val="hybridMultilevel"/>
    <w:tmpl w:val="B84CAA34"/>
    <w:lvl w:ilvl="0" w:tplc="0F826EB2">
      <w:start w:val="1"/>
      <w:numFmt w:val="lowerLetter"/>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DE7578"/>
    <w:multiLevelType w:val="hybridMultilevel"/>
    <w:tmpl w:val="545E174E"/>
    <w:lvl w:ilvl="0" w:tplc="52200E64">
      <w:start w:val="1"/>
      <w:numFmt w:val="decimal"/>
      <w:lvlText w:val="%1."/>
      <w:lvlJc w:val="left"/>
      <w:pPr>
        <w:ind w:left="720" w:hanging="360"/>
      </w:pPr>
      <w:rPr>
        <w:rFonts w:asciiTheme="minorHAnsi" w:hAnsiTheme="minorHAnsi" w:cstheme="minorBidi" w:hint="default"/>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06464054">
    <w:abstractNumId w:val="16"/>
  </w:num>
  <w:num w:numId="2" w16cid:durableId="115300888">
    <w:abstractNumId w:val="13"/>
  </w:num>
  <w:num w:numId="3" w16cid:durableId="950208602">
    <w:abstractNumId w:val="6"/>
  </w:num>
  <w:num w:numId="4" w16cid:durableId="1534222244">
    <w:abstractNumId w:val="3"/>
  </w:num>
  <w:num w:numId="5" w16cid:durableId="207765724">
    <w:abstractNumId w:val="20"/>
  </w:num>
  <w:num w:numId="6" w16cid:durableId="557742291">
    <w:abstractNumId w:val="19"/>
  </w:num>
  <w:num w:numId="7" w16cid:durableId="613757301">
    <w:abstractNumId w:val="18"/>
  </w:num>
  <w:num w:numId="8" w16cid:durableId="2009945370">
    <w:abstractNumId w:val="4"/>
  </w:num>
  <w:num w:numId="9" w16cid:durableId="1974167572">
    <w:abstractNumId w:val="5"/>
  </w:num>
  <w:num w:numId="10" w16cid:durableId="273707826">
    <w:abstractNumId w:val="11"/>
  </w:num>
  <w:num w:numId="11" w16cid:durableId="1635401213">
    <w:abstractNumId w:val="0"/>
  </w:num>
  <w:num w:numId="12" w16cid:durableId="1974403547">
    <w:abstractNumId w:val="8"/>
  </w:num>
  <w:num w:numId="13" w16cid:durableId="899444475">
    <w:abstractNumId w:val="9"/>
  </w:num>
  <w:num w:numId="14" w16cid:durableId="2117099041">
    <w:abstractNumId w:val="2"/>
  </w:num>
  <w:num w:numId="15" w16cid:durableId="1582104928">
    <w:abstractNumId w:val="7"/>
  </w:num>
  <w:num w:numId="16" w16cid:durableId="909003175">
    <w:abstractNumId w:val="12"/>
  </w:num>
  <w:num w:numId="17" w16cid:durableId="791752322">
    <w:abstractNumId w:val="1"/>
  </w:num>
  <w:num w:numId="18" w16cid:durableId="61218545">
    <w:abstractNumId w:val="15"/>
  </w:num>
  <w:num w:numId="19" w16cid:durableId="1819031749">
    <w:abstractNumId w:val="10"/>
  </w:num>
  <w:num w:numId="20" w16cid:durableId="2138328217">
    <w:abstractNumId w:val="14"/>
  </w:num>
  <w:num w:numId="21" w16cid:durableId="171206981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061"/>
    <w:rsid w:val="00001E0C"/>
    <w:rsid w:val="00001F31"/>
    <w:rsid w:val="000077DD"/>
    <w:rsid w:val="00010BA0"/>
    <w:rsid w:val="00011778"/>
    <w:rsid w:val="00020557"/>
    <w:rsid w:val="00021677"/>
    <w:rsid w:val="000232A1"/>
    <w:rsid w:val="00023C3C"/>
    <w:rsid w:val="000250C7"/>
    <w:rsid w:val="00025CCF"/>
    <w:rsid w:val="00027025"/>
    <w:rsid w:val="00027029"/>
    <w:rsid w:val="000272F5"/>
    <w:rsid w:val="000300E0"/>
    <w:rsid w:val="00030CAE"/>
    <w:rsid w:val="00030E01"/>
    <w:rsid w:val="0003114A"/>
    <w:rsid w:val="00034D72"/>
    <w:rsid w:val="000352C1"/>
    <w:rsid w:val="0003619C"/>
    <w:rsid w:val="00036F3C"/>
    <w:rsid w:val="00037621"/>
    <w:rsid w:val="00044AA6"/>
    <w:rsid w:val="00044D46"/>
    <w:rsid w:val="00045088"/>
    <w:rsid w:val="00045904"/>
    <w:rsid w:val="000464F7"/>
    <w:rsid w:val="00050E06"/>
    <w:rsid w:val="0005141D"/>
    <w:rsid w:val="00057E3C"/>
    <w:rsid w:val="00057F12"/>
    <w:rsid w:val="00060E02"/>
    <w:rsid w:val="00061D87"/>
    <w:rsid w:val="00062330"/>
    <w:rsid w:val="000625CD"/>
    <w:rsid w:val="00064CA2"/>
    <w:rsid w:val="00065166"/>
    <w:rsid w:val="00067A88"/>
    <w:rsid w:val="00070B92"/>
    <w:rsid w:val="00073474"/>
    <w:rsid w:val="00077D49"/>
    <w:rsid w:val="000808A9"/>
    <w:rsid w:val="00082609"/>
    <w:rsid w:val="00083C15"/>
    <w:rsid w:val="000851CC"/>
    <w:rsid w:val="00093B16"/>
    <w:rsid w:val="00093BE8"/>
    <w:rsid w:val="00093E94"/>
    <w:rsid w:val="000946AD"/>
    <w:rsid w:val="000A485C"/>
    <w:rsid w:val="000A5D69"/>
    <w:rsid w:val="000A68ED"/>
    <w:rsid w:val="000A6F22"/>
    <w:rsid w:val="000B1DBE"/>
    <w:rsid w:val="000B22EB"/>
    <w:rsid w:val="000B4E62"/>
    <w:rsid w:val="000B4FEB"/>
    <w:rsid w:val="000B5FF1"/>
    <w:rsid w:val="000B609F"/>
    <w:rsid w:val="000C13D3"/>
    <w:rsid w:val="000C147F"/>
    <w:rsid w:val="000C4BC5"/>
    <w:rsid w:val="000C6743"/>
    <w:rsid w:val="000C6BB9"/>
    <w:rsid w:val="000D32A9"/>
    <w:rsid w:val="000D55A8"/>
    <w:rsid w:val="000D7C72"/>
    <w:rsid w:val="000E4841"/>
    <w:rsid w:val="000E4940"/>
    <w:rsid w:val="000E6325"/>
    <w:rsid w:val="000F1364"/>
    <w:rsid w:val="000F1677"/>
    <w:rsid w:val="000F3D6C"/>
    <w:rsid w:val="000F579C"/>
    <w:rsid w:val="0010124E"/>
    <w:rsid w:val="00101707"/>
    <w:rsid w:val="00102E6F"/>
    <w:rsid w:val="00110A8E"/>
    <w:rsid w:val="00113FCB"/>
    <w:rsid w:val="00114082"/>
    <w:rsid w:val="0011473D"/>
    <w:rsid w:val="00115C85"/>
    <w:rsid w:val="00116931"/>
    <w:rsid w:val="00120CFD"/>
    <w:rsid w:val="00123855"/>
    <w:rsid w:val="00126A4D"/>
    <w:rsid w:val="00126B3A"/>
    <w:rsid w:val="001316BD"/>
    <w:rsid w:val="001374D8"/>
    <w:rsid w:val="00140E0A"/>
    <w:rsid w:val="0014171F"/>
    <w:rsid w:val="0014622C"/>
    <w:rsid w:val="00151F58"/>
    <w:rsid w:val="00152348"/>
    <w:rsid w:val="00152845"/>
    <w:rsid w:val="0015456D"/>
    <w:rsid w:val="0015549B"/>
    <w:rsid w:val="00155FA2"/>
    <w:rsid w:val="00157102"/>
    <w:rsid w:val="001578CB"/>
    <w:rsid w:val="00161F1B"/>
    <w:rsid w:val="00162829"/>
    <w:rsid w:val="001646D9"/>
    <w:rsid w:val="00164FCB"/>
    <w:rsid w:val="001663A1"/>
    <w:rsid w:val="001672E0"/>
    <w:rsid w:val="00167C32"/>
    <w:rsid w:val="0017257C"/>
    <w:rsid w:val="001731AD"/>
    <w:rsid w:val="00174116"/>
    <w:rsid w:val="00176079"/>
    <w:rsid w:val="0017652E"/>
    <w:rsid w:val="00180548"/>
    <w:rsid w:val="00180AC4"/>
    <w:rsid w:val="00180CCE"/>
    <w:rsid w:val="00182648"/>
    <w:rsid w:val="0018267A"/>
    <w:rsid w:val="00182779"/>
    <w:rsid w:val="00182872"/>
    <w:rsid w:val="001830DF"/>
    <w:rsid w:val="00183649"/>
    <w:rsid w:val="00190FD2"/>
    <w:rsid w:val="001966D9"/>
    <w:rsid w:val="001A0D3B"/>
    <w:rsid w:val="001A24E7"/>
    <w:rsid w:val="001A2B78"/>
    <w:rsid w:val="001A5759"/>
    <w:rsid w:val="001A7E9A"/>
    <w:rsid w:val="001B0F70"/>
    <w:rsid w:val="001B5016"/>
    <w:rsid w:val="001B649C"/>
    <w:rsid w:val="001B6DF7"/>
    <w:rsid w:val="001C2D5B"/>
    <w:rsid w:val="001C3B09"/>
    <w:rsid w:val="001C45FC"/>
    <w:rsid w:val="001C58E3"/>
    <w:rsid w:val="001D02C5"/>
    <w:rsid w:val="001D2520"/>
    <w:rsid w:val="001D2B06"/>
    <w:rsid w:val="001D4862"/>
    <w:rsid w:val="001D7C3B"/>
    <w:rsid w:val="001E25B9"/>
    <w:rsid w:val="001E49E0"/>
    <w:rsid w:val="001E5EBA"/>
    <w:rsid w:val="001E60C3"/>
    <w:rsid w:val="001E7B5A"/>
    <w:rsid w:val="001F55AB"/>
    <w:rsid w:val="001F7412"/>
    <w:rsid w:val="00200FDD"/>
    <w:rsid w:val="00201874"/>
    <w:rsid w:val="00202133"/>
    <w:rsid w:val="0020264E"/>
    <w:rsid w:val="0020519D"/>
    <w:rsid w:val="0020725B"/>
    <w:rsid w:val="002103BF"/>
    <w:rsid w:val="00210C7F"/>
    <w:rsid w:val="002175BA"/>
    <w:rsid w:val="00222759"/>
    <w:rsid w:val="0022276C"/>
    <w:rsid w:val="0022599E"/>
    <w:rsid w:val="00227432"/>
    <w:rsid w:val="002305E8"/>
    <w:rsid w:val="0023198D"/>
    <w:rsid w:val="00232AC3"/>
    <w:rsid w:val="00232B5B"/>
    <w:rsid w:val="0023317E"/>
    <w:rsid w:val="002346F0"/>
    <w:rsid w:val="00234F2C"/>
    <w:rsid w:val="00237E7E"/>
    <w:rsid w:val="00240B0E"/>
    <w:rsid w:val="00240E9D"/>
    <w:rsid w:val="0024116D"/>
    <w:rsid w:val="00241B44"/>
    <w:rsid w:val="00243AD1"/>
    <w:rsid w:val="002454EB"/>
    <w:rsid w:val="00245544"/>
    <w:rsid w:val="00245EFB"/>
    <w:rsid w:val="002475A9"/>
    <w:rsid w:val="00250E19"/>
    <w:rsid w:val="002528CB"/>
    <w:rsid w:val="0025386E"/>
    <w:rsid w:val="00257437"/>
    <w:rsid w:val="00260510"/>
    <w:rsid w:val="002638B0"/>
    <w:rsid w:val="00263CC9"/>
    <w:rsid w:val="00264724"/>
    <w:rsid w:val="00264FFF"/>
    <w:rsid w:val="002650D7"/>
    <w:rsid w:val="002654E8"/>
    <w:rsid w:val="0026647A"/>
    <w:rsid w:val="002668D3"/>
    <w:rsid w:val="002675BE"/>
    <w:rsid w:val="0027299F"/>
    <w:rsid w:val="0027547C"/>
    <w:rsid w:val="00275B68"/>
    <w:rsid w:val="00276913"/>
    <w:rsid w:val="00276E42"/>
    <w:rsid w:val="002803F4"/>
    <w:rsid w:val="0028135B"/>
    <w:rsid w:val="00281B97"/>
    <w:rsid w:val="00282480"/>
    <w:rsid w:val="00284EBE"/>
    <w:rsid w:val="00291F87"/>
    <w:rsid w:val="00294209"/>
    <w:rsid w:val="0029433F"/>
    <w:rsid w:val="00294829"/>
    <w:rsid w:val="00294F3B"/>
    <w:rsid w:val="0029690F"/>
    <w:rsid w:val="002A1EEC"/>
    <w:rsid w:val="002A2A60"/>
    <w:rsid w:val="002A3240"/>
    <w:rsid w:val="002A40EC"/>
    <w:rsid w:val="002A48E2"/>
    <w:rsid w:val="002A48F4"/>
    <w:rsid w:val="002B1C45"/>
    <w:rsid w:val="002C13C8"/>
    <w:rsid w:val="002C1C9F"/>
    <w:rsid w:val="002C27E8"/>
    <w:rsid w:val="002C3547"/>
    <w:rsid w:val="002D0021"/>
    <w:rsid w:val="002D30FA"/>
    <w:rsid w:val="002D3473"/>
    <w:rsid w:val="002D5C95"/>
    <w:rsid w:val="002E00F8"/>
    <w:rsid w:val="002E1BB5"/>
    <w:rsid w:val="002E2322"/>
    <w:rsid w:val="002E38E2"/>
    <w:rsid w:val="002F11FD"/>
    <w:rsid w:val="002F14DF"/>
    <w:rsid w:val="002F1956"/>
    <w:rsid w:val="002F3440"/>
    <w:rsid w:val="002F4EC0"/>
    <w:rsid w:val="002F71BE"/>
    <w:rsid w:val="002F75A3"/>
    <w:rsid w:val="002F78CA"/>
    <w:rsid w:val="00303C2F"/>
    <w:rsid w:val="0030501A"/>
    <w:rsid w:val="0030546B"/>
    <w:rsid w:val="00305B79"/>
    <w:rsid w:val="00306302"/>
    <w:rsid w:val="00312911"/>
    <w:rsid w:val="00312B8A"/>
    <w:rsid w:val="003144EF"/>
    <w:rsid w:val="003148CA"/>
    <w:rsid w:val="003149F9"/>
    <w:rsid w:val="00315506"/>
    <w:rsid w:val="003172EB"/>
    <w:rsid w:val="00322F3B"/>
    <w:rsid w:val="00324A44"/>
    <w:rsid w:val="00326092"/>
    <w:rsid w:val="00326292"/>
    <w:rsid w:val="00326415"/>
    <w:rsid w:val="00330937"/>
    <w:rsid w:val="00330F31"/>
    <w:rsid w:val="0033442A"/>
    <w:rsid w:val="00334648"/>
    <w:rsid w:val="0033768C"/>
    <w:rsid w:val="00337938"/>
    <w:rsid w:val="00340769"/>
    <w:rsid w:val="00341AA6"/>
    <w:rsid w:val="00342459"/>
    <w:rsid w:val="003427B9"/>
    <w:rsid w:val="0034283C"/>
    <w:rsid w:val="00346B16"/>
    <w:rsid w:val="00347392"/>
    <w:rsid w:val="0035073A"/>
    <w:rsid w:val="00351553"/>
    <w:rsid w:val="00351AEF"/>
    <w:rsid w:val="00357093"/>
    <w:rsid w:val="00361A0A"/>
    <w:rsid w:val="0036565C"/>
    <w:rsid w:val="0036625E"/>
    <w:rsid w:val="0036760B"/>
    <w:rsid w:val="003701C3"/>
    <w:rsid w:val="00373F19"/>
    <w:rsid w:val="0037465A"/>
    <w:rsid w:val="0037544E"/>
    <w:rsid w:val="00380BAB"/>
    <w:rsid w:val="00382C98"/>
    <w:rsid w:val="00384BE4"/>
    <w:rsid w:val="00384CAB"/>
    <w:rsid w:val="0038533C"/>
    <w:rsid w:val="00386568"/>
    <w:rsid w:val="00387106"/>
    <w:rsid w:val="0039013A"/>
    <w:rsid w:val="00390D1B"/>
    <w:rsid w:val="00391F3E"/>
    <w:rsid w:val="003948D5"/>
    <w:rsid w:val="00396821"/>
    <w:rsid w:val="00397D3A"/>
    <w:rsid w:val="003A051E"/>
    <w:rsid w:val="003A1BB6"/>
    <w:rsid w:val="003A2FEE"/>
    <w:rsid w:val="003A716D"/>
    <w:rsid w:val="003B1310"/>
    <w:rsid w:val="003B170F"/>
    <w:rsid w:val="003B3C5F"/>
    <w:rsid w:val="003C089D"/>
    <w:rsid w:val="003C4471"/>
    <w:rsid w:val="003C66B1"/>
    <w:rsid w:val="003D0A6D"/>
    <w:rsid w:val="003D729C"/>
    <w:rsid w:val="003E0B16"/>
    <w:rsid w:val="003E67D1"/>
    <w:rsid w:val="003F10B8"/>
    <w:rsid w:val="003F243F"/>
    <w:rsid w:val="003F6530"/>
    <w:rsid w:val="00405DC1"/>
    <w:rsid w:val="0040710D"/>
    <w:rsid w:val="004075BE"/>
    <w:rsid w:val="004111E1"/>
    <w:rsid w:val="0041139B"/>
    <w:rsid w:val="004137C3"/>
    <w:rsid w:val="00413D3A"/>
    <w:rsid w:val="0041449D"/>
    <w:rsid w:val="00415F1F"/>
    <w:rsid w:val="00417725"/>
    <w:rsid w:val="0042108F"/>
    <w:rsid w:val="00422242"/>
    <w:rsid w:val="00424D07"/>
    <w:rsid w:val="00427D34"/>
    <w:rsid w:val="00430FED"/>
    <w:rsid w:val="00432179"/>
    <w:rsid w:val="00432441"/>
    <w:rsid w:val="00434292"/>
    <w:rsid w:val="00434A8C"/>
    <w:rsid w:val="00434CA0"/>
    <w:rsid w:val="0043500C"/>
    <w:rsid w:val="00435583"/>
    <w:rsid w:val="004361EC"/>
    <w:rsid w:val="00436884"/>
    <w:rsid w:val="00437297"/>
    <w:rsid w:val="00443403"/>
    <w:rsid w:val="00444284"/>
    <w:rsid w:val="00445CE6"/>
    <w:rsid w:val="00447FE6"/>
    <w:rsid w:val="0045036A"/>
    <w:rsid w:val="004534C2"/>
    <w:rsid w:val="00453D16"/>
    <w:rsid w:val="00454413"/>
    <w:rsid w:val="0045446F"/>
    <w:rsid w:val="0045683E"/>
    <w:rsid w:val="004629D5"/>
    <w:rsid w:val="0047025B"/>
    <w:rsid w:val="004702F0"/>
    <w:rsid w:val="00477C35"/>
    <w:rsid w:val="004810BE"/>
    <w:rsid w:val="00482D53"/>
    <w:rsid w:val="0048359B"/>
    <w:rsid w:val="00487171"/>
    <w:rsid w:val="00491675"/>
    <w:rsid w:val="00493855"/>
    <w:rsid w:val="0049508F"/>
    <w:rsid w:val="004A171E"/>
    <w:rsid w:val="004A250C"/>
    <w:rsid w:val="004A57DD"/>
    <w:rsid w:val="004A7B51"/>
    <w:rsid w:val="004A7D71"/>
    <w:rsid w:val="004A7EF3"/>
    <w:rsid w:val="004B11FD"/>
    <w:rsid w:val="004B125F"/>
    <w:rsid w:val="004B1ECA"/>
    <w:rsid w:val="004B23A2"/>
    <w:rsid w:val="004C4E97"/>
    <w:rsid w:val="004C7719"/>
    <w:rsid w:val="004C7C21"/>
    <w:rsid w:val="004D1A5A"/>
    <w:rsid w:val="004D2710"/>
    <w:rsid w:val="004D2FFF"/>
    <w:rsid w:val="004D3721"/>
    <w:rsid w:val="004D53CD"/>
    <w:rsid w:val="004D64F9"/>
    <w:rsid w:val="004E0549"/>
    <w:rsid w:val="004E1100"/>
    <w:rsid w:val="004E2E92"/>
    <w:rsid w:val="004E30B0"/>
    <w:rsid w:val="004E622C"/>
    <w:rsid w:val="004F5FDF"/>
    <w:rsid w:val="00500CB7"/>
    <w:rsid w:val="0050157D"/>
    <w:rsid w:val="00502EFF"/>
    <w:rsid w:val="00506803"/>
    <w:rsid w:val="0050682B"/>
    <w:rsid w:val="00507AAC"/>
    <w:rsid w:val="005177FE"/>
    <w:rsid w:val="00520932"/>
    <w:rsid w:val="0052263B"/>
    <w:rsid w:val="00524728"/>
    <w:rsid w:val="00525726"/>
    <w:rsid w:val="00530003"/>
    <w:rsid w:val="00530E88"/>
    <w:rsid w:val="00531B78"/>
    <w:rsid w:val="005331CA"/>
    <w:rsid w:val="0053353F"/>
    <w:rsid w:val="00533739"/>
    <w:rsid w:val="00537970"/>
    <w:rsid w:val="00540B44"/>
    <w:rsid w:val="00540E3A"/>
    <w:rsid w:val="0054171F"/>
    <w:rsid w:val="005427DA"/>
    <w:rsid w:val="00544127"/>
    <w:rsid w:val="00544273"/>
    <w:rsid w:val="005463A9"/>
    <w:rsid w:val="00552136"/>
    <w:rsid w:val="00553EB2"/>
    <w:rsid w:val="00556777"/>
    <w:rsid w:val="0055688E"/>
    <w:rsid w:val="00560534"/>
    <w:rsid w:val="0056391B"/>
    <w:rsid w:val="00563FA0"/>
    <w:rsid w:val="005650E2"/>
    <w:rsid w:val="00565292"/>
    <w:rsid w:val="0056535A"/>
    <w:rsid w:val="00565D30"/>
    <w:rsid w:val="00565DEE"/>
    <w:rsid w:val="00567AD7"/>
    <w:rsid w:val="00567F31"/>
    <w:rsid w:val="00570E79"/>
    <w:rsid w:val="00571DBC"/>
    <w:rsid w:val="00573E73"/>
    <w:rsid w:val="00574786"/>
    <w:rsid w:val="00575B2D"/>
    <w:rsid w:val="00577F8E"/>
    <w:rsid w:val="005833D0"/>
    <w:rsid w:val="005846F3"/>
    <w:rsid w:val="0058622F"/>
    <w:rsid w:val="00587461"/>
    <w:rsid w:val="00590023"/>
    <w:rsid w:val="005910F8"/>
    <w:rsid w:val="00592F82"/>
    <w:rsid w:val="00593588"/>
    <w:rsid w:val="00593C82"/>
    <w:rsid w:val="00596DBF"/>
    <w:rsid w:val="005A0CCA"/>
    <w:rsid w:val="005A66D3"/>
    <w:rsid w:val="005A726D"/>
    <w:rsid w:val="005B67AC"/>
    <w:rsid w:val="005C1A32"/>
    <w:rsid w:val="005C2C94"/>
    <w:rsid w:val="005C36BC"/>
    <w:rsid w:val="005C4865"/>
    <w:rsid w:val="005D43E0"/>
    <w:rsid w:val="005D498C"/>
    <w:rsid w:val="005D58A3"/>
    <w:rsid w:val="005D65D5"/>
    <w:rsid w:val="005E1B79"/>
    <w:rsid w:val="005E5C28"/>
    <w:rsid w:val="005F026D"/>
    <w:rsid w:val="005F21F4"/>
    <w:rsid w:val="005F2D0B"/>
    <w:rsid w:val="005F347C"/>
    <w:rsid w:val="005F3FC3"/>
    <w:rsid w:val="005F4B31"/>
    <w:rsid w:val="00602791"/>
    <w:rsid w:val="00605E29"/>
    <w:rsid w:val="00610388"/>
    <w:rsid w:val="006124F3"/>
    <w:rsid w:val="00612CA5"/>
    <w:rsid w:val="00615155"/>
    <w:rsid w:val="006153EC"/>
    <w:rsid w:val="006207E2"/>
    <w:rsid w:val="00621987"/>
    <w:rsid w:val="00621A17"/>
    <w:rsid w:val="00622586"/>
    <w:rsid w:val="00622C2B"/>
    <w:rsid w:val="00622DCB"/>
    <w:rsid w:val="00625C44"/>
    <w:rsid w:val="00627CC9"/>
    <w:rsid w:val="00627E7B"/>
    <w:rsid w:val="00630542"/>
    <w:rsid w:val="00631230"/>
    <w:rsid w:val="00632E44"/>
    <w:rsid w:val="00634305"/>
    <w:rsid w:val="00634622"/>
    <w:rsid w:val="00635C67"/>
    <w:rsid w:val="00636808"/>
    <w:rsid w:val="00641002"/>
    <w:rsid w:val="00641515"/>
    <w:rsid w:val="00645680"/>
    <w:rsid w:val="00646123"/>
    <w:rsid w:val="00651AE3"/>
    <w:rsid w:val="0065333D"/>
    <w:rsid w:val="00654C2F"/>
    <w:rsid w:val="00656B73"/>
    <w:rsid w:val="00657087"/>
    <w:rsid w:val="0066252C"/>
    <w:rsid w:val="006661EF"/>
    <w:rsid w:val="006674FA"/>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44D2"/>
    <w:rsid w:val="006A6530"/>
    <w:rsid w:val="006B0975"/>
    <w:rsid w:val="006B435A"/>
    <w:rsid w:val="006B4C64"/>
    <w:rsid w:val="006B4FFC"/>
    <w:rsid w:val="006B73A3"/>
    <w:rsid w:val="006C1928"/>
    <w:rsid w:val="006C57F4"/>
    <w:rsid w:val="006D0E6E"/>
    <w:rsid w:val="006D5FE2"/>
    <w:rsid w:val="006D6BD5"/>
    <w:rsid w:val="006E481A"/>
    <w:rsid w:val="006E5298"/>
    <w:rsid w:val="006F2CE3"/>
    <w:rsid w:val="006F2E7A"/>
    <w:rsid w:val="006F734A"/>
    <w:rsid w:val="006F7735"/>
    <w:rsid w:val="00700D83"/>
    <w:rsid w:val="00703819"/>
    <w:rsid w:val="00704852"/>
    <w:rsid w:val="00706297"/>
    <w:rsid w:val="00706AD5"/>
    <w:rsid w:val="007074E9"/>
    <w:rsid w:val="00707FC8"/>
    <w:rsid w:val="00713DA4"/>
    <w:rsid w:val="00713FF8"/>
    <w:rsid w:val="00714BF1"/>
    <w:rsid w:val="00716D2B"/>
    <w:rsid w:val="00720911"/>
    <w:rsid w:val="00721308"/>
    <w:rsid w:val="00721383"/>
    <w:rsid w:val="00723F59"/>
    <w:rsid w:val="0072412E"/>
    <w:rsid w:val="00724EC3"/>
    <w:rsid w:val="0072554C"/>
    <w:rsid w:val="00725911"/>
    <w:rsid w:val="00727217"/>
    <w:rsid w:val="00731DBD"/>
    <w:rsid w:val="007333CC"/>
    <w:rsid w:val="0073399A"/>
    <w:rsid w:val="00747CD4"/>
    <w:rsid w:val="00751F66"/>
    <w:rsid w:val="00754BC9"/>
    <w:rsid w:val="007571CB"/>
    <w:rsid w:val="007603F5"/>
    <w:rsid w:val="00764DB0"/>
    <w:rsid w:val="0076609D"/>
    <w:rsid w:val="00766391"/>
    <w:rsid w:val="00766F8A"/>
    <w:rsid w:val="0076764D"/>
    <w:rsid w:val="0077498C"/>
    <w:rsid w:val="0077525E"/>
    <w:rsid w:val="0077564B"/>
    <w:rsid w:val="00777183"/>
    <w:rsid w:val="00780ED1"/>
    <w:rsid w:val="00784128"/>
    <w:rsid w:val="00784B4B"/>
    <w:rsid w:val="007854ED"/>
    <w:rsid w:val="007870ED"/>
    <w:rsid w:val="00793173"/>
    <w:rsid w:val="007A12AF"/>
    <w:rsid w:val="007B08B2"/>
    <w:rsid w:val="007B37EA"/>
    <w:rsid w:val="007B3AC7"/>
    <w:rsid w:val="007B497A"/>
    <w:rsid w:val="007C1FCC"/>
    <w:rsid w:val="007C32A8"/>
    <w:rsid w:val="007C3FE5"/>
    <w:rsid w:val="007C41B4"/>
    <w:rsid w:val="007C44AB"/>
    <w:rsid w:val="007C6201"/>
    <w:rsid w:val="007C6988"/>
    <w:rsid w:val="007D1A01"/>
    <w:rsid w:val="007D2767"/>
    <w:rsid w:val="007D28A1"/>
    <w:rsid w:val="007D2F45"/>
    <w:rsid w:val="007D2FC0"/>
    <w:rsid w:val="007D7BA2"/>
    <w:rsid w:val="007D7C92"/>
    <w:rsid w:val="007E1154"/>
    <w:rsid w:val="007E6BA4"/>
    <w:rsid w:val="007E7678"/>
    <w:rsid w:val="007F2731"/>
    <w:rsid w:val="007F41F8"/>
    <w:rsid w:val="007F60D0"/>
    <w:rsid w:val="0080454E"/>
    <w:rsid w:val="00804C32"/>
    <w:rsid w:val="00806302"/>
    <w:rsid w:val="00807119"/>
    <w:rsid w:val="00817D57"/>
    <w:rsid w:val="00822764"/>
    <w:rsid w:val="008241C4"/>
    <w:rsid w:val="0082483F"/>
    <w:rsid w:val="008264CB"/>
    <w:rsid w:val="00826727"/>
    <w:rsid w:val="008279C0"/>
    <w:rsid w:val="00830D9A"/>
    <w:rsid w:val="008326AD"/>
    <w:rsid w:val="0083296D"/>
    <w:rsid w:val="00835FD1"/>
    <w:rsid w:val="00845BDB"/>
    <w:rsid w:val="0084683C"/>
    <w:rsid w:val="008512FA"/>
    <w:rsid w:val="00853A74"/>
    <w:rsid w:val="00853D5B"/>
    <w:rsid w:val="00856FCB"/>
    <w:rsid w:val="00857763"/>
    <w:rsid w:val="00860E61"/>
    <w:rsid w:val="00867A8F"/>
    <w:rsid w:val="008723F3"/>
    <w:rsid w:val="00881DE6"/>
    <w:rsid w:val="00883437"/>
    <w:rsid w:val="008837A6"/>
    <w:rsid w:val="0089145D"/>
    <w:rsid w:val="008A0C6E"/>
    <w:rsid w:val="008A46CF"/>
    <w:rsid w:val="008A4DF2"/>
    <w:rsid w:val="008A5BFC"/>
    <w:rsid w:val="008A66FC"/>
    <w:rsid w:val="008A6CFE"/>
    <w:rsid w:val="008A6EE2"/>
    <w:rsid w:val="008A7278"/>
    <w:rsid w:val="008A7470"/>
    <w:rsid w:val="008B0E75"/>
    <w:rsid w:val="008B1A08"/>
    <w:rsid w:val="008B2DE3"/>
    <w:rsid w:val="008B4FC0"/>
    <w:rsid w:val="008B5333"/>
    <w:rsid w:val="008B6223"/>
    <w:rsid w:val="008C39AF"/>
    <w:rsid w:val="008C4E2B"/>
    <w:rsid w:val="008C66E0"/>
    <w:rsid w:val="008C6838"/>
    <w:rsid w:val="008E1904"/>
    <w:rsid w:val="008E2DFA"/>
    <w:rsid w:val="008E3339"/>
    <w:rsid w:val="008E4B2A"/>
    <w:rsid w:val="008E549B"/>
    <w:rsid w:val="008F18EF"/>
    <w:rsid w:val="008F20FC"/>
    <w:rsid w:val="008F2B24"/>
    <w:rsid w:val="008F559A"/>
    <w:rsid w:val="008F5FFE"/>
    <w:rsid w:val="008F6DA0"/>
    <w:rsid w:val="0090421A"/>
    <w:rsid w:val="00905A43"/>
    <w:rsid w:val="00906B1E"/>
    <w:rsid w:val="00906DF6"/>
    <w:rsid w:val="00907602"/>
    <w:rsid w:val="00907DC2"/>
    <w:rsid w:val="00910439"/>
    <w:rsid w:val="00912C79"/>
    <w:rsid w:val="00921853"/>
    <w:rsid w:val="009260A2"/>
    <w:rsid w:val="009314D6"/>
    <w:rsid w:val="009367D5"/>
    <w:rsid w:val="00942123"/>
    <w:rsid w:val="0094366A"/>
    <w:rsid w:val="009505A8"/>
    <w:rsid w:val="00951031"/>
    <w:rsid w:val="00951A7F"/>
    <w:rsid w:val="0095207B"/>
    <w:rsid w:val="009522EE"/>
    <w:rsid w:val="00954461"/>
    <w:rsid w:val="00954EAD"/>
    <w:rsid w:val="00956085"/>
    <w:rsid w:val="0095684C"/>
    <w:rsid w:val="0095736C"/>
    <w:rsid w:val="00957951"/>
    <w:rsid w:val="00962045"/>
    <w:rsid w:val="00965425"/>
    <w:rsid w:val="00967EDA"/>
    <w:rsid w:val="00970897"/>
    <w:rsid w:val="009745AD"/>
    <w:rsid w:val="00974888"/>
    <w:rsid w:val="0097747A"/>
    <w:rsid w:val="00980314"/>
    <w:rsid w:val="009816D0"/>
    <w:rsid w:val="00986B94"/>
    <w:rsid w:val="0099024F"/>
    <w:rsid w:val="00991428"/>
    <w:rsid w:val="00992676"/>
    <w:rsid w:val="00996691"/>
    <w:rsid w:val="009A0551"/>
    <w:rsid w:val="009A4880"/>
    <w:rsid w:val="009A4EA0"/>
    <w:rsid w:val="009A7865"/>
    <w:rsid w:val="009B0723"/>
    <w:rsid w:val="009B07AD"/>
    <w:rsid w:val="009B0883"/>
    <w:rsid w:val="009B15E2"/>
    <w:rsid w:val="009B4E34"/>
    <w:rsid w:val="009B5779"/>
    <w:rsid w:val="009B5832"/>
    <w:rsid w:val="009B6312"/>
    <w:rsid w:val="009B640D"/>
    <w:rsid w:val="009C0850"/>
    <w:rsid w:val="009C0B8E"/>
    <w:rsid w:val="009C1BC8"/>
    <w:rsid w:val="009C2442"/>
    <w:rsid w:val="009D0811"/>
    <w:rsid w:val="009D0EE1"/>
    <w:rsid w:val="009D30BB"/>
    <w:rsid w:val="009E2AEB"/>
    <w:rsid w:val="009E2E27"/>
    <w:rsid w:val="009E3E41"/>
    <w:rsid w:val="009E4DE3"/>
    <w:rsid w:val="00A047EE"/>
    <w:rsid w:val="00A114EA"/>
    <w:rsid w:val="00A119B3"/>
    <w:rsid w:val="00A153F7"/>
    <w:rsid w:val="00A16A4E"/>
    <w:rsid w:val="00A20E9C"/>
    <w:rsid w:val="00A2274A"/>
    <w:rsid w:val="00A235B7"/>
    <w:rsid w:val="00A24623"/>
    <w:rsid w:val="00A27A7A"/>
    <w:rsid w:val="00A407EF"/>
    <w:rsid w:val="00A4285D"/>
    <w:rsid w:val="00A46B4C"/>
    <w:rsid w:val="00A5117B"/>
    <w:rsid w:val="00A51A8A"/>
    <w:rsid w:val="00A530F0"/>
    <w:rsid w:val="00A53EC0"/>
    <w:rsid w:val="00A54000"/>
    <w:rsid w:val="00A54689"/>
    <w:rsid w:val="00A5579A"/>
    <w:rsid w:val="00A60074"/>
    <w:rsid w:val="00A62604"/>
    <w:rsid w:val="00A6627C"/>
    <w:rsid w:val="00A70BBC"/>
    <w:rsid w:val="00A71019"/>
    <w:rsid w:val="00A71C3E"/>
    <w:rsid w:val="00A74006"/>
    <w:rsid w:val="00A80EC9"/>
    <w:rsid w:val="00A81029"/>
    <w:rsid w:val="00A83CB5"/>
    <w:rsid w:val="00A865A7"/>
    <w:rsid w:val="00A87261"/>
    <w:rsid w:val="00A91725"/>
    <w:rsid w:val="00A96489"/>
    <w:rsid w:val="00A96C4A"/>
    <w:rsid w:val="00AA03EA"/>
    <w:rsid w:val="00AA3A42"/>
    <w:rsid w:val="00AA4F86"/>
    <w:rsid w:val="00AA5311"/>
    <w:rsid w:val="00AA7BAA"/>
    <w:rsid w:val="00AB4DA4"/>
    <w:rsid w:val="00AB685C"/>
    <w:rsid w:val="00AB6C2D"/>
    <w:rsid w:val="00AC08F7"/>
    <w:rsid w:val="00AC0A05"/>
    <w:rsid w:val="00AC125C"/>
    <w:rsid w:val="00AC3839"/>
    <w:rsid w:val="00AC5D83"/>
    <w:rsid w:val="00AC7082"/>
    <w:rsid w:val="00AD13F4"/>
    <w:rsid w:val="00AD1819"/>
    <w:rsid w:val="00AD386D"/>
    <w:rsid w:val="00AD3FEA"/>
    <w:rsid w:val="00AD7BBD"/>
    <w:rsid w:val="00AE6811"/>
    <w:rsid w:val="00AF228E"/>
    <w:rsid w:val="00B03264"/>
    <w:rsid w:val="00B04137"/>
    <w:rsid w:val="00B102C9"/>
    <w:rsid w:val="00B1112C"/>
    <w:rsid w:val="00B11D19"/>
    <w:rsid w:val="00B12936"/>
    <w:rsid w:val="00B14819"/>
    <w:rsid w:val="00B159D3"/>
    <w:rsid w:val="00B17AA9"/>
    <w:rsid w:val="00B22B62"/>
    <w:rsid w:val="00B26F43"/>
    <w:rsid w:val="00B32DE4"/>
    <w:rsid w:val="00B33578"/>
    <w:rsid w:val="00B370C3"/>
    <w:rsid w:val="00B40258"/>
    <w:rsid w:val="00B411AE"/>
    <w:rsid w:val="00B46CE2"/>
    <w:rsid w:val="00B60190"/>
    <w:rsid w:val="00B6139C"/>
    <w:rsid w:val="00B61419"/>
    <w:rsid w:val="00B72F5F"/>
    <w:rsid w:val="00B736DF"/>
    <w:rsid w:val="00B74FBD"/>
    <w:rsid w:val="00B77352"/>
    <w:rsid w:val="00B803A7"/>
    <w:rsid w:val="00B82586"/>
    <w:rsid w:val="00B829A3"/>
    <w:rsid w:val="00B83A2F"/>
    <w:rsid w:val="00B85C94"/>
    <w:rsid w:val="00B86D53"/>
    <w:rsid w:val="00B86DB1"/>
    <w:rsid w:val="00B87869"/>
    <w:rsid w:val="00B9752B"/>
    <w:rsid w:val="00BA0E44"/>
    <w:rsid w:val="00BA3A65"/>
    <w:rsid w:val="00BA47C5"/>
    <w:rsid w:val="00BB07E8"/>
    <w:rsid w:val="00BB0F2B"/>
    <w:rsid w:val="00BB75FB"/>
    <w:rsid w:val="00BD0D57"/>
    <w:rsid w:val="00BD2B0E"/>
    <w:rsid w:val="00BD2F59"/>
    <w:rsid w:val="00BD4AD1"/>
    <w:rsid w:val="00BD4C23"/>
    <w:rsid w:val="00BE1A50"/>
    <w:rsid w:val="00BE31E2"/>
    <w:rsid w:val="00BF34C6"/>
    <w:rsid w:val="00BF453B"/>
    <w:rsid w:val="00BF50F7"/>
    <w:rsid w:val="00C02F29"/>
    <w:rsid w:val="00C07EDD"/>
    <w:rsid w:val="00C10C13"/>
    <w:rsid w:val="00C14575"/>
    <w:rsid w:val="00C17111"/>
    <w:rsid w:val="00C20747"/>
    <w:rsid w:val="00C20AFE"/>
    <w:rsid w:val="00C22A25"/>
    <w:rsid w:val="00C23B79"/>
    <w:rsid w:val="00C30938"/>
    <w:rsid w:val="00C33D50"/>
    <w:rsid w:val="00C35671"/>
    <w:rsid w:val="00C35B77"/>
    <w:rsid w:val="00C370D3"/>
    <w:rsid w:val="00C376EB"/>
    <w:rsid w:val="00C4003A"/>
    <w:rsid w:val="00C42F5E"/>
    <w:rsid w:val="00C43D91"/>
    <w:rsid w:val="00C46EC1"/>
    <w:rsid w:val="00C504E5"/>
    <w:rsid w:val="00C53E2C"/>
    <w:rsid w:val="00C550C8"/>
    <w:rsid w:val="00C56B61"/>
    <w:rsid w:val="00C606C3"/>
    <w:rsid w:val="00C62032"/>
    <w:rsid w:val="00C620F4"/>
    <w:rsid w:val="00C66017"/>
    <w:rsid w:val="00C668B6"/>
    <w:rsid w:val="00C67AFC"/>
    <w:rsid w:val="00C67ECE"/>
    <w:rsid w:val="00C7161B"/>
    <w:rsid w:val="00C72848"/>
    <w:rsid w:val="00C73290"/>
    <w:rsid w:val="00C7736C"/>
    <w:rsid w:val="00C82960"/>
    <w:rsid w:val="00C82D87"/>
    <w:rsid w:val="00C841ED"/>
    <w:rsid w:val="00C8518E"/>
    <w:rsid w:val="00C854CB"/>
    <w:rsid w:val="00C85F17"/>
    <w:rsid w:val="00C8712A"/>
    <w:rsid w:val="00C91324"/>
    <w:rsid w:val="00C914F7"/>
    <w:rsid w:val="00C9302A"/>
    <w:rsid w:val="00C9400F"/>
    <w:rsid w:val="00C963D3"/>
    <w:rsid w:val="00CA6E0D"/>
    <w:rsid w:val="00CB2CBB"/>
    <w:rsid w:val="00CB56CE"/>
    <w:rsid w:val="00CB7CAC"/>
    <w:rsid w:val="00CC0EA0"/>
    <w:rsid w:val="00CC5335"/>
    <w:rsid w:val="00CC5BA4"/>
    <w:rsid w:val="00CC70BB"/>
    <w:rsid w:val="00CC730E"/>
    <w:rsid w:val="00CD1CBB"/>
    <w:rsid w:val="00CD3420"/>
    <w:rsid w:val="00CD4998"/>
    <w:rsid w:val="00CE1035"/>
    <w:rsid w:val="00CF2819"/>
    <w:rsid w:val="00CF4F9D"/>
    <w:rsid w:val="00CF70DC"/>
    <w:rsid w:val="00D00BD7"/>
    <w:rsid w:val="00D134FB"/>
    <w:rsid w:val="00D13EC2"/>
    <w:rsid w:val="00D148DC"/>
    <w:rsid w:val="00D17E81"/>
    <w:rsid w:val="00D17FDC"/>
    <w:rsid w:val="00D21C9A"/>
    <w:rsid w:val="00D3075A"/>
    <w:rsid w:val="00D42103"/>
    <w:rsid w:val="00D431C6"/>
    <w:rsid w:val="00D444C5"/>
    <w:rsid w:val="00D45AEA"/>
    <w:rsid w:val="00D5244F"/>
    <w:rsid w:val="00D52E4F"/>
    <w:rsid w:val="00D56652"/>
    <w:rsid w:val="00D56A37"/>
    <w:rsid w:val="00D57202"/>
    <w:rsid w:val="00D61CFF"/>
    <w:rsid w:val="00D6386E"/>
    <w:rsid w:val="00D63EFD"/>
    <w:rsid w:val="00D644CB"/>
    <w:rsid w:val="00D64826"/>
    <w:rsid w:val="00D65FB1"/>
    <w:rsid w:val="00D80DF2"/>
    <w:rsid w:val="00D84752"/>
    <w:rsid w:val="00D85AB0"/>
    <w:rsid w:val="00D86B3B"/>
    <w:rsid w:val="00D8748A"/>
    <w:rsid w:val="00D93196"/>
    <w:rsid w:val="00D94A4D"/>
    <w:rsid w:val="00D96CB6"/>
    <w:rsid w:val="00D96D8B"/>
    <w:rsid w:val="00D97A93"/>
    <w:rsid w:val="00DA0C68"/>
    <w:rsid w:val="00DA1083"/>
    <w:rsid w:val="00DA26C8"/>
    <w:rsid w:val="00DB243C"/>
    <w:rsid w:val="00DB45DD"/>
    <w:rsid w:val="00DB482A"/>
    <w:rsid w:val="00DB56F2"/>
    <w:rsid w:val="00DB58C6"/>
    <w:rsid w:val="00DB6EF5"/>
    <w:rsid w:val="00DB7CFF"/>
    <w:rsid w:val="00DC3089"/>
    <w:rsid w:val="00DC4420"/>
    <w:rsid w:val="00DD0802"/>
    <w:rsid w:val="00DD0A50"/>
    <w:rsid w:val="00DD2E11"/>
    <w:rsid w:val="00DE03AF"/>
    <w:rsid w:val="00DE121C"/>
    <w:rsid w:val="00DE2A27"/>
    <w:rsid w:val="00DE3705"/>
    <w:rsid w:val="00DE6633"/>
    <w:rsid w:val="00DF544C"/>
    <w:rsid w:val="00DF7553"/>
    <w:rsid w:val="00DF75F8"/>
    <w:rsid w:val="00DF7926"/>
    <w:rsid w:val="00DF7A3A"/>
    <w:rsid w:val="00E00C00"/>
    <w:rsid w:val="00E04A7C"/>
    <w:rsid w:val="00E059FB"/>
    <w:rsid w:val="00E069C4"/>
    <w:rsid w:val="00E07275"/>
    <w:rsid w:val="00E076C9"/>
    <w:rsid w:val="00E07866"/>
    <w:rsid w:val="00E07C5A"/>
    <w:rsid w:val="00E132B6"/>
    <w:rsid w:val="00E138C3"/>
    <w:rsid w:val="00E139A5"/>
    <w:rsid w:val="00E15BA9"/>
    <w:rsid w:val="00E25AB6"/>
    <w:rsid w:val="00E25B22"/>
    <w:rsid w:val="00E2622D"/>
    <w:rsid w:val="00E26E19"/>
    <w:rsid w:val="00E27E3C"/>
    <w:rsid w:val="00E31D99"/>
    <w:rsid w:val="00E31DF3"/>
    <w:rsid w:val="00E32814"/>
    <w:rsid w:val="00E33448"/>
    <w:rsid w:val="00E33486"/>
    <w:rsid w:val="00E34181"/>
    <w:rsid w:val="00E44395"/>
    <w:rsid w:val="00E450A4"/>
    <w:rsid w:val="00E50172"/>
    <w:rsid w:val="00E506BE"/>
    <w:rsid w:val="00E50A8D"/>
    <w:rsid w:val="00E55547"/>
    <w:rsid w:val="00E57003"/>
    <w:rsid w:val="00E57410"/>
    <w:rsid w:val="00E609D0"/>
    <w:rsid w:val="00E6302B"/>
    <w:rsid w:val="00E6452F"/>
    <w:rsid w:val="00E64619"/>
    <w:rsid w:val="00E64F45"/>
    <w:rsid w:val="00E6742D"/>
    <w:rsid w:val="00E71CB0"/>
    <w:rsid w:val="00E73529"/>
    <w:rsid w:val="00E77322"/>
    <w:rsid w:val="00E77C3D"/>
    <w:rsid w:val="00E82E22"/>
    <w:rsid w:val="00E850FE"/>
    <w:rsid w:val="00E909F0"/>
    <w:rsid w:val="00E90D47"/>
    <w:rsid w:val="00E93993"/>
    <w:rsid w:val="00E9597C"/>
    <w:rsid w:val="00E97504"/>
    <w:rsid w:val="00EA0913"/>
    <w:rsid w:val="00EA0A2F"/>
    <w:rsid w:val="00EA4FFE"/>
    <w:rsid w:val="00EA6D31"/>
    <w:rsid w:val="00EB146B"/>
    <w:rsid w:val="00EB1936"/>
    <w:rsid w:val="00EB45AC"/>
    <w:rsid w:val="00EB5AD1"/>
    <w:rsid w:val="00EC2AEA"/>
    <w:rsid w:val="00EC459F"/>
    <w:rsid w:val="00EC7B11"/>
    <w:rsid w:val="00EC7F95"/>
    <w:rsid w:val="00ED0BC4"/>
    <w:rsid w:val="00ED2B4C"/>
    <w:rsid w:val="00ED3771"/>
    <w:rsid w:val="00ED4AB7"/>
    <w:rsid w:val="00ED6A32"/>
    <w:rsid w:val="00ED7CDA"/>
    <w:rsid w:val="00EE1EC9"/>
    <w:rsid w:val="00EE2BF9"/>
    <w:rsid w:val="00EE4971"/>
    <w:rsid w:val="00EE7083"/>
    <w:rsid w:val="00EF090E"/>
    <w:rsid w:val="00F008AD"/>
    <w:rsid w:val="00F033DA"/>
    <w:rsid w:val="00F07AE1"/>
    <w:rsid w:val="00F11AAB"/>
    <w:rsid w:val="00F13FB1"/>
    <w:rsid w:val="00F17BC1"/>
    <w:rsid w:val="00F17C87"/>
    <w:rsid w:val="00F20272"/>
    <w:rsid w:val="00F223E7"/>
    <w:rsid w:val="00F2288D"/>
    <w:rsid w:val="00F240E8"/>
    <w:rsid w:val="00F25779"/>
    <w:rsid w:val="00F271EC"/>
    <w:rsid w:val="00F2750A"/>
    <w:rsid w:val="00F27CD8"/>
    <w:rsid w:val="00F30351"/>
    <w:rsid w:val="00F3323E"/>
    <w:rsid w:val="00F341F4"/>
    <w:rsid w:val="00F34F9D"/>
    <w:rsid w:val="00F35CCE"/>
    <w:rsid w:val="00F37F0F"/>
    <w:rsid w:val="00F43024"/>
    <w:rsid w:val="00F4463F"/>
    <w:rsid w:val="00F55241"/>
    <w:rsid w:val="00F5524B"/>
    <w:rsid w:val="00F55DE5"/>
    <w:rsid w:val="00F60538"/>
    <w:rsid w:val="00F615FC"/>
    <w:rsid w:val="00F61DD2"/>
    <w:rsid w:val="00F63F63"/>
    <w:rsid w:val="00F64FFF"/>
    <w:rsid w:val="00F6523A"/>
    <w:rsid w:val="00F66004"/>
    <w:rsid w:val="00F6669C"/>
    <w:rsid w:val="00F66AFF"/>
    <w:rsid w:val="00F71433"/>
    <w:rsid w:val="00F7241A"/>
    <w:rsid w:val="00F75B9A"/>
    <w:rsid w:val="00F831EB"/>
    <w:rsid w:val="00F83ACD"/>
    <w:rsid w:val="00F83E76"/>
    <w:rsid w:val="00F84CE7"/>
    <w:rsid w:val="00F87BEA"/>
    <w:rsid w:val="00F90A57"/>
    <w:rsid w:val="00F97C5B"/>
    <w:rsid w:val="00FA0335"/>
    <w:rsid w:val="00FA05D2"/>
    <w:rsid w:val="00FA1579"/>
    <w:rsid w:val="00FA359A"/>
    <w:rsid w:val="00FA3D50"/>
    <w:rsid w:val="00FA50D3"/>
    <w:rsid w:val="00FA52BF"/>
    <w:rsid w:val="00FA5358"/>
    <w:rsid w:val="00FA5F18"/>
    <w:rsid w:val="00FB009F"/>
    <w:rsid w:val="00FB0353"/>
    <w:rsid w:val="00FB25B0"/>
    <w:rsid w:val="00FB37A0"/>
    <w:rsid w:val="00FB6136"/>
    <w:rsid w:val="00FC26E7"/>
    <w:rsid w:val="00FC2DD5"/>
    <w:rsid w:val="00FC374A"/>
    <w:rsid w:val="00FC7B47"/>
    <w:rsid w:val="00FD035C"/>
    <w:rsid w:val="00FD1A35"/>
    <w:rsid w:val="00FD1FE6"/>
    <w:rsid w:val="00FD36C5"/>
    <w:rsid w:val="00FD428C"/>
    <w:rsid w:val="00FD6310"/>
    <w:rsid w:val="00FD7C7B"/>
    <w:rsid w:val="00FD7FD0"/>
    <w:rsid w:val="00FE1D12"/>
    <w:rsid w:val="00FE2122"/>
    <w:rsid w:val="00FE2A86"/>
    <w:rsid w:val="00FE306E"/>
    <w:rsid w:val="00FE30FE"/>
    <w:rsid w:val="00FE5020"/>
    <w:rsid w:val="00FE5E7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A51A8A"/>
    <w:pPr>
      <w:spacing w:before="100" w:beforeAutospacing="1" w:after="100" w:afterAutospacing="1"/>
      <w:outlineLvl w:val="0"/>
    </w:pPr>
    <w:rPr>
      <w:rFonts w:ascii="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3172EB"/>
    <w:rPr>
      <w:color w:val="605E5C"/>
      <w:shd w:val="clear" w:color="auto" w:fill="E1DFDD"/>
    </w:rPr>
  </w:style>
  <w:style w:type="character" w:customStyle="1" w:styleId="Heading1Char">
    <w:name w:val="Heading 1 Char"/>
    <w:basedOn w:val="DefaultParagraphFont"/>
    <w:link w:val="Heading1"/>
    <w:uiPriority w:val="9"/>
    <w:rsid w:val="00A51A8A"/>
    <w:rPr>
      <w:rFonts w:ascii="Times New Roman" w:eastAsia="Times New Roman" w:hAnsi="Times New Roman" w:cs="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117701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shfords.co.uk/news-and-media/general/protasov-v-derev-2021-ewhc-392-ch" TargetMode="External"/><Relationship Id="rId2" Type="http://schemas.openxmlformats.org/officeDocument/2006/relationships/hyperlink" Target="https://www.bailii.org/ew/cases/EWHC/Ch/2021/392.html" TargetMode="External"/><Relationship Id="rId1" Type="http://schemas.openxmlformats.org/officeDocument/2006/relationships/hyperlink" Target="http://aei.pitt.edu/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20</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Rashika Sharma</cp:lastModifiedBy>
  <cp:revision>403</cp:revision>
  <cp:lastPrinted>2019-08-27T05:42:00Z</cp:lastPrinted>
  <dcterms:created xsi:type="dcterms:W3CDTF">2023-01-25T19:20:00Z</dcterms:created>
  <dcterms:modified xsi:type="dcterms:W3CDTF">2023-02-25T06:30:00Z</dcterms:modified>
</cp:coreProperties>
</file>