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w:t>
      </w:r>
      <w:r w:rsidRPr="007C3E08">
        <w:rPr>
          <w:rFonts w:ascii="Avenir Next" w:hAnsi="Avenir Next"/>
        </w:rPr>
        <w:t>minimum presence requirement</w:t>
      </w:r>
      <w:r w:rsidRPr="00B77B19">
        <w:rPr>
          <w:rFonts w:ascii="Avenir Next" w:hAnsi="Avenir Next"/>
        </w:rPr>
        <w:t xml:space="preserve">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D472C8" w:rsidRDefault="00CE0ECD" w:rsidP="00B77B19">
      <w:pPr>
        <w:pStyle w:val="AODocTxt"/>
        <w:numPr>
          <w:ilvl w:val="0"/>
          <w:numId w:val="14"/>
        </w:numPr>
        <w:spacing w:before="0" w:line="240" w:lineRule="auto"/>
        <w:ind w:left="426"/>
        <w:rPr>
          <w:rFonts w:ascii="Avenir Next" w:hAnsi="Avenir Next"/>
          <w:highlight w:val="yellow"/>
        </w:rPr>
      </w:pPr>
      <w:proofErr w:type="gramStart"/>
      <w:r w:rsidRPr="00D472C8">
        <w:rPr>
          <w:rFonts w:ascii="Avenir Next" w:hAnsi="Avenir Next"/>
          <w:highlight w:val="yellow"/>
        </w:rPr>
        <w:t>All of</w:t>
      </w:r>
      <w:proofErr w:type="gramEnd"/>
      <w:r w:rsidRPr="00D472C8">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w:t>
      </w:r>
      <w:r w:rsidRPr="007C3E08">
        <w:rPr>
          <w:rFonts w:ascii="Avenir Next" w:hAnsi="Avenir Next"/>
        </w:rPr>
        <w:t>party in interest</w:t>
      </w:r>
      <w:r w:rsidRPr="00B77B19">
        <w:rPr>
          <w:rFonts w:ascii="Avenir Next" w:hAnsi="Avenir Next"/>
        </w:rPr>
        <w: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504B06">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B55FFE">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E723F7" w:rsidRDefault="00CE0ECD" w:rsidP="00A82B32">
      <w:pPr>
        <w:pStyle w:val="AODocTxt"/>
        <w:numPr>
          <w:ilvl w:val="0"/>
          <w:numId w:val="18"/>
        </w:numPr>
        <w:spacing w:before="0" w:line="240" w:lineRule="auto"/>
        <w:ind w:left="426"/>
        <w:rPr>
          <w:rFonts w:ascii="Avenir Next" w:hAnsi="Avenir Next"/>
          <w:highlight w:val="yellow"/>
        </w:rPr>
      </w:pPr>
      <w:r w:rsidRPr="00E723F7">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240AC5">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8A5C94" w:rsidRDefault="00CE0ECD" w:rsidP="00E421C6">
      <w:pPr>
        <w:pStyle w:val="AODocTxt"/>
        <w:numPr>
          <w:ilvl w:val="0"/>
          <w:numId w:val="22"/>
        </w:numPr>
        <w:spacing w:before="0" w:line="240" w:lineRule="auto"/>
        <w:ind w:left="426"/>
        <w:rPr>
          <w:rFonts w:ascii="Avenir Next" w:hAnsi="Avenir Next"/>
          <w:highlight w:val="yellow"/>
        </w:rPr>
      </w:pPr>
      <w:r w:rsidRPr="008A5C94">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8922AD" w:rsidRDefault="00CE0ECD" w:rsidP="000346E7">
      <w:pPr>
        <w:pStyle w:val="AODocTxt"/>
        <w:numPr>
          <w:ilvl w:val="0"/>
          <w:numId w:val="24"/>
        </w:numPr>
        <w:spacing w:before="0" w:line="240" w:lineRule="auto"/>
        <w:ind w:left="426"/>
        <w:rPr>
          <w:rFonts w:ascii="Avenir Next" w:hAnsi="Avenir Next"/>
          <w:highlight w:val="yellow"/>
        </w:rPr>
      </w:pPr>
      <w:r w:rsidRPr="008922AD">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6F19DE">
        <w:rPr>
          <w:rFonts w:ascii="Avenir Next" w:hAnsi="Avenir Next"/>
          <w:highlight w:val="yellow"/>
        </w:rPr>
        <w:t>Immediately on the filing of any plenary petition</w:t>
      </w:r>
      <w:r w:rsidRPr="002C4932">
        <w:rPr>
          <w:rFonts w:ascii="Avenir Next" w:hAnsi="Avenir Next"/>
        </w:rPr>
        <w:t>.</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F37ACD">
        <w:rPr>
          <w:rFonts w:ascii="Avenir Next" w:hAnsi="Avenir Next"/>
          <w:highlight w:val="yellow"/>
        </w:rPr>
        <w:t xml:space="preserve">If a creditor can show it extended credit </w:t>
      </w:r>
      <w:proofErr w:type="gramStart"/>
      <w:r w:rsidRPr="00F37ACD">
        <w:rPr>
          <w:rFonts w:ascii="Avenir Next" w:hAnsi="Avenir Next"/>
          <w:highlight w:val="yellow"/>
        </w:rPr>
        <w:t>on the basis of</w:t>
      </w:r>
      <w:proofErr w:type="gramEnd"/>
      <w:r w:rsidRPr="00F37ACD">
        <w:rPr>
          <w:rFonts w:ascii="Avenir Next" w:hAnsi="Avenir Next"/>
          <w:highlight w:val="yellow"/>
        </w:rPr>
        <w:t xml:space="preserve"> corporate separateness, it has a valid objection to substantive consolidation</w:t>
      </w:r>
      <w:r w:rsidRPr="002C4932">
        <w:rPr>
          <w:rFonts w:ascii="Avenir Next" w:hAnsi="Avenir Next"/>
        </w:rPr>
        <w:t>.</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EB78C9" w:rsidRDefault="00CE0ECD" w:rsidP="00AA0280">
      <w:pPr>
        <w:pStyle w:val="AODocTxt"/>
        <w:numPr>
          <w:ilvl w:val="0"/>
          <w:numId w:val="30"/>
        </w:numPr>
        <w:spacing w:before="0" w:line="240" w:lineRule="auto"/>
        <w:ind w:left="426"/>
        <w:rPr>
          <w:rFonts w:ascii="Avenir Next" w:hAnsi="Avenir Next"/>
          <w:highlight w:val="yellow"/>
        </w:rPr>
      </w:pPr>
      <w:proofErr w:type="gramStart"/>
      <w:r w:rsidRPr="00EB78C9">
        <w:rPr>
          <w:rFonts w:ascii="Avenir Next" w:hAnsi="Avenir Next"/>
          <w:highlight w:val="yellow"/>
        </w:rPr>
        <w:t>All of</w:t>
      </w:r>
      <w:proofErr w:type="gramEnd"/>
      <w:r w:rsidRPr="00EB78C9">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7AA0E4D2" w:rsidR="00E41578" w:rsidRDefault="000D19A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 situation where a creditor </w:t>
      </w:r>
      <w:r w:rsidR="00984E31">
        <w:rPr>
          <w:rFonts w:ascii="Avenir Next" w:hAnsi="Avenir Next" w:cs="Arial"/>
          <w:color w:val="7B7B7B" w:themeColor="accent3" w:themeShade="BF"/>
          <w:sz w:val="22"/>
          <w:szCs w:val="22"/>
          <w:lang w:val="en-GB"/>
        </w:rPr>
        <w:t>has a (valid) claim against</w:t>
      </w:r>
      <w:r w:rsidR="00E91908">
        <w:rPr>
          <w:rFonts w:ascii="Avenir Next" w:hAnsi="Avenir Next" w:cs="Arial"/>
          <w:color w:val="7B7B7B" w:themeColor="accent3" w:themeShade="BF"/>
          <w:sz w:val="22"/>
          <w:szCs w:val="22"/>
          <w:lang w:val="en-GB"/>
        </w:rPr>
        <w:t xml:space="preserve"> a</w:t>
      </w:r>
      <w:r w:rsidR="00484CDB">
        <w:rPr>
          <w:rFonts w:ascii="Avenir Next" w:hAnsi="Avenir Next" w:cs="Arial"/>
          <w:color w:val="7B7B7B" w:themeColor="accent3" w:themeShade="BF"/>
          <w:sz w:val="22"/>
          <w:szCs w:val="22"/>
          <w:lang w:val="en-GB"/>
        </w:rPr>
        <w:t xml:space="preserve"> </w:t>
      </w:r>
      <w:r w:rsidR="00984E31">
        <w:rPr>
          <w:rFonts w:ascii="Avenir Next" w:hAnsi="Avenir Next" w:cs="Arial"/>
          <w:color w:val="7B7B7B" w:themeColor="accent3" w:themeShade="BF"/>
          <w:sz w:val="22"/>
          <w:szCs w:val="22"/>
          <w:lang w:val="en-GB"/>
        </w:rPr>
        <w:t xml:space="preserve">debtor and </w:t>
      </w:r>
      <w:r w:rsidR="00D45735">
        <w:rPr>
          <w:rFonts w:ascii="Avenir Next" w:hAnsi="Avenir Next" w:cs="Arial"/>
          <w:color w:val="7B7B7B" w:themeColor="accent3" w:themeShade="BF"/>
          <w:sz w:val="22"/>
          <w:szCs w:val="22"/>
          <w:lang w:val="en-GB"/>
        </w:rPr>
        <w:t xml:space="preserve">has monies owed to the </w:t>
      </w:r>
      <w:r w:rsidR="002B543E">
        <w:rPr>
          <w:rFonts w:ascii="Avenir Next" w:hAnsi="Avenir Next" w:cs="Arial"/>
          <w:color w:val="7B7B7B" w:themeColor="accent3" w:themeShade="BF"/>
          <w:sz w:val="22"/>
          <w:szCs w:val="22"/>
          <w:lang w:val="en-GB"/>
        </w:rPr>
        <w:t xml:space="preserve">same </w:t>
      </w:r>
      <w:r w:rsidR="00D45735">
        <w:rPr>
          <w:rFonts w:ascii="Avenir Next" w:hAnsi="Avenir Next" w:cs="Arial"/>
          <w:color w:val="7B7B7B" w:themeColor="accent3" w:themeShade="BF"/>
          <w:sz w:val="22"/>
          <w:szCs w:val="22"/>
          <w:lang w:val="en-GB"/>
        </w:rPr>
        <w:t>deb</w:t>
      </w:r>
      <w:r w:rsidR="002B543E">
        <w:rPr>
          <w:rFonts w:ascii="Avenir Next" w:hAnsi="Avenir Next" w:cs="Arial"/>
          <w:color w:val="7B7B7B" w:themeColor="accent3" w:themeShade="BF"/>
          <w:sz w:val="22"/>
          <w:szCs w:val="22"/>
          <w:lang w:val="en-GB"/>
        </w:rPr>
        <w:t xml:space="preserve">tor, the creditor may be able to net </w:t>
      </w:r>
      <w:r w:rsidR="00F85E4A">
        <w:rPr>
          <w:rFonts w:ascii="Avenir Next" w:hAnsi="Avenir Next" w:cs="Arial"/>
          <w:color w:val="7B7B7B" w:themeColor="accent3" w:themeShade="BF"/>
          <w:sz w:val="22"/>
          <w:szCs w:val="22"/>
          <w:lang w:val="en-GB"/>
        </w:rPr>
        <w:t>out (setoff)</w:t>
      </w:r>
      <w:r w:rsidR="002B543E">
        <w:rPr>
          <w:rFonts w:ascii="Avenir Next" w:hAnsi="Avenir Next" w:cs="Arial"/>
          <w:color w:val="7B7B7B" w:themeColor="accent3" w:themeShade="BF"/>
          <w:sz w:val="22"/>
          <w:szCs w:val="22"/>
          <w:lang w:val="en-GB"/>
        </w:rPr>
        <w:t xml:space="preserve"> the two exposures</w:t>
      </w:r>
      <w:r w:rsidR="00FE2E69">
        <w:rPr>
          <w:rFonts w:ascii="Avenir Next" w:hAnsi="Avenir Next" w:cs="Arial"/>
          <w:color w:val="7B7B7B" w:themeColor="accent3" w:themeShade="BF"/>
          <w:sz w:val="22"/>
          <w:szCs w:val="22"/>
          <w:lang w:val="en-GB"/>
        </w:rPr>
        <w:t xml:space="preserve"> assuming their claim is valid, and the netting off did not take place </w:t>
      </w:r>
      <w:r w:rsidR="00FD612B">
        <w:rPr>
          <w:rFonts w:ascii="Avenir Next" w:hAnsi="Avenir Next" w:cs="Arial"/>
          <w:color w:val="7B7B7B" w:themeColor="accent3" w:themeShade="BF"/>
          <w:sz w:val="22"/>
          <w:szCs w:val="22"/>
          <w:lang w:val="en-GB"/>
        </w:rPr>
        <w:t xml:space="preserve">within </w:t>
      </w:r>
      <w:r w:rsidR="004D69B4">
        <w:rPr>
          <w:rFonts w:ascii="Avenir Next" w:hAnsi="Avenir Next" w:cs="Arial"/>
          <w:color w:val="7B7B7B" w:themeColor="accent3" w:themeShade="BF"/>
          <w:sz w:val="22"/>
          <w:szCs w:val="22"/>
          <w:lang w:val="en-GB"/>
        </w:rPr>
        <w:t xml:space="preserve">90 days </w:t>
      </w:r>
      <w:r w:rsidR="00FD612B">
        <w:rPr>
          <w:rFonts w:ascii="Avenir Next" w:hAnsi="Avenir Next" w:cs="Arial"/>
          <w:color w:val="7B7B7B" w:themeColor="accent3" w:themeShade="BF"/>
          <w:sz w:val="22"/>
          <w:szCs w:val="22"/>
          <w:lang w:val="en-GB"/>
        </w:rPr>
        <w:t xml:space="preserve">prior to </w:t>
      </w:r>
      <w:r w:rsidR="004D69B4">
        <w:rPr>
          <w:rFonts w:ascii="Avenir Next" w:hAnsi="Avenir Next" w:cs="Arial"/>
          <w:color w:val="7B7B7B" w:themeColor="accent3" w:themeShade="BF"/>
          <w:sz w:val="22"/>
          <w:szCs w:val="22"/>
          <w:lang w:val="en-GB"/>
        </w:rPr>
        <w:t>the petition being filed.</w:t>
      </w:r>
      <w:r w:rsidR="00FD612B">
        <w:rPr>
          <w:rFonts w:ascii="Avenir Next" w:hAnsi="Avenir Next" w:cs="Arial"/>
          <w:color w:val="7B7B7B" w:themeColor="accent3" w:themeShade="BF"/>
          <w:sz w:val="22"/>
          <w:szCs w:val="22"/>
          <w:lang w:val="en-GB"/>
        </w:rPr>
        <w:t xml:space="preserve"> </w:t>
      </w:r>
      <w:r w:rsidR="004D69B4">
        <w:rPr>
          <w:rFonts w:ascii="Avenir Next" w:hAnsi="Avenir Next" w:cs="Arial"/>
          <w:color w:val="7B7B7B" w:themeColor="accent3" w:themeShade="BF"/>
          <w:sz w:val="22"/>
          <w:szCs w:val="22"/>
          <w:lang w:val="en-GB"/>
        </w:rPr>
        <w:t xml:space="preserve"> </w:t>
      </w:r>
    </w:p>
    <w:p w14:paraId="04FD8E30" w14:textId="0E446A22" w:rsidR="00964C60" w:rsidRDefault="00964C60" w:rsidP="00E41578">
      <w:pPr>
        <w:jc w:val="both"/>
        <w:rPr>
          <w:rFonts w:ascii="Avenir Next" w:hAnsi="Avenir Next" w:cs="Arial"/>
          <w:color w:val="7B7B7B" w:themeColor="accent3" w:themeShade="BF"/>
          <w:sz w:val="22"/>
          <w:szCs w:val="22"/>
          <w:lang w:val="en-GB"/>
        </w:rPr>
      </w:pPr>
    </w:p>
    <w:p w14:paraId="71A851A5" w14:textId="5799E67E" w:rsidR="00964C60" w:rsidRPr="00E41578" w:rsidRDefault="00964C6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Because the setoff enhances </w:t>
      </w:r>
      <w:r w:rsidR="00547727">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 xml:space="preserve"> creditor’s position relative to the wider pool of creditors, in the US context, it is not </w:t>
      </w:r>
      <w:r w:rsidR="00E324BA">
        <w:rPr>
          <w:rFonts w:ascii="Avenir Next" w:hAnsi="Avenir Next" w:cs="Arial"/>
          <w:color w:val="7B7B7B" w:themeColor="accent3" w:themeShade="BF"/>
          <w:sz w:val="22"/>
          <w:szCs w:val="22"/>
          <w:lang w:val="en-GB"/>
        </w:rPr>
        <w:t>permitted</w:t>
      </w:r>
      <w:r w:rsidR="0018229D">
        <w:rPr>
          <w:rFonts w:ascii="Avenir Next" w:hAnsi="Avenir Next" w:cs="Arial"/>
          <w:color w:val="7B7B7B" w:themeColor="accent3" w:themeShade="BF"/>
          <w:sz w:val="22"/>
          <w:szCs w:val="22"/>
          <w:lang w:val="en-GB"/>
        </w:rPr>
        <w:t xml:space="preserve"> in the 90 days prior to the petition date, unless </w:t>
      </w:r>
      <w:r w:rsidR="00D509F1">
        <w:rPr>
          <w:rFonts w:ascii="Avenir Next" w:hAnsi="Avenir Next" w:cs="Arial"/>
          <w:color w:val="7B7B7B" w:themeColor="accent3" w:themeShade="BF"/>
          <w:sz w:val="22"/>
          <w:szCs w:val="22"/>
          <w:lang w:val="en-GB"/>
        </w:rPr>
        <w:t>the creditor can prove that the debtor was not insolvent. There are some exceptions to th</w:t>
      </w:r>
      <w:r w:rsidR="003A74FD">
        <w:rPr>
          <w:rFonts w:ascii="Avenir Next" w:hAnsi="Avenir Next" w:cs="Arial"/>
          <w:color w:val="7B7B7B" w:themeColor="accent3" w:themeShade="BF"/>
          <w:sz w:val="22"/>
          <w:szCs w:val="22"/>
          <w:lang w:val="en-GB"/>
        </w:rPr>
        <w:t xml:space="preserve">is restriction, presumably to ensure </w:t>
      </w:r>
      <w:r w:rsidR="00321238">
        <w:rPr>
          <w:rFonts w:ascii="Avenir Next" w:hAnsi="Avenir Next" w:cs="Arial"/>
          <w:color w:val="7B7B7B" w:themeColor="accent3" w:themeShade="BF"/>
          <w:sz w:val="22"/>
          <w:szCs w:val="22"/>
          <w:lang w:val="en-GB"/>
        </w:rPr>
        <w:t>uninterrupted function of the financial markets.</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7FFC67FB" w:rsidR="00E41578" w:rsidRPr="006D3267" w:rsidRDefault="00C05BEC" w:rsidP="00E41578">
      <w:pPr>
        <w:jc w:val="both"/>
        <w:rPr>
          <w:rFonts w:ascii="Avenir Next" w:hAnsi="Avenir Next" w:cs="Arial"/>
          <w:vanish/>
          <w:color w:val="7B7B7B" w:themeColor="accent3" w:themeShade="BF"/>
          <w:sz w:val="22"/>
          <w:szCs w:val="22"/>
          <w:lang w:val="en-GB"/>
          <w:specVanish/>
        </w:rPr>
      </w:pPr>
      <w:r>
        <w:rPr>
          <w:rFonts w:ascii="Avenir Next" w:hAnsi="Avenir Next" w:cs="Arial"/>
          <w:color w:val="7B7B7B" w:themeColor="accent3" w:themeShade="BF"/>
          <w:sz w:val="22"/>
          <w:szCs w:val="22"/>
          <w:lang w:val="en-GB"/>
        </w:rPr>
        <w:t xml:space="preserve">Since I </w:t>
      </w:r>
      <w:r w:rsidR="005806CF">
        <w:rPr>
          <w:rFonts w:ascii="Avenir Next" w:hAnsi="Avenir Next" w:cs="Arial"/>
          <w:color w:val="7B7B7B" w:themeColor="accent3" w:themeShade="BF"/>
          <w:sz w:val="22"/>
          <w:szCs w:val="22"/>
          <w:lang w:val="en-GB"/>
        </w:rPr>
        <w:t xml:space="preserve">have not had direct exposure to US bankruptcy courts, in the first instance I would reach out to local counsel </w:t>
      </w:r>
      <w:r w:rsidR="00CC3725">
        <w:rPr>
          <w:rFonts w:ascii="Avenir Next" w:hAnsi="Avenir Next" w:cs="Arial"/>
          <w:color w:val="7B7B7B" w:themeColor="accent3" w:themeShade="BF"/>
          <w:sz w:val="22"/>
          <w:szCs w:val="22"/>
          <w:lang w:val="en-GB"/>
        </w:rPr>
        <w:t>to advise me on the necessary procedures</w:t>
      </w:r>
      <w:r w:rsidR="008D60C5">
        <w:rPr>
          <w:rFonts w:ascii="Avenir Next" w:hAnsi="Avenir Next" w:cs="Arial"/>
          <w:color w:val="7B7B7B" w:themeColor="accent3" w:themeShade="BF"/>
          <w:sz w:val="22"/>
          <w:szCs w:val="22"/>
          <w:lang w:val="en-GB"/>
        </w:rPr>
        <w:t xml:space="preserve">. In </w:t>
      </w:r>
      <w:r w:rsidR="00F67768">
        <w:rPr>
          <w:rFonts w:ascii="Avenir Next" w:hAnsi="Avenir Next" w:cs="Arial"/>
          <w:color w:val="7B7B7B" w:themeColor="accent3" w:themeShade="BF"/>
          <w:sz w:val="22"/>
          <w:szCs w:val="22"/>
          <w:lang w:val="en-GB"/>
        </w:rPr>
        <w:t>the background I would consult the Bankruptcy Rules</w:t>
      </w:r>
      <w:r w:rsidR="008E41BA">
        <w:rPr>
          <w:rFonts w:ascii="Avenir Next" w:hAnsi="Avenir Next" w:cs="Arial"/>
          <w:color w:val="7B7B7B" w:themeColor="accent3" w:themeShade="BF"/>
          <w:sz w:val="22"/>
          <w:szCs w:val="22"/>
          <w:lang w:val="en-GB"/>
        </w:rPr>
        <w:t xml:space="preserve"> and the Federal Rules of Civil Procedure. Finally, depending on the actual jurisdiction </w:t>
      </w:r>
      <w:r w:rsidR="00C0461D">
        <w:rPr>
          <w:rFonts w:ascii="Avenir Next" w:hAnsi="Avenir Next" w:cs="Arial"/>
          <w:color w:val="7B7B7B" w:themeColor="accent3" w:themeShade="BF"/>
          <w:sz w:val="22"/>
          <w:szCs w:val="22"/>
          <w:lang w:val="en-GB"/>
        </w:rPr>
        <w:t xml:space="preserve">(i.e., state where the case is going to be heard) </w:t>
      </w:r>
      <w:r w:rsidR="008E41BA">
        <w:rPr>
          <w:rFonts w:ascii="Avenir Next" w:hAnsi="Avenir Next" w:cs="Arial"/>
          <w:color w:val="7B7B7B" w:themeColor="accent3" w:themeShade="BF"/>
          <w:sz w:val="22"/>
          <w:szCs w:val="22"/>
          <w:lang w:val="en-GB"/>
        </w:rPr>
        <w:t xml:space="preserve">I would </w:t>
      </w:r>
      <w:r w:rsidR="00C0461D">
        <w:rPr>
          <w:rFonts w:ascii="Avenir Next" w:hAnsi="Avenir Next" w:cs="Arial"/>
          <w:color w:val="7B7B7B" w:themeColor="accent3" w:themeShade="BF"/>
          <w:sz w:val="22"/>
          <w:szCs w:val="22"/>
          <w:lang w:val="en-GB"/>
        </w:rPr>
        <w:t>also reference</w:t>
      </w:r>
      <w:r w:rsidR="00D73EA6">
        <w:rPr>
          <w:rFonts w:ascii="Avenir Next" w:hAnsi="Avenir Next" w:cs="Arial"/>
          <w:color w:val="7B7B7B" w:themeColor="accent3" w:themeShade="BF"/>
          <w:sz w:val="22"/>
          <w:szCs w:val="22"/>
          <w:lang w:val="en-GB"/>
        </w:rPr>
        <w:t xml:space="preserve"> local state’s</w:t>
      </w:r>
      <w:r w:rsidR="00C0461D">
        <w:rPr>
          <w:rFonts w:ascii="Avenir Next" w:hAnsi="Avenir Next" w:cs="Arial"/>
          <w:color w:val="7B7B7B" w:themeColor="accent3" w:themeShade="BF"/>
          <w:sz w:val="22"/>
          <w:szCs w:val="22"/>
          <w:lang w:val="en-GB"/>
        </w:rPr>
        <w:t xml:space="preserve"> bankruptcy court rules and </w:t>
      </w:r>
      <w:r w:rsidR="00C13B76">
        <w:rPr>
          <w:rFonts w:ascii="Avenir Next" w:hAnsi="Avenir Next" w:cs="Arial"/>
          <w:color w:val="7B7B7B" w:themeColor="accent3" w:themeShade="BF"/>
          <w:sz w:val="22"/>
          <w:szCs w:val="22"/>
          <w:lang w:val="en-GB"/>
        </w:rPr>
        <w:t xml:space="preserve">the background of the relevant judge, </w:t>
      </w:r>
      <w:proofErr w:type="gramStart"/>
      <w:r w:rsidR="00C13B76">
        <w:rPr>
          <w:rFonts w:ascii="Avenir Next" w:hAnsi="Avenir Next" w:cs="Arial"/>
          <w:color w:val="7B7B7B" w:themeColor="accent3" w:themeShade="BF"/>
          <w:sz w:val="22"/>
          <w:szCs w:val="22"/>
          <w:lang w:val="en-GB"/>
        </w:rPr>
        <w:t>similar to</w:t>
      </w:r>
      <w:proofErr w:type="gramEnd"/>
      <w:r w:rsidR="00C13B76">
        <w:rPr>
          <w:rFonts w:ascii="Avenir Next" w:hAnsi="Avenir Next" w:cs="Arial"/>
          <w:color w:val="7B7B7B" w:themeColor="accent3" w:themeShade="BF"/>
          <w:sz w:val="22"/>
          <w:szCs w:val="22"/>
          <w:lang w:val="en-GB"/>
        </w:rPr>
        <w:t xml:space="preserve"> the process </w:t>
      </w:r>
      <w:r w:rsidR="00CC320A">
        <w:rPr>
          <w:rFonts w:ascii="Avenir Next" w:hAnsi="Avenir Next" w:cs="Arial"/>
          <w:color w:val="7B7B7B" w:themeColor="accent3" w:themeShade="BF"/>
          <w:sz w:val="22"/>
          <w:szCs w:val="22"/>
          <w:lang w:val="en-GB"/>
        </w:rPr>
        <w:t xml:space="preserve">Kirkland </w:t>
      </w:r>
      <w:r w:rsidR="00030684">
        <w:rPr>
          <w:rFonts w:ascii="Avenir Next" w:hAnsi="Avenir Next" w:cs="Arial"/>
          <w:color w:val="7B7B7B" w:themeColor="accent3" w:themeShade="BF"/>
          <w:sz w:val="22"/>
          <w:szCs w:val="22"/>
          <w:lang w:val="en-GB"/>
        </w:rPr>
        <w:t xml:space="preserve">&amp; Ellis </w:t>
      </w:r>
      <w:r w:rsidR="007A7074">
        <w:rPr>
          <w:rFonts w:ascii="Avenir Next" w:hAnsi="Avenir Next" w:cs="Arial"/>
          <w:color w:val="7B7B7B" w:themeColor="accent3" w:themeShade="BF"/>
          <w:sz w:val="22"/>
          <w:szCs w:val="22"/>
          <w:lang w:val="en-GB"/>
        </w:rPr>
        <w:t xml:space="preserve">and Jones Day undertook prior to the bankruptcy of Caesar’s Entertainment, when jurisdiction (Delaware vs. Illinois) was being debated. </w:t>
      </w:r>
    </w:p>
    <w:p w14:paraId="4EC1CD7D" w14:textId="30A8BFDA" w:rsidR="00622C36" w:rsidRDefault="006D3267" w:rsidP="00622C36">
      <w:pPr>
        <w:pStyle w:val="AODocTxt"/>
        <w:spacing w:before="0" w:line="240" w:lineRule="auto"/>
        <w:rPr>
          <w:rFonts w:ascii="Avenir Next" w:hAnsi="Avenir Next"/>
        </w:rPr>
      </w:pPr>
      <w:r>
        <w:rPr>
          <w:rFonts w:ascii="Avenir Next" w:hAnsi="Avenir Next"/>
        </w:rPr>
        <w:t xml:space="preserve"> </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3B91159F" w14:textId="77777777" w:rsidR="00BD3091" w:rsidRDefault="00B46C2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Absolute priority rule relates to </w:t>
      </w:r>
      <w:r w:rsidR="003F0C29">
        <w:rPr>
          <w:rFonts w:ascii="Avenir Next" w:hAnsi="Avenir Next" w:cs="Arial"/>
          <w:color w:val="7B7B7B" w:themeColor="accent3" w:themeShade="BF"/>
          <w:sz w:val="22"/>
          <w:szCs w:val="22"/>
          <w:lang w:val="en-GB"/>
        </w:rPr>
        <w:t>certain employee expenses (</w:t>
      </w:r>
      <w:r w:rsidR="00786719">
        <w:rPr>
          <w:rFonts w:ascii="Avenir Next" w:hAnsi="Avenir Next" w:cs="Arial"/>
          <w:color w:val="7B7B7B" w:themeColor="accent3" w:themeShade="BF"/>
          <w:sz w:val="22"/>
          <w:szCs w:val="22"/>
          <w:lang w:val="en-GB"/>
        </w:rPr>
        <w:t>e.g.,</w:t>
      </w:r>
      <w:r w:rsidR="003F0C29">
        <w:rPr>
          <w:rFonts w:ascii="Avenir Next" w:hAnsi="Avenir Next" w:cs="Arial"/>
          <w:color w:val="7B7B7B" w:themeColor="accent3" w:themeShade="BF"/>
          <w:sz w:val="22"/>
          <w:szCs w:val="22"/>
          <w:lang w:val="en-GB"/>
        </w:rPr>
        <w:t xml:space="preserve"> unpaid salaries and </w:t>
      </w:r>
      <w:r w:rsidR="004058A0">
        <w:rPr>
          <w:rFonts w:ascii="Avenir Next" w:hAnsi="Avenir Next" w:cs="Arial"/>
          <w:color w:val="7B7B7B" w:themeColor="accent3" w:themeShade="BF"/>
          <w:sz w:val="22"/>
          <w:szCs w:val="22"/>
          <w:lang w:val="en-GB"/>
        </w:rPr>
        <w:t xml:space="preserve">contributions to the employee benefits plan 180 days prior </w:t>
      </w:r>
      <w:r w:rsidR="00A17B3A">
        <w:rPr>
          <w:rFonts w:ascii="Avenir Next" w:hAnsi="Avenir Next" w:cs="Arial"/>
          <w:color w:val="7B7B7B" w:themeColor="accent3" w:themeShade="BF"/>
          <w:sz w:val="22"/>
          <w:szCs w:val="22"/>
          <w:lang w:val="en-GB"/>
        </w:rPr>
        <w:t xml:space="preserve">to the </w:t>
      </w:r>
      <w:r w:rsidR="001B1543">
        <w:rPr>
          <w:rFonts w:ascii="Avenir Next" w:hAnsi="Avenir Next" w:cs="Arial"/>
          <w:color w:val="7B7B7B" w:themeColor="accent3" w:themeShade="BF"/>
          <w:sz w:val="22"/>
          <w:szCs w:val="22"/>
          <w:lang w:val="en-GB"/>
        </w:rPr>
        <w:t xml:space="preserve">petition date or </w:t>
      </w:r>
      <w:r w:rsidR="00A17B3A">
        <w:rPr>
          <w:rFonts w:ascii="Avenir Next" w:hAnsi="Avenir Next" w:cs="Arial"/>
          <w:color w:val="7B7B7B" w:themeColor="accent3" w:themeShade="BF"/>
          <w:sz w:val="22"/>
          <w:szCs w:val="22"/>
          <w:lang w:val="en-GB"/>
        </w:rPr>
        <w:t>cessation of business</w:t>
      </w:r>
      <w:r w:rsidR="001B1543">
        <w:rPr>
          <w:rFonts w:ascii="Avenir Next" w:hAnsi="Avenir Next" w:cs="Arial"/>
          <w:color w:val="7B7B7B" w:themeColor="accent3" w:themeShade="BF"/>
          <w:sz w:val="22"/>
          <w:szCs w:val="22"/>
          <w:lang w:val="en-GB"/>
        </w:rPr>
        <w:t>)</w:t>
      </w:r>
      <w:r w:rsidR="00786719">
        <w:rPr>
          <w:rFonts w:ascii="Avenir Next" w:hAnsi="Avenir Next" w:cs="Arial"/>
          <w:color w:val="7B7B7B" w:themeColor="accent3" w:themeShade="BF"/>
          <w:sz w:val="22"/>
          <w:szCs w:val="22"/>
          <w:lang w:val="en-GB"/>
        </w:rPr>
        <w:t xml:space="preserve">. </w:t>
      </w:r>
      <w:r w:rsidR="005359D0">
        <w:rPr>
          <w:rFonts w:ascii="Avenir Next" w:hAnsi="Avenir Next" w:cs="Arial"/>
          <w:color w:val="7B7B7B" w:themeColor="accent3" w:themeShade="BF"/>
          <w:sz w:val="22"/>
          <w:szCs w:val="22"/>
          <w:lang w:val="en-GB"/>
        </w:rPr>
        <w:t>Specifically, employees cannot be made worse off under a reorganisation (Chapter 11) than they would be under a Chapter 7 proceeding</w:t>
      </w:r>
      <w:r w:rsidR="006B7D8D">
        <w:rPr>
          <w:rFonts w:ascii="Avenir Next" w:hAnsi="Avenir Next" w:cs="Arial"/>
          <w:color w:val="7B7B7B" w:themeColor="accent3" w:themeShade="BF"/>
          <w:sz w:val="22"/>
          <w:szCs w:val="22"/>
          <w:lang w:val="en-GB"/>
        </w:rPr>
        <w:t xml:space="preserve">, unless they consent to such terms. In a Chapter 7 liquidation, employees are given administrative </w:t>
      </w:r>
      <w:r w:rsidR="00BC1495">
        <w:rPr>
          <w:rFonts w:ascii="Avenir Next" w:hAnsi="Avenir Next" w:cs="Arial"/>
          <w:color w:val="7B7B7B" w:themeColor="accent3" w:themeShade="BF"/>
          <w:sz w:val="22"/>
          <w:szCs w:val="22"/>
          <w:lang w:val="en-GB"/>
        </w:rPr>
        <w:t>priority</w:t>
      </w:r>
      <w:r w:rsidR="003517BE">
        <w:rPr>
          <w:rFonts w:ascii="Avenir Next" w:hAnsi="Avenir Next" w:cs="Arial"/>
          <w:color w:val="7B7B7B" w:themeColor="accent3" w:themeShade="BF"/>
          <w:sz w:val="22"/>
          <w:szCs w:val="22"/>
          <w:lang w:val="en-GB"/>
        </w:rPr>
        <w:t xml:space="preserve"> relative to general unsecured creditors. </w:t>
      </w:r>
    </w:p>
    <w:p w14:paraId="770D8A6A" w14:textId="77777777" w:rsidR="00BD3091" w:rsidRDefault="00BD3091" w:rsidP="00E41578">
      <w:pPr>
        <w:jc w:val="both"/>
        <w:rPr>
          <w:rFonts w:ascii="Avenir Next" w:hAnsi="Avenir Next" w:cs="Arial"/>
          <w:color w:val="7B7B7B" w:themeColor="accent3" w:themeShade="BF"/>
          <w:sz w:val="22"/>
          <w:szCs w:val="22"/>
          <w:lang w:val="en-GB"/>
        </w:rPr>
      </w:pPr>
    </w:p>
    <w:p w14:paraId="2F903105" w14:textId="76166A0B" w:rsidR="00BA6EAC" w:rsidRDefault="00BD309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section 507 (</w:t>
      </w:r>
      <w:r w:rsidR="00C36C73">
        <w:rPr>
          <w:rFonts w:ascii="Avenir Next" w:hAnsi="Avenir Next" w:cs="Arial"/>
          <w:color w:val="7B7B7B" w:themeColor="accent3" w:themeShade="BF"/>
          <w:sz w:val="22"/>
          <w:szCs w:val="22"/>
          <w:lang w:val="en-GB"/>
        </w:rPr>
        <w:t>a</w:t>
      </w:r>
      <w:r w:rsidR="008C15CB">
        <w:rPr>
          <w:rFonts w:ascii="Avenir Next" w:hAnsi="Avenir Next" w:cs="Arial"/>
          <w:color w:val="7B7B7B" w:themeColor="accent3" w:themeShade="BF"/>
          <w:sz w:val="22"/>
          <w:szCs w:val="22"/>
          <w:lang w:val="en-GB"/>
        </w:rPr>
        <w:t>)</w:t>
      </w:r>
      <w:r w:rsidR="001F420A">
        <w:rPr>
          <w:rFonts w:ascii="Avenir Next" w:hAnsi="Avenir Next" w:cs="Arial"/>
          <w:color w:val="7B7B7B" w:themeColor="accent3" w:themeShade="BF"/>
          <w:sz w:val="22"/>
          <w:szCs w:val="22"/>
          <w:lang w:val="en-GB"/>
        </w:rPr>
        <w:t xml:space="preserve"> </w:t>
      </w:r>
      <w:r w:rsidR="00004C14">
        <w:rPr>
          <w:rFonts w:ascii="Avenir Next" w:hAnsi="Avenir Next" w:cs="Arial"/>
          <w:color w:val="7B7B7B" w:themeColor="accent3" w:themeShade="BF"/>
          <w:sz w:val="22"/>
          <w:szCs w:val="22"/>
          <w:lang w:val="en-GB"/>
        </w:rPr>
        <w:t>of the US Bankruptcy Code</w:t>
      </w:r>
      <w:r w:rsidR="00BA6EAC">
        <w:rPr>
          <w:rFonts w:ascii="Avenir Next" w:hAnsi="Avenir Next" w:cs="Arial"/>
          <w:color w:val="7B7B7B" w:themeColor="accent3" w:themeShade="BF"/>
          <w:sz w:val="22"/>
          <w:szCs w:val="22"/>
          <w:lang w:val="en-GB"/>
        </w:rPr>
        <w:t>:</w:t>
      </w:r>
    </w:p>
    <w:p w14:paraId="4BD28B22" w14:textId="77777777" w:rsidR="00BA6EAC" w:rsidRDefault="00BA6EAC" w:rsidP="00E41578">
      <w:pPr>
        <w:jc w:val="both"/>
        <w:rPr>
          <w:rFonts w:ascii="Avenir Next" w:hAnsi="Avenir Next" w:cs="Arial"/>
          <w:color w:val="7B7B7B" w:themeColor="accent3" w:themeShade="BF"/>
          <w:sz w:val="22"/>
          <w:szCs w:val="22"/>
          <w:lang w:val="en-GB"/>
        </w:rPr>
      </w:pPr>
    </w:p>
    <w:p w14:paraId="1F6078B6" w14:textId="62AA2A45" w:rsidR="00E41578" w:rsidRDefault="00BA6EA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(4) </w:t>
      </w:r>
      <w:r w:rsidR="006B7D8D">
        <w:rPr>
          <w:rFonts w:ascii="Avenir Next" w:hAnsi="Avenir Next" w:cs="Arial"/>
          <w:color w:val="7B7B7B" w:themeColor="accent3" w:themeShade="BF"/>
          <w:sz w:val="22"/>
          <w:szCs w:val="22"/>
          <w:lang w:val="en-GB"/>
        </w:rPr>
        <w:t xml:space="preserve"> </w:t>
      </w:r>
      <w:r w:rsidR="00A17B3A">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wages, </w:t>
      </w:r>
      <w:proofErr w:type="gramStart"/>
      <w:r>
        <w:rPr>
          <w:rFonts w:ascii="Avenir Next" w:hAnsi="Avenir Next" w:cs="Arial"/>
          <w:color w:val="7B7B7B" w:themeColor="accent3" w:themeShade="BF"/>
          <w:sz w:val="22"/>
          <w:szCs w:val="22"/>
          <w:lang w:val="en-GB"/>
        </w:rPr>
        <w:t>salaries</w:t>
      </w:r>
      <w:proofErr w:type="gramEnd"/>
      <w:r>
        <w:rPr>
          <w:rFonts w:ascii="Avenir Next" w:hAnsi="Avenir Next" w:cs="Arial"/>
          <w:color w:val="7B7B7B" w:themeColor="accent3" w:themeShade="BF"/>
          <w:sz w:val="22"/>
          <w:szCs w:val="22"/>
          <w:lang w:val="en-GB"/>
        </w:rPr>
        <w:t xml:space="preserve"> or commissions (including vacation</w:t>
      </w:r>
      <w:r w:rsidR="00C01521">
        <w:rPr>
          <w:rFonts w:ascii="Avenir Next" w:hAnsi="Avenir Next" w:cs="Arial"/>
          <w:color w:val="7B7B7B" w:themeColor="accent3" w:themeShade="BF"/>
          <w:sz w:val="22"/>
          <w:szCs w:val="22"/>
          <w:lang w:val="en-GB"/>
        </w:rPr>
        <w:t>, severance and sick leave pay); and</w:t>
      </w:r>
    </w:p>
    <w:p w14:paraId="35248F14" w14:textId="67FF7CD3" w:rsidR="00C01521" w:rsidRDefault="00C0152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(5)   contributions to employee benefit plans</w:t>
      </w:r>
    </w:p>
    <w:p w14:paraId="4F64A60F" w14:textId="63436D81" w:rsidR="00AA10A6" w:rsidRDefault="00AA10A6" w:rsidP="00E41578">
      <w:pPr>
        <w:jc w:val="both"/>
        <w:rPr>
          <w:rFonts w:ascii="Avenir Next" w:hAnsi="Avenir Next" w:cs="Arial"/>
          <w:color w:val="7B7B7B" w:themeColor="accent3" w:themeShade="BF"/>
          <w:sz w:val="22"/>
          <w:szCs w:val="22"/>
          <w:lang w:val="en-GB"/>
        </w:rPr>
      </w:pPr>
    </w:p>
    <w:p w14:paraId="2CCCE8D2" w14:textId="149B6A71" w:rsidR="00AA10A6" w:rsidRDefault="00D14BA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w:t>
      </w:r>
      <w:r w:rsidR="00AA10A6">
        <w:rPr>
          <w:rFonts w:ascii="Avenir Next" w:hAnsi="Avenir Next" w:cs="Arial"/>
          <w:color w:val="7B7B7B" w:themeColor="accent3" w:themeShade="BF"/>
          <w:sz w:val="22"/>
          <w:szCs w:val="22"/>
          <w:lang w:val="en-GB"/>
        </w:rPr>
        <w:t xml:space="preserve">ould be considered priority </w:t>
      </w:r>
      <w:r>
        <w:rPr>
          <w:rFonts w:ascii="Avenir Next" w:hAnsi="Avenir Next" w:cs="Arial"/>
          <w:color w:val="7B7B7B" w:themeColor="accent3" w:themeShade="BF"/>
          <w:sz w:val="22"/>
          <w:szCs w:val="22"/>
          <w:lang w:val="en-GB"/>
        </w:rPr>
        <w:t xml:space="preserve">claims, to be settled immediately after </w:t>
      </w:r>
      <w:r w:rsidR="00CE420B">
        <w:rPr>
          <w:rFonts w:ascii="Avenir Next" w:hAnsi="Avenir Next" w:cs="Arial"/>
          <w:color w:val="7B7B7B" w:themeColor="accent3" w:themeShade="BF"/>
          <w:sz w:val="22"/>
          <w:szCs w:val="22"/>
          <w:lang w:val="en-GB"/>
        </w:rPr>
        <w:t>domestic support obligations, “super-priority” claims, administrative expenses and claims arising in involuntary bankruptcy cases.</w:t>
      </w:r>
      <w:r w:rsidR="00C26537">
        <w:rPr>
          <w:rStyle w:val="FootnoteReference"/>
          <w:rFonts w:ascii="Avenir Next" w:hAnsi="Avenir Next" w:cs="Arial"/>
          <w:color w:val="7B7B7B" w:themeColor="accent3" w:themeShade="BF"/>
          <w:sz w:val="22"/>
          <w:szCs w:val="22"/>
          <w:lang w:val="en-GB"/>
        </w:rPr>
        <w:footnoteReference w:id="1"/>
      </w:r>
    </w:p>
    <w:p w14:paraId="294F1F6F" w14:textId="5B75A982" w:rsidR="000505C4" w:rsidRDefault="000505C4" w:rsidP="00E41578">
      <w:pPr>
        <w:jc w:val="both"/>
        <w:rPr>
          <w:rFonts w:ascii="Avenir Next" w:hAnsi="Avenir Next" w:cs="Arial"/>
          <w:color w:val="7B7B7B" w:themeColor="accent3" w:themeShade="BF"/>
          <w:sz w:val="22"/>
          <w:szCs w:val="22"/>
          <w:lang w:val="en-GB"/>
        </w:rPr>
      </w:pPr>
    </w:p>
    <w:p w14:paraId="4C1798D4" w14:textId="470BDCCA" w:rsidR="00E41578" w:rsidRDefault="000505C4" w:rsidP="000505C4">
      <w:pPr>
        <w:jc w:val="both"/>
        <w:rPr>
          <w:rFonts w:ascii="Avenir Next" w:hAnsi="Avenir Next"/>
        </w:rPr>
      </w:pPr>
      <w:r>
        <w:rPr>
          <w:rFonts w:ascii="Avenir Next" w:hAnsi="Avenir Next" w:cs="Arial"/>
          <w:color w:val="7B7B7B" w:themeColor="accent3" w:themeShade="BF"/>
          <w:sz w:val="22"/>
          <w:szCs w:val="22"/>
          <w:lang w:val="en-GB"/>
        </w:rPr>
        <w:t xml:space="preserve">As mentioned earlier, the absolute priority rule can be deviated from if the </w:t>
      </w:r>
      <w:proofErr w:type="gramStart"/>
      <w:r>
        <w:rPr>
          <w:rFonts w:ascii="Avenir Next" w:hAnsi="Avenir Next" w:cs="Arial"/>
          <w:color w:val="7B7B7B" w:themeColor="accent3" w:themeShade="BF"/>
          <w:sz w:val="22"/>
          <w:szCs w:val="22"/>
          <w:lang w:val="en-GB"/>
        </w:rPr>
        <w:t>employees</w:t>
      </w:r>
      <w:proofErr w:type="gramEnd"/>
      <w:r>
        <w:rPr>
          <w:rFonts w:ascii="Avenir Next" w:hAnsi="Avenir Next" w:cs="Arial"/>
          <w:color w:val="7B7B7B" w:themeColor="accent3" w:themeShade="BF"/>
          <w:sz w:val="22"/>
          <w:szCs w:val="22"/>
          <w:lang w:val="en-GB"/>
        </w:rPr>
        <w:t xml:space="preserve"> consent</w:t>
      </w:r>
      <w:r w:rsidR="00F10FCC">
        <w:rPr>
          <w:rFonts w:ascii="Avenir Next" w:hAnsi="Avenir Next" w:cs="Arial"/>
          <w:color w:val="7B7B7B" w:themeColor="accent3" w:themeShade="BF"/>
          <w:sz w:val="22"/>
          <w:szCs w:val="22"/>
          <w:lang w:val="en-GB"/>
        </w:rPr>
        <w:t>, and this would normally happen if they were</w:t>
      </w:r>
      <w:r w:rsidR="0043324A">
        <w:rPr>
          <w:rFonts w:ascii="Avenir Next" w:hAnsi="Avenir Next" w:cs="Arial"/>
          <w:color w:val="7B7B7B" w:themeColor="accent3" w:themeShade="BF"/>
          <w:sz w:val="22"/>
          <w:szCs w:val="22"/>
          <w:lang w:val="en-GB"/>
        </w:rPr>
        <w:t xml:space="preserve"> provided with adequate incentives (e.g., termination in their current role and </w:t>
      </w:r>
      <w:r w:rsidR="001D2571">
        <w:rPr>
          <w:rFonts w:ascii="Avenir Next" w:hAnsi="Avenir Next" w:cs="Arial"/>
          <w:color w:val="7B7B7B" w:themeColor="accent3" w:themeShade="BF"/>
          <w:sz w:val="22"/>
          <w:szCs w:val="22"/>
          <w:lang w:val="en-GB"/>
        </w:rPr>
        <w:t>a new employment agreement under revised terms that aligns their compensation better with the company’s long term performance).</w:t>
      </w:r>
    </w:p>
    <w:p w14:paraId="0E35121C" w14:textId="77777777" w:rsidR="000505C4" w:rsidRPr="00622C36" w:rsidRDefault="000505C4"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72343C81" w14:textId="77777777" w:rsidR="005C5F07" w:rsidRDefault="00F86D6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Broadly speaking a bankruptcy estate will have secured and unsecured creditors</w:t>
      </w:r>
      <w:r w:rsidR="00644E3A">
        <w:rPr>
          <w:rFonts w:ascii="Avenir Next" w:hAnsi="Avenir Next" w:cs="Arial"/>
          <w:color w:val="7B7B7B" w:themeColor="accent3" w:themeShade="BF"/>
          <w:sz w:val="22"/>
          <w:szCs w:val="22"/>
          <w:lang w:val="en-GB"/>
        </w:rPr>
        <w:t xml:space="preserve">. Priming refers to using estate assets that have already been secured to </w:t>
      </w:r>
      <w:r w:rsidR="0093445A">
        <w:rPr>
          <w:rFonts w:ascii="Avenir Next" w:hAnsi="Avenir Next" w:cs="Arial"/>
          <w:color w:val="7B7B7B" w:themeColor="accent3" w:themeShade="BF"/>
          <w:sz w:val="22"/>
          <w:szCs w:val="22"/>
          <w:lang w:val="en-GB"/>
        </w:rPr>
        <w:t>a</w:t>
      </w:r>
      <w:r w:rsidR="00644E3A">
        <w:rPr>
          <w:rFonts w:ascii="Avenir Next" w:hAnsi="Avenir Next" w:cs="Arial"/>
          <w:color w:val="7B7B7B" w:themeColor="accent3" w:themeShade="BF"/>
          <w:sz w:val="22"/>
          <w:szCs w:val="22"/>
          <w:lang w:val="en-GB"/>
        </w:rPr>
        <w:t xml:space="preserve"> creditor, to raise</w:t>
      </w:r>
      <w:r w:rsidR="0093445A">
        <w:rPr>
          <w:rFonts w:ascii="Avenir Next" w:hAnsi="Avenir Next" w:cs="Arial"/>
          <w:color w:val="7B7B7B" w:themeColor="accent3" w:themeShade="BF"/>
          <w:sz w:val="22"/>
          <w:szCs w:val="22"/>
          <w:lang w:val="en-GB"/>
        </w:rPr>
        <w:t xml:space="preserve"> additional funds </w:t>
      </w:r>
      <w:r w:rsidR="00FE0466">
        <w:rPr>
          <w:rFonts w:ascii="Avenir Next" w:hAnsi="Avenir Next" w:cs="Arial"/>
          <w:color w:val="7B7B7B" w:themeColor="accent3" w:themeShade="BF"/>
          <w:sz w:val="22"/>
          <w:szCs w:val="22"/>
          <w:lang w:val="en-GB"/>
        </w:rPr>
        <w:t xml:space="preserve">in the form of DIP financing. Rationale for such a transaction is that the debtor is unable to </w:t>
      </w:r>
      <w:r w:rsidR="00C95C5C">
        <w:rPr>
          <w:rFonts w:ascii="Avenir Next" w:hAnsi="Avenir Next" w:cs="Arial"/>
          <w:color w:val="7B7B7B" w:themeColor="accent3" w:themeShade="BF"/>
          <w:sz w:val="22"/>
          <w:szCs w:val="22"/>
          <w:lang w:val="en-GB"/>
        </w:rPr>
        <w:t>either generate liquidity (internally) or find alternative sources of funding, and therefore to maximize the overall value of the bankruptcy estate (by not disrupting operations or forcing the debtor</w:t>
      </w:r>
      <w:r w:rsidR="00321BEF">
        <w:rPr>
          <w:rFonts w:ascii="Avenir Next" w:hAnsi="Avenir Next" w:cs="Arial"/>
          <w:color w:val="7B7B7B" w:themeColor="accent3" w:themeShade="BF"/>
          <w:sz w:val="22"/>
          <w:szCs w:val="22"/>
          <w:lang w:val="en-GB"/>
        </w:rPr>
        <w:t xml:space="preserve"> to </w:t>
      </w:r>
      <w:proofErr w:type="gramStart"/>
      <w:r w:rsidR="00321BEF">
        <w:rPr>
          <w:rFonts w:ascii="Avenir Next" w:hAnsi="Avenir Next" w:cs="Arial"/>
          <w:color w:val="7B7B7B" w:themeColor="accent3" w:themeShade="BF"/>
          <w:sz w:val="22"/>
          <w:szCs w:val="22"/>
          <w:lang w:val="en-GB"/>
        </w:rPr>
        <w:t>enter into</w:t>
      </w:r>
      <w:proofErr w:type="gramEnd"/>
      <w:r w:rsidR="00321BEF">
        <w:rPr>
          <w:rFonts w:ascii="Avenir Next" w:hAnsi="Avenir Next" w:cs="Arial"/>
          <w:color w:val="7B7B7B" w:themeColor="accent3" w:themeShade="BF"/>
          <w:sz w:val="22"/>
          <w:szCs w:val="22"/>
          <w:lang w:val="en-GB"/>
        </w:rPr>
        <w:t xml:space="preserve"> Chapter 7 proceedings) it is preferrable to “prime” already secured assets, providing that </w:t>
      </w:r>
      <w:r w:rsidR="0066433E">
        <w:rPr>
          <w:rFonts w:ascii="Avenir Next" w:hAnsi="Avenir Next" w:cs="Arial"/>
          <w:color w:val="7B7B7B" w:themeColor="accent3" w:themeShade="BF"/>
          <w:sz w:val="22"/>
          <w:szCs w:val="22"/>
          <w:lang w:val="en-GB"/>
        </w:rPr>
        <w:t xml:space="preserve">the secured creditor is not made worse off and is adequately protected. </w:t>
      </w:r>
    </w:p>
    <w:p w14:paraId="422B75F4" w14:textId="77777777" w:rsidR="005C5F07" w:rsidRDefault="005C5F07" w:rsidP="00E41578">
      <w:pPr>
        <w:jc w:val="both"/>
        <w:rPr>
          <w:rFonts w:ascii="Avenir Next" w:hAnsi="Avenir Next" w:cs="Arial"/>
          <w:color w:val="7B7B7B" w:themeColor="accent3" w:themeShade="BF"/>
          <w:sz w:val="22"/>
          <w:szCs w:val="22"/>
          <w:lang w:val="en-GB"/>
        </w:rPr>
      </w:pPr>
    </w:p>
    <w:p w14:paraId="009F8FB2" w14:textId="75E55A3D" w:rsidR="00E41578" w:rsidRDefault="0066433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Conside</w:t>
      </w:r>
      <w:r w:rsidR="009C3EB4">
        <w:rPr>
          <w:rFonts w:ascii="Avenir Next" w:hAnsi="Avenir Next" w:cs="Arial"/>
          <w:color w:val="7B7B7B" w:themeColor="accent3" w:themeShade="BF"/>
          <w:sz w:val="22"/>
          <w:szCs w:val="22"/>
          <w:lang w:val="en-GB"/>
        </w:rPr>
        <w:t>ring that the DIP funder generally sits at the top of the waterfall ahead of pre-petition creditors (secured and unsecured),</w:t>
      </w:r>
      <w:r w:rsidR="00644E3A">
        <w:rPr>
          <w:rFonts w:ascii="Avenir Next" w:hAnsi="Avenir Next" w:cs="Arial"/>
          <w:color w:val="7B7B7B" w:themeColor="accent3" w:themeShade="BF"/>
          <w:sz w:val="22"/>
          <w:szCs w:val="22"/>
          <w:lang w:val="en-GB"/>
        </w:rPr>
        <w:t xml:space="preserve"> </w:t>
      </w:r>
      <w:r w:rsidR="00725E3E">
        <w:rPr>
          <w:rFonts w:ascii="Avenir Next" w:hAnsi="Avenir Next" w:cs="Arial"/>
          <w:color w:val="7B7B7B" w:themeColor="accent3" w:themeShade="BF"/>
          <w:sz w:val="22"/>
          <w:szCs w:val="22"/>
          <w:lang w:val="en-GB"/>
        </w:rPr>
        <w:t xml:space="preserve">this provides an incentive to existing creditors to extend DIP financing and </w:t>
      </w:r>
      <w:r w:rsidR="00567F63">
        <w:rPr>
          <w:rFonts w:ascii="Avenir Next" w:hAnsi="Avenir Next" w:cs="Arial"/>
          <w:color w:val="7B7B7B" w:themeColor="accent3" w:themeShade="BF"/>
          <w:sz w:val="22"/>
          <w:szCs w:val="22"/>
          <w:lang w:val="en-GB"/>
        </w:rPr>
        <w:t>potentially improve their overall recoveries (depending on how the DIP</w:t>
      </w:r>
      <w:r w:rsidR="00EF6328">
        <w:rPr>
          <w:rFonts w:ascii="Avenir Next" w:hAnsi="Avenir Next" w:cs="Arial"/>
          <w:color w:val="7B7B7B" w:themeColor="accent3" w:themeShade="BF"/>
          <w:sz w:val="22"/>
          <w:szCs w:val="22"/>
          <w:lang w:val="en-GB"/>
        </w:rPr>
        <w:t xml:space="preserve"> loan is structured).</w:t>
      </w:r>
      <w:r w:rsidR="005C5F07">
        <w:rPr>
          <w:rFonts w:ascii="Avenir Next" w:hAnsi="Avenir Next" w:cs="Arial"/>
          <w:color w:val="7B7B7B" w:themeColor="accent3" w:themeShade="BF"/>
          <w:sz w:val="22"/>
          <w:szCs w:val="22"/>
          <w:lang w:val="en-GB"/>
        </w:rPr>
        <w:t xml:space="preserve"> This is referred to as a “roll-up” (i.e.,</w:t>
      </w:r>
      <w:r w:rsidR="0070300E">
        <w:rPr>
          <w:rFonts w:ascii="Avenir Next" w:hAnsi="Avenir Next" w:cs="Arial"/>
          <w:color w:val="7B7B7B" w:themeColor="accent3" w:themeShade="BF"/>
          <w:sz w:val="22"/>
          <w:szCs w:val="22"/>
          <w:lang w:val="en-GB"/>
        </w:rPr>
        <w:t xml:space="preserve"> a creditor</w:t>
      </w:r>
      <w:r w:rsidR="005C5F07">
        <w:rPr>
          <w:rFonts w:ascii="Avenir Next" w:hAnsi="Avenir Next" w:cs="Arial"/>
          <w:color w:val="7B7B7B" w:themeColor="accent3" w:themeShade="BF"/>
          <w:sz w:val="22"/>
          <w:szCs w:val="22"/>
          <w:lang w:val="en-GB"/>
        </w:rPr>
        <w:t xml:space="preserve"> combining </w:t>
      </w:r>
      <w:proofErr w:type="gramStart"/>
      <w:r w:rsidR="005C5F07">
        <w:rPr>
          <w:rFonts w:ascii="Avenir Next" w:hAnsi="Avenir Next" w:cs="Arial"/>
          <w:color w:val="7B7B7B" w:themeColor="accent3" w:themeShade="BF"/>
          <w:sz w:val="22"/>
          <w:szCs w:val="22"/>
          <w:lang w:val="en-GB"/>
        </w:rPr>
        <w:t>pre</w:t>
      </w:r>
      <w:proofErr w:type="gramEnd"/>
      <w:r w:rsidR="005C5F07">
        <w:rPr>
          <w:rFonts w:ascii="Avenir Next" w:hAnsi="Avenir Next" w:cs="Arial"/>
          <w:color w:val="7B7B7B" w:themeColor="accent3" w:themeShade="BF"/>
          <w:sz w:val="22"/>
          <w:szCs w:val="22"/>
          <w:lang w:val="en-GB"/>
        </w:rPr>
        <w:t xml:space="preserve"> and post-petition</w:t>
      </w:r>
      <w:r w:rsidR="0070300E">
        <w:rPr>
          <w:rFonts w:ascii="Avenir Next" w:hAnsi="Avenir Next" w:cs="Arial"/>
          <w:color w:val="7B7B7B" w:themeColor="accent3" w:themeShade="BF"/>
          <w:sz w:val="22"/>
          <w:szCs w:val="22"/>
          <w:lang w:val="en-GB"/>
        </w:rPr>
        <w:t xml:space="preserve"> exposure to the debtor), and is </w:t>
      </w:r>
      <w:r w:rsidR="001210AC">
        <w:rPr>
          <w:rFonts w:ascii="Avenir Next" w:hAnsi="Avenir Next" w:cs="Arial"/>
          <w:color w:val="7B7B7B" w:themeColor="accent3" w:themeShade="BF"/>
          <w:sz w:val="22"/>
          <w:szCs w:val="22"/>
          <w:lang w:val="en-GB"/>
        </w:rPr>
        <w:t>subject to court approval, taking into consideration other financing options (that exclude the roll-up)</w:t>
      </w:r>
      <w:r w:rsidR="001E3832">
        <w:rPr>
          <w:rFonts w:ascii="Avenir Next" w:hAnsi="Avenir Next" w:cs="Arial"/>
          <w:color w:val="7B7B7B" w:themeColor="accent3" w:themeShade="BF"/>
          <w:sz w:val="22"/>
          <w:szCs w:val="22"/>
          <w:lang w:val="en-GB"/>
        </w:rPr>
        <w:t xml:space="preserve"> and the quantum of new debt being provided.</w:t>
      </w:r>
    </w:p>
    <w:p w14:paraId="1CED5B6C" w14:textId="3273B3D6" w:rsidR="00756C59" w:rsidRDefault="00756C59" w:rsidP="00E41578">
      <w:pPr>
        <w:jc w:val="both"/>
        <w:rPr>
          <w:rFonts w:ascii="Avenir Next" w:hAnsi="Avenir Next" w:cs="Arial"/>
          <w:color w:val="7B7B7B" w:themeColor="accent3" w:themeShade="BF"/>
          <w:sz w:val="22"/>
          <w:szCs w:val="22"/>
          <w:lang w:val="en-GB"/>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526CA9DA" w14:textId="4525A858" w:rsidR="009F677E" w:rsidRDefault="0096754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a creditor were to receive debtor’s assets </w:t>
      </w:r>
      <w:r w:rsidR="005702EF">
        <w:rPr>
          <w:rFonts w:ascii="Avenir Next" w:hAnsi="Avenir Next" w:cs="Arial"/>
          <w:color w:val="7B7B7B" w:themeColor="accent3" w:themeShade="BF"/>
          <w:sz w:val="22"/>
          <w:szCs w:val="22"/>
          <w:lang w:val="en-GB"/>
        </w:rPr>
        <w:t xml:space="preserve">during the </w:t>
      </w:r>
      <w:r w:rsidR="005D6233">
        <w:rPr>
          <w:rFonts w:ascii="Avenir Next" w:hAnsi="Avenir Next" w:cs="Arial"/>
          <w:color w:val="7B7B7B" w:themeColor="accent3" w:themeShade="BF"/>
          <w:sz w:val="22"/>
          <w:szCs w:val="22"/>
          <w:lang w:val="en-GB"/>
        </w:rPr>
        <w:t>“</w:t>
      </w:r>
      <w:r w:rsidR="005702EF">
        <w:rPr>
          <w:rFonts w:ascii="Avenir Next" w:hAnsi="Avenir Next" w:cs="Arial"/>
          <w:color w:val="7B7B7B" w:themeColor="accent3" w:themeShade="BF"/>
          <w:sz w:val="22"/>
          <w:szCs w:val="22"/>
          <w:lang w:val="en-GB"/>
        </w:rPr>
        <w:t>suspect</w:t>
      </w:r>
      <w:r w:rsidR="005D6233">
        <w:rPr>
          <w:rFonts w:ascii="Avenir Next" w:hAnsi="Avenir Next" w:cs="Arial"/>
          <w:color w:val="7B7B7B" w:themeColor="accent3" w:themeShade="BF"/>
          <w:sz w:val="22"/>
          <w:szCs w:val="22"/>
          <w:lang w:val="en-GB"/>
        </w:rPr>
        <w:t>”</w:t>
      </w:r>
      <w:r w:rsidR="005702EF">
        <w:rPr>
          <w:rFonts w:ascii="Avenir Next" w:hAnsi="Avenir Next" w:cs="Arial"/>
          <w:color w:val="7B7B7B" w:themeColor="accent3" w:themeShade="BF"/>
          <w:sz w:val="22"/>
          <w:szCs w:val="22"/>
          <w:lang w:val="en-GB"/>
        </w:rPr>
        <w:t xml:space="preserve"> period</w:t>
      </w:r>
      <w:r w:rsidR="005E470E">
        <w:rPr>
          <w:rFonts w:ascii="Avenir Next" w:hAnsi="Avenir Next" w:cs="Arial"/>
          <w:color w:val="7B7B7B" w:themeColor="accent3" w:themeShade="BF"/>
          <w:sz w:val="22"/>
          <w:szCs w:val="22"/>
          <w:lang w:val="en-GB"/>
        </w:rPr>
        <w:t xml:space="preserve"> prior to</w:t>
      </w:r>
      <w:r w:rsidR="005C7F8B">
        <w:rPr>
          <w:rFonts w:ascii="Avenir Next" w:hAnsi="Avenir Next" w:cs="Arial"/>
          <w:color w:val="7B7B7B" w:themeColor="accent3" w:themeShade="BF"/>
          <w:sz w:val="22"/>
          <w:szCs w:val="22"/>
          <w:lang w:val="en-GB"/>
        </w:rPr>
        <w:t xml:space="preserve"> the bankruptcy petition</w:t>
      </w:r>
      <w:r>
        <w:rPr>
          <w:rFonts w:ascii="Avenir Next" w:hAnsi="Avenir Next" w:cs="Arial"/>
          <w:color w:val="7B7B7B" w:themeColor="accent3" w:themeShade="BF"/>
          <w:sz w:val="22"/>
          <w:szCs w:val="22"/>
          <w:lang w:val="en-GB"/>
        </w:rPr>
        <w:t xml:space="preserve">, and </w:t>
      </w:r>
      <w:r w:rsidR="00D34474">
        <w:rPr>
          <w:rFonts w:ascii="Avenir Next" w:hAnsi="Avenir Next" w:cs="Arial"/>
          <w:color w:val="7B7B7B" w:themeColor="accent3" w:themeShade="BF"/>
          <w:sz w:val="22"/>
          <w:szCs w:val="22"/>
          <w:lang w:val="en-GB"/>
        </w:rPr>
        <w:t>in doing so improve their overall recoveries compared to a liquidation under chapter 7,</w:t>
      </w:r>
      <w:r w:rsidR="005E470E">
        <w:rPr>
          <w:rFonts w:ascii="Avenir Next" w:hAnsi="Avenir Next" w:cs="Arial"/>
          <w:color w:val="7B7B7B" w:themeColor="accent3" w:themeShade="BF"/>
          <w:sz w:val="22"/>
          <w:szCs w:val="22"/>
          <w:lang w:val="en-GB"/>
        </w:rPr>
        <w:t xml:space="preserve"> this would be considered a preference. </w:t>
      </w:r>
      <w:r w:rsidR="006D1FD4">
        <w:rPr>
          <w:rFonts w:ascii="Avenir Next" w:hAnsi="Avenir Next" w:cs="Arial"/>
          <w:color w:val="7B7B7B" w:themeColor="accent3" w:themeShade="BF"/>
          <w:sz w:val="22"/>
          <w:szCs w:val="22"/>
          <w:lang w:val="en-GB"/>
        </w:rPr>
        <w:t xml:space="preserve">Suspect period varies depending on the </w:t>
      </w:r>
      <w:r w:rsidR="00805547">
        <w:rPr>
          <w:rFonts w:ascii="Avenir Next" w:hAnsi="Avenir Next" w:cs="Arial"/>
          <w:color w:val="7B7B7B" w:themeColor="accent3" w:themeShade="BF"/>
          <w:sz w:val="22"/>
          <w:szCs w:val="22"/>
          <w:lang w:val="en-GB"/>
        </w:rPr>
        <w:t xml:space="preserve">nature of the creditor and their relationship to the debtor. In case of </w:t>
      </w:r>
      <w:proofErr w:type="gramStart"/>
      <w:r w:rsidR="00805547">
        <w:rPr>
          <w:rFonts w:ascii="Avenir Next" w:hAnsi="Avenir Next" w:cs="Arial"/>
          <w:color w:val="7B7B7B" w:themeColor="accent3" w:themeShade="BF"/>
          <w:sz w:val="22"/>
          <w:szCs w:val="22"/>
          <w:lang w:val="en-GB"/>
        </w:rPr>
        <w:t>a</w:t>
      </w:r>
      <w:proofErr w:type="gramEnd"/>
      <w:r w:rsidR="00805547">
        <w:rPr>
          <w:rFonts w:ascii="Avenir Next" w:hAnsi="Avenir Next" w:cs="Arial"/>
          <w:color w:val="7B7B7B" w:themeColor="accent3" w:themeShade="BF"/>
          <w:sz w:val="22"/>
          <w:szCs w:val="22"/>
          <w:lang w:val="en-GB"/>
        </w:rPr>
        <w:t xml:space="preserve"> independent third party suspect period is 90 days, while </w:t>
      </w:r>
      <w:r w:rsidR="00C07EFC">
        <w:rPr>
          <w:rFonts w:ascii="Avenir Next" w:hAnsi="Avenir Next" w:cs="Arial"/>
          <w:color w:val="7B7B7B" w:themeColor="accent3" w:themeShade="BF"/>
          <w:sz w:val="22"/>
          <w:szCs w:val="22"/>
          <w:lang w:val="en-GB"/>
        </w:rPr>
        <w:t>for debtor-related parties</w:t>
      </w:r>
      <w:r w:rsidR="00A12356">
        <w:rPr>
          <w:rFonts w:ascii="Avenir Next" w:hAnsi="Avenir Next" w:cs="Arial"/>
          <w:color w:val="7B7B7B" w:themeColor="accent3" w:themeShade="BF"/>
          <w:sz w:val="22"/>
          <w:szCs w:val="22"/>
          <w:lang w:val="en-GB"/>
        </w:rPr>
        <w:t xml:space="preserve"> (aka insiders) that time frame is extended up to 12 months.</w:t>
      </w:r>
    </w:p>
    <w:p w14:paraId="43CCE88B" w14:textId="77777777" w:rsidR="009F677E" w:rsidRDefault="009F677E" w:rsidP="00E41578">
      <w:pPr>
        <w:jc w:val="both"/>
        <w:rPr>
          <w:rFonts w:ascii="Avenir Next" w:hAnsi="Avenir Next" w:cs="Arial"/>
          <w:color w:val="7B7B7B" w:themeColor="accent3" w:themeShade="BF"/>
          <w:sz w:val="22"/>
          <w:szCs w:val="22"/>
          <w:lang w:val="en-GB"/>
        </w:rPr>
      </w:pPr>
    </w:p>
    <w:p w14:paraId="7842B491" w14:textId="04C24F8B" w:rsidR="00E41578" w:rsidRDefault="009F677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Main point to prove is that the creditor would have received less in a chapter 7 liquidation, and as a result was given preferential treatment relative to other creditors. In situations where the business continues to operate (</w:t>
      </w:r>
      <w:r w:rsidR="0012128F">
        <w:rPr>
          <w:rFonts w:ascii="Avenir Next" w:hAnsi="Avenir Next" w:cs="Arial"/>
          <w:color w:val="7B7B7B" w:themeColor="accent3" w:themeShade="BF"/>
          <w:sz w:val="22"/>
          <w:szCs w:val="22"/>
          <w:lang w:val="en-GB"/>
        </w:rPr>
        <w:t xml:space="preserve">i.e., chapter 11), this </w:t>
      </w:r>
      <w:r w:rsidR="00931AE0">
        <w:rPr>
          <w:rFonts w:ascii="Avenir Next" w:hAnsi="Avenir Next" w:cs="Arial"/>
          <w:color w:val="7B7B7B" w:themeColor="accent3" w:themeShade="BF"/>
          <w:sz w:val="22"/>
          <w:szCs w:val="22"/>
          <w:lang w:val="en-GB"/>
        </w:rPr>
        <w:t xml:space="preserve">type of counterfactual is </w:t>
      </w:r>
      <w:r w:rsidR="0012128F">
        <w:rPr>
          <w:rFonts w:ascii="Avenir Next" w:hAnsi="Avenir Next" w:cs="Arial"/>
          <w:color w:val="7B7B7B" w:themeColor="accent3" w:themeShade="BF"/>
          <w:sz w:val="22"/>
          <w:szCs w:val="22"/>
          <w:lang w:val="en-GB"/>
        </w:rPr>
        <w:t xml:space="preserve">challenging to </w:t>
      </w:r>
      <w:r w:rsidR="00221658">
        <w:rPr>
          <w:rFonts w:ascii="Avenir Next" w:hAnsi="Avenir Next" w:cs="Arial"/>
          <w:color w:val="7B7B7B" w:themeColor="accent3" w:themeShade="BF"/>
          <w:sz w:val="22"/>
          <w:szCs w:val="22"/>
          <w:lang w:val="en-GB"/>
        </w:rPr>
        <w:t>prove</w:t>
      </w:r>
      <w:r w:rsidR="00931AE0">
        <w:rPr>
          <w:rFonts w:ascii="Avenir Next" w:hAnsi="Avenir Next" w:cs="Arial"/>
          <w:color w:val="7B7B7B" w:themeColor="accent3" w:themeShade="BF"/>
          <w:sz w:val="22"/>
          <w:szCs w:val="22"/>
          <w:lang w:val="en-GB"/>
        </w:rPr>
        <w:t>.</w:t>
      </w:r>
      <w:r w:rsidR="00C07EFC">
        <w:rPr>
          <w:rFonts w:ascii="Avenir Next" w:hAnsi="Avenir Next" w:cs="Arial"/>
          <w:color w:val="7B7B7B" w:themeColor="accent3" w:themeShade="BF"/>
          <w:sz w:val="22"/>
          <w:szCs w:val="22"/>
          <w:lang w:val="en-GB"/>
        </w:rPr>
        <w:t xml:space="preserve"> </w:t>
      </w:r>
      <w:r w:rsidR="007E4FA5">
        <w:rPr>
          <w:rFonts w:ascii="Avenir Next" w:hAnsi="Avenir Next" w:cs="Arial"/>
          <w:color w:val="7B7B7B" w:themeColor="accent3" w:themeShade="BF"/>
          <w:sz w:val="22"/>
          <w:szCs w:val="22"/>
          <w:lang w:val="en-GB"/>
        </w:rPr>
        <w:t xml:space="preserve">There are </w:t>
      </w:r>
      <w:r w:rsidR="009E2125">
        <w:rPr>
          <w:rFonts w:ascii="Avenir Next" w:hAnsi="Avenir Next" w:cs="Arial"/>
          <w:color w:val="7B7B7B" w:themeColor="accent3" w:themeShade="BF"/>
          <w:sz w:val="22"/>
          <w:szCs w:val="22"/>
          <w:lang w:val="en-GB"/>
        </w:rPr>
        <w:lastRenderedPageBreak/>
        <w:t>additional</w:t>
      </w:r>
      <w:r w:rsidR="007E4FA5">
        <w:rPr>
          <w:rFonts w:ascii="Avenir Next" w:hAnsi="Avenir Next" w:cs="Arial"/>
          <w:color w:val="7B7B7B" w:themeColor="accent3" w:themeShade="BF"/>
          <w:sz w:val="22"/>
          <w:szCs w:val="22"/>
          <w:lang w:val="en-GB"/>
        </w:rPr>
        <w:t xml:space="preserve"> </w:t>
      </w:r>
      <w:r w:rsidR="00E24EC4">
        <w:rPr>
          <w:rFonts w:ascii="Avenir Next" w:hAnsi="Avenir Next" w:cs="Arial"/>
          <w:color w:val="7B7B7B" w:themeColor="accent3" w:themeShade="BF"/>
          <w:sz w:val="22"/>
          <w:szCs w:val="22"/>
          <w:lang w:val="en-GB"/>
        </w:rPr>
        <w:t xml:space="preserve">considerations </w:t>
      </w:r>
      <w:r w:rsidR="00914372">
        <w:rPr>
          <w:rFonts w:ascii="Avenir Next" w:hAnsi="Avenir Next" w:cs="Arial"/>
          <w:color w:val="7B7B7B" w:themeColor="accent3" w:themeShade="BF"/>
          <w:sz w:val="22"/>
          <w:szCs w:val="22"/>
          <w:lang w:val="en-GB"/>
        </w:rPr>
        <w:t>including</w:t>
      </w:r>
      <w:r w:rsidR="00476009">
        <w:rPr>
          <w:rFonts w:ascii="Avenir Next" w:hAnsi="Avenir Next" w:cs="Arial"/>
          <w:color w:val="7B7B7B" w:themeColor="accent3" w:themeShade="BF"/>
          <w:sz w:val="22"/>
          <w:szCs w:val="22"/>
          <w:lang w:val="en-GB"/>
        </w:rPr>
        <w:t xml:space="preserve"> if </w:t>
      </w:r>
      <w:r w:rsidR="009E2125">
        <w:rPr>
          <w:rFonts w:ascii="Avenir Next" w:hAnsi="Avenir Next" w:cs="Arial"/>
          <w:color w:val="7B7B7B" w:themeColor="accent3" w:themeShade="BF"/>
          <w:sz w:val="22"/>
          <w:szCs w:val="22"/>
          <w:lang w:val="en-GB"/>
        </w:rPr>
        <w:t>the trans</w:t>
      </w:r>
      <w:r w:rsidR="00B85FF6">
        <w:rPr>
          <w:rFonts w:ascii="Avenir Next" w:hAnsi="Avenir Next" w:cs="Arial"/>
          <w:color w:val="7B7B7B" w:themeColor="accent3" w:themeShade="BF"/>
          <w:sz w:val="22"/>
          <w:szCs w:val="22"/>
          <w:lang w:val="en-GB"/>
        </w:rPr>
        <w:t>fer of debtor’s</w:t>
      </w:r>
      <w:r w:rsidR="009E2125">
        <w:rPr>
          <w:rFonts w:ascii="Avenir Next" w:hAnsi="Avenir Next" w:cs="Arial"/>
          <w:color w:val="7B7B7B" w:themeColor="accent3" w:themeShade="BF"/>
          <w:sz w:val="22"/>
          <w:szCs w:val="22"/>
          <w:lang w:val="en-GB"/>
        </w:rPr>
        <w:t xml:space="preserve"> </w:t>
      </w:r>
      <w:r w:rsidR="00476009">
        <w:rPr>
          <w:rFonts w:ascii="Avenir Next" w:hAnsi="Avenir Next" w:cs="Arial"/>
          <w:color w:val="7B7B7B" w:themeColor="accent3" w:themeShade="BF"/>
          <w:sz w:val="22"/>
          <w:szCs w:val="22"/>
          <w:lang w:val="en-GB"/>
        </w:rPr>
        <w:t>assets was made at a time when the debtor was insolvent</w:t>
      </w:r>
      <w:r w:rsidR="00986B5F">
        <w:rPr>
          <w:rFonts w:ascii="Avenir Next" w:hAnsi="Avenir Next" w:cs="Arial"/>
          <w:color w:val="7B7B7B" w:themeColor="accent3" w:themeShade="BF"/>
          <w:sz w:val="22"/>
          <w:szCs w:val="22"/>
          <w:lang w:val="en-GB"/>
        </w:rPr>
        <w:t xml:space="preserve"> and</w:t>
      </w:r>
      <w:r w:rsidR="00A53092">
        <w:rPr>
          <w:rFonts w:ascii="Avenir Next" w:hAnsi="Avenir Next" w:cs="Arial"/>
          <w:color w:val="7B7B7B" w:themeColor="accent3" w:themeShade="BF"/>
          <w:sz w:val="22"/>
          <w:szCs w:val="22"/>
          <w:lang w:val="en-GB"/>
        </w:rPr>
        <w:t xml:space="preserve"> </w:t>
      </w:r>
      <w:r w:rsidR="00476009">
        <w:rPr>
          <w:rFonts w:ascii="Avenir Next" w:hAnsi="Avenir Next" w:cs="Arial"/>
          <w:color w:val="7B7B7B" w:themeColor="accent3" w:themeShade="BF"/>
          <w:sz w:val="22"/>
          <w:szCs w:val="22"/>
          <w:lang w:val="en-GB"/>
        </w:rPr>
        <w:t xml:space="preserve">whether it </w:t>
      </w:r>
      <w:r w:rsidR="009E2125">
        <w:rPr>
          <w:rFonts w:ascii="Avenir Next" w:hAnsi="Avenir Next" w:cs="Arial"/>
          <w:color w:val="7B7B7B" w:themeColor="accent3" w:themeShade="BF"/>
          <w:sz w:val="22"/>
          <w:szCs w:val="22"/>
          <w:lang w:val="en-GB"/>
        </w:rPr>
        <w:t>relates to a</w:t>
      </w:r>
      <w:r w:rsidR="00C47AEC">
        <w:rPr>
          <w:rFonts w:ascii="Avenir Next" w:hAnsi="Avenir Next" w:cs="Arial"/>
          <w:color w:val="7B7B7B" w:themeColor="accent3" w:themeShade="BF"/>
          <w:sz w:val="22"/>
          <w:szCs w:val="22"/>
          <w:lang w:val="en-GB"/>
        </w:rPr>
        <w:t xml:space="preserve"> historical debt (prior to the </w:t>
      </w:r>
      <w:r w:rsidR="00476009">
        <w:rPr>
          <w:rFonts w:ascii="Avenir Next" w:hAnsi="Avenir Next" w:cs="Arial"/>
          <w:color w:val="7B7B7B" w:themeColor="accent3" w:themeShade="BF"/>
          <w:sz w:val="22"/>
          <w:szCs w:val="22"/>
          <w:lang w:val="en-GB"/>
        </w:rPr>
        <w:t xml:space="preserve">time of the </w:t>
      </w:r>
      <w:r w:rsidR="00C47AEC">
        <w:rPr>
          <w:rFonts w:ascii="Avenir Next" w:hAnsi="Avenir Next" w:cs="Arial"/>
          <w:color w:val="7B7B7B" w:themeColor="accent3" w:themeShade="BF"/>
          <w:sz w:val="22"/>
          <w:szCs w:val="22"/>
          <w:lang w:val="en-GB"/>
        </w:rPr>
        <w:t>transfer)</w:t>
      </w:r>
      <w:r w:rsidR="00986B5F">
        <w:rPr>
          <w:rFonts w:ascii="Avenir Next" w:hAnsi="Avenir Next" w:cs="Arial"/>
          <w:color w:val="7B7B7B" w:themeColor="accent3" w:themeShade="BF"/>
          <w:sz w:val="22"/>
          <w:szCs w:val="22"/>
          <w:lang w:val="en-GB"/>
        </w:rPr>
        <w:t xml:space="preserve">. </w:t>
      </w:r>
      <w:r w:rsidR="00476009">
        <w:rPr>
          <w:rFonts w:ascii="Avenir Next" w:hAnsi="Avenir Next" w:cs="Arial"/>
          <w:color w:val="7B7B7B" w:themeColor="accent3" w:themeShade="BF"/>
          <w:sz w:val="22"/>
          <w:szCs w:val="22"/>
          <w:lang w:val="en-GB"/>
        </w:rPr>
        <w:t xml:space="preserve"> </w:t>
      </w:r>
    </w:p>
    <w:p w14:paraId="122A97D6" w14:textId="057014BB" w:rsidR="00E41578" w:rsidRDefault="00E41578" w:rsidP="00E41578">
      <w:pPr>
        <w:jc w:val="both"/>
        <w:rPr>
          <w:rFonts w:ascii="Avenir Next" w:hAnsi="Avenir Next" w:cs="Arial"/>
          <w:color w:val="7B7B7B" w:themeColor="accent3" w:themeShade="BF"/>
          <w:sz w:val="22"/>
          <w:szCs w:val="22"/>
          <w:lang w:val="en-GB"/>
        </w:rPr>
      </w:pPr>
    </w:p>
    <w:p w14:paraId="37D80B7F" w14:textId="33EC297C" w:rsidR="00221658" w:rsidRDefault="002E5F3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w:t>
      </w:r>
      <w:r w:rsidR="00415AE6">
        <w:rPr>
          <w:rFonts w:ascii="Avenir Next" w:hAnsi="Avenir Next" w:cs="Arial"/>
          <w:color w:val="7B7B7B" w:themeColor="accent3" w:themeShade="BF"/>
          <w:sz w:val="22"/>
          <w:szCs w:val="22"/>
          <w:lang w:val="en-GB"/>
        </w:rPr>
        <w:t xml:space="preserve">neither party (creditor nor debtor) needs to have been proved to </w:t>
      </w:r>
      <w:r w:rsidR="00E32CEA">
        <w:rPr>
          <w:rFonts w:ascii="Avenir Next" w:hAnsi="Avenir Next" w:cs="Arial"/>
          <w:color w:val="7B7B7B" w:themeColor="accent3" w:themeShade="BF"/>
          <w:sz w:val="22"/>
          <w:szCs w:val="22"/>
          <w:lang w:val="en-GB"/>
        </w:rPr>
        <w:t xml:space="preserve">be at fault, which means that the transaction gets reversed (assuming creditor </w:t>
      </w:r>
      <w:r w:rsidR="00A4143B">
        <w:rPr>
          <w:rFonts w:ascii="Avenir Next" w:hAnsi="Avenir Next" w:cs="Arial"/>
          <w:color w:val="7B7B7B" w:themeColor="accent3" w:themeShade="BF"/>
          <w:sz w:val="22"/>
          <w:szCs w:val="22"/>
          <w:lang w:val="en-GB"/>
        </w:rPr>
        <w:t>still has possession of the transferred assets and is itself solvent)</w:t>
      </w:r>
      <w:r w:rsidR="00F0045D">
        <w:rPr>
          <w:rFonts w:ascii="Avenir Next" w:hAnsi="Avenir Next" w:cs="Arial"/>
          <w:color w:val="7B7B7B" w:themeColor="accent3" w:themeShade="BF"/>
          <w:sz w:val="22"/>
          <w:szCs w:val="22"/>
          <w:lang w:val="en-GB"/>
        </w:rPr>
        <w:t>. It is common practice in emerging markets for an all</w:t>
      </w:r>
      <w:r w:rsidR="00AE2935">
        <w:rPr>
          <w:rFonts w:ascii="Avenir Next" w:hAnsi="Avenir Next" w:cs="Arial"/>
          <w:color w:val="7B7B7B" w:themeColor="accent3" w:themeShade="BF"/>
          <w:sz w:val="22"/>
          <w:szCs w:val="22"/>
          <w:lang w:val="en-GB"/>
        </w:rPr>
        <w:t>-</w:t>
      </w:r>
      <w:r w:rsidR="00F0045D">
        <w:rPr>
          <w:rFonts w:ascii="Avenir Next" w:hAnsi="Avenir Next" w:cs="Arial"/>
          <w:color w:val="7B7B7B" w:themeColor="accent3" w:themeShade="BF"/>
          <w:sz w:val="22"/>
          <w:szCs w:val="22"/>
          <w:lang w:val="en-GB"/>
        </w:rPr>
        <w:t xml:space="preserve">out asset grab to take place prior to the debtor </w:t>
      </w:r>
      <w:r w:rsidR="001B3DC3">
        <w:rPr>
          <w:rFonts w:ascii="Avenir Next" w:hAnsi="Avenir Next" w:cs="Arial"/>
          <w:color w:val="7B7B7B" w:themeColor="accent3" w:themeShade="BF"/>
          <w:sz w:val="22"/>
          <w:szCs w:val="22"/>
          <w:lang w:val="en-GB"/>
        </w:rPr>
        <w:t xml:space="preserve">declaring bankruptcy, with the debtor generally prioritizing </w:t>
      </w:r>
      <w:r w:rsidR="00990D0A">
        <w:rPr>
          <w:rFonts w:ascii="Avenir Next" w:hAnsi="Avenir Next" w:cs="Arial"/>
          <w:color w:val="7B7B7B" w:themeColor="accent3" w:themeShade="BF"/>
          <w:sz w:val="22"/>
          <w:szCs w:val="22"/>
          <w:lang w:val="en-GB"/>
        </w:rPr>
        <w:t>local creditors (or those creditors who are most likely to pursue debtor’s management in their home country).</w:t>
      </w:r>
      <w:r w:rsidR="00AE2935">
        <w:rPr>
          <w:rFonts w:ascii="Avenir Next" w:hAnsi="Avenir Next" w:cs="Arial"/>
          <w:color w:val="7B7B7B" w:themeColor="accent3" w:themeShade="BF"/>
          <w:sz w:val="22"/>
          <w:szCs w:val="22"/>
          <w:lang w:val="en-GB"/>
        </w:rPr>
        <w:t xml:space="preserve"> Presumably in the US, this treatment of preferences disincentivizes such action</w:t>
      </w:r>
      <w:r w:rsidR="009A1BD4">
        <w:rPr>
          <w:rFonts w:ascii="Avenir Next" w:hAnsi="Avenir Next" w:cs="Arial"/>
          <w:color w:val="7B7B7B" w:themeColor="accent3" w:themeShade="BF"/>
          <w:sz w:val="22"/>
          <w:szCs w:val="22"/>
          <w:lang w:val="en-GB"/>
        </w:rPr>
        <w:t xml:space="preserve"> and maximizes value for the estate.</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7C3E08">
        <w:rPr>
          <w:rFonts w:ascii="Avenir Next" w:hAnsi="Avenir Next"/>
        </w:rPr>
        <w:t>Describe the circumstances in which a bankruptcy court may enter a final order, who reviews appeals from bankruptcy court orders and how are non-final orders reviewed</w:t>
      </w:r>
      <w:r w:rsidR="00C452BC" w:rsidRPr="007C3E08">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2D33CC7B" w14:textId="77777777" w:rsidR="00134318" w:rsidRDefault="00C248C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Bankruptcy courts were not established </w:t>
      </w:r>
      <w:r w:rsidR="00B967AB">
        <w:rPr>
          <w:rFonts w:ascii="Avenir Next" w:hAnsi="Avenir Next" w:cs="Arial"/>
          <w:color w:val="7B7B7B" w:themeColor="accent3" w:themeShade="BF"/>
          <w:sz w:val="22"/>
          <w:szCs w:val="22"/>
          <w:lang w:val="en-GB"/>
        </w:rPr>
        <w:t>under Article III of the US Constitution</w:t>
      </w:r>
      <w:r w:rsidR="001F1AB6">
        <w:rPr>
          <w:rFonts w:ascii="Avenir Next" w:hAnsi="Avenir Next" w:cs="Arial"/>
          <w:color w:val="7B7B7B" w:themeColor="accent3" w:themeShade="BF"/>
          <w:sz w:val="22"/>
          <w:szCs w:val="22"/>
          <w:lang w:val="en-GB"/>
        </w:rPr>
        <w:t>, and</w:t>
      </w:r>
      <w:r w:rsidR="00A93D86">
        <w:rPr>
          <w:rFonts w:ascii="Avenir Next" w:hAnsi="Avenir Next" w:cs="Arial"/>
          <w:color w:val="7B7B7B" w:themeColor="accent3" w:themeShade="BF"/>
          <w:sz w:val="22"/>
          <w:szCs w:val="22"/>
          <w:lang w:val="en-GB"/>
        </w:rPr>
        <w:t xml:space="preserve"> </w:t>
      </w:r>
      <w:r w:rsidR="00913C6C">
        <w:rPr>
          <w:rFonts w:ascii="Avenir Next" w:hAnsi="Avenir Next" w:cs="Arial"/>
          <w:color w:val="7B7B7B" w:themeColor="accent3" w:themeShade="BF"/>
          <w:sz w:val="22"/>
          <w:szCs w:val="22"/>
          <w:lang w:val="en-GB"/>
        </w:rPr>
        <w:t xml:space="preserve">their decisions </w:t>
      </w:r>
      <w:r w:rsidR="00A93D86">
        <w:rPr>
          <w:rFonts w:ascii="Avenir Next" w:hAnsi="Avenir Next" w:cs="Arial"/>
          <w:color w:val="7B7B7B" w:themeColor="accent3" w:themeShade="BF"/>
          <w:sz w:val="22"/>
          <w:szCs w:val="22"/>
          <w:lang w:val="en-GB"/>
        </w:rPr>
        <w:t xml:space="preserve">are therefore subordinated </w:t>
      </w:r>
      <w:r w:rsidR="00FD0EA1">
        <w:rPr>
          <w:rFonts w:ascii="Avenir Next" w:hAnsi="Avenir Next" w:cs="Arial"/>
          <w:color w:val="7B7B7B" w:themeColor="accent3" w:themeShade="BF"/>
          <w:sz w:val="22"/>
          <w:szCs w:val="22"/>
          <w:lang w:val="en-GB"/>
        </w:rPr>
        <w:t xml:space="preserve">to federal courts as </w:t>
      </w:r>
      <w:r w:rsidR="004B144F">
        <w:rPr>
          <w:rFonts w:ascii="Avenir Next" w:hAnsi="Avenir Next" w:cs="Arial"/>
          <w:color w:val="7B7B7B" w:themeColor="accent3" w:themeShade="BF"/>
          <w:sz w:val="22"/>
          <w:szCs w:val="22"/>
          <w:lang w:val="en-GB"/>
        </w:rPr>
        <w:t xml:space="preserve">evidenced </w:t>
      </w:r>
      <w:r w:rsidR="00E26F59">
        <w:rPr>
          <w:rFonts w:ascii="Avenir Next" w:hAnsi="Avenir Next" w:cs="Arial"/>
          <w:color w:val="7B7B7B" w:themeColor="accent3" w:themeShade="BF"/>
          <w:sz w:val="22"/>
          <w:szCs w:val="22"/>
          <w:lang w:val="en-GB"/>
        </w:rPr>
        <w:t xml:space="preserve">most recently </w:t>
      </w:r>
      <w:r w:rsidR="004B144F">
        <w:rPr>
          <w:rFonts w:ascii="Avenir Next" w:hAnsi="Avenir Next" w:cs="Arial"/>
          <w:color w:val="7B7B7B" w:themeColor="accent3" w:themeShade="BF"/>
          <w:sz w:val="22"/>
          <w:szCs w:val="22"/>
          <w:lang w:val="en-GB"/>
        </w:rPr>
        <w:t xml:space="preserve">by the US Supreme Court ruling in the case of </w:t>
      </w:r>
      <w:r w:rsidR="00B23D42">
        <w:rPr>
          <w:rFonts w:ascii="Avenir Next" w:hAnsi="Avenir Next" w:cs="Arial"/>
          <w:color w:val="7B7B7B" w:themeColor="accent3" w:themeShade="BF"/>
          <w:sz w:val="22"/>
          <w:szCs w:val="22"/>
          <w:lang w:val="en-GB"/>
        </w:rPr>
        <w:t>Stern v Marshall</w:t>
      </w:r>
      <w:r w:rsidR="00B23D42">
        <w:rPr>
          <w:rStyle w:val="FootnoteReference"/>
          <w:rFonts w:ascii="Avenir Next" w:hAnsi="Avenir Next" w:cs="Arial"/>
          <w:color w:val="7B7B7B" w:themeColor="accent3" w:themeShade="BF"/>
          <w:sz w:val="22"/>
          <w:szCs w:val="22"/>
          <w:lang w:val="en-GB"/>
        </w:rPr>
        <w:footnoteReference w:id="2"/>
      </w:r>
      <w:r w:rsidR="00213A61">
        <w:rPr>
          <w:rFonts w:ascii="Avenir Next" w:hAnsi="Avenir Next" w:cs="Arial"/>
          <w:color w:val="7B7B7B" w:themeColor="accent3" w:themeShade="BF"/>
          <w:sz w:val="22"/>
          <w:szCs w:val="22"/>
          <w:lang w:val="en-GB"/>
        </w:rPr>
        <w:t xml:space="preserve">. </w:t>
      </w:r>
      <w:r w:rsidR="00851152">
        <w:rPr>
          <w:rFonts w:ascii="Avenir Next" w:hAnsi="Avenir Next" w:cs="Arial"/>
          <w:color w:val="7B7B7B" w:themeColor="accent3" w:themeShade="BF"/>
          <w:sz w:val="22"/>
          <w:szCs w:val="22"/>
          <w:lang w:val="en-GB"/>
        </w:rPr>
        <w:t xml:space="preserve">In this </w:t>
      </w:r>
      <w:proofErr w:type="gramStart"/>
      <w:r w:rsidR="00851152">
        <w:rPr>
          <w:rFonts w:ascii="Avenir Next" w:hAnsi="Avenir Next" w:cs="Arial"/>
          <w:color w:val="7B7B7B" w:themeColor="accent3" w:themeShade="BF"/>
          <w:sz w:val="22"/>
          <w:szCs w:val="22"/>
          <w:lang w:val="en-GB"/>
        </w:rPr>
        <w:t>particular case</w:t>
      </w:r>
      <w:proofErr w:type="gramEnd"/>
      <w:r w:rsidR="00851152">
        <w:rPr>
          <w:rFonts w:ascii="Avenir Next" w:hAnsi="Avenir Next" w:cs="Arial"/>
          <w:color w:val="7B7B7B" w:themeColor="accent3" w:themeShade="BF"/>
          <w:sz w:val="22"/>
          <w:szCs w:val="22"/>
          <w:lang w:val="en-GB"/>
        </w:rPr>
        <w:t xml:space="preserve">, </w:t>
      </w:r>
      <w:r w:rsidR="008E2FE7">
        <w:rPr>
          <w:rFonts w:ascii="Avenir Next" w:hAnsi="Avenir Next" w:cs="Arial"/>
          <w:color w:val="7B7B7B" w:themeColor="accent3" w:themeShade="BF"/>
          <w:sz w:val="22"/>
          <w:szCs w:val="22"/>
          <w:lang w:val="en-GB"/>
        </w:rPr>
        <w:t>the</w:t>
      </w:r>
      <w:r w:rsidR="00851152">
        <w:rPr>
          <w:rFonts w:ascii="Avenir Next" w:hAnsi="Avenir Next" w:cs="Arial"/>
          <w:color w:val="7B7B7B" w:themeColor="accent3" w:themeShade="BF"/>
          <w:sz w:val="22"/>
          <w:szCs w:val="22"/>
          <w:lang w:val="en-GB"/>
        </w:rPr>
        <w:t xml:space="preserve"> final order issued by the bankruptcy court was deemed </w:t>
      </w:r>
      <w:r w:rsidR="000925F6">
        <w:rPr>
          <w:rFonts w:ascii="Avenir Next" w:hAnsi="Avenir Next" w:cs="Arial"/>
          <w:color w:val="7B7B7B" w:themeColor="accent3" w:themeShade="BF"/>
          <w:sz w:val="22"/>
          <w:szCs w:val="22"/>
          <w:lang w:val="en-GB"/>
        </w:rPr>
        <w:t>to be unconstitutional under Article III</w:t>
      </w:r>
      <w:r w:rsidR="00B051B4">
        <w:rPr>
          <w:rFonts w:ascii="Avenir Next" w:hAnsi="Avenir Next" w:cs="Arial"/>
          <w:color w:val="7B7B7B" w:themeColor="accent3" w:themeShade="BF"/>
          <w:sz w:val="22"/>
          <w:szCs w:val="22"/>
          <w:lang w:val="en-GB"/>
        </w:rPr>
        <w:t xml:space="preserve"> </w:t>
      </w:r>
      <w:r w:rsidR="00BA6765">
        <w:rPr>
          <w:rFonts w:ascii="Avenir Next" w:hAnsi="Avenir Next" w:cs="Arial"/>
          <w:color w:val="7B7B7B" w:themeColor="accent3" w:themeShade="BF"/>
          <w:sz w:val="22"/>
          <w:szCs w:val="22"/>
          <w:lang w:val="en-GB"/>
        </w:rPr>
        <w:t>since</w:t>
      </w:r>
      <w:r w:rsidR="00B051B4">
        <w:rPr>
          <w:rFonts w:ascii="Avenir Next" w:hAnsi="Avenir Next" w:cs="Arial"/>
          <w:color w:val="7B7B7B" w:themeColor="accent3" w:themeShade="BF"/>
          <w:sz w:val="22"/>
          <w:szCs w:val="22"/>
          <w:lang w:val="en-GB"/>
        </w:rPr>
        <w:t xml:space="preserve"> there was a parallel </w:t>
      </w:r>
      <w:r w:rsidR="00304D45">
        <w:rPr>
          <w:rFonts w:ascii="Avenir Next" w:hAnsi="Avenir Next" w:cs="Arial"/>
          <w:color w:val="7B7B7B" w:themeColor="accent3" w:themeShade="BF"/>
          <w:sz w:val="22"/>
          <w:szCs w:val="22"/>
          <w:lang w:val="en-GB"/>
        </w:rPr>
        <w:t>proceeding happening in a state court, with the jury eventually ruling in favour of the claim</w:t>
      </w:r>
      <w:r w:rsidR="00BA6765">
        <w:rPr>
          <w:rFonts w:ascii="Avenir Next" w:hAnsi="Avenir Next" w:cs="Arial"/>
          <w:color w:val="7B7B7B" w:themeColor="accent3" w:themeShade="BF"/>
          <w:sz w:val="22"/>
          <w:szCs w:val="22"/>
          <w:lang w:val="en-GB"/>
        </w:rPr>
        <w:t>ant</w:t>
      </w:r>
      <w:r w:rsidR="00FE0C38">
        <w:rPr>
          <w:rFonts w:ascii="Avenir Next" w:hAnsi="Avenir Next" w:cs="Arial"/>
          <w:color w:val="7B7B7B" w:themeColor="accent3" w:themeShade="BF"/>
          <w:sz w:val="22"/>
          <w:szCs w:val="22"/>
          <w:lang w:val="en-GB"/>
        </w:rPr>
        <w:t>.</w:t>
      </w:r>
      <w:r w:rsidR="00963359">
        <w:rPr>
          <w:rFonts w:ascii="Avenir Next" w:hAnsi="Avenir Next" w:cs="Arial"/>
          <w:color w:val="7B7B7B" w:themeColor="accent3" w:themeShade="BF"/>
          <w:sz w:val="22"/>
          <w:szCs w:val="22"/>
          <w:lang w:val="en-GB"/>
        </w:rPr>
        <w:t xml:space="preserve"> </w:t>
      </w:r>
      <w:r w:rsidR="00BA6765">
        <w:rPr>
          <w:rFonts w:ascii="Avenir Next" w:hAnsi="Avenir Next" w:cs="Arial"/>
          <w:color w:val="7B7B7B" w:themeColor="accent3" w:themeShade="BF"/>
          <w:sz w:val="22"/>
          <w:szCs w:val="22"/>
          <w:lang w:val="en-GB"/>
        </w:rPr>
        <w:t>T</w:t>
      </w:r>
      <w:r w:rsidR="008C0523">
        <w:rPr>
          <w:rFonts w:ascii="Avenir Next" w:hAnsi="Avenir Next" w:cs="Arial"/>
          <w:color w:val="7B7B7B" w:themeColor="accent3" w:themeShade="BF"/>
          <w:sz w:val="22"/>
          <w:szCs w:val="22"/>
          <w:lang w:val="en-GB"/>
        </w:rPr>
        <w:t xml:space="preserve">herefore, bankruptcy court </w:t>
      </w:r>
      <w:r w:rsidR="000C394A">
        <w:rPr>
          <w:rFonts w:ascii="Avenir Next" w:hAnsi="Avenir Next" w:cs="Arial"/>
          <w:color w:val="7B7B7B" w:themeColor="accent3" w:themeShade="BF"/>
          <w:sz w:val="22"/>
          <w:szCs w:val="22"/>
          <w:lang w:val="en-GB"/>
        </w:rPr>
        <w:t>orders</w:t>
      </w:r>
      <w:r w:rsidR="008C0523">
        <w:rPr>
          <w:rFonts w:ascii="Avenir Next" w:hAnsi="Avenir Next" w:cs="Arial"/>
          <w:color w:val="7B7B7B" w:themeColor="accent3" w:themeShade="BF"/>
          <w:sz w:val="22"/>
          <w:szCs w:val="22"/>
          <w:lang w:val="en-GB"/>
        </w:rPr>
        <w:t xml:space="preserve"> can only be considered final </w:t>
      </w:r>
      <w:r w:rsidR="0066294A">
        <w:rPr>
          <w:rFonts w:ascii="Avenir Next" w:hAnsi="Avenir Next" w:cs="Arial"/>
          <w:color w:val="7B7B7B" w:themeColor="accent3" w:themeShade="BF"/>
          <w:sz w:val="22"/>
          <w:szCs w:val="22"/>
          <w:lang w:val="en-GB"/>
        </w:rPr>
        <w:t xml:space="preserve">if they relate to core proceedings, and </w:t>
      </w:r>
      <w:r w:rsidR="00640CEB">
        <w:rPr>
          <w:rFonts w:ascii="Avenir Next" w:hAnsi="Avenir Next" w:cs="Arial"/>
          <w:color w:val="7B7B7B" w:themeColor="accent3" w:themeShade="BF"/>
          <w:sz w:val="22"/>
          <w:szCs w:val="22"/>
          <w:lang w:val="en-GB"/>
        </w:rPr>
        <w:t xml:space="preserve">if </w:t>
      </w:r>
      <w:r w:rsidR="000C394A">
        <w:rPr>
          <w:rFonts w:ascii="Avenir Next" w:hAnsi="Avenir Next" w:cs="Arial"/>
          <w:color w:val="7B7B7B" w:themeColor="accent3" w:themeShade="BF"/>
          <w:sz w:val="22"/>
          <w:szCs w:val="22"/>
          <w:lang w:val="en-GB"/>
        </w:rPr>
        <w:t>the final order</w:t>
      </w:r>
      <w:r w:rsidR="00640CEB">
        <w:rPr>
          <w:rFonts w:ascii="Avenir Next" w:hAnsi="Avenir Next" w:cs="Arial"/>
          <w:color w:val="7B7B7B" w:themeColor="accent3" w:themeShade="BF"/>
          <w:sz w:val="22"/>
          <w:szCs w:val="22"/>
          <w:lang w:val="en-GB"/>
        </w:rPr>
        <w:t xml:space="preserve"> does not conflict </w:t>
      </w:r>
      <w:r w:rsidR="004B6241">
        <w:rPr>
          <w:rFonts w:ascii="Avenir Next" w:hAnsi="Avenir Next" w:cs="Arial"/>
          <w:color w:val="7B7B7B" w:themeColor="accent3" w:themeShade="BF"/>
          <w:sz w:val="22"/>
          <w:szCs w:val="22"/>
          <w:lang w:val="en-GB"/>
        </w:rPr>
        <w:t xml:space="preserve">with </w:t>
      </w:r>
      <w:r w:rsidR="00075F63">
        <w:rPr>
          <w:rFonts w:ascii="Avenir Next" w:hAnsi="Avenir Next" w:cs="Arial"/>
          <w:color w:val="7B7B7B" w:themeColor="accent3" w:themeShade="BF"/>
          <w:sz w:val="22"/>
          <w:szCs w:val="22"/>
          <w:lang w:val="en-GB"/>
        </w:rPr>
        <w:t>the ruling of a state court.</w:t>
      </w:r>
      <w:r w:rsidR="00134318">
        <w:rPr>
          <w:rFonts w:ascii="Avenir Next" w:hAnsi="Avenir Next" w:cs="Arial"/>
          <w:color w:val="7B7B7B" w:themeColor="accent3" w:themeShade="BF"/>
          <w:sz w:val="22"/>
          <w:szCs w:val="22"/>
          <w:lang w:val="en-GB"/>
        </w:rPr>
        <w:t xml:space="preserve"> </w:t>
      </w:r>
      <w:r w:rsidR="004B6241">
        <w:rPr>
          <w:rFonts w:ascii="Avenir Next" w:hAnsi="Avenir Next" w:cs="Arial"/>
          <w:color w:val="7B7B7B" w:themeColor="accent3" w:themeShade="BF"/>
          <w:sz w:val="22"/>
          <w:szCs w:val="22"/>
          <w:lang w:val="en-GB"/>
        </w:rPr>
        <w:t xml:space="preserve">Core proceedings </w:t>
      </w:r>
      <w:r w:rsidR="00FA57C1">
        <w:rPr>
          <w:rFonts w:ascii="Avenir Next" w:hAnsi="Avenir Next" w:cs="Arial"/>
          <w:color w:val="7B7B7B" w:themeColor="accent3" w:themeShade="BF"/>
          <w:sz w:val="22"/>
          <w:szCs w:val="22"/>
          <w:lang w:val="en-GB"/>
        </w:rPr>
        <w:t xml:space="preserve">include matters relating to the administration of the estate, </w:t>
      </w:r>
      <w:proofErr w:type="gramStart"/>
      <w:r w:rsidR="006E3FFB">
        <w:rPr>
          <w:rFonts w:ascii="Avenir Next" w:hAnsi="Avenir Next" w:cs="Arial"/>
          <w:color w:val="7B7B7B" w:themeColor="accent3" w:themeShade="BF"/>
          <w:sz w:val="22"/>
          <w:szCs w:val="22"/>
          <w:lang w:val="en-GB"/>
        </w:rPr>
        <w:t>allowance</w:t>
      </w:r>
      <w:proofErr w:type="gramEnd"/>
      <w:r w:rsidR="006E3FFB">
        <w:rPr>
          <w:rFonts w:ascii="Avenir Next" w:hAnsi="Avenir Next" w:cs="Arial"/>
          <w:color w:val="7B7B7B" w:themeColor="accent3" w:themeShade="BF"/>
          <w:sz w:val="22"/>
          <w:szCs w:val="22"/>
          <w:lang w:val="en-GB"/>
        </w:rPr>
        <w:t xml:space="preserve"> or disallowance of claims against the estate, counterclaims by the estate, orders in relation to obtaining credit</w:t>
      </w:r>
      <w:r w:rsidR="007463EF">
        <w:rPr>
          <w:rFonts w:ascii="Avenir Next" w:hAnsi="Avenir Next" w:cs="Arial"/>
          <w:color w:val="7B7B7B" w:themeColor="accent3" w:themeShade="BF"/>
          <w:sz w:val="22"/>
          <w:szCs w:val="22"/>
          <w:lang w:val="en-GB"/>
        </w:rPr>
        <w:t xml:space="preserve"> and matters relating to preferences, amongst others. </w:t>
      </w:r>
    </w:p>
    <w:p w14:paraId="09473C6D" w14:textId="77777777" w:rsidR="00134318" w:rsidRDefault="00134318" w:rsidP="00E41578">
      <w:pPr>
        <w:jc w:val="both"/>
        <w:rPr>
          <w:rFonts w:ascii="Avenir Next" w:hAnsi="Avenir Next" w:cs="Arial"/>
          <w:color w:val="7B7B7B" w:themeColor="accent3" w:themeShade="BF"/>
          <w:sz w:val="22"/>
          <w:szCs w:val="22"/>
          <w:lang w:val="en-GB"/>
        </w:rPr>
      </w:pPr>
    </w:p>
    <w:p w14:paraId="4FE46399" w14:textId="67A71F29" w:rsidR="00FD46D5" w:rsidRDefault="00760490" w:rsidP="00E41578">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order</w:t>
      </w:r>
      <w:r w:rsidR="003A0441">
        <w:rPr>
          <w:rFonts w:ascii="Avenir Next" w:hAnsi="Avenir Next" w:cs="Arial"/>
          <w:color w:val="7B7B7B" w:themeColor="accent3" w:themeShade="BF"/>
          <w:sz w:val="22"/>
          <w:szCs w:val="22"/>
          <w:lang w:val="en-GB"/>
        </w:rPr>
        <w:t xml:space="preserve"> </w:t>
      </w:r>
      <w:r w:rsidR="008D5119">
        <w:rPr>
          <w:rFonts w:ascii="Avenir Next" w:hAnsi="Avenir Next" w:cs="Arial"/>
          <w:color w:val="7B7B7B" w:themeColor="accent3" w:themeShade="BF"/>
          <w:sz w:val="22"/>
          <w:szCs w:val="22"/>
          <w:lang w:val="en-GB"/>
        </w:rPr>
        <w:t>to</w:t>
      </w:r>
      <w:proofErr w:type="gramEnd"/>
      <w:r w:rsidR="008D5119">
        <w:rPr>
          <w:rFonts w:ascii="Avenir Next" w:hAnsi="Avenir Next" w:cs="Arial"/>
          <w:color w:val="7B7B7B" w:themeColor="accent3" w:themeShade="BF"/>
          <w:sz w:val="22"/>
          <w:szCs w:val="22"/>
          <w:lang w:val="en-GB"/>
        </w:rPr>
        <w:t xml:space="preserve"> avoid complications, Bankruptcy Rules</w:t>
      </w:r>
      <w:r w:rsidR="00AD589A">
        <w:rPr>
          <w:rFonts w:ascii="Avenir Next" w:hAnsi="Avenir Next" w:cs="Arial"/>
          <w:color w:val="7B7B7B" w:themeColor="accent3" w:themeShade="BF"/>
          <w:sz w:val="22"/>
          <w:szCs w:val="22"/>
          <w:lang w:val="en-GB"/>
        </w:rPr>
        <w:t xml:space="preserve"> now require </w:t>
      </w:r>
      <w:r w:rsidR="002D10C6">
        <w:rPr>
          <w:rFonts w:ascii="Avenir Next" w:hAnsi="Avenir Next" w:cs="Arial"/>
          <w:color w:val="7B7B7B" w:themeColor="accent3" w:themeShade="BF"/>
          <w:sz w:val="22"/>
          <w:szCs w:val="22"/>
          <w:lang w:val="en-GB"/>
        </w:rPr>
        <w:t>litigants to specify</w:t>
      </w:r>
      <w:r w:rsidR="005207E5">
        <w:rPr>
          <w:rFonts w:ascii="Avenir Next" w:hAnsi="Avenir Next" w:cs="Arial"/>
          <w:color w:val="7B7B7B" w:themeColor="accent3" w:themeShade="BF"/>
          <w:sz w:val="22"/>
          <w:szCs w:val="22"/>
          <w:lang w:val="en-GB"/>
        </w:rPr>
        <w:t xml:space="preserve"> in their pleadings</w:t>
      </w:r>
      <w:r w:rsidR="002D10C6">
        <w:rPr>
          <w:rFonts w:ascii="Avenir Next" w:hAnsi="Avenir Next" w:cs="Arial"/>
          <w:color w:val="7B7B7B" w:themeColor="accent3" w:themeShade="BF"/>
          <w:sz w:val="22"/>
          <w:szCs w:val="22"/>
          <w:lang w:val="en-GB"/>
        </w:rPr>
        <w:t xml:space="preserve"> whether they consent to </w:t>
      </w:r>
      <w:r w:rsidR="003205EC">
        <w:rPr>
          <w:rFonts w:ascii="Avenir Next" w:hAnsi="Avenir Next" w:cs="Arial"/>
          <w:color w:val="7B7B7B" w:themeColor="accent3" w:themeShade="BF"/>
          <w:sz w:val="22"/>
          <w:szCs w:val="22"/>
          <w:lang w:val="en-GB"/>
        </w:rPr>
        <w:t xml:space="preserve">the jurisdiction of the bankruptcy court (i.e., is the court’s order to be considered final and binding on them). </w:t>
      </w:r>
      <w:proofErr w:type="gramStart"/>
      <w:r w:rsidR="003F3686">
        <w:rPr>
          <w:rFonts w:ascii="Avenir Next" w:hAnsi="Avenir Next" w:cs="Arial"/>
          <w:color w:val="7B7B7B" w:themeColor="accent3" w:themeShade="BF"/>
          <w:sz w:val="22"/>
          <w:szCs w:val="22"/>
          <w:lang w:val="en-GB"/>
        </w:rPr>
        <w:t>Otherwise</w:t>
      </w:r>
      <w:proofErr w:type="gramEnd"/>
      <w:r w:rsidR="003F3686">
        <w:rPr>
          <w:rFonts w:ascii="Avenir Next" w:hAnsi="Avenir Next" w:cs="Arial"/>
          <w:color w:val="7B7B7B" w:themeColor="accent3" w:themeShade="BF"/>
          <w:sz w:val="22"/>
          <w:szCs w:val="22"/>
          <w:lang w:val="en-GB"/>
        </w:rPr>
        <w:t xml:space="preserve"> </w:t>
      </w:r>
      <w:r w:rsidR="00E60AFE">
        <w:rPr>
          <w:rFonts w:ascii="Avenir Next" w:hAnsi="Avenir Next" w:cs="Arial"/>
          <w:color w:val="7B7B7B" w:themeColor="accent3" w:themeShade="BF"/>
          <w:sz w:val="22"/>
          <w:szCs w:val="22"/>
          <w:lang w:val="en-GB"/>
        </w:rPr>
        <w:t>the relevant</w:t>
      </w:r>
      <w:r w:rsidR="003F3686">
        <w:rPr>
          <w:rFonts w:ascii="Avenir Next" w:hAnsi="Avenir Next" w:cs="Arial"/>
          <w:color w:val="7B7B7B" w:themeColor="accent3" w:themeShade="BF"/>
          <w:sz w:val="22"/>
          <w:szCs w:val="22"/>
          <w:lang w:val="en-GB"/>
        </w:rPr>
        <w:t xml:space="preserve"> district court will have the authority to rule on the jurisdiction of the bankruptcy court, and </w:t>
      </w:r>
      <w:r w:rsidR="00DF05F3">
        <w:rPr>
          <w:rFonts w:ascii="Avenir Next" w:hAnsi="Avenir Next" w:cs="Arial"/>
          <w:color w:val="7B7B7B" w:themeColor="accent3" w:themeShade="BF"/>
          <w:sz w:val="22"/>
          <w:szCs w:val="22"/>
          <w:lang w:val="en-GB"/>
        </w:rPr>
        <w:t xml:space="preserve">if it is determined that the jurisdiction is lacking, </w:t>
      </w:r>
      <w:r w:rsidR="004D3F01">
        <w:rPr>
          <w:rFonts w:ascii="Avenir Next" w:hAnsi="Avenir Next" w:cs="Arial"/>
          <w:color w:val="7B7B7B" w:themeColor="accent3" w:themeShade="BF"/>
          <w:sz w:val="22"/>
          <w:szCs w:val="22"/>
          <w:lang w:val="en-GB"/>
        </w:rPr>
        <w:t>district court will treat t</w:t>
      </w:r>
      <w:r w:rsidR="00585D98">
        <w:rPr>
          <w:rFonts w:ascii="Avenir Next" w:hAnsi="Avenir Next" w:cs="Arial"/>
          <w:color w:val="7B7B7B" w:themeColor="accent3" w:themeShade="BF"/>
          <w:sz w:val="22"/>
          <w:szCs w:val="22"/>
          <w:lang w:val="en-GB"/>
        </w:rPr>
        <w:t>he bankruptcy court’s order as a proposed finding and a conclusion of law.</w:t>
      </w:r>
      <w:r w:rsidR="00AE7B92">
        <w:rPr>
          <w:rFonts w:ascii="Avenir Next" w:hAnsi="Avenir Next" w:cs="Arial"/>
          <w:color w:val="7B7B7B" w:themeColor="accent3" w:themeShade="BF"/>
          <w:sz w:val="22"/>
          <w:szCs w:val="22"/>
          <w:lang w:val="en-GB"/>
        </w:rPr>
        <w:t xml:space="preserve"> </w:t>
      </w:r>
      <w:r w:rsidR="00BF52EF">
        <w:rPr>
          <w:rFonts w:ascii="Avenir Next" w:hAnsi="Avenir Next" w:cs="Arial"/>
          <w:color w:val="7B7B7B" w:themeColor="accent3" w:themeShade="BF"/>
          <w:sz w:val="22"/>
          <w:szCs w:val="22"/>
          <w:lang w:val="en-GB"/>
        </w:rPr>
        <w:t xml:space="preserve">A final </w:t>
      </w:r>
      <w:r w:rsidR="00E06325">
        <w:rPr>
          <w:rFonts w:ascii="Avenir Next" w:hAnsi="Avenir Next" w:cs="Arial"/>
          <w:color w:val="7B7B7B" w:themeColor="accent3" w:themeShade="BF"/>
          <w:sz w:val="22"/>
          <w:szCs w:val="22"/>
          <w:lang w:val="en-GB"/>
        </w:rPr>
        <w:t xml:space="preserve">bankruptcy </w:t>
      </w:r>
      <w:r w:rsidR="00BF52EF">
        <w:rPr>
          <w:rFonts w:ascii="Avenir Next" w:hAnsi="Avenir Next" w:cs="Arial"/>
          <w:color w:val="7B7B7B" w:themeColor="accent3" w:themeShade="BF"/>
          <w:sz w:val="22"/>
          <w:szCs w:val="22"/>
          <w:lang w:val="en-GB"/>
        </w:rPr>
        <w:t xml:space="preserve">order may still be appealed </w:t>
      </w:r>
      <w:r w:rsidR="00E06325">
        <w:rPr>
          <w:rFonts w:ascii="Avenir Next" w:hAnsi="Avenir Next" w:cs="Arial"/>
          <w:color w:val="7B7B7B" w:themeColor="accent3" w:themeShade="BF"/>
          <w:sz w:val="22"/>
          <w:szCs w:val="22"/>
          <w:lang w:val="en-GB"/>
        </w:rPr>
        <w:t xml:space="preserve">(even if the bankruptcy court had the necessary authority) if </w:t>
      </w:r>
      <w:r w:rsidR="007F7E07">
        <w:rPr>
          <w:rFonts w:ascii="Avenir Next" w:hAnsi="Avenir Next" w:cs="Arial"/>
          <w:color w:val="7B7B7B" w:themeColor="accent3" w:themeShade="BF"/>
          <w:sz w:val="22"/>
          <w:szCs w:val="22"/>
          <w:lang w:val="en-GB"/>
        </w:rPr>
        <w:t>it does not resolve the entire dispute</w:t>
      </w:r>
      <w:r w:rsidR="00AE7B92">
        <w:rPr>
          <w:rFonts w:ascii="Avenir Next" w:hAnsi="Avenir Next" w:cs="Arial"/>
          <w:color w:val="7B7B7B" w:themeColor="accent3" w:themeShade="BF"/>
          <w:sz w:val="22"/>
          <w:szCs w:val="22"/>
          <w:lang w:val="en-GB"/>
        </w:rPr>
        <w:t>.</w:t>
      </w:r>
    </w:p>
    <w:p w14:paraId="11635345" w14:textId="2A7E3CB5" w:rsidR="00AE7B92" w:rsidRDefault="00AE7B92" w:rsidP="00E41578">
      <w:pPr>
        <w:jc w:val="both"/>
        <w:rPr>
          <w:rFonts w:ascii="Avenir Next" w:hAnsi="Avenir Next" w:cs="Arial"/>
          <w:color w:val="7B7B7B" w:themeColor="accent3" w:themeShade="BF"/>
          <w:sz w:val="22"/>
          <w:szCs w:val="22"/>
          <w:lang w:val="en-GB"/>
        </w:rPr>
      </w:pPr>
    </w:p>
    <w:p w14:paraId="50AADFA7" w14:textId="77777777" w:rsidR="00F21827" w:rsidRDefault="00AE7B9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Appeals are </w:t>
      </w:r>
      <w:r w:rsidR="00706D27">
        <w:rPr>
          <w:rFonts w:ascii="Avenir Next" w:hAnsi="Avenir Next" w:cs="Arial"/>
          <w:color w:val="7B7B7B" w:themeColor="accent3" w:themeShade="BF"/>
          <w:sz w:val="22"/>
          <w:szCs w:val="22"/>
          <w:lang w:val="en-GB"/>
        </w:rPr>
        <w:t xml:space="preserve">heard </w:t>
      </w:r>
      <w:r w:rsidR="00FC02D0">
        <w:rPr>
          <w:rFonts w:ascii="Avenir Next" w:hAnsi="Avenir Next" w:cs="Arial"/>
          <w:color w:val="7B7B7B" w:themeColor="accent3" w:themeShade="BF"/>
          <w:sz w:val="22"/>
          <w:szCs w:val="22"/>
          <w:lang w:val="en-GB"/>
        </w:rPr>
        <w:t xml:space="preserve">either </w:t>
      </w:r>
      <w:r w:rsidR="00706D27">
        <w:rPr>
          <w:rFonts w:ascii="Avenir Next" w:hAnsi="Avenir Next" w:cs="Arial"/>
          <w:color w:val="7B7B7B" w:themeColor="accent3" w:themeShade="BF"/>
          <w:sz w:val="22"/>
          <w:szCs w:val="22"/>
          <w:lang w:val="en-GB"/>
        </w:rPr>
        <w:t>by the district court</w:t>
      </w:r>
      <w:r w:rsidR="00FC02D0">
        <w:rPr>
          <w:rFonts w:ascii="Avenir Next" w:hAnsi="Avenir Next" w:cs="Arial"/>
          <w:color w:val="7B7B7B" w:themeColor="accent3" w:themeShade="BF"/>
          <w:sz w:val="22"/>
          <w:szCs w:val="22"/>
          <w:lang w:val="en-GB"/>
        </w:rPr>
        <w:t xml:space="preserve"> or the Bankruptcy Appellate Panel (BAP) comprising judges from the circuit’s bankruptcy courts. </w:t>
      </w:r>
      <w:r w:rsidR="00C82830">
        <w:rPr>
          <w:rFonts w:ascii="Avenir Next" w:hAnsi="Avenir Next" w:cs="Arial"/>
          <w:color w:val="7B7B7B" w:themeColor="accent3" w:themeShade="BF"/>
          <w:sz w:val="22"/>
          <w:szCs w:val="22"/>
          <w:lang w:val="en-GB"/>
        </w:rPr>
        <w:t xml:space="preserve">The parties also have the option </w:t>
      </w:r>
      <w:r w:rsidR="00915930">
        <w:rPr>
          <w:rFonts w:ascii="Avenir Next" w:hAnsi="Avenir Next" w:cs="Arial"/>
          <w:color w:val="7B7B7B" w:themeColor="accent3" w:themeShade="BF"/>
          <w:sz w:val="22"/>
          <w:szCs w:val="22"/>
          <w:lang w:val="en-GB"/>
        </w:rPr>
        <w:t xml:space="preserve">for further appeal with the </w:t>
      </w:r>
      <w:r w:rsidR="002F176D">
        <w:rPr>
          <w:rFonts w:ascii="Avenir Next" w:hAnsi="Avenir Next" w:cs="Arial"/>
          <w:color w:val="7B7B7B" w:themeColor="accent3" w:themeShade="BF"/>
          <w:sz w:val="22"/>
          <w:szCs w:val="22"/>
          <w:lang w:val="en-GB"/>
        </w:rPr>
        <w:t>circuit court of appea</w:t>
      </w:r>
      <w:r w:rsidR="00C6058F">
        <w:rPr>
          <w:rFonts w:ascii="Avenir Next" w:hAnsi="Avenir Next" w:cs="Arial"/>
          <w:color w:val="7B7B7B" w:themeColor="accent3" w:themeShade="BF"/>
          <w:sz w:val="22"/>
          <w:szCs w:val="22"/>
          <w:lang w:val="en-GB"/>
        </w:rPr>
        <w:t xml:space="preserve">ls. In a situation where the </w:t>
      </w:r>
      <w:r w:rsidR="00330FDB">
        <w:rPr>
          <w:rFonts w:ascii="Avenir Next" w:hAnsi="Avenir Next" w:cs="Arial"/>
          <w:color w:val="7B7B7B" w:themeColor="accent3" w:themeShade="BF"/>
          <w:sz w:val="22"/>
          <w:szCs w:val="22"/>
          <w:lang w:val="en-GB"/>
        </w:rPr>
        <w:t xml:space="preserve">order being appealed was made by a </w:t>
      </w:r>
      <w:r w:rsidR="00C6058F">
        <w:rPr>
          <w:rFonts w:ascii="Avenir Next" w:hAnsi="Avenir Next" w:cs="Arial"/>
          <w:color w:val="7B7B7B" w:themeColor="accent3" w:themeShade="BF"/>
          <w:sz w:val="22"/>
          <w:szCs w:val="22"/>
          <w:lang w:val="en-GB"/>
        </w:rPr>
        <w:t xml:space="preserve">bankruptcy court </w:t>
      </w:r>
      <w:r w:rsidR="00330FDB">
        <w:rPr>
          <w:rFonts w:ascii="Avenir Next" w:hAnsi="Avenir Next" w:cs="Arial"/>
          <w:color w:val="7B7B7B" w:themeColor="accent3" w:themeShade="BF"/>
          <w:sz w:val="22"/>
          <w:szCs w:val="22"/>
          <w:lang w:val="en-GB"/>
        </w:rPr>
        <w:t>that had the necessary</w:t>
      </w:r>
      <w:r w:rsidR="00C6058F">
        <w:rPr>
          <w:rFonts w:ascii="Avenir Next" w:hAnsi="Avenir Next" w:cs="Arial"/>
          <w:color w:val="7B7B7B" w:themeColor="accent3" w:themeShade="BF"/>
          <w:sz w:val="22"/>
          <w:szCs w:val="22"/>
          <w:lang w:val="en-GB"/>
        </w:rPr>
        <w:t xml:space="preserve"> authority</w:t>
      </w:r>
      <w:r w:rsidR="00D444B3">
        <w:rPr>
          <w:rFonts w:ascii="Avenir Next" w:hAnsi="Avenir Next" w:cs="Arial"/>
          <w:color w:val="7B7B7B" w:themeColor="accent3" w:themeShade="BF"/>
          <w:sz w:val="22"/>
          <w:szCs w:val="22"/>
          <w:lang w:val="en-GB"/>
        </w:rPr>
        <w:t xml:space="preserve"> (i.e., core proceeding</w:t>
      </w:r>
      <w:r w:rsidR="003E4601">
        <w:rPr>
          <w:rFonts w:ascii="Avenir Next" w:hAnsi="Avenir Next" w:cs="Arial"/>
          <w:color w:val="7B7B7B" w:themeColor="accent3" w:themeShade="BF"/>
          <w:sz w:val="22"/>
          <w:szCs w:val="22"/>
          <w:lang w:val="en-GB"/>
        </w:rPr>
        <w:t xml:space="preserve"> with no competing state </w:t>
      </w:r>
      <w:r w:rsidR="000E42D1">
        <w:rPr>
          <w:rFonts w:ascii="Avenir Next" w:hAnsi="Avenir Next" w:cs="Arial"/>
          <w:color w:val="7B7B7B" w:themeColor="accent3" w:themeShade="BF"/>
          <w:sz w:val="22"/>
          <w:szCs w:val="22"/>
          <w:lang w:val="en-GB"/>
        </w:rPr>
        <w:t>court rulings)</w:t>
      </w:r>
      <w:r w:rsidR="00330FDB">
        <w:rPr>
          <w:rFonts w:ascii="Avenir Next" w:hAnsi="Avenir Next" w:cs="Arial"/>
          <w:color w:val="7B7B7B" w:themeColor="accent3" w:themeShade="BF"/>
          <w:sz w:val="22"/>
          <w:szCs w:val="22"/>
          <w:lang w:val="en-GB"/>
        </w:rPr>
        <w:t xml:space="preserve">, </w:t>
      </w:r>
      <w:r w:rsidR="006A4C47">
        <w:rPr>
          <w:rFonts w:ascii="Avenir Next" w:hAnsi="Avenir Next" w:cs="Arial"/>
          <w:color w:val="7B7B7B" w:themeColor="accent3" w:themeShade="BF"/>
          <w:sz w:val="22"/>
          <w:szCs w:val="22"/>
          <w:lang w:val="en-GB"/>
        </w:rPr>
        <w:t>the c</w:t>
      </w:r>
      <w:r w:rsidR="00D444B3">
        <w:rPr>
          <w:rFonts w:ascii="Avenir Next" w:hAnsi="Avenir Next" w:cs="Arial"/>
          <w:color w:val="7B7B7B" w:themeColor="accent3" w:themeShade="BF"/>
          <w:sz w:val="22"/>
          <w:szCs w:val="22"/>
          <w:lang w:val="en-GB"/>
        </w:rPr>
        <w:t xml:space="preserve">onclusions </w:t>
      </w:r>
      <w:r w:rsidR="00A665DA">
        <w:rPr>
          <w:rFonts w:ascii="Avenir Next" w:hAnsi="Avenir Next" w:cs="Arial"/>
          <w:color w:val="7B7B7B" w:themeColor="accent3" w:themeShade="BF"/>
          <w:sz w:val="22"/>
          <w:szCs w:val="22"/>
          <w:lang w:val="en-GB"/>
        </w:rPr>
        <w:t xml:space="preserve">/ findings </w:t>
      </w:r>
      <w:r w:rsidR="00D444B3">
        <w:rPr>
          <w:rFonts w:ascii="Avenir Next" w:hAnsi="Avenir Next" w:cs="Arial"/>
          <w:color w:val="7B7B7B" w:themeColor="accent3" w:themeShade="BF"/>
          <w:sz w:val="22"/>
          <w:szCs w:val="22"/>
          <w:lang w:val="en-GB"/>
        </w:rPr>
        <w:t xml:space="preserve">will be reviewed </w:t>
      </w:r>
      <w:r w:rsidR="000E42D1">
        <w:rPr>
          <w:rFonts w:ascii="Avenir Next" w:hAnsi="Avenir Next" w:cs="Arial"/>
          <w:color w:val="7B7B7B" w:themeColor="accent3" w:themeShade="BF"/>
          <w:sz w:val="22"/>
          <w:szCs w:val="22"/>
          <w:lang w:val="en-GB"/>
        </w:rPr>
        <w:t xml:space="preserve">by either the BAP or the district court. </w:t>
      </w:r>
      <w:r w:rsidR="00DB1922">
        <w:rPr>
          <w:rFonts w:ascii="Avenir Next" w:hAnsi="Avenir Next" w:cs="Arial"/>
          <w:color w:val="7B7B7B" w:themeColor="accent3" w:themeShade="BF"/>
          <w:sz w:val="22"/>
          <w:szCs w:val="22"/>
          <w:lang w:val="en-GB"/>
        </w:rPr>
        <w:t xml:space="preserve">Alternatively, </w:t>
      </w:r>
      <w:r w:rsidR="006625AD">
        <w:rPr>
          <w:rFonts w:ascii="Avenir Next" w:hAnsi="Avenir Next" w:cs="Arial"/>
          <w:color w:val="7B7B7B" w:themeColor="accent3" w:themeShade="BF"/>
          <w:sz w:val="22"/>
          <w:szCs w:val="22"/>
          <w:lang w:val="en-GB"/>
        </w:rPr>
        <w:t>BAP and the district court review afresh (de novo) all objectionable</w:t>
      </w:r>
      <w:r w:rsidR="00556B12">
        <w:rPr>
          <w:rFonts w:ascii="Avenir Next" w:hAnsi="Avenir Next" w:cs="Arial"/>
          <w:color w:val="7B7B7B" w:themeColor="accent3" w:themeShade="BF"/>
          <w:sz w:val="22"/>
          <w:szCs w:val="22"/>
          <w:lang w:val="en-GB"/>
        </w:rPr>
        <w:t xml:space="preserve"> conclusions </w:t>
      </w:r>
      <w:r w:rsidR="00F21827">
        <w:rPr>
          <w:rFonts w:ascii="Avenir Next" w:hAnsi="Avenir Next" w:cs="Arial"/>
          <w:color w:val="7B7B7B" w:themeColor="accent3" w:themeShade="BF"/>
          <w:sz w:val="22"/>
          <w:szCs w:val="22"/>
          <w:lang w:val="en-GB"/>
        </w:rPr>
        <w:t>/ findings.</w:t>
      </w:r>
    </w:p>
    <w:p w14:paraId="733CCE6D" w14:textId="77777777" w:rsidR="00F21827" w:rsidRDefault="00F21827" w:rsidP="00E41578">
      <w:pPr>
        <w:jc w:val="both"/>
        <w:rPr>
          <w:rFonts w:ascii="Avenir Next" w:hAnsi="Avenir Next" w:cs="Arial"/>
          <w:color w:val="7B7B7B" w:themeColor="accent3" w:themeShade="BF"/>
          <w:sz w:val="22"/>
          <w:szCs w:val="22"/>
          <w:lang w:val="en-GB"/>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690821A6" w:rsidR="00E41578" w:rsidRDefault="00EE0BA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a foreign main proceeding has been recognized in the U</w:t>
      </w:r>
      <w:r w:rsidR="001D5536">
        <w:rPr>
          <w:rFonts w:ascii="Avenir Next" w:hAnsi="Avenir Next" w:cs="Arial"/>
          <w:color w:val="7B7B7B" w:themeColor="accent3" w:themeShade="BF"/>
          <w:sz w:val="22"/>
          <w:szCs w:val="22"/>
          <w:lang w:val="en-GB"/>
        </w:rPr>
        <w:t>nited States</w:t>
      </w:r>
      <w:r w:rsidR="005F0097">
        <w:rPr>
          <w:rFonts w:ascii="Avenir Next" w:hAnsi="Avenir Next" w:cs="Arial"/>
          <w:color w:val="7B7B7B" w:themeColor="accent3" w:themeShade="BF"/>
          <w:sz w:val="22"/>
          <w:szCs w:val="22"/>
          <w:lang w:val="en-GB"/>
        </w:rPr>
        <w:t xml:space="preserve">, </w:t>
      </w:r>
      <w:r w:rsidR="001D5536">
        <w:rPr>
          <w:rFonts w:ascii="Avenir Next" w:hAnsi="Avenir Next" w:cs="Arial"/>
          <w:color w:val="7B7B7B" w:themeColor="accent3" w:themeShade="BF"/>
          <w:sz w:val="22"/>
          <w:szCs w:val="22"/>
          <w:lang w:val="en-GB"/>
        </w:rPr>
        <w:t>debtor’s property</w:t>
      </w:r>
      <w:r w:rsidR="00A7422D">
        <w:rPr>
          <w:rFonts w:ascii="Avenir Next" w:hAnsi="Avenir Next" w:cs="Arial"/>
          <w:color w:val="7B7B7B" w:themeColor="accent3" w:themeShade="BF"/>
          <w:sz w:val="22"/>
          <w:szCs w:val="22"/>
          <w:lang w:val="en-GB"/>
        </w:rPr>
        <w:t xml:space="preserve"> is subject to an automatic sta</w:t>
      </w:r>
      <w:r w:rsidR="00F870D8">
        <w:rPr>
          <w:rFonts w:ascii="Avenir Next" w:hAnsi="Avenir Next" w:cs="Arial"/>
          <w:color w:val="7B7B7B" w:themeColor="accent3" w:themeShade="BF"/>
          <w:sz w:val="22"/>
          <w:szCs w:val="22"/>
          <w:lang w:val="en-GB"/>
        </w:rPr>
        <w:t>y</w:t>
      </w:r>
      <w:r w:rsidR="0084104F">
        <w:rPr>
          <w:rFonts w:ascii="Avenir Next" w:hAnsi="Avenir Next" w:cs="Arial"/>
          <w:color w:val="7B7B7B" w:themeColor="accent3" w:themeShade="BF"/>
          <w:sz w:val="22"/>
          <w:szCs w:val="22"/>
          <w:lang w:val="en-GB"/>
        </w:rPr>
        <w:t xml:space="preserve"> (section 362)</w:t>
      </w:r>
      <w:r w:rsidR="00F870D8">
        <w:rPr>
          <w:rFonts w:ascii="Avenir Next" w:hAnsi="Avenir Next" w:cs="Arial"/>
          <w:color w:val="7B7B7B" w:themeColor="accent3" w:themeShade="BF"/>
          <w:sz w:val="22"/>
          <w:szCs w:val="22"/>
          <w:lang w:val="en-GB"/>
        </w:rPr>
        <w:t xml:space="preserve"> and can also be transferred</w:t>
      </w:r>
      <w:r w:rsidR="00903097">
        <w:rPr>
          <w:rFonts w:ascii="Avenir Next" w:hAnsi="Avenir Next" w:cs="Arial"/>
          <w:color w:val="7B7B7B" w:themeColor="accent3" w:themeShade="BF"/>
          <w:sz w:val="22"/>
          <w:szCs w:val="22"/>
          <w:lang w:val="en-GB"/>
        </w:rPr>
        <w:t xml:space="preserve">, </w:t>
      </w:r>
      <w:proofErr w:type="gramStart"/>
      <w:r w:rsidR="00903097">
        <w:rPr>
          <w:rFonts w:ascii="Avenir Next" w:hAnsi="Avenir Next" w:cs="Arial"/>
          <w:color w:val="7B7B7B" w:themeColor="accent3" w:themeShade="BF"/>
          <w:sz w:val="22"/>
          <w:szCs w:val="22"/>
          <w:lang w:val="en-GB"/>
        </w:rPr>
        <w:t>sold</w:t>
      </w:r>
      <w:proofErr w:type="gramEnd"/>
      <w:r w:rsidR="00903097">
        <w:rPr>
          <w:rFonts w:ascii="Avenir Next" w:hAnsi="Avenir Next" w:cs="Arial"/>
          <w:color w:val="7B7B7B" w:themeColor="accent3" w:themeShade="BF"/>
          <w:sz w:val="22"/>
          <w:szCs w:val="22"/>
          <w:lang w:val="en-GB"/>
        </w:rPr>
        <w:t xml:space="preserve"> or used outside the ordinary course of business</w:t>
      </w:r>
      <w:r w:rsidR="0084104F">
        <w:rPr>
          <w:rFonts w:ascii="Avenir Next" w:hAnsi="Avenir Next" w:cs="Arial"/>
          <w:color w:val="7B7B7B" w:themeColor="accent3" w:themeShade="BF"/>
          <w:sz w:val="22"/>
          <w:szCs w:val="22"/>
          <w:lang w:val="en-GB"/>
        </w:rPr>
        <w:t xml:space="preserve"> (section 363)</w:t>
      </w:r>
      <w:r w:rsidR="00903097">
        <w:rPr>
          <w:rFonts w:ascii="Avenir Next" w:hAnsi="Avenir Next" w:cs="Arial"/>
          <w:color w:val="7B7B7B" w:themeColor="accent3" w:themeShade="BF"/>
          <w:sz w:val="22"/>
          <w:szCs w:val="22"/>
          <w:lang w:val="en-GB"/>
        </w:rPr>
        <w:t>. In addition</w:t>
      </w:r>
      <w:r w:rsidR="00463442">
        <w:rPr>
          <w:rFonts w:ascii="Avenir Next" w:hAnsi="Avenir Next" w:cs="Arial"/>
          <w:color w:val="7B7B7B" w:themeColor="accent3" w:themeShade="BF"/>
          <w:sz w:val="22"/>
          <w:szCs w:val="22"/>
          <w:lang w:val="en-GB"/>
        </w:rPr>
        <w:t>,</w:t>
      </w:r>
      <w:r w:rsidR="00FF74A9">
        <w:rPr>
          <w:rFonts w:ascii="Avenir Next" w:hAnsi="Avenir Next" w:cs="Arial"/>
          <w:color w:val="7B7B7B" w:themeColor="accent3" w:themeShade="BF"/>
          <w:sz w:val="22"/>
          <w:szCs w:val="22"/>
          <w:lang w:val="en-GB"/>
        </w:rPr>
        <w:t xml:space="preserve"> a</w:t>
      </w:r>
      <w:r w:rsidR="00903097">
        <w:rPr>
          <w:rFonts w:ascii="Avenir Next" w:hAnsi="Avenir Next" w:cs="Arial"/>
          <w:color w:val="7B7B7B" w:themeColor="accent3" w:themeShade="BF"/>
          <w:sz w:val="22"/>
          <w:szCs w:val="22"/>
          <w:lang w:val="en-GB"/>
        </w:rPr>
        <w:t xml:space="preserve"> foreign insolvency professional / representative</w:t>
      </w:r>
      <w:r w:rsidR="00FF74A9">
        <w:rPr>
          <w:rFonts w:ascii="Avenir Next" w:hAnsi="Avenir Next" w:cs="Arial"/>
          <w:color w:val="7B7B7B" w:themeColor="accent3" w:themeShade="BF"/>
          <w:sz w:val="22"/>
          <w:szCs w:val="22"/>
          <w:lang w:val="en-GB"/>
        </w:rPr>
        <w:t xml:space="preserve"> can </w:t>
      </w:r>
      <w:r w:rsidR="00FF74A9">
        <w:rPr>
          <w:rFonts w:ascii="Avenir Next" w:hAnsi="Avenir Next" w:cs="Arial"/>
          <w:color w:val="7B7B7B" w:themeColor="accent3" w:themeShade="BF"/>
          <w:sz w:val="22"/>
          <w:szCs w:val="22"/>
          <w:lang w:val="en-GB"/>
        </w:rPr>
        <w:lastRenderedPageBreak/>
        <w:t xml:space="preserve">operate the debtor’s business </w:t>
      </w:r>
      <w:r w:rsidR="0084104F">
        <w:rPr>
          <w:rFonts w:ascii="Avenir Next" w:hAnsi="Avenir Next" w:cs="Arial"/>
          <w:color w:val="7B7B7B" w:themeColor="accent3" w:themeShade="BF"/>
          <w:sz w:val="22"/>
          <w:szCs w:val="22"/>
          <w:lang w:val="en-GB"/>
        </w:rPr>
        <w:t xml:space="preserve">(section </w:t>
      </w:r>
      <w:r w:rsidR="00463442">
        <w:rPr>
          <w:rFonts w:ascii="Avenir Next" w:hAnsi="Avenir Next" w:cs="Arial"/>
          <w:color w:val="7B7B7B" w:themeColor="accent3" w:themeShade="BF"/>
          <w:sz w:val="22"/>
          <w:szCs w:val="22"/>
          <w:lang w:val="en-GB"/>
        </w:rPr>
        <w:t xml:space="preserve">363 and 552) </w:t>
      </w:r>
      <w:r w:rsidR="00FF74A9">
        <w:rPr>
          <w:rFonts w:ascii="Avenir Next" w:hAnsi="Avenir Next" w:cs="Arial"/>
          <w:color w:val="7B7B7B" w:themeColor="accent3" w:themeShade="BF"/>
          <w:sz w:val="22"/>
          <w:szCs w:val="22"/>
          <w:lang w:val="en-GB"/>
        </w:rPr>
        <w:t xml:space="preserve">and </w:t>
      </w:r>
      <w:r w:rsidR="008440DF">
        <w:rPr>
          <w:rFonts w:ascii="Avenir Next" w:hAnsi="Avenir Next" w:cs="Arial"/>
          <w:color w:val="7B7B7B" w:themeColor="accent3" w:themeShade="BF"/>
          <w:sz w:val="22"/>
          <w:szCs w:val="22"/>
          <w:lang w:val="en-GB"/>
        </w:rPr>
        <w:t>take actions to void post-petition asset transfers and perfection of security interests</w:t>
      </w:r>
      <w:r w:rsidR="00463442">
        <w:rPr>
          <w:rFonts w:ascii="Avenir Next" w:hAnsi="Avenir Next" w:cs="Arial"/>
          <w:color w:val="7B7B7B" w:themeColor="accent3" w:themeShade="BF"/>
          <w:sz w:val="22"/>
          <w:szCs w:val="22"/>
          <w:lang w:val="en-GB"/>
        </w:rPr>
        <w:t xml:space="preserve"> (section 549)</w:t>
      </w:r>
      <w:r w:rsidR="0020312E">
        <w:rPr>
          <w:rFonts w:ascii="Avenir Next" w:hAnsi="Avenir Next" w:cs="Arial"/>
          <w:color w:val="7B7B7B" w:themeColor="accent3" w:themeShade="BF"/>
          <w:sz w:val="22"/>
          <w:szCs w:val="22"/>
          <w:lang w:val="en-GB"/>
        </w:rPr>
        <w:t xml:space="preserve">. </w:t>
      </w:r>
    </w:p>
    <w:p w14:paraId="1E05A4C7" w14:textId="598F1F50" w:rsidR="00A65E34" w:rsidRDefault="00A65E34" w:rsidP="00E41578">
      <w:pPr>
        <w:jc w:val="both"/>
        <w:rPr>
          <w:rFonts w:ascii="Avenir Next" w:hAnsi="Avenir Next" w:cs="Arial"/>
          <w:color w:val="7B7B7B" w:themeColor="accent3" w:themeShade="BF"/>
          <w:sz w:val="22"/>
          <w:szCs w:val="22"/>
          <w:lang w:val="en-GB"/>
        </w:rPr>
      </w:pPr>
    </w:p>
    <w:p w14:paraId="6AA94C6E" w14:textId="5E49086D" w:rsidR="00872BA5" w:rsidRDefault="00A65E34" w:rsidP="00A65E34">
      <w:pPr>
        <w:jc w:val="both"/>
        <w:rPr>
          <w:rFonts w:ascii="Avenir Next" w:hAnsi="Avenir Next"/>
        </w:rPr>
      </w:pPr>
      <w:r w:rsidRPr="007C3E08">
        <w:rPr>
          <w:rFonts w:ascii="Avenir Next" w:hAnsi="Avenir Next" w:cs="Arial"/>
          <w:color w:val="7B7B7B" w:themeColor="accent3" w:themeShade="BF"/>
          <w:sz w:val="22"/>
          <w:szCs w:val="22"/>
          <w:lang w:val="en-GB"/>
        </w:rPr>
        <w:t>Furthermore,</w:t>
      </w:r>
      <w:r w:rsidR="00C93932" w:rsidRPr="007C3E08">
        <w:rPr>
          <w:rFonts w:ascii="Avenir Next" w:hAnsi="Avenir Next" w:cs="Arial"/>
          <w:color w:val="7B7B7B" w:themeColor="accent3" w:themeShade="BF"/>
          <w:sz w:val="22"/>
          <w:szCs w:val="22"/>
          <w:lang w:val="en-GB"/>
        </w:rPr>
        <w:t xml:space="preserve"> </w:t>
      </w:r>
      <w:r w:rsidR="005E4DA3" w:rsidRPr="007C3E08">
        <w:rPr>
          <w:rFonts w:ascii="Avenir Next" w:hAnsi="Avenir Next" w:cs="Arial"/>
          <w:color w:val="7B7B7B" w:themeColor="accent3" w:themeShade="BF"/>
          <w:sz w:val="22"/>
          <w:szCs w:val="22"/>
          <w:lang w:val="en-GB"/>
        </w:rPr>
        <w:t xml:space="preserve">the court may grant </w:t>
      </w:r>
      <w:r w:rsidR="00D77023" w:rsidRPr="007C3E08">
        <w:rPr>
          <w:rFonts w:ascii="Avenir Next" w:hAnsi="Avenir Next" w:cs="Arial"/>
          <w:color w:val="7B7B7B" w:themeColor="accent3" w:themeShade="BF"/>
          <w:sz w:val="22"/>
          <w:szCs w:val="22"/>
          <w:lang w:val="en-GB"/>
        </w:rPr>
        <w:t>additional relief on a discretionary basis</w:t>
      </w:r>
      <w:r w:rsidR="00DA128D" w:rsidRPr="007C3E08">
        <w:rPr>
          <w:rFonts w:ascii="Avenir Next" w:hAnsi="Avenir Next" w:cs="Arial"/>
          <w:color w:val="7B7B7B" w:themeColor="accent3" w:themeShade="BF"/>
          <w:sz w:val="22"/>
          <w:szCs w:val="22"/>
          <w:lang w:val="en-GB"/>
        </w:rPr>
        <w:t xml:space="preserve"> with respect to the discovery of debtor’s</w:t>
      </w:r>
      <w:r w:rsidR="007D5F1A" w:rsidRPr="007C3E08">
        <w:rPr>
          <w:rFonts w:ascii="Avenir Next" w:hAnsi="Avenir Next" w:cs="Arial"/>
          <w:color w:val="7B7B7B" w:themeColor="accent3" w:themeShade="BF"/>
          <w:sz w:val="22"/>
          <w:szCs w:val="22"/>
          <w:lang w:val="en-GB"/>
        </w:rPr>
        <w:t xml:space="preserve"> affairs</w:t>
      </w:r>
      <w:r w:rsidR="008902D6" w:rsidRPr="007C3E08">
        <w:rPr>
          <w:rFonts w:ascii="Avenir Next" w:hAnsi="Avenir Next" w:cs="Arial"/>
          <w:color w:val="7B7B7B" w:themeColor="accent3" w:themeShade="BF"/>
          <w:sz w:val="22"/>
          <w:szCs w:val="22"/>
          <w:lang w:val="en-GB"/>
        </w:rPr>
        <w:t xml:space="preserve"> and any other relief “necessary to effectuate the purpose of chapter 15 and protect </w:t>
      </w:r>
      <w:r w:rsidR="007D5F1A" w:rsidRPr="007C3E08">
        <w:rPr>
          <w:rFonts w:ascii="Avenir Next" w:hAnsi="Avenir Next" w:cs="Arial"/>
          <w:color w:val="7B7B7B" w:themeColor="accent3" w:themeShade="BF"/>
          <w:sz w:val="22"/>
          <w:szCs w:val="22"/>
          <w:lang w:val="en-GB"/>
        </w:rPr>
        <w:t>t</w:t>
      </w:r>
      <w:r w:rsidR="008902D6" w:rsidRPr="007C3E08">
        <w:rPr>
          <w:rFonts w:ascii="Avenir Next" w:hAnsi="Avenir Next" w:cs="Arial"/>
          <w:color w:val="7B7B7B" w:themeColor="accent3" w:themeShade="BF"/>
          <w:sz w:val="22"/>
          <w:szCs w:val="22"/>
          <w:lang w:val="en-GB"/>
        </w:rPr>
        <w:t>he assets of the debtor or the interests of creditors</w:t>
      </w:r>
      <w:r w:rsidR="001E4DD6" w:rsidRPr="007C3E08">
        <w:rPr>
          <w:rFonts w:ascii="Avenir Next" w:hAnsi="Avenir Next" w:cs="Arial"/>
          <w:color w:val="7B7B7B" w:themeColor="accent3" w:themeShade="BF"/>
          <w:sz w:val="22"/>
          <w:szCs w:val="22"/>
          <w:lang w:val="en-GB"/>
        </w:rPr>
        <w:t>”.</w:t>
      </w:r>
      <w:r w:rsidR="000A2D68" w:rsidRPr="007C3E08">
        <w:rPr>
          <w:rFonts w:ascii="Avenir Next" w:hAnsi="Avenir Next" w:cs="Arial"/>
          <w:color w:val="7B7B7B" w:themeColor="accent3" w:themeShade="BF"/>
          <w:sz w:val="22"/>
          <w:szCs w:val="22"/>
          <w:lang w:val="en-GB"/>
        </w:rPr>
        <w:t xml:space="preserve"> However, considering that this type of relief is discretionary (i.e., can be revoked</w:t>
      </w:r>
      <w:r w:rsidR="009930C5" w:rsidRPr="007C3E08">
        <w:rPr>
          <w:rFonts w:ascii="Avenir Next" w:hAnsi="Avenir Next" w:cs="Arial"/>
          <w:color w:val="7B7B7B" w:themeColor="accent3" w:themeShade="BF"/>
          <w:sz w:val="22"/>
          <w:szCs w:val="22"/>
          <w:lang w:val="en-GB"/>
        </w:rPr>
        <w:t>)</w:t>
      </w:r>
      <w:r w:rsidR="00F0666E" w:rsidRPr="007C3E08">
        <w:rPr>
          <w:rFonts w:ascii="Avenir Next" w:hAnsi="Avenir Next" w:cs="Arial"/>
          <w:color w:val="7B7B7B" w:themeColor="accent3" w:themeShade="BF"/>
          <w:sz w:val="22"/>
          <w:szCs w:val="22"/>
          <w:lang w:val="en-GB"/>
        </w:rPr>
        <w:t xml:space="preserve"> in the case of foreign non-main proceedings, makes </w:t>
      </w:r>
      <w:r w:rsidR="00F60DB1" w:rsidRPr="007C3E08">
        <w:rPr>
          <w:rFonts w:ascii="Avenir Next" w:hAnsi="Avenir Next" w:cs="Arial"/>
          <w:color w:val="7B7B7B" w:themeColor="accent3" w:themeShade="BF"/>
          <w:sz w:val="22"/>
          <w:szCs w:val="22"/>
          <w:lang w:val="en-GB"/>
        </w:rPr>
        <w:t>foreign main proceedings more attractive from a protection standpoint.</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246D8A20" w:rsidR="00E41578" w:rsidRPr="00E41578" w:rsidRDefault="00FB68D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on the information provided, </w:t>
      </w:r>
      <w:proofErr w:type="gramStart"/>
      <w:r>
        <w:rPr>
          <w:rFonts w:ascii="Avenir Next" w:hAnsi="Avenir Next" w:cs="Arial"/>
          <w:color w:val="7B7B7B" w:themeColor="accent3" w:themeShade="BF"/>
          <w:sz w:val="22"/>
          <w:szCs w:val="22"/>
          <w:lang w:val="en-GB"/>
        </w:rPr>
        <w:t>it would seem that relative</w:t>
      </w:r>
      <w:proofErr w:type="gramEnd"/>
      <w:r>
        <w:rPr>
          <w:rFonts w:ascii="Avenir Next" w:hAnsi="Avenir Next" w:cs="Arial"/>
          <w:color w:val="7B7B7B" w:themeColor="accent3" w:themeShade="BF"/>
          <w:sz w:val="22"/>
          <w:szCs w:val="22"/>
          <w:lang w:val="en-GB"/>
        </w:rPr>
        <w:t xml:space="preserve"> to UK’s </w:t>
      </w:r>
      <w:r w:rsidR="008C28AA">
        <w:rPr>
          <w:rFonts w:ascii="Avenir Next" w:hAnsi="Avenir Next" w:cs="Arial"/>
          <w:color w:val="7B7B7B" w:themeColor="accent3" w:themeShade="BF"/>
          <w:sz w:val="22"/>
          <w:szCs w:val="22"/>
          <w:lang w:val="en-GB"/>
        </w:rPr>
        <w:t>Compan</w:t>
      </w:r>
      <w:r w:rsidR="000C3983">
        <w:rPr>
          <w:rFonts w:ascii="Avenir Next" w:hAnsi="Avenir Next" w:cs="Arial"/>
          <w:color w:val="7B7B7B" w:themeColor="accent3" w:themeShade="BF"/>
          <w:sz w:val="22"/>
          <w:szCs w:val="22"/>
          <w:lang w:val="en-GB"/>
        </w:rPr>
        <w:t xml:space="preserve">ies Act 2006 </w:t>
      </w:r>
      <w:r w:rsidR="000C4787">
        <w:rPr>
          <w:rFonts w:ascii="Avenir Next" w:hAnsi="Avenir Next" w:cs="Arial"/>
          <w:color w:val="7B7B7B" w:themeColor="accent3" w:themeShade="BF"/>
          <w:sz w:val="22"/>
          <w:szCs w:val="22"/>
          <w:lang w:val="en-GB"/>
        </w:rPr>
        <w:t xml:space="preserve">/ Chapter 2 </w:t>
      </w:r>
      <w:r w:rsidR="000C3983">
        <w:rPr>
          <w:rFonts w:ascii="Avenir Next" w:hAnsi="Avenir Next" w:cs="Arial"/>
          <w:color w:val="7B7B7B" w:themeColor="accent3" w:themeShade="BF"/>
          <w:sz w:val="22"/>
          <w:szCs w:val="22"/>
          <w:lang w:val="en-GB"/>
        </w:rPr>
        <w:t>(s</w:t>
      </w:r>
      <w:r w:rsidR="000C4787">
        <w:rPr>
          <w:rFonts w:ascii="Avenir Next" w:hAnsi="Avenir Next" w:cs="Arial"/>
          <w:color w:val="7B7B7B" w:themeColor="accent3" w:themeShade="BF"/>
          <w:sz w:val="22"/>
          <w:szCs w:val="22"/>
          <w:lang w:val="en-GB"/>
        </w:rPr>
        <w:t xml:space="preserve">170 – s180), </w:t>
      </w:r>
      <w:r w:rsidR="007F1668">
        <w:rPr>
          <w:rFonts w:ascii="Avenir Next" w:hAnsi="Avenir Next" w:cs="Arial"/>
          <w:color w:val="7B7B7B" w:themeColor="accent3" w:themeShade="BF"/>
          <w:sz w:val="22"/>
          <w:szCs w:val="22"/>
          <w:lang w:val="en-GB"/>
        </w:rPr>
        <w:t xml:space="preserve">director duties and liability under Delaware </w:t>
      </w:r>
      <w:r w:rsidR="00155027">
        <w:rPr>
          <w:rFonts w:ascii="Avenir Next" w:hAnsi="Avenir Next" w:cs="Arial"/>
          <w:color w:val="7B7B7B" w:themeColor="accent3" w:themeShade="BF"/>
          <w:sz w:val="22"/>
          <w:szCs w:val="22"/>
          <w:lang w:val="en-GB"/>
        </w:rPr>
        <w:t xml:space="preserve">corporate </w:t>
      </w:r>
      <w:r w:rsidR="007F1668">
        <w:rPr>
          <w:rFonts w:ascii="Avenir Next" w:hAnsi="Avenir Next" w:cs="Arial"/>
          <w:color w:val="7B7B7B" w:themeColor="accent3" w:themeShade="BF"/>
          <w:sz w:val="22"/>
          <w:szCs w:val="22"/>
          <w:lang w:val="en-GB"/>
        </w:rPr>
        <w:t xml:space="preserve">law is more limited. </w:t>
      </w:r>
      <w:r w:rsidR="00DE28C0">
        <w:rPr>
          <w:rFonts w:ascii="Avenir Next" w:hAnsi="Avenir Next" w:cs="Arial"/>
          <w:color w:val="7B7B7B" w:themeColor="accent3" w:themeShade="BF"/>
          <w:sz w:val="22"/>
          <w:szCs w:val="22"/>
          <w:lang w:val="en-GB"/>
        </w:rPr>
        <w:t xml:space="preserve">First of </w:t>
      </w:r>
      <w:proofErr w:type="gramStart"/>
      <w:r w:rsidR="00DE28C0">
        <w:rPr>
          <w:rFonts w:ascii="Avenir Next" w:hAnsi="Avenir Next" w:cs="Arial"/>
          <w:color w:val="7B7B7B" w:themeColor="accent3" w:themeShade="BF"/>
          <w:sz w:val="22"/>
          <w:szCs w:val="22"/>
          <w:lang w:val="en-GB"/>
        </w:rPr>
        <w:t>all</w:t>
      </w:r>
      <w:proofErr w:type="gramEnd"/>
      <w:r w:rsidR="00DE28C0">
        <w:rPr>
          <w:rFonts w:ascii="Avenir Next" w:hAnsi="Avenir Next" w:cs="Arial"/>
          <w:color w:val="7B7B7B" w:themeColor="accent3" w:themeShade="BF"/>
          <w:sz w:val="22"/>
          <w:szCs w:val="22"/>
          <w:lang w:val="en-GB"/>
        </w:rPr>
        <w:t xml:space="preserve"> directors’ duties are always owed to the corporation and its shareholders</w:t>
      </w:r>
      <w:r w:rsidR="00265938">
        <w:rPr>
          <w:rFonts w:ascii="Avenir Next" w:hAnsi="Avenir Next" w:cs="Arial"/>
          <w:color w:val="7B7B7B" w:themeColor="accent3" w:themeShade="BF"/>
          <w:sz w:val="22"/>
          <w:szCs w:val="22"/>
          <w:lang w:val="en-GB"/>
        </w:rPr>
        <w:t xml:space="preserve"> (and never to the creditors!)</w:t>
      </w:r>
      <w:r w:rsidR="005547DB">
        <w:rPr>
          <w:rFonts w:ascii="Avenir Next" w:hAnsi="Avenir Next" w:cs="Arial"/>
          <w:color w:val="7B7B7B" w:themeColor="accent3" w:themeShade="BF"/>
          <w:sz w:val="22"/>
          <w:szCs w:val="22"/>
          <w:lang w:val="en-GB"/>
        </w:rPr>
        <w:t xml:space="preserve">, since the zone of insolvency </w:t>
      </w:r>
      <w:r w:rsidR="004F5BE6">
        <w:rPr>
          <w:rFonts w:ascii="Avenir Next" w:hAnsi="Avenir Next" w:cs="Arial"/>
          <w:color w:val="7B7B7B" w:themeColor="accent3" w:themeShade="BF"/>
          <w:sz w:val="22"/>
          <w:szCs w:val="22"/>
          <w:lang w:val="en-GB"/>
        </w:rPr>
        <w:t>does not exist in</w:t>
      </w:r>
      <w:r w:rsidR="005547DB">
        <w:rPr>
          <w:rFonts w:ascii="Avenir Next" w:hAnsi="Avenir Next" w:cs="Arial"/>
          <w:color w:val="7B7B7B" w:themeColor="accent3" w:themeShade="BF"/>
          <w:sz w:val="22"/>
          <w:szCs w:val="22"/>
          <w:lang w:val="en-GB"/>
        </w:rPr>
        <w:t xml:space="preserve"> Delaware case law. </w:t>
      </w:r>
      <w:r w:rsidR="00651271">
        <w:rPr>
          <w:rFonts w:ascii="Avenir Next" w:hAnsi="Avenir Next" w:cs="Arial"/>
          <w:color w:val="7B7B7B" w:themeColor="accent3" w:themeShade="BF"/>
          <w:sz w:val="22"/>
          <w:szCs w:val="22"/>
          <w:lang w:val="en-GB"/>
        </w:rPr>
        <w:t xml:space="preserve">Second, </w:t>
      </w:r>
      <w:r w:rsidR="006F7A64">
        <w:rPr>
          <w:rFonts w:ascii="Avenir Next" w:hAnsi="Avenir Next" w:cs="Arial"/>
          <w:color w:val="7B7B7B" w:themeColor="accent3" w:themeShade="BF"/>
          <w:sz w:val="22"/>
          <w:szCs w:val="22"/>
          <w:lang w:val="en-GB"/>
        </w:rPr>
        <w:t xml:space="preserve">directors owe a </w:t>
      </w:r>
      <w:r w:rsidR="00651271">
        <w:rPr>
          <w:rFonts w:ascii="Avenir Next" w:hAnsi="Avenir Next" w:cs="Arial"/>
          <w:color w:val="7B7B7B" w:themeColor="accent3" w:themeShade="BF"/>
          <w:sz w:val="22"/>
          <w:szCs w:val="22"/>
          <w:lang w:val="en-GB"/>
        </w:rPr>
        <w:t xml:space="preserve">fiduciary </w:t>
      </w:r>
      <w:r w:rsidR="00DE28C0">
        <w:rPr>
          <w:rFonts w:ascii="Avenir Next" w:hAnsi="Avenir Next" w:cs="Arial"/>
          <w:color w:val="7B7B7B" w:themeColor="accent3" w:themeShade="BF"/>
          <w:sz w:val="22"/>
          <w:szCs w:val="22"/>
          <w:lang w:val="en-GB"/>
        </w:rPr>
        <w:t xml:space="preserve">duty of loyalty </w:t>
      </w:r>
      <w:r w:rsidR="006F7A64">
        <w:rPr>
          <w:rFonts w:ascii="Avenir Next" w:hAnsi="Avenir Next" w:cs="Arial"/>
          <w:color w:val="7B7B7B" w:themeColor="accent3" w:themeShade="BF"/>
          <w:sz w:val="22"/>
          <w:szCs w:val="22"/>
          <w:lang w:val="en-GB"/>
        </w:rPr>
        <w:t xml:space="preserve">and </w:t>
      </w:r>
      <w:r w:rsidR="000F07A1">
        <w:rPr>
          <w:rFonts w:ascii="Avenir Next" w:hAnsi="Avenir Next" w:cs="Arial"/>
          <w:color w:val="7B7B7B" w:themeColor="accent3" w:themeShade="BF"/>
          <w:sz w:val="22"/>
          <w:szCs w:val="22"/>
          <w:lang w:val="en-GB"/>
        </w:rPr>
        <w:t>a duty of care in educated decision making</w:t>
      </w:r>
      <w:r w:rsidR="00E27F08">
        <w:rPr>
          <w:rFonts w:ascii="Avenir Next" w:hAnsi="Avenir Next" w:cs="Arial"/>
          <w:color w:val="7B7B7B" w:themeColor="accent3" w:themeShade="BF"/>
          <w:sz w:val="22"/>
          <w:szCs w:val="22"/>
          <w:lang w:val="en-GB"/>
        </w:rPr>
        <w:t>. Finally, the directors</w:t>
      </w:r>
      <w:r w:rsidR="00102F10">
        <w:rPr>
          <w:rFonts w:ascii="Avenir Next" w:hAnsi="Avenir Next" w:cs="Arial"/>
          <w:color w:val="7B7B7B" w:themeColor="accent3" w:themeShade="BF"/>
          <w:sz w:val="22"/>
          <w:szCs w:val="22"/>
          <w:lang w:val="en-GB"/>
        </w:rPr>
        <w:t xml:space="preserve"> are protected from liability </w:t>
      </w:r>
      <w:r w:rsidR="00370E16">
        <w:rPr>
          <w:rFonts w:ascii="Avenir Next" w:hAnsi="Avenir Next" w:cs="Arial"/>
          <w:color w:val="7B7B7B" w:themeColor="accent3" w:themeShade="BF"/>
          <w:sz w:val="22"/>
          <w:szCs w:val="22"/>
          <w:lang w:val="en-GB"/>
        </w:rPr>
        <w:t xml:space="preserve">by the business judgement rule in situations where </w:t>
      </w:r>
      <w:r w:rsidR="00F61649">
        <w:rPr>
          <w:rFonts w:ascii="Avenir Next" w:hAnsi="Avenir Next" w:cs="Arial"/>
          <w:color w:val="7B7B7B" w:themeColor="accent3" w:themeShade="BF"/>
          <w:sz w:val="22"/>
          <w:szCs w:val="22"/>
          <w:lang w:val="en-GB"/>
        </w:rPr>
        <w:t xml:space="preserve">errors in judgement have resulted in an </w:t>
      </w:r>
      <w:r w:rsidR="00E27F08">
        <w:rPr>
          <w:rFonts w:ascii="Avenir Next" w:hAnsi="Avenir Next" w:cs="Arial"/>
          <w:color w:val="7B7B7B" w:themeColor="accent3" w:themeShade="BF"/>
          <w:sz w:val="22"/>
          <w:szCs w:val="22"/>
          <w:lang w:val="en-GB"/>
        </w:rPr>
        <w:t>unfavourable outcome for the company and its shareholders.</w:t>
      </w:r>
      <w:r w:rsidR="00922E10">
        <w:rPr>
          <w:rFonts w:ascii="Avenir Next" w:hAnsi="Avenir Next" w:cs="Arial"/>
          <w:color w:val="7B7B7B" w:themeColor="accent3" w:themeShade="BF"/>
          <w:sz w:val="22"/>
          <w:szCs w:val="22"/>
          <w:lang w:val="en-GB"/>
        </w:rPr>
        <w:t xml:space="preserve"> The only way this </w:t>
      </w:r>
      <w:r w:rsidR="009551EF">
        <w:rPr>
          <w:rFonts w:ascii="Avenir Next" w:hAnsi="Avenir Next" w:cs="Arial"/>
          <w:color w:val="7B7B7B" w:themeColor="accent3" w:themeShade="BF"/>
          <w:sz w:val="22"/>
          <w:szCs w:val="22"/>
          <w:lang w:val="en-GB"/>
        </w:rPr>
        <w:t>“shield” can be pierced is if it can be proven that the directors were not reasonably informed in their decision making</w:t>
      </w:r>
      <w:r w:rsidR="00410B08">
        <w:rPr>
          <w:rFonts w:ascii="Avenir Next" w:hAnsi="Avenir Next" w:cs="Arial"/>
          <w:color w:val="7B7B7B" w:themeColor="accent3" w:themeShade="BF"/>
          <w:sz w:val="22"/>
          <w:szCs w:val="22"/>
          <w:lang w:val="en-GB"/>
        </w:rPr>
        <w:t>, were not acting in good faith</w:t>
      </w:r>
      <w:r w:rsidR="009551EF">
        <w:rPr>
          <w:rFonts w:ascii="Avenir Next" w:hAnsi="Avenir Next" w:cs="Arial"/>
          <w:color w:val="7B7B7B" w:themeColor="accent3" w:themeShade="BF"/>
          <w:sz w:val="22"/>
          <w:szCs w:val="22"/>
          <w:lang w:val="en-GB"/>
        </w:rPr>
        <w:t xml:space="preserve"> and did not honestly believe that </w:t>
      </w:r>
      <w:r w:rsidR="00410B08">
        <w:rPr>
          <w:rFonts w:ascii="Avenir Next" w:hAnsi="Avenir Next" w:cs="Arial"/>
          <w:color w:val="7B7B7B" w:themeColor="accent3" w:themeShade="BF"/>
          <w:sz w:val="22"/>
          <w:szCs w:val="22"/>
          <w:lang w:val="en-GB"/>
        </w:rPr>
        <w:t>the decision was in the corporation’s best interest.</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0B373D0E" w:rsidR="00F03051" w:rsidRDefault="007B3134" w:rsidP="00F03051">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qualify as a petitioning creditor</w:t>
      </w:r>
      <w:r w:rsidR="00DE20A3">
        <w:rPr>
          <w:rFonts w:ascii="Avenir Next" w:hAnsi="Avenir Next" w:cs="Arial"/>
          <w:color w:val="7B7B7B" w:themeColor="accent3" w:themeShade="BF"/>
          <w:sz w:val="22"/>
          <w:szCs w:val="22"/>
          <w:lang w:val="en-GB"/>
        </w:rPr>
        <w:t xml:space="preserve"> in an involuntary </w:t>
      </w:r>
      <w:r w:rsidR="00AC40AF">
        <w:rPr>
          <w:rFonts w:ascii="Avenir Next" w:hAnsi="Avenir Next" w:cs="Arial"/>
          <w:color w:val="7B7B7B" w:themeColor="accent3" w:themeShade="BF"/>
          <w:sz w:val="22"/>
          <w:szCs w:val="22"/>
          <w:lang w:val="en-GB"/>
        </w:rPr>
        <w:t>proceeding</w:t>
      </w:r>
      <w:r w:rsidR="00C76B6B">
        <w:rPr>
          <w:rFonts w:ascii="Avenir Next" w:hAnsi="Avenir Next" w:cs="Arial"/>
          <w:color w:val="7B7B7B" w:themeColor="accent3" w:themeShade="BF"/>
          <w:sz w:val="22"/>
          <w:szCs w:val="22"/>
          <w:lang w:val="en-GB"/>
        </w:rPr>
        <w:t xml:space="preserve">, the </w:t>
      </w:r>
      <w:r w:rsidR="000264ED">
        <w:rPr>
          <w:rFonts w:ascii="Avenir Next" w:hAnsi="Avenir Next" w:cs="Arial"/>
          <w:color w:val="7B7B7B" w:themeColor="accent3" w:themeShade="BF"/>
          <w:sz w:val="22"/>
          <w:szCs w:val="22"/>
          <w:lang w:val="en-GB"/>
        </w:rPr>
        <w:t xml:space="preserve">unsecured (or </w:t>
      </w:r>
      <w:proofErr w:type="spellStart"/>
      <w:r w:rsidR="000264ED">
        <w:rPr>
          <w:rFonts w:ascii="Avenir Next" w:hAnsi="Avenir Next" w:cs="Arial"/>
          <w:color w:val="7B7B7B" w:themeColor="accent3" w:themeShade="BF"/>
          <w:sz w:val="22"/>
          <w:szCs w:val="22"/>
          <w:lang w:val="en-GB"/>
        </w:rPr>
        <w:t>undersecured</w:t>
      </w:r>
      <w:proofErr w:type="spellEnd"/>
      <w:r w:rsidR="000264ED">
        <w:rPr>
          <w:rFonts w:ascii="Avenir Next" w:hAnsi="Avenir Next" w:cs="Arial"/>
          <w:color w:val="7B7B7B" w:themeColor="accent3" w:themeShade="BF"/>
          <w:sz w:val="22"/>
          <w:szCs w:val="22"/>
          <w:lang w:val="en-GB"/>
        </w:rPr>
        <w:t xml:space="preserve">) </w:t>
      </w:r>
      <w:r w:rsidR="00C76B6B">
        <w:rPr>
          <w:rFonts w:ascii="Avenir Next" w:hAnsi="Avenir Next" w:cs="Arial"/>
          <w:color w:val="7B7B7B" w:themeColor="accent3" w:themeShade="BF"/>
          <w:sz w:val="22"/>
          <w:szCs w:val="22"/>
          <w:lang w:val="en-GB"/>
        </w:rPr>
        <w:t xml:space="preserve">creditor must have a claim that is non-contingent, not subject to </w:t>
      </w:r>
      <w:r w:rsidR="00DC1CDA">
        <w:rPr>
          <w:rFonts w:ascii="Avenir Next" w:hAnsi="Avenir Next" w:cs="Arial"/>
          <w:color w:val="7B7B7B" w:themeColor="accent3" w:themeShade="BF"/>
          <w:sz w:val="22"/>
          <w:szCs w:val="22"/>
          <w:lang w:val="en-GB"/>
        </w:rPr>
        <w:t>a bona-fide dispute a</w:t>
      </w:r>
      <w:r w:rsidR="000264ED">
        <w:rPr>
          <w:rFonts w:ascii="Avenir Next" w:hAnsi="Avenir Next" w:cs="Arial"/>
          <w:color w:val="7B7B7B" w:themeColor="accent3" w:themeShade="BF"/>
          <w:sz w:val="22"/>
          <w:szCs w:val="22"/>
          <w:lang w:val="en-GB"/>
        </w:rPr>
        <w:t>nd is in excess of US$1</w:t>
      </w:r>
      <w:r w:rsidR="008C26F0">
        <w:rPr>
          <w:rFonts w:ascii="Avenir Next" w:hAnsi="Avenir Next" w:cs="Arial"/>
          <w:color w:val="7B7B7B" w:themeColor="accent3" w:themeShade="BF"/>
          <w:sz w:val="22"/>
          <w:szCs w:val="22"/>
          <w:lang w:val="en-GB"/>
        </w:rPr>
        <w:t xml:space="preserve">6,750. </w:t>
      </w:r>
    </w:p>
    <w:p w14:paraId="34E82676" w14:textId="4918526F" w:rsidR="008C26F0" w:rsidRDefault="008C26F0" w:rsidP="00F03051">
      <w:pPr>
        <w:jc w:val="both"/>
        <w:rPr>
          <w:rFonts w:ascii="Avenir Next" w:hAnsi="Avenir Next" w:cs="Arial"/>
          <w:color w:val="7B7B7B" w:themeColor="accent3" w:themeShade="BF"/>
          <w:sz w:val="22"/>
          <w:szCs w:val="22"/>
          <w:lang w:val="en-GB"/>
        </w:rPr>
      </w:pPr>
    </w:p>
    <w:p w14:paraId="451F56CC" w14:textId="0A03F4BF" w:rsidR="008C26F0" w:rsidRDefault="008C26F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a claim to be considered non-contingent </w:t>
      </w:r>
      <w:r w:rsidR="009C6FE9">
        <w:rPr>
          <w:rFonts w:ascii="Avenir Next" w:hAnsi="Avenir Next" w:cs="Arial"/>
          <w:color w:val="7B7B7B" w:themeColor="accent3" w:themeShade="BF"/>
          <w:sz w:val="22"/>
          <w:szCs w:val="22"/>
          <w:lang w:val="en-GB"/>
        </w:rPr>
        <w:t xml:space="preserve">it needs to have crystallized and </w:t>
      </w:r>
      <w:r w:rsidR="0050455D">
        <w:rPr>
          <w:rFonts w:ascii="Avenir Next" w:hAnsi="Avenir Next" w:cs="Arial"/>
          <w:color w:val="7B7B7B" w:themeColor="accent3" w:themeShade="BF"/>
          <w:sz w:val="22"/>
          <w:szCs w:val="22"/>
          <w:lang w:val="en-GB"/>
        </w:rPr>
        <w:t>cannot be dependent on future events</w:t>
      </w:r>
      <w:r w:rsidR="009C6FE9">
        <w:rPr>
          <w:rFonts w:ascii="Avenir Next" w:hAnsi="Avenir Next" w:cs="Arial"/>
          <w:color w:val="7B7B7B" w:themeColor="accent3" w:themeShade="BF"/>
          <w:sz w:val="22"/>
          <w:szCs w:val="22"/>
          <w:lang w:val="en-GB"/>
        </w:rPr>
        <w:t>.</w:t>
      </w:r>
      <w:r w:rsidR="005C245A">
        <w:rPr>
          <w:rFonts w:ascii="Avenir Next" w:hAnsi="Avenir Next" w:cs="Arial"/>
          <w:color w:val="7B7B7B" w:themeColor="accent3" w:themeShade="BF"/>
          <w:sz w:val="22"/>
          <w:szCs w:val="22"/>
          <w:lang w:val="en-GB"/>
        </w:rPr>
        <w:t xml:space="preserve"> The claim also needs to </w:t>
      </w:r>
      <w:r w:rsidR="003A6590">
        <w:rPr>
          <w:rFonts w:ascii="Avenir Next" w:hAnsi="Avenir Next" w:cs="Arial"/>
          <w:color w:val="7B7B7B" w:themeColor="accent3" w:themeShade="BF"/>
          <w:sz w:val="22"/>
          <w:szCs w:val="22"/>
          <w:lang w:val="en-GB"/>
        </w:rPr>
        <w:t xml:space="preserve">be </w:t>
      </w:r>
      <w:r w:rsidR="00D358D3">
        <w:rPr>
          <w:rFonts w:ascii="Avenir Next" w:hAnsi="Avenir Next" w:cs="Arial"/>
          <w:color w:val="7B7B7B" w:themeColor="accent3" w:themeShade="BF"/>
          <w:sz w:val="22"/>
          <w:szCs w:val="22"/>
          <w:lang w:val="en-GB"/>
        </w:rPr>
        <w:t xml:space="preserve">based on fact and/or law, and in that sense not subject to a </w:t>
      </w:r>
      <w:r w:rsidR="00160C85">
        <w:rPr>
          <w:rFonts w:ascii="Avenir Next" w:hAnsi="Avenir Next" w:cs="Arial"/>
          <w:color w:val="7B7B7B" w:themeColor="accent3" w:themeShade="BF"/>
          <w:sz w:val="22"/>
          <w:szCs w:val="22"/>
          <w:lang w:val="en-GB"/>
        </w:rPr>
        <w:t xml:space="preserve">dispute. To the extent that a portion of the non-contingent claim is disputed, </w:t>
      </w:r>
      <w:r w:rsidR="00607FE6">
        <w:rPr>
          <w:rFonts w:ascii="Avenir Next" w:hAnsi="Avenir Next" w:cs="Arial"/>
          <w:color w:val="7B7B7B" w:themeColor="accent3" w:themeShade="BF"/>
          <w:sz w:val="22"/>
          <w:szCs w:val="22"/>
          <w:lang w:val="en-GB"/>
        </w:rPr>
        <w:t xml:space="preserve">it disqualifies that specific claim in its entirety from being used </w:t>
      </w:r>
      <w:r w:rsidR="00551C50">
        <w:rPr>
          <w:rFonts w:ascii="Avenir Next" w:hAnsi="Avenir Next" w:cs="Arial"/>
          <w:color w:val="7B7B7B" w:themeColor="accent3" w:themeShade="BF"/>
          <w:sz w:val="22"/>
          <w:szCs w:val="22"/>
          <w:lang w:val="en-GB"/>
        </w:rPr>
        <w:t xml:space="preserve">to meet the monetary threshold of US$16,750. </w:t>
      </w:r>
      <w:r w:rsidR="0041638C">
        <w:rPr>
          <w:rFonts w:ascii="Avenir Next" w:hAnsi="Avenir Next" w:cs="Arial"/>
          <w:color w:val="7B7B7B" w:themeColor="accent3" w:themeShade="BF"/>
          <w:sz w:val="22"/>
          <w:szCs w:val="22"/>
          <w:lang w:val="en-GB"/>
        </w:rPr>
        <w:t>However, the same creditor can use other claims (</w:t>
      </w:r>
      <w:r w:rsidR="00D36098">
        <w:rPr>
          <w:rFonts w:ascii="Avenir Next" w:hAnsi="Avenir Next" w:cs="Arial"/>
          <w:color w:val="7B7B7B" w:themeColor="accent3" w:themeShade="BF"/>
          <w:sz w:val="22"/>
          <w:szCs w:val="22"/>
          <w:lang w:val="en-GB"/>
        </w:rPr>
        <w:t>providing they are neither disputed nor contingent) to meet the necessary criteria.</w:t>
      </w:r>
      <w:r w:rsidR="00E12EDA">
        <w:rPr>
          <w:rFonts w:ascii="Avenir Next" w:hAnsi="Avenir Next" w:cs="Arial"/>
          <w:color w:val="7B7B7B" w:themeColor="accent3" w:themeShade="BF"/>
          <w:sz w:val="22"/>
          <w:szCs w:val="22"/>
          <w:lang w:val="en-GB"/>
        </w:rPr>
        <w:t xml:space="preserve"> Finally, </w:t>
      </w:r>
      <w:r w:rsidR="00791CD4">
        <w:rPr>
          <w:rFonts w:ascii="Avenir Next" w:hAnsi="Avenir Next" w:cs="Arial"/>
          <w:color w:val="7B7B7B" w:themeColor="accent3" w:themeShade="BF"/>
          <w:sz w:val="22"/>
          <w:szCs w:val="22"/>
          <w:lang w:val="en-GB"/>
        </w:rPr>
        <w:t xml:space="preserve">in an insolvency petition the creditor also needs to prove that the debtor is </w:t>
      </w:r>
      <w:r w:rsidR="00346F6E">
        <w:rPr>
          <w:rFonts w:ascii="Avenir Next" w:hAnsi="Avenir Next" w:cs="Arial"/>
          <w:color w:val="7B7B7B" w:themeColor="accent3" w:themeShade="BF"/>
          <w:sz w:val="22"/>
          <w:szCs w:val="22"/>
          <w:lang w:val="en-GB"/>
        </w:rPr>
        <w:t xml:space="preserve">either cash </w:t>
      </w:r>
      <w:r w:rsidR="00514D24">
        <w:rPr>
          <w:rFonts w:ascii="Avenir Next" w:hAnsi="Avenir Next" w:cs="Arial"/>
          <w:color w:val="7B7B7B" w:themeColor="accent3" w:themeShade="BF"/>
          <w:sz w:val="22"/>
          <w:szCs w:val="22"/>
          <w:lang w:val="en-GB"/>
        </w:rPr>
        <w:t>flow</w:t>
      </w:r>
      <w:r w:rsidR="00346F6E">
        <w:rPr>
          <w:rFonts w:ascii="Avenir Next" w:hAnsi="Avenir Next" w:cs="Arial"/>
          <w:color w:val="7B7B7B" w:themeColor="accent3" w:themeShade="BF"/>
          <w:sz w:val="22"/>
          <w:szCs w:val="22"/>
          <w:lang w:val="en-GB"/>
        </w:rPr>
        <w:t xml:space="preserve"> ins</w:t>
      </w:r>
      <w:r w:rsidR="00514D24">
        <w:rPr>
          <w:rFonts w:ascii="Avenir Next" w:hAnsi="Avenir Next" w:cs="Arial"/>
          <w:color w:val="7B7B7B" w:themeColor="accent3" w:themeShade="BF"/>
          <w:sz w:val="22"/>
          <w:szCs w:val="22"/>
          <w:lang w:val="en-GB"/>
        </w:rPr>
        <w:t xml:space="preserve">olvent </w:t>
      </w:r>
      <w:r w:rsidR="008E6999">
        <w:rPr>
          <w:rFonts w:ascii="Avenir Next" w:hAnsi="Avenir Next" w:cs="Arial"/>
          <w:color w:val="7B7B7B" w:themeColor="accent3" w:themeShade="BF"/>
          <w:sz w:val="22"/>
          <w:szCs w:val="22"/>
          <w:lang w:val="en-GB"/>
        </w:rPr>
        <w:t>or that within 120 days prior to the filing of the petition</w:t>
      </w:r>
      <w:r w:rsidR="00E828B1">
        <w:rPr>
          <w:rFonts w:ascii="Avenir Next" w:hAnsi="Avenir Next" w:cs="Arial"/>
          <w:color w:val="7B7B7B" w:themeColor="accent3" w:themeShade="BF"/>
          <w:sz w:val="22"/>
          <w:szCs w:val="22"/>
          <w:lang w:val="en-GB"/>
        </w:rPr>
        <w:t xml:space="preserve"> a custodian was appointed. </w:t>
      </w:r>
    </w:p>
    <w:p w14:paraId="5BC15CF3" w14:textId="2417BEA8" w:rsidR="00187FBB" w:rsidRDefault="00187FBB" w:rsidP="00F03051">
      <w:pPr>
        <w:jc w:val="both"/>
        <w:rPr>
          <w:rFonts w:ascii="Avenir Next" w:hAnsi="Avenir Next" w:cs="Arial"/>
          <w:color w:val="7B7B7B" w:themeColor="accent3" w:themeShade="BF"/>
          <w:sz w:val="22"/>
          <w:szCs w:val="22"/>
          <w:lang w:val="en-GB"/>
        </w:rPr>
      </w:pPr>
    </w:p>
    <w:p w14:paraId="3DF9E77B" w14:textId="5734A1F9" w:rsidR="00187FBB" w:rsidRPr="00E41578" w:rsidRDefault="00187FB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addition to the abovementioned constraints, there are also limitations in terms of what type of debtor can be subject to an involuntary proceeding (e.g., farmers and not-for-profit corporations are exempted) and how many creditors are required to file the petition.</w:t>
      </w: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7C3E08">
        <w:rPr>
          <w:rFonts w:ascii="Avenir Next" w:hAnsi="Avenir Next"/>
        </w:rPr>
        <w:t xml:space="preserve">What would be the effect of a </w:t>
      </w:r>
      <w:r w:rsidR="00325A8F" w:rsidRPr="007C3E08">
        <w:rPr>
          <w:rFonts w:ascii="Avenir Next" w:hAnsi="Avenir Next"/>
        </w:rPr>
        <w:t>C</w:t>
      </w:r>
      <w:r w:rsidRPr="007C3E08">
        <w:rPr>
          <w:rFonts w:ascii="Avenir Next" w:hAnsi="Avenir Next"/>
        </w:rPr>
        <w:t xml:space="preserve">hapter 11 petition being filed by Speculation Inc on each of </w:t>
      </w:r>
      <w:r w:rsidR="00325A8F" w:rsidRPr="007C3E08">
        <w:rPr>
          <w:rFonts w:ascii="Avenir Next" w:hAnsi="Avenir Next"/>
        </w:rPr>
        <w:t xml:space="preserve">the </w:t>
      </w:r>
      <w:r w:rsidRPr="007C3E08">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D60A801" w14:textId="47249455" w:rsidR="00F34374" w:rsidRDefault="00F31DEC" w:rsidP="00F34374">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Typically</w:t>
      </w:r>
      <w:proofErr w:type="gramEnd"/>
      <w:r>
        <w:rPr>
          <w:rFonts w:ascii="Avenir Next" w:hAnsi="Avenir Next" w:cs="Arial"/>
          <w:color w:val="7B7B7B" w:themeColor="accent3" w:themeShade="BF"/>
          <w:sz w:val="22"/>
          <w:szCs w:val="22"/>
          <w:lang w:val="en-GB"/>
        </w:rPr>
        <w:t xml:space="preserve"> upon the filing of the petition for </w:t>
      </w:r>
      <w:r w:rsidR="005D275D">
        <w:rPr>
          <w:rFonts w:ascii="Avenir Next" w:hAnsi="Avenir Next" w:cs="Arial"/>
          <w:color w:val="7B7B7B" w:themeColor="accent3" w:themeShade="BF"/>
          <w:sz w:val="22"/>
          <w:szCs w:val="22"/>
          <w:lang w:val="en-GB"/>
        </w:rPr>
        <w:t xml:space="preserve">Chapter 11, a debtor would benefit from a worldwide automatic stay that would help preserve </w:t>
      </w:r>
      <w:r w:rsidR="00ED5033">
        <w:rPr>
          <w:rFonts w:ascii="Avenir Next" w:hAnsi="Avenir Next" w:cs="Arial"/>
          <w:color w:val="7B7B7B" w:themeColor="accent3" w:themeShade="BF"/>
          <w:sz w:val="22"/>
          <w:szCs w:val="22"/>
          <w:lang w:val="en-GB"/>
        </w:rPr>
        <w:t xml:space="preserve">the value of the estate for the creditors. </w:t>
      </w:r>
      <w:proofErr w:type="gramStart"/>
      <w:r w:rsidR="00ED5033">
        <w:rPr>
          <w:rFonts w:ascii="Avenir Next" w:hAnsi="Avenir Next" w:cs="Arial"/>
          <w:color w:val="7B7B7B" w:themeColor="accent3" w:themeShade="BF"/>
          <w:sz w:val="22"/>
          <w:szCs w:val="22"/>
          <w:lang w:val="en-GB"/>
        </w:rPr>
        <w:t>However</w:t>
      </w:r>
      <w:proofErr w:type="gramEnd"/>
      <w:r w:rsidR="00ED5033">
        <w:rPr>
          <w:rFonts w:ascii="Avenir Next" w:hAnsi="Avenir Next" w:cs="Arial"/>
          <w:color w:val="7B7B7B" w:themeColor="accent3" w:themeShade="BF"/>
          <w:sz w:val="22"/>
          <w:szCs w:val="22"/>
          <w:lang w:val="en-GB"/>
        </w:rPr>
        <w:t xml:space="preserve"> there are </w:t>
      </w:r>
      <w:r w:rsidR="00A31FE4">
        <w:rPr>
          <w:rFonts w:ascii="Avenir Next" w:hAnsi="Avenir Next" w:cs="Arial"/>
          <w:color w:val="7B7B7B" w:themeColor="accent3" w:themeShade="BF"/>
          <w:sz w:val="22"/>
          <w:szCs w:val="22"/>
          <w:lang w:val="en-GB"/>
        </w:rPr>
        <w:t>several</w:t>
      </w:r>
      <w:r w:rsidR="00ED5033">
        <w:rPr>
          <w:rFonts w:ascii="Avenir Next" w:hAnsi="Avenir Next" w:cs="Arial"/>
          <w:color w:val="7B7B7B" w:themeColor="accent3" w:themeShade="BF"/>
          <w:sz w:val="22"/>
          <w:szCs w:val="22"/>
          <w:lang w:val="en-GB"/>
        </w:rPr>
        <w:t xml:space="preserve"> exceptions</w:t>
      </w:r>
      <w:r w:rsidR="00A31FE4">
        <w:rPr>
          <w:rFonts w:ascii="Avenir Next" w:hAnsi="Avenir Next" w:cs="Arial"/>
          <w:color w:val="7B7B7B" w:themeColor="accent3" w:themeShade="BF"/>
          <w:sz w:val="22"/>
          <w:szCs w:val="22"/>
          <w:lang w:val="en-GB"/>
        </w:rPr>
        <w:t xml:space="preserve"> (where the stay does not apply)</w:t>
      </w:r>
      <w:r w:rsidR="00F34374">
        <w:rPr>
          <w:rFonts w:ascii="Avenir Next" w:hAnsi="Avenir Next" w:cs="Arial"/>
          <w:color w:val="7B7B7B" w:themeColor="accent3" w:themeShade="BF"/>
          <w:sz w:val="22"/>
          <w:szCs w:val="22"/>
          <w:lang w:val="en-GB"/>
        </w:rPr>
        <w:t xml:space="preserve"> that are relevant in this case:</w:t>
      </w:r>
    </w:p>
    <w:p w14:paraId="3FD4ECE3" w14:textId="669092BC" w:rsidR="00F34374" w:rsidRDefault="00F34374" w:rsidP="00F34374">
      <w:pPr>
        <w:jc w:val="both"/>
        <w:rPr>
          <w:rFonts w:ascii="Avenir Next" w:hAnsi="Avenir Next" w:cs="Arial"/>
          <w:color w:val="7B7B7B" w:themeColor="accent3" w:themeShade="BF"/>
          <w:sz w:val="22"/>
          <w:szCs w:val="22"/>
          <w:lang w:val="en-GB"/>
        </w:rPr>
      </w:pPr>
    </w:p>
    <w:p w14:paraId="535A2112" w14:textId="36FD7235" w:rsidR="00F34374" w:rsidRDefault="004A200F" w:rsidP="00F34374">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Regulatory investigations;</w:t>
      </w:r>
      <w:r w:rsidR="00204F03">
        <w:rPr>
          <w:rFonts w:ascii="Avenir Next" w:hAnsi="Avenir Next" w:cs="Arial"/>
          <w:color w:val="7B7B7B" w:themeColor="accent3" w:themeShade="BF"/>
          <w:sz w:val="22"/>
          <w:szCs w:val="22"/>
          <w:lang w:val="en-GB"/>
        </w:rPr>
        <w:t xml:space="preserve"> and</w:t>
      </w:r>
    </w:p>
    <w:p w14:paraId="3CC30EC5" w14:textId="3C05F56A" w:rsidR="00C67372" w:rsidRDefault="00A04AE4" w:rsidP="00204F03">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Exercise of </w:t>
      </w:r>
      <w:r w:rsidR="00C67372">
        <w:rPr>
          <w:rFonts w:ascii="Avenir Next" w:hAnsi="Avenir Next" w:cs="Arial"/>
          <w:color w:val="7B7B7B" w:themeColor="accent3" w:themeShade="BF"/>
          <w:sz w:val="22"/>
          <w:szCs w:val="22"/>
          <w:lang w:val="en-GB"/>
        </w:rPr>
        <w:t xml:space="preserve">rights under financial contracts such as swaps, </w:t>
      </w:r>
      <w:proofErr w:type="gramStart"/>
      <w:r w:rsidR="00C67372">
        <w:rPr>
          <w:rFonts w:ascii="Avenir Next" w:hAnsi="Avenir Next" w:cs="Arial"/>
          <w:color w:val="7B7B7B" w:themeColor="accent3" w:themeShade="BF"/>
          <w:sz w:val="22"/>
          <w:szCs w:val="22"/>
          <w:lang w:val="en-GB"/>
        </w:rPr>
        <w:t>forwards</w:t>
      </w:r>
      <w:proofErr w:type="gramEnd"/>
      <w:r w:rsidR="00C67372">
        <w:rPr>
          <w:rFonts w:ascii="Avenir Next" w:hAnsi="Avenir Next" w:cs="Arial"/>
          <w:color w:val="7B7B7B" w:themeColor="accent3" w:themeShade="BF"/>
          <w:sz w:val="22"/>
          <w:szCs w:val="22"/>
          <w:lang w:val="en-GB"/>
        </w:rPr>
        <w:t xml:space="preserve"> and repos</w:t>
      </w:r>
      <w:r w:rsidR="00204F03">
        <w:rPr>
          <w:rFonts w:ascii="Avenir Next" w:hAnsi="Avenir Next" w:cs="Arial"/>
          <w:color w:val="7B7B7B" w:themeColor="accent3" w:themeShade="BF"/>
          <w:sz w:val="22"/>
          <w:szCs w:val="22"/>
          <w:lang w:val="en-GB"/>
        </w:rPr>
        <w:t>.</w:t>
      </w:r>
    </w:p>
    <w:p w14:paraId="4BA4B3FB" w14:textId="1ADD02A2" w:rsidR="003D4DC8" w:rsidRDefault="003D4DC8" w:rsidP="003D4DC8">
      <w:pPr>
        <w:jc w:val="both"/>
        <w:rPr>
          <w:rFonts w:ascii="Avenir Next" w:hAnsi="Avenir Next" w:cs="Arial"/>
          <w:color w:val="7B7B7B" w:themeColor="accent3" w:themeShade="BF"/>
          <w:sz w:val="22"/>
          <w:szCs w:val="22"/>
          <w:lang w:val="en-GB"/>
        </w:rPr>
      </w:pPr>
    </w:p>
    <w:p w14:paraId="2BBABD52" w14:textId="60EE9853" w:rsidR="003D4DC8" w:rsidRDefault="003D4DC8" w:rsidP="003D4DC8">
      <w:pPr>
        <w:jc w:val="both"/>
        <w:rPr>
          <w:rFonts w:ascii="Avenir Next" w:hAnsi="Avenir Next" w:cs="Arial"/>
          <w:color w:val="7B7B7B" w:themeColor="accent3" w:themeShade="BF"/>
          <w:sz w:val="22"/>
          <w:szCs w:val="22"/>
          <w:lang w:val="en-GB"/>
        </w:rPr>
      </w:pPr>
      <w:r w:rsidRPr="003D4DC8">
        <w:rPr>
          <w:rFonts w:ascii="Avenir Next" w:hAnsi="Avenir Next" w:cs="Arial"/>
          <w:color w:val="7B7B7B" w:themeColor="accent3" w:themeShade="BF"/>
          <w:sz w:val="22"/>
          <w:szCs w:val="22"/>
          <w:lang w:val="en-GB"/>
        </w:rPr>
        <w:t>To that extent, the DOJ investigation into Speculation Inc’s affairs would not be stayed, and neither would its</w:t>
      </w:r>
      <w:r>
        <w:rPr>
          <w:rFonts w:ascii="Avenir Next" w:hAnsi="Avenir Next" w:cs="Arial"/>
          <w:color w:val="7B7B7B" w:themeColor="accent3" w:themeShade="BF"/>
          <w:sz w:val="22"/>
          <w:szCs w:val="22"/>
          <w:lang w:val="en-GB"/>
        </w:rPr>
        <w:t xml:space="preserve"> </w:t>
      </w:r>
      <w:r w:rsidR="00EA4A87">
        <w:rPr>
          <w:rFonts w:ascii="Avenir Next" w:hAnsi="Avenir Next" w:cs="Arial"/>
          <w:color w:val="7B7B7B" w:themeColor="accent3" w:themeShade="BF"/>
          <w:sz w:val="22"/>
          <w:szCs w:val="22"/>
          <w:lang w:val="en-GB"/>
        </w:rPr>
        <w:t>broker’s ability to net-off any</w:t>
      </w:r>
      <w:r w:rsidR="00ED04C5">
        <w:rPr>
          <w:rFonts w:ascii="Avenir Next" w:hAnsi="Avenir Next" w:cs="Arial"/>
          <w:color w:val="7B7B7B" w:themeColor="accent3" w:themeShade="BF"/>
          <w:sz w:val="22"/>
          <w:szCs w:val="22"/>
          <w:lang w:val="en-GB"/>
        </w:rPr>
        <w:t xml:space="preserve"> losses related to the margin</w:t>
      </w:r>
      <w:r w:rsidR="005F47E0">
        <w:rPr>
          <w:rFonts w:ascii="Avenir Next" w:hAnsi="Avenir Next" w:cs="Arial"/>
          <w:color w:val="7B7B7B" w:themeColor="accent3" w:themeShade="BF"/>
          <w:sz w:val="22"/>
          <w:szCs w:val="22"/>
          <w:lang w:val="en-GB"/>
        </w:rPr>
        <w:t xml:space="preserve"> loan default</w:t>
      </w:r>
      <w:r w:rsidR="00CF1D54">
        <w:rPr>
          <w:rFonts w:ascii="Avenir Next" w:hAnsi="Avenir Next" w:cs="Arial"/>
          <w:color w:val="7B7B7B" w:themeColor="accent3" w:themeShade="BF"/>
          <w:sz w:val="22"/>
          <w:szCs w:val="22"/>
          <w:lang w:val="en-GB"/>
        </w:rPr>
        <w:t xml:space="preserve"> against the shares held as collateral</w:t>
      </w:r>
      <w:r w:rsidR="005F47E0">
        <w:rPr>
          <w:rFonts w:ascii="Avenir Next" w:hAnsi="Avenir Next" w:cs="Arial"/>
          <w:color w:val="7B7B7B" w:themeColor="accent3" w:themeShade="BF"/>
          <w:sz w:val="22"/>
          <w:szCs w:val="22"/>
          <w:lang w:val="en-GB"/>
        </w:rPr>
        <w:t xml:space="preserve">. However, if </w:t>
      </w:r>
      <w:r w:rsidR="005151FE">
        <w:rPr>
          <w:rFonts w:ascii="Avenir Next" w:hAnsi="Avenir Next" w:cs="Arial"/>
          <w:color w:val="7B7B7B" w:themeColor="accent3" w:themeShade="BF"/>
          <w:sz w:val="22"/>
          <w:szCs w:val="22"/>
          <w:lang w:val="en-GB"/>
        </w:rPr>
        <w:t>Speculation Inc does not have sufficient assets</w:t>
      </w:r>
      <w:r w:rsidR="00D937C1">
        <w:rPr>
          <w:rFonts w:ascii="Avenir Next" w:hAnsi="Avenir Next" w:cs="Arial"/>
          <w:color w:val="7B7B7B" w:themeColor="accent3" w:themeShade="BF"/>
          <w:sz w:val="22"/>
          <w:szCs w:val="22"/>
          <w:lang w:val="en-GB"/>
        </w:rPr>
        <w:t xml:space="preserve"> (i.e., </w:t>
      </w:r>
      <w:r w:rsidR="002129A0">
        <w:rPr>
          <w:rFonts w:ascii="Avenir Next" w:hAnsi="Avenir Next" w:cs="Arial"/>
          <w:color w:val="7B7B7B" w:themeColor="accent3" w:themeShade="BF"/>
          <w:sz w:val="22"/>
          <w:szCs w:val="22"/>
          <w:lang w:val="en-GB"/>
        </w:rPr>
        <w:t xml:space="preserve">value of </w:t>
      </w:r>
      <w:r w:rsidR="00D937C1">
        <w:rPr>
          <w:rFonts w:ascii="Avenir Next" w:hAnsi="Avenir Next" w:cs="Arial"/>
          <w:color w:val="7B7B7B" w:themeColor="accent3" w:themeShade="BF"/>
          <w:sz w:val="22"/>
          <w:szCs w:val="22"/>
          <w:lang w:val="en-GB"/>
        </w:rPr>
        <w:t xml:space="preserve">shares </w:t>
      </w:r>
      <w:r w:rsidR="002129A0">
        <w:rPr>
          <w:rFonts w:ascii="Avenir Next" w:hAnsi="Avenir Next" w:cs="Arial"/>
          <w:color w:val="7B7B7B" w:themeColor="accent3" w:themeShade="BF"/>
          <w:sz w:val="22"/>
          <w:szCs w:val="22"/>
          <w:lang w:val="en-GB"/>
        </w:rPr>
        <w:t>held by the broker is</w:t>
      </w:r>
      <w:r w:rsidR="00D937C1">
        <w:rPr>
          <w:rFonts w:ascii="Avenir Next" w:hAnsi="Avenir Next" w:cs="Arial"/>
          <w:color w:val="7B7B7B" w:themeColor="accent3" w:themeShade="BF"/>
          <w:sz w:val="22"/>
          <w:szCs w:val="22"/>
          <w:lang w:val="en-GB"/>
        </w:rPr>
        <w:t xml:space="preserve"> not sufficient to cover the margin-loan position)</w:t>
      </w:r>
      <w:r w:rsidR="0050685A">
        <w:rPr>
          <w:rFonts w:ascii="Avenir Next" w:hAnsi="Avenir Next" w:cs="Arial"/>
          <w:color w:val="7B7B7B" w:themeColor="accent3" w:themeShade="BF"/>
          <w:sz w:val="22"/>
          <w:szCs w:val="22"/>
          <w:lang w:val="en-GB"/>
        </w:rPr>
        <w:t xml:space="preserve">, the broker will become an unsecured creditor of Speculation Inc. </w:t>
      </w:r>
    </w:p>
    <w:p w14:paraId="3C56A50F" w14:textId="6307026B" w:rsidR="002129A0" w:rsidRDefault="002129A0" w:rsidP="003D4DC8">
      <w:pPr>
        <w:jc w:val="both"/>
        <w:rPr>
          <w:rFonts w:ascii="Avenir Next" w:hAnsi="Avenir Next" w:cs="Arial"/>
          <w:color w:val="7B7B7B" w:themeColor="accent3" w:themeShade="BF"/>
          <w:sz w:val="22"/>
          <w:szCs w:val="22"/>
          <w:lang w:val="en-GB"/>
        </w:rPr>
      </w:pPr>
    </w:p>
    <w:p w14:paraId="1EF4B823" w14:textId="3C747D9C" w:rsidR="002129A0" w:rsidRDefault="0029652B" w:rsidP="003D4DC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far as </w:t>
      </w:r>
      <w:r w:rsidR="00F052F5">
        <w:rPr>
          <w:rFonts w:ascii="Avenir Next" w:hAnsi="Avenir Next" w:cs="Arial"/>
          <w:color w:val="7B7B7B" w:themeColor="accent3" w:themeShade="BF"/>
          <w:sz w:val="22"/>
          <w:szCs w:val="22"/>
          <w:lang w:val="en-GB"/>
        </w:rPr>
        <w:t xml:space="preserve">the delinquent lease is concerned, </w:t>
      </w:r>
      <w:r w:rsidR="00DA4E29">
        <w:rPr>
          <w:rFonts w:ascii="Avenir Next" w:hAnsi="Avenir Next" w:cs="Arial"/>
          <w:color w:val="7B7B7B" w:themeColor="accent3" w:themeShade="BF"/>
          <w:sz w:val="22"/>
          <w:szCs w:val="22"/>
          <w:lang w:val="en-GB"/>
        </w:rPr>
        <w:t xml:space="preserve">it would depend on the status of the lease. </w:t>
      </w:r>
      <w:r w:rsidR="00984A2E">
        <w:rPr>
          <w:rFonts w:ascii="Avenir Next" w:hAnsi="Avenir Next" w:cs="Arial"/>
          <w:color w:val="7B7B7B" w:themeColor="accent3" w:themeShade="BF"/>
          <w:sz w:val="22"/>
          <w:szCs w:val="22"/>
          <w:lang w:val="en-GB"/>
        </w:rPr>
        <w:t xml:space="preserve">If the lease had expired, </w:t>
      </w:r>
      <w:r w:rsidR="00CC101D">
        <w:rPr>
          <w:rFonts w:ascii="Avenir Next" w:hAnsi="Avenir Next" w:cs="Arial"/>
          <w:color w:val="7B7B7B" w:themeColor="accent3" w:themeShade="BF"/>
          <w:sz w:val="22"/>
          <w:szCs w:val="22"/>
          <w:lang w:val="en-GB"/>
        </w:rPr>
        <w:t xml:space="preserve">automatic stay would not be </w:t>
      </w:r>
      <w:proofErr w:type="gramStart"/>
      <w:r w:rsidR="00CC101D">
        <w:rPr>
          <w:rFonts w:ascii="Avenir Next" w:hAnsi="Avenir Next" w:cs="Arial"/>
          <w:color w:val="7B7B7B" w:themeColor="accent3" w:themeShade="BF"/>
          <w:sz w:val="22"/>
          <w:szCs w:val="22"/>
          <w:lang w:val="en-GB"/>
        </w:rPr>
        <w:t>applicable</w:t>
      </w:r>
      <w:proofErr w:type="gramEnd"/>
      <w:r w:rsidR="00CC101D">
        <w:rPr>
          <w:rFonts w:ascii="Avenir Next" w:hAnsi="Avenir Next" w:cs="Arial"/>
          <w:color w:val="7B7B7B" w:themeColor="accent3" w:themeShade="BF"/>
          <w:sz w:val="22"/>
          <w:szCs w:val="22"/>
          <w:lang w:val="en-GB"/>
        </w:rPr>
        <w:t xml:space="preserve"> and the landlord could potentially evict </w:t>
      </w:r>
      <w:r w:rsidR="009C0677">
        <w:rPr>
          <w:rFonts w:ascii="Avenir Next" w:hAnsi="Avenir Next" w:cs="Arial"/>
          <w:color w:val="7B7B7B" w:themeColor="accent3" w:themeShade="BF"/>
          <w:sz w:val="22"/>
          <w:szCs w:val="22"/>
          <w:lang w:val="en-GB"/>
        </w:rPr>
        <w:t>Speculation Inc.</w:t>
      </w:r>
      <w:r w:rsidR="00CC101D">
        <w:rPr>
          <w:rFonts w:ascii="Avenir Next" w:hAnsi="Avenir Next" w:cs="Arial"/>
          <w:color w:val="7B7B7B" w:themeColor="accent3" w:themeShade="BF"/>
          <w:sz w:val="22"/>
          <w:szCs w:val="22"/>
          <w:lang w:val="en-GB"/>
        </w:rPr>
        <w:t xml:space="preserve"> However, if the lease s</w:t>
      </w:r>
      <w:r w:rsidR="009C0677">
        <w:rPr>
          <w:rFonts w:ascii="Avenir Next" w:hAnsi="Avenir Next" w:cs="Arial"/>
          <w:color w:val="7B7B7B" w:themeColor="accent3" w:themeShade="BF"/>
          <w:sz w:val="22"/>
          <w:szCs w:val="22"/>
          <w:lang w:val="en-GB"/>
        </w:rPr>
        <w:t>till had some time to run (i.e., it would be considered an executory contract</w:t>
      </w:r>
      <w:r w:rsidR="00807574">
        <w:rPr>
          <w:rFonts w:ascii="Avenir Next" w:hAnsi="Avenir Next" w:cs="Arial"/>
          <w:color w:val="7B7B7B" w:themeColor="accent3" w:themeShade="BF"/>
          <w:sz w:val="22"/>
          <w:szCs w:val="22"/>
          <w:lang w:val="en-GB"/>
        </w:rPr>
        <w:t xml:space="preserve"> since both sides still have important performance remaining), then the debtor would have the choice to either reject the contract (</w:t>
      </w:r>
      <w:r w:rsidR="00AE41E3">
        <w:rPr>
          <w:rFonts w:ascii="Avenir Next" w:hAnsi="Avenir Next" w:cs="Arial"/>
          <w:color w:val="7B7B7B" w:themeColor="accent3" w:themeShade="BF"/>
          <w:sz w:val="22"/>
          <w:szCs w:val="22"/>
          <w:lang w:val="en-GB"/>
        </w:rPr>
        <w:t>making the landlord a pre-petition unsecured creditor), assume the contract (by curing defaults</w:t>
      </w:r>
      <w:r w:rsidR="006944CA">
        <w:rPr>
          <w:rFonts w:ascii="Avenir Next" w:hAnsi="Avenir Next" w:cs="Arial"/>
          <w:color w:val="7B7B7B" w:themeColor="accent3" w:themeShade="BF"/>
          <w:sz w:val="22"/>
          <w:szCs w:val="22"/>
          <w:lang w:val="en-GB"/>
        </w:rPr>
        <w:t xml:space="preserve"> and giving assurances of future performance) or assume and assign to a third party. Given the liquidity position of Speculation Inc it is unlikely to</w:t>
      </w:r>
      <w:r w:rsidR="005C283A">
        <w:rPr>
          <w:rFonts w:ascii="Avenir Next" w:hAnsi="Avenir Next" w:cs="Arial"/>
          <w:color w:val="7B7B7B" w:themeColor="accent3" w:themeShade="BF"/>
          <w:sz w:val="22"/>
          <w:szCs w:val="22"/>
          <w:lang w:val="en-GB"/>
        </w:rPr>
        <w:t xml:space="preserve"> want to</w:t>
      </w:r>
      <w:r w:rsidR="006944CA">
        <w:rPr>
          <w:rFonts w:ascii="Avenir Next" w:hAnsi="Avenir Next" w:cs="Arial"/>
          <w:color w:val="7B7B7B" w:themeColor="accent3" w:themeShade="BF"/>
          <w:sz w:val="22"/>
          <w:szCs w:val="22"/>
          <w:lang w:val="en-GB"/>
        </w:rPr>
        <w:t xml:space="preserve"> assume the </w:t>
      </w:r>
      <w:proofErr w:type="gramStart"/>
      <w:r w:rsidR="006944CA">
        <w:rPr>
          <w:rFonts w:ascii="Avenir Next" w:hAnsi="Avenir Next" w:cs="Arial"/>
          <w:color w:val="7B7B7B" w:themeColor="accent3" w:themeShade="BF"/>
          <w:sz w:val="22"/>
          <w:szCs w:val="22"/>
          <w:lang w:val="en-GB"/>
        </w:rPr>
        <w:t>contract, and</w:t>
      </w:r>
      <w:proofErr w:type="gramEnd"/>
      <w:r w:rsidR="006944CA">
        <w:rPr>
          <w:rFonts w:ascii="Avenir Next" w:hAnsi="Avenir Next" w:cs="Arial"/>
          <w:color w:val="7B7B7B" w:themeColor="accent3" w:themeShade="BF"/>
          <w:sz w:val="22"/>
          <w:szCs w:val="22"/>
          <w:lang w:val="en-GB"/>
        </w:rPr>
        <w:t xml:space="preserve"> considering the DOJ investigation </w:t>
      </w:r>
      <w:r w:rsidR="00D871BF">
        <w:rPr>
          <w:rFonts w:ascii="Avenir Next" w:hAnsi="Avenir Next" w:cs="Arial"/>
          <w:color w:val="7B7B7B" w:themeColor="accent3" w:themeShade="BF"/>
          <w:sz w:val="22"/>
          <w:szCs w:val="22"/>
          <w:lang w:val="en-GB"/>
        </w:rPr>
        <w:t>it is even less likely that a third party would be willing to step in its shoes as a tenant.</w:t>
      </w:r>
    </w:p>
    <w:p w14:paraId="7BF04106" w14:textId="4AFB6FF7" w:rsidR="00D871BF" w:rsidRDefault="00D871BF" w:rsidP="003D4DC8">
      <w:pPr>
        <w:jc w:val="both"/>
        <w:rPr>
          <w:rFonts w:ascii="Avenir Next" w:hAnsi="Avenir Next" w:cs="Arial"/>
          <w:color w:val="7B7B7B" w:themeColor="accent3" w:themeShade="BF"/>
          <w:sz w:val="22"/>
          <w:szCs w:val="22"/>
          <w:lang w:val="en-GB"/>
        </w:rPr>
      </w:pPr>
    </w:p>
    <w:p w14:paraId="2B033DE9" w14:textId="481AC6E0" w:rsidR="00D871BF" w:rsidRPr="003D4DC8" w:rsidRDefault="00D871BF" w:rsidP="003D4DC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w:t>
      </w:r>
      <w:r w:rsidR="00F56880">
        <w:rPr>
          <w:rFonts w:ascii="Avenir Next" w:hAnsi="Avenir Next" w:cs="Arial"/>
          <w:color w:val="7B7B7B" w:themeColor="accent3" w:themeShade="BF"/>
          <w:sz w:val="22"/>
          <w:szCs w:val="22"/>
          <w:lang w:val="en-GB"/>
        </w:rPr>
        <w:t>, the employment discrimination lawsuit</w:t>
      </w:r>
      <w:r w:rsidR="00D739CC">
        <w:rPr>
          <w:rFonts w:ascii="Avenir Next" w:hAnsi="Avenir Next" w:cs="Arial"/>
          <w:color w:val="7B7B7B" w:themeColor="accent3" w:themeShade="BF"/>
          <w:sz w:val="22"/>
          <w:szCs w:val="22"/>
          <w:lang w:val="en-GB"/>
        </w:rPr>
        <w:t xml:space="preserve"> </w:t>
      </w:r>
      <w:r w:rsidR="00470E41">
        <w:rPr>
          <w:rFonts w:ascii="Avenir Next" w:hAnsi="Avenir Next" w:cs="Arial"/>
          <w:color w:val="7B7B7B" w:themeColor="accent3" w:themeShade="BF"/>
          <w:sz w:val="22"/>
          <w:szCs w:val="22"/>
          <w:lang w:val="en-GB"/>
        </w:rPr>
        <w:t xml:space="preserve">will </w:t>
      </w:r>
      <w:r w:rsidR="0089007F">
        <w:rPr>
          <w:rFonts w:ascii="Avenir Next" w:hAnsi="Avenir Next" w:cs="Arial"/>
          <w:color w:val="7B7B7B" w:themeColor="accent3" w:themeShade="BF"/>
          <w:sz w:val="22"/>
          <w:szCs w:val="22"/>
          <w:lang w:val="en-GB"/>
        </w:rPr>
        <w:t xml:space="preserve">also </w:t>
      </w:r>
      <w:r w:rsidR="00470E41">
        <w:rPr>
          <w:rFonts w:ascii="Avenir Next" w:hAnsi="Avenir Next" w:cs="Arial"/>
          <w:color w:val="7B7B7B" w:themeColor="accent3" w:themeShade="BF"/>
          <w:sz w:val="22"/>
          <w:szCs w:val="22"/>
          <w:lang w:val="en-GB"/>
        </w:rPr>
        <w:t xml:space="preserve">be stayed </w:t>
      </w:r>
      <w:r w:rsidR="0089007F">
        <w:rPr>
          <w:rFonts w:ascii="Avenir Next" w:hAnsi="Avenir Next" w:cs="Arial"/>
          <w:color w:val="7B7B7B" w:themeColor="accent3" w:themeShade="BF"/>
          <w:sz w:val="22"/>
          <w:szCs w:val="22"/>
          <w:lang w:val="en-GB"/>
        </w:rPr>
        <w:t xml:space="preserve">on the filing of Chapter 11 </w:t>
      </w:r>
      <w:r w:rsidR="00470E41">
        <w:rPr>
          <w:rFonts w:ascii="Avenir Next" w:hAnsi="Avenir Next" w:cs="Arial"/>
          <w:color w:val="7B7B7B" w:themeColor="accent3" w:themeShade="BF"/>
          <w:sz w:val="22"/>
          <w:szCs w:val="22"/>
          <w:lang w:val="en-GB"/>
        </w:rPr>
        <w:t xml:space="preserve">given it is a civil </w:t>
      </w:r>
      <w:r w:rsidR="0089007F">
        <w:rPr>
          <w:rFonts w:ascii="Avenir Next" w:hAnsi="Avenir Next" w:cs="Arial"/>
          <w:color w:val="7B7B7B" w:themeColor="accent3" w:themeShade="BF"/>
          <w:sz w:val="22"/>
          <w:szCs w:val="22"/>
          <w:lang w:val="en-GB"/>
        </w:rPr>
        <w:t>action.</w:t>
      </w:r>
    </w:p>
    <w:p w14:paraId="5CDACE91" w14:textId="77777777" w:rsidR="00204F03" w:rsidRDefault="00204F03"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w:t>
      </w:r>
      <w:r w:rsidRPr="007C3E08">
        <w:rPr>
          <w:rFonts w:ascii="Avenir Next" w:hAnsi="Avenir Next"/>
        </w:rPr>
        <w:t xml:space="preserve">.  Could the English scheme of arrangement be recognized by a US bankruptcy court under </w:t>
      </w:r>
      <w:r w:rsidR="00325A8F" w:rsidRPr="007C3E08">
        <w:rPr>
          <w:rFonts w:ascii="Avenir Next" w:hAnsi="Avenir Next"/>
        </w:rPr>
        <w:t>C</w:t>
      </w:r>
      <w:r w:rsidRPr="007C3E08">
        <w:rPr>
          <w:rFonts w:ascii="Avenir Next" w:hAnsi="Avenir Next"/>
        </w:rPr>
        <w:t>hapter 15, and would such recognition be as a foreign main or non-main proceeding?</w:t>
      </w:r>
      <w:r w:rsidRPr="00E01803">
        <w:rPr>
          <w:rFonts w:ascii="Avenir Next" w:hAnsi="Avenir Next"/>
        </w:rPr>
        <w:t xml:space="preserve">  </w:t>
      </w:r>
    </w:p>
    <w:p w14:paraId="69C2E697" w14:textId="77D49ACF" w:rsidR="00E01803" w:rsidRDefault="00E01803" w:rsidP="000778B1">
      <w:pPr>
        <w:pStyle w:val="AODocTxt"/>
        <w:spacing w:before="0" w:line="240" w:lineRule="auto"/>
        <w:rPr>
          <w:rFonts w:ascii="Avenir Next" w:hAnsi="Avenir Next"/>
        </w:rPr>
      </w:pPr>
    </w:p>
    <w:p w14:paraId="2C3CCB3C" w14:textId="77E2A16A" w:rsidR="00F03051" w:rsidRDefault="00191F4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An English scheme of arrangement would qualify as a “collective juridical or administrative proceeding in a foreign country… under a law relating to insolvency or adjustment of debt in which proceeding the assets and affairs of the debt</w:t>
      </w:r>
      <w:r w:rsidR="00E46AA1">
        <w:rPr>
          <w:rFonts w:ascii="Avenir Next" w:hAnsi="Avenir Next" w:cs="Arial"/>
          <w:color w:val="7B7B7B" w:themeColor="accent3" w:themeShade="BF"/>
          <w:sz w:val="22"/>
          <w:szCs w:val="22"/>
          <w:lang w:val="en-GB"/>
        </w:rPr>
        <w:t>or</w:t>
      </w:r>
      <w:r>
        <w:rPr>
          <w:rFonts w:ascii="Avenir Next" w:hAnsi="Avenir Next" w:cs="Arial"/>
          <w:color w:val="7B7B7B" w:themeColor="accent3" w:themeShade="BF"/>
          <w:sz w:val="22"/>
          <w:szCs w:val="22"/>
          <w:lang w:val="en-GB"/>
        </w:rPr>
        <w:t xml:space="preserve"> </w:t>
      </w:r>
      <w:r w:rsidR="00E46AA1">
        <w:rPr>
          <w:rFonts w:ascii="Avenir Next" w:hAnsi="Avenir Next" w:cs="Arial"/>
          <w:color w:val="7B7B7B" w:themeColor="accent3" w:themeShade="BF"/>
          <w:sz w:val="22"/>
          <w:szCs w:val="22"/>
          <w:lang w:val="en-GB"/>
        </w:rPr>
        <w:t>are subject to control or supervision by a foreign court, for the purpose of reorganization or liquidation.”</w:t>
      </w:r>
      <w:r w:rsidR="003E3007">
        <w:rPr>
          <w:rStyle w:val="FootnoteReference"/>
          <w:rFonts w:ascii="Avenir Next" w:hAnsi="Avenir Next" w:cs="Arial"/>
          <w:color w:val="7B7B7B" w:themeColor="accent3" w:themeShade="BF"/>
          <w:sz w:val="22"/>
          <w:szCs w:val="22"/>
          <w:lang w:val="en-GB"/>
        </w:rPr>
        <w:footnoteReference w:id="3"/>
      </w:r>
      <w:r w:rsidR="00096A7B">
        <w:rPr>
          <w:rFonts w:ascii="Avenir Next" w:hAnsi="Avenir Next" w:cs="Arial"/>
          <w:color w:val="7B7B7B" w:themeColor="accent3" w:themeShade="BF"/>
          <w:sz w:val="22"/>
          <w:szCs w:val="22"/>
          <w:lang w:val="en-GB"/>
        </w:rPr>
        <w:t xml:space="preserve"> </w:t>
      </w:r>
      <w:r w:rsidR="00A27840">
        <w:rPr>
          <w:rFonts w:ascii="Avenir Next" w:hAnsi="Avenir Next" w:cs="Arial"/>
          <w:color w:val="7B7B7B" w:themeColor="accent3" w:themeShade="BF"/>
          <w:sz w:val="22"/>
          <w:szCs w:val="22"/>
          <w:lang w:val="en-GB"/>
        </w:rPr>
        <w:t>Furthermore, there is precedent of English schemes being granted recognition in the past.</w:t>
      </w:r>
    </w:p>
    <w:p w14:paraId="4C57482F" w14:textId="4B790379" w:rsidR="00A27840" w:rsidRDefault="00A27840" w:rsidP="00F03051">
      <w:pPr>
        <w:jc w:val="both"/>
        <w:rPr>
          <w:rFonts w:ascii="Avenir Next" w:hAnsi="Avenir Next" w:cs="Arial"/>
          <w:color w:val="7B7B7B" w:themeColor="accent3" w:themeShade="BF"/>
          <w:sz w:val="22"/>
          <w:szCs w:val="22"/>
          <w:lang w:val="en-GB"/>
        </w:rPr>
      </w:pPr>
    </w:p>
    <w:p w14:paraId="7C870EF9" w14:textId="13FE0B17" w:rsidR="00A27840" w:rsidRDefault="00EA126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determining </w:t>
      </w:r>
      <w:r w:rsidR="008F07D3">
        <w:rPr>
          <w:rFonts w:ascii="Avenir Next" w:hAnsi="Avenir Next" w:cs="Arial"/>
          <w:color w:val="7B7B7B" w:themeColor="accent3" w:themeShade="BF"/>
          <w:sz w:val="22"/>
          <w:szCs w:val="22"/>
          <w:lang w:val="en-GB"/>
        </w:rPr>
        <w:t xml:space="preserve">whether this is going to be a foreign main or a non-main proceeding, the following would have to be </w:t>
      </w:r>
      <w:proofErr w:type="gramStart"/>
      <w:r w:rsidR="008F07D3">
        <w:rPr>
          <w:rFonts w:ascii="Avenir Next" w:hAnsi="Avenir Next" w:cs="Arial"/>
          <w:color w:val="7B7B7B" w:themeColor="accent3" w:themeShade="BF"/>
          <w:sz w:val="22"/>
          <w:szCs w:val="22"/>
          <w:lang w:val="en-GB"/>
        </w:rPr>
        <w:t>taken into account</w:t>
      </w:r>
      <w:proofErr w:type="gramEnd"/>
      <w:r w:rsidR="008F07D3">
        <w:rPr>
          <w:rFonts w:ascii="Avenir Next" w:hAnsi="Avenir Next" w:cs="Arial"/>
          <w:color w:val="7B7B7B" w:themeColor="accent3" w:themeShade="BF"/>
          <w:sz w:val="22"/>
          <w:szCs w:val="22"/>
          <w:lang w:val="en-GB"/>
        </w:rPr>
        <w:t>:</w:t>
      </w:r>
    </w:p>
    <w:p w14:paraId="13FC382A" w14:textId="4E036FAF" w:rsidR="008F07D3" w:rsidRDefault="008F07D3" w:rsidP="00F03051">
      <w:pPr>
        <w:jc w:val="both"/>
        <w:rPr>
          <w:rFonts w:ascii="Avenir Next" w:hAnsi="Avenir Next" w:cs="Arial"/>
          <w:color w:val="7B7B7B" w:themeColor="accent3" w:themeShade="BF"/>
          <w:sz w:val="22"/>
          <w:szCs w:val="22"/>
          <w:lang w:val="en-GB"/>
        </w:rPr>
      </w:pPr>
    </w:p>
    <w:p w14:paraId="74E070E6" w14:textId="61CAC354" w:rsidR="008F07D3" w:rsidRDefault="008F07D3" w:rsidP="008F07D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w:t>
      </w:r>
      <w:r w:rsidR="002750AE">
        <w:rPr>
          <w:rFonts w:ascii="Avenir Next" w:hAnsi="Avenir Next" w:cs="Arial"/>
          <w:color w:val="7B7B7B" w:themeColor="accent3" w:themeShade="BF"/>
          <w:sz w:val="22"/>
          <w:szCs w:val="22"/>
          <w:lang w:val="en-GB"/>
        </w:rPr>
        <w:t>Stella’s HQ (France</w:t>
      </w:r>
      <w:proofErr w:type="gramStart"/>
      <w:r w:rsidR="002750AE">
        <w:rPr>
          <w:rFonts w:ascii="Avenir Next" w:hAnsi="Avenir Next" w:cs="Arial"/>
          <w:color w:val="7B7B7B" w:themeColor="accent3" w:themeShade="BF"/>
          <w:sz w:val="22"/>
          <w:szCs w:val="22"/>
          <w:lang w:val="en-GB"/>
        </w:rPr>
        <w:t>);</w:t>
      </w:r>
      <w:proofErr w:type="gramEnd"/>
    </w:p>
    <w:p w14:paraId="3AB44628" w14:textId="2F089993" w:rsidR="002750AE" w:rsidRDefault="002750AE" w:rsidP="008F07D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Location of Management (France</w:t>
      </w:r>
      <w:proofErr w:type="gramStart"/>
      <w:r>
        <w:rPr>
          <w:rFonts w:ascii="Avenir Next" w:hAnsi="Avenir Next" w:cs="Arial"/>
          <w:color w:val="7B7B7B" w:themeColor="accent3" w:themeShade="BF"/>
          <w:sz w:val="22"/>
          <w:szCs w:val="22"/>
          <w:lang w:val="en-GB"/>
        </w:rPr>
        <w:t>);</w:t>
      </w:r>
      <w:proofErr w:type="gramEnd"/>
    </w:p>
    <w:p w14:paraId="77F86096" w14:textId="2342C26D" w:rsidR="002750AE" w:rsidRDefault="002750AE" w:rsidP="008F07D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Location of primary assets (</w:t>
      </w:r>
      <w:r w:rsidR="004C161F">
        <w:rPr>
          <w:rFonts w:ascii="Avenir Next" w:hAnsi="Avenir Next" w:cs="Arial"/>
          <w:color w:val="7B7B7B" w:themeColor="accent3" w:themeShade="BF"/>
          <w:sz w:val="22"/>
          <w:szCs w:val="22"/>
          <w:lang w:val="en-GB"/>
        </w:rPr>
        <w:t>Europe/UK, Asia and North America</w:t>
      </w:r>
      <w:proofErr w:type="gramStart"/>
      <w:r>
        <w:rPr>
          <w:rFonts w:ascii="Avenir Next" w:hAnsi="Avenir Next" w:cs="Arial"/>
          <w:color w:val="7B7B7B" w:themeColor="accent3" w:themeShade="BF"/>
          <w:sz w:val="22"/>
          <w:szCs w:val="22"/>
          <w:lang w:val="en-GB"/>
        </w:rPr>
        <w:t>);</w:t>
      </w:r>
      <w:proofErr w:type="gramEnd"/>
    </w:p>
    <w:p w14:paraId="53298638" w14:textId="093E31DA" w:rsidR="00475D11" w:rsidRDefault="00475D11" w:rsidP="008F07D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Location of majority of creditors </w:t>
      </w:r>
      <w:r w:rsidR="002F78C0">
        <w:rPr>
          <w:rFonts w:ascii="Avenir Next" w:hAnsi="Avenir Next" w:cs="Arial"/>
          <w:color w:val="7B7B7B" w:themeColor="accent3" w:themeShade="BF"/>
          <w:sz w:val="22"/>
          <w:szCs w:val="22"/>
          <w:lang w:val="en-GB"/>
        </w:rPr>
        <w:t>(not clear</w:t>
      </w:r>
      <w:proofErr w:type="gramStart"/>
      <w:r w:rsidR="002F78C0">
        <w:rPr>
          <w:rFonts w:ascii="Avenir Next" w:hAnsi="Avenir Next" w:cs="Arial"/>
          <w:color w:val="7B7B7B" w:themeColor="accent3" w:themeShade="BF"/>
          <w:sz w:val="22"/>
          <w:szCs w:val="22"/>
          <w:lang w:val="en-GB"/>
        </w:rPr>
        <w:t>);</w:t>
      </w:r>
      <w:proofErr w:type="gramEnd"/>
    </w:p>
    <w:p w14:paraId="320B1B56" w14:textId="282F4D71" w:rsidR="002F78C0" w:rsidRDefault="002F78C0" w:rsidP="008F07D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Jurisdiction whose law will apply to most disputes (</w:t>
      </w:r>
      <w:r w:rsidR="00644307">
        <w:rPr>
          <w:rFonts w:ascii="Avenir Next" w:hAnsi="Avenir Next" w:cs="Arial"/>
          <w:color w:val="7B7B7B" w:themeColor="accent3" w:themeShade="BF"/>
          <w:sz w:val="22"/>
          <w:szCs w:val="22"/>
          <w:lang w:val="en-GB"/>
        </w:rPr>
        <w:t xml:space="preserve">most likely </w:t>
      </w:r>
      <w:r>
        <w:rPr>
          <w:rFonts w:ascii="Avenir Next" w:hAnsi="Avenir Next" w:cs="Arial"/>
          <w:color w:val="7B7B7B" w:themeColor="accent3" w:themeShade="BF"/>
          <w:sz w:val="22"/>
          <w:szCs w:val="22"/>
          <w:lang w:val="en-GB"/>
        </w:rPr>
        <w:t>English Law</w:t>
      </w:r>
      <w:r w:rsidR="00703199">
        <w:rPr>
          <w:rFonts w:ascii="Avenir Next" w:hAnsi="Avenir Next" w:cs="Arial"/>
          <w:color w:val="7B7B7B" w:themeColor="accent3" w:themeShade="BF"/>
          <w:sz w:val="22"/>
          <w:szCs w:val="22"/>
          <w:lang w:val="en-GB"/>
        </w:rPr>
        <w:t>).</w:t>
      </w:r>
      <w:r w:rsidR="00540ED5">
        <w:rPr>
          <w:rStyle w:val="FootnoteReference"/>
          <w:rFonts w:ascii="Avenir Next" w:hAnsi="Avenir Next" w:cs="Arial"/>
          <w:color w:val="7B7B7B" w:themeColor="accent3" w:themeShade="BF"/>
          <w:sz w:val="22"/>
          <w:szCs w:val="22"/>
          <w:lang w:val="en-GB"/>
        </w:rPr>
        <w:footnoteReference w:id="4"/>
      </w:r>
    </w:p>
    <w:p w14:paraId="5F695F3F" w14:textId="35FD3B4C" w:rsidR="00703199" w:rsidRDefault="00703199" w:rsidP="00703199">
      <w:pPr>
        <w:jc w:val="both"/>
        <w:rPr>
          <w:rFonts w:ascii="Avenir Next" w:hAnsi="Avenir Next" w:cs="Arial"/>
          <w:color w:val="7B7B7B" w:themeColor="accent3" w:themeShade="BF"/>
          <w:sz w:val="22"/>
          <w:szCs w:val="22"/>
          <w:lang w:val="en-GB"/>
        </w:rPr>
      </w:pPr>
    </w:p>
    <w:p w14:paraId="3C0529BC" w14:textId="77777777" w:rsidR="0004269D" w:rsidRDefault="00FC27AE" w:rsidP="0070319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Given that Stella has presence </w:t>
      </w:r>
      <w:r w:rsidR="0017432A">
        <w:rPr>
          <w:rFonts w:ascii="Avenir Next" w:hAnsi="Avenir Next" w:cs="Arial"/>
          <w:color w:val="7B7B7B" w:themeColor="accent3" w:themeShade="BF"/>
          <w:sz w:val="22"/>
          <w:szCs w:val="22"/>
          <w:lang w:val="en-GB"/>
        </w:rPr>
        <w:t>and assets in the UK</w:t>
      </w:r>
      <w:r w:rsidR="00AD722D">
        <w:rPr>
          <w:rFonts w:ascii="Avenir Next" w:hAnsi="Avenir Next" w:cs="Arial"/>
          <w:color w:val="7B7B7B" w:themeColor="accent3" w:themeShade="BF"/>
          <w:sz w:val="22"/>
          <w:szCs w:val="22"/>
          <w:lang w:val="en-GB"/>
        </w:rPr>
        <w:t xml:space="preserve"> </w:t>
      </w:r>
      <w:r w:rsidR="008F1AAB">
        <w:rPr>
          <w:rFonts w:ascii="Avenir Next" w:hAnsi="Avenir Next" w:cs="Arial"/>
          <w:color w:val="7B7B7B" w:themeColor="accent3" w:themeShade="BF"/>
          <w:sz w:val="22"/>
          <w:szCs w:val="22"/>
          <w:lang w:val="en-GB"/>
        </w:rPr>
        <w:t>(i.e., its retail stores)</w:t>
      </w:r>
      <w:r w:rsidR="00605FD1">
        <w:rPr>
          <w:rFonts w:ascii="Avenir Next" w:hAnsi="Avenir Next" w:cs="Arial"/>
          <w:color w:val="7B7B7B" w:themeColor="accent3" w:themeShade="BF"/>
          <w:sz w:val="22"/>
          <w:szCs w:val="22"/>
          <w:lang w:val="en-GB"/>
        </w:rPr>
        <w:t>, and considering that</w:t>
      </w:r>
      <w:r w:rsidR="005E28EA">
        <w:rPr>
          <w:rFonts w:ascii="Avenir Next" w:hAnsi="Avenir Next" w:cs="Arial"/>
          <w:color w:val="7B7B7B" w:themeColor="accent3" w:themeShade="BF"/>
          <w:sz w:val="22"/>
          <w:szCs w:val="22"/>
          <w:lang w:val="en-GB"/>
        </w:rPr>
        <w:t xml:space="preserve"> it could be argued that</w:t>
      </w:r>
      <w:r w:rsidR="00605FD1">
        <w:rPr>
          <w:rFonts w:ascii="Avenir Next" w:hAnsi="Avenir Next" w:cs="Arial"/>
          <w:color w:val="7B7B7B" w:themeColor="accent3" w:themeShade="BF"/>
          <w:sz w:val="22"/>
          <w:szCs w:val="22"/>
          <w:lang w:val="en-GB"/>
        </w:rPr>
        <w:t xml:space="preserve"> “most” disputes </w:t>
      </w:r>
      <w:r w:rsidR="005E28EA">
        <w:rPr>
          <w:rFonts w:ascii="Avenir Next" w:hAnsi="Avenir Next" w:cs="Arial"/>
          <w:color w:val="7B7B7B" w:themeColor="accent3" w:themeShade="BF"/>
          <w:sz w:val="22"/>
          <w:szCs w:val="22"/>
          <w:lang w:val="en-GB"/>
        </w:rPr>
        <w:t>w</w:t>
      </w:r>
      <w:r w:rsidR="00491B94">
        <w:rPr>
          <w:rFonts w:ascii="Avenir Next" w:hAnsi="Avenir Next" w:cs="Arial"/>
          <w:color w:val="7B7B7B" w:themeColor="accent3" w:themeShade="BF"/>
          <w:sz w:val="22"/>
          <w:szCs w:val="22"/>
          <w:lang w:val="en-GB"/>
        </w:rPr>
        <w:t>ill</w:t>
      </w:r>
      <w:r w:rsidR="005E28EA">
        <w:rPr>
          <w:rFonts w:ascii="Avenir Next" w:hAnsi="Avenir Next" w:cs="Arial"/>
          <w:color w:val="7B7B7B" w:themeColor="accent3" w:themeShade="BF"/>
          <w:sz w:val="22"/>
          <w:szCs w:val="22"/>
          <w:lang w:val="en-GB"/>
        </w:rPr>
        <w:t xml:space="preserve"> be governed by English</w:t>
      </w:r>
      <w:r w:rsidR="00491B94">
        <w:rPr>
          <w:rFonts w:ascii="Avenir Next" w:hAnsi="Avenir Next" w:cs="Arial"/>
          <w:color w:val="7B7B7B" w:themeColor="accent3" w:themeShade="BF"/>
          <w:sz w:val="22"/>
          <w:szCs w:val="22"/>
          <w:lang w:val="en-GB"/>
        </w:rPr>
        <w:t xml:space="preserve"> Law (if “most” means </w:t>
      </w:r>
      <w:r w:rsidR="001668F5">
        <w:rPr>
          <w:rFonts w:ascii="Avenir Next" w:hAnsi="Avenir Next" w:cs="Arial"/>
          <w:color w:val="7B7B7B" w:themeColor="accent3" w:themeShade="BF"/>
          <w:sz w:val="22"/>
          <w:szCs w:val="22"/>
          <w:lang w:val="en-GB"/>
        </w:rPr>
        <w:t xml:space="preserve">by value – assuming </w:t>
      </w:r>
      <w:r w:rsidR="004B2671">
        <w:rPr>
          <w:rFonts w:ascii="Avenir Next" w:hAnsi="Avenir Next" w:cs="Arial"/>
          <w:color w:val="7B7B7B" w:themeColor="accent3" w:themeShade="BF"/>
          <w:sz w:val="22"/>
          <w:szCs w:val="22"/>
          <w:lang w:val="en-GB"/>
        </w:rPr>
        <w:t xml:space="preserve">its debt </w:t>
      </w:r>
      <w:r w:rsidR="000B0D69">
        <w:rPr>
          <w:rFonts w:ascii="Avenir Next" w:hAnsi="Avenir Next" w:cs="Arial"/>
          <w:color w:val="7B7B7B" w:themeColor="accent3" w:themeShade="BF"/>
          <w:sz w:val="22"/>
          <w:szCs w:val="22"/>
          <w:lang w:val="en-GB"/>
        </w:rPr>
        <w:t>is sizeable relative to other potential liabilities and is the main cause of “dispute”)</w:t>
      </w:r>
      <w:r w:rsidR="00F83C5D">
        <w:rPr>
          <w:rFonts w:ascii="Avenir Next" w:hAnsi="Avenir Next" w:cs="Arial"/>
          <w:color w:val="7B7B7B" w:themeColor="accent3" w:themeShade="BF"/>
          <w:sz w:val="22"/>
          <w:szCs w:val="22"/>
          <w:lang w:val="en-GB"/>
        </w:rPr>
        <w:t xml:space="preserve">, then it would </w:t>
      </w:r>
      <w:r w:rsidR="00A74A35">
        <w:rPr>
          <w:rFonts w:ascii="Avenir Next" w:hAnsi="Avenir Next" w:cs="Arial"/>
          <w:color w:val="7B7B7B" w:themeColor="accent3" w:themeShade="BF"/>
          <w:sz w:val="22"/>
          <w:szCs w:val="22"/>
          <w:lang w:val="en-GB"/>
        </w:rPr>
        <w:t>appear that Stella’s Chapter 15 filing could be considered as a foreign main proceeding.</w:t>
      </w:r>
      <w:r w:rsidR="008942DD">
        <w:rPr>
          <w:rFonts w:ascii="Avenir Next" w:hAnsi="Avenir Next" w:cs="Arial"/>
          <w:color w:val="7B7B7B" w:themeColor="accent3" w:themeShade="BF"/>
          <w:sz w:val="22"/>
          <w:szCs w:val="22"/>
          <w:lang w:val="en-GB"/>
        </w:rPr>
        <w:t xml:space="preserve"> </w:t>
      </w:r>
      <w:r w:rsidR="006326A4">
        <w:rPr>
          <w:rFonts w:ascii="Avenir Next" w:hAnsi="Avenir Next" w:cs="Arial"/>
          <w:color w:val="7B7B7B" w:themeColor="accent3" w:themeShade="BF"/>
          <w:sz w:val="22"/>
          <w:szCs w:val="22"/>
          <w:lang w:val="en-GB"/>
        </w:rPr>
        <w:t>To be 100% certain we would probably need to review Stella’s most significant contracts</w:t>
      </w:r>
      <w:r w:rsidR="00025CBA">
        <w:rPr>
          <w:rFonts w:ascii="Avenir Next" w:hAnsi="Avenir Next" w:cs="Arial"/>
          <w:color w:val="7B7B7B" w:themeColor="accent3" w:themeShade="BF"/>
          <w:sz w:val="22"/>
          <w:szCs w:val="22"/>
          <w:lang w:val="en-GB"/>
        </w:rPr>
        <w:t>, in particular ADR clauses that would specify the mechanism and governing law for such matters.</w:t>
      </w:r>
      <w:r w:rsidR="00CD608D">
        <w:rPr>
          <w:rFonts w:ascii="Avenir Next" w:hAnsi="Avenir Next" w:cs="Arial"/>
          <w:color w:val="7B7B7B" w:themeColor="accent3" w:themeShade="BF"/>
          <w:sz w:val="22"/>
          <w:szCs w:val="22"/>
          <w:lang w:val="en-GB"/>
        </w:rPr>
        <w:t xml:space="preserve"> </w:t>
      </w:r>
      <w:r w:rsidR="00A74A35">
        <w:rPr>
          <w:rFonts w:ascii="Avenir Next" w:hAnsi="Avenir Next" w:cs="Arial"/>
          <w:color w:val="7B7B7B" w:themeColor="accent3" w:themeShade="BF"/>
          <w:sz w:val="22"/>
          <w:szCs w:val="22"/>
          <w:lang w:val="en-GB"/>
        </w:rPr>
        <w:t xml:space="preserve"> </w:t>
      </w:r>
    </w:p>
    <w:p w14:paraId="16211009" w14:textId="77777777" w:rsidR="0004269D" w:rsidRDefault="0004269D" w:rsidP="00703199">
      <w:pPr>
        <w:jc w:val="both"/>
        <w:rPr>
          <w:rFonts w:ascii="Avenir Next" w:hAnsi="Avenir Next" w:cs="Arial"/>
          <w:color w:val="7B7B7B" w:themeColor="accent3" w:themeShade="BF"/>
          <w:sz w:val="22"/>
          <w:szCs w:val="22"/>
          <w:lang w:val="en-GB"/>
        </w:rPr>
      </w:pPr>
    </w:p>
    <w:p w14:paraId="4ED8A10F" w14:textId="206DC1DF" w:rsidR="00703199" w:rsidRPr="00703199" w:rsidRDefault="0004269D" w:rsidP="0070319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an alternative scenario</w:t>
      </w:r>
      <w:r w:rsidR="00A74A35">
        <w:rPr>
          <w:rFonts w:ascii="Avenir Next" w:hAnsi="Avenir Next" w:cs="Arial"/>
          <w:color w:val="7B7B7B" w:themeColor="accent3" w:themeShade="BF"/>
          <w:sz w:val="22"/>
          <w:szCs w:val="22"/>
          <w:lang w:val="en-GB"/>
        </w:rPr>
        <w:t xml:space="preserve">, if it came to light that </w:t>
      </w:r>
      <w:r>
        <w:rPr>
          <w:rFonts w:ascii="Avenir Next" w:hAnsi="Avenir Next" w:cs="Arial"/>
          <w:color w:val="7B7B7B" w:themeColor="accent3" w:themeShade="BF"/>
          <w:sz w:val="22"/>
          <w:szCs w:val="22"/>
          <w:lang w:val="en-GB"/>
        </w:rPr>
        <w:t>Stella’s</w:t>
      </w:r>
      <w:r w:rsidR="00A74A35">
        <w:rPr>
          <w:rFonts w:ascii="Avenir Next" w:hAnsi="Avenir Next" w:cs="Arial"/>
          <w:color w:val="7B7B7B" w:themeColor="accent3" w:themeShade="BF"/>
          <w:sz w:val="22"/>
          <w:szCs w:val="22"/>
          <w:lang w:val="en-GB"/>
        </w:rPr>
        <w:t xml:space="preserve"> UK operations were negligible, and that most contract</w:t>
      </w:r>
      <w:r>
        <w:rPr>
          <w:rFonts w:ascii="Avenir Next" w:hAnsi="Avenir Next" w:cs="Arial"/>
          <w:color w:val="7B7B7B" w:themeColor="accent3" w:themeShade="BF"/>
          <w:sz w:val="22"/>
          <w:szCs w:val="22"/>
          <w:lang w:val="en-GB"/>
        </w:rPr>
        <w:t xml:space="preserve"> disputes</w:t>
      </w:r>
      <w:r w:rsidR="00A74A35">
        <w:rPr>
          <w:rFonts w:ascii="Avenir Next" w:hAnsi="Avenir Next" w:cs="Arial"/>
          <w:color w:val="7B7B7B" w:themeColor="accent3" w:themeShade="BF"/>
          <w:sz w:val="22"/>
          <w:szCs w:val="22"/>
          <w:lang w:val="en-GB"/>
        </w:rPr>
        <w:t xml:space="preserve"> were governed by </w:t>
      </w:r>
      <w:r w:rsidR="00914383">
        <w:rPr>
          <w:rFonts w:ascii="Avenir Next" w:hAnsi="Avenir Next" w:cs="Arial"/>
          <w:color w:val="7B7B7B" w:themeColor="accent3" w:themeShade="BF"/>
          <w:sz w:val="22"/>
          <w:szCs w:val="22"/>
          <w:lang w:val="en-GB"/>
        </w:rPr>
        <w:t xml:space="preserve">laws other than English Law, then </w:t>
      </w:r>
      <w:r w:rsidR="009934DA">
        <w:rPr>
          <w:rFonts w:ascii="Avenir Next" w:hAnsi="Avenir Next" w:cs="Arial"/>
          <w:color w:val="7B7B7B" w:themeColor="accent3" w:themeShade="BF"/>
          <w:sz w:val="22"/>
          <w:szCs w:val="22"/>
          <w:lang w:val="en-GB"/>
        </w:rPr>
        <w:t>Stella</w:t>
      </w:r>
      <w:r w:rsidR="00A7499A">
        <w:rPr>
          <w:rFonts w:ascii="Avenir Next" w:hAnsi="Avenir Next" w:cs="Arial"/>
          <w:color w:val="7B7B7B" w:themeColor="accent3" w:themeShade="BF"/>
          <w:sz w:val="22"/>
          <w:szCs w:val="22"/>
          <w:lang w:val="en-GB"/>
        </w:rPr>
        <w:t>’s Chapter 15 application</w:t>
      </w:r>
      <w:r w:rsidR="009934DA">
        <w:rPr>
          <w:rFonts w:ascii="Avenir Next" w:hAnsi="Avenir Next" w:cs="Arial"/>
          <w:color w:val="7B7B7B" w:themeColor="accent3" w:themeShade="BF"/>
          <w:sz w:val="22"/>
          <w:szCs w:val="22"/>
          <w:lang w:val="en-GB"/>
        </w:rPr>
        <w:t xml:space="preserve"> would </w:t>
      </w:r>
      <w:r w:rsidR="00A7499A">
        <w:rPr>
          <w:rFonts w:ascii="Avenir Next" w:hAnsi="Avenir Next" w:cs="Arial"/>
          <w:color w:val="7B7B7B" w:themeColor="accent3" w:themeShade="BF"/>
          <w:sz w:val="22"/>
          <w:szCs w:val="22"/>
          <w:lang w:val="en-GB"/>
        </w:rPr>
        <w:t>be qualified as</w:t>
      </w:r>
      <w:r w:rsidR="009934DA">
        <w:rPr>
          <w:rFonts w:ascii="Avenir Next" w:hAnsi="Avenir Next" w:cs="Arial"/>
          <w:color w:val="7B7B7B" w:themeColor="accent3" w:themeShade="BF"/>
          <w:sz w:val="22"/>
          <w:szCs w:val="22"/>
          <w:lang w:val="en-GB"/>
        </w:rPr>
        <w:t xml:space="preserve"> a </w:t>
      </w:r>
      <w:r w:rsidR="00914383">
        <w:rPr>
          <w:rFonts w:ascii="Avenir Next" w:hAnsi="Avenir Next" w:cs="Arial"/>
          <w:color w:val="7B7B7B" w:themeColor="accent3" w:themeShade="BF"/>
          <w:sz w:val="22"/>
          <w:szCs w:val="22"/>
          <w:lang w:val="en-GB"/>
        </w:rPr>
        <w:t xml:space="preserve">foreign non-main proceeding. </w:t>
      </w:r>
    </w:p>
    <w:p w14:paraId="4700780A" w14:textId="334D92D1" w:rsidR="00E01803" w:rsidRDefault="00E01803"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r>
      <w:r w:rsidRPr="007C3E08">
        <w:rPr>
          <w:rFonts w:ascii="Avenir Next" w:hAnsi="Avenir Next"/>
        </w:rPr>
        <w:t xml:space="preserve">Is the license to manufacture </w:t>
      </w:r>
      <w:proofErr w:type="spellStart"/>
      <w:r w:rsidRPr="007C3E08">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412ED756" w:rsidR="00F03051" w:rsidRPr="00E41578" w:rsidRDefault="00D00D9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license</w:t>
      </w:r>
      <w:r w:rsidR="00675A2D">
        <w:rPr>
          <w:rFonts w:ascii="Avenir Next" w:hAnsi="Avenir Next" w:cs="Arial"/>
          <w:color w:val="7B7B7B" w:themeColor="accent3" w:themeShade="BF"/>
          <w:sz w:val="22"/>
          <w:szCs w:val="22"/>
          <w:lang w:val="en-GB"/>
        </w:rPr>
        <w:t xml:space="preserve"> is an executory contract</w:t>
      </w:r>
      <w:r w:rsidR="00683560">
        <w:rPr>
          <w:rStyle w:val="FootnoteReference"/>
          <w:rFonts w:ascii="Avenir Next" w:hAnsi="Avenir Next" w:cs="Arial"/>
          <w:color w:val="7B7B7B" w:themeColor="accent3" w:themeShade="BF"/>
          <w:sz w:val="22"/>
          <w:szCs w:val="22"/>
          <w:lang w:val="en-GB"/>
        </w:rPr>
        <w:footnoteReference w:id="5"/>
      </w:r>
      <w:r w:rsidR="00683560">
        <w:rPr>
          <w:rFonts w:ascii="Avenir Next" w:hAnsi="Avenir Next" w:cs="Arial"/>
          <w:color w:val="7B7B7B" w:themeColor="accent3" w:themeShade="BF"/>
          <w:sz w:val="22"/>
          <w:szCs w:val="22"/>
          <w:lang w:val="en-GB"/>
        </w:rPr>
        <w:t>. I</w:t>
      </w:r>
      <w:r w:rsidR="00C41A30">
        <w:rPr>
          <w:rFonts w:ascii="Avenir Next" w:hAnsi="Avenir Next" w:cs="Arial"/>
          <w:color w:val="7B7B7B" w:themeColor="accent3" w:themeShade="BF"/>
          <w:sz w:val="22"/>
          <w:szCs w:val="22"/>
          <w:lang w:val="en-GB"/>
        </w:rPr>
        <w:t xml:space="preserve">n addition, </w:t>
      </w:r>
      <w:r w:rsidR="00E53EE0">
        <w:rPr>
          <w:rFonts w:ascii="Avenir Next" w:hAnsi="Avenir Next" w:cs="Arial"/>
          <w:color w:val="7B7B7B" w:themeColor="accent3" w:themeShade="BF"/>
          <w:sz w:val="22"/>
          <w:szCs w:val="22"/>
          <w:lang w:val="en-GB"/>
        </w:rPr>
        <w:t>case background suggests that the license</w:t>
      </w:r>
      <w:r w:rsidR="00AD5B5B">
        <w:rPr>
          <w:rFonts w:ascii="Avenir Next" w:hAnsi="Avenir Next" w:cs="Arial"/>
          <w:color w:val="7B7B7B" w:themeColor="accent3" w:themeShade="BF"/>
          <w:sz w:val="22"/>
          <w:szCs w:val="22"/>
          <w:lang w:val="en-GB"/>
        </w:rPr>
        <w:t xml:space="preserve"> still has </w:t>
      </w:r>
      <w:proofErr w:type="gramStart"/>
      <w:r w:rsidR="00AD5B5B">
        <w:rPr>
          <w:rFonts w:ascii="Avenir Next" w:hAnsi="Avenir Next" w:cs="Arial"/>
          <w:color w:val="7B7B7B" w:themeColor="accent3" w:themeShade="BF"/>
          <w:sz w:val="22"/>
          <w:szCs w:val="22"/>
          <w:lang w:val="en-GB"/>
        </w:rPr>
        <w:t>a period of time</w:t>
      </w:r>
      <w:proofErr w:type="gramEnd"/>
      <w:r w:rsidR="00AD5B5B">
        <w:rPr>
          <w:rFonts w:ascii="Avenir Next" w:hAnsi="Avenir Next" w:cs="Arial"/>
          <w:color w:val="7B7B7B" w:themeColor="accent3" w:themeShade="BF"/>
          <w:sz w:val="22"/>
          <w:szCs w:val="22"/>
          <w:lang w:val="en-GB"/>
        </w:rPr>
        <w:t xml:space="preserve"> that it needs to run</w:t>
      </w:r>
      <w:r w:rsidR="00117ECB">
        <w:rPr>
          <w:rFonts w:ascii="Avenir Next" w:hAnsi="Avenir Next" w:cs="Arial"/>
          <w:color w:val="7B7B7B" w:themeColor="accent3" w:themeShade="BF"/>
          <w:sz w:val="22"/>
          <w:szCs w:val="22"/>
          <w:lang w:val="en-GB"/>
        </w:rPr>
        <w:t xml:space="preserve"> (potentially up to 10 years)</w:t>
      </w:r>
      <w:r w:rsidR="00AD5B5B">
        <w:rPr>
          <w:rFonts w:ascii="Avenir Next" w:hAnsi="Avenir Next" w:cs="Arial"/>
          <w:color w:val="7B7B7B" w:themeColor="accent3" w:themeShade="BF"/>
          <w:sz w:val="22"/>
          <w:szCs w:val="22"/>
          <w:lang w:val="en-GB"/>
        </w:rPr>
        <w:t>, with both parties having to perform a service</w:t>
      </w:r>
      <w:r w:rsidR="00BB7976">
        <w:rPr>
          <w:rFonts w:ascii="Avenir Next" w:hAnsi="Avenir Next" w:cs="Arial"/>
          <w:color w:val="7B7B7B" w:themeColor="accent3" w:themeShade="BF"/>
          <w:sz w:val="22"/>
          <w:szCs w:val="22"/>
          <w:lang w:val="en-GB"/>
        </w:rPr>
        <w:t xml:space="preserve"> </w:t>
      </w:r>
      <w:r w:rsidR="002F3574">
        <w:rPr>
          <w:rFonts w:ascii="Avenir Next" w:hAnsi="Avenir Next" w:cs="Arial"/>
          <w:color w:val="7B7B7B" w:themeColor="accent3" w:themeShade="BF"/>
          <w:sz w:val="22"/>
          <w:szCs w:val="22"/>
          <w:lang w:val="en-GB"/>
        </w:rPr>
        <w:t>(e.g.</w:t>
      </w:r>
      <w:r w:rsidR="00BB7976">
        <w:rPr>
          <w:rFonts w:ascii="Avenir Next" w:hAnsi="Avenir Next" w:cs="Arial"/>
          <w:color w:val="7B7B7B" w:themeColor="accent3" w:themeShade="BF"/>
          <w:sz w:val="22"/>
          <w:szCs w:val="22"/>
          <w:lang w:val="en-GB"/>
        </w:rPr>
        <w:t xml:space="preserve">, quality control for </w:t>
      </w:r>
      <w:proofErr w:type="spellStart"/>
      <w:r w:rsidR="002F3574">
        <w:rPr>
          <w:rFonts w:ascii="Avenir Next" w:hAnsi="Avenir Next" w:cs="Arial"/>
          <w:color w:val="7B7B7B" w:themeColor="accent3" w:themeShade="BF"/>
          <w:sz w:val="22"/>
          <w:szCs w:val="22"/>
          <w:lang w:val="en-GB"/>
        </w:rPr>
        <w:t>ToyCo</w:t>
      </w:r>
      <w:proofErr w:type="spellEnd"/>
      <w:r w:rsidR="002F3574">
        <w:rPr>
          <w:rFonts w:ascii="Avenir Next" w:hAnsi="Avenir Next" w:cs="Arial"/>
          <w:color w:val="7B7B7B" w:themeColor="accent3" w:themeShade="BF"/>
          <w:sz w:val="22"/>
          <w:szCs w:val="22"/>
          <w:lang w:val="en-GB"/>
        </w:rPr>
        <w:t xml:space="preserve"> and contractual payments for </w:t>
      </w:r>
      <w:proofErr w:type="spellStart"/>
      <w:r w:rsidR="002F3574">
        <w:rPr>
          <w:rFonts w:ascii="Avenir Next" w:hAnsi="Avenir Next" w:cs="Arial"/>
          <w:color w:val="7B7B7B" w:themeColor="accent3" w:themeShade="BF"/>
          <w:sz w:val="22"/>
          <w:szCs w:val="22"/>
          <w:lang w:val="en-GB"/>
        </w:rPr>
        <w:t>GameMart</w:t>
      </w:r>
      <w:proofErr w:type="spellEnd"/>
      <w:r w:rsidR="002F3574">
        <w:rPr>
          <w:rFonts w:ascii="Avenir Next" w:hAnsi="Avenir Next" w:cs="Arial"/>
          <w:color w:val="7B7B7B" w:themeColor="accent3" w:themeShade="BF"/>
          <w:sz w:val="22"/>
          <w:szCs w:val="22"/>
          <w:lang w:val="en-GB"/>
        </w:rPr>
        <w:t>)</w:t>
      </w:r>
      <w:r w:rsidR="00291C32">
        <w:rPr>
          <w:rFonts w:ascii="Avenir Next" w:hAnsi="Avenir Next" w:cs="Arial"/>
          <w:color w:val="7B7B7B" w:themeColor="accent3" w:themeShade="BF"/>
          <w:sz w:val="22"/>
          <w:szCs w:val="22"/>
          <w:lang w:val="en-GB"/>
        </w:rPr>
        <w:t>.</w:t>
      </w:r>
      <w:r w:rsidR="003B761A">
        <w:rPr>
          <w:rFonts w:ascii="Avenir Next" w:hAnsi="Avenir Next" w:cs="Arial"/>
          <w:color w:val="7B7B7B" w:themeColor="accent3" w:themeShade="BF"/>
          <w:sz w:val="22"/>
          <w:szCs w:val="22"/>
          <w:lang w:val="en-GB"/>
        </w:rPr>
        <w:t xml:space="preserve"> </w:t>
      </w:r>
    </w:p>
    <w:p w14:paraId="092CCA5C" w14:textId="186450DB" w:rsidR="00E01803" w:rsidRDefault="00E01803" w:rsidP="000778B1">
      <w:pPr>
        <w:pStyle w:val="AODocTxt"/>
        <w:spacing w:before="0" w:line="240" w:lineRule="auto"/>
        <w:rPr>
          <w:rFonts w:ascii="Avenir Next" w:hAnsi="Avenir Next"/>
        </w:rPr>
      </w:pPr>
    </w:p>
    <w:p w14:paraId="165BD383" w14:textId="1CE43158" w:rsid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7C3E08">
        <w:rPr>
          <w:rFonts w:ascii="Avenir Next" w:hAnsi="Avenir Next"/>
        </w:rPr>
        <w:t>GameMart</w:t>
      </w:r>
      <w:proofErr w:type="spellEnd"/>
      <w:r w:rsidRPr="007C3E08">
        <w:rPr>
          <w:rFonts w:ascii="Avenir Next" w:hAnsi="Avenir Next"/>
        </w:rPr>
        <w:t xml:space="preserve"> transfer the </w:t>
      </w:r>
      <w:proofErr w:type="spellStart"/>
      <w:r w:rsidRPr="007C3E08">
        <w:rPr>
          <w:rFonts w:ascii="Avenir Next" w:hAnsi="Avenir Next"/>
        </w:rPr>
        <w:t>Xblox</w:t>
      </w:r>
      <w:proofErr w:type="spellEnd"/>
      <w:r w:rsidRPr="007C3E08">
        <w:rPr>
          <w:rFonts w:ascii="Avenir Next" w:hAnsi="Avenir Next"/>
        </w:rPr>
        <w:t xml:space="preserve"> license as part of 363 sale without </w:t>
      </w:r>
      <w:proofErr w:type="spellStart"/>
      <w:r w:rsidRPr="007C3E08">
        <w:rPr>
          <w:rFonts w:ascii="Avenir Next" w:hAnsi="Avenir Next"/>
        </w:rPr>
        <w:t>ToyCo’s</w:t>
      </w:r>
      <w:proofErr w:type="spellEnd"/>
      <w:r w:rsidRPr="007C3E08">
        <w:rPr>
          <w:rFonts w:ascii="Avenir Next" w:hAnsi="Avenir Next"/>
        </w:rPr>
        <w:t xml:space="preserve"> consent? Why or why not?</w:t>
      </w:r>
    </w:p>
    <w:p w14:paraId="165EA746" w14:textId="4291EB4D" w:rsidR="00E01803" w:rsidRDefault="00E01803" w:rsidP="000778B1">
      <w:pPr>
        <w:pStyle w:val="AODocTxt"/>
        <w:spacing w:before="0" w:line="240" w:lineRule="auto"/>
        <w:rPr>
          <w:rFonts w:ascii="Avenir Next" w:hAnsi="Avenir Next"/>
        </w:rPr>
      </w:pPr>
    </w:p>
    <w:p w14:paraId="72FCC2CF" w14:textId="7CDA28D3" w:rsidR="00CC45FE" w:rsidRDefault="00CC45FE" w:rsidP="000778B1">
      <w:pPr>
        <w:pStyle w:val="AODocTxt"/>
        <w:spacing w:before="0" w:line="240" w:lineRule="auto"/>
        <w:rPr>
          <w:rFonts w:ascii="Avenir Next" w:hAnsi="Avenir Next" w:cs="Arial"/>
          <w:color w:val="7B7B7B" w:themeColor="accent3" w:themeShade="BF"/>
          <w:lang w:val="en-GB"/>
        </w:rPr>
      </w:pPr>
      <w:r>
        <w:rPr>
          <w:rFonts w:ascii="Avenir Next" w:hAnsi="Avenir Next" w:cs="Arial"/>
          <w:color w:val="7B7B7B" w:themeColor="accent3" w:themeShade="BF"/>
          <w:lang w:val="en-GB"/>
        </w:rPr>
        <w:t xml:space="preserve">Under section 363 </w:t>
      </w:r>
      <w:r w:rsidR="00F242D9">
        <w:rPr>
          <w:rFonts w:ascii="Avenir Next" w:hAnsi="Avenir Next" w:cs="Arial"/>
          <w:color w:val="7B7B7B" w:themeColor="accent3" w:themeShade="BF"/>
          <w:lang w:val="en-GB"/>
        </w:rPr>
        <w:t xml:space="preserve">(f) </w:t>
      </w:r>
      <w:r>
        <w:rPr>
          <w:rFonts w:ascii="Avenir Next" w:hAnsi="Avenir Next" w:cs="Arial"/>
          <w:color w:val="7B7B7B" w:themeColor="accent3" w:themeShade="BF"/>
          <w:lang w:val="en-GB"/>
        </w:rPr>
        <w:t xml:space="preserve">of the </w:t>
      </w:r>
      <w:r w:rsidR="00F242D9">
        <w:rPr>
          <w:rFonts w:ascii="Avenir Next" w:hAnsi="Avenir Next" w:cs="Arial"/>
          <w:color w:val="7B7B7B" w:themeColor="accent3" w:themeShade="BF"/>
          <w:lang w:val="en-GB"/>
        </w:rPr>
        <w:t xml:space="preserve">US </w:t>
      </w:r>
      <w:r w:rsidR="0048188E">
        <w:rPr>
          <w:rFonts w:ascii="Avenir Next" w:hAnsi="Avenir Next" w:cs="Arial"/>
          <w:color w:val="7B7B7B" w:themeColor="accent3" w:themeShade="BF"/>
          <w:lang w:val="en-GB"/>
        </w:rPr>
        <w:t>B</w:t>
      </w:r>
      <w:r w:rsidR="00F242D9">
        <w:rPr>
          <w:rFonts w:ascii="Avenir Next" w:hAnsi="Avenir Next" w:cs="Arial"/>
          <w:color w:val="7B7B7B" w:themeColor="accent3" w:themeShade="BF"/>
          <w:lang w:val="en-GB"/>
        </w:rPr>
        <w:t xml:space="preserve">ankruptcy </w:t>
      </w:r>
      <w:r w:rsidR="0048188E">
        <w:rPr>
          <w:rFonts w:ascii="Avenir Next" w:hAnsi="Avenir Next" w:cs="Arial"/>
          <w:color w:val="7B7B7B" w:themeColor="accent3" w:themeShade="BF"/>
          <w:lang w:val="en-GB"/>
        </w:rPr>
        <w:t>C</w:t>
      </w:r>
      <w:r w:rsidR="00F242D9">
        <w:rPr>
          <w:rFonts w:ascii="Avenir Next" w:hAnsi="Avenir Next" w:cs="Arial"/>
          <w:color w:val="7B7B7B" w:themeColor="accent3" w:themeShade="BF"/>
          <w:lang w:val="en-GB"/>
        </w:rPr>
        <w:t xml:space="preserve">ode, a trustee </w:t>
      </w:r>
      <w:r w:rsidR="000E5CF4">
        <w:rPr>
          <w:rFonts w:ascii="Avenir Next" w:hAnsi="Avenir Next" w:cs="Arial"/>
          <w:color w:val="7B7B7B" w:themeColor="accent3" w:themeShade="BF"/>
          <w:lang w:val="en-GB"/>
        </w:rPr>
        <w:t xml:space="preserve">(of </w:t>
      </w:r>
      <w:proofErr w:type="spellStart"/>
      <w:r w:rsidR="000E5CF4">
        <w:rPr>
          <w:rFonts w:ascii="Avenir Next" w:hAnsi="Avenir Next" w:cs="Arial"/>
          <w:color w:val="7B7B7B" w:themeColor="accent3" w:themeShade="BF"/>
          <w:lang w:val="en-GB"/>
        </w:rPr>
        <w:t>GameMart</w:t>
      </w:r>
      <w:proofErr w:type="spellEnd"/>
      <w:r w:rsidR="000E5CF4">
        <w:rPr>
          <w:rFonts w:ascii="Avenir Next" w:hAnsi="Avenir Next" w:cs="Arial"/>
          <w:color w:val="7B7B7B" w:themeColor="accent3" w:themeShade="BF"/>
          <w:lang w:val="en-GB"/>
        </w:rPr>
        <w:t xml:space="preserve">) </w:t>
      </w:r>
      <w:r w:rsidR="00F242D9">
        <w:rPr>
          <w:rFonts w:ascii="Avenir Next" w:hAnsi="Avenir Next" w:cs="Arial"/>
          <w:color w:val="7B7B7B" w:themeColor="accent3" w:themeShade="BF"/>
          <w:lang w:val="en-GB"/>
        </w:rPr>
        <w:t xml:space="preserve">may sell </w:t>
      </w:r>
      <w:r w:rsidR="00FF1665">
        <w:rPr>
          <w:rFonts w:ascii="Avenir Next" w:hAnsi="Avenir Next" w:cs="Arial"/>
          <w:color w:val="7B7B7B" w:themeColor="accent3" w:themeShade="BF"/>
          <w:lang w:val="en-GB"/>
        </w:rPr>
        <w:t xml:space="preserve">/ transfer the property free and clear of any interest subject to </w:t>
      </w:r>
      <w:proofErr w:type="gramStart"/>
      <w:r w:rsidR="00FF1665">
        <w:rPr>
          <w:rFonts w:ascii="Avenir Next" w:hAnsi="Avenir Next" w:cs="Arial"/>
          <w:color w:val="7B7B7B" w:themeColor="accent3" w:themeShade="BF"/>
          <w:lang w:val="en-GB"/>
        </w:rPr>
        <w:t>a number of</w:t>
      </w:r>
      <w:proofErr w:type="gramEnd"/>
      <w:r w:rsidR="00FF1665">
        <w:rPr>
          <w:rFonts w:ascii="Avenir Next" w:hAnsi="Avenir Next" w:cs="Arial"/>
          <w:color w:val="7B7B7B" w:themeColor="accent3" w:themeShade="BF"/>
          <w:lang w:val="en-GB"/>
        </w:rPr>
        <w:t xml:space="preserve"> conditions</w:t>
      </w:r>
      <w:r w:rsidR="005E10FB">
        <w:rPr>
          <w:rFonts w:ascii="Avenir Next" w:hAnsi="Avenir Next" w:cs="Arial"/>
          <w:color w:val="7B7B7B" w:themeColor="accent3" w:themeShade="BF"/>
          <w:lang w:val="en-GB"/>
        </w:rPr>
        <w:t xml:space="preserve"> being met</w:t>
      </w:r>
      <w:r w:rsidR="00FF1665">
        <w:rPr>
          <w:rFonts w:ascii="Avenir Next" w:hAnsi="Avenir Next" w:cs="Arial"/>
          <w:color w:val="7B7B7B" w:themeColor="accent3" w:themeShade="BF"/>
          <w:lang w:val="en-GB"/>
        </w:rPr>
        <w:t xml:space="preserve">, one of them being </w:t>
      </w:r>
      <w:r w:rsidR="006D1605">
        <w:rPr>
          <w:rFonts w:ascii="Avenir Next" w:hAnsi="Avenir Next" w:cs="Arial"/>
          <w:color w:val="7B7B7B" w:themeColor="accent3" w:themeShade="BF"/>
          <w:lang w:val="en-GB"/>
        </w:rPr>
        <w:lastRenderedPageBreak/>
        <w:t>the consent of the party whose contractual rights are being transferred</w:t>
      </w:r>
      <w:r w:rsidR="00DB402F">
        <w:rPr>
          <w:rFonts w:ascii="Avenir Next" w:hAnsi="Avenir Next" w:cs="Arial"/>
          <w:color w:val="7B7B7B" w:themeColor="accent3" w:themeShade="BF"/>
          <w:lang w:val="en-GB"/>
        </w:rPr>
        <w:t xml:space="preserve"> (i.e., </w:t>
      </w:r>
      <w:proofErr w:type="spellStart"/>
      <w:r w:rsidR="000E5CF4">
        <w:rPr>
          <w:rFonts w:ascii="Avenir Next" w:hAnsi="Avenir Next" w:cs="Arial"/>
          <w:color w:val="7B7B7B" w:themeColor="accent3" w:themeShade="BF"/>
          <w:lang w:val="en-GB"/>
        </w:rPr>
        <w:t>ToyCo</w:t>
      </w:r>
      <w:proofErr w:type="spellEnd"/>
      <w:r w:rsidR="00DB402F">
        <w:rPr>
          <w:rFonts w:ascii="Avenir Next" w:hAnsi="Avenir Next" w:cs="Arial"/>
          <w:color w:val="7B7B7B" w:themeColor="accent3" w:themeShade="BF"/>
          <w:lang w:val="en-GB"/>
        </w:rPr>
        <w:t xml:space="preserve"> in our case)</w:t>
      </w:r>
      <w:r w:rsidR="000E5CF4">
        <w:rPr>
          <w:rFonts w:ascii="Avenir Next" w:hAnsi="Avenir Next" w:cs="Arial"/>
          <w:color w:val="7B7B7B" w:themeColor="accent3" w:themeShade="BF"/>
          <w:lang w:val="en-GB"/>
        </w:rPr>
        <w:t xml:space="preserve">. </w:t>
      </w:r>
      <w:r w:rsidR="00E60B3A">
        <w:rPr>
          <w:rFonts w:ascii="Avenir Next" w:hAnsi="Avenir Next" w:cs="Arial"/>
          <w:color w:val="7B7B7B" w:themeColor="accent3" w:themeShade="BF"/>
          <w:lang w:val="en-GB"/>
        </w:rPr>
        <w:t xml:space="preserve">Therefore, </w:t>
      </w:r>
      <w:proofErr w:type="spellStart"/>
      <w:r w:rsidR="00E60B3A">
        <w:rPr>
          <w:rFonts w:ascii="Avenir Next" w:hAnsi="Avenir Next" w:cs="Arial"/>
          <w:color w:val="7B7B7B" w:themeColor="accent3" w:themeShade="BF"/>
          <w:lang w:val="en-GB"/>
        </w:rPr>
        <w:t>GameMart</w:t>
      </w:r>
      <w:proofErr w:type="spellEnd"/>
      <w:r w:rsidR="00E60B3A">
        <w:rPr>
          <w:rFonts w:ascii="Avenir Next" w:hAnsi="Avenir Next" w:cs="Arial"/>
          <w:color w:val="7B7B7B" w:themeColor="accent3" w:themeShade="BF"/>
          <w:lang w:val="en-GB"/>
        </w:rPr>
        <w:t xml:space="preserve"> cannot transfer the </w:t>
      </w:r>
      <w:proofErr w:type="spellStart"/>
      <w:r w:rsidR="000A0724">
        <w:rPr>
          <w:rFonts w:ascii="Avenir Next" w:hAnsi="Avenir Next" w:cs="Arial"/>
          <w:color w:val="7B7B7B" w:themeColor="accent3" w:themeShade="BF"/>
          <w:lang w:val="en-GB"/>
        </w:rPr>
        <w:t>Xblox</w:t>
      </w:r>
      <w:proofErr w:type="spellEnd"/>
      <w:r w:rsidR="000A0724">
        <w:rPr>
          <w:rFonts w:ascii="Avenir Next" w:hAnsi="Avenir Next" w:cs="Arial"/>
          <w:color w:val="7B7B7B" w:themeColor="accent3" w:themeShade="BF"/>
          <w:lang w:val="en-GB"/>
        </w:rPr>
        <w:t xml:space="preserve"> license without </w:t>
      </w:r>
      <w:proofErr w:type="spellStart"/>
      <w:r w:rsidR="000A0724">
        <w:rPr>
          <w:rFonts w:ascii="Avenir Next" w:hAnsi="Avenir Next" w:cs="Arial"/>
          <w:color w:val="7B7B7B" w:themeColor="accent3" w:themeShade="BF"/>
          <w:lang w:val="en-GB"/>
        </w:rPr>
        <w:t>ToyCo’s</w:t>
      </w:r>
      <w:proofErr w:type="spellEnd"/>
      <w:r w:rsidR="000A0724">
        <w:rPr>
          <w:rFonts w:ascii="Avenir Next" w:hAnsi="Avenir Next" w:cs="Arial"/>
          <w:color w:val="7B7B7B" w:themeColor="accent3" w:themeShade="BF"/>
          <w:lang w:val="en-GB"/>
        </w:rPr>
        <w:t xml:space="preserve"> consent as part of a 363 sale.</w:t>
      </w:r>
    </w:p>
    <w:p w14:paraId="72819D6C" w14:textId="71811E5C" w:rsidR="00C210B3" w:rsidRDefault="00C210B3" w:rsidP="000778B1">
      <w:pPr>
        <w:pStyle w:val="AODocTxt"/>
        <w:spacing w:before="0" w:line="240" w:lineRule="auto"/>
        <w:rPr>
          <w:rFonts w:ascii="Avenir Next" w:hAnsi="Avenir Next" w:cs="Arial"/>
          <w:color w:val="7B7B7B" w:themeColor="accent3" w:themeShade="BF"/>
          <w:lang w:val="en-GB"/>
        </w:rPr>
      </w:pPr>
    </w:p>
    <w:p w14:paraId="68489636" w14:textId="1871FE14" w:rsidR="00BF56CA" w:rsidRDefault="00C210B3" w:rsidP="000778B1">
      <w:pPr>
        <w:pStyle w:val="AODocTxt"/>
        <w:spacing w:before="0" w:line="240" w:lineRule="auto"/>
        <w:rPr>
          <w:rFonts w:ascii="Avenir Next" w:hAnsi="Avenir Next"/>
        </w:rPr>
      </w:pPr>
      <w:r>
        <w:rPr>
          <w:rFonts w:ascii="Avenir Next" w:hAnsi="Avenir Next" w:cs="Arial"/>
          <w:color w:val="7B7B7B" w:themeColor="accent3" w:themeShade="BF"/>
          <w:lang w:val="en-GB"/>
        </w:rPr>
        <w:t xml:space="preserve">Presumably </w:t>
      </w:r>
      <w:proofErr w:type="spellStart"/>
      <w:r>
        <w:rPr>
          <w:rFonts w:ascii="Avenir Next" w:hAnsi="Avenir Next" w:cs="Arial"/>
          <w:color w:val="7B7B7B" w:themeColor="accent3" w:themeShade="BF"/>
          <w:lang w:val="en-GB"/>
        </w:rPr>
        <w:t>ToyCo</w:t>
      </w:r>
      <w:proofErr w:type="spellEnd"/>
      <w:r>
        <w:rPr>
          <w:rFonts w:ascii="Avenir Next" w:hAnsi="Avenir Next" w:cs="Arial"/>
          <w:color w:val="7B7B7B" w:themeColor="accent3" w:themeShade="BF"/>
          <w:lang w:val="en-GB"/>
        </w:rPr>
        <w:t xml:space="preserve"> would want to ensure that the party that the </w:t>
      </w:r>
      <w:proofErr w:type="spellStart"/>
      <w:r>
        <w:rPr>
          <w:rFonts w:ascii="Avenir Next" w:hAnsi="Avenir Next" w:cs="Arial"/>
          <w:color w:val="7B7B7B" w:themeColor="accent3" w:themeShade="BF"/>
          <w:lang w:val="en-GB"/>
        </w:rPr>
        <w:t>Xblox</w:t>
      </w:r>
      <w:proofErr w:type="spellEnd"/>
      <w:r>
        <w:rPr>
          <w:rFonts w:ascii="Avenir Next" w:hAnsi="Avenir Next" w:cs="Arial"/>
          <w:color w:val="7B7B7B" w:themeColor="accent3" w:themeShade="BF"/>
          <w:lang w:val="en-GB"/>
        </w:rPr>
        <w:t xml:space="preserve"> license is being transferred to </w:t>
      </w:r>
      <w:r w:rsidR="009842C3">
        <w:rPr>
          <w:rFonts w:ascii="Avenir Next" w:hAnsi="Avenir Next" w:cs="Arial"/>
          <w:color w:val="7B7B7B" w:themeColor="accent3" w:themeShade="BF"/>
          <w:lang w:val="en-GB"/>
        </w:rPr>
        <w:t xml:space="preserve">has the capacity (operational and financial) to </w:t>
      </w:r>
      <w:r w:rsidR="005D082F">
        <w:rPr>
          <w:rFonts w:ascii="Avenir Next" w:hAnsi="Avenir Next" w:cs="Arial"/>
          <w:color w:val="7B7B7B" w:themeColor="accent3" w:themeShade="BF"/>
          <w:lang w:val="en-GB"/>
        </w:rPr>
        <w:t xml:space="preserve">maintain the quality and standards needed to protect the </w:t>
      </w:r>
      <w:proofErr w:type="spellStart"/>
      <w:r w:rsidR="005D082F">
        <w:rPr>
          <w:rFonts w:ascii="Avenir Next" w:hAnsi="Avenir Next" w:cs="Arial"/>
          <w:color w:val="7B7B7B" w:themeColor="accent3" w:themeShade="BF"/>
          <w:lang w:val="en-GB"/>
        </w:rPr>
        <w:t>ToyCo</w:t>
      </w:r>
      <w:proofErr w:type="spellEnd"/>
      <w:r w:rsidR="005D082F">
        <w:rPr>
          <w:rFonts w:ascii="Avenir Next" w:hAnsi="Avenir Next" w:cs="Arial"/>
          <w:color w:val="7B7B7B" w:themeColor="accent3" w:themeShade="BF"/>
          <w:lang w:val="en-GB"/>
        </w:rPr>
        <w:t xml:space="preserve"> brand, but also to m</w:t>
      </w:r>
      <w:r w:rsidR="00BA6793">
        <w:rPr>
          <w:rFonts w:ascii="Avenir Next" w:hAnsi="Avenir Next" w:cs="Arial"/>
          <w:color w:val="7B7B7B" w:themeColor="accent3" w:themeShade="BF"/>
          <w:lang w:val="en-GB"/>
        </w:rPr>
        <w:t xml:space="preserve">eet the </w:t>
      </w:r>
      <w:r w:rsidR="00464943">
        <w:rPr>
          <w:rFonts w:ascii="Avenir Next" w:hAnsi="Avenir Next" w:cs="Arial"/>
          <w:color w:val="7B7B7B" w:themeColor="accent3" w:themeShade="BF"/>
          <w:lang w:val="en-GB"/>
        </w:rPr>
        <w:t xml:space="preserve">necessary </w:t>
      </w:r>
      <w:r w:rsidR="00BA6793">
        <w:rPr>
          <w:rFonts w:ascii="Avenir Next" w:hAnsi="Avenir Next" w:cs="Arial"/>
          <w:color w:val="7B7B7B" w:themeColor="accent3" w:themeShade="BF"/>
          <w:lang w:val="en-GB"/>
        </w:rPr>
        <w:t xml:space="preserve">payments </w:t>
      </w:r>
      <w:r w:rsidR="00464943">
        <w:rPr>
          <w:rFonts w:ascii="Avenir Next" w:hAnsi="Avenir Next" w:cs="Arial"/>
          <w:color w:val="7B7B7B" w:themeColor="accent3" w:themeShade="BF"/>
          <w:lang w:val="en-GB"/>
        </w:rPr>
        <w:t xml:space="preserve">contracted by </w:t>
      </w:r>
      <w:proofErr w:type="spellStart"/>
      <w:r w:rsidR="007E0AC8">
        <w:rPr>
          <w:rFonts w:ascii="Avenir Next" w:hAnsi="Avenir Next" w:cs="Arial"/>
          <w:color w:val="7B7B7B" w:themeColor="accent3" w:themeShade="BF"/>
          <w:lang w:val="en-GB"/>
        </w:rPr>
        <w:t>GameMart</w:t>
      </w:r>
      <w:proofErr w:type="spellEnd"/>
      <w:r w:rsidR="007E0AC8">
        <w:rPr>
          <w:rFonts w:ascii="Avenir Next" w:hAnsi="Avenir Next" w:cs="Arial"/>
          <w:color w:val="7B7B7B" w:themeColor="accent3" w:themeShade="BF"/>
          <w:lang w:val="en-GB"/>
        </w:rPr>
        <w:t>.</w:t>
      </w:r>
    </w:p>
    <w:p w14:paraId="72214BCF" w14:textId="77777777" w:rsidR="00BF56CA" w:rsidRPr="00E01803" w:rsidRDefault="00BF56CA"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w:t>
      </w:r>
      <w:r w:rsidRPr="007C3E08">
        <w:rPr>
          <w:rFonts w:ascii="Avenir Next" w:hAnsi="Avenir Next"/>
        </w:rPr>
        <w:t>363 sale without Land Corp’s consent</w:t>
      </w:r>
      <w:r w:rsidRPr="00E01803">
        <w:rPr>
          <w:rFonts w:ascii="Avenir Next" w:hAnsi="Avenir Next"/>
        </w:rPr>
        <w: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40F3C409" w14:textId="1279E438" w:rsidR="00E01803" w:rsidRPr="00775EA5" w:rsidRDefault="001E2DBD" w:rsidP="00775EA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Considering the lease has seven years to run, </w:t>
      </w:r>
      <w:r w:rsidR="0069013E">
        <w:rPr>
          <w:rFonts w:ascii="Avenir Next" w:hAnsi="Avenir Next" w:cs="Arial"/>
          <w:color w:val="7B7B7B" w:themeColor="accent3" w:themeShade="BF"/>
          <w:sz w:val="22"/>
          <w:szCs w:val="22"/>
          <w:lang w:val="en-GB"/>
        </w:rPr>
        <w:t xml:space="preserve">it would be considered as an executory contract, and therefore subject to </w:t>
      </w:r>
      <w:r w:rsidR="0048188E">
        <w:rPr>
          <w:rFonts w:ascii="Avenir Next" w:hAnsi="Avenir Next" w:cs="Arial"/>
          <w:color w:val="7B7B7B" w:themeColor="accent3" w:themeShade="BF"/>
          <w:sz w:val="22"/>
          <w:szCs w:val="22"/>
          <w:lang w:val="en-GB"/>
        </w:rPr>
        <w:t xml:space="preserve">section 365 of the US Bankruptcy Code. </w:t>
      </w:r>
      <w:r w:rsidR="002841CB">
        <w:rPr>
          <w:rFonts w:ascii="Avenir Next" w:hAnsi="Avenir Next" w:cs="Arial"/>
          <w:color w:val="7B7B7B" w:themeColor="accent3" w:themeShade="BF"/>
          <w:sz w:val="22"/>
          <w:szCs w:val="22"/>
          <w:lang w:val="en-GB"/>
        </w:rPr>
        <w:t xml:space="preserve">Under section 365 (c), </w:t>
      </w:r>
      <w:r w:rsidR="0000573F">
        <w:rPr>
          <w:rFonts w:ascii="Avenir Next" w:hAnsi="Avenir Next" w:cs="Arial"/>
          <w:color w:val="7B7B7B" w:themeColor="accent3" w:themeShade="BF"/>
          <w:sz w:val="22"/>
          <w:szCs w:val="22"/>
          <w:lang w:val="en-GB"/>
        </w:rPr>
        <w:t xml:space="preserve">the trustee of the debtor may not assign the unexpired lease </w:t>
      </w:r>
      <w:r w:rsidR="002143B3">
        <w:rPr>
          <w:rFonts w:ascii="Avenir Next" w:hAnsi="Avenir Next" w:cs="Arial"/>
          <w:color w:val="7B7B7B" w:themeColor="accent3" w:themeShade="BF"/>
          <w:sz w:val="22"/>
          <w:szCs w:val="22"/>
          <w:lang w:val="en-GB"/>
        </w:rPr>
        <w:t>(irrespective of whether the lease permits assignment or not)</w:t>
      </w:r>
      <w:r w:rsidR="0006676D">
        <w:rPr>
          <w:rFonts w:ascii="Avenir Next" w:hAnsi="Avenir Next" w:cs="Arial"/>
          <w:color w:val="7B7B7B" w:themeColor="accent3" w:themeShade="BF"/>
          <w:sz w:val="22"/>
          <w:szCs w:val="22"/>
          <w:lang w:val="en-GB"/>
        </w:rPr>
        <w:t xml:space="preserve"> if </w:t>
      </w:r>
      <w:r w:rsidR="00CF6588">
        <w:rPr>
          <w:rFonts w:ascii="Avenir Next" w:hAnsi="Avenir Next" w:cs="Arial"/>
          <w:color w:val="7B7B7B" w:themeColor="accent3" w:themeShade="BF"/>
          <w:sz w:val="22"/>
          <w:szCs w:val="22"/>
          <w:lang w:val="en-GB"/>
        </w:rPr>
        <w:t>the</w:t>
      </w:r>
      <w:r w:rsidR="00197F6D">
        <w:rPr>
          <w:rFonts w:ascii="Avenir Next" w:hAnsi="Avenir Next" w:cs="Arial"/>
          <w:color w:val="7B7B7B" w:themeColor="accent3" w:themeShade="BF"/>
          <w:sz w:val="22"/>
          <w:szCs w:val="22"/>
          <w:lang w:val="en-GB"/>
        </w:rPr>
        <w:t xml:space="preserve"> relevant laws prohibit or excuse </w:t>
      </w:r>
      <w:proofErr w:type="spellStart"/>
      <w:r w:rsidR="00197F6D">
        <w:rPr>
          <w:rFonts w:ascii="Avenir Next" w:hAnsi="Avenir Next" w:cs="Arial"/>
          <w:color w:val="7B7B7B" w:themeColor="accent3" w:themeShade="BF"/>
          <w:sz w:val="22"/>
          <w:szCs w:val="22"/>
          <w:lang w:val="en-GB"/>
        </w:rPr>
        <w:t>LandLease</w:t>
      </w:r>
      <w:proofErr w:type="spellEnd"/>
      <w:r w:rsidR="00197F6D">
        <w:rPr>
          <w:rFonts w:ascii="Avenir Next" w:hAnsi="Avenir Next" w:cs="Arial"/>
          <w:color w:val="7B7B7B" w:themeColor="accent3" w:themeShade="BF"/>
          <w:sz w:val="22"/>
          <w:szCs w:val="22"/>
          <w:lang w:val="en-GB"/>
        </w:rPr>
        <w:t xml:space="preserve"> from providing </w:t>
      </w:r>
      <w:r w:rsidR="009070CC">
        <w:rPr>
          <w:rFonts w:ascii="Avenir Next" w:hAnsi="Avenir Next" w:cs="Arial"/>
          <w:color w:val="7B7B7B" w:themeColor="accent3" w:themeShade="BF"/>
          <w:sz w:val="22"/>
          <w:szCs w:val="22"/>
          <w:lang w:val="en-GB"/>
        </w:rPr>
        <w:t xml:space="preserve">services to anyone other than the debtor, and </w:t>
      </w:r>
      <w:proofErr w:type="spellStart"/>
      <w:r w:rsidR="009070CC">
        <w:rPr>
          <w:rFonts w:ascii="Avenir Next" w:hAnsi="Avenir Next" w:cs="Arial"/>
          <w:color w:val="7B7B7B" w:themeColor="accent3" w:themeShade="BF"/>
          <w:sz w:val="22"/>
          <w:szCs w:val="22"/>
          <w:lang w:val="en-GB"/>
        </w:rPr>
        <w:t>LandLease</w:t>
      </w:r>
      <w:proofErr w:type="spellEnd"/>
      <w:r w:rsidR="009070CC">
        <w:rPr>
          <w:rFonts w:ascii="Avenir Next" w:hAnsi="Avenir Next" w:cs="Arial"/>
          <w:color w:val="7B7B7B" w:themeColor="accent3" w:themeShade="BF"/>
          <w:sz w:val="22"/>
          <w:szCs w:val="22"/>
          <w:lang w:val="en-GB"/>
        </w:rPr>
        <w:t xml:space="preserve"> </w:t>
      </w:r>
      <w:r w:rsidR="00CF6588">
        <w:rPr>
          <w:rFonts w:ascii="Avenir Next" w:hAnsi="Avenir Next" w:cs="Arial"/>
          <w:color w:val="7B7B7B" w:themeColor="accent3" w:themeShade="BF"/>
          <w:sz w:val="22"/>
          <w:szCs w:val="22"/>
          <w:lang w:val="en-GB"/>
        </w:rPr>
        <w:t>does not consent to such assumption or assignment</w:t>
      </w:r>
      <w:r w:rsidR="009070CC">
        <w:rPr>
          <w:rFonts w:ascii="Avenir Next" w:hAnsi="Avenir Next" w:cs="Arial"/>
          <w:color w:val="7B7B7B" w:themeColor="accent3" w:themeShade="BF"/>
          <w:sz w:val="22"/>
          <w:szCs w:val="22"/>
          <w:lang w:val="en-GB"/>
        </w:rPr>
        <w:t xml:space="preserve"> to a third party</w:t>
      </w:r>
      <w:r w:rsidR="00CF6588">
        <w:rPr>
          <w:rFonts w:ascii="Avenir Next" w:hAnsi="Avenir Next" w:cs="Arial"/>
          <w:color w:val="7B7B7B" w:themeColor="accent3" w:themeShade="BF"/>
          <w:sz w:val="22"/>
          <w:szCs w:val="22"/>
          <w:lang w:val="en-GB"/>
        </w:rPr>
        <w:t xml:space="preserve">. </w:t>
      </w: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15D3" w14:textId="77777777" w:rsidR="006B4975" w:rsidRDefault="006B4975" w:rsidP="00241B44">
      <w:r>
        <w:separator/>
      </w:r>
    </w:p>
  </w:endnote>
  <w:endnote w:type="continuationSeparator" w:id="0">
    <w:p w14:paraId="26B124A4" w14:textId="77777777" w:rsidR="006B4975" w:rsidRDefault="006B497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C7C0BDD" w:rsidR="00241FA3" w:rsidRPr="00494B81" w:rsidRDefault="0073158B" w:rsidP="009B4976">
    <w:pPr>
      <w:pStyle w:val="Footer"/>
      <w:ind w:right="360"/>
      <w:rPr>
        <w:rFonts w:ascii="Avenir Next" w:hAnsi="Avenir Next" w:cs="Arial"/>
        <w:sz w:val="22"/>
        <w:szCs w:val="22"/>
        <w:lang w:val="en-GB"/>
      </w:rPr>
    </w:pPr>
    <w:r w:rsidRPr="00494B81">
      <w:rPr>
        <w:rFonts w:ascii="Avenir Next" w:hAnsi="Avenir Next" w:cs="Arial"/>
        <w:sz w:val="22"/>
        <w:szCs w:val="22"/>
        <w:lang w:val="en-GB"/>
      </w:rPr>
      <w:t>student</w:t>
    </w:r>
    <w:r w:rsidR="007D0192" w:rsidRPr="00494B81">
      <w:rPr>
        <w:rFonts w:ascii="Avenir Next" w:hAnsi="Avenir Next" w:cs="Arial"/>
        <w:sz w:val="22"/>
        <w:szCs w:val="22"/>
        <w:lang w:val="en-GB"/>
      </w:rPr>
      <w:t>ID</w:t>
    </w:r>
    <w:r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8664" w14:textId="77777777" w:rsidR="006B4975" w:rsidRDefault="006B4975" w:rsidP="00241B44">
      <w:r>
        <w:separator/>
      </w:r>
    </w:p>
  </w:footnote>
  <w:footnote w:type="continuationSeparator" w:id="0">
    <w:p w14:paraId="1A8CEEC3" w14:textId="77777777" w:rsidR="006B4975" w:rsidRDefault="006B4975" w:rsidP="00241B44">
      <w:r>
        <w:continuationSeparator/>
      </w:r>
    </w:p>
  </w:footnote>
  <w:footnote w:id="1">
    <w:p w14:paraId="7D4AA27F" w14:textId="17DB392B" w:rsidR="00C26537" w:rsidRDefault="00C26537" w:rsidP="00C26537">
      <w:pPr>
        <w:pStyle w:val="FootnoteText"/>
      </w:pPr>
      <w:r>
        <w:rPr>
          <w:rStyle w:val="FootnoteReference"/>
        </w:rPr>
        <w:footnoteRef/>
      </w:r>
      <w:r>
        <w:t xml:space="preserve"> </w:t>
      </w:r>
      <w:r w:rsidR="00267369">
        <w:t xml:space="preserve">Kevin M. Lewis, </w:t>
      </w:r>
      <w:proofErr w:type="gramStart"/>
      <w:r w:rsidRPr="0098681D">
        <w:rPr>
          <w:i/>
          <w:iCs/>
        </w:rPr>
        <w:t>Making</w:t>
      </w:r>
      <w:proofErr w:type="gramEnd"/>
      <w:r w:rsidRPr="0098681D">
        <w:rPr>
          <w:i/>
          <w:iCs/>
        </w:rPr>
        <w:t xml:space="preserve"> it a Priority: What Happens to</w:t>
      </w:r>
      <w:r w:rsidRPr="0098681D">
        <w:rPr>
          <w:i/>
          <w:iCs/>
        </w:rPr>
        <w:t xml:space="preserve"> </w:t>
      </w:r>
      <w:r w:rsidRPr="0098681D">
        <w:rPr>
          <w:i/>
          <w:iCs/>
        </w:rPr>
        <w:t>Employee Claims When a Business Declares</w:t>
      </w:r>
      <w:r w:rsidRPr="0098681D">
        <w:rPr>
          <w:i/>
          <w:iCs/>
        </w:rPr>
        <w:t xml:space="preserve"> </w:t>
      </w:r>
      <w:r w:rsidRPr="0098681D">
        <w:rPr>
          <w:i/>
          <w:iCs/>
        </w:rPr>
        <w:t>Bankruptcy?</w:t>
      </w:r>
      <w:r w:rsidR="0098681D">
        <w:t xml:space="preserve"> (</w:t>
      </w:r>
      <w:r w:rsidR="0098681D">
        <w:t xml:space="preserve">Congressional Research Service, </w:t>
      </w:r>
      <w:r w:rsidR="0098681D">
        <w:t>16 April 2019)</w:t>
      </w:r>
      <w:r>
        <w:cr/>
      </w:r>
    </w:p>
  </w:footnote>
  <w:footnote w:id="2">
    <w:p w14:paraId="31239677" w14:textId="50F9B212" w:rsidR="00B23D42" w:rsidRDefault="00B23D42">
      <w:pPr>
        <w:pStyle w:val="FootnoteText"/>
      </w:pPr>
      <w:r>
        <w:rPr>
          <w:rStyle w:val="FootnoteReference"/>
        </w:rPr>
        <w:footnoteRef/>
      </w:r>
      <w:r>
        <w:t xml:space="preserve"> </w:t>
      </w:r>
      <w:r w:rsidR="00213A61">
        <w:t>564 US 462 (2011)</w:t>
      </w:r>
    </w:p>
  </w:footnote>
  <w:footnote w:id="3">
    <w:p w14:paraId="730C90B0" w14:textId="4D5117BA" w:rsidR="003E3007" w:rsidRDefault="003E3007">
      <w:pPr>
        <w:pStyle w:val="FootnoteText"/>
      </w:pPr>
      <w:r>
        <w:rPr>
          <w:rStyle w:val="FootnoteReference"/>
        </w:rPr>
        <w:footnoteRef/>
      </w:r>
      <w:r>
        <w:t xml:space="preserve"> 11 USC, </w:t>
      </w:r>
      <w:r w:rsidR="00096A7B">
        <w:t>section 101(23)</w:t>
      </w:r>
    </w:p>
  </w:footnote>
  <w:footnote w:id="4">
    <w:p w14:paraId="27999F21" w14:textId="682839E7" w:rsidR="00540ED5" w:rsidRDefault="00540ED5">
      <w:pPr>
        <w:pStyle w:val="FootnoteText"/>
      </w:pPr>
      <w:r>
        <w:rPr>
          <w:rStyle w:val="FootnoteReference"/>
        </w:rPr>
        <w:footnoteRef/>
      </w:r>
      <w:r>
        <w:t xml:space="preserve"> 11 USC, section 1516(c)</w:t>
      </w:r>
    </w:p>
  </w:footnote>
  <w:footnote w:id="5">
    <w:p w14:paraId="6003450A" w14:textId="462A6207" w:rsidR="00683560" w:rsidRDefault="00683560">
      <w:pPr>
        <w:pStyle w:val="FootnoteText"/>
      </w:pPr>
      <w:r>
        <w:rPr>
          <w:rStyle w:val="FootnoteReference"/>
        </w:rPr>
        <w:footnoteRef/>
      </w:r>
      <w:r>
        <w:t xml:space="preserve"> 11 USC, section 365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29F"/>
    <w:multiLevelType w:val="hybridMultilevel"/>
    <w:tmpl w:val="0136B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8E23A5"/>
    <w:multiLevelType w:val="hybridMultilevel"/>
    <w:tmpl w:val="DF30DC22"/>
    <w:lvl w:ilvl="0" w:tplc="448AF79C">
      <w:start w:val="5"/>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8E1319"/>
    <w:multiLevelType w:val="hybridMultilevel"/>
    <w:tmpl w:val="99B0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66B3A"/>
    <w:multiLevelType w:val="hybridMultilevel"/>
    <w:tmpl w:val="0F826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7"/>
  </w:num>
  <w:num w:numId="3">
    <w:abstractNumId w:val="5"/>
  </w:num>
  <w:num w:numId="4">
    <w:abstractNumId w:val="9"/>
  </w:num>
  <w:num w:numId="5">
    <w:abstractNumId w:val="11"/>
  </w:num>
  <w:num w:numId="6">
    <w:abstractNumId w:val="30"/>
  </w:num>
  <w:num w:numId="7">
    <w:abstractNumId w:val="6"/>
  </w:num>
  <w:num w:numId="8">
    <w:abstractNumId w:val="33"/>
  </w:num>
  <w:num w:numId="9">
    <w:abstractNumId w:val="12"/>
  </w:num>
  <w:num w:numId="10">
    <w:abstractNumId w:val="26"/>
  </w:num>
  <w:num w:numId="11">
    <w:abstractNumId w:val="14"/>
  </w:num>
  <w:num w:numId="12">
    <w:abstractNumId w:val="22"/>
  </w:num>
  <w:num w:numId="13">
    <w:abstractNumId w:val="1"/>
  </w:num>
  <w:num w:numId="14">
    <w:abstractNumId w:val="10"/>
  </w:num>
  <w:num w:numId="15">
    <w:abstractNumId w:val="18"/>
  </w:num>
  <w:num w:numId="16">
    <w:abstractNumId w:val="8"/>
  </w:num>
  <w:num w:numId="17">
    <w:abstractNumId w:val="4"/>
  </w:num>
  <w:num w:numId="18">
    <w:abstractNumId w:val="3"/>
  </w:num>
  <w:num w:numId="19">
    <w:abstractNumId w:val="28"/>
  </w:num>
  <w:num w:numId="20">
    <w:abstractNumId w:val="7"/>
  </w:num>
  <w:num w:numId="21">
    <w:abstractNumId w:val="24"/>
  </w:num>
  <w:num w:numId="22">
    <w:abstractNumId w:val="34"/>
  </w:num>
  <w:num w:numId="23">
    <w:abstractNumId w:val="13"/>
  </w:num>
  <w:num w:numId="24">
    <w:abstractNumId w:val="29"/>
  </w:num>
  <w:num w:numId="25">
    <w:abstractNumId w:val="19"/>
  </w:num>
  <w:num w:numId="26">
    <w:abstractNumId w:val="20"/>
  </w:num>
  <w:num w:numId="27">
    <w:abstractNumId w:val="15"/>
  </w:num>
  <w:num w:numId="28">
    <w:abstractNumId w:val="31"/>
  </w:num>
  <w:num w:numId="29">
    <w:abstractNumId w:val="2"/>
  </w:num>
  <w:num w:numId="30">
    <w:abstractNumId w:val="16"/>
  </w:num>
  <w:num w:numId="31">
    <w:abstractNumId w:val="21"/>
  </w:num>
  <w:num w:numId="32">
    <w:abstractNumId w:val="17"/>
  </w:num>
  <w:num w:numId="33">
    <w:abstractNumId w:val="32"/>
  </w:num>
  <w:num w:numId="34">
    <w:abstractNumId w:val="0"/>
  </w:num>
  <w:num w:numId="3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C14"/>
    <w:rsid w:val="0000573F"/>
    <w:rsid w:val="00010BA0"/>
    <w:rsid w:val="000154F6"/>
    <w:rsid w:val="00020557"/>
    <w:rsid w:val="00021FC2"/>
    <w:rsid w:val="00022E00"/>
    <w:rsid w:val="000250C7"/>
    <w:rsid w:val="00025CBA"/>
    <w:rsid w:val="000264ED"/>
    <w:rsid w:val="00026F16"/>
    <w:rsid w:val="00030684"/>
    <w:rsid w:val="000346E7"/>
    <w:rsid w:val="00037621"/>
    <w:rsid w:val="00037671"/>
    <w:rsid w:val="0004269D"/>
    <w:rsid w:val="00042C87"/>
    <w:rsid w:val="000431B7"/>
    <w:rsid w:val="00044D46"/>
    <w:rsid w:val="00045088"/>
    <w:rsid w:val="00045904"/>
    <w:rsid w:val="00046990"/>
    <w:rsid w:val="00047A03"/>
    <w:rsid w:val="000502FD"/>
    <w:rsid w:val="000505C4"/>
    <w:rsid w:val="00064B75"/>
    <w:rsid w:val="00065166"/>
    <w:rsid w:val="0006676D"/>
    <w:rsid w:val="00066EDE"/>
    <w:rsid w:val="00073B29"/>
    <w:rsid w:val="00075F63"/>
    <w:rsid w:val="000778B1"/>
    <w:rsid w:val="00080D52"/>
    <w:rsid w:val="00082609"/>
    <w:rsid w:val="00082D20"/>
    <w:rsid w:val="000851CC"/>
    <w:rsid w:val="000925F6"/>
    <w:rsid w:val="00093BE8"/>
    <w:rsid w:val="00096A7B"/>
    <w:rsid w:val="00097B45"/>
    <w:rsid w:val="00097D56"/>
    <w:rsid w:val="00097E0B"/>
    <w:rsid w:val="000A0724"/>
    <w:rsid w:val="000A2D68"/>
    <w:rsid w:val="000A407B"/>
    <w:rsid w:val="000A636A"/>
    <w:rsid w:val="000A68ED"/>
    <w:rsid w:val="000A7A3D"/>
    <w:rsid w:val="000B0D69"/>
    <w:rsid w:val="000B5FF1"/>
    <w:rsid w:val="000B6083"/>
    <w:rsid w:val="000B609F"/>
    <w:rsid w:val="000C1D52"/>
    <w:rsid w:val="000C394A"/>
    <w:rsid w:val="000C3983"/>
    <w:rsid w:val="000C4787"/>
    <w:rsid w:val="000C4C5B"/>
    <w:rsid w:val="000D19A6"/>
    <w:rsid w:val="000D55A8"/>
    <w:rsid w:val="000D7462"/>
    <w:rsid w:val="000E42D1"/>
    <w:rsid w:val="000E4841"/>
    <w:rsid w:val="000E5CF4"/>
    <w:rsid w:val="000F0686"/>
    <w:rsid w:val="000F07A1"/>
    <w:rsid w:val="000F1677"/>
    <w:rsid w:val="000F3D6C"/>
    <w:rsid w:val="000F7FC2"/>
    <w:rsid w:val="00101707"/>
    <w:rsid w:val="00102CC9"/>
    <w:rsid w:val="00102DAB"/>
    <w:rsid w:val="00102F10"/>
    <w:rsid w:val="00106495"/>
    <w:rsid w:val="0011473D"/>
    <w:rsid w:val="0011482B"/>
    <w:rsid w:val="00115A8F"/>
    <w:rsid w:val="00115C85"/>
    <w:rsid w:val="00117ECB"/>
    <w:rsid w:val="00120215"/>
    <w:rsid w:val="001210AC"/>
    <w:rsid w:val="0012128F"/>
    <w:rsid w:val="0012224B"/>
    <w:rsid w:val="00123855"/>
    <w:rsid w:val="00126A4D"/>
    <w:rsid w:val="00133169"/>
    <w:rsid w:val="00134318"/>
    <w:rsid w:val="00140B22"/>
    <w:rsid w:val="0014171F"/>
    <w:rsid w:val="00142D6D"/>
    <w:rsid w:val="0014622C"/>
    <w:rsid w:val="00152348"/>
    <w:rsid w:val="0015456D"/>
    <w:rsid w:val="00155027"/>
    <w:rsid w:val="00155FA2"/>
    <w:rsid w:val="00156E4A"/>
    <w:rsid w:val="00160679"/>
    <w:rsid w:val="00160C85"/>
    <w:rsid w:val="00161F1B"/>
    <w:rsid w:val="00162829"/>
    <w:rsid w:val="001668F5"/>
    <w:rsid w:val="0017432A"/>
    <w:rsid w:val="00180548"/>
    <w:rsid w:val="00180AC4"/>
    <w:rsid w:val="00180CCE"/>
    <w:rsid w:val="00181942"/>
    <w:rsid w:val="001820FA"/>
    <w:rsid w:val="0018229D"/>
    <w:rsid w:val="0018267A"/>
    <w:rsid w:val="00182779"/>
    <w:rsid w:val="001830DF"/>
    <w:rsid w:val="001834C4"/>
    <w:rsid w:val="00187FBB"/>
    <w:rsid w:val="00191F4C"/>
    <w:rsid w:val="0019275F"/>
    <w:rsid w:val="001966D9"/>
    <w:rsid w:val="00197E4B"/>
    <w:rsid w:val="00197F6D"/>
    <w:rsid w:val="001A7E9A"/>
    <w:rsid w:val="001B0F70"/>
    <w:rsid w:val="001B1543"/>
    <w:rsid w:val="001B3DC3"/>
    <w:rsid w:val="001B5016"/>
    <w:rsid w:val="001C17D3"/>
    <w:rsid w:val="001C45FC"/>
    <w:rsid w:val="001D0469"/>
    <w:rsid w:val="001D2571"/>
    <w:rsid w:val="001D4862"/>
    <w:rsid w:val="001D5536"/>
    <w:rsid w:val="001E03B5"/>
    <w:rsid w:val="001E25B9"/>
    <w:rsid w:val="001E2DBD"/>
    <w:rsid w:val="001E3832"/>
    <w:rsid w:val="001E402B"/>
    <w:rsid w:val="001E47D9"/>
    <w:rsid w:val="001E49E0"/>
    <w:rsid w:val="001E4DD6"/>
    <w:rsid w:val="001E7B5A"/>
    <w:rsid w:val="001F1AB6"/>
    <w:rsid w:val="001F420A"/>
    <w:rsid w:val="001F7412"/>
    <w:rsid w:val="00202DFE"/>
    <w:rsid w:val="0020312E"/>
    <w:rsid w:val="00204F03"/>
    <w:rsid w:val="0020725B"/>
    <w:rsid w:val="002110F1"/>
    <w:rsid w:val="002129A0"/>
    <w:rsid w:val="00213A61"/>
    <w:rsid w:val="002143B3"/>
    <w:rsid w:val="00221658"/>
    <w:rsid w:val="00223917"/>
    <w:rsid w:val="00224D36"/>
    <w:rsid w:val="002251FD"/>
    <w:rsid w:val="0024015A"/>
    <w:rsid w:val="00240AC5"/>
    <w:rsid w:val="0024116D"/>
    <w:rsid w:val="00241B44"/>
    <w:rsid w:val="00241FA3"/>
    <w:rsid w:val="00245EFB"/>
    <w:rsid w:val="0025386E"/>
    <w:rsid w:val="00256B74"/>
    <w:rsid w:val="002638B0"/>
    <w:rsid w:val="00264A60"/>
    <w:rsid w:val="00265938"/>
    <w:rsid w:val="0026647A"/>
    <w:rsid w:val="002668D3"/>
    <w:rsid w:val="00267369"/>
    <w:rsid w:val="0027299F"/>
    <w:rsid w:val="002750AE"/>
    <w:rsid w:val="0028316A"/>
    <w:rsid w:val="002835EB"/>
    <w:rsid w:val="002841CB"/>
    <w:rsid w:val="00284EBE"/>
    <w:rsid w:val="00286FDE"/>
    <w:rsid w:val="002903A7"/>
    <w:rsid w:val="00291C32"/>
    <w:rsid w:val="0029433F"/>
    <w:rsid w:val="00294829"/>
    <w:rsid w:val="0029652B"/>
    <w:rsid w:val="0029690F"/>
    <w:rsid w:val="00297C8A"/>
    <w:rsid w:val="002A2A60"/>
    <w:rsid w:val="002A37BB"/>
    <w:rsid w:val="002B1C45"/>
    <w:rsid w:val="002B4271"/>
    <w:rsid w:val="002B543E"/>
    <w:rsid w:val="002B5D64"/>
    <w:rsid w:val="002C13C8"/>
    <w:rsid w:val="002C3547"/>
    <w:rsid w:val="002C4932"/>
    <w:rsid w:val="002D0021"/>
    <w:rsid w:val="002D10C6"/>
    <w:rsid w:val="002D299D"/>
    <w:rsid w:val="002D2B23"/>
    <w:rsid w:val="002D3473"/>
    <w:rsid w:val="002D4E29"/>
    <w:rsid w:val="002D6789"/>
    <w:rsid w:val="002D78C5"/>
    <w:rsid w:val="002E3F2B"/>
    <w:rsid w:val="002E5F32"/>
    <w:rsid w:val="002F176D"/>
    <w:rsid w:val="002F1956"/>
    <w:rsid w:val="002F3440"/>
    <w:rsid w:val="002F3574"/>
    <w:rsid w:val="002F75A3"/>
    <w:rsid w:val="002F78C0"/>
    <w:rsid w:val="00301D2B"/>
    <w:rsid w:val="00303C2F"/>
    <w:rsid w:val="00304D45"/>
    <w:rsid w:val="003144EF"/>
    <w:rsid w:val="003205EC"/>
    <w:rsid w:val="00321238"/>
    <w:rsid w:val="00321BEF"/>
    <w:rsid w:val="00323167"/>
    <w:rsid w:val="00325A8F"/>
    <w:rsid w:val="00326292"/>
    <w:rsid w:val="00326415"/>
    <w:rsid w:val="00327897"/>
    <w:rsid w:val="00330937"/>
    <w:rsid w:val="00330F31"/>
    <w:rsid w:val="00330FDB"/>
    <w:rsid w:val="0033213A"/>
    <w:rsid w:val="00334648"/>
    <w:rsid w:val="003364FE"/>
    <w:rsid w:val="0033768C"/>
    <w:rsid w:val="00337938"/>
    <w:rsid w:val="00340769"/>
    <w:rsid w:val="00341AA6"/>
    <w:rsid w:val="00346F6E"/>
    <w:rsid w:val="003502EB"/>
    <w:rsid w:val="003517BE"/>
    <w:rsid w:val="00361A0A"/>
    <w:rsid w:val="00361B1E"/>
    <w:rsid w:val="00364836"/>
    <w:rsid w:val="0036565C"/>
    <w:rsid w:val="0036625E"/>
    <w:rsid w:val="00370E16"/>
    <w:rsid w:val="0037465A"/>
    <w:rsid w:val="00382C98"/>
    <w:rsid w:val="0038411A"/>
    <w:rsid w:val="0038533C"/>
    <w:rsid w:val="00386568"/>
    <w:rsid w:val="00390B57"/>
    <w:rsid w:val="003948D5"/>
    <w:rsid w:val="00396821"/>
    <w:rsid w:val="00397D3A"/>
    <w:rsid w:val="003A0441"/>
    <w:rsid w:val="003A051E"/>
    <w:rsid w:val="003A5537"/>
    <w:rsid w:val="003A6590"/>
    <w:rsid w:val="003A74FD"/>
    <w:rsid w:val="003A75F4"/>
    <w:rsid w:val="003B170F"/>
    <w:rsid w:val="003B2E3B"/>
    <w:rsid w:val="003B3C5F"/>
    <w:rsid w:val="003B7184"/>
    <w:rsid w:val="003B761A"/>
    <w:rsid w:val="003C3388"/>
    <w:rsid w:val="003C4471"/>
    <w:rsid w:val="003C53FE"/>
    <w:rsid w:val="003C669D"/>
    <w:rsid w:val="003D0A6D"/>
    <w:rsid w:val="003D4DC8"/>
    <w:rsid w:val="003E0030"/>
    <w:rsid w:val="003E0B16"/>
    <w:rsid w:val="003E3007"/>
    <w:rsid w:val="003E4601"/>
    <w:rsid w:val="003E67D1"/>
    <w:rsid w:val="003F0C29"/>
    <w:rsid w:val="003F23AD"/>
    <w:rsid w:val="003F2B45"/>
    <w:rsid w:val="003F3686"/>
    <w:rsid w:val="00404329"/>
    <w:rsid w:val="004058A0"/>
    <w:rsid w:val="00405DC1"/>
    <w:rsid w:val="00410B08"/>
    <w:rsid w:val="00415AE6"/>
    <w:rsid w:val="00415F1F"/>
    <w:rsid w:val="0041638C"/>
    <w:rsid w:val="004203DC"/>
    <w:rsid w:val="004206A5"/>
    <w:rsid w:val="0042108F"/>
    <w:rsid w:val="004225D6"/>
    <w:rsid w:val="004248F6"/>
    <w:rsid w:val="004273B0"/>
    <w:rsid w:val="00430FED"/>
    <w:rsid w:val="0043163A"/>
    <w:rsid w:val="0043324A"/>
    <w:rsid w:val="00434A8C"/>
    <w:rsid w:val="00437297"/>
    <w:rsid w:val="00444284"/>
    <w:rsid w:val="00445CE6"/>
    <w:rsid w:val="00447A48"/>
    <w:rsid w:val="004534C2"/>
    <w:rsid w:val="0045446F"/>
    <w:rsid w:val="00455018"/>
    <w:rsid w:val="0045683E"/>
    <w:rsid w:val="004573BE"/>
    <w:rsid w:val="00463442"/>
    <w:rsid w:val="00464943"/>
    <w:rsid w:val="0046505F"/>
    <w:rsid w:val="00470E41"/>
    <w:rsid w:val="00475D11"/>
    <w:rsid w:val="00476009"/>
    <w:rsid w:val="00477C72"/>
    <w:rsid w:val="0048188E"/>
    <w:rsid w:val="004830F8"/>
    <w:rsid w:val="00483341"/>
    <w:rsid w:val="00484B73"/>
    <w:rsid w:val="00484CDB"/>
    <w:rsid w:val="00491675"/>
    <w:rsid w:val="00491B94"/>
    <w:rsid w:val="00493855"/>
    <w:rsid w:val="00493ABB"/>
    <w:rsid w:val="00494B81"/>
    <w:rsid w:val="00495E79"/>
    <w:rsid w:val="004A200F"/>
    <w:rsid w:val="004A57DD"/>
    <w:rsid w:val="004A5A83"/>
    <w:rsid w:val="004A7B51"/>
    <w:rsid w:val="004A7D71"/>
    <w:rsid w:val="004A7EF3"/>
    <w:rsid w:val="004B11FD"/>
    <w:rsid w:val="004B144F"/>
    <w:rsid w:val="004B23A2"/>
    <w:rsid w:val="004B2671"/>
    <w:rsid w:val="004B6241"/>
    <w:rsid w:val="004C161F"/>
    <w:rsid w:val="004D1A5A"/>
    <w:rsid w:val="004D2FFF"/>
    <w:rsid w:val="004D3721"/>
    <w:rsid w:val="004D3F01"/>
    <w:rsid w:val="004D4255"/>
    <w:rsid w:val="004D64F9"/>
    <w:rsid w:val="004D69B4"/>
    <w:rsid w:val="004E3A6B"/>
    <w:rsid w:val="004E532D"/>
    <w:rsid w:val="004E5AF5"/>
    <w:rsid w:val="004E622C"/>
    <w:rsid w:val="004F135C"/>
    <w:rsid w:val="004F49B5"/>
    <w:rsid w:val="004F5BE6"/>
    <w:rsid w:val="004F5FDF"/>
    <w:rsid w:val="004F7B99"/>
    <w:rsid w:val="0050277D"/>
    <w:rsid w:val="0050455D"/>
    <w:rsid w:val="00504B06"/>
    <w:rsid w:val="0050685A"/>
    <w:rsid w:val="0051338F"/>
    <w:rsid w:val="00514D24"/>
    <w:rsid w:val="005151FE"/>
    <w:rsid w:val="00515615"/>
    <w:rsid w:val="00515810"/>
    <w:rsid w:val="005177FE"/>
    <w:rsid w:val="005207E5"/>
    <w:rsid w:val="0052263B"/>
    <w:rsid w:val="00524728"/>
    <w:rsid w:val="00531490"/>
    <w:rsid w:val="005331CA"/>
    <w:rsid w:val="005359D0"/>
    <w:rsid w:val="00537424"/>
    <w:rsid w:val="00537970"/>
    <w:rsid w:val="00540E3A"/>
    <w:rsid w:val="00540ED5"/>
    <w:rsid w:val="00544127"/>
    <w:rsid w:val="005463A9"/>
    <w:rsid w:val="00547727"/>
    <w:rsid w:val="00551C50"/>
    <w:rsid w:val="00553EB2"/>
    <w:rsid w:val="005547DB"/>
    <w:rsid w:val="00556B12"/>
    <w:rsid w:val="00560534"/>
    <w:rsid w:val="005612DE"/>
    <w:rsid w:val="0056391B"/>
    <w:rsid w:val="005650E2"/>
    <w:rsid w:val="00567AD7"/>
    <w:rsid w:val="00567F63"/>
    <w:rsid w:val="005702EF"/>
    <w:rsid w:val="00575B2D"/>
    <w:rsid w:val="005806CF"/>
    <w:rsid w:val="005833D0"/>
    <w:rsid w:val="00583D8E"/>
    <w:rsid w:val="005846F3"/>
    <w:rsid w:val="00585D98"/>
    <w:rsid w:val="0058622F"/>
    <w:rsid w:val="00587019"/>
    <w:rsid w:val="00590C4C"/>
    <w:rsid w:val="00592F82"/>
    <w:rsid w:val="005A0CCA"/>
    <w:rsid w:val="005A22A0"/>
    <w:rsid w:val="005A5A17"/>
    <w:rsid w:val="005A6FF2"/>
    <w:rsid w:val="005A726D"/>
    <w:rsid w:val="005B67AC"/>
    <w:rsid w:val="005B79F4"/>
    <w:rsid w:val="005C245A"/>
    <w:rsid w:val="005C283A"/>
    <w:rsid w:val="005C5F07"/>
    <w:rsid w:val="005C7F8B"/>
    <w:rsid w:val="005D082F"/>
    <w:rsid w:val="005D1293"/>
    <w:rsid w:val="005D23BB"/>
    <w:rsid w:val="005D275D"/>
    <w:rsid w:val="005D2889"/>
    <w:rsid w:val="005D43E0"/>
    <w:rsid w:val="005D58A3"/>
    <w:rsid w:val="005D6233"/>
    <w:rsid w:val="005D6642"/>
    <w:rsid w:val="005E10FB"/>
    <w:rsid w:val="005E1B79"/>
    <w:rsid w:val="005E28EA"/>
    <w:rsid w:val="005E470E"/>
    <w:rsid w:val="005E4DA3"/>
    <w:rsid w:val="005E6076"/>
    <w:rsid w:val="005E7008"/>
    <w:rsid w:val="005F0097"/>
    <w:rsid w:val="005F026D"/>
    <w:rsid w:val="005F2AEA"/>
    <w:rsid w:val="005F2D0B"/>
    <w:rsid w:val="005F47E0"/>
    <w:rsid w:val="005F4B31"/>
    <w:rsid w:val="00604415"/>
    <w:rsid w:val="00605FD1"/>
    <w:rsid w:val="00607FE6"/>
    <w:rsid w:val="00610388"/>
    <w:rsid w:val="00610AC7"/>
    <w:rsid w:val="0061188A"/>
    <w:rsid w:val="00612CA5"/>
    <w:rsid w:val="00614440"/>
    <w:rsid w:val="006153EC"/>
    <w:rsid w:val="00621A17"/>
    <w:rsid w:val="00622C36"/>
    <w:rsid w:val="006245E3"/>
    <w:rsid w:val="00626436"/>
    <w:rsid w:val="00627CC9"/>
    <w:rsid w:val="00627E7B"/>
    <w:rsid w:val="00630542"/>
    <w:rsid w:val="00631C57"/>
    <w:rsid w:val="006326A4"/>
    <w:rsid w:val="00632E44"/>
    <w:rsid w:val="00634622"/>
    <w:rsid w:val="00635ACC"/>
    <w:rsid w:val="00636808"/>
    <w:rsid w:val="00636A5D"/>
    <w:rsid w:val="00640CEB"/>
    <w:rsid w:val="00641515"/>
    <w:rsid w:val="00644307"/>
    <w:rsid w:val="00644E3A"/>
    <w:rsid w:val="00651271"/>
    <w:rsid w:val="00652989"/>
    <w:rsid w:val="00654C2F"/>
    <w:rsid w:val="00657087"/>
    <w:rsid w:val="006625AD"/>
    <w:rsid w:val="0066294A"/>
    <w:rsid w:val="006639DB"/>
    <w:rsid w:val="0066433E"/>
    <w:rsid w:val="006661EF"/>
    <w:rsid w:val="00670312"/>
    <w:rsid w:val="006712A6"/>
    <w:rsid w:val="006727A9"/>
    <w:rsid w:val="00675A2D"/>
    <w:rsid w:val="00677AEB"/>
    <w:rsid w:val="00680EF2"/>
    <w:rsid w:val="00683560"/>
    <w:rsid w:val="00687A1D"/>
    <w:rsid w:val="0069013E"/>
    <w:rsid w:val="006944CA"/>
    <w:rsid w:val="0069703A"/>
    <w:rsid w:val="00697EA1"/>
    <w:rsid w:val="006A2646"/>
    <w:rsid w:val="006A481B"/>
    <w:rsid w:val="006A4C47"/>
    <w:rsid w:val="006A6530"/>
    <w:rsid w:val="006B3571"/>
    <w:rsid w:val="006B435A"/>
    <w:rsid w:val="006B4975"/>
    <w:rsid w:val="006B4C64"/>
    <w:rsid w:val="006B5CAD"/>
    <w:rsid w:val="006B7D8D"/>
    <w:rsid w:val="006C2731"/>
    <w:rsid w:val="006C65F4"/>
    <w:rsid w:val="006D1605"/>
    <w:rsid w:val="006D1FD4"/>
    <w:rsid w:val="006D3267"/>
    <w:rsid w:val="006D6BD5"/>
    <w:rsid w:val="006E3FFB"/>
    <w:rsid w:val="006E481A"/>
    <w:rsid w:val="006E5298"/>
    <w:rsid w:val="006E5FA9"/>
    <w:rsid w:val="006F19DE"/>
    <w:rsid w:val="006F4A78"/>
    <w:rsid w:val="006F734A"/>
    <w:rsid w:val="006F7A64"/>
    <w:rsid w:val="00700D83"/>
    <w:rsid w:val="0070300E"/>
    <w:rsid w:val="00703199"/>
    <w:rsid w:val="00704852"/>
    <w:rsid w:val="00706D27"/>
    <w:rsid w:val="007074E9"/>
    <w:rsid w:val="00713DA4"/>
    <w:rsid w:val="00714BF1"/>
    <w:rsid w:val="00717C2C"/>
    <w:rsid w:val="00721383"/>
    <w:rsid w:val="00725E3E"/>
    <w:rsid w:val="00730D8C"/>
    <w:rsid w:val="0073158B"/>
    <w:rsid w:val="007333CC"/>
    <w:rsid w:val="007337AE"/>
    <w:rsid w:val="0073399A"/>
    <w:rsid w:val="00737401"/>
    <w:rsid w:val="007463EF"/>
    <w:rsid w:val="00751626"/>
    <w:rsid w:val="00756C59"/>
    <w:rsid w:val="007603F5"/>
    <w:rsid w:val="00760490"/>
    <w:rsid w:val="00764DB0"/>
    <w:rsid w:val="0076764D"/>
    <w:rsid w:val="0077498C"/>
    <w:rsid w:val="00775EA5"/>
    <w:rsid w:val="00777C53"/>
    <w:rsid w:val="007809BC"/>
    <w:rsid w:val="00784128"/>
    <w:rsid w:val="00786719"/>
    <w:rsid w:val="00787BCC"/>
    <w:rsid w:val="00791CD4"/>
    <w:rsid w:val="00793173"/>
    <w:rsid w:val="007A2A33"/>
    <w:rsid w:val="007A7074"/>
    <w:rsid w:val="007B0809"/>
    <w:rsid w:val="007B3134"/>
    <w:rsid w:val="007B5C89"/>
    <w:rsid w:val="007C1FCC"/>
    <w:rsid w:val="007C3E08"/>
    <w:rsid w:val="007C6201"/>
    <w:rsid w:val="007D0192"/>
    <w:rsid w:val="007D234B"/>
    <w:rsid w:val="007D5F1A"/>
    <w:rsid w:val="007D7C92"/>
    <w:rsid w:val="007E0AC8"/>
    <w:rsid w:val="007E1154"/>
    <w:rsid w:val="007E4023"/>
    <w:rsid w:val="007E4FA5"/>
    <w:rsid w:val="007E6BA4"/>
    <w:rsid w:val="007E6D7C"/>
    <w:rsid w:val="007F12AB"/>
    <w:rsid w:val="007F1668"/>
    <w:rsid w:val="007F41F8"/>
    <w:rsid w:val="007F659B"/>
    <w:rsid w:val="007F7E07"/>
    <w:rsid w:val="0080454E"/>
    <w:rsid w:val="00804C32"/>
    <w:rsid w:val="00805305"/>
    <w:rsid w:val="00805547"/>
    <w:rsid w:val="00806302"/>
    <w:rsid w:val="00807119"/>
    <w:rsid w:val="00807574"/>
    <w:rsid w:val="00807844"/>
    <w:rsid w:val="008126F0"/>
    <w:rsid w:val="0082302A"/>
    <w:rsid w:val="0082483F"/>
    <w:rsid w:val="008279C0"/>
    <w:rsid w:val="00834F92"/>
    <w:rsid w:val="008370DE"/>
    <w:rsid w:val="0084104F"/>
    <w:rsid w:val="008440DF"/>
    <w:rsid w:val="00851152"/>
    <w:rsid w:val="00865F65"/>
    <w:rsid w:val="00867F6D"/>
    <w:rsid w:val="00870DC1"/>
    <w:rsid w:val="008723F3"/>
    <w:rsid w:val="00872BA5"/>
    <w:rsid w:val="00881DE6"/>
    <w:rsid w:val="00882E86"/>
    <w:rsid w:val="008837A6"/>
    <w:rsid w:val="0089007F"/>
    <w:rsid w:val="008902D6"/>
    <w:rsid w:val="0089145D"/>
    <w:rsid w:val="008922AD"/>
    <w:rsid w:val="00894248"/>
    <w:rsid w:val="008942DD"/>
    <w:rsid w:val="0089440D"/>
    <w:rsid w:val="00895EF1"/>
    <w:rsid w:val="008A4DF2"/>
    <w:rsid w:val="008A5C94"/>
    <w:rsid w:val="008A6CFE"/>
    <w:rsid w:val="008A771D"/>
    <w:rsid w:val="008B4F15"/>
    <w:rsid w:val="008B5333"/>
    <w:rsid w:val="008B6223"/>
    <w:rsid w:val="008C0523"/>
    <w:rsid w:val="008C15CB"/>
    <w:rsid w:val="008C26F0"/>
    <w:rsid w:val="008C28AA"/>
    <w:rsid w:val="008C66E0"/>
    <w:rsid w:val="008D0FB1"/>
    <w:rsid w:val="008D5119"/>
    <w:rsid w:val="008D60C5"/>
    <w:rsid w:val="008E2FE7"/>
    <w:rsid w:val="008E3339"/>
    <w:rsid w:val="008E41BA"/>
    <w:rsid w:val="008E6999"/>
    <w:rsid w:val="008F07D3"/>
    <w:rsid w:val="008F1AAB"/>
    <w:rsid w:val="008F20FC"/>
    <w:rsid w:val="008F5FFE"/>
    <w:rsid w:val="00901A08"/>
    <w:rsid w:val="00902FA7"/>
    <w:rsid w:val="00903097"/>
    <w:rsid w:val="00904503"/>
    <w:rsid w:val="00905A43"/>
    <w:rsid w:val="009070CC"/>
    <w:rsid w:val="00912C79"/>
    <w:rsid w:val="00913C6C"/>
    <w:rsid w:val="00914372"/>
    <w:rsid w:val="00914383"/>
    <w:rsid w:val="00915930"/>
    <w:rsid w:val="00921B8C"/>
    <w:rsid w:val="00922E10"/>
    <w:rsid w:val="0092565E"/>
    <w:rsid w:val="00931AE0"/>
    <w:rsid w:val="00932BF1"/>
    <w:rsid w:val="0093445A"/>
    <w:rsid w:val="0093467C"/>
    <w:rsid w:val="009401AF"/>
    <w:rsid w:val="00942123"/>
    <w:rsid w:val="0095207B"/>
    <w:rsid w:val="00952D53"/>
    <w:rsid w:val="009551EF"/>
    <w:rsid w:val="00957266"/>
    <w:rsid w:val="00962045"/>
    <w:rsid w:val="00963359"/>
    <w:rsid w:val="00964C60"/>
    <w:rsid w:val="0096754A"/>
    <w:rsid w:val="00980E61"/>
    <w:rsid w:val="009842C3"/>
    <w:rsid w:val="00984A2E"/>
    <w:rsid w:val="00984E31"/>
    <w:rsid w:val="0098681D"/>
    <w:rsid w:val="00986B5F"/>
    <w:rsid w:val="00990D0A"/>
    <w:rsid w:val="0099104C"/>
    <w:rsid w:val="00991428"/>
    <w:rsid w:val="00992676"/>
    <w:rsid w:val="009930C5"/>
    <w:rsid w:val="009934DA"/>
    <w:rsid w:val="009954B2"/>
    <w:rsid w:val="00996691"/>
    <w:rsid w:val="009A1BD4"/>
    <w:rsid w:val="009B0723"/>
    <w:rsid w:val="009B07AD"/>
    <w:rsid w:val="009B0883"/>
    <w:rsid w:val="009B15E2"/>
    <w:rsid w:val="009B366C"/>
    <w:rsid w:val="009B4976"/>
    <w:rsid w:val="009C0677"/>
    <w:rsid w:val="009C0B8E"/>
    <w:rsid w:val="009C1BC8"/>
    <w:rsid w:val="009C2442"/>
    <w:rsid w:val="009C3EB4"/>
    <w:rsid w:val="009C6FE9"/>
    <w:rsid w:val="009D0811"/>
    <w:rsid w:val="009D0EE1"/>
    <w:rsid w:val="009D593F"/>
    <w:rsid w:val="009D5B73"/>
    <w:rsid w:val="009E2125"/>
    <w:rsid w:val="009E2AEB"/>
    <w:rsid w:val="009E2E27"/>
    <w:rsid w:val="009E45DF"/>
    <w:rsid w:val="009E4DE3"/>
    <w:rsid w:val="009F275E"/>
    <w:rsid w:val="009F677E"/>
    <w:rsid w:val="00A024E7"/>
    <w:rsid w:val="00A047EE"/>
    <w:rsid w:val="00A04AE4"/>
    <w:rsid w:val="00A04D79"/>
    <w:rsid w:val="00A12356"/>
    <w:rsid w:val="00A17B3A"/>
    <w:rsid w:val="00A2274A"/>
    <w:rsid w:val="00A235B7"/>
    <w:rsid w:val="00A27840"/>
    <w:rsid w:val="00A27A7A"/>
    <w:rsid w:val="00A3165E"/>
    <w:rsid w:val="00A31FE4"/>
    <w:rsid w:val="00A33CE9"/>
    <w:rsid w:val="00A34ABE"/>
    <w:rsid w:val="00A407EF"/>
    <w:rsid w:val="00A4143B"/>
    <w:rsid w:val="00A46B4C"/>
    <w:rsid w:val="00A5117B"/>
    <w:rsid w:val="00A53092"/>
    <w:rsid w:val="00A56D34"/>
    <w:rsid w:val="00A5727B"/>
    <w:rsid w:val="00A60074"/>
    <w:rsid w:val="00A65E34"/>
    <w:rsid w:val="00A6627C"/>
    <w:rsid w:val="00A665DA"/>
    <w:rsid w:val="00A71019"/>
    <w:rsid w:val="00A7422D"/>
    <w:rsid w:val="00A7499A"/>
    <w:rsid w:val="00A74A35"/>
    <w:rsid w:val="00A76F53"/>
    <w:rsid w:val="00A81029"/>
    <w:rsid w:val="00A82B32"/>
    <w:rsid w:val="00A93BCC"/>
    <w:rsid w:val="00A93D86"/>
    <w:rsid w:val="00A93E52"/>
    <w:rsid w:val="00A94F58"/>
    <w:rsid w:val="00A95463"/>
    <w:rsid w:val="00A96489"/>
    <w:rsid w:val="00AA0280"/>
    <w:rsid w:val="00AA10A6"/>
    <w:rsid w:val="00AA7BE3"/>
    <w:rsid w:val="00AB1B65"/>
    <w:rsid w:val="00AB2425"/>
    <w:rsid w:val="00AB4A25"/>
    <w:rsid w:val="00AB685C"/>
    <w:rsid w:val="00AB6C2D"/>
    <w:rsid w:val="00AB72CD"/>
    <w:rsid w:val="00AC02FF"/>
    <w:rsid w:val="00AC08F7"/>
    <w:rsid w:val="00AC3839"/>
    <w:rsid w:val="00AC40AF"/>
    <w:rsid w:val="00AC7082"/>
    <w:rsid w:val="00AD4BE8"/>
    <w:rsid w:val="00AD589A"/>
    <w:rsid w:val="00AD5B5B"/>
    <w:rsid w:val="00AD722D"/>
    <w:rsid w:val="00AE2935"/>
    <w:rsid w:val="00AE41E3"/>
    <w:rsid w:val="00AE7B92"/>
    <w:rsid w:val="00AF228E"/>
    <w:rsid w:val="00B013BE"/>
    <w:rsid w:val="00B016A8"/>
    <w:rsid w:val="00B01E81"/>
    <w:rsid w:val="00B051B4"/>
    <w:rsid w:val="00B10961"/>
    <w:rsid w:val="00B14819"/>
    <w:rsid w:val="00B15E2F"/>
    <w:rsid w:val="00B17AA9"/>
    <w:rsid w:val="00B23D42"/>
    <w:rsid w:val="00B27E6E"/>
    <w:rsid w:val="00B34A68"/>
    <w:rsid w:val="00B44713"/>
    <w:rsid w:val="00B46C24"/>
    <w:rsid w:val="00B55FFE"/>
    <w:rsid w:val="00B56103"/>
    <w:rsid w:val="00B64929"/>
    <w:rsid w:val="00B64D66"/>
    <w:rsid w:val="00B73050"/>
    <w:rsid w:val="00B736DF"/>
    <w:rsid w:val="00B743D6"/>
    <w:rsid w:val="00B74FBD"/>
    <w:rsid w:val="00B757B1"/>
    <w:rsid w:val="00B77B19"/>
    <w:rsid w:val="00B77F46"/>
    <w:rsid w:val="00B82586"/>
    <w:rsid w:val="00B829A3"/>
    <w:rsid w:val="00B85FF6"/>
    <w:rsid w:val="00B86DB1"/>
    <w:rsid w:val="00B87869"/>
    <w:rsid w:val="00B9639B"/>
    <w:rsid w:val="00B967AB"/>
    <w:rsid w:val="00BA6119"/>
    <w:rsid w:val="00BA6765"/>
    <w:rsid w:val="00BA6793"/>
    <w:rsid w:val="00BA6EAC"/>
    <w:rsid w:val="00BB0F2B"/>
    <w:rsid w:val="00BB3517"/>
    <w:rsid w:val="00BB3E15"/>
    <w:rsid w:val="00BB7976"/>
    <w:rsid w:val="00BC1495"/>
    <w:rsid w:val="00BD28DA"/>
    <w:rsid w:val="00BD3091"/>
    <w:rsid w:val="00BD4A58"/>
    <w:rsid w:val="00BD7337"/>
    <w:rsid w:val="00BE1DD3"/>
    <w:rsid w:val="00BE4BD0"/>
    <w:rsid w:val="00BE4FF3"/>
    <w:rsid w:val="00BF057E"/>
    <w:rsid w:val="00BF4B92"/>
    <w:rsid w:val="00BF50F7"/>
    <w:rsid w:val="00BF52EF"/>
    <w:rsid w:val="00BF56CA"/>
    <w:rsid w:val="00BF7EE8"/>
    <w:rsid w:val="00C01521"/>
    <w:rsid w:val="00C02F29"/>
    <w:rsid w:val="00C0461D"/>
    <w:rsid w:val="00C05A9F"/>
    <w:rsid w:val="00C05BEC"/>
    <w:rsid w:val="00C07EFC"/>
    <w:rsid w:val="00C13B76"/>
    <w:rsid w:val="00C20AFE"/>
    <w:rsid w:val="00C210B3"/>
    <w:rsid w:val="00C22A25"/>
    <w:rsid w:val="00C245DE"/>
    <w:rsid w:val="00C248CE"/>
    <w:rsid w:val="00C26537"/>
    <w:rsid w:val="00C35671"/>
    <w:rsid w:val="00C35B77"/>
    <w:rsid w:val="00C362AA"/>
    <w:rsid w:val="00C36C73"/>
    <w:rsid w:val="00C376EB"/>
    <w:rsid w:val="00C41A30"/>
    <w:rsid w:val="00C42F8C"/>
    <w:rsid w:val="00C452BC"/>
    <w:rsid w:val="00C46A92"/>
    <w:rsid w:val="00C46EC1"/>
    <w:rsid w:val="00C47AEC"/>
    <w:rsid w:val="00C51EA5"/>
    <w:rsid w:val="00C52796"/>
    <w:rsid w:val="00C53E2C"/>
    <w:rsid w:val="00C550C8"/>
    <w:rsid w:val="00C56B61"/>
    <w:rsid w:val="00C6058F"/>
    <w:rsid w:val="00C606C3"/>
    <w:rsid w:val="00C620F4"/>
    <w:rsid w:val="00C651D6"/>
    <w:rsid w:val="00C67372"/>
    <w:rsid w:val="00C72848"/>
    <w:rsid w:val="00C756F5"/>
    <w:rsid w:val="00C76B6B"/>
    <w:rsid w:val="00C7736C"/>
    <w:rsid w:val="00C82830"/>
    <w:rsid w:val="00C82D87"/>
    <w:rsid w:val="00C840AA"/>
    <w:rsid w:val="00C868EB"/>
    <w:rsid w:val="00C8712A"/>
    <w:rsid w:val="00C87E0A"/>
    <w:rsid w:val="00C902C8"/>
    <w:rsid w:val="00C919D1"/>
    <w:rsid w:val="00C93932"/>
    <w:rsid w:val="00C95C5C"/>
    <w:rsid w:val="00C963D3"/>
    <w:rsid w:val="00CB1983"/>
    <w:rsid w:val="00CB2CBB"/>
    <w:rsid w:val="00CB6578"/>
    <w:rsid w:val="00CB7CAC"/>
    <w:rsid w:val="00CC101D"/>
    <w:rsid w:val="00CC320A"/>
    <w:rsid w:val="00CC3725"/>
    <w:rsid w:val="00CC45FE"/>
    <w:rsid w:val="00CC4818"/>
    <w:rsid w:val="00CC5335"/>
    <w:rsid w:val="00CC5BA4"/>
    <w:rsid w:val="00CC675F"/>
    <w:rsid w:val="00CD4998"/>
    <w:rsid w:val="00CD608D"/>
    <w:rsid w:val="00CE0ECD"/>
    <w:rsid w:val="00CE1035"/>
    <w:rsid w:val="00CE420B"/>
    <w:rsid w:val="00CE6E50"/>
    <w:rsid w:val="00CE7900"/>
    <w:rsid w:val="00CF1D54"/>
    <w:rsid w:val="00CF2819"/>
    <w:rsid w:val="00CF4F9D"/>
    <w:rsid w:val="00CF6588"/>
    <w:rsid w:val="00CF70DC"/>
    <w:rsid w:val="00D00D9C"/>
    <w:rsid w:val="00D03AD5"/>
    <w:rsid w:val="00D041E0"/>
    <w:rsid w:val="00D04AFE"/>
    <w:rsid w:val="00D06A30"/>
    <w:rsid w:val="00D14336"/>
    <w:rsid w:val="00D148DC"/>
    <w:rsid w:val="00D14BAC"/>
    <w:rsid w:val="00D17FDC"/>
    <w:rsid w:val="00D21021"/>
    <w:rsid w:val="00D21D8C"/>
    <w:rsid w:val="00D2253F"/>
    <w:rsid w:val="00D316F2"/>
    <w:rsid w:val="00D3280B"/>
    <w:rsid w:val="00D34474"/>
    <w:rsid w:val="00D34584"/>
    <w:rsid w:val="00D358D3"/>
    <w:rsid w:val="00D36098"/>
    <w:rsid w:val="00D444B3"/>
    <w:rsid w:val="00D45735"/>
    <w:rsid w:val="00D472C8"/>
    <w:rsid w:val="00D509F1"/>
    <w:rsid w:val="00D526F5"/>
    <w:rsid w:val="00D53719"/>
    <w:rsid w:val="00D54D0A"/>
    <w:rsid w:val="00D567C4"/>
    <w:rsid w:val="00D61CC1"/>
    <w:rsid w:val="00D63EFD"/>
    <w:rsid w:val="00D739CC"/>
    <w:rsid w:val="00D73EA6"/>
    <w:rsid w:val="00D76D56"/>
    <w:rsid w:val="00D77023"/>
    <w:rsid w:val="00D84752"/>
    <w:rsid w:val="00D86B3B"/>
    <w:rsid w:val="00D871BF"/>
    <w:rsid w:val="00D8748A"/>
    <w:rsid w:val="00D93196"/>
    <w:rsid w:val="00D937C1"/>
    <w:rsid w:val="00D9565D"/>
    <w:rsid w:val="00DA0DC0"/>
    <w:rsid w:val="00DA128D"/>
    <w:rsid w:val="00DA1D45"/>
    <w:rsid w:val="00DA4E29"/>
    <w:rsid w:val="00DB1922"/>
    <w:rsid w:val="00DB243C"/>
    <w:rsid w:val="00DB402F"/>
    <w:rsid w:val="00DB482A"/>
    <w:rsid w:val="00DB50FB"/>
    <w:rsid w:val="00DB56F2"/>
    <w:rsid w:val="00DB6EF5"/>
    <w:rsid w:val="00DC1CDA"/>
    <w:rsid w:val="00DC3089"/>
    <w:rsid w:val="00DC359F"/>
    <w:rsid w:val="00DC4420"/>
    <w:rsid w:val="00DD0802"/>
    <w:rsid w:val="00DD2E11"/>
    <w:rsid w:val="00DD58E0"/>
    <w:rsid w:val="00DE03AF"/>
    <w:rsid w:val="00DE121C"/>
    <w:rsid w:val="00DE20A3"/>
    <w:rsid w:val="00DE28C0"/>
    <w:rsid w:val="00DE3C6D"/>
    <w:rsid w:val="00DE5357"/>
    <w:rsid w:val="00DE6633"/>
    <w:rsid w:val="00DE7E9B"/>
    <w:rsid w:val="00DF05F3"/>
    <w:rsid w:val="00DF158F"/>
    <w:rsid w:val="00DF75F8"/>
    <w:rsid w:val="00DF7A3A"/>
    <w:rsid w:val="00E00C00"/>
    <w:rsid w:val="00E01803"/>
    <w:rsid w:val="00E03C00"/>
    <w:rsid w:val="00E06325"/>
    <w:rsid w:val="00E07C5A"/>
    <w:rsid w:val="00E12EDA"/>
    <w:rsid w:val="00E15BA9"/>
    <w:rsid w:val="00E24EC4"/>
    <w:rsid w:val="00E26E10"/>
    <w:rsid w:val="00E26E19"/>
    <w:rsid w:val="00E26F59"/>
    <w:rsid w:val="00E27136"/>
    <w:rsid w:val="00E27F08"/>
    <w:rsid w:val="00E30E60"/>
    <w:rsid w:val="00E31DF3"/>
    <w:rsid w:val="00E324BA"/>
    <w:rsid w:val="00E32CEA"/>
    <w:rsid w:val="00E4086E"/>
    <w:rsid w:val="00E41578"/>
    <w:rsid w:val="00E421C6"/>
    <w:rsid w:val="00E44076"/>
    <w:rsid w:val="00E450A4"/>
    <w:rsid w:val="00E4647A"/>
    <w:rsid w:val="00E46AA1"/>
    <w:rsid w:val="00E506BE"/>
    <w:rsid w:val="00E53EE0"/>
    <w:rsid w:val="00E55547"/>
    <w:rsid w:val="00E60AFE"/>
    <w:rsid w:val="00E60B3A"/>
    <w:rsid w:val="00E6302B"/>
    <w:rsid w:val="00E6452F"/>
    <w:rsid w:val="00E64F45"/>
    <w:rsid w:val="00E6742D"/>
    <w:rsid w:val="00E71002"/>
    <w:rsid w:val="00E71CB0"/>
    <w:rsid w:val="00E723F7"/>
    <w:rsid w:val="00E77C3D"/>
    <w:rsid w:val="00E828B1"/>
    <w:rsid w:val="00E90991"/>
    <w:rsid w:val="00E909F0"/>
    <w:rsid w:val="00E90D47"/>
    <w:rsid w:val="00E91908"/>
    <w:rsid w:val="00E93993"/>
    <w:rsid w:val="00E9597C"/>
    <w:rsid w:val="00EA0913"/>
    <w:rsid w:val="00EA1265"/>
    <w:rsid w:val="00EA4A87"/>
    <w:rsid w:val="00EA5B00"/>
    <w:rsid w:val="00EA68F1"/>
    <w:rsid w:val="00EA78AC"/>
    <w:rsid w:val="00EB146B"/>
    <w:rsid w:val="00EB45AC"/>
    <w:rsid w:val="00EB78C9"/>
    <w:rsid w:val="00EC441F"/>
    <w:rsid w:val="00EC4755"/>
    <w:rsid w:val="00ED04C5"/>
    <w:rsid w:val="00ED0BC4"/>
    <w:rsid w:val="00ED447D"/>
    <w:rsid w:val="00ED5033"/>
    <w:rsid w:val="00ED738F"/>
    <w:rsid w:val="00ED74BC"/>
    <w:rsid w:val="00EE0BAC"/>
    <w:rsid w:val="00EE42C6"/>
    <w:rsid w:val="00EE4971"/>
    <w:rsid w:val="00EF090E"/>
    <w:rsid w:val="00EF5572"/>
    <w:rsid w:val="00EF6328"/>
    <w:rsid w:val="00F0045D"/>
    <w:rsid w:val="00F0068A"/>
    <w:rsid w:val="00F03051"/>
    <w:rsid w:val="00F033DA"/>
    <w:rsid w:val="00F052F5"/>
    <w:rsid w:val="00F0666E"/>
    <w:rsid w:val="00F10FCC"/>
    <w:rsid w:val="00F123A0"/>
    <w:rsid w:val="00F13691"/>
    <w:rsid w:val="00F13FB1"/>
    <w:rsid w:val="00F15868"/>
    <w:rsid w:val="00F175B9"/>
    <w:rsid w:val="00F21827"/>
    <w:rsid w:val="00F242D9"/>
    <w:rsid w:val="00F27CD8"/>
    <w:rsid w:val="00F30351"/>
    <w:rsid w:val="00F31DEC"/>
    <w:rsid w:val="00F3323E"/>
    <w:rsid w:val="00F341F4"/>
    <w:rsid w:val="00F34374"/>
    <w:rsid w:val="00F34F9D"/>
    <w:rsid w:val="00F35CCE"/>
    <w:rsid w:val="00F37ACD"/>
    <w:rsid w:val="00F5524B"/>
    <w:rsid w:val="00F56880"/>
    <w:rsid w:val="00F60538"/>
    <w:rsid w:val="00F60DB1"/>
    <w:rsid w:val="00F61649"/>
    <w:rsid w:val="00F61DD2"/>
    <w:rsid w:val="00F66AFF"/>
    <w:rsid w:val="00F67768"/>
    <w:rsid w:val="00F71433"/>
    <w:rsid w:val="00F77335"/>
    <w:rsid w:val="00F83C5D"/>
    <w:rsid w:val="00F84270"/>
    <w:rsid w:val="00F85E4A"/>
    <w:rsid w:val="00F8667F"/>
    <w:rsid w:val="00F86D6E"/>
    <w:rsid w:val="00F870D8"/>
    <w:rsid w:val="00F92140"/>
    <w:rsid w:val="00F97C5B"/>
    <w:rsid w:val="00FA3D50"/>
    <w:rsid w:val="00FA57C1"/>
    <w:rsid w:val="00FB68D7"/>
    <w:rsid w:val="00FB7FBD"/>
    <w:rsid w:val="00FC02D0"/>
    <w:rsid w:val="00FC27AE"/>
    <w:rsid w:val="00FC374A"/>
    <w:rsid w:val="00FC43EC"/>
    <w:rsid w:val="00FC7AC7"/>
    <w:rsid w:val="00FC7B47"/>
    <w:rsid w:val="00FD035C"/>
    <w:rsid w:val="00FD0EA1"/>
    <w:rsid w:val="00FD1A35"/>
    <w:rsid w:val="00FD2EA4"/>
    <w:rsid w:val="00FD36C5"/>
    <w:rsid w:val="00FD46D5"/>
    <w:rsid w:val="00FD612B"/>
    <w:rsid w:val="00FD6310"/>
    <w:rsid w:val="00FD7C7B"/>
    <w:rsid w:val="00FE0171"/>
    <w:rsid w:val="00FE0466"/>
    <w:rsid w:val="00FE0C38"/>
    <w:rsid w:val="00FE1D12"/>
    <w:rsid w:val="00FE2122"/>
    <w:rsid w:val="00FE2A86"/>
    <w:rsid w:val="00FE2DE2"/>
    <w:rsid w:val="00FE2E69"/>
    <w:rsid w:val="00FE45A4"/>
    <w:rsid w:val="00FE5DB8"/>
    <w:rsid w:val="00FF096D"/>
    <w:rsid w:val="00FF1665"/>
    <w:rsid w:val="00FF296F"/>
    <w:rsid w:val="00FF3585"/>
    <w:rsid w:val="00FF5E23"/>
    <w:rsid w:val="00FF74A9"/>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4432</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Prelevic, Vuk</cp:lastModifiedBy>
  <cp:revision>2</cp:revision>
  <cp:lastPrinted>2019-08-27T05:42:00Z</cp:lastPrinted>
  <dcterms:created xsi:type="dcterms:W3CDTF">2023-02-24T10:56:00Z</dcterms:created>
  <dcterms:modified xsi:type="dcterms:W3CDTF">2023-02-24T10:56:00Z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2023-02-10T09:54:34Z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792a3f41-8554-4c0c-9393-84eb85852140</vt:lpwstr>
  </property>
  <property fmtid="{D5CDD505-2E9C-101B-9397-08002B2CF9AE}" pid="8" name="MSIP_Label_ea60d57e-af5b-4752-ac57-3e4f28ca11dc_ContentBits">
    <vt:lpwstr>0</vt:lpwstr>
  </property>
</Properties>
</file>