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w:t>
      </w:r>
      <w:proofErr w:type="gramStart"/>
      <w:r w:rsidRPr="00E2622D">
        <w:rPr>
          <w:rFonts w:ascii="Avenir Next" w:hAnsi="Avenir Next" w:cs="Arial"/>
          <w:sz w:val="22"/>
          <w:szCs w:val="22"/>
          <w:lang w:val="en-GB"/>
        </w:rPr>
        <w:t>a</w:t>
      </w:r>
      <w:proofErr w:type="gramEnd"/>
      <w:r w:rsidRPr="00E2622D">
        <w:rPr>
          <w:rFonts w:ascii="Avenir Next" w:hAnsi="Avenir Next" w:cs="Arial"/>
          <w:sz w:val="22"/>
          <w:szCs w:val="22"/>
          <w:lang w:val="en-GB"/>
        </w:rPr>
        <w:t xml:space="preserve">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proofErr w:type="gramStart"/>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w:t>
      </w:r>
      <w:proofErr w:type="gramStart"/>
      <w:r w:rsidRPr="00E2622D">
        <w:rPr>
          <w:rFonts w:ascii="Avenir Next" w:hAnsi="Avenir Next" w:cs="Arial"/>
          <w:sz w:val="22"/>
          <w:szCs w:val="22"/>
          <w:lang w:val="en-GB"/>
        </w:rPr>
        <w:t>are</w:t>
      </w:r>
      <w:proofErr w:type="gramEnd"/>
      <w:r w:rsidRPr="00E2622D">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146E21" w:rsidRDefault="00436884" w:rsidP="00436884">
      <w:pPr>
        <w:pStyle w:val="ListParagraph"/>
        <w:numPr>
          <w:ilvl w:val="0"/>
          <w:numId w:val="12"/>
        </w:numPr>
        <w:ind w:left="426"/>
        <w:jc w:val="both"/>
        <w:rPr>
          <w:rFonts w:ascii="Avenir Next" w:hAnsi="Avenir Next" w:cs="Arial"/>
          <w:sz w:val="22"/>
          <w:szCs w:val="22"/>
          <w:highlight w:val="yellow"/>
          <w:lang w:val="en-GB"/>
        </w:rPr>
      </w:pPr>
      <w:r w:rsidRPr="00146E21">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52697A" w:rsidRDefault="00436884" w:rsidP="00436884">
      <w:pPr>
        <w:pStyle w:val="ListParagraph"/>
        <w:numPr>
          <w:ilvl w:val="0"/>
          <w:numId w:val="14"/>
        </w:numPr>
        <w:ind w:left="426"/>
        <w:jc w:val="both"/>
        <w:rPr>
          <w:rFonts w:ascii="Avenir Next" w:hAnsi="Avenir Next" w:cs="Arial"/>
          <w:sz w:val="22"/>
          <w:szCs w:val="22"/>
          <w:highlight w:val="yellow"/>
          <w:lang w:val="en-GB"/>
        </w:rPr>
      </w:pPr>
      <w:r w:rsidRPr="0052697A">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5B3EC6" w:rsidRDefault="00853A74" w:rsidP="00853A74">
      <w:pPr>
        <w:pStyle w:val="ListParagraph"/>
        <w:numPr>
          <w:ilvl w:val="0"/>
          <w:numId w:val="16"/>
        </w:numPr>
        <w:ind w:left="426"/>
        <w:jc w:val="both"/>
        <w:rPr>
          <w:rFonts w:ascii="Avenir Next" w:hAnsi="Avenir Next" w:cs="Arial"/>
          <w:sz w:val="22"/>
          <w:szCs w:val="22"/>
          <w:highlight w:val="yellow"/>
          <w:lang w:val="en-GB"/>
        </w:rPr>
      </w:pPr>
      <w:r w:rsidRPr="005B3EC6">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743A4B" w:rsidRDefault="00436884" w:rsidP="00436884">
      <w:pPr>
        <w:jc w:val="both"/>
        <w:rPr>
          <w:rFonts w:ascii="Avenir Next" w:hAnsi="Avenir Next" w:cs="Arial"/>
          <w:sz w:val="22"/>
          <w:szCs w:val="22"/>
          <w:lang w:val="en-GB"/>
        </w:rPr>
      </w:pPr>
      <w:r w:rsidRPr="00743A4B">
        <w:rPr>
          <w:rFonts w:ascii="Avenir Next" w:hAnsi="Avenir Next" w:cs="Arial"/>
          <w:sz w:val="22"/>
          <w:szCs w:val="22"/>
          <w:lang w:val="en-GB"/>
        </w:rPr>
        <w:t>Which of the following rules or concepts set forth in the Model Law</w:t>
      </w:r>
      <w:r w:rsidR="004137C3" w:rsidRPr="00743A4B">
        <w:rPr>
          <w:rFonts w:ascii="Avenir Next" w:hAnsi="Avenir Next" w:cs="Arial"/>
          <w:sz w:val="22"/>
          <w:szCs w:val="22"/>
          <w:lang w:val="en-GB"/>
        </w:rPr>
        <w:t xml:space="preserve"> ensures</w:t>
      </w:r>
      <w:r w:rsidRPr="00743A4B">
        <w:rPr>
          <w:rFonts w:ascii="Avenir Next" w:hAnsi="Avenir Next" w:cs="Arial"/>
          <w:sz w:val="22"/>
          <w:szCs w:val="22"/>
          <w:lang w:val="en-GB"/>
        </w:rPr>
        <w:t xml:space="preserve"> that fundamental </w:t>
      </w:r>
      <w:r w:rsidRPr="00AA7BE6">
        <w:t>principles</w:t>
      </w:r>
      <w:r w:rsidRPr="00743A4B">
        <w:rPr>
          <w:rFonts w:ascii="Avenir Next" w:hAnsi="Avenir Next" w:cs="Arial"/>
          <w:sz w:val="22"/>
          <w:szCs w:val="22"/>
          <w:lang w:val="en-GB"/>
        </w:rPr>
        <w:t xml:space="preserve"> of law are upheld</w:t>
      </w:r>
      <w:r w:rsidR="00432179" w:rsidRPr="00743A4B">
        <w:rPr>
          <w:rFonts w:ascii="Avenir Next" w:hAnsi="Avenir Next" w:cs="Arial"/>
          <w:sz w:val="22"/>
          <w:szCs w:val="22"/>
          <w:lang w:val="en-GB"/>
        </w:rPr>
        <w:t>?</w:t>
      </w:r>
    </w:p>
    <w:p w14:paraId="02005617" w14:textId="77777777" w:rsidR="00436884" w:rsidRPr="00743A4B" w:rsidRDefault="00436884" w:rsidP="00436884">
      <w:pPr>
        <w:ind w:left="720" w:hanging="720"/>
        <w:jc w:val="both"/>
        <w:rPr>
          <w:rFonts w:ascii="Avenir Next" w:hAnsi="Avenir Next" w:cs="Arial"/>
          <w:sz w:val="22"/>
          <w:szCs w:val="22"/>
          <w:lang w:val="en-GB"/>
        </w:rPr>
      </w:pPr>
    </w:p>
    <w:p w14:paraId="61F3670D" w14:textId="77777777" w:rsidR="00436884" w:rsidRPr="00743A4B" w:rsidRDefault="00436884" w:rsidP="00436884">
      <w:pPr>
        <w:pStyle w:val="ListParagraph"/>
        <w:numPr>
          <w:ilvl w:val="0"/>
          <w:numId w:val="18"/>
        </w:numPr>
        <w:ind w:left="426"/>
        <w:jc w:val="both"/>
        <w:rPr>
          <w:rFonts w:ascii="Avenir Next" w:hAnsi="Avenir Next" w:cs="Arial"/>
          <w:sz w:val="22"/>
          <w:szCs w:val="22"/>
          <w:lang w:val="en-GB"/>
        </w:rPr>
      </w:pPr>
      <w:r w:rsidRPr="00743A4B">
        <w:rPr>
          <w:rFonts w:ascii="Avenir Next" w:hAnsi="Avenir Next" w:cs="Arial"/>
          <w:sz w:val="22"/>
          <w:szCs w:val="22"/>
          <w:lang w:val="en-GB"/>
        </w:rPr>
        <w:t xml:space="preserve">The </w:t>
      </w:r>
      <w:r w:rsidRPr="00743A4B">
        <w:rPr>
          <w:rFonts w:ascii="Avenir Next" w:hAnsi="Avenir Next" w:cs="Arial"/>
          <w:i/>
          <w:iCs/>
          <w:sz w:val="22"/>
          <w:szCs w:val="22"/>
          <w:lang w:val="en-GB"/>
        </w:rPr>
        <w:t xml:space="preserve">locus </w:t>
      </w:r>
      <w:proofErr w:type="spellStart"/>
      <w:r w:rsidRPr="00743A4B">
        <w:rPr>
          <w:rFonts w:ascii="Avenir Next" w:hAnsi="Avenir Next" w:cs="Arial"/>
          <w:i/>
          <w:iCs/>
          <w:sz w:val="22"/>
          <w:szCs w:val="22"/>
          <w:lang w:val="en-GB"/>
        </w:rPr>
        <w:t>standi</w:t>
      </w:r>
      <w:proofErr w:type="spellEnd"/>
      <w:r w:rsidRPr="00743A4B">
        <w:rPr>
          <w:rFonts w:ascii="Avenir Next" w:hAnsi="Avenir Next" w:cs="Arial"/>
          <w:sz w:val="22"/>
          <w:szCs w:val="22"/>
          <w:lang w:val="en-GB"/>
        </w:rPr>
        <w:t xml:space="preserve"> access rules.</w:t>
      </w:r>
    </w:p>
    <w:p w14:paraId="51C54E7E" w14:textId="77777777" w:rsidR="00436884" w:rsidRPr="00743A4B" w:rsidRDefault="00436884" w:rsidP="00436884">
      <w:pPr>
        <w:jc w:val="both"/>
        <w:rPr>
          <w:rFonts w:ascii="Avenir Next" w:hAnsi="Avenir Next" w:cs="Arial"/>
          <w:sz w:val="22"/>
          <w:szCs w:val="22"/>
          <w:lang w:val="en-GB"/>
        </w:rPr>
      </w:pPr>
    </w:p>
    <w:p w14:paraId="1961106B" w14:textId="77777777" w:rsidR="00436884" w:rsidRPr="00743A4B" w:rsidRDefault="00436884" w:rsidP="00436884">
      <w:pPr>
        <w:pStyle w:val="ListParagraph"/>
        <w:numPr>
          <w:ilvl w:val="0"/>
          <w:numId w:val="18"/>
        </w:numPr>
        <w:ind w:left="426"/>
        <w:jc w:val="both"/>
        <w:rPr>
          <w:rFonts w:ascii="Avenir Next" w:hAnsi="Avenir Next" w:cs="Arial"/>
          <w:sz w:val="22"/>
          <w:szCs w:val="22"/>
          <w:highlight w:val="yellow"/>
          <w:lang w:val="en-GB"/>
        </w:rPr>
      </w:pPr>
      <w:r w:rsidRPr="00743A4B">
        <w:rPr>
          <w:rFonts w:ascii="Avenir Next" w:hAnsi="Avenir Next" w:cs="Arial"/>
          <w:sz w:val="22"/>
          <w:szCs w:val="22"/>
          <w:highlight w:val="yellow"/>
          <w:lang w:val="en-GB"/>
        </w:rPr>
        <w:t>The public policy exception.</w:t>
      </w:r>
    </w:p>
    <w:p w14:paraId="3BBF87C7" w14:textId="77777777" w:rsidR="00436884" w:rsidRPr="00743A4B" w:rsidRDefault="00436884" w:rsidP="00436884">
      <w:pPr>
        <w:jc w:val="both"/>
        <w:rPr>
          <w:rFonts w:ascii="Avenir Next" w:hAnsi="Avenir Next" w:cs="Arial"/>
          <w:sz w:val="22"/>
          <w:szCs w:val="22"/>
          <w:lang w:val="en-GB"/>
        </w:rPr>
      </w:pPr>
    </w:p>
    <w:p w14:paraId="3DC8ABE5" w14:textId="77777777" w:rsidR="00436884" w:rsidRPr="00743A4B" w:rsidRDefault="00436884" w:rsidP="00436884">
      <w:pPr>
        <w:pStyle w:val="ListParagraph"/>
        <w:numPr>
          <w:ilvl w:val="0"/>
          <w:numId w:val="18"/>
        </w:numPr>
        <w:ind w:left="426"/>
        <w:jc w:val="both"/>
        <w:rPr>
          <w:rFonts w:ascii="Avenir Next" w:hAnsi="Avenir Next" w:cs="Arial"/>
          <w:sz w:val="22"/>
          <w:szCs w:val="22"/>
          <w:lang w:val="en-GB"/>
        </w:rPr>
      </w:pPr>
      <w:r w:rsidRPr="00743A4B">
        <w:rPr>
          <w:rFonts w:ascii="Avenir Next" w:hAnsi="Avenir Next" w:cs="Arial"/>
          <w:sz w:val="22"/>
          <w:szCs w:val="22"/>
          <w:lang w:val="en-GB"/>
        </w:rPr>
        <w:t>The safe conduct rule.</w:t>
      </w:r>
    </w:p>
    <w:p w14:paraId="5677386C" w14:textId="77777777" w:rsidR="00436884" w:rsidRPr="00743A4B" w:rsidRDefault="00436884" w:rsidP="00436884">
      <w:pPr>
        <w:jc w:val="both"/>
        <w:rPr>
          <w:rFonts w:ascii="Avenir Next" w:hAnsi="Avenir Next" w:cs="Arial"/>
          <w:sz w:val="22"/>
          <w:szCs w:val="22"/>
          <w:lang w:val="en-GB"/>
        </w:rPr>
      </w:pPr>
    </w:p>
    <w:p w14:paraId="36BC64F8" w14:textId="77777777" w:rsidR="00436884" w:rsidRPr="00743A4B" w:rsidRDefault="00436884" w:rsidP="00436884">
      <w:pPr>
        <w:pStyle w:val="ListParagraph"/>
        <w:numPr>
          <w:ilvl w:val="0"/>
          <w:numId w:val="18"/>
        </w:numPr>
        <w:ind w:left="426"/>
        <w:jc w:val="both"/>
        <w:rPr>
          <w:rFonts w:ascii="Avenir Next" w:hAnsi="Avenir Next" w:cs="Arial"/>
          <w:sz w:val="22"/>
          <w:szCs w:val="22"/>
          <w:lang w:val="en-GB"/>
        </w:rPr>
      </w:pPr>
      <w:r w:rsidRPr="00743A4B">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77352" w:rsidRDefault="00C504E5" w:rsidP="00C504E5">
      <w:pPr>
        <w:pStyle w:val="ListParagraph"/>
        <w:numPr>
          <w:ilvl w:val="0"/>
          <w:numId w:val="20"/>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Both the foreign main proceedings in South Africa and the foreign non-main proceedings in </w:t>
      </w:r>
      <w:r w:rsidR="004137C3" w:rsidRPr="00B77352">
        <w:rPr>
          <w:rFonts w:ascii="Avenir Next" w:hAnsi="Avenir Next" w:cs="Arial"/>
          <w:sz w:val="22"/>
          <w:szCs w:val="22"/>
          <w:lang w:val="en-GB"/>
        </w:rPr>
        <w:t xml:space="preserve">Argentina </w:t>
      </w:r>
      <w:r w:rsidRPr="00B77352">
        <w:rPr>
          <w:rFonts w:ascii="Avenir Next" w:hAnsi="Avenir Next" w:cs="Arial"/>
          <w:sz w:val="22"/>
          <w:szCs w:val="22"/>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F75F9" w:rsidRDefault="00C504E5" w:rsidP="00C504E5">
      <w:pPr>
        <w:pStyle w:val="ListParagraph"/>
        <w:numPr>
          <w:ilvl w:val="0"/>
          <w:numId w:val="20"/>
        </w:numPr>
        <w:ind w:left="426"/>
        <w:jc w:val="both"/>
        <w:rPr>
          <w:rFonts w:ascii="Avenir Next" w:hAnsi="Avenir Next" w:cs="Arial"/>
          <w:sz w:val="22"/>
          <w:szCs w:val="22"/>
          <w:highlight w:val="yellow"/>
          <w:lang w:val="en-GB"/>
        </w:rPr>
      </w:pPr>
      <w:r w:rsidRPr="00EF75F9">
        <w:rPr>
          <w:rFonts w:ascii="Avenir Next" w:hAnsi="Avenir Next" w:cs="Arial"/>
          <w:sz w:val="22"/>
          <w:szCs w:val="22"/>
          <w:highlight w:val="yellow"/>
          <w:lang w:val="en-GB"/>
        </w:rPr>
        <w:t xml:space="preserve">None of the statements in (a), (b) </w:t>
      </w:r>
      <w:r w:rsidR="002E00F8" w:rsidRPr="00EF75F9">
        <w:rPr>
          <w:rFonts w:ascii="Avenir Next" w:hAnsi="Avenir Next" w:cs="Arial"/>
          <w:sz w:val="22"/>
          <w:szCs w:val="22"/>
          <w:highlight w:val="yellow"/>
          <w:lang w:val="en-GB"/>
        </w:rPr>
        <w:t>or</w:t>
      </w:r>
      <w:r w:rsidRPr="00EF75F9">
        <w:rPr>
          <w:rFonts w:ascii="Avenir Next" w:hAnsi="Avenir Next" w:cs="Arial"/>
          <w:sz w:val="22"/>
          <w:szCs w:val="22"/>
          <w:highlight w:val="yellow"/>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D25135"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 xml:space="preserve">No interim relief based on Article 19 of the Model Law is available if concurrent domestic insolvency proceedings and foreign proceedings exist at the time of the application of the </w:t>
      </w:r>
      <w:r w:rsidRPr="00D25135">
        <w:rPr>
          <w:rFonts w:ascii="Avenir Next" w:hAnsi="Avenir Next" w:cs="Arial"/>
          <w:sz w:val="22"/>
          <w:szCs w:val="22"/>
          <w:lang w:val="en-GB"/>
        </w:rPr>
        <w:t>foreign proceedings in the enacting State.</w:t>
      </w:r>
    </w:p>
    <w:p w14:paraId="36E223E4" w14:textId="77777777" w:rsidR="00114082" w:rsidRPr="00D25135" w:rsidRDefault="00114082" w:rsidP="00114082">
      <w:pPr>
        <w:jc w:val="both"/>
        <w:rPr>
          <w:rFonts w:ascii="Avenir Next" w:hAnsi="Avenir Next" w:cs="Arial"/>
          <w:sz w:val="22"/>
          <w:szCs w:val="22"/>
          <w:lang w:val="en-GB"/>
        </w:rPr>
      </w:pPr>
    </w:p>
    <w:p w14:paraId="4B1560A9" w14:textId="1C87BA52" w:rsidR="00B72F5F" w:rsidRPr="00D25135" w:rsidRDefault="00B72F5F" w:rsidP="00114082">
      <w:pPr>
        <w:pStyle w:val="ListParagraph"/>
        <w:numPr>
          <w:ilvl w:val="0"/>
          <w:numId w:val="26"/>
        </w:numPr>
        <w:ind w:left="426"/>
        <w:jc w:val="both"/>
        <w:rPr>
          <w:rFonts w:ascii="Avenir Next" w:hAnsi="Avenir Next" w:cs="Arial"/>
          <w:sz w:val="22"/>
          <w:szCs w:val="22"/>
          <w:lang w:val="en-GB"/>
        </w:rPr>
      </w:pPr>
      <w:r w:rsidRPr="00D25135">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D25135" w:rsidRDefault="00114082" w:rsidP="00114082">
      <w:pPr>
        <w:jc w:val="both"/>
        <w:rPr>
          <w:rFonts w:ascii="Avenir Next" w:hAnsi="Avenir Next" w:cs="Arial"/>
          <w:sz w:val="22"/>
          <w:szCs w:val="22"/>
          <w:lang w:val="en-GB"/>
        </w:rPr>
      </w:pPr>
    </w:p>
    <w:p w14:paraId="0E2A0FDC" w14:textId="0C95B31B" w:rsidR="00B72F5F" w:rsidRPr="00D25135" w:rsidRDefault="00B72F5F" w:rsidP="00114082">
      <w:pPr>
        <w:pStyle w:val="ListParagraph"/>
        <w:numPr>
          <w:ilvl w:val="0"/>
          <w:numId w:val="26"/>
        </w:numPr>
        <w:ind w:left="426"/>
        <w:jc w:val="both"/>
        <w:rPr>
          <w:rFonts w:ascii="Avenir Next" w:hAnsi="Avenir Next" w:cs="Arial"/>
          <w:sz w:val="22"/>
          <w:szCs w:val="22"/>
          <w:lang w:val="en-GB"/>
        </w:rPr>
      </w:pPr>
      <w:r w:rsidRPr="00D25135">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D25135" w:rsidRDefault="00B72F5F" w:rsidP="00114082">
      <w:pPr>
        <w:pStyle w:val="ListParagraph"/>
        <w:numPr>
          <w:ilvl w:val="0"/>
          <w:numId w:val="26"/>
        </w:numPr>
        <w:ind w:left="426"/>
        <w:jc w:val="both"/>
        <w:rPr>
          <w:rFonts w:ascii="Avenir Next" w:hAnsi="Avenir Next" w:cs="Arial"/>
          <w:sz w:val="22"/>
          <w:szCs w:val="22"/>
          <w:highlight w:val="yellow"/>
          <w:lang w:val="en-GB"/>
        </w:rPr>
      </w:pPr>
      <w:r w:rsidRPr="00D25135">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D25135">
        <w:rPr>
          <w:rFonts w:ascii="Avenir Next" w:hAnsi="Avenir Next" w:cs="Arial"/>
          <w:sz w:val="22"/>
          <w:szCs w:val="22"/>
          <w:highlight w:val="yellow"/>
          <w:lang w:val="en-GB"/>
        </w:rPr>
        <w:t>will</w:t>
      </w:r>
      <w:r w:rsidRPr="00D25135">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034DF2ED" w:rsidR="00436884" w:rsidRPr="00D25135" w:rsidRDefault="00AA7BE6" w:rsidP="00436884">
      <w:pPr>
        <w:pStyle w:val="ListParagraph"/>
        <w:numPr>
          <w:ilvl w:val="0"/>
          <w:numId w:val="27"/>
        </w:numPr>
        <w:ind w:left="426"/>
        <w:jc w:val="both"/>
        <w:rPr>
          <w:rFonts w:ascii="Avenir Next" w:hAnsi="Avenir Next" w:cs="Arial"/>
          <w:sz w:val="22"/>
          <w:szCs w:val="22"/>
          <w:highlight w:val="yellow"/>
          <w:lang w:val="en-GB"/>
        </w:rPr>
      </w:pPr>
      <w:r>
        <w:rPr>
          <w:rFonts w:ascii="Avenir Next" w:hAnsi="Avenir Next" w:cs="Arial"/>
          <w:sz w:val="22"/>
          <w:szCs w:val="22"/>
          <w:highlight w:val="yellow"/>
          <w:lang w:val="en-GB"/>
        </w:rPr>
        <w:t xml:space="preserve"> </w:t>
      </w:r>
      <w:r w:rsidR="00436884" w:rsidRPr="00D25135">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AA7BE6" w:rsidRDefault="00436884" w:rsidP="00436884">
      <w:pPr>
        <w:pStyle w:val="ListParagraph"/>
        <w:numPr>
          <w:ilvl w:val="0"/>
          <w:numId w:val="28"/>
        </w:numPr>
        <w:ind w:left="426"/>
        <w:jc w:val="both"/>
        <w:rPr>
          <w:rFonts w:ascii="Avenir Next" w:hAnsi="Avenir Next" w:cs="Arial"/>
          <w:sz w:val="22"/>
          <w:szCs w:val="22"/>
          <w:highlight w:val="yellow"/>
          <w:lang w:val="en-GB"/>
        </w:rPr>
      </w:pPr>
      <w:r w:rsidRPr="00AA7BE6">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AA7BE6" w:rsidRDefault="00436884" w:rsidP="00436884">
      <w:pPr>
        <w:pStyle w:val="ListParagraph"/>
        <w:numPr>
          <w:ilvl w:val="0"/>
          <w:numId w:val="29"/>
        </w:numPr>
        <w:ind w:left="426"/>
        <w:jc w:val="both"/>
        <w:rPr>
          <w:rFonts w:ascii="Avenir Next" w:hAnsi="Avenir Next" w:cs="Arial"/>
          <w:sz w:val="22"/>
          <w:szCs w:val="22"/>
          <w:highlight w:val="yellow"/>
          <w:lang w:val="en-GB"/>
        </w:rPr>
      </w:pPr>
      <w:r w:rsidRPr="00AA7BE6">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EC04D9" w:rsidRDefault="00436884" w:rsidP="00436884">
      <w:pPr>
        <w:pStyle w:val="ListParagraph"/>
        <w:numPr>
          <w:ilvl w:val="0"/>
          <w:numId w:val="30"/>
        </w:numPr>
        <w:ind w:left="426"/>
        <w:jc w:val="both"/>
        <w:rPr>
          <w:rFonts w:ascii="Avenir Next" w:hAnsi="Avenir Next" w:cs="Arial"/>
          <w:sz w:val="22"/>
          <w:szCs w:val="22"/>
          <w:highlight w:val="yellow"/>
          <w:lang w:val="en-GB"/>
        </w:rPr>
      </w:pPr>
      <w:r w:rsidRPr="00EC04D9">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EC04D9">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ListParagraph"/>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C04D9"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C04D9">
        <w:rPr>
          <w:rFonts w:ascii="Avenir Next" w:hAnsi="Avenir Next" w:cs="Arial"/>
          <w:sz w:val="22"/>
          <w:szCs w:val="22"/>
          <w:lang w:val="en-GB"/>
        </w:rPr>
        <w:t>All foreign creditors</w:t>
      </w:r>
      <w:r w:rsidR="002654E8" w:rsidRPr="00EC04D9">
        <w:rPr>
          <w:rFonts w:ascii="Avenir Next" w:hAnsi="Avenir Next" w:cs="Arial"/>
          <w:sz w:val="22"/>
          <w:szCs w:val="22"/>
          <w:lang w:val="en-GB"/>
        </w:rPr>
        <w:t>’</w:t>
      </w:r>
      <w:r w:rsidRPr="00EC04D9">
        <w:rPr>
          <w:rFonts w:ascii="Avenir Next" w:hAnsi="Avenir Next" w:cs="Arial"/>
          <w:sz w:val="22"/>
          <w:szCs w:val="22"/>
          <w:lang w:val="en-GB"/>
        </w:rPr>
        <w:t xml:space="preserve"> claims are</w:t>
      </w:r>
      <w:r w:rsidR="002654E8" w:rsidRPr="00EC04D9">
        <w:rPr>
          <w:rFonts w:ascii="Avenir Next" w:hAnsi="Avenir Next" w:cs="Arial"/>
          <w:sz w:val="22"/>
          <w:szCs w:val="22"/>
          <w:lang w:val="en-GB"/>
        </w:rPr>
        <w:t>,</w:t>
      </w:r>
      <w:r w:rsidRPr="00EC04D9">
        <w:rPr>
          <w:rFonts w:ascii="Avenir Next" w:hAnsi="Avenir Next" w:cs="Arial"/>
          <w:sz w:val="22"/>
          <w:szCs w:val="22"/>
          <w:lang w:val="en-GB"/>
        </w:rPr>
        <w:t xml:space="preserve"> as a minimum</w:t>
      </w:r>
      <w:r w:rsidR="002654E8" w:rsidRPr="00EC04D9">
        <w:rPr>
          <w:rFonts w:ascii="Avenir Next" w:hAnsi="Avenir Next" w:cs="Arial"/>
          <w:sz w:val="22"/>
          <w:szCs w:val="22"/>
          <w:lang w:val="en-GB"/>
        </w:rPr>
        <w:t>,</w:t>
      </w:r>
      <w:r w:rsidRPr="00EC04D9">
        <w:rPr>
          <w:rFonts w:ascii="Avenir Next" w:hAnsi="Avenir Next" w:cs="Arial"/>
          <w:sz w:val="22"/>
          <w:szCs w:val="22"/>
          <w:lang w:val="en-GB"/>
        </w:rPr>
        <w:t xml:space="preserve"> considered </w:t>
      </w:r>
      <w:r w:rsidR="002654E8" w:rsidRPr="00EC04D9">
        <w:rPr>
          <w:rFonts w:ascii="Avenir Next" w:hAnsi="Avenir Next" w:cs="Arial"/>
          <w:sz w:val="22"/>
          <w:szCs w:val="22"/>
          <w:lang w:val="en-GB"/>
        </w:rPr>
        <w:t>to be</w:t>
      </w:r>
      <w:r w:rsidRPr="00EC04D9">
        <w:rPr>
          <w:rFonts w:ascii="Avenir Next" w:hAnsi="Avenir Next" w:cs="Arial"/>
          <w:sz w:val="22"/>
          <w:szCs w:val="22"/>
          <w:lang w:val="en-GB"/>
        </w:rPr>
        <w:t xml:space="preserve"> unsecured</w:t>
      </w:r>
      <w:r w:rsidR="004137C3" w:rsidRPr="00EC04D9">
        <w:rPr>
          <w:rFonts w:ascii="Avenir Next" w:hAnsi="Avenir Next" w:cs="Arial"/>
          <w:sz w:val="22"/>
          <w:szCs w:val="22"/>
          <w:lang w:val="en-GB"/>
        </w:rPr>
        <w:t xml:space="preserve"> claims</w:t>
      </w:r>
      <w:r w:rsidRPr="00EC04D9">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0B1B363D" w:rsidR="00CB56CE" w:rsidRPr="00B1768C" w:rsidRDefault="009A37BB" w:rsidP="009A37BB">
      <w:pPr>
        <w:ind w:left="720"/>
        <w:jc w:val="both"/>
        <w:rPr>
          <w:rFonts w:ascii="Avenir Next" w:hAnsi="Avenir Next" w:cs="Arial"/>
          <w:sz w:val="22"/>
          <w:szCs w:val="22"/>
          <w:lang w:val="en-GB"/>
        </w:rPr>
      </w:pPr>
      <w:r w:rsidRPr="00B1768C">
        <w:rPr>
          <w:rFonts w:ascii="Avenir Next" w:hAnsi="Avenir Next" w:cs="Arial"/>
          <w:sz w:val="22"/>
          <w:szCs w:val="22"/>
          <w:lang w:val="en-GB"/>
        </w:rPr>
        <w:t>The COMI of an insolvent entity will determine whether originating insolvency proceedings brought in respect of it are "foreign main" or "foreign non-main" proceedings which in turn will determine the type of recognition which is available by a recognising court under the UNCITRAL Model Law</w:t>
      </w:r>
      <w:r w:rsidR="0067121D" w:rsidRPr="00B1768C">
        <w:rPr>
          <w:rFonts w:ascii="Avenir Next" w:hAnsi="Avenir Next" w:cs="Arial"/>
          <w:sz w:val="22"/>
          <w:szCs w:val="22"/>
          <w:lang w:val="en-GB"/>
        </w:rPr>
        <w:t xml:space="preserve"> on Cross-Border Insolvency (the "</w:t>
      </w:r>
      <w:r w:rsidR="0067121D" w:rsidRPr="00B1768C">
        <w:rPr>
          <w:rFonts w:ascii="Avenir Next" w:hAnsi="Avenir Next" w:cs="Arial"/>
          <w:b/>
          <w:sz w:val="22"/>
          <w:szCs w:val="22"/>
          <w:lang w:val="en-GB"/>
        </w:rPr>
        <w:t>Model Law</w:t>
      </w:r>
      <w:r w:rsidR="0067121D" w:rsidRPr="00B1768C">
        <w:rPr>
          <w:rFonts w:ascii="Avenir Next" w:hAnsi="Avenir Next" w:cs="Arial"/>
          <w:sz w:val="22"/>
          <w:szCs w:val="22"/>
          <w:lang w:val="en-GB"/>
        </w:rPr>
        <w:t>")</w:t>
      </w:r>
      <w:r w:rsidRPr="00B1768C">
        <w:rPr>
          <w:rFonts w:ascii="Avenir Next" w:hAnsi="Avenir Next" w:cs="Arial"/>
          <w:sz w:val="22"/>
          <w:szCs w:val="22"/>
          <w:lang w:val="en-GB"/>
        </w:rPr>
        <w:t xml:space="preserve">. </w:t>
      </w:r>
    </w:p>
    <w:p w14:paraId="021A6CFD" w14:textId="68B610A0" w:rsidR="009A37BB" w:rsidRPr="00B1768C" w:rsidRDefault="009A37BB" w:rsidP="009A37BB">
      <w:pPr>
        <w:ind w:left="720"/>
        <w:jc w:val="both"/>
        <w:rPr>
          <w:rFonts w:ascii="Avenir Next" w:hAnsi="Avenir Next" w:cs="Arial"/>
          <w:sz w:val="22"/>
          <w:szCs w:val="22"/>
          <w:lang w:val="en-GB"/>
        </w:rPr>
      </w:pPr>
    </w:p>
    <w:p w14:paraId="24C01926" w14:textId="77777777" w:rsidR="009B0668" w:rsidRPr="00B1768C" w:rsidRDefault="009A37BB" w:rsidP="009A37BB">
      <w:pPr>
        <w:ind w:left="720"/>
        <w:jc w:val="both"/>
        <w:rPr>
          <w:rFonts w:ascii="Avenir Next" w:hAnsi="Avenir Next" w:cs="Arial"/>
          <w:sz w:val="22"/>
          <w:szCs w:val="22"/>
          <w:lang w:val="en-GB"/>
        </w:rPr>
      </w:pPr>
      <w:r w:rsidRPr="00B1768C">
        <w:rPr>
          <w:rFonts w:ascii="Avenir Next" w:hAnsi="Avenir Next" w:cs="Arial"/>
          <w:sz w:val="22"/>
          <w:szCs w:val="22"/>
          <w:lang w:val="en-GB"/>
        </w:rPr>
        <w:t xml:space="preserve">The </w:t>
      </w:r>
      <w:r w:rsidR="007A0667" w:rsidRPr="00B1768C">
        <w:rPr>
          <w:rFonts w:ascii="Avenir Next" w:hAnsi="Avenir Next" w:cs="Arial"/>
          <w:sz w:val="22"/>
          <w:szCs w:val="22"/>
          <w:lang w:val="en-GB"/>
        </w:rPr>
        <w:t xml:space="preserve">Model Law does not expressly provide the relevant date for </w:t>
      </w:r>
      <w:r w:rsidRPr="00B1768C">
        <w:rPr>
          <w:rFonts w:ascii="Avenir Next" w:hAnsi="Avenir Next" w:cs="Arial"/>
          <w:sz w:val="22"/>
          <w:szCs w:val="22"/>
          <w:lang w:val="en-GB"/>
        </w:rPr>
        <w:t>determining the COMI of an insolvent entity</w:t>
      </w:r>
      <w:r w:rsidR="007A0667" w:rsidRPr="00B1768C">
        <w:rPr>
          <w:rFonts w:ascii="Avenir Next" w:hAnsi="Avenir Next" w:cs="Arial"/>
          <w:sz w:val="22"/>
          <w:szCs w:val="22"/>
          <w:lang w:val="en-GB"/>
        </w:rPr>
        <w:t xml:space="preserve">. However, its Guide to Enactment and Interpretation </w:t>
      </w:r>
      <w:r w:rsidR="0067121D" w:rsidRPr="00B1768C">
        <w:rPr>
          <w:rFonts w:ascii="Avenir Next" w:hAnsi="Avenir Next" w:cs="Arial"/>
          <w:sz w:val="22"/>
          <w:szCs w:val="22"/>
          <w:lang w:val="en-GB"/>
        </w:rPr>
        <w:t>(the "</w:t>
      </w:r>
      <w:r w:rsidR="0067121D" w:rsidRPr="00B1768C">
        <w:rPr>
          <w:rFonts w:ascii="Avenir Next" w:hAnsi="Avenir Next" w:cs="Arial"/>
          <w:b/>
          <w:sz w:val="22"/>
          <w:szCs w:val="22"/>
          <w:lang w:val="en-GB"/>
        </w:rPr>
        <w:t>Guide</w:t>
      </w:r>
      <w:r w:rsidR="0067121D" w:rsidRPr="00B1768C">
        <w:rPr>
          <w:rFonts w:ascii="Avenir Next" w:hAnsi="Avenir Next" w:cs="Arial"/>
          <w:sz w:val="22"/>
          <w:szCs w:val="22"/>
          <w:lang w:val="en-GB"/>
        </w:rPr>
        <w:t xml:space="preserve">") </w:t>
      </w:r>
      <w:r w:rsidR="007A0667" w:rsidRPr="00B1768C">
        <w:rPr>
          <w:rFonts w:ascii="Avenir Next" w:hAnsi="Avenir Next" w:cs="Arial"/>
          <w:sz w:val="22"/>
          <w:szCs w:val="22"/>
          <w:lang w:val="en-GB"/>
        </w:rPr>
        <w:t xml:space="preserve">notes that the appropriate date for determining COMI is the date </w:t>
      </w:r>
      <w:r w:rsidRPr="00B1768C">
        <w:rPr>
          <w:rFonts w:ascii="Avenir Next" w:hAnsi="Avenir Next" w:cs="Arial"/>
          <w:sz w:val="22"/>
          <w:szCs w:val="22"/>
          <w:lang w:val="en-GB"/>
        </w:rPr>
        <w:t>of the commencement of the foreign proceeding</w:t>
      </w:r>
      <w:r w:rsidR="007A0667" w:rsidRPr="00B1768C">
        <w:rPr>
          <w:rFonts w:ascii="Avenir Next" w:hAnsi="Avenir Next" w:cs="Arial"/>
          <w:sz w:val="22"/>
          <w:szCs w:val="22"/>
          <w:lang w:val="en-GB"/>
        </w:rPr>
        <w:t xml:space="preserve"> (paras 31 and 157-160). </w:t>
      </w:r>
      <w:r w:rsidRPr="00B1768C">
        <w:rPr>
          <w:rFonts w:ascii="Avenir Next" w:hAnsi="Avenir Next" w:cs="Arial"/>
          <w:sz w:val="22"/>
          <w:szCs w:val="22"/>
          <w:lang w:val="en-GB"/>
        </w:rPr>
        <w:t xml:space="preserve"> </w:t>
      </w:r>
      <w:r w:rsidR="00CB0EB7" w:rsidRPr="00B1768C">
        <w:rPr>
          <w:rFonts w:ascii="Avenir Next" w:hAnsi="Avenir Next" w:cs="Arial"/>
          <w:sz w:val="22"/>
          <w:szCs w:val="22"/>
          <w:lang w:val="en-GB"/>
        </w:rPr>
        <w:t xml:space="preserve">In determining the location of the debtor's COMI, the recognising court will be required to ascertain whether the location of the foreign proceedings in fact corresponds to the debtor's actual COMI, as readily ascertainable by third parties (in particular, its creditors). In making such a determination, the recognising court will look to a body of evidence </w:t>
      </w:r>
      <w:r w:rsidR="009B0668" w:rsidRPr="00B1768C">
        <w:rPr>
          <w:rFonts w:ascii="Avenir Next" w:hAnsi="Avenir Next" w:cs="Arial"/>
          <w:sz w:val="22"/>
          <w:szCs w:val="22"/>
          <w:lang w:val="en-GB"/>
        </w:rPr>
        <w:t>including, for example, the location of the debtor's books and records, the location of its employees, the location where financing was organised or authorised, and the location of the debtor's principal assets or operations. While the COMI of a debtor can move, it can accordingly be much harder to establish its proper COMI if the move is close to the commencement of proceedings because one of the requirements going to the proper determination of a debtor's COMI is whether it is readily ascertainable to its creditors.</w:t>
      </w:r>
    </w:p>
    <w:p w14:paraId="6418314E" w14:textId="77777777" w:rsidR="009B0668" w:rsidRPr="00B1768C" w:rsidRDefault="009B0668" w:rsidP="009A37BB">
      <w:pPr>
        <w:ind w:left="720"/>
        <w:jc w:val="both"/>
        <w:rPr>
          <w:rFonts w:ascii="Avenir Next" w:hAnsi="Avenir Next" w:cs="Arial"/>
          <w:sz w:val="22"/>
          <w:szCs w:val="22"/>
          <w:lang w:val="en-GB"/>
        </w:rPr>
      </w:pPr>
    </w:p>
    <w:p w14:paraId="5E13DAF2" w14:textId="77777777" w:rsidR="00970F30" w:rsidRPr="00B1768C" w:rsidRDefault="009B0668" w:rsidP="009A37BB">
      <w:pPr>
        <w:ind w:left="720"/>
        <w:jc w:val="both"/>
        <w:rPr>
          <w:rFonts w:ascii="Avenir Next" w:hAnsi="Avenir Next" w:cs="Arial"/>
          <w:sz w:val="22"/>
          <w:szCs w:val="22"/>
          <w:lang w:val="en-GB"/>
        </w:rPr>
      </w:pPr>
      <w:r w:rsidRPr="00B1768C">
        <w:rPr>
          <w:rFonts w:ascii="Avenir Next" w:hAnsi="Avenir Next" w:cs="Arial"/>
          <w:sz w:val="22"/>
          <w:szCs w:val="22"/>
          <w:lang w:val="en-GB"/>
        </w:rPr>
        <w:t xml:space="preserve">It is important to note however that a decision of the United States Second Circuit of Appeals took a slightly different approach and held that a debtor's COMI should be established </w:t>
      </w:r>
      <w:r w:rsidR="00F20BF4" w:rsidRPr="00B1768C">
        <w:rPr>
          <w:rFonts w:ascii="Avenir Next" w:hAnsi="Avenir Next" w:cs="Arial"/>
          <w:sz w:val="22"/>
          <w:szCs w:val="22"/>
          <w:lang w:val="en-GB"/>
        </w:rPr>
        <w:t xml:space="preserve">on the basis of its activities at or around the time of the Chapter 15 petition (i.e. the US Model Law recognition application). However, having regard to the international interpretation of the appropriate date for determining COMI, the US courts may consider factors during the period </w:t>
      </w:r>
      <w:r w:rsidR="00F20BF4" w:rsidRPr="00B1768C">
        <w:rPr>
          <w:rFonts w:ascii="Avenir Next" w:hAnsi="Avenir Next" w:cs="Arial"/>
          <w:sz w:val="22"/>
          <w:szCs w:val="22"/>
          <w:lang w:val="en-GB"/>
        </w:rPr>
        <w:lastRenderedPageBreak/>
        <w:t>from the commencement of the proceedings and the recognition application to ensure that there has not been an attempt to manipulate COMI in bad faith (</w:t>
      </w:r>
      <w:r w:rsidR="00F20BF4" w:rsidRPr="00B1768C">
        <w:rPr>
          <w:rFonts w:ascii="Avenir Next" w:hAnsi="Avenir Next" w:cs="Arial"/>
          <w:i/>
          <w:sz w:val="22"/>
          <w:szCs w:val="22"/>
          <w:lang w:val="en-GB"/>
        </w:rPr>
        <w:t xml:space="preserve">Morning Mist Holdings Ltd v </w:t>
      </w:r>
      <w:proofErr w:type="spellStart"/>
      <w:r w:rsidR="00F20BF4" w:rsidRPr="00B1768C">
        <w:rPr>
          <w:rFonts w:ascii="Avenir Next" w:hAnsi="Avenir Next" w:cs="Arial"/>
          <w:i/>
          <w:sz w:val="22"/>
          <w:szCs w:val="22"/>
          <w:lang w:val="en-GB"/>
        </w:rPr>
        <w:t>Krys</w:t>
      </w:r>
      <w:proofErr w:type="spellEnd"/>
      <w:r w:rsidR="00F20BF4" w:rsidRPr="00B1768C">
        <w:rPr>
          <w:rFonts w:ascii="Avenir Next" w:hAnsi="Avenir Next" w:cs="Arial"/>
          <w:i/>
          <w:sz w:val="22"/>
          <w:szCs w:val="22"/>
          <w:lang w:val="en-GB"/>
        </w:rPr>
        <w:t xml:space="preserve"> (Matter of Fairfield Sentry Ltd</w:t>
      </w:r>
      <w:r w:rsidR="00F20BF4" w:rsidRPr="00B1768C">
        <w:rPr>
          <w:rFonts w:ascii="Avenir Next" w:hAnsi="Avenir Next" w:cs="Arial"/>
          <w:sz w:val="22"/>
          <w:szCs w:val="22"/>
          <w:lang w:val="en-GB"/>
        </w:rPr>
        <w:t>) (2</w:t>
      </w:r>
      <w:r w:rsidR="00F20BF4" w:rsidRPr="00B1768C">
        <w:rPr>
          <w:rFonts w:ascii="Avenir Next" w:hAnsi="Avenir Next" w:cs="Arial"/>
          <w:sz w:val="22"/>
          <w:szCs w:val="22"/>
          <w:vertAlign w:val="superscript"/>
          <w:lang w:val="en-GB"/>
        </w:rPr>
        <w:t>nd</w:t>
      </w:r>
      <w:r w:rsidR="00F20BF4" w:rsidRPr="00B1768C">
        <w:rPr>
          <w:rFonts w:ascii="Avenir Next" w:hAnsi="Avenir Next" w:cs="Arial"/>
          <w:sz w:val="22"/>
          <w:szCs w:val="22"/>
          <w:lang w:val="en-GB"/>
        </w:rPr>
        <w:t xml:space="preserve"> Cir Appeals April 16, 2013).</w:t>
      </w:r>
      <w:r w:rsidRPr="00B1768C">
        <w:rPr>
          <w:rFonts w:ascii="Avenir Next" w:hAnsi="Avenir Next" w:cs="Arial"/>
          <w:sz w:val="22"/>
          <w:szCs w:val="22"/>
          <w:lang w:val="en-GB"/>
        </w:rPr>
        <w:t xml:space="preserve"> </w:t>
      </w:r>
    </w:p>
    <w:p w14:paraId="16570F10" w14:textId="77777777" w:rsidR="00970F30" w:rsidRPr="00B1768C" w:rsidRDefault="00970F30" w:rsidP="009A37BB">
      <w:pPr>
        <w:ind w:left="720"/>
        <w:jc w:val="both"/>
        <w:rPr>
          <w:rFonts w:ascii="Avenir Next" w:hAnsi="Avenir Next" w:cs="Arial"/>
          <w:sz w:val="22"/>
          <w:szCs w:val="22"/>
          <w:lang w:val="en-GB"/>
        </w:rPr>
      </w:pPr>
    </w:p>
    <w:p w14:paraId="1A448002" w14:textId="77777777" w:rsidR="000F12E5" w:rsidRPr="00B1768C" w:rsidRDefault="00F20BF4" w:rsidP="009A37BB">
      <w:pPr>
        <w:ind w:left="720"/>
        <w:jc w:val="both"/>
        <w:rPr>
          <w:rFonts w:ascii="Avenir Next" w:hAnsi="Avenir Next" w:cs="Arial"/>
          <w:sz w:val="22"/>
          <w:szCs w:val="22"/>
          <w:lang w:val="en-GB"/>
        </w:rPr>
      </w:pPr>
      <w:r w:rsidRPr="00B1768C">
        <w:rPr>
          <w:rFonts w:ascii="Avenir Next" w:hAnsi="Avenir Next" w:cs="Arial"/>
          <w:sz w:val="22"/>
          <w:szCs w:val="22"/>
          <w:lang w:val="en-GB"/>
        </w:rPr>
        <w:t xml:space="preserve">This </w:t>
      </w:r>
      <w:r w:rsidR="00970F30" w:rsidRPr="00B1768C">
        <w:rPr>
          <w:rFonts w:ascii="Avenir Next" w:hAnsi="Avenir Next" w:cs="Arial"/>
          <w:sz w:val="22"/>
          <w:szCs w:val="22"/>
          <w:lang w:val="en-GB"/>
        </w:rPr>
        <w:t xml:space="preserve">approach was followed in the United Kingdom in a recent unpublished decision of Judge Catherine Burton, </w:t>
      </w:r>
      <w:r w:rsidR="00970F30" w:rsidRPr="00B1768C">
        <w:rPr>
          <w:rFonts w:ascii="Avenir Next" w:hAnsi="Avenir Next" w:cs="Arial"/>
          <w:i/>
          <w:sz w:val="22"/>
          <w:szCs w:val="22"/>
          <w:lang w:val="en-GB"/>
        </w:rPr>
        <w:t xml:space="preserve">Re </w:t>
      </w:r>
      <w:proofErr w:type="spellStart"/>
      <w:r w:rsidR="00970F30" w:rsidRPr="00B1768C">
        <w:rPr>
          <w:rFonts w:ascii="Avenir Next" w:hAnsi="Avenir Next" w:cs="Arial"/>
          <w:i/>
          <w:sz w:val="22"/>
          <w:szCs w:val="22"/>
          <w:lang w:val="en-GB"/>
        </w:rPr>
        <w:t>Toisa</w:t>
      </w:r>
      <w:proofErr w:type="spellEnd"/>
      <w:r w:rsidR="00970F30" w:rsidRPr="00B1768C">
        <w:rPr>
          <w:rFonts w:ascii="Avenir Next" w:hAnsi="Avenir Next" w:cs="Arial"/>
          <w:i/>
          <w:sz w:val="22"/>
          <w:szCs w:val="22"/>
          <w:lang w:val="en-GB"/>
        </w:rPr>
        <w:t xml:space="preserve"> Limited</w:t>
      </w:r>
      <w:r w:rsidR="00970F30" w:rsidRPr="00B1768C">
        <w:rPr>
          <w:rFonts w:ascii="Avenir Next" w:hAnsi="Avenir Next" w:cs="Arial"/>
          <w:sz w:val="22"/>
          <w:szCs w:val="22"/>
          <w:lang w:val="en-GB"/>
        </w:rPr>
        <w:t xml:space="preserve"> of 29 March 2019, on the basis (amongst other things)</w:t>
      </w:r>
    </w:p>
    <w:p w14:paraId="5E577918" w14:textId="77777777" w:rsidR="00970F30" w:rsidRPr="00B1768C" w:rsidRDefault="00970F30" w:rsidP="009A37BB">
      <w:pPr>
        <w:ind w:left="720"/>
        <w:jc w:val="both"/>
        <w:rPr>
          <w:rFonts w:ascii="Avenir Next" w:hAnsi="Avenir Next" w:cs="Arial"/>
          <w:sz w:val="22"/>
          <w:szCs w:val="22"/>
          <w:lang w:val="en-GB"/>
        </w:rPr>
      </w:pPr>
    </w:p>
    <w:p w14:paraId="2BA8BC3E" w14:textId="17861470" w:rsidR="009A37BB" w:rsidRPr="00B1768C" w:rsidRDefault="008321B2" w:rsidP="008321B2">
      <w:pPr>
        <w:pStyle w:val="ListParagraph"/>
        <w:numPr>
          <w:ilvl w:val="0"/>
          <w:numId w:val="50"/>
        </w:numPr>
        <w:jc w:val="both"/>
        <w:rPr>
          <w:rFonts w:ascii="Avenir Next" w:hAnsi="Avenir Next" w:cs="Arial"/>
          <w:sz w:val="22"/>
          <w:szCs w:val="22"/>
          <w:lang w:val="en-GB"/>
        </w:rPr>
      </w:pPr>
      <w:r w:rsidRPr="00B1768C">
        <w:rPr>
          <w:rFonts w:ascii="Avenir Next" w:hAnsi="Avenir Next" w:cs="Arial"/>
          <w:sz w:val="22"/>
          <w:szCs w:val="22"/>
          <w:lang w:val="en-GB"/>
        </w:rPr>
        <w:t xml:space="preserve">of the present tense of Article 17 of the Model Law that </w:t>
      </w:r>
      <w:r w:rsidR="00970F30" w:rsidRPr="00B1768C">
        <w:rPr>
          <w:rFonts w:ascii="Avenir Next" w:hAnsi="Avenir Next" w:cs="Arial"/>
          <w:sz w:val="22"/>
          <w:szCs w:val="22"/>
          <w:lang w:val="en-GB"/>
        </w:rPr>
        <w:t>"</w:t>
      </w:r>
      <w:r w:rsidR="00970F30" w:rsidRPr="00B1768C">
        <w:rPr>
          <w:rFonts w:ascii="Avenir Next" w:hAnsi="Avenir Next" w:cs="Arial"/>
          <w:i/>
          <w:sz w:val="22"/>
          <w:szCs w:val="22"/>
          <w:lang w:val="en-GB"/>
        </w:rPr>
        <w:t xml:space="preserve">the foreign proceeding shall be recognised as a foreign main proceeding if it </w:t>
      </w:r>
      <w:r w:rsidR="00970F30" w:rsidRPr="00B1768C">
        <w:rPr>
          <w:rFonts w:ascii="Avenir Next" w:hAnsi="Avenir Next" w:cs="Arial"/>
          <w:i/>
          <w:sz w:val="22"/>
          <w:szCs w:val="22"/>
          <w:u w:val="single"/>
          <w:lang w:val="en-GB"/>
        </w:rPr>
        <w:t>is</w:t>
      </w:r>
      <w:r w:rsidR="00970F30" w:rsidRPr="00B1768C">
        <w:rPr>
          <w:rFonts w:ascii="Avenir Next" w:hAnsi="Avenir Next" w:cs="Arial"/>
          <w:i/>
          <w:sz w:val="22"/>
          <w:szCs w:val="22"/>
          <w:lang w:val="en-GB"/>
        </w:rPr>
        <w:t xml:space="preserve"> taking place in the state where the debtor </w:t>
      </w:r>
      <w:r w:rsidR="00970F30" w:rsidRPr="00B1768C">
        <w:rPr>
          <w:rFonts w:ascii="Avenir Next" w:hAnsi="Avenir Next" w:cs="Arial"/>
          <w:i/>
          <w:sz w:val="22"/>
          <w:szCs w:val="22"/>
          <w:u w:val="single"/>
          <w:lang w:val="en-GB"/>
        </w:rPr>
        <w:t>has</w:t>
      </w:r>
      <w:r w:rsidR="00970F30" w:rsidRPr="00B1768C">
        <w:rPr>
          <w:rFonts w:ascii="Avenir Next" w:hAnsi="Avenir Next" w:cs="Arial"/>
          <w:i/>
          <w:sz w:val="22"/>
          <w:szCs w:val="22"/>
          <w:lang w:val="en-GB"/>
        </w:rPr>
        <w:t xml:space="preserve"> the centre of its main interests</w:t>
      </w:r>
      <w:r w:rsidR="00970F30" w:rsidRPr="00B1768C">
        <w:rPr>
          <w:rFonts w:ascii="Avenir Next" w:hAnsi="Avenir Next" w:cs="Arial"/>
          <w:sz w:val="22"/>
          <w:szCs w:val="22"/>
          <w:lang w:val="en-GB"/>
        </w:rPr>
        <w:t>" (emphasis added) such that, as a matter of statutory interpretation, the relevant consideration is where the debtor's COMI is to be found at the time of the recognition application</w:t>
      </w:r>
    </w:p>
    <w:p w14:paraId="1EE4ABF2" w14:textId="50069727" w:rsidR="00970F30" w:rsidRPr="00B1768C" w:rsidRDefault="00970F30" w:rsidP="00970F30">
      <w:pPr>
        <w:pStyle w:val="ListParagraph"/>
        <w:numPr>
          <w:ilvl w:val="0"/>
          <w:numId w:val="50"/>
        </w:numPr>
        <w:jc w:val="both"/>
        <w:rPr>
          <w:rFonts w:ascii="Avenir Next" w:hAnsi="Avenir Next" w:cs="Arial"/>
          <w:sz w:val="22"/>
          <w:szCs w:val="22"/>
          <w:lang w:val="en-GB"/>
        </w:rPr>
      </w:pPr>
      <w:r w:rsidRPr="00B1768C">
        <w:rPr>
          <w:rFonts w:ascii="Avenir Next" w:hAnsi="Avenir Next" w:cs="Arial"/>
          <w:sz w:val="22"/>
          <w:szCs w:val="22"/>
          <w:lang w:val="en-GB"/>
        </w:rPr>
        <w:t>given Article 8 of the Model Law requires that "</w:t>
      </w:r>
      <w:r w:rsidRPr="00B1768C">
        <w:rPr>
          <w:rFonts w:ascii="Avenir Next" w:hAnsi="Avenir Next" w:cs="Arial"/>
          <w:i/>
          <w:sz w:val="22"/>
          <w:szCs w:val="22"/>
          <w:lang w:val="en-GB"/>
        </w:rPr>
        <w:t>regard is to be had to its international origin and to the need to promote uniformity in its application</w:t>
      </w:r>
      <w:r w:rsidRPr="00B1768C">
        <w:rPr>
          <w:rFonts w:ascii="Avenir Next" w:hAnsi="Avenir Next" w:cs="Arial"/>
          <w:sz w:val="22"/>
          <w:szCs w:val="22"/>
          <w:lang w:val="en-GB"/>
        </w:rPr>
        <w:t>" when it is being interpreted, the fact that there is previous US precedent suggesting the date of the recognition application is the relevant date, that should be considered a strong international precedent militating in favour</w:t>
      </w:r>
      <w:r w:rsidR="000F12E5" w:rsidRPr="00B1768C">
        <w:rPr>
          <w:rFonts w:ascii="Avenir Next" w:hAnsi="Avenir Next" w:cs="Arial"/>
          <w:sz w:val="22"/>
          <w:szCs w:val="22"/>
          <w:lang w:val="en-GB"/>
        </w:rPr>
        <w:t xml:space="preserve"> of the appropriate date being the time of the recognition application</w:t>
      </w:r>
    </w:p>
    <w:p w14:paraId="27E18CDC" w14:textId="6069C0DF" w:rsidR="000F12E5" w:rsidRPr="00B1768C" w:rsidRDefault="008321B2" w:rsidP="008321B2">
      <w:pPr>
        <w:pStyle w:val="ListParagraph"/>
        <w:numPr>
          <w:ilvl w:val="0"/>
          <w:numId w:val="50"/>
        </w:numPr>
        <w:jc w:val="both"/>
        <w:rPr>
          <w:rFonts w:ascii="Avenir Next" w:hAnsi="Avenir Next" w:cs="Arial"/>
          <w:sz w:val="22"/>
          <w:szCs w:val="22"/>
          <w:lang w:val="en-GB"/>
        </w:rPr>
      </w:pPr>
      <w:proofErr w:type="gramStart"/>
      <w:r w:rsidRPr="00B1768C">
        <w:rPr>
          <w:rFonts w:ascii="Avenir Next" w:hAnsi="Avenir Next" w:cs="Arial"/>
          <w:sz w:val="22"/>
          <w:szCs w:val="22"/>
          <w:lang w:val="en-GB"/>
        </w:rPr>
        <w:t>it</w:t>
      </w:r>
      <w:proofErr w:type="gramEnd"/>
      <w:r w:rsidRPr="00B1768C">
        <w:rPr>
          <w:rFonts w:ascii="Avenir Next" w:hAnsi="Avenir Next" w:cs="Arial"/>
          <w:sz w:val="22"/>
          <w:szCs w:val="22"/>
          <w:lang w:val="en-GB"/>
        </w:rPr>
        <w:t xml:space="preserve"> is not unusual for insolvency proceedings to be initiated in a country other than the COMI of the relevant debtor. This was said to be particularly the case in Chapter 11 proceedings where the US bankruptcy courts do not require a significant level of connection with the United States for the initiation of such proceedings. This being the case, there was a good argument that COMI shifted following the commencement of Chapter 11 proceedings because the debtor comes under the control of the US bankruptcy courts and key positions on the debtor's board are often taken by US bankruptcy professionals. As such, there were good arguments to say that the debtor had neither its COMI, nor an establishment in the jurisdiction at the time that Chapter 11 proceedings were initiated. If this were correct, and the English approach to COMI analysis under the CBIR was applied then the Chapter 11 proceedings would not be eligible for recognition at all, as arguably the court would not be able to class them as either foreign main proceedings or foreign non-main proceedings.</w:t>
      </w:r>
      <w:r w:rsidRPr="00B1768C">
        <w:rPr>
          <w:rStyle w:val="FootnoteReference"/>
          <w:rFonts w:ascii="Avenir Next" w:hAnsi="Avenir Next" w:cs="Arial"/>
          <w:sz w:val="22"/>
          <w:szCs w:val="22"/>
          <w:lang w:val="en-GB"/>
        </w:rPr>
        <w:footnoteReference w:id="1"/>
      </w:r>
      <w:r w:rsidRPr="00B1768C">
        <w:rPr>
          <w:rFonts w:ascii="Avenir Next" w:hAnsi="Avenir Next" w:cs="Arial"/>
          <w:sz w:val="22"/>
          <w:szCs w:val="22"/>
          <w:lang w:val="en-GB"/>
        </w:rPr>
        <w:t xml:space="preserve">  </w:t>
      </w:r>
    </w:p>
    <w:p w14:paraId="54190B25" w14:textId="0DAC505C" w:rsidR="008477AC" w:rsidRPr="00B1768C" w:rsidRDefault="008477AC" w:rsidP="008477AC">
      <w:pPr>
        <w:ind w:left="720"/>
        <w:jc w:val="both"/>
        <w:rPr>
          <w:rFonts w:ascii="Avenir Next" w:hAnsi="Avenir Next" w:cs="Arial"/>
          <w:sz w:val="22"/>
          <w:szCs w:val="22"/>
          <w:lang w:val="en-GB"/>
        </w:rPr>
      </w:pPr>
    </w:p>
    <w:p w14:paraId="269380D6" w14:textId="2D791972" w:rsidR="008477AC" w:rsidRPr="00B1768C" w:rsidRDefault="008477AC" w:rsidP="008477AC">
      <w:pPr>
        <w:ind w:left="720"/>
        <w:jc w:val="both"/>
        <w:rPr>
          <w:rFonts w:ascii="Avenir Next" w:hAnsi="Avenir Next" w:cs="Arial"/>
          <w:sz w:val="22"/>
          <w:szCs w:val="22"/>
          <w:lang w:val="en-GB"/>
        </w:rPr>
      </w:pPr>
      <w:r w:rsidRPr="00B1768C">
        <w:rPr>
          <w:rFonts w:ascii="Avenir Next" w:hAnsi="Avenir Next" w:cs="Arial"/>
          <w:sz w:val="22"/>
          <w:szCs w:val="22"/>
          <w:lang w:val="en-GB"/>
        </w:rPr>
        <w:t xml:space="preserve">The approach followed in </w:t>
      </w:r>
      <w:r w:rsidRPr="00B1768C">
        <w:rPr>
          <w:rFonts w:ascii="Avenir Next" w:hAnsi="Avenir Next" w:cs="Arial"/>
          <w:i/>
          <w:sz w:val="22"/>
          <w:szCs w:val="22"/>
          <w:lang w:val="en-GB"/>
        </w:rPr>
        <w:t xml:space="preserve">Re </w:t>
      </w:r>
      <w:proofErr w:type="spellStart"/>
      <w:r w:rsidRPr="00B1768C">
        <w:rPr>
          <w:rFonts w:ascii="Avenir Next" w:hAnsi="Avenir Next" w:cs="Arial"/>
          <w:i/>
          <w:sz w:val="22"/>
          <w:szCs w:val="22"/>
          <w:lang w:val="en-GB"/>
        </w:rPr>
        <w:t>Toisa</w:t>
      </w:r>
      <w:proofErr w:type="spellEnd"/>
      <w:r w:rsidRPr="00B1768C">
        <w:rPr>
          <w:rFonts w:ascii="Avenir Next" w:hAnsi="Avenir Next" w:cs="Arial"/>
          <w:i/>
          <w:sz w:val="22"/>
          <w:szCs w:val="22"/>
          <w:lang w:val="en-GB"/>
        </w:rPr>
        <w:t xml:space="preserve"> Limited</w:t>
      </w:r>
      <w:r w:rsidRPr="00B1768C">
        <w:rPr>
          <w:rFonts w:ascii="Avenir Next" w:hAnsi="Avenir Next" w:cs="Arial"/>
          <w:sz w:val="22"/>
          <w:szCs w:val="22"/>
          <w:lang w:val="en-GB"/>
        </w:rPr>
        <w:t xml:space="preserve"> was not followed in a later decision of the High Court of England &amp; Wales in </w:t>
      </w:r>
      <w:r w:rsidRPr="00B1768C">
        <w:rPr>
          <w:rFonts w:ascii="Avenir Next" w:hAnsi="Avenir Next" w:cs="Arial"/>
          <w:i/>
          <w:sz w:val="22"/>
          <w:szCs w:val="22"/>
          <w:lang w:val="en-GB"/>
        </w:rPr>
        <w:t>Tru</w:t>
      </w:r>
      <w:r w:rsidR="000628B8" w:rsidRPr="00B1768C">
        <w:rPr>
          <w:rFonts w:ascii="Avenir Next" w:hAnsi="Avenir Next" w:cs="Arial"/>
          <w:i/>
          <w:sz w:val="22"/>
          <w:szCs w:val="22"/>
          <w:lang w:val="en-GB"/>
        </w:rPr>
        <w:t>s</w:t>
      </w:r>
      <w:r w:rsidRPr="00B1768C">
        <w:rPr>
          <w:rFonts w:ascii="Avenir Next" w:hAnsi="Avenir Next" w:cs="Arial"/>
          <w:i/>
          <w:sz w:val="22"/>
          <w:szCs w:val="22"/>
          <w:lang w:val="en-GB"/>
        </w:rPr>
        <w:t>tees in bankruptcy of Li Shu Chung</w:t>
      </w:r>
      <w:r w:rsidRPr="00B1768C">
        <w:rPr>
          <w:rFonts w:ascii="Avenir Next" w:hAnsi="Avenir Next" w:cs="Arial"/>
          <w:sz w:val="22"/>
          <w:szCs w:val="22"/>
          <w:lang w:val="en-GB"/>
        </w:rPr>
        <w:t xml:space="preserve"> [2021] EWHC 3346 (</w:t>
      </w:r>
      <w:proofErr w:type="spellStart"/>
      <w:r w:rsidRPr="00B1768C">
        <w:rPr>
          <w:rFonts w:ascii="Avenir Next" w:hAnsi="Avenir Next" w:cs="Arial"/>
          <w:sz w:val="22"/>
          <w:szCs w:val="22"/>
          <w:lang w:val="en-GB"/>
        </w:rPr>
        <w:t>Ch</w:t>
      </w:r>
      <w:proofErr w:type="spellEnd"/>
      <w:r w:rsidRPr="00B1768C">
        <w:rPr>
          <w:rFonts w:ascii="Avenir Next" w:hAnsi="Avenir Next" w:cs="Arial"/>
          <w:sz w:val="22"/>
          <w:szCs w:val="22"/>
          <w:lang w:val="en-GB"/>
        </w:rPr>
        <w:t xml:space="preserve">) applying </w:t>
      </w:r>
      <w:r w:rsidRPr="00B1768C">
        <w:rPr>
          <w:rFonts w:ascii="Avenir Next" w:hAnsi="Avenir Next" w:cs="Arial"/>
          <w:i/>
          <w:sz w:val="22"/>
          <w:szCs w:val="22"/>
          <w:lang w:val="en-GB"/>
        </w:rPr>
        <w:t>Re Stanford International Bank Ltd</w:t>
      </w:r>
      <w:r w:rsidRPr="00B1768C">
        <w:rPr>
          <w:rFonts w:ascii="Avenir Next" w:hAnsi="Avenir Next" w:cs="Arial"/>
          <w:sz w:val="22"/>
          <w:szCs w:val="22"/>
          <w:lang w:val="en-GB"/>
        </w:rPr>
        <w:t xml:space="preserve"> [2011] </w:t>
      </w:r>
      <w:proofErr w:type="spellStart"/>
      <w:r w:rsidRPr="00B1768C">
        <w:rPr>
          <w:rFonts w:ascii="Avenir Next" w:hAnsi="Avenir Next" w:cs="Arial"/>
          <w:sz w:val="22"/>
          <w:szCs w:val="22"/>
          <w:lang w:val="en-GB"/>
        </w:rPr>
        <w:t>Ch</w:t>
      </w:r>
      <w:proofErr w:type="spellEnd"/>
      <w:r w:rsidRPr="00B1768C">
        <w:rPr>
          <w:rFonts w:ascii="Avenir Next" w:hAnsi="Avenir Next" w:cs="Arial"/>
          <w:sz w:val="22"/>
          <w:szCs w:val="22"/>
          <w:lang w:val="en-GB"/>
        </w:rPr>
        <w:t xml:space="preserve"> 33 and </w:t>
      </w:r>
      <w:r w:rsidRPr="00B1768C">
        <w:rPr>
          <w:rFonts w:ascii="Avenir Next" w:hAnsi="Avenir Next" w:cs="Arial"/>
          <w:i/>
          <w:sz w:val="22"/>
          <w:szCs w:val="22"/>
          <w:lang w:val="en-GB"/>
        </w:rPr>
        <w:t xml:space="preserve">Re </w:t>
      </w:r>
      <w:proofErr w:type="spellStart"/>
      <w:r w:rsidRPr="00B1768C">
        <w:rPr>
          <w:rFonts w:ascii="Avenir Next" w:hAnsi="Avenir Next" w:cs="Arial"/>
          <w:i/>
          <w:sz w:val="22"/>
          <w:szCs w:val="22"/>
          <w:lang w:val="en-GB"/>
        </w:rPr>
        <w:t>Videology</w:t>
      </w:r>
      <w:proofErr w:type="spellEnd"/>
      <w:r w:rsidRPr="00B1768C">
        <w:rPr>
          <w:rFonts w:ascii="Avenir Next" w:hAnsi="Avenir Next" w:cs="Arial"/>
          <w:i/>
          <w:sz w:val="22"/>
          <w:szCs w:val="22"/>
          <w:lang w:val="en-GB"/>
        </w:rPr>
        <w:t xml:space="preserve"> Ltd </w:t>
      </w:r>
      <w:r w:rsidRPr="00B1768C">
        <w:rPr>
          <w:rFonts w:ascii="Avenir Next" w:hAnsi="Avenir Next" w:cs="Arial"/>
          <w:sz w:val="22"/>
          <w:szCs w:val="22"/>
          <w:lang w:val="en-GB"/>
        </w:rPr>
        <w:t xml:space="preserve">[2018] BPIR 1795 </w:t>
      </w:r>
      <w:r w:rsidR="000628B8" w:rsidRPr="00B1768C">
        <w:rPr>
          <w:rFonts w:ascii="Avenir Next" w:hAnsi="Avenir Next" w:cs="Arial"/>
          <w:sz w:val="22"/>
          <w:szCs w:val="22"/>
          <w:lang w:val="en-GB"/>
        </w:rPr>
        <w:t xml:space="preserve">and noting that it was bound to follow </w:t>
      </w:r>
      <w:r w:rsidR="000628B8" w:rsidRPr="00B1768C">
        <w:rPr>
          <w:rFonts w:ascii="Avenir Next" w:hAnsi="Avenir Next" w:cs="Arial"/>
          <w:i/>
          <w:sz w:val="22"/>
          <w:szCs w:val="22"/>
          <w:lang w:val="en-GB"/>
        </w:rPr>
        <w:t>Stanford</w:t>
      </w:r>
      <w:r w:rsidR="000628B8" w:rsidRPr="00B1768C">
        <w:rPr>
          <w:rFonts w:ascii="Avenir Next" w:hAnsi="Avenir Next" w:cs="Arial"/>
          <w:sz w:val="22"/>
          <w:szCs w:val="22"/>
          <w:lang w:val="en-GB"/>
        </w:rPr>
        <w:t xml:space="preserve"> given it was a Court of Appeal decision.  </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B057DEC" w14:textId="77777777" w:rsidR="009717E7" w:rsidRDefault="00436884" w:rsidP="009717E7">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r w:rsidR="0002216C">
        <w:rPr>
          <w:rFonts w:ascii="Avenir Next" w:hAnsi="Avenir Next" w:cs="Arial"/>
          <w:sz w:val="22"/>
          <w:szCs w:val="22"/>
          <w:lang w:val="en-GB"/>
        </w:rPr>
        <w:t xml:space="preserve"> </w:t>
      </w:r>
    </w:p>
    <w:p w14:paraId="169ACEE9" w14:textId="77777777" w:rsidR="009717E7" w:rsidRDefault="009717E7" w:rsidP="009717E7">
      <w:pPr>
        <w:ind w:left="1440" w:hanging="1440"/>
        <w:jc w:val="both"/>
        <w:rPr>
          <w:rFonts w:ascii="Avenir Next" w:hAnsi="Avenir Next" w:cs="Arial"/>
          <w:sz w:val="22"/>
          <w:szCs w:val="22"/>
          <w:lang w:val="en-GB"/>
        </w:rPr>
      </w:pPr>
    </w:p>
    <w:p w14:paraId="645664AC" w14:textId="459C8F8E" w:rsidR="00436884" w:rsidRDefault="0002216C" w:rsidP="009717E7">
      <w:pPr>
        <w:jc w:val="both"/>
        <w:rPr>
          <w:rFonts w:ascii="Avenir Next" w:hAnsi="Avenir Next" w:cs="Arial"/>
          <w:sz w:val="22"/>
          <w:szCs w:val="22"/>
          <w:lang w:val="en-GB"/>
        </w:rPr>
      </w:pPr>
      <w:r>
        <w:rPr>
          <w:rFonts w:ascii="Avenir Next" w:hAnsi="Avenir Next" w:cs="Arial"/>
          <w:sz w:val="22"/>
          <w:szCs w:val="22"/>
          <w:lang w:val="en-GB"/>
        </w:rPr>
        <w:t xml:space="preserve">Article 14. </w:t>
      </w:r>
      <w:r w:rsidR="009717E7" w:rsidRPr="009717E7">
        <w:rPr>
          <w:rFonts w:ascii="Avenir Next" w:hAnsi="Avenir Next" w:cs="Arial"/>
          <w:i/>
          <w:sz w:val="22"/>
          <w:szCs w:val="22"/>
          <w:lang w:val="en-GB"/>
        </w:rPr>
        <w:t>Notification to foreign creditors of a proceeding under</w:t>
      </w:r>
      <w:r w:rsidR="009717E7">
        <w:rPr>
          <w:rFonts w:ascii="Avenir Next" w:hAnsi="Avenir Next" w:cs="Arial"/>
          <w:sz w:val="22"/>
          <w:szCs w:val="22"/>
          <w:lang w:val="en-GB"/>
        </w:rPr>
        <w:t xml:space="preserve"> </w:t>
      </w:r>
      <w:r w:rsidR="009717E7" w:rsidRPr="009717E7">
        <w:rPr>
          <w:rFonts w:ascii="Avenir Next" w:hAnsi="Avenir Next" w:cs="Arial"/>
          <w:sz w:val="22"/>
          <w:szCs w:val="22"/>
          <w:lang w:val="en-GB"/>
        </w:rPr>
        <w:t>[identify laws of the enacting State relating to insolvency]</w:t>
      </w:r>
      <w:r w:rsidR="009717E7">
        <w:rPr>
          <w:rFonts w:ascii="Avenir Next" w:hAnsi="Avenir Next" w:cs="Arial"/>
          <w:sz w:val="22"/>
          <w:szCs w:val="22"/>
          <w:lang w:val="en-GB"/>
        </w:rPr>
        <w:t xml:space="preserve">. </w:t>
      </w:r>
    </w:p>
    <w:p w14:paraId="223C055E" w14:textId="70D34009" w:rsidR="009717E7" w:rsidRPr="00E2622D" w:rsidRDefault="009717E7" w:rsidP="009717E7">
      <w:pPr>
        <w:jc w:val="both"/>
        <w:rPr>
          <w:rFonts w:ascii="Avenir Next" w:hAnsi="Avenir Next" w:cs="Arial"/>
          <w:sz w:val="22"/>
          <w:szCs w:val="22"/>
          <w:lang w:val="en-GB"/>
        </w:rPr>
      </w:pPr>
      <w:r>
        <w:rPr>
          <w:rFonts w:ascii="Avenir Next" w:hAnsi="Avenir Next" w:cs="Arial"/>
          <w:sz w:val="22"/>
          <w:szCs w:val="22"/>
          <w:lang w:val="en-GB"/>
        </w:rPr>
        <w:lastRenderedPageBreak/>
        <w:t>This provision deals with the timely notice to be given to creditors both within the enacting state and to foreign creditors. The provision also provides that foreign creditors should be notified individually unless the court determines that some other form of notifi</w:t>
      </w:r>
      <w:r w:rsidR="00C92920">
        <w:rPr>
          <w:rFonts w:ascii="Avenir Next" w:hAnsi="Avenir Next" w:cs="Arial"/>
          <w:sz w:val="22"/>
          <w:szCs w:val="22"/>
          <w:lang w:val="en-GB"/>
        </w:rPr>
        <w:t xml:space="preserve">cation may be more appropriate but that no letters </w:t>
      </w:r>
      <w:proofErr w:type="spellStart"/>
      <w:r w:rsidR="00C92920">
        <w:rPr>
          <w:rFonts w:ascii="Avenir Next" w:hAnsi="Avenir Next" w:cs="Arial"/>
          <w:sz w:val="22"/>
          <w:szCs w:val="22"/>
          <w:lang w:val="en-GB"/>
        </w:rPr>
        <w:t>rogatory</w:t>
      </w:r>
      <w:proofErr w:type="spellEnd"/>
      <w:r w:rsidR="00C92920">
        <w:rPr>
          <w:rFonts w:ascii="Avenir Next" w:hAnsi="Avenir Next" w:cs="Arial"/>
          <w:sz w:val="22"/>
          <w:szCs w:val="22"/>
          <w:lang w:val="en-GB"/>
        </w:rPr>
        <w:t xml:space="preserve"> or other formality is required. The article also sets out what needs to be included in the notification. </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0ECF7398" w:rsidR="00436884" w:rsidRDefault="00436884" w:rsidP="00436884">
      <w:pPr>
        <w:ind w:left="1440" w:hanging="1440"/>
        <w:jc w:val="both"/>
        <w:rPr>
          <w:rFonts w:ascii="Avenir Next" w:hAnsi="Avenir Next" w:cs="Arial"/>
          <w:i/>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r w:rsidR="0002216C">
        <w:rPr>
          <w:rFonts w:ascii="Avenir Next" w:hAnsi="Avenir Next" w:cs="Arial"/>
          <w:i/>
          <w:sz w:val="22"/>
          <w:szCs w:val="22"/>
          <w:lang w:val="en-GB"/>
        </w:rPr>
        <w:t xml:space="preserve"> </w:t>
      </w:r>
    </w:p>
    <w:p w14:paraId="47924A63" w14:textId="29475A0C" w:rsidR="00C92920" w:rsidRDefault="00C92920" w:rsidP="00436884">
      <w:pPr>
        <w:ind w:left="1440" w:hanging="1440"/>
        <w:jc w:val="both"/>
        <w:rPr>
          <w:rFonts w:ascii="Avenir Next" w:hAnsi="Avenir Next" w:cs="Arial"/>
          <w:sz w:val="22"/>
          <w:szCs w:val="22"/>
          <w:lang w:val="en-GB"/>
        </w:rPr>
      </w:pPr>
    </w:p>
    <w:p w14:paraId="4B6A1051" w14:textId="77777777" w:rsidR="00C92920" w:rsidRDefault="00C92920" w:rsidP="00436884">
      <w:pPr>
        <w:ind w:left="1440" w:hanging="1440"/>
        <w:jc w:val="both"/>
        <w:rPr>
          <w:rFonts w:ascii="Avenir Next" w:hAnsi="Avenir Next" w:cs="Arial"/>
          <w:i/>
          <w:sz w:val="22"/>
          <w:szCs w:val="22"/>
          <w:lang w:val="en-GB"/>
        </w:rPr>
      </w:pPr>
      <w:r>
        <w:rPr>
          <w:rFonts w:ascii="Avenir Next" w:hAnsi="Avenir Next" w:cs="Arial"/>
          <w:sz w:val="22"/>
          <w:szCs w:val="22"/>
          <w:lang w:val="en-GB"/>
        </w:rPr>
        <w:t xml:space="preserve">Article 10 </w:t>
      </w:r>
      <w:r w:rsidRPr="00C92920">
        <w:rPr>
          <w:rFonts w:ascii="Avenir Next" w:hAnsi="Avenir Next" w:cs="Arial"/>
          <w:i/>
          <w:sz w:val="22"/>
          <w:szCs w:val="22"/>
          <w:lang w:val="en-GB"/>
        </w:rPr>
        <w:t>Limited Jurisdiction</w:t>
      </w:r>
      <w:r>
        <w:rPr>
          <w:rFonts w:ascii="Avenir Next" w:hAnsi="Avenir Next" w:cs="Arial"/>
          <w:i/>
          <w:sz w:val="22"/>
          <w:szCs w:val="22"/>
          <w:lang w:val="en-GB"/>
        </w:rPr>
        <w:t xml:space="preserve">. </w:t>
      </w:r>
    </w:p>
    <w:p w14:paraId="1C7430A0" w14:textId="77777777" w:rsidR="00C92920" w:rsidRDefault="00C92920" w:rsidP="00436884">
      <w:pPr>
        <w:ind w:left="1440" w:hanging="1440"/>
        <w:jc w:val="both"/>
        <w:rPr>
          <w:rFonts w:ascii="Avenir Next" w:hAnsi="Avenir Next" w:cs="Arial"/>
          <w:sz w:val="22"/>
          <w:szCs w:val="22"/>
          <w:lang w:val="en-GB"/>
        </w:rPr>
      </w:pPr>
    </w:p>
    <w:p w14:paraId="31564D56" w14:textId="4706B79E" w:rsidR="00C92920" w:rsidRPr="00E2622D" w:rsidRDefault="00C92920" w:rsidP="00C92920">
      <w:pPr>
        <w:jc w:val="both"/>
        <w:rPr>
          <w:rFonts w:ascii="Avenir Next" w:hAnsi="Avenir Next" w:cs="Arial"/>
          <w:sz w:val="22"/>
          <w:szCs w:val="22"/>
          <w:lang w:val="en-GB"/>
        </w:rPr>
      </w:pPr>
      <w:r>
        <w:rPr>
          <w:rFonts w:ascii="Avenir Next" w:hAnsi="Avenir Next" w:cs="Arial"/>
          <w:sz w:val="22"/>
          <w:szCs w:val="22"/>
          <w:lang w:val="en-GB"/>
        </w:rPr>
        <w:t xml:space="preserve">This provision provides that the court in the enacting state does not assume jurisdiction over the foreign representative or the foreign assets on the sole ground that a recognition application for foreign proceedings has been made.  This provision is intended to deal with concerns that the making of a recognition application under the Model Law could trigger an all-embracing jurisdiction over the foreign insolvency. The Digest of Case Law confirms that </w:t>
      </w:r>
      <w:r w:rsidR="004A38B2">
        <w:rPr>
          <w:rFonts w:ascii="Avenir Next" w:hAnsi="Avenir Next" w:cs="Arial"/>
          <w:sz w:val="22"/>
          <w:szCs w:val="22"/>
          <w:lang w:val="en-GB"/>
        </w:rPr>
        <w:t xml:space="preserve">the limitation is not absolute and would not for example affect other possible grounds for jurisdiction which arise over the foreign representative or the debtor's affairs and assets in the enacting state. </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67A9035" w:rsidR="00436884"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56FB4880" w14:textId="5DF666F7" w:rsidR="004A38B2" w:rsidRDefault="004A38B2" w:rsidP="00436884">
      <w:pPr>
        <w:ind w:left="1440" w:hanging="1440"/>
        <w:jc w:val="both"/>
        <w:rPr>
          <w:rFonts w:ascii="Avenir Next" w:hAnsi="Avenir Next" w:cs="Arial"/>
          <w:iCs/>
          <w:sz w:val="22"/>
          <w:szCs w:val="22"/>
          <w:lang w:val="en-GB"/>
        </w:rPr>
      </w:pPr>
    </w:p>
    <w:p w14:paraId="50D90CFD" w14:textId="659B49CB" w:rsidR="004A38B2" w:rsidRPr="00E2622D" w:rsidRDefault="004A38B2" w:rsidP="004A38B2">
      <w:pPr>
        <w:jc w:val="both"/>
        <w:rPr>
          <w:rFonts w:ascii="Avenir Next" w:hAnsi="Avenir Next" w:cs="Arial"/>
          <w:iCs/>
          <w:sz w:val="22"/>
          <w:szCs w:val="22"/>
          <w:lang w:val="en-GB"/>
        </w:rPr>
      </w:pPr>
      <w:r>
        <w:rPr>
          <w:rFonts w:ascii="Avenir Next" w:hAnsi="Avenir Next" w:cs="Arial"/>
          <w:iCs/>
          <w:sz w:val="22"/>
          <w:szCs w:val="22"/>
          <w:lang w:val="en-GB"/>
        </w:rPr>
        <w:t xml:space="preserve">This question unfortunately isn't very clear as there are arguably two Articles which provide a rebuttable presumption in connection with an undefined key concept under the Model Law. </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02B8F61B" w:rsidR="00867A8F" w:rsidRDefault="004A38B2" w:rsidP="004A38B2">
      <w:pPr>
        <w:jc w:val="both"/>
        <w:rPr>
          <w:rFonts w:ascii="Avenir Next" w:hAnsi="Avenir Next" w:cs="Arial"/>
          <w:i/>
          <w:sz w:val="22"/>
          <w:szCs w:val="22"/>
          <w:lang w:val="en-GB"/>
        </w:rPr>
      </w:pPr>
      <w:r w:rsidRPr="004A38B2">
        <w:rPr>
          <w:rFonts w:ascii="Avenir Next" w:hAnsi="Avenir Next" w:cs="Arial"/>
          <w:sz w:val="22"/>
          <w:szCs w:val="22"/>
          <w:lang w:val="en-GB"/>
        </w:rPr>
        <w:t>Article 16</w:t>
      </w:r>
      <w:r>
        <w:rPr>
          <w:rFonts w:ascii="Avenir Next" w:hAnsi="Avenir Next" w:cs="Arial"/>
          <w:sz w:val="22"/>
          <w:szCs w:val="22"/>
          <w:lang w:val="en-GB"/>
        </w:rPr>
        <w:t>(3)</w:t>
      </w:r>
      <w:r w:rsidRPr="004A38B2">
        <w:rPr>
          <w:rFonts w:ascii="Avenir Next" w:hAnsi="Avenir Next" w:cs="Arial"/>
          <w:sz w:val="22"/>
          <w:szCs w:val="22"/>
          <w:lang w:val="en-GB"/>
        </w:rPr>
        <w:t xml:space="preserve"> </w:t>
      </w:r>
      <w:r w:rsidRPr="004A38B2">
        <w:rPr>
          <w:rFonts w:ascii="Avenir Next" w:hAnsi="Avenir Next" w:cs="Arial"/>
          <w:i/>
          <w:sz w:val="22"/>
          <w:szCs w:val="22"/>
          <w:lang w:val="en-GB"/>
        </w:rPr>
        <w:t>Presumptions concerning recognition</w:t>
      </w:r>
    </w:p>
    <w:p w14:paraId="0CC62169" w14:textId="5694E993" w:rsidR="004A38B2" w:rsidRDefault="004A38B2" w:rsidP="004A38B2">
      <w:pPr>
        <w:jc w:val="both"/>
        <w:rPr>
          <w:rFonts w:ascii="Avenir Next" w:hAnsi="Avenir Next" w:cs="Arial"/>
          <w:sz w:val="22"/>
          <w:szCs w:val="22"/>
          <w:lang w:val="en-GB"/>
        </w:rPr>
      </w:pPr>
    </w:p>
    <w:p w14:paraId="30E2E810" w14:textId="77777777" w:rsidR="006D3A71" w:rsidRDefault="004A38B2" w:rsidP="004A38B2">
      <w:pPr>
        <w:jc w:val="both"/>
        <w:rPr>
          <w:rFonts w:ascii="Avenir Next" w:hAnsi="Avenir Next" w:cs="Arial"/>
          <w:sz w:val="22"/>
          <w:szCs w:val="22"/>
          <w:lang w:val="en-GB"/>
        </w:rPr>
      </w:pPr>
      <w:r>
        <w:rPr>
          <w:rFonts w:ascii="Avenir Next" w:hAnsi="Avenir Next" w:cs="Arial"/>
          <w:sz w:val="22"/>
          <w:szCs w:val="22"/>
          <w:lang w:val="en-GB"/>
        </w:rPr>
        <w:t>The concept, Centre of Main Interest ("</w:t>
      </w:r>
      <w:r w:rsidRPr="004A38B2">
        <w:rPr>
          <w:rFonts w:ascii="Avenir Next" w:hAnsi="Avenir Next" w:cs="Arial"/>
          <w:b/>
          <w:sz w:val="22"/>
          <w:szCs w:val="22"/>
          <w:lang w:val="en-GB"/>
        </w:rPr>
        <w:t>COMI</w:t>
      </w:r>
      <w:r>
        <w:rPr>
          <w:rFonts w:ascii="Avenir Next" w:hAnsi="Avenir Next" w:cs="Arial"/>
          <w:sz w:val="22"/>
          <w:szCs w:val="22"/>
          <w:lang w:val="en-GB"/>
        </w:rPr>
        <w:t xml:space="preserve">"), is not defined in the Model Law however Article 16(3) provides a rebuttable presumption that in the absence of evidence to the contrary, the debtor's registered office or habitual residence in the case of an individual id presumed to be the debtor's COMI. </w:t>
      </w:r>
    </w:p>
    <w:p w14:paraId="0E942359" w14:textId="77777777" w:rsidR="006D3A71" w:rsidRDefault="006D3A71" w:rsidP="004A38B2">
      <w:pPr>
        <w:jc w:val="both"/>
        <w:rPr>
          <w:rFonts w:ascii="Avenir Next" w:hAnsi="Avenir Next" w:cs="Arial"/>
          <w:sz w:val="22"/>
          <w:szCs w:val="22"/>
          <w:lang w:val="en-GB"/>
        </w:rPr>
      </w:pPr>
    </w:p>
    <w:p w14:paraId="29D1942E" w14:textId="25757F99" w:rsidR="004A38B2" w:rsidRPr="006D3A71" w:rsidRDefault="006D3A71" w:rsidP="006D3A71">
      <w:pPr>
        <w:jc w:val="both"/>
        <w:rPr>
          <w:rFonts w:ascii="Avenir Next" w:hAnsi="Avenir Next" w:cs="Arial"/>
          <w:sz w:val="22"/>
          <w:szCs w:val="22"/>
          <w:lang w:val="en-GB"/>
        </w:rPr>
      </w:pPr>
      <w:r>
        <w:rPr>
          <w:rFonts w:ascii="Avenir Next" w:hAnsi="Avenir Next" w:cs="Arial"/>
          <w:sz w:val="22"/>
          <w:szCs w:val="22"/>
          <w:lang w:val="en-GB"/>
        </w:rPr>
        <w:t xml:space="preserve">Article 31 </w:t>
      </w:r>
      <w:r w:rsidRPr="006D3A71">
        <w:rPr>
          <w:rFonts w:ascii="Avenir Next" w:hAnsi="Avenir Next" w:cs="Arial"/>
          <w:i/>
          <w:sz w:val="22"/>
          <w:szCs w:val="22"/>
          <w:lang w:val="en-GB"/>
        </w:rPr>
        <w:t>Presumption of insolvency based on recognition of a foreign main proceeding</w:t>
      </w:r>
      <w:r w:rsidR="004A38B2" w:rsidRPr="006D3A71">
        <w:rPr>
          <w:rFonts w:ascii="Avenir Next" w:hAnsi="Avenir Next" w:cs="Arial"/>
          <w:i/>
          <w:sz w:val="22"/>
          <w:szCs w:val="22"/>
          <w:lang w:val="en-GB"/>
        </w:rPr>
        <w:t xml:space="preserve">  </w:t>
      </w:r>
    </w:p>
    <w:p w14:paraId="3A528B41" w14:textId="4BD0FE25" w:rsidR="00CB56CE" w:rsidRDefault="00CB56CE" w:rsidP="00707FC8">
      <w:pPr>
        <w:ind w:left="720" w:hanging="720"/>
        <w:jc w:val="both"/>
        <w:rPr>
          <w:rFonts w:ascii="Avenir Next" w:hAnsi="Avenir Next" w:cs="Arial"/>
          <w:sz w:val="22"/>
          <w:szCs w:val="22"/>
          <w:lang w:val="en-GB"/>
        </w:rPr>
      </w:pPr>
    </w:p>
    <w:p w14:paraId="2BB2B493" w14:textId="25939BC2" w:rsidR="006D3A71" w:rsidRDefault="006D3A71" w:rsidP="006D3A71">
      <w:pPr>
        <w:jc w:val="both"/>
        <w:rPr>
          <w:rFonts w:ascii="Avenir Next" w:hAnsi="Avenir Next" w:cs="Arial"/>
          <w:sz w:val="22"/>
          <w:szCs w:val="22"/>
          <w:lang w:val="en-GB"/>
        </w:rPr>
      </w:pPr>
      <w:r>
        <w:rPr>
          <w:rFonts w:ascii="Avenir Next" w:hAnsi="Avenir Next" w:cs="Arial"/>
          <w:sz w:val="22"/>
          <w:szCs w:val="22"/>
          <w:lang w:val="en-GB"/>
        </w:rPr>
        <w:t xml:space="preserve">Insolvency is also not defined in the Model Law. Article 31 provides that in the absence of evidence to the contrary, recognition of a foreign main proceeding is </w:t>
      </w:r>
      <w:r w:rsidR="00431E6D">
        <w:rPr>
          <w:rFonts w:ascii="Avenir Next" w:hAnsi="Avenir Next" w:cs="Arial"/>
          <w:sz w:val="22"/>
          <w:szCs w:val="22"/>
          <w:lang w:val="en-GB"/>
        </w:rPr>
        <w:t>deemed to be proof that the debtor is insolvent in the absence of evidence to the contrary.</w:t>
      </w:r>
      <w:r>
        <w:rPr>
          <w:rFonts w:ascii="Avenir Next" w:hAnsi="Avenir Next" w:cs="Arial"/>
          <w:sz w:val="22"/>
          <w:szCs w:val="22"/>
          <w:lang w:val="en-GB"/>
        </w:rPr>
        <w:t xml:space="preserve">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0232481" w14:textId="77777777" w:rsidR="00B11924" w:rsidRDefault="001B745E" w:rsidP="00B11924">
      <w:pPr>
        <w:jc w:val="both"/>
        <w:rPr>
          <w:rFonts w:ascii="Avenir Next" w:hAnsi="Avenir Next" w:cs="Arial"/>
          <w:sz w:val="22"/>
          <w:szCs w:val="22"/>
          <w:lang w:val="en-GB"/>
        </w:rPr>
      </w:pPr>
      <w:r w:rsidRPr="00B11924">
        <w:rPr>
          <w:rFonts w:ascii="Avenir Next" w:hAnsi="Avenir Next" w:cs="Arial"/>
          <w:sz w:val="22"/>
          <w:szCs w:val="22"/>
          <w:lang w:val="en-GB"/>
        </w:rPr>
        <w:t xml:space="preserve">The IBA Case at first instance dealt with, amongst other things, whether </w:t>
      </w:r>
      <w:r w:rsidR="00B11924" w:rsidRPr="00B11924">
        <w:rPr>
          <w:rFonts w:ascii="Avenir Next" w:hAnsi="Avenir Next" w:cs="Arial"/>
          <w:sz w:val="22"/>
          <w:szCs w:val="22"/>
          <w:lang w:val="en-GB"/>
        </w:rPr>
        <w:t>an indefinite moratorium</w:t>
      </w:r>
      <w:r w:rsidR="00B11924">
        <w:rPr>
          <w:rFonts w:ascii="Avenir Next" w:hAnsi="Avenir Next" w:cs="Arial"/>
          <w:sz w:val="22"/>
          <w:szCs w:val="22"/>
          <w:lang w:val="en-GB"/>
        </w:rPr>
        <w:t xml:space="preserve"> that was granted in an earlier recognition application should be continued (the "</w:t>
      </w:r>
      <w:r w:rsidR="00B11924" w:rsidRPr="00B11924">
        <w:rPr>
          <w:rFonts w:ascii="Avenir Next" w:hAnsi="Avenir Next" w:cs="Arial"/>
          <w:b/>
          <w:sz w:val="22"/>
          <w:szCs w:val="22"/>
          <w:lang w:val="en-GB"/>
        </w:rPr>
        <w:t>Moratorium Continuation Application</w:t>
      </w:r>
      <w:r w:rsidR="00B11924">
        <w:rPr>
          <w:rFonts w:ascii="Avenir Next" w:hAnsi="Avenir Next" w:cs="Arial"/>
          <w:sz w:val="22"/>
          <w:szCs w:val="22"/>
          <w:lang w:val="en-GB"/>
        </w:rPr>
        <w:t xml:space="preserve">"). The Moratorium Continuation Application was contested by two creditors who had claims against the debtor which were governed by English law and had not submitted to the insolvency proceedings in Azerbaijan such the exception in the rule in </w:t>
      </w:r>
      <w:r w:rsidR="00B11924" w:rsidRPr="00B11924">
        <w:rPr>
          <w:rFonts w:ascii="Avenir Next" w:hAnsi="Avenir Next" w:cs="Arial"/>
          <w:i/>
          <w:sz w:val="22"/>
          <w:szCs w:val="22"/>
          <w:lang w:val="en-GB"/>
        </w:rPr>
        <w:t>Gibbs</w:t>
      </w:r>
      <w:r w:rsidR="00B11924">
        <w:rPr>
          <w:rFonts w:ascii="Avenir Next" w:hAnsi="Avenir Next" w:cs="Arial"/>
          <w:sz w:val="22"/>
          <w:szCs w:val="22"/>
          <w:lang w:val="en-GB"/>
        </w:rPr>
        <w:t xml:space="preserve"> did not apply to them (the rule in </w:t>
      </w:r>
      <w:r w:rsidR="00B11924" w:rsidRPr="00B11924">
        <w:rPr>
          <w:rFonts w:ascii="Avenir Next" w:hAnsi="Avenir Next" w:cs="Arial"/>
          <w:i/>
          <w:sz w:val="22"/>
          <w:szCs w:val="22"/>
          <w:lang w:val="en-GB"/>
        </w:rPr>
        <w:t>Gibbs</w:t>
      </w:r>
      <w:r w:rsidR="00B11924">
        <w:rPr>
          <w:rFonts w:ascii="Avenir Next" w:hAnsi="Avenir Next" w:cs="Arial"/>
          <w:sz w:val="22"/>
          <w:szCs w:val="22"/>
          <w:lang w:val="en-GB"/>
        </w:rPr>
        <w:t xml:space="preserve"> means that English law governed debt cannot be discharged or compromised by a foreign insolvency proceeding).  The Moratorium Continuation Application was denied at first instance on the basis that it could not be used as a way to get around the rule in </w:t>
      </w:r>
      <w:r w:rsidR="00B11924" w:rsidRPr="00B11924">
        <w:rPr>
          <w:rFonts w:ascii="Avenir Next" w:hAnsi="Avenir Next" w:cs="Arial"/>
          <w:i/>
          <w:sz w:val="22"/>
          <w:szCs w:val="22"/>
          <w:lang w:val="en-GB"/>
        </w:rPr>
        <w:t>Gibbs</w:t>
      </w:r>
      <w:r w:rsidR="00B11924">
        <w:rPr>
          <w:rFonts w:ascii="Avenir Next" w:hAnsi="Avenir Next" w:cs="Arial"/>
          <w:sz w:val="22"/>
          <w:szCs w:val="22"/>
          <w:lang w:val="en-GB"/>
        </w:rPr>
        <w:t>.</w:t>
      </w:r>
    </w:p>
    <w:p w14:paraId="4B102338" w14:textId="77777777" w:rsidR="00B11924" w:rsidRDefault="00B11924" w:rsidP="00B11924">
      <w:pPr>
        <w:jc w:val="both"/>
        <w:rPr>
          <w:rFonts w:ascii="Avenir Next" w:hAnsi="Avenir Next" w:cs="Arial"/>
          <w:sz w:val="22"/>
          <w:szCs w:val="22"/>
          <w:lang w:val="en-GB"/>
        </w:rPr>
      </w:pPr>
    </w:p>
    <w:p w14:paraId="741D1873" w14:textId="149BEE6C" w:rsidR="00867A8F" w:rsidRDefault="00B11924" w:rsidP="00B11924">
      <w:pPr>
        <w:jc w:val="both"/>
        <w:rPr>
          <w:rFonts w:ascii="Avenir Next" w:hAnsi="Avenir Next" w:cs="Arial"/>
          <w:sz w:val="22"/>
          <w:szCs w:val="22"/>
          <w:lang w:val="en-GB"/>
        </w:rPr>
      </w:pPr>
      <w:r>
        <w:rPr>
          <w:rFonts w:ascii="Avenir Next" w:hAnsi="Avenir Next" w:cs="Arial"/>
          <w:sz w:val="22"/>
          <w:szCs w:val="22"/>
          <w:lang w:val="en-GB"/>
        </w:rPr>
        <w:lastRenderedPageBreak/>
        <w:t xml:space="preserve">The Court of Appeal upheld this decision on the basis that it wasn't strictly a question about jurisdiction but rather it was a question of whether the court </w:t>
      </w:r>
      <w:r w:rsidR="004C5E19">
        <w:rPr>
          <w:rFonts w:ascii="Avenir Next" w:hAnsi="Avenir Next" w:cs="Arial"/>
          <w:sz w:val="22"/>
          <w:szCs w:val="22"/>
          <w:lang w:val="en-GB"/>
        </w:rPr>
        <w:t xml:space="preserve">should as a matter of settled practice not exercise its power to grant the indefinite moratorium where it would (i) prevent the English law creditors from enforcing their rights in accordance with the rule in </w:t>
      </w:r>
      <w:r w:rsidR="004C5E19" w:rsidRPr="004C5E19">
        <w:rPr>
          <w:rFonts w:ascii="Avenir Next" w:hAnsi="Avenir Next" w:cs="Arial"/>
          <w:i/>
          <w:sz w:val="22"/>
          <w:szCs w:val="22"/>
          <w:lang w:val="en-GB"/>
        </w:rPr>
        <w:t>Gibbs</w:t>
      </w:r>
      <w:r w:rsidR="004C5E19">
        <w:rPr>
          <w:rFonts w:ascii="Avenir Next" w:hAnsi="Avenir Next" w:cs="Arial"/>
          <w:sz w:val="22"/>
          <w:szCs w:val="22"/>
          <w:lang w:val="en-GB"/>
        </w:rPr>
        <w:t xml:space="preserve"> and/or (ii) prolong the stay after the restructuring has come to an end.  Court of Appeal found that an English court could only properly grant the indefinite moratorium if the stay was necessary to protect the interests of the debtor's creditors and the stay was an appropriate way of achieving this protection. The Court of Appeal held that neither of these points were satisfied. </w:t>
      </w:r>
    </w:p>
    <w:p w14:paraId="2843D386" w14:textId="20B9679F" w:rsidR="004C5E19" w:rsidRDefault="004C5E19" w:rsidP="00B11924">
      <w:pPr>
        <w:jc w:val="both"/>
        <w:rPr>
          <w:rFonts w:ascii="Avenir Next" w:hAnsi="Avenir Next" w:cs="Arial"/>
          <w:sz w:val="22"/>
          <w:szCs w:val="22"/>
          <w:lang w:val="en-GB"/>
        </w:rPr>
      </w:pPr>
    </w:p>
    <w:p w14:paraId="03C909EB" w14:textId="0066954F" w:rsidR="004C5E19" w:rsidRPr="00B77352" w:rsidRDefault="004C5E19" w:rsidP="00B11924">
      <w:pPr>
        <w:jc w:val="both"/>
        <w:rPr>
          <w:rFonts w:ascii="Avenir Next" w:hAnsi="Avenir Next" w:cs="Arial"/>
          <w:color w:val="808080" w:themeColor="background1" w:themeShade="80"/>
          <w:sz w:val="22"/>
          <w:szCs w:val="22"/>
          <w:lang w:val="en-GB"/>
        </w:rPr>
      </w:pPr>
      <w:r>
        <w:rPr>
          <w:rFonts w:ascii="Avenir Next" w:hAnsi="Avenir Next" w:cs="Arial"/>
          <w:sz w:val="22"/>
          <w:szCs w:val="22"/>
          <w:lang w:val="en-GB"/>
        </w:rPr>
        <w:t>In connection with (i) the Court of Appeal concluded</w:t>
      </w:r>
      <w:r w:rsidR="00230C34">
        <w:rPr>
          <w:rFonts w:ascii="Avenir Next" w:hAnsi="Avenir Next" w:cs="Arial"/>
          <w:sz w:val="22"/>
          <w:szCs w:val="22"/>
          <w:lang w:val="en-GB"/>
        </w:rPr>
        <w:t>, amongst other things,</w:t>
      </w:r>
      <w:r>
        <w:rPr>
          <w:rFonts w:ascii="Avenir Next" w:hAnsi="Avenir Next" w:cs="Arial"/>
          <w:sz w:val="22"/>
          <w:szCs w:val="22"/>
          <w:lang w:val="en-GB"/>
        </w:rPr>
        <w:t xml:space="preserve"> that the debtor's creditors needed no further protection for the foreign proceeding to achieve its purpose.</w:t>
      </w:r>
      <w:r w:rsidR="00230C34">
        <w:rPr>
          <w:rFonts w:ascii="Avenir Next" w:hAnsi="Avenir Next" w:cs="Arial"/>
          <w:sz w:val="22"/>
          <w:szCs w:val="22"/>
          <w:lang w:val="en-GB"/>
        </w:rPr>
        <w:t xml:space="preserve"> In connection with (ii) the Court of Appeal thought that after the end of the foreign proceeding, there is no scope for further orders in support of the foreign proceedings and that any relief granted under the Model Law should terminate. </w:t>
      </w:r>
      <w:r>
        <w:rPr>
          <w:rFonts w:ascii="Avenir Next" w:hAnsi="Avenir Next" w:cs="Arial"/>
          <w:sz w:val="22"/>
          <w:szCs w:val="22"/>
          <w:lang w:val="en-GB"/>
        </w:rPr>
        <w:t xml:space="preserve"> </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36E2BA66" w:rsidR="0041139B" w:rsidRDefault="0041139B" w:rsidP="00707FC8">
      <w:pPr>
        <w:jc w:val="both"/>
        <w:rPr>
          <w:rFonts w:ascii="Avenir Next" w:hAnsi="Avenir Next" w:cs="Arial"/>
          <w:bCs/>
          <w:sz w:val="22"/>
          <w:szCs w:val="22"/>
          <w:lang w:val="en-GB"/>
        </w:rPr>
      </w:pPr>
    </w:p>
    <w:p w14:paraId="58ABEC97" w14:textId="369E2964" w:rsidR="006C463E" w:rsidRDefault="006C463E" w:rsidP="006C463E">
      <w:pPr>
        <w:jc w:val="both"/>
        <w:rPr>
          <w:rFonts w:ascii="Avenir Next" w:hAnsi="Avenir Next" w:cs="Arial"/>
          <w:bCs/>
          <w:sz w:val="22"/>
          <w:szCs w:val="22"/>
          <w:lang w:val="en-GB"/>
        </w:rPr>
      </w:pPr>
      <w:r>
        <w:rPr>
          <w:rFonts w:ascii="Avenir Next" w:hAnsi="Avenir Next" w:cs="Arial"/>
          <w:bCs/>
          <w:sz w:val="22"/>
          <w:szCs w:val="22"/>
          <w:lang w:val="en-GB"/>
        </w:rPr>
        <w:t xml:space="preserve">Article 20 of the Model Law provides that following recognition of a foreign main proceeding, automatic relief is granted, being (i) </w:t>
      </w:r>
      <w:r w:rsidRPr="006C463E">
        <w:rPr>
          <w:rFonts w:ascii="Avenir Next" w:hAnsi="Avenir Next" w:cs="Arial"/>
          <w:bCs/>
          <w:sz w:val="22"/>
          <w:szCs w:val="22"/>
          <w:lang w:val="en-GB"/>
        </w:rPr>
        <w:t>Commencement or continuation of individual actions or indivi</w:t>
      </w:r>
      <w:r>
        <w:rPr>
          <w:rFonts w:ascii="Avenir Next" w:hAnsi="Avenir Next" w:cs="Arial"/>
          <w:bCs/>
          <w:sz w:val="22"/>
          <w:szCs w:val="22"/>
          <w:lang w:val="en-GB"/>
        </w:rPr>
        <w:t xml:space="preserve">dual proceedings concerning the </w:t>
      </w:r>
      <w:r w:rsidRPr="006C463E">
        <w:rPr>
          <w:rFonts w:ascii="Avenir Next" w:hAnsi="Avenir Next" w:cs="Arial"/>
          <w:bCs/>
          <w:sz w:val="22"/>
          <w:szCs w:val="22"/>
          <w:lang w:val="en-GB"/>
        </w:rPr>
        <w:t>debtor’s assets, rights, obligations or liabilities is stayed</w:t>
      </w:r>
      <w:r>
        <w:rPr>
          <w:rFonts w:ascii="Avenir Next" w:hAnsi="Avenir Next" w:cs="Arial"/>
          <w:bCs/>
          <w:sz w:val="22"/>
          <w:szCs w:val="22"/>
          <w:lang w:val="en-GB"/>
        </w:rPr>
        <w:t>; (ii) execution against the debtor's assets is stayed; and (iii) t</w:t>
      </w:r>
      <w:r w:rsidRPr="006C463E">
        <w:rPr>
          <w:rFonts w:ascii="Avenir Next" w:hAnsi="Avenir Next" w:cs="Arial"/>
          <w:bCs/>
          <w:sz w:val="22"/>
          <w:szCs w:val="22"/>
          <w:lang w:val="en-GB"/>
        </w:rPr>
        <w:t>he right to transfer, encumber or otherwise dispose of any assets of the debtor is suspended</w:t>
      </w:r>
      <w:r>
        <w:rPr>
          <w:rFonts w:ascii="Avenir Next" w:hAnsi="Avenir Next" w:cs="Arial"/>
          <w:bCs/>
          <w:sz w:val="22"/>
          <w:szCs w:val="22"/>
          <w:lang w:val="en-GB"/>
        </w:rPr>
        <w:t>. It is also granted the discretionary power to grant appropriate relief upon the request of the foreign representative where necessary to protect the debtor's assets or the interests of its creditors over and above the automatic relief granted by Articles 20, for example, the taking of evidence; extending any interim relief; and granting any additional relief that may be available to a domestic officeholder.</w:t>
      </w:r>
    </w:p>
    <w:p w14:paraId="6CA6AF67" w14:textId="2830E42A" w:rsidR="006C463E" w:rsidRDefault="006C463E" w:rsidP="006C463E">
      <w:pPr>
        <w:jc w:val="both"/>
        <w:rPr>
          <w:rFonts w:ascii="Avenir Next" w:hAnsi="Avenir Next" w:cs="Arial"/>
          <w:bCs/>
          <w:sz w:val="22"/>
          <w:szCs w:val="22"/>
          <w:lang w:val="en-GB"/>
        </w:rPr>
      </w:pPr>
    </w:p>
    <w:p w14:paraId="76ADE0AB" w14:textId="1B0E35F7" w:rsidR="006C463E" w:rsidRDefault="006C463E" w:rsidP="006C463E">
      <w:pPr>
        <w:jc w:val="both"/>
        <w:rPr>
          <w:rFonts w:ascii="Avenir Next" w:hAnsi="Avenir Next" w:cs="Arial"/>
          <w:bCs/>
          <w:sz w:val="22"/>
          <w:szCs w:val="22"/>
          <w:lang w:val="en-GB"/>
        </w:rPr>
      </w:pPr>
      <w:r>
        <w:rPr>
          <w:rFonts w:ascii="Avenir Next" w:hAnsi="Avenir Next" w:cs="Arial"/>
          <w:bCs/>
          <w:sz w:val="22"/>
          <w:szCs w:val="22"/>
          <w:lang w:val="en-GB"/>
        </w:rPr>
        <w:t xml:space="preserve">Pursuant to Article 18, the foreign representative comes under a duty to keep the court of the enacting State informed of (i) any substantial change in the status of the recognised foreign </w:t>
      </w:r>
      <w:r w:rsidR="00054AA5">
        <w:rPr>
          <w:rFonts w:ascii="Avenir Next" w:hAnsi="Avenir Next" w:cs="Arial"/>
          <w:bCs/>
          <w:sz w:val="22"/>
          <w:szCs w:val="22"/>
          <w:lang w:val="en-GB"/>
        </w:rPr>
        <w:t xml:space="preserve">proceeding or representative's </w:t>
      </w:r>
      <w:r>
        <w:rPr>
          <w:rFonts w:ascii="Avenir Next" w:hAnsi="Avenir Next" w:cs="Arial"/>
          <w:bCs/>
          <w:sz w:val="22"/>
          <w:szCs w:val="22"/>
          <w:lang w:val="en-GB"/>
        </w:rPr>
        <w:t>appointment</w:t>
      </w:r>
      <w:r w:rsidR="00054AA5">
        <w:rPr>
          <w:rFonts w:ascii="Avenir Next" w:hAnsi="Avenir Next" w:cs="Arial"/>
          <w:bCs/>
          <w:sz w:val="22"/>
          <w:szCs w:val="22"/>
          <w:lang w:val="en-GB"/>
        </w:rPr>
        <w:t xml:space="preserve">; and (ii) any other foreign proceeding regarding the same debtor that comes to the attention of the foreign representative. </w:t>
      </w:r>
      <w:r>
        <w:rPr>
          <w:rFonts w:ascii="Avenir Next" w:hAnsi="Avenir Next" w:cs="Arial"/>
          <w:bCs/>
          <w:sz w:val="22"/>
          <w:szCs w:val="22"/>
          <w:lang w:val="en-GB"/>
        </w:rPr>
        <w:t xml:space="preserve"> </w:t>
      </w:r>
    </w:p>
    <w:p w14:paraId="396F3E81" w14:textId="68804129" w:rsidR="00257437" w:rsidRPr="00B1768C" w:rsidRDefault="00257437" w:rsidP="00707FC8">
      <w:pPr>
        <w:jc w:val="both"/>
        <w:rPr>
          <w:rFonts w:ascii="Avenir Next" w:hAnsi="Avenir Next" w:cs="Arial"/>
          <w:bCs/>
          <w:sz w:val="22"/>
          <w:szCs w:val="22"/>
          <w:lang w:val="en-GB"/>
        </w:rPr>
      </w:pPr>
    </w:p>
    <w:p w14:paraId="1D00555F" w14:textId="77777777" w:rsidR="006C463E" w:rsidRPr="00E2622D" w:rsidRDefault="006C463E"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3F31FEAA" w:rsidR="00E27E3C"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7C039672" w14:textId="5A56A06A" w:rsidR="00054AA5" w:rsidRDefault="00054AA5" w:rsidP="00E27E3C">
      <w:pPr>
        <w:jc w:val="both"/>
        <w:rPr>
          <w:rFonts w:ascii="Avenir Next" w:hAnsi="Avenir Next" w:cs="Arial"/>
          <w:sz w:val="22"/>
          <w:szCs w:val="22"/>
          <w:lang w:val="en-GB"/>
        </w:rPr>
      </w:pPr>
    </w:p>
    <w:p w14:paraId="652F8903" w14:textId="77777777" w:rsidR="00FC366D" w:rsidRDefault="00054AA5" w:rsidP="00E27E3C">
      <w:pPr>
        <w:jc w:val="both"/>
        <w:rPr>
          <w:rFonts w:ascii="Avenir Next" w:hAnsi="Avenir Next" w:cs="Arial"/>
          <w:sz w:val="22"/>
          <w:szCs w:val="22"/>
          <w:lang w:val="en-GB"/>
        </w:rPr>
      </w:pPr>
      <w:r>
        <w:rPr>
          <w:rFonts w:ascii="Avenir Next" w:hAnsi="Avenir Next" w:cs="Arial"/>
          <w:sz w:val="22"/>
          <w:szCs w:val="22"/>
          <w:lang w:val="en-GB"/>
        </w:rPr>
        <w:t xml:space="preserve">The objective behind the Model Law's provisions dealing with access are, in large part, to save time and expense which in turn can avoid value destruction and can in some instances create value.  A foreign representative for example has direct access to the courts of an enacting State, meaning that no recognition application is required before that representative has standing to access the courts. Such access does not vest the foreign representative with any other powers (Article 9). A foreign representative also has direct access to the courts of an enacting State (without the need for recognition) to commence a domestic insolvency </w:t>
      </w:r>
      <w:r w:rsidR="00FC366D">
        <w:rPr>
          <w:rFonts w:ascii="Avenir Next" w:hAnsi="Avenir Next" w:cs="Arial"/>
          <w:sz w:val="22"/>
          <w:szCs w:val="22"/>
          <w:lang w:val="en-GB"/>
        </w:rPr>
        <w:t xml:space="preserve">if the conditions for commencing such proceedings are met (Article 11). </w:t>
      </w:r>
      <w:r>
        <w:rPr>
          <w:rFonts w:ascii="Avenir Next" w:hAnsi="Avenir Next" w:cs="Arial"/>
          <w:sz w:val="22"/>
          <w:szCs w:val="22"/>
          <w:lang w:val="en-GB"/>
        </w:rPr>
        <w:t xml:space="preserve"> </w:t>
      </w:r>
      <w:r w:rsidR="00FC366D">
        <w:rPr>
          <w:rFonts w:ascii="Avenir Next" w:hAnsi="Avenir Next" w:cs="Arial"/>
          <w:sz w:val="22"/>
          <w:szCs w:val="22"/>
          <w:lang w:val="en-GB"/>
        </w:rPr>
        <w:t>Article 12 gives a foreign representative the right to participate in domestic insolvency proceedings after recognition and may, for example, petition for the realisation or distribution of the debtor's assets.</w:t>
      </w:r>
    </w:p>
    <w:p w14:paraId="1932E9ED" w14:textId="77777777" w:rsidR="00FC366D" w:rsidRDefault="00FC366D" w:rsidP="00E27E3C">
      <w:pPr>
        <w:jc w:val="both"/>
        <w:rPr>
          <w:rFonts w:ascii="Avenir Next" w:hAnsi="Avenir Next" w:cs="Arial"/>
          <w:sz w:val="22"/>
          <w:szCs w:val="22"/>
          <w:lang w:val="en-GB"/>
        </w:rPr>
      </w:pPr>
    </w:p>
    <w:p w14:paraId="4854EB55" w14:textId="63A4D2C0" w:rsidR="00054AA5" w:rsidRPr="00E2622D" w:rsidRDefault="00FC366D" w:rsidP="00E27E3C">
      <w:pPr>
        <w:jc w:val="both"/>
        <w:rPr>
          <w:rFonts w:ascii="Avenir Next" w:hAnsi="Avenir Next" w:cs="Arial"/>
          <w:sz w:val="22"/>
          <w:szCs w:val="22"/>
          <w:lang w:val="en-GB"/>
        </w:rPr>
      </w:pPr>
      <w:r>
        <w:rPr>
          <w:rFonts w:ascii="Avenir Next" w:hAnsi="Avenir Next" w:cs="Arial"/>
          <w:sz w:val="22"/>
          <w:szCs w:val="22"/>
          <w:lang w:val="en-GB"/>
        </w:rPr>
        <w:t xml:space="preserve">The foreign representative will be given comfort by Article 10 that the courts of the enacting State will not </w:t>
      </w:r>
      <w:proofErr w:type="spellStart"/>
      <w:r w:rsidR="00935BA6">
        <w:rPr>
          <w:rFonts w:ascii="Avenir Next" w:hAnsi="Avenir Next" w:cs="Arial"/>
          <w:sz w:val="22"/>
          <w:szCs w:val="22"/>
          <w:lang w:val="en-GB"/>
        </w:rPr>
        <w:t>seise</w:t>
      </w:r>
      <w:proofErr w:type="spellEnd"/>
      <w:r w:rsidR="00935BA6">
        <w:rPr>
          <w:rFonts w:ascii="Avenir Next" w:hAnsi="Avenir Next" w:cs="Arial"/>
          <w:sz w:val="22"/>
          <w:szCs w:val="22"/>
          <w:lang w:val="en-GB"/>
        </w:rPr>
        <w:t xml:space="preserve"> jurisdiction over the assets of the debtor simply because the foreign representative has made an application in the courts of the enacting State. They will also be able to give comfort to foreign creditors that they will have the same rights regarding the commencement of and participation in domestic proceedings involving the debtor as creditors domiciled in the enacting State. Further, the foreign creditor's ranking will not be effected except that a foreign creditor will not be given a lower priority only because it is a foreign creditor (Article 13).  </w:t>
      </w:r>
      <w:r>
        <w:rPr>
          <w:rFonts w:ascii="Avenir Next" w:hAnsi="Avenir Next" w:cs="Arial"/>
          <w:sz w:val="22"/>
          <w:szCs w:val="22"/>
          <w:lang w:val="en-GB"/>
        </w:rPr>
        <w:t xml:space="preserve"> </w:t>
      </w:r>
      <w:r w:rsidR="00054AA5">
        <w:rPr>
          <w:rFonts w:ascii="Avenir Next" w:hAnsi="Avenir Next" w:cs="Arial"/>
          <w:sz w:val="22"/>
          <w:szCs w:val="22"/>
          <w:lang w:val="en-GB"/>
        </w:rPr>
        <w:t xml:space="preserve">  </w:t>
      </w:r>
    </w:p>
    <w:p w14:paraId="318A14AF" w14:textId="77777777" w:rsidR="00C550C8" w:rsidRPr="00E2622D" w:rsidRDefault="00C550C8" w:rsidP="00707FC8">
      <w:pPr>
        <w:jc w:val="both"/>
        <w:rPr>
          <w:rFonts w:ascii="Avenir Next" w:hAnsi="Avenir Next" w:cs="Arial"/>
          <w:sz w:val="22"/>
          <w:szCs w:val="22"/>
          <w:lang w:val="en-GB"/>
        </w:rPr>
      </w:pPr>
    </w:p>
    <w:p w14:paraId="08475351" w14:textId="0004DA11" w:rsidR="00867A8F" w:rsidRDefault="00935BA6" w:rsidP="00935BA6">
      <w:pPr>
        <w:jc w:val="both"/>
        <w:rPr>
          <w:rFonts w:ascii="Avenir Next" w:hAnsi="Avenir Next" w:cs="Arial"/>
          <w:sz w:val="22"/>
          <w:szCs w:val="22"/>
          <w:lang w:val="en-GB"/>
        </w:rPr>
      </w:pPr>
      <w:r w:rsidRPr="00935BA6">
        <w:rPr>
          <w:rFonts w:ascii="Avenir Next" w:hAnsi="Avenir Next" w:cs="Arial"/>
          <w:sz w:val="22"/>
          <w:szCs w:val="22"/>
          <w:lang w:val="en-GB"/>
        </w:rPr>
        <w:t xml:space="preserve">As to cooperation between courts, the Model Law </w:t>
      </w:r>
      <w:r w:rsidR="00C4415F">
        <w:rPr>
          <w:rFonts w:ascii="Avenir Next" w:hAnsi="Avenir Next" w:cs="Arial"/>
          <w:sz w:val="22"/>
          <w:szCs w:val="22"/>
          <w:lang w:val="en-GB"/>
        </w:rPr>
        <w:t xml:space="preserve">fills the gap where there is no legislative framework. </w:t>
      </w:r>
    </w:p>
    <w:p w14:paraId="552E6417" w14:textId="32B795DB" w:rsidR="00C4415F" w:rsidRDefault="00C4415F" w:rsidP="00935BA6">
      <w:pPr>
        <w:jc w:val="both"/>
        <w:rPr>
          <w:rFonts w:ascii="Avenir Next" w:hAnsi="Avenir Next" w:cs="Arial"/>
          <w:sz w:val="22"/>
          <w:szCs w:val="22"/>
          <w:lang w:val="en-GB"/>
        </w:rPr>
      </w:pPr>
    </w:p>
    <w:p w14:paraId="47FCB6E5" w14:textId="4A6C4F46" w:rsidR="00C4415F" w:rsidRDefault="00C4415F" w:rsidP="00935BA6">
      <w:pPr>
        <w:jc w:val="both"/>
        <w:rPr>
          <w:rFonts w:ascii="Avenir Next" w:hAnsi="Avenir Next" w:cs="Arial"/>
          <w:sz w:val="22"/>
          <w:szCs w:val="22"/>
          <w:lang w:val="en-GB"/>
        </w:rPr>
      </w:pPr>
      <w:r>
        <w:rPr>
          <w:rFonts w:ascii="Avenir Next" w:hAnsi="Avenir Next" w:cs="Arial"/>
          <w:sz w:val="22"/>
          <w:szCs w:val="22"/>
          <w:lang w:val="en-GB"/>
        </w:rPr>
        <w:t xml:space="preserve">Where foreign insolvencies fall in Article 1 of the Model Law, the courts of the enacting state must cooperate to the maximum extent possible with the foreign representative and/or the foreign courts and the courts of the enacting State are entitled to communicate directly with the foreign representatives or the foreign courts (Article 25). Cooperation in this regard can be in support of both foreign main or non-main proceedings. Further, where a domestic office holder is appointed, he/she must cooperate to the maximum extent possible with foreign courts and foreign representatives and can communicate directly with them (Article 26). Article 27 also sets out a non-exhaustive list of the types of cooperation available, including as to appointments, the communication of information, the sanction of agreements dealing with cooperation, etc.    </w:t>
      </w:r>
    </w:p>
    <w:p w14:paraId="3829FC8F" w14:textId="4CE2F94C" w:rsidR="00C4415F" w:rsidRDefault="00C4415F" w:rsidP="00935BA6">
      <w:pPr>
        <w:jc w:val="both"/>
        <w:rPr>
          <w:rFonts w:ascii="Avenir Next" w:hAnsi="Avenir Next" w:cs="Arial"/>
          <w:sz w:val="22"/>
          <w:szCs w:val="22"/>
          <w:lang w:val="en-GB"/>
        </w:rPr>
      </w:pPr>
    </w:p>
    <w:p w14:paraId="3A82C029" w14:textId="252F2F2E" w:rsidR="00C4415F" w:rsidRPr="00935BA6" w:rsidRDefault="00C4415F" w:rsidP="00935BA6">
      <w:pPr>
        <w:jc w:val="both"/>
        <w:rPr>
          <w:rFonts w:ascii="Avenir Next" w:hAnsi="Avenir Next" w:cs="Arial"/>
          <w:sz w:val="22"/>
          <w:szCs w:val="22"/>
          <w:lang w:val="en-GB"/>
        </w:rPr>
      </w:pPr>
      <w:r>
        <w:rPr>
          <w:rFonts w:ascii="Avenir Next" w:hAnsi="Avenir Next" w:cs="Arial"/>
          <w:sz w:val="22"/>
          <w:szCs w:val="22"/>
          <w:lang w:val="en-GB"/>
        </w:rPr>
        <w:t>In short, these rights will assist with an automatic right to standing, they ensure that the debtor's assets are not at risk of falling under the jurisdiction of the enacting State's courts, they protect foreign creditor's rights (including as to priority) and they streamline communications between foreign representatives and courts with the courts of the enacting State and dome</w:t>
      </w:r>
      <w:r w:rsidR="00B1768C">
        <w:rPr>
          <w:rFonts w:ascii="Avenir Next" w:hAnsi="Avenir Next" w:cs="Arial"/>
          <w:sz w:val="22"/>
          <w:szCs w:val="22"/>
          <w:lang w:val="en-GB"/>
        </w:rPr>
        <w:t xml:space="preserve">stic officeholders. </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1B084B07" w14:textId="710A2CEE" w:rsidR="00B1768C" w:rsidRDefault="00B1768C" w:rsidP="00B1768C">
      <w:pPr>
        <w:jc w:val="both"/>
        <w:rPr>
          <w:rFonts w:ascii="Avenir Next" w:hAnsi="Avenir Next" w:cs="Arial"/>
          <w:sz w:val="22"/>
          <w:szCs w:val="22"/>
          <w:lang w:val="en-GB"/>
        </w:rPr>
      </w:pPr>
      <w:r w:rsidRPr="00B1768C">
        <w:rPr>
          <w:rFonts w:ascii="Avenir Next" w:hAnsi="Avenir Next" w:cs="Arial"/>
          <w:sz w:val="22"/>
          <w:szCs w:val="22"/>
          <w:lang w:val="en-GB"/>
        </w:rPr>
        <w:lastRenderedPageBreak/>
        <w:t xml:space="preserve">Assuming the foreign proceeding falls within the definition of Article 2(a) and the foreign representative falls within the meaning of Article 2(d), he/she may apply for recognition but there are various evidential hurdles which need to be overcome to ensure a successful application. </w:t>
      </w:r>
    </w:p>
    <w:p w14:paraId="2E6A9F79" w14:textId="6C0857D4" w:rsidR="00B1768C" w:rsidRDefault="00B1768C" w:rsidP="00B1768C">
      <w:pPr>
        <w:jc w:val="both"/>
        <w:rPr>
          <w:rFonts w:ascii="Avenir Next" w:hAnsi="Avenir Next" w:cs="Arial"/>
          <w:sz w:val="22"/>
          <w:szCs w:val="22"/>
          <w:lang w:val="en-GB"/>
        </w:rPr>
      </w:pPr>
    </w:p>
    <w:p w14:paraId="171E6012" w14:textId="2C02AFC1" w:rsidR="00B1768C" w:rsidRDefault="00B1768C" w:rsidP="00B1768C">
      <w:pPr>
        <w:jc w:val="both"/>
        <w:rPr>
          <w:rFonts w:ascii="Avenir Next" w:hAnsi="Avenir Next" w:cs="Arial"/>
          <w:sz w:val="22"/>
          <w:szCs w:val="22"/>
          <w:lang w:val="en-GB"/>
        </w:rPr>
      </w:pPr>
      <w:r>
        <w:rPr>
          <w:rFonts w:ascii="Avenir Next" w:hAnsi="Avenir Next" w:cs="Arial"/>
          <w:sz w:val="22"/>
          <w:szCs w:val="22"/>
          <w:lang w:val="en-GB"/>
        </w:rPr>
        <w:t xml:space="preserve">The recognition application must include, per Article 15, (i) a </w:t>
      </w:r>
      <w:r w:rsidRPr="00B1768C">
        <w:rPr>
          <w:rFonts w:ascii="Avenir Next" w:hAnsi="Avenir Next" w:cs="Arial"/>
          <w:sz w:val="22"/>
          <w:szCs w:val="22"/>
          <w:lang w:val="en-GB"/>
        </w:rPr>
        <w:t>certified copy of the decision commencing the foreign procee</w:t>
      </w:r>
      <w:r>
        <w:rPr>
          <w:rFonts w:ascii="Avenir Next" w:hAnsi="Avenir Next" w:cs="Arial"/>
          <w:sz w:val="22"/>
          <w:szCs w:val="22"/>
          <w:lang w:val="en-GB"/>
        </w:rPr>
        <w:t xml:space="preserve">ding and appointing the foreign </w:t>
      </w:r>
      <w:r w:rsidRPr="00B1768C">
        <w:rPr>
          <w:rFonts w:ascii="Avenir Next" w:hAnsi="Avenir Next" w:cs="Arial"/>
          <w:sz w:val="22"/>
          <w:szCs w:val="22"/>
          <w:lang w:val="en-GB"/>
        </w:rPr>
        <w:t>representative; or</w:t>
      </w:r>
      <w:r>
        <w:rPr>
          <w:rFonts w:ascii="Avenir Next" w:hAnsi="Avenir Next" w:cs="Arial"/>
          <w:sz w:val="22"/>
          <w:szCs w:val="22"/>
          <w:lang w:val="en-GB"/>
        </w:rPr>
        <w:t xml:space="preserve"> (ii) a</w:t>
      </w:r>
      <w:r w:rsidRPr="00B1768C">
        <w:rPr>
          <w:rFonts w:ascii="Avenir Next" w:hAnsi="Avenir Next" w:cs="Arial"/>
          <w:sz w:val="22"/>
          <w:szCs w:val="22"/>
          <w:lang w:val="en-GB"/>
        </w:rPr>
        <w:t xml:space="preserve"> certificate from the foreign court affirming the existence of th</w:t>
      </w:r>
      <w:r>
        <w:rPr>
          <w:rFonts w:ascii="Avenir Next" w:hAnsi="Avenir Next" w:cs="Arial"/>
          <w:sz w:val="22"/>
          <w:szCs w:val="22"/>
          <w:lang w:val="en-GB"/>
        </w:rPr>
        <w:t xml:space="preserve">e foreign proceeding and of the </w:t>
      </w:r>
      <w:r w:rsidRPr="00B1768C">
        <w:rPr>
          <w:rFonts w:ascii="Avenir Next" w:hAnsi="Avenir Next" w:cs="Arial"/>
          <w:sz w:val="22"/>
          <w:szCs w:val="22"/>
          <w:lang w:val="en-GB"/>
        </w:rPr>
        <w:t>appointment of the foreign representative</w:t>
      </w:r>
      <w:r>
        <w:rPr>
          <w:rFonts w:ascii="Avenir Next" w:hAnsi="Avenir Next" w:cs="Arial"/>
          <w:sz w:val="22"/>
          <w:szCs w:val="22"/>
          <w:lang w:val="en-GB"/>
        </w:rPr>
        <w:t xml:space="preserve">. In the absence of either (i) or (ii), the application must include any other evidence acceptable </w:t>
      </w:r>
      <w:r w:rsidRPr="00B1768C">
        <w:rPr>
          <w:rFonts w:ascii="Avenir Next" w:hAnsi="Avenir Next" w:cs="Arial"/>
          <w:sz w:val="22"/>
          <w:szCs w:val="22"/>
          <w:lang w:val="en-GB"/>
        </w:rPr>
        <w:t xml:space="preserve">to the court of the </w:t>
      </w:r>
      <w:r>
        <w:rPr>
          <w:rFonts w:ascii="Avenir Next" w:hAnsi="Avenir Next" w:cs="Arial"/>
          <w:sz w:val="22"/>
          <w:szCs w:val="22"/>
          <w:lang w:val="en-GB"/>
        </w:rPr>
        <w:t xml:space="preserve">enacting State of the </w:t>
      </w:r>
      <w:r w:rsidRPr="00B1768C">
        <w:rPr>
          <w:rFonts w:ascii="Avenir Next" w:hAnsi="Avenir Next" w:cs="Arial"/>
          <w:sz w:val="22"/>
          <w:szCs w:val="22"/>
          <w:lang w:val="en-GB"/>
        </w:rPr>
        <w:t>existence of the foreign proceeding and of the appointment of the foreign representative</w:t>
      </w:r>
      <w:r>
        <w:rPr>
          <w:rFonts w:ascii="Avenir Next" w:hAnsi="Avenir Next" w:cs="Arial"/>
          <w:sz w:val="22"/>
          <w:szCs w:val="22"/>
          <w:lang w:val="en-GB"/>
        </w:rPr>
        <w:t xml:space="preserve">. The application should also include a statement confirming all foreign proceedings relating to the debtor of which the foreign representative is aware. The court of the enacting State may require translations of the evidence outlined above. </w:t>
      </w:r>
    </w:p>
    <w:p w14:paraId="7E1D58CD" w14:textId="4BA8E23C" w:rsidR="00B1768C" w:rsidRDefault="00B1768C" w:rsidP="00B1768C">
      <w:pPr>
        <w:jc w:val="both"/>
        <w:rPr>
          <w:rFonts w:ascii="Avenir Next" w:hAnsi="Avenir Next" w:cs="Arial"/>
          <w:sz w:val="22"/>
          <w:szCs w:val="22"/>
          <w:lang w:val="en-GB"/>
        </w:rPr>
      </w:pPr>
    </w:p>
    <w:p w14:paraId="28FBF3D0" w14:textId="14E50E3D" w:rsidR="00B1768C" w:rsidRDefault="00B1768C" w:rsidP="00B1768C">
      <w:pPr>
        <w:jc w:val="both"/>
        <w:rPr>
          <w:rFonts w:ascii="Avenir Next" w:hAnsi="Avenir Next" w:cs="Arial"/>
          <w:sz w:val="22"/>
          <w:szCs w:val="22"/>
          <w:lang w:val="en-GB"/>
        </w:rPr>
      </w:pPr>
      <w:r>
        <w:rPr>
          <w:rFonts w:ascii="Avenir Next" w:hAnsi="Avenir Next" w:cs="Arial"/>
          <w:sz w:val="22"/>
          <w:szCs w:val="22"/>
          <w:lang w:val="en-GB"/>
        </w:rPr>
        <w:t xml:space="preserve">The recognition decision should be given at the earliest possible time </w:t>
      </w:r>
      <w:r w:rsidR="00250DB8">
        <w:rPr>
          <w:rFonts w:ascii="Avenir Next" w:hAnsi="Avenir Next" w:cs="Arial"/>
          <w:sz w:val="22"/>
          <w:szCs w:val="22"/>
          <w:lang w:val="en-GB"/>
        </w:rPr>
        <w:t xml:space="preserve">and it can be modified or terminated if it is shown that the grounds were lacking or have ceased to exist (Article 17(3) and (4)). </w:t>
      </w:r>
    </w:p>
    <w:p w14:paraId="32600949" w14:textId="0C74EEB1" w:rsidR="00250DB8" w:rsidRDefault="00250DB8" w:rsidP="00B1768C">
      <w:pPr>
        <w:jc w:val="both"/>
        <w:rPr>
          <w:rFonts w:ascii="Avenir Next" w:hAnsi="Avenir Next" w:cs="Arial"/>
          <w:sz w:val="22"/>
          <w:szCs w:val="22"/>
          <w:lang w:val="en-GB"/>
        </w:rPr>
      </w:pPr>
    </w:p>
    <w:p w14:paraId="7CF5C3B4" w14:textId="6C4B5AD5" w:rsidR="00250DB8" w:rsidRPr="00B1768C" w:rsidRDefault="00250DB8" w:rsidP="00B1768C">
      <w:pPr>
        <w:jc w:val="both"/>
        <w:rPr>
          <w:rFonts w:ascii="Avenir Next" w:hAnsi="Avenir Next" w:cs="Arial"/>
          <w:sz w:val="22"/>
          <w:szCs w:val="22"/>
          <w:lang w:val="en-GB"/>
        </w:rPr>
      </w:pPr>
      <w:r>
        <w:rPr>
          <w:rFonts w:ascii="Avenir Next" w:hAnsi="Avenir Next" w:cs="Arial"/>
          <w:sz w:val="22"/>
          <w:szCs w:val="22"/>
          <w:lang w:val="en-GB"/>
        </w:rPr>
        <w:t xml:space="preserve">Upon a recognition application, the court will have to consider whether the foreign proceedings are foreign main proceedings or foreign non-main proceedings as certain consequences flow from such a determination. The courts of the enacting State may have to consider evidence as to the COMI of the debtor to ensure that the proper designation as to the status of the foreign proceedings is given in the recognition order.  </w:t>
      </w:r>
    </w:p>
    <w:p w14:paraId="06362F22" w14:textId="77777777" w:rsidR="00B1768C" w:rsidRDefault="00B1768C" w:rsidP="00867A8F">
      <w:pPr>
        <w:ind w:left="720" w:hanging="720"/>
        <w:jc w:val="both"/>
        <w:rPr>
          <w:rFonts w:ascii="Avenir Next" w:hAnsi="Avenir Next" w:cs="Arial"/>
          <w:color w:val="808080" w:themeColor="background1" w:themeShade="80"/>
          <w:sz w:val="22"/>
          <w:szCs w:val="22"/>
          <w:lang w:val="en-GB"/>
        </w:rPr>
      </w:pPr>
    </w:p>
    <w:p w14:paraId="713C0C0F" w14:textId="27F92965" w:rsidR="0017257C" w:rsidRDefault="00250DB8" w:rsidP="00707FC8">
      <w:pPr>
        <w:jc w:val="both"/>
        <w:rPr>
          <w:rFonts w:ascii="Avenir Next" w:hAnsi="Avenir Next" w:cs="Arial"/>
          <w:color w:val="000000" w:themeColor="text1"/>
          <w:sz w:val="22"/>
          <w:szCs w:val="22"/>
          <w:lang w:val="en-GB"/>
        </w:rPr>
      </w:pPr>
      <w:r w:rsidRPr="00AE38C3">
        <w:rPr>
          <w:rFonts w:ascii="Avenir Next" w:hAnsi="Avenir Next" w:cs="Arial"/>
          <w:color w:val="000000" w:themeColor="text1"/>
          <w:sz w:val="22"/>
          <w:szCs w:val="22"/>
          <w:lang w:val="en-GB"/>
        </w:rPr>
        <w:t xml:space="preserve">The courts of the enacting State may refuse to grant recognition on public policy grounds in Article 6 however this is quite rare. More usually, public policy will be used as grounds for limiting the nature of the relief granted. </w:t>
      </w:r>
    </w:p>
    <w:p w14:paraId="1CB5E08F" w14:textId="0405D6BC" w:rsidR="00AE38C3" w:rsidRDefault="00AE38C3" w:rsidP="00707FC8">
      <w:pPr>
        <w:jc w:val="both"/>
        <w:rPr>
          <w:rFonts w:ascii="Avenir Next" w:hAnsi="Avenir Next" w:cs="Arial"/>
          <w:color w:val="000000" w:themeColor="text1"/>
          <w:sz w:val="22"/>
          <w:szCs w:val="22"/>
          <w:lang w:val="en-GB"/>
        </w:rPr>
      </w:pPr>
    </w:p>
    <w:p w14:paraId="6F0B9B13" w14:textId="17F8606D" w:rsidR="00AE38C3" w:rsidRDefault="00AE38C3" w:rsidP="00707FC8">
      <w:pPr>
        <w:jc w:val="both"/>
        <w:rPr>
          <w:rFonts w:ascii="Avenir Next" w:hAnsi="Avenir Next" w:cs="Arial"/>
          <w:color w:val="000000" w:themeColor="text1"/>
          <w:sz w:val="22"/>
          <w:szCs w:val="22"/>
          <w:shd w:val="clear" w:color="auto" w:fill="FFFFFF"/>
          <w:lang w:val="en-GB"/>
        </w:rPr>
      </w:pPr>
      <w:r>
        <w:rPr>
          <w:rFonts w:ascii="Avenir Next" w:hAnsi="Avenir Next" w:cs="Arial"/>
          <w:color w:val="000000" w:themeColor="text1"/>
          <w:sz w:val="22"/>
          <w:szCs w:val="22"/>
          <w:shd w:val="clear" w:color="auto" w:fill="FFFFFF"/>
          <w:lang w:val="en-GB"/>
        </w:rPr>
        <w:t xml:space="preserve">Where considering a recognition application, the courts of the enacting State </w:t>
      </w:r>
      <w:r w:rsidR="00B36EE2">
        <w:rPr>
          <w:rFonts w:ascii="Avenir Next" w:hAnsi="Avenir Next" w:cs="Arial"/>
          <w:color w:val="000000" w:themeColor="text1"/>
          <w:sz w:val="22"/>
          <w:szCs w:val="22"/>
          <w:shd w:val="clear" w:color="auto" w:fill="FFFFFF"/>
          <w:lang w:val="en-GB"/>
        </w:rPr>
        <w:t>is not required to consider whether the foreign proceedings were correctly commenced under applicable law. It may rely on the presumptions set out in Article 16 (</w:t>
      </w:r>
      <w:proofErr w:type="spellStart"/>
      <w:r w:rsidR="00B36EE2">
        <w:rPr>
          <w:rFonts w:ascii="Avenir Next" w:hAnsi="Avenir Next" w:cs="Arial"/>
          <w:color w:val="000000" w:themeColor="text1"/>
          <w:sz w:val="22"/>
          <w:szCs w:val="22"/>
          <w:shd w:val="clear" w:color="auto" w:fill="FFFFFF"/>
          <w:lang w:val="en-GB"/>
        </w:rPr>
        <w:t>eg</w:t>
      </w:r>
      <w:proofErr w:type="spellEnd"/>
      <w:r w:rsidR="00B36EE2">
        <w:rPr>
          <w:rFonts w:ascii="Avenir Next" w:hAnsi="Avenir Next" w:cs="Arial"/>
          <w:color w:val="000000" w:themeColor="text1"/>
          <w:sz w:val="22"/>
          <w:szCs w:val="22"/>
          <w:shd w:val="clear" w:color="auto" w:fill="FFFFFF"/>
          <w:lang w:val="en-GB"/>
        </w:rPr>
        <w:t xml:space="preserve"> as to the authenticity of documents and as to the debtor's COMI). </w:t>
      </w:r>
    </w:p>
    <w:p w14:paraId="2E97E3C1" w14:textId="371F0FC0" w:rsidR="00B36EE2" w:rsidRDefault="00B36EE2" w:rsidP="00707FC8">
      <w:pPr>
        <w:jc w:val="both"/>
        <w:rPr>
          <w:rFonts w:ascii="Avenir Next" w:hAnsi="Avenir Next" w:cs="Arial"/>
          <w:color w:val="000000" w:themeColor="text1"/>
          <w:sz w:val="22"/>
          <w:szCs w:val="22"/>
          <w:shd w:val="clear" w:color="auto" w:fill="FFFFFF"/>
          <w:lang w:val="en-GB"/>
        </w:rPr>
      </w:pPr>
    </w:p>
    <w:p w14:paraId="3DAC0075" w14:textId="3F08FAAF" w:rsidR="00B36EE2" w:rsidRPr="00AE38C3" w:rsidRDefault="00B36EE2" w:rsidP="00707FC8">
      <w:pPr>
        <w:jc w:val="both"/>
        <w:rPr>
          <w:rFonts w:ascii="Avenir Next" w:hAnsi="Avenir Next" w:cs="Arial"/>
          <w:color w:val="000000" w:themeColor="text1"/>
          <w:sz w:val="22"/>
          <w:szCs w:val="22"/>
          <w:shd w:val="clear" w:color="auto" w:fill="FFFFFF"/>
          <w:lang w:val="en-GB"/>
        </w:rPr>
      </w:pPr>
      <w:r>
        <w:rPr>
          <w:rFonts w:ascii="Avenir Next" w:hAnsi="Avenir Next" w:cs="Arial"/>
          <w:color w:val="000000" w:themeColor="text1"/>
          <w:sz w:val="22"/>
          <w:szCs w:val="22"/>
          <w:shd w:val="clear" w:color="auto" w:fill="FFFFFF"/>
          <w:lang w:val="en-GB"/>
        </w:rPr>
        <w:t xml:space="preserve">The courts of the enacting State may refuse to grant recognition </w:t>
      </w:r>
      <w:r w:rsidR="002C6A89">
        <w:rPr>
          <w:rFonts w:ascii="Avenir Next" w:hAnsi="Avenir Next" w:cs="Arial"/>
          <w:color w:val="000000" w:themeColor="text1"/>
          <w:sz w:val="22"/>
          <w:szCs w:val="22"/>
          <w:shd w:val="clear" w:color="auto" w:fill="FFFFFF"/>
          <w:lang w:val="en-GB"/>
        </w:rPr>
        <w:t xml:space="preserve">if it was convinced that the foreign decision was based on fraud. The courts of the enacting State may also consider whether there are any ulterior motives behind the recognition application. It has been said the recognition should not be used by a debtor to attempt evading its legitimate foreign creditors and that evidence of forum shopping may militate against recognition being granted. However, contrary views hold that where the statutory test is met, recognition should be granted.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5B7598D9" w:rsidR="00DF75F8"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4975959F" w14:textId="17039271" w:rsidR="00537B57" w:rsidRDefault="00537B57" w:rsidP="00C91324">
      <w:pPr>
        <w:jc w:val="both"/>
        <w:rPr>
          <w:rFonts w:ascii="Avenir Next" w:hAnsi="Avenir Next" w:cs="Arial"/>
          <w:sz w:val="22"/>
          <w:szCs w:val="22"/>
          <w:lang w:val="en-GB"/>
        </w:rPr>
      </w:pPr>
    </w:p>
    <w:p w14:paraId="7F15BFB4" w14:textId="67364355" w:rsidR="00537B57" w:rsidRPr="00E2622D" w:rsidRDefault="00537B57" w:rsidP="00C91324">
      <w:pPr>
        <w:jc w:val="both"/>
        <w:rPr>
          <w:rFonts w:ascii="Avenir Next" w:hAnsi="Avenir Next" w:cs="Arial"/>
          <w:sz w:val="22"/>
          <w:szCs w:val="22"/>
          <w:lang w:val="en-GB"/>
        </w:rPr>
      </w:pPr>
      <w:r>
        <w:rPr>
          <w:rFonts w:ascii="Avenir Next" w:hAnsi="Avenir Next" w:cs="Arial"/>
          <w:sz w:val="22"/>
          <w:szCs w:val="22"/>
          <w:lang w:val="en-GB"/>
        </w:rPr>
        <w:t xml:space="preserve">Urgent interim relief can be granted prior to a recognition decision but after a recognition application is filed, provided that the debtor's creditors and other interested parties are suitably protected. The application is made by the foreign representative upon the recognition application and is issued where assistance is needed urgently to protect the assets of the debtor or the interests of the creditors (Article 19(1)). The courts of the enacting State can order (i) an interim stay of execution against the debtor's assets; (ii) </w:t>
      </w:r>
      <w:r w:rsidR="002B0314">
        <w:rPr>
          <w:rFonts w:ascii="Avenir Next" w:hAnsi="Avenir Next" w:cs="Arial"/>
          <w:sz w:val="22"/>
          <w:szCs w:val="22"/>
          <w:lang w:val="en-GB"/>
        </w:rPr>
        <w:t xml:space="preserve">entrusting the administration/realisation of the debtor's assets in the enacting State to the foreign representative (or another person) to protect and preserve the value of </w:t>
      </w:r>
      <w:r w:rsidR="002B0314">
        <w:rPr>
          <w:rFonts w:ascii="Avenir Next" w:hAnsi="Avenir Next" w:cs="Arial"/>
          <w:sz w:val="22"/>
          <w:szCs w:val="22"/>
          <w:lang w:val="en-GB"/>
        </w:rPr>
        <w:lastRenderedPageBreak/>
        <w:t xml:space="preserve">the assets; </w:t>
      </w:r>
      <w:r>
        <w:rPr>
          <w:rFonts w:ascii="Avenir Next" w:hAnsi="Avenir Next" w:cs="Arial"/>
          <w:sz w:val="22"/>
          <w:szCs w:val="22"/>
          <w:lang w:val="en-GB"/>
        </w:rPr>
        <w:t xml:space="preserve"> </w:t>
      </w:r>
      <w:r w:rsidR="002B0314">
        <w:rPr>
          <w:rFonts w:ascii="Avenir Next" w:hAnsi="Avenir Next" w:cs="Arial"/>
          <w:sz w:val="22"/>
          <w:szCs w:val="22"/>
          <w:lang w:val="en-GB"/>
        </w:rPr>
        <w:t>(iii) suspending the rights to deal with the debtor's assets (either by transfer, encumbrance, or disposal); (iv) providing for the examination of witnesses and the taking or evidence; and (v) granting any other relief that's available under domestic law (Article 19(1)).</w:t>
      </w:r>
    </w:p>
    <w:p w14:paraId="2EBCC997" w14:textId="77777777" w:rsidR="00817D57" w:rsidRPr="00E2622D" w:rsidRDefault="00817D57" w:rsidP="00707FC8">
      <w:pPr>
        <w:jc w:val="both"/>
        <w:rPr>
          <w:rFonts w:ascii="Avenir Next" w:hAnsi="Avenir Next" w:cs="Arial"/>
          <w:sz w:val="22"/>
          <w:szCs w:val="22"/>
          <w:lang w:val="en-GB"/>
        </w:rPr>
      </w:pPr>
    </w:p>
    <w:p w14:paraId="655CD70B" w14:textId="622A69CE" w:rsidR="00D5244F" w:rsidRDefault="002B0314" w:rsidP="002B0314">
      <w:pPr>
        <w:jc w:val="both"/>
        <w:rPr>
          <w:rFonts w:ascii="Avenir Next" w:hAnsi="Avenir Next" w:cs="Arial"/>
          <w:sz w:val="22"/>
          <w:szCs w:val="22"/>
          <w:lang w:val="en-GB"/>
        </w:rPr>
      </w:pPr>
      <w:r>
        <w:rPr>
          <w:rFonts w:ascii="Avenir Next" w:hAnsi="Avenir Next" w:cs="Arial"/>
          <w:sz w:val="22"/>
          <w:szCs w:val="22"/>
          <w:lang w:val="en-GB"/>
        </w:rPr>
        <w:t xml:space="preserve">Such relief is only available on an urgent and provisional basis pending determination of the recognition application. It will terminate upon the recognition application being decided unless it is extended post-recognition pursuant to Article 21. It must also be sought in support of a recognition application. An application </w:t>
      </w:r>
      <w:r w:rsidR="00752AAD">
        <w:rPr>
          <w:rFonts w:ascii="Avenir Next" w:hAnsi="Avenir Next" w:cs="Arial"/>
          <w:sz w:val="22"/>
          <w:szCs w:val="22"/>
          <w:lang w:val="en-GB"/>
        </w:rPr>
        <w:t xml:space="preserve">which is not sought in support of recognition may be struck out if the court considers there is no jurisdiction to grant the relief. </w:t>
      </w:r>
    </w:p>
    <w:p w14:paraId="1029F07C" w14:textId="4595E503" w:rsidR="00752AAD" w:rsidRDefault="00752AAD" w:rsidP="002B0314">
      <w:pPr>
        <w:jc w:val="both"/>
        <w:rPr>
          <w:rFonts w:ascii="Avenir Next" w:hAnsi="Avenir Next" w:cs="Arial"/>
          <w:sz w:val="22"/>
          <w:szCs w:val="22"/>
          <w:lang w:val="en-GB"/>
        </w:rPr>
      </w:pPr>
    </w:p>
    <w:p w14:paraId="0FB81BE5" w14:textId="77777777" w:rsidR="00752AAD" w:rsidRDefault="00752AAD" w:rsidP="002B0314">
      <w:pPr>
        <w:jc w:val="both"/>
        <w:rPr>
          <w:rFonts w:ascii="Avenir Next" w:hAnsi="Avenir Next" w:cs="Arial"/>
          <w:sz w:val="22"/>
          <w:szCs w:val="22"/>
          <w:lang w:val="en-GB"/>
        </w:rPr>
      </w:pPr>
      <w:r>
        <w:rPr>
          <w:rFonts w:ascii="Avenir Next" w:hAnsi="Avenir Next" w:cs="Arial"/>
          <w:sz w:val="22"/>
          <w:szCs w:val="22"/>
          <w:lang w:val="en-GB"/>
        </w:rPr>
        <w:t xml:space="preserve">Interim relief is typically needed where the assets of the debtor in the enacting State may be in jeopardy prior to the recognition application being granted. This could include e.g. creditors trying to take control or possession of the debtor's assets, requiring security deposits, tightening credit terms or other actions which are detrimental to the debtor's business and could undermine the orderly administration of the debtor's estate.  It may also be granted to ensure that the relief accorded under Article 20 once recognition is granted is not rendered ineffective. This is especially the case in relation to a pause on the transfer/disposal of the debtor's assets. </w:t>
      </w:r>
    </w:p>
    <w:p w14:paraId="58237077" w14:textId="77777777" w:rsidR="00752AAD" w:rsidRDefault="00752AAD" w:rsidP="002B0314">
      <w:pPr>
        <w:jc w:val="both"/>
        <w:rPr>
          <w:rFonts w:ascii="Avenir Next" w:hAnsi="Avenir Next" w:cs="Arial"/>
          <w:sz w:val="22"/>
          <w:szCs w:val="22"/>
          <w:lang w:val="en-GB"/>
        </w:rPr>
      </w:pPr>
    </w:p>
    <w:p w14:paraId="227F6D99" w14:textId="7139F972" w:rsidR="00752AAD" w:rsidRDefault="00752AAD" w:rsidP="002B0314">
      <w:pPr>
        <w:jc w:val="both"/>
        <w:rPr>
          <w:rFonts w:ascii="Avenir Next" w:hAnsi="Avenir Next" w:cs="Arial"/>
          <w:sz w:val="22"/>
          <w:szCs w:val="22"/>
          <w:lang w:val="en-GB"/>
        </w:rPr>
      </w:pPr>
      <w:r>
        <w:rPr>
          <w:rFonts w:ascii="Avenir Next" w:hAnsi="Avenir Next" w:cs="Arial"/>
          <w:sz w:val="22"/>
          <w:szCs w:val="22"/>
          <w:lang w:val="en-GB"/>
        </w:rPr>
        <w:t xml:space="preserve"> </w:t>
      </w:r>
    </w:p>
    <w:p w14:paraId="3AD64608" w14:textId="494971FA" w:rsidR="00867A8F" w:rsidRDefault="00867A8F" w:rsidP="00707FC8">
      <w:pPr>
        <w:ind w:left="720" w:hanging="720"/>
        <w:jc w:val="both"/>
        <w:rPr>
          <w:rFonts w:ascii="Avenir Next" w:hAnsi="Avenir Next" w:cs="Arial"/>
          <w:sz w:val="22"/>
          <w:szCs w:val="22"/>
          <w:lang w:val="en-GB"/>
        </w:rPr>
      </w:pPr>
    </w:p>
    <w:p w14:paraId="21A67231" w14:textId="09778AA2" w:rsidR="00867A8F" w:rsidRDefault="00867A8F" w:rsidP="00707FC8">
      <w:pPr>
        <w:ind w:left="720" w:hanging="720"/>
        <w:jc w:val="both"/>
        <w:rPr>
          <w:rFonts w:ascii="Avenir Next" w:hAnsi="Avenir Next" w:cs="Arial"/>
          <w:sz w:val="22"/>
          <w:szCs w:val="22"/>
          <w:lang w:val="en-GB"/>
        </w:rPr>
      </w:pP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7E9C099C" w:rsidR="000077D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4329A413" w14:textId="46F41596" w:rsidR="00BE6679" w:rsidRDefault="00BE6679" w:rsidP="000077DD">
      <w:pPr>
        <w:jc w:val="both"/>
        <w:rPr>
          <w:rFonts w:ascii="Avenir Next" w:hAnsi="Avenir Next" w:cs="Arial"/>
          <w:sz w:val="22"/>
          <w:szCs w:val="22"/>
          <w:lang w:val="en-GB"/>
        </w:rPr>
      </w:pPr>
    </w:p>
    <w:p w14:paraId="1CECEF31" w14:textId="368014FD" w:rsidR="00BE6679" w:rsidRPr="00B1768C" w:rsidRDefault="00BE6679" w:rsidP="000077DD">
      <w:pPr>
        <w:jc w:val="both"/>
        <w:rPr>
          <w:rFonts w:ascii="Avenir Next" w:hAnsi="Avenir Next" w:cs="Arial"/>
          <w:sz w:val="22"/>
          <w:szCs w:val="22"/>
          <w:lang w:val="en-GB"/>
        </w:rPr>
      </w:pPr>
      <w:r w:rsidRPr="00B1768C">
        <w:rPr>
          <w:rFonts w:ascii="Avenir Next" w:hAnsi="Avenir Next" w:cs="Arial"/>
          <w:sz w:val="22"/>
          <w:szCs w:val="22"/>
          <w:lang w:val="en-GB"/>
        </w:rPr>
        <w:t xml:space="preserve">A recent decision of the English courts, Igor </w:t>
      </w:r>
      <w:proofErr w:type="spellStart"/>
      <w:r w:rsidRPr="00B1768C">
        <w:rPr>
          <w:rFonts w:ascii="Avenir Next" w:hAnsi="Avenir Next" w:cs="Arial"/>
          <w:sz w:val="22"/>
          <w:szCs w:val="22"/>
          <w:lang w:val="en-GB"/>
        </w:rPr>
        <w:t>Vitalievich</w:t>
      </w:r>
      <w:proofErr w:type="spellEnd"/>
      <w:r w:rsidRPr="00B1768C">
        <w:rPr>
          <w:rFonts w:ascii="Avenir Next" w:hAnsi="Avenir Next" w:cs="Arial"/>
          <w:sz w:val="22"/>
          <w:szCs w:val="22"/>
          <w:lang w:val="en-GB"/>
        </w:rPr>
        <w:t xml:space="preserve"> </w:t>
      </w:r>
      <w:proofErr w:type="spellStart"/>
      <w:r w:rsidRPr="00B1768C">
        <w:rPr>
          <w:rFonts w:ascii="Avenir Next" w:hAnsi="Avenir Next" w:cs="Arial"/>
          <w:sz w:val="22"/>
          <w:szCs w:val="22"/>
          <w:lang w:val="en-GB"/>
        </w:rPr>
        <w:t>Protasov</w:t>
      </w:r>
      <w:proofErr w:type="spellEnd"/>
      <w:r w:rsidRPr="00B1768C">
        <w:rPr>
          <w:rFonts w:ascii="Avenir Next" w:hAnsi="Avenir Next" w:cs="Arial"/>
          <w:sz w:val="22"/>
          <w:szCs w:val="22"/>
          <w:lang w:val="en-GB"/>
        </w:rPr>
        <w:t xml:space="preserve"> and </w:t>
      </w:r>
      <w:proofErr w:type="spellStart"/>
      <w:r w:rsidRPr="00B1768C">
        <w:rPr>
          <w:rFonts w:ascii="Avenir Next" w:hAnsi="Avenir Next" w:cs="Arial"/>
          <w:sz w:val="22"/>
          <w:szCs w:val="22"/>
          <w:lang w:val="en-GB"/>
        </w:rPr>
        <w:t>Khadzhi</w:t>
      </w:r>
      <w:proofErr w:type="spellEnd"/>
      <w:r w:rsidRPr="00B1768C">
        <w:rPr>
          <w:rFonts w:ascii="Avenir Next" w:hAnsi="Avenir Next" w:cs="Arial"/>
          <w:sz w:val="22"/>
          <w:szCs w:val="22"/>
          <w:lang w:val="en-GB"/>
        </w:rPr>
        <w:t xml:space="preserve">- Murat </w:t>
      </w:r>
      <w:proofErr w:type="spellStart"/>
      <w:r w:rsidRPr="00B1768C">
        <w:rPr>
          <w:rFonts w:ascii="Avenir Next" w:hAnsi="Avenir Next" w:cs="Arial"/>
          <w:sz w:val="22"/>
          <w:szCs w:val="22"/>
          <w:lang w:val="en-GB"/>
        </w:rPr>
        <w:t>Derev</w:t>
      </w:r>
      <w:proofErr w:type="spellEnd"/>
      <w:r w:rsidRPr="00B1768C">
        <w:rPr>
          <w:rFonts w:ascii="Avenir Next" w:hAnsi="Avenir Next" w:cs="Arial"/>
          <w:sz w:val="22"/>
          <w:szCs w:val="22"/>
          <w:lang w:val="en-GB"/>
        </w:rPr>
        <w:t xml:space="preserve"> [2021] EWHC 392 (CH), found that while the court had discretionary powers to grant discretionary post-recognition relief, it did not consider that the relief was warranted given that the domestic bankruptcy regime in the United Kingdom offered protection which rendered a worldwide freezing order otiose. </w:t>
      </w:r>
      <w:r w:rsidR="00336FDF" w:rsidRPr="00B1768C">
        <w:rPr>
          <w:rFonts w:ascii="Avenir Next" w:hAnsi="Avenir Next" w:cs="Arial"/>
          <w:sz w:val="22"/>
          <w:szCs w:val="22"/>
          <w:lang w:val="en-GB"/>
        </w:rPr>
        <w:t xml:space="preserve">The court found that the Model Law is intended to put a foreign office holder in the same position, as far as practicable, as an office holder appointed under domestic law and recognition brought into effect the same wide infrastructure of domestic insolvency legislation (which affords similar protection to the interim relief sought in this case. This meant that absent exceptional reasons, a freezing order or similar relief was not required or justified on the facts before the court. </w:t>
      </w:r>
      <w:r w:rsidRPr="00B1768C">
        <w:rPr>
          <w:rFonts w:ascii="Avenir Next" w:hAnsi="Avenir Next" w:cs="Arial"/>
          <w:sz w:val="22"/>
          <w:szCs w:val="22"/>
          <w:lang w:val="en-GB"/>
        </w:rPr>
        <w:t xml:space="preserve"> </w:t>
      </w:r>
    </w:p>
    <w:p w14:paraId="0BBA86B8" w14:textId="4204DA62" w:rsidR="00980314" w:rsidRPr="00752AAD" w:rsidRDefault="00980314" w:rsidP="000077DD">
      <w:pPr>
        <w:jc w:val="both"/>
        <w:rPr>
          <w:rFonts w:ascii="Avenir Next" w:hAnsi="Avenir Next" w:cs="Arial"/>
          <w:sz w:val="22"/>
          <w:szCs w:val="22"/>
          <w:lang w:val="en-GB"/>
        </w:rPr>
      </w:pPr>
    </w:p>
    <w:p w14:paraId="4E8F9BCA" w14:textId="77777777" w:rsidR="00133846" w:rsidRDefault="00752AAD" w:rsidP="00707FC8">
      <w:pPr>
        <w:jc w:val="both"/>
        <w:rPr>
          <w:rFonts w:ascii="Avenir Next" w:hAnsi="Avenir Next" w:cs="Arial"/>
          <w:sz w:val="22"/>
          <w:szCs w:val="22"/>
          <w:lang w:val="en-GB"/>
        </w:rPr>
      </w:pPr>
      <w:r w:rsidRPr="00752AAD">
        <w:rPr>
          <w:rFonts w:ascii="Avenir Next" w:hAnsi="Avenir Next" w:cs="Arial"/>
          <w:sz w:val="22"/>
          <w:szCs w:val="22"/>
          <w:lang w:val="en-GB"/>
        </w:rPr>
        <w:t>Following recognition</w:t>
      </w:r>
      <w:r>
        <w:rPr>
          <w:rFonts w:ascii="Avenir Next" w:hAnsi="Avenir Next" w:cs="Arial"/>
          <w:sz w:val="22"/>
          <w:szCs w:val="22"/>
          <w:lang w:val="en-GB"/>
        </w:rPr>
        <w:t xml:space="preserve">, the courts of the enacting State </w:t>
      </w:r>
      <w:r w:rsidR="00133846">
        <w:rPr>
          <w:rFonts w:ascii="Avenir Next" w:hAnsi="Avenir Next" w:cs="Arial"/>
          <w:sz w:val="22"/>
          <w:szCs w:val="22"/>
          <w:lang w:val="en-GB"/>
        </w:rPr>
        <w:t xml:space="preserve">has a discretionary power to grant post-recognition relief. The discretionary relief includes (i) staying actions against the debtor (to the extent they aren't stayed under Article 20); (ii) staying execution against the assets of the debtor (to the extent not stayed under Article 20); (iii) suspending the right to transfer/encumber/dispose of the debtor's assets; (iv) providing for the examination of witnesses and taking of evidence; (v) entrusting the administration/realisation of the debtor's assets; (vi) the continuation of any interim relief; and (vii) granting any additional relief that's available under domestic law (Article 21(1)). </w:t>
      </w:r>
    </w:p>
    <w:p w14:paraId="759F5492" w14:textId="77777777" w:rsidR="00133846" w:rsidRDefault="00133846" w:rsidP="00707FC8">
      <w:pPr>
        <w:jc w:val="both"/>
        <w:rPr>
          <w:rFonts w:ascii="Avenir Next" w:hAnsi="Avenir Next" w:cs="Arial"/>
          <w:sz w:val="22"/>
          <w:szCs w:val="22"/>
          <w:lang w:val="en-GB"/>
        </w:rPr>
      </w:pPr>
    </w:p>
    <w:p w14:paraId="492A8EBA" w14:textId="77777777" w:rsidR="00132075" w:rsidRDefault="00133846" w:rsidP="00707FC8">
      <w:pPr>
        <w:jc w:val="both"/>
        <w:rPr>
          <w:rFonts w:ascii="Avenir Next" w:hAnsi="Avenir Next" w:cs="Arial"/>
          <w:sz w:val="22"/>
          <w:szCs w:val="22"/>
          <w:lang w:val="en-GB"/>
        </w:rPr>
      </w:pPr>
      <w:r>
        <w:rPr>
          <w:rFonts w:ascii="Avenir Next" w:hAnsi="Avenir Next" w:cs="Arial"/>
          <w:sz w:val="22"/>
          <w:szCs w:val="22"/>
          <w:lang w:val="en-GB"/>
        </w:rPr>
        <w:t xml:space="preserve">Upon recognising a foreign proceeding (whether main or non-main), the Courts of the enacting State may entrust the distribution of all or part of the debtor's assets </w:t>
      </w:r>
      <w:r w:rsidR="00132075">
        <w:rPr>
          <w:rFonts w:ascii="Avenir Next" w:hAnsi="Avenir Next" w:cs="Arial"/>
          <w:sz w:val="22"/>
          <w:szCs w:val="22"/>
          <w:lang w:val="en-GB"/>
        </w:rPr>
        <w:t xml:space="preserve">to the foreign representative (or other person), provided that the court is satisfied that the interests of domestic </w:t>
      </w:r>
      <w:proofErr w:type="gramStart"/>
      <w:r w:rsidR="00132075">
        <w:rPr>
          <w:rFonts w:ascii="Avenir Next" w:hAnsi="Avenir Next" w:cs="Arial"/>
          <w:sz w:val="22"/>
          <w:szCs w:val="22"/>
          <w:lang w:val="en-GB"/>
        </w:rPr>
        <w:t>creditors  are</w:t>
      </w:r>
      <w:proofErr w:type="gramEnd"/>
      <w:r w:rsidR="00132075">
        <w:rPr>
          <w:rFonts w:ascii="Avenir Next" w:hAnsi="Avenir Next" w:cs="Arial"/>
          <w:sz w:val="22"/>
          <w:szCs w:val="22"/>
          <w:lang w:val="en-GB"/>
        </w:rPr>
        <w:t xml:space="preserve"> adequately protected. </w:t>
      </w:r>
    </w:p>
    <w:p w14:paraId="12227844" w14:textId="77777777" w:rsidR="00132075" w:rsidRDefault="00132075" w:rsidP="00707FC8">
      <w:pPr>
        <w:jc w:val="both"/>
        <w:rPr>
          <w:rFonts w:ascii="Avenir Next" w:hAnsi="Avenir Next" w:cs="Arial"/>
          <w:sz w:val="22"/>
          <w:szCs w:val="22"/>
          <w:lang w:val="en-GB"/>
        </w:rPr>
      </w:pPr>
    </w:p>
    <w:p w14:paraId="09306B26" w14:textId="4B1B06E6" w:rsidR="00D3502E" w:rsidRDefault="00132075" w:rsidP="00707FC8">
      <w:pPr>
        <w:jc w:val="both"/>
        <w:rPr>
          <w:rFonts w:ascii="Avenir Next" w:hAnsi="Avenir Next" w:cs="Arial"/>
          <w:sz w:val="22"/>
          <w:szCs w:val="22"/>
          <w:lang w:val="en-GB"/>
        </w:rPr>
      </w:pPr>
      <w:r>
        <w:rPr>
          <w:rFonts w:ascii="Avenir Next" w:hAnsi="Avenir Next" w:cs="Arial"/>
          <w:sz w:val="22"/>
          <w:szCs w:val="22"/>
          <w:lang w:val="en-GB"/>
        </w:rPr>
        <w:lastRenderedPageBreak/>
        <w:t xml:space="preserve">The courts of the enacting State must also ensure that where granting relief in support of foreign non-main proceedings, that any relief which relates to assets should be administered in the foreign non-main proceeding </w:t>
      </w:r>
      <w:r w:rsidR="00D3502E">
        <w:rPr>
          <w:rFonts w:ascii="Avenir Next" w:hAnsi="Avenir Next" w:cs="Arial"/>
          <w:sz w:val="22"/>
          <w:szCs w:val="22"/>
          <w:lang w:val="en-GB"/>
        </w:rPr>
        <w:t>or concerns information required in those proceedings (</w:t>
      </w:r>
      <w:proofErr w:type="spellStart"/>
      <w:r w:rsidR="00D3502E">
        <w:rPr>
          <w:rFonts w:ascii="Avenir Next" w:hAnsi="Avenir Next" w:cs="Arial"/>
          <w:sz w:val="22"/>
          <w:szCs w:val="22"/>
          <w:lang w:val="en-GB"/>
        </w:rPr>
        <w:t>ie</w:t>
      </w:r>
      <w:proofErr w:type="spellEnd"/>
      <w:r w:rsidR="00D3502E">
        <w:rPr>
          <w:rFonts w:ascii="Avenir Next" w:hAnsi="Avenir Next" w:cs="Arial"/>
          <w:sz w:val="22"/>
          <w:szCs w:val="22"/>
          <w:lang w:val="en-GB"/>
        </w:rPr>
        <w:t xml:space="preserve"> the relief should not interfere with another insolvency proceeding (in particular the main proceeding). </w:t>
      </w:r>
    </w:p>
    <w:p w14:paraId="2292AE34" w14:textId="77777777" w:rsidR="00D3502E" w:rsidRDefault="00D3502E" w:rsidP="00707FC8">
      <w:pPr>
        <w:jc w:val="both"/>
        <w:rPr>
          <w:rFonts w:ascii="Avenir Next" w:hAnsi="Avenir Next" w:cs="Arial"/>
          <w:sz w:val="22"/>
          <w:szCs w:val="22"/>
          <w:lang w:val="en-GB"/>
        </w:rPr>
      </w:pPr>
    </w:p>
    <w:p w14:paraId="6841A1DE" w14:textId="5984AD3E" w:rsidR="00D5244F" w:rsidRPr="00752AAD" w:rsidRDefault="00D3502E" w:rsidP="00707FC8">
      <w:pPr>
        <w:jc w:val="both"/>
        <w:rPr>
          <w:rFonts w:ascii="Avenir Next" w:hAnsi="Avenir Next" w:cs="Arial"/>
          <w:sz w:val="22"/>
          <w:szCs w:val="22"/>
          <w:lang w:val="en-GB"/>
        </w:rPr>
      </w:pPr>
      <w:r>
        <w:rPr>
          <w:rFonts w:ascii="Avenir Next" w:hAnsi="Avenir Next" w:cs="Arial"/>
          <w:sz w:val="22"/>
          <w:szCs w:val="22"/>
          <w:lang w:val="en-GB"/>
        </w:rPr>
        <w:t xml:space="preserve">However, the right to relief is not unlimited – where, for example, similar relief exists under domestic law, the courts may find that the relief sought is not necessary or justified. </w:t>
      </w:r>
      <w:r w:rsidR="00132075">
        <w:rPr>
          <w:rFonts w:ascii="Avenir Next" w:hAnsi="Avenir Next" w:cs="Arial"/>
          <w:sz w:val="22"/>
          <w:szCs w:val="22"/>
          <w:lang w:val="en-GB"/>
        </w:rPr>
        <w:t xml:space="preserve"> </w:t>
      </w:r>
      <w:r w:rsidR="00133846">
        <w:rPr>
          <w:rFonts w:ascii="Avenir Next" w:hAnsi="Avenir Next" w:cs="Arial"/>
          <w:sz w:val="22"/>
          <w:szCs w:val="22"/>
          <w:lang w:val="en-GB"/>
        </w:rPr>
        <w:t xml:space="preserve"> </w:t>
      </w:r>
    </w:p>
    <w:p w14:paraId="39D4F571" w14:textId="77777777" w:rsidR="00867A8F" w:rsidRPr="00E2622D" w:rsidRDefault="00867A8F" w:rsidP="00707FC8">
      <w:pPr>
        <w:jc w:val="both"/>
        <w:rPr>
          <w:rFonts w:ascii="Avenir Next" w:hAnsi="Avenir Next" w:cs="Arial"/>
          <w:b/>
          <w:sz w:val="22"/>
          <w:szCs w:val="22"/>
          <w:lang w:val="en-GB"/>
        </w:rPr>
      </w:pPr>
    </w:p>
    <w:p w14:paraId="55C402CC" w14:textId="377EC93C"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proofErr w:type="gramStart"/>
      <w:r w:rsidRPr="00E2622D">
        <w:rPr>
          <w:rFonts w:ascii="Avenir Next" w:hAnsi="Avenir Next" w:cs="Arial"/>
          <w:color w:val="000000"/>
          <w:sz w:val="22"/>
          <w:szCs w:val="22"/>
          <w:lang w:val="en-GB" w:eastAsia="en-GB"/>
        </w:rPr>
        <w:t>the</w:t>
      </w:r>
      <w:proofErr w:type="gramEnd"/>
      <w:r w:rsidRPr="00E2622D">
        <w:rPr>
          <w:rFonts w:ascii="Avenir Next" w:hAnsi="Avenir Next" w:cs="Arial"/>
          <w:color w:val="000000"/>
          <w:sz w:val="22"/>
          <w:szCs w:val="22"/>
          <w:lang w:val="en-GB" w:eastAsia="en-GB"/>
        </w:rPr>
        <w:t xml:space="preserv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proofErr w:type="gramStart"/>
      <w:r w:rsidRPr="00E2622D">
        <w:rPr>
          <w:rFonts w:ascii="Avenir Next" w:hAnsi="Avenir Next" w:cs="Arial"/>
          <w:color w:val="000000"/>
          <w:sz w:val="22"/>
          <w:szCs w:val="22"/>
          <w:lang w:val="en-GB" w:eastAsia="en-GB"/>
        </w:rPr>
        <w:t>the</w:t>
      </w:r>
      <w:proofErr w:type="gramEnd"/>
      <w:r w:rsidRPr="00E2622D">
        <w:rPr>
          <w:rFonts w:ascii="Avenir Next" w:hAnsi="Avenir Next" w:cs="Arial"/>
          <w:color w:val="000000"/>
          <w:sz w:val="22"/>
          <w:szCs w:val="22"/>
          <w:lang w:val="en-GB" w:eastAsia="en-GB"/>
        </w:rPr>
        <w:t xml:space="preserv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property and funds. Public </w:t>
      </w:r>
      <w:r w:rsidRPr="00E2622D">
        <w:rPr>
          <w:rFonts w:ascii="Avenir Next" w:hAnsi="Avenir Next" w:cs="Arial"/>
          <w:color w:val="000000"/>
          <w:sz w:val="22"/>
          <w:szCs w:val="22"/>
          <w:lang w:val="en-GB" w:eastAsia="en-GB"/>
        </w:rPr>
        <w:lastRenderedPageBreak/>
        <w:t>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proofErr w:type="gramStart"/>
      <w:r w:rsidRPr="00E2622D">
        <w:rPr>
          <w:rFonts w:ascii="Avenir Next" w:hAnsi="Avenir Next" w:cs="Arial"/>
          <w:color w:val="000000"/>
          <w:sz w:val="22"/>
          <w:szCs w:val="22"/>
          <w:lang w:val="en-GB" w:eastAsia="en-GB"/>
        </w:rPr>
        <w:t>the</w:t>
      </w:r>
      <w:proofErr w:type="gramEnd"/>
      <w:r w:rsidRPr="00E2622D">
        <w:rPr>
          <w:rFonts w:ascii="Avenir Next" w:hAnsi="Avenir Next" w:cs="Arial"/>
          <w:color w:val="000000"/>
          <w:sz w:val="22"/>
          <w:szCs w:val="22"/>
          <w:lang w:val="en-GB" w:eastAsia="en-GB"/>
        </w:rPr>
        <w:t xml:space="preserv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w:t>
      </w:r>
      <w:proofErr w:type="gramStart"/>
      <w:r w:rsidRPr="00E2622D">
        <w:rPr>
          <w:rFonts w:ascii="Avenir Next" w:hAnsi="Avenir Next" w:cs="Arial"/>
          <w:color w:val="000000"/>
          <w:sz w:val="22"/>
          <w:szCs w:val="22"/>
          <w:lang w:val="en-GB" w:eastAsia="en-GB"/>
        </w:rPr>
        <w:t>)(</w:t>
      </w:r>
      <w:proofErr w:type="gramEnd"/>
      <w:r w:rsidRPr="00E2622D">
        <w:rPr>
          <w:rFonts w:ascii="Avenir Next" w:hAnsi="Avenir Next" w:cs="Arial"/>
          <w:color w:val="000000"/>
          <w:sz w:val="22"/>
          <w:szCs w:val="22"/>
          <w:lang w:val="en-GB" w:eastAsia="en-GB"/>
        </w:rPr>
        <w:t xml:space="preserve">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lastRenderedPageBreak/>
        <w:t>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30831B86"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proofErr w:type="gramStart"/>
      <w:r w:rsidR="008A7470" w:rsidRPr="00E2622D">
        <w:rPr>
          <w:rFonts w:ascii="Avenir Next" w:hAnsi="Avenir Next" w:cs="Arial"/>
          <w:color w:val="000000"/>
          <w:sz w:val="22"/>
          <w:szCs w:val="22"/>
          <w:lang w:val="en-GB" w:eastAsia="en-GB"/>
        </w:rPr>
        <w:t>whether</w:t>
      </w:r>
      <w:proofErr w:type="gramEnd"/>
      <w:r w:rsidR="008A7470" w:rsidRPr="00E2622D">
        <w:rPr>
          <w:rFonts w:ascii="Avenir Next" w:hAnsi="Avenir Next" w:cs="Arial"/>
          <w:color w:val="000000"/>
          <w:sz w:val="22"/>
          <w:szCs w:val="22"/>
          <w:lang w:val="en-GB" w:eastAsia="en-GB"/>
        </w:rPr>
        <w:t xml:space="preserve">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30C3AA90" w14:textId="74CEF6E1" w:rsidR="00C07419" w:rsidRDefault="00C07419" w:rsidP="00957951">
      <w:pPr>
        <w:ind w:left="720" w:hanging="720"/>
        <w:jc w:val="both"/>
        <w:rPr>
          <w:rFonts w:ascii="Avenir Next" w:hAnsi="Avenir Next" w:cs="Arial"/>
          <w:color w:val="000000"/>
          <w:sz w:val="22"/>
          <w:szCs w:val="22"/>
          <w:lang w:val="en-GB" w:eastAsia="en-GB"/>
        </w:rPr>
      </w:pPr>
    </w:p>
    <w:p w14:paraId="42E216C4" w14:textId="6759307D" w:rsidR="00C07419" w:rsidRDefault="00C07419" w:rsidP="00C07419">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Article 2(a) of the Model Law defines a "</w:t>
      </w:r>
      <w:r w:rsidRPr="00C07419">
        <w:rPr>
          <w:rFonts w:ascii="Avenir Next" w:hAnsi="Avenir Next" w:cs="Arial"/>
          <w:i/>
          <w:color w:val="000000"/>
          <w:sz w:val="22"/>
          <w:szCs w:val="22"/>
          <w:lang w:val="en-GB" w:eastAsia="en-GB"/>
        </w:rPr>
        <w:t>foreign proceeding</w:t>
      </w:r>
      <w:r>
        <w:rPr>
          <w:rFonts w:ascii="Avenir Next" w:hAnsi="Avenir Next" w:cs="Arial"/>
          <w:color w:val="000000"/>
          <w:sz w:val="22"/>
          <w:szCs w:val="22"/>
          <w:lang w:val="en-GB" w:eastAsia="en-GB"/>
        </w:rPr>
        <w:t>" as "</w:t>
      </w:r>
      <w:r w:rsidRPr="00C07419">
        <w:rPr>
          <w:rFonts w:ascii="Avenir Next" w:hAnsi="Avenir Next" w:cs="Arial"/>
          <w:i/>
          <w:color w:val="000000"/>
          <w:sz w:val="22"/>
          <w:szCs w:val="22"/>
          <w:lang w:val="en-GB" w:eastAsia="en-GB"/>
        </w:rPr>
        <w:t>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Pr>
          <w:rFonts w:ascii="Avenir Next" w:hAnsi="Avenir Next" w:cs="Arial"/>
          <w:color w:val="000000"/>
          <w:sz w:val="22"/>
          <w:szCs w:val="22"/>
          <w:lang w:val="en-GB" w:eastAsia="en-GB"/>
        </w:rPr>
        <w:t xml:space="preserve">" </w:t>
      </w:r>
    </w:p>
    <w:p w14:paraId="63A62910" w14:textId="5928F3E9" w:rsidR="0047485C" w:rsidRDefault="0047485C" w:rsidP="00C07419">
      <w:pPr>
        <w:jc w:val="both"/>
        <w:rPr>
          <w:rFonts w:ascii="Avenir Next" w:hAnsi="Avenir Next" w:cs="Arial"/>
          <w:color w:val="000000"/>
          <w:sz w:val="22"/>
          <w:szCs w:val="22"/>
          <w:lang w:val="en-GB" w:eastAsia="en-GB"/>
        </w:rPr>
      </w:pPr>
    </w:p>
    <w:p w14:paraId="62D2CE40" w14:textId="77777777" w:rsidR="0047485C" w:rsidRDefault="0047485C" w:rsidP="00C07419">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According to the Affidavit, the Bank's liquidation has commenced pursuant to the Law of Country A on Banks and Banking Activity (the "</w:t>
      </w:r>
      <w:r w:rsidRPr="0047485C">
        <w:rPr>
          <w:rFonts w:ascii="Avenir Next" w:hAnsi="Avenir Next" w:cs="Arial"/>
          <w:b/>
          <w:color w:val="000000"/>
          <w:sz w:val="22"/>
          <w:szCs w:val="22"/>
          <w:lang w:val="en-GB" w:eastAsia="en-GB"/>
        </w:rPr>
        <w:t>LBBA</w:t>
      </w:r>
      <w:r>
        <w:rPr>
          <w:rFonts w:ascii="Avenir Next" w:hAnsi="Avenir Next" w:cs="Arial"/>
          <w:color w:val="000000"/>
          <w:sz w:val="22"/>
          <w:szCs w:val="22"/>
          <w:lang w:val="en-GB" w:eastAsia="en-GB"/>
        </w:rPr>
        <w:t>"). It had been in provisional administration prior to liquidation which commenced the following day after the National Bank ("</w:t>
      </w:r>
      <w:r w:rsidRPr="0047485C">
        <w:rPr>
          <w:rFonts w:ascii="Avenir Next" w:hAnsi="Avenir Next" w:cs="Arial"/>
          <w:b/>
          <w:color w:val="000000"/>
          <w:sz w:val="22"/>
          <w:szCs w:val="22"/>
          <w:lang w:val="en-GB" w:eastAsia="en-GB"/>
        </w:rPr>
        <w:t>NB</w:t>
      </w:r>
      <w:r>
        <w:rPr>
          <w:rFonts w:ascii="Avenir Next" w:hAnsi="Avenir Next" w:cs="Arial"/>
          <w:color w:val="000000"/>
          <w:sz w:val="22"/>
          <w:szCs w:val="22"/>
          <w:lang w:val="en-GB" w:eastAsia="en-GB"/>
        </w:rPr>
        <w:t xml:space="preserve">") had revoked its licence.  </w:t>
      </w:r>
    </w:p>
    <w:p w14:paraId="392CEA92" w14:textId="77777777" w:rsidR="0047485C" w:rsidRDefault="0047485C" w:rsidP="00C07419">
      <w:pPr>
        <w:jc w:val="both"/>
        <w:rPr>
          <w:rFonts w:ascii="Avenir Next" w:hAnsi="Avenir Next" w:cs="Arial"/>
          <w:color w:val="000000"/>
          <w:sz w:val="22"/>
          <w:szCs w:val="22"/>
          <w:lang w:val="en-GB" w:eastAsia="en-GB"/>
        </w:rPr>
      </w:pPr>
    </w:p>
    <w:p w14:paraId="00CE1E91" w14:textId="3F477E6A" w:rsidR="00382F6A" w:rsidRDefault="0047485C" w:rsidP="00C07419">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It is not immediately clear that that the liquidation comprises a "foreign proceeding" within the meaning of Article 2(a). </w:t>
      </w:r>
      <w:r w:rsidR="00382F6A">
        <w:rPr>
          <w:rFonts w:ascii="Avenir Next" w:hAnsi="Avenir Next" w:cs="Arial"/>
          <w:color w:val="000000"/>
          <w:sz w:val="22"/>
          <w:szCs w:val="22"/>
          <w:lang w:val="en-GB" w:eastAsia="en-GB"/>
        </w:rPr>
        <w:t>However, there are various factors which suggest that it may fall within the definition.</w:t>
      </w:r>
    </w:p>
    <w:p w14:paraId="27938C36" w14:textId="77777777" w:rsidR="00382F6A" w:rsidRDefault="00382F6A" w:rsidP="00C07419">
      <w:pPr>
        <w:jc w:val="both"/>
        <w:rPr>
          <w:rFonts w:ascii="Avenir Next" w:hAnsi="Avenir Next" w:cs="Arial"/>
          <w:color w:val="000000"/>
          <w:sz w:val="22"/>
          <w:szCs w:val="22"/>
          <w:lang w:val="en-GB" w:eastAsia="en-GB"/>
        </w:rPr>
      </w:pPr>
    </w:p>
    <w:p w14:paraId="6F9EECAB" w14:textId="77777777" w:rsidR="00B40B0D" w:rsidRDefault="0047485C" w:rsidP="005D5251">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First, the liquidation has proceeded under the LBBA. On its face, it appears to be a law dealing with banking in Country A</w:t>
      </w:r>
      <w:r w:rsidR="005D5251">
        <w:rPr>
          <w:rFonts w:ascii="Avenir Next" w:hAnsi="Avenir Next" w:cs="Arial"/>
          <w:color w:val="000000"/>
          <w:sz w:val="22"/>
          <w:szCs w:val="22"/>
          <w:lang w:val="en-GB" w:eastAsia="en-GB"/>
        </w:rPr>
        <w:t xml:space="preserve"> but it clearly also covers the liquidation and administration of banks in financial distress so it's likely to be considered "a law relating to insolvency" for the purposes of Article 2(a)</w:t>
      </w:r>
      <w:r>
        <w:rPr>
          <w:rFonts w:ascii="Avenir Next" w:hAnsi="Avenir Next" w:cs="Arial"/>
          <w:color w:val="000000"/>
          <w:sz w:val="22"/>
          <w:szCs w:val="22"/>
          <w:lang w:val="en-GB" w:eastAsia="en-GB"/>
        </w:rPr>
        <w:t xml:space="preserve">. </w:t>
      </w:r>
    </w:p>
    <w:p w14:paraId="6E9A86BB" w14:textId="77777777" w:rsidR="00B40B0D" w:rsidRDefault="00B40B0D" w:rsidP="005D5251">
      <w:pPr>
        <w:jc w:val="both"/>
        <w:rPr>
          <w:rFonts w:ascii="Avenir Next" w:hAnsi="Avenir Next" w:cs="Arial"/>
          <w:color w:val="000000"/>
          <w:sz w:val="22"/>
          <w:szCs w:val="22"/>
          <w:lang w:val="en-GB" w:eastAsia="en-GB"/>
        </w:rPr>
      </w:pPr>
    </w:p>
    <w:p w14:paraId="556E0195" w14:textId="01063E9E" w:rsidR="00C07419" w:rsidRDefault="00B40B0D" w:rsidP="005D5251">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Second</w:t>
      </w:r>
      <w:r w:rsidR="0047485C">
        <w:rPr>
          <w:rFonts w:ascii="Avenir Next" w:hAnsi="Avenir Next" w:cs="Arial"/>
          <w:color w:val="000000"/>
          <w:sz w:val="22"/>
          <w:szCs w:val="22"/>
          <w:lang w:val="en-GB" w:eastAsia="en-GB"/>
        </w:rPr>
        <w:t xml:space="preserve">, from the information available, it </w:t>
      </w:r>
      <w:r w:rsidR="005D5251">
        <w:rPr>
          <w:rFonts w:ascii="Avenir Next" w:hAnsi="Avenir Next" w:cs="Arial"/>
          <w:color w:val="000000"/>
          <w:sz w:val="22"/>
          <w:szCs w:val="22"/>
          <w:lang w:val="en-GB" w:eastAsia="en-GB"/>
        </w:rPr>
        <w:t>appears that the liquidation may be considered to be subject to the control or supervision by the court because the Deposit Guarantee Fund (the "</w:t>
      </w:r>
      <w:r w:rsidR="005D5251" w:rsidRPr="005D5251">
        <w:rPr>
          <w:rFonts w:ascii="Avenir Next" w:hAnsi="Avenir Next" w:cs="Arial"/>
          <w:b/>
          <w:color w:val="000000"/>
          <w:sz w:val="22"/>
          <w:szCs w:val="22"/>
          <w:lang w:val="en-GB" w:eastAsia="en-GB"/>
        </w:rPr>
        <w:t>DGF</w:t>
      </w:r>
      <w:r w:rsidR="005D5251">
        <w:rPr>
          <w:rFonts w:ascii="Avenir Next" w:hAnsi="Avenir Next" w:cs="Arial"/>
          <w:color w:val="000000"/>
          <w:sz w:val="22"/>
          <w:szCs w:val="22"/>
          <w:lang w:val="en-GB" w:eastAsia="en-GB"/>
        </w:rPr>
        <w:t>") is a governmental body of Country A though more information is needed to understand whether it is a regulatory body and/or whether the liquidation comes under indirect control of the courts of Country A</w:t>
      </w:r>
      <w:r w:rsidR="0047485C">
        <w:rPr>
          <w:rFonts w:ascii="Avenir Next" w:hAnsi="Avenir Next" w:cs="Arial"/>
          <w:color w:val="000000"/>
          <w:sz w:val="22"/>
          <w:szCs w:val="22"/>
          <w:lang w:val="en-GB" w:eastAsia="en-GB"/>
        </w:rPr>
        <w:t>.</w:t>
      </w:r>
      <w:r w:rsidR="005D5251">
        <w:rPr>
          <w:rFonts w:ascii="Avenir Next" w:hAnsi="Avenir Next" w:cs="Arial"/>
          <w:color w:val="000000"/>
          <w:sz w:val="22"/>
          <w:szCs w:val="22"/>
          <w:lang w:val="en-GB" w:eastAsia="en-GB"/>
        </w:rPr>
        <w:t xml:space="preserve"> </w:t>
      </w:r>
      <w:r w:rsidR="0047485C">
        <w:rPr>
          <w:rFonts w:ascii="Avenir Next" w:hAnsi="Avenir Next" w:cs="Arial"/>
          <w:color w:val="000000"/>
          <w:sz w:val="22"/>
          <w:szCs w:val="22"/>
          <w:lang w:val="en-GB" w:eastAsia="en-GB"/>
        </w:rPr>
        <w:t xml:space="preserve">  </w:t>
      </w:r>
      <w:r w:rsidR="005D5251">
        <w:rPr>
          <w:rFonts w:ascii="Avenir Next" w:hAnsi="Avenir Next" w:cs="Arial"/>
          <w:color w:val="000000"/>
          <w:sz w:val="22"/>
          <w:szCs w:val="22"/>
          <w:lang w:val="en-GB" w:eastAsia="en-GB"/>
        </w:rPr>
        <w:t xml:space="preserve">The DGF's rights to deal with the assets and creditors of the Bank does not appear to depend upon the court granting it powers but that </w:t>
      </w:r>
      <w:r>
        <w:rPr>
          <w:rFonts w:ascii="Avenir Next" w:hAnsi="Avenir Next" w:cs="Arial"/>
          <w:color w:val="000000"/>
          <w:sz w:val="22"/>
          <w:szCs w:val="22"/>
          <w:lang w:val="en-GB" w:eastAsia="en-GB"/>
        </w:rPr>
        <w:t>would</w:t>
      </w:r>
      <w:r w:rsidR="005D5251">
        <w:rPr>
          <w:rFonts w:ascii="Avenir Next" w:hAnsi="Avenir Next" w:cs="Arial"/>
          <w:color w:val="000000"/>
          <w:sz w:val="22"/>
          <w:szCs w:val="22"/>
          <w:lang w:val="en-GB" w:eastAsia="en-GB"/>
        </w:rPr>
        <w:t xml:space="preserve"> not </w:t>
      </w:r>
      <w:r>
        <w:rPr>
          <w:rFonts w:ascii="Avenir Next" w:hAnsi="Avenir Next" w:cs="Arial"/>
          <w:color w:val="000000"/>
          <w:sz w:val="22"/>
          <w:szCs w:val="22"/>
          <w:lang w:val="en-GB" w:eastAsia="en-GB"/>
        </w:rPr>
        <w:t xml:space="preserve">likely be </w:t>
      </w:r>
      <w:r w:rsidR="005D5251">
        <w:rPr>
          <w:rFonts w:ascii="Avenir Next" w:hAnsi="Avenir Next" w:cs="Arial"/>
          <w:color w:val="000000"/>
          <w:sz w:val="22"/>
          <w:szCs w:val="22"/>
          <w:lang w:val="en-GB" w:eastAsia="en-GB"/>
        </w:rPr>
        <w:t>determinative of whether</w:t>
      </w:r>
      <w:r w:rsidR="00EC4122">
        <w:rPr>
          <w:rFonts w:ascii="Avenir Next" w:hAnsi="Avenir Next" w:cs="Arial"/>
          <w:color w:val="000000"/>
          <w:sz w:val="22"/>
          <w:szCs w:val="22"/>
          <w:lang w:val="en-GB" w:eastAsia="en-GB"/>
        </w:rPr>
        <w:t xml:space="preserve"> the liquidation would be considered to be under the control or supervision of the Courts. </w:t>
      </w:r>
    </w:p>
    <w:p w14:paraId="5491FE88" w14:textId="5CDD116E" w:rsidR="00EC4122" w:rsidRDefault="00EC4122" w:rsidP="005D5251">
      <w:pPr>
        <w:jc w:val="both"/>
        <w:rPr>
          <w:rFonts w:ascii="Avenir Next" w:hAnsi="Avenir Next" w:cs="Arial"/>
          <w:color w:val="000000"/>
          <w:sz w:val="22"/>
          <w:szCs w:val="22"/>
          <w:lang w:val="en-GB" w:eastAsia="en-GB"/>
        </w:rPr>
      </w:pPr>
    </w:p>
    <w:p w14:paraId="43389C81" w14:textId="56B455AD" w:rsidR="00B40B0D" w:rsidRDefault="00B40B0D" w:rsidP="005D5251">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Third, t</w:t>
      </w:r>
      <w:r w:rsidR="00EC4122">
        <w:rPr>
          <w:rFonts w:ascii="Avenir Next" w:hAnsi="Avenir Next" w:cs="Arial"/>
          <w:color w:val="000000"/>
          <w:sz w:val="22"/>
          <w:szCs w:val="22"/>
          <w:lang w:val="en-GB" w:eastAsia="en-GB"/>
        </w:rPr>
        <w:t>he appointment of DGF does appear to be for the purposes of liquidation and reorganisation</w:t>
      </w:r>
      <w:r>
        <w:rPr>
          <w:rFonts w:ascii="Avenir Next" w:hAnsi="Avenir Next" w:cs="Arial"/>
          <w:color w:val="000000"/>
          <w:sz w:val="22"/>
          <w:szCs w:val="22"/>
          <w:lang w:val="en-GB" w:eastAsia="en-GB"/>
        </w:rPr>
        <w:t>,</w:t>
      </w:r>
      <w:r w:rsidR="00EC4122">
        <w:rPr>
          <w:rFonts w:ascii="Avenir Next" w:hAnsi="Avenir Next" w:cs="Arial"/>
          <w:color w:val="000000"/>
          <w:sz w:val="22"/>
          <w:szCs w:val="22"/>
          <w:lang w:val="en-GB" w:eastAsia="en-GB"/>
        </w:rPr>
        <w:t xml:space="preserve"> in that, once the Bank was classified as insolvent, the DGF is tasked with removing it from the market</w:t>
      </w:r>
      <w:r>
        <w:rPr>
          <w:rFonts w:ascii="Avenir Next" w:hAnsi="Avenir Next" w:cs="Arial"/>
          <w:color w:val="000000"/>
          <w:sz w:val="22"/>
          <w:szCs w:val="22"/>
          <w:lang w:val="en-GB" w:eastAsia="en-GB"/>
        </w:rPr>
        <w:t xml:space="preserve"> and winding down its operations</w:t>
      </w:r>
      <w:r w:rsidR="00EC4122">
        <w:rPr>
          <w:rFonts w:ascii="Avenir Next" w:hAnsi="Avenir Next" w:cs="Arial"/>
          <w:color w:val="000000"/>
          <w:sz w:val="22"/>
          <w:szCs w:val="22"/>
          <w:lang w:val="en-GB" w:eastAsia="en-GB"/>
        </w:rPr>
        <w:t xml:space="preserve">. </w:t>
      </w:r>
    </w:p>
    <w:p w14:paraId="5B30DE82" w14:textId="77777777" w:rsidR="00B40B0D" w:rsidRDefault="00B40B0D" w:rsidP="005D5251">
      <w:pPr>
        <w:jc w:val="both"/>
        <w:rPr>
          <w:rFonts w:ascii="Avenir Next" w:hAnsi="Avenir Next" w:cs="Arial"/>
          <w:color w:val="000000"/>
          <w:sz w:val="22"/>
          <w:szCs w:val="22"/>
          <w:lang w:val="en-GB" w:eastAsia="en-GB"/>
        </w:rPr>
      </w:pPr>
    </w:p>
    <w:p w14:paraId="27F29935" w14:textId="438FD412" w:rsidR="00EC4122" w:rsidRDefault="00B40B0D" w:rsidP="005D5251">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Fourth, when the Bank entered liquidation, all of its powers of management terminated, banking activities were terminated and all money liabilities due to the Bank became due and payable. DGF, as liquidator, was granted extensive powers including the right to exercise management powers; the power to settle a list of creditors and to satisfy their claims; the power to take steps to identify and recover property belonging to the Bank; the power to dispose of the Bank's assets and a general power to exercise such powers as are necessary to the complete the liquidation.  In other words, the assets of the Bank appear to come under the control of a regulatory body for the purposes, amongst other things, of determining creditor claims and paying them off. </w:t>
      </w:r>
    </w:p>
    <w:p w14:paraId="7FC785D0" w14:textId="6CEE13A6" w:rsidR="00B40B0D" w:rsidRDefault="00B40B0D" w:rsidP="005D5251">
      <w:pPr>
        <w:jc w:val="both"/>
        <w:rPr>
          <w:rFonts w:ascii="Avenir Next" w:hAnsi="Avenir Next" w:cs="Arial"/>
          <w:color w:val="000000"/>
          <w:sz w:val="22"/>
          <w:szCs w:val="22"/>
          <w:lang w:val="en-GB" w:eastAsia="en-GB"/>
        </w:rPr>
      </w:pPr>
    </w:p>
    <w:p w14:paraId="1B561414" w14:textId="77777777" w:rsidR="00706D74" w:rsidRDefault="00706D74" w:rsidP="005D5251">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Fifth, the liquidation of the Bank does seem to be a collective process in that it appears that the DGF is empowered to settle a list of all creditors – the liquidation doesn't seem to be for the purposes of preferring one class of creditors over another. However, it is not clear from the information available </w:t>
      </w:r>
      <w:r>
        <w:rPr>
          <w:rFonts w:ascii="Avenir Next" w:hAnsi="Avenir Next" w:cs="Arial"/>
          <w:color w:val="000000"/>
          <w:sz w:val="22"/>
          <w:szCs w:val="22"/>
          <w:lang w:val="en-GB" w:eastAsia="en-GB"/>
        </w:rPr>
        <w:lastRenderedPageBreak/>
        <w:t xml:space="preserve">whether there is true creditor participation and this would require more information. There is also no information regarding notification to creditors or the ability to appeal the proceedings. </w:t>
      </w:r>
    </w:p>
    <w:p w14:paraId="0BB1ABDF" w14:textId="77777777" w:rsidR="00706D74" w:rsidRDefault="00706D74" w:rsidP="005D5251">
      <w:pPr>
        <w:jc w:val="both"/>
        <w:rPr>
          <w:rFonts w:ascii="Avenir Next" w:hAnsi="Avenir Next" w:cs="Arial"/>
          <w:color w:val="000000"/>
          <w:sz w:val="22"/>
          <w:szCs w:val="22"/>
          <w:lang w:val="en-GB" w:eastAsia="en-GB"/>
        </w:rPr>
      </w:pPr>
    </w:p>
    <w:p w14:paraId="5E0AB05A" w14:textId="61EF0668" w:rsidR="00706D74" w:rsidRPr="00E2622D" w:rsidRDefault="00706D74" w:rsidP="005D5251">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In the round, however, the Bank's liquidation may be recognised as falling within the definition in Article 2(a) but requires more information as to the nuances of the law to provide a definitive view.  </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7A9FBDC9"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proofErr w:type="gramStart"/>
      <w:r w:rsidR="008A7470" w:rsidRPr="00E2622D">
        <w:rPr>
          <w:rFonts w:ascii="Avenir Next" w:hAnsi="Avenir Next" w:cs="Arial"/>
          <w:color w:val="000000"/>
          <w:sz w:val="22"/>
          <w:szCs w:val="22"/>
          <w:lang w:val="en-GB" w:eastAsia="en-GB"/>
        </w:rPr>
        <w:t>whether</w:t>
      </w:r>
      <w:proofErr w:type="gramEnd"/>
      <w:r w:rsidR="008A7470" w:rsidRPr="00E2622D">
        <w:rPr>
          <w:rFonts w:ascii="Avenir Next" w:hAnsi="Avenir Next" w:cs="Arial"/>
          <w:color w:val="000000"/>
          <w:sz w:val="22"/>
          <w:szCs w:val="22"/>
          <w:lang w:val="en-GB" w:eastAsia="en-GB"/>
        </w:rPr>
        <w:t xml:space="preserve">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5D40BB08" w14:textId="52756229" w:rsidR="00706D74" w:rsidRDefault="00706D74" w:rsidP="00957951">
      <w:pPr>
        <w:ind w:left="720" w:hanging="720"/>
        <w:jc w:val="both"/>
        <w:rPr>
          <w:rFonts w:ascii="Avenir Next" w:hAnsi="Avenir Next" w:cs="Arial"/>
          <w:color w:val="000000"/>
          <w:sz w:val="22"/>
          <w:szCs w:val="22"/>
          <w:lang w:val="en-GB" w:eastAsia="en-GB"/>
        </w:rPr>
      </w:pPr>
    </w:p>
    <w:p w14:paraId="2C10C1BD" w14:textId="13F70218" w:rsidR="00706D74" w:rsidRPr="00706D74" w:rsidRDefault="00706D74" w:rsidP="00706D74">
      <w:pPr>
        <w:ind w:left="720" w:hanging="720"/>
        <w:jc w:val="both"/>
        <w:rPr>
          <w:rFonts w:ascii="Avenir Next" w:hAnsi="Avenir Next" w:cs="Arial"/>
          <w:i/>
          <w:color w:val="000000"/>
          <w:sz w:val="22"/>
          <w:szCs w:val="22"/>
          <w:lang w:val="en-GB" w:eastAsia="en-GB"/>
        </w:rPr>
      </w:pPr>
      <w:r w:rsidRPr="00706D74">
        <w:rPr>
          <w:rFonts w:ascii="Avenir Next" w:hAnsi="Avenir Next" w:cs="Arial"/>
          <w:color w:val="000000"/>
          <w:sz w:val="22"/>
          <w:szCs w:val="22"/>
          <w:lang w:val="en-GB" w:eastAsia="en-GB"/>
        </w:rPr>
        <w:t xml:space="preserve">“Foreign representative” means </w:t>
      </w:r>
      <w:r>
        <w:rPr>
          <w:rFonts w:ascii="Avenir Next" w:hAnsi="Avenir Next" w:cs="Arial"/>
          <w:color w:val="000000"/>
          <w:sz w:val="22"/>
          <w:szCs w:val="22"/>
          <w:lang w:val="en-GB" w:eastAsia="en-GB"/>
        </w:rPr>
        <w:t>"</w:t>
      </w:r>
      <w:r w:rsidRPr="00706D74">
        <w:rPr>
          <w:rFonts w:ascii="Avenir Next" w:hAnsi="Avenir Next" w:cs="Arial"/>
          <w:i/>
          <w:color w:val="000000"/>
          <w:sz w:val="22"/>
          <w:szCs w:val="22"/>
          <w:lang w:val="en-GB" w:eastAsia="en-GB"/>
        </w:rPr>
        <w:t>a person or body, including one appointed on an interim basis,</w:t>
      </w:r>
    </w:p>
    <w:p w14:paraId="7C439595" w14:textId="2BF2D3FC" w:rsidR="00706D74" w:rsidRDefault="00706D74" w:rsidP="00706D74">
      <w:pPr>
        <w:ind w:left="142"/>
        <w:jc w:val="both"/>
        <w:rPr>
          <w:rFonts w:ascii="Avenir Next" w:hAnsi="Avenir Next" w:cs="Arial"/>
          <w:color w:val="000000"/>
          <w:sz w:val="22"/>
          <w:szCs w:val="22"/>
          <w:lang w:val="en-GB" w:eastAsia="en-GB"/>
        </w:rPr>
      </w:pPr>
      <w:proofErr w:type="gramStart"/>
      <w:r w:rsidRPr="00706D74">
        <w:rPr>
          <w:rFonts w:ascii="Avenir Next" w:hAnsi="Avenir Next" w:cs="Arial"/>
          <w:i/>
          <w:color w:val="000000"/>
          <w:sz w:val="22"/>
          <w:szCs w:val="22"/>
          <w:lang w:val="en-GB" w:eastAsia="en-GB"/>
        </w:rPr>
        <w:t>authorized</w:t>
      </w:r>
      <w:proofErr w:type="gramEnd"/>
      <w:r w:rsidRPr="00706D74">
        <w:rPr>
          <w:rFonts w:ascii="Avenir Next" w:hAnsi="Avenir Next" w:cs="Arial"/>
          <w:i/>
          <w:color w:val="000000"/>
          <w:sz w:val="22"/>
          <w:szCs w:val="22"/>
          <w:lang w:val="en-GB" w:eastAsia="en-GB"/>
        </w:rPr>
        <w:t xml:space="preserve"> in a foreign proceeding to administer the reorganization or the liquidation of the debtor’s assets or affairs or to act as a representative of the foreign proceeding</w:t>
      </w:r>
      <w:r>
        <w:rPr>
          <w:rFonts w:ascii="Avenir Next" w:hAnsi="Avenir Next" w:cs="Arial"/>
          <w:color w:val="000000"/>
          <w:sz w:val="22"/>
          <w:szCs w:val="22"/>
          <w:lang w:val="en-GB" w:eastAsia="en-GB"/>
        </w:rPr>
        <w:t xml:space="preserve">". </w:t>
      </w:r>
    </w:p>
    <w:p w14:paraId="1DBB26F1" w14:textId="458AF313" w:rsidR="00706D74" w:rsidRDefault="00706D74" w:rsidP="00706D74">
      <w:pPr>
        <w:ind w:left="142"/>
        <w:jc w:val="both"/>
        <w:rPr>
          <w:rFonts w:ascii="Avenir Next" w:hAnsi="Avenir Next" w:cs="Arial"/>
          <w:color w:val="000000"/>
          <w:sz w:val="22"/>
          <w:szCs w:val="22"/>
          <w:lang w:val="en-GB" w:eastAsia="en-GB"/>
        </w:rPr>
      </w:pPr>
    </w:p>
    <w:p w14:paraId="5FC36E93" w14:textId="1CD9F1E0" w:rsidR="0023002B" w:rsidRDefault="00706D74" w:rsidP="00706D74">
      <w:pPr>
        <w:ind w:left="142"/>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The first point to note is that whether the Applicants' appointment would fall in the definition of "foreign representative" will depend upon whether the liquidation of the Bank falls in the definition of "</w:t>
      </w:r>
      <w:r w:rsidRPr="00706D74">
        <w:rPr>
          <w:rFonts w:ascii="Avenir Next" w:hAnsi="Avenir Next" w:cs="Arial"/>
          <w:i/>
          <w:color w:val="000000"/>
          <w:sz w:val="22"/>
          <w:szCs w:val="22"/>
          <w:lang w:val="en-GB" w:eastAsia="en-GB"/>
        </w:rPr>
        <w:t>foreign proceedings</w:t>
      </w:r>
      <w:r>
        <w:rPr>
          <w:rFonts w:ascii="Avenir Next" w:hAnsi="Avenir Next" w:cs="Arial"/>
          <w:color w:val="000000"/>
          <w:sz w:val="22"/>
          <w:szCs w:val="22"/>
          <w:lang w:val="en-GB" w:eastAsia="en-GB"/>
        </w:rPr>
        <w:t xml:space="preserve">". The following response assumes that it does. </w:t>
      </w:r>
    </w:p>
    <w:p w14:paraId="7020F2BE" w14:textId="01520DBF" w:rsidR="0023002B" w:rsidRDefault="0023002B" w:rsidP="00706D74">
      <w:pPr>
        <w:ind w:left="142"/>
        <w:jc w:val="both"/>
        <w:rPr>
          <w:rFonts w:ascii="Avenir Next" w:hAnsi="Avenir Next" w:cs="Arial"/>
          <w:color w:val="000000"/>
          <w:sz w:val="22"/>
          <w:szCs w:val="22"/>
          <w:lang w:val="en-GB" w:eastAsia="en-GB"/>
        </w:rPr>
      </w:pPr>
    </w:p>
    <w:p w14:paraId="43E6148E" w14:textId="55333BE2" w:rsidR="0023002B" w:rsidRDefault="0023002B" w:rsidP="00706D74">
      <w:pPr>
        <w:ind w:left="142"/>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The DGF was not appointed by the Court – its appointment followed automatically after the Bank's license was revoked. This would not prevent it from falling in the definition of "foreign representative". It would also fall within the definition when the Bank was in provisional administration. </w:t>
      </w:r>
    </w:p>
    <w:p w14:paraId="298D36D4" w14:textId="0C03F1E0" w:rsidR="0023002B" w:rsidRDefault="0023002B" w:rsidP="00706D74">
      <w:pPr>
        <w:ind w:left="142"/>
        <w:jc w:val="both"/>
        <w:rPr>
          <w:rFonts w:ascii="Avenir Next" w:hAnsi="Avenir Next" w:cs="Arial"/>
          <w:color w:val="000000"/>
          <w:sz w:val="22"/>
          <w:szCs w:val="22"/>
          <w:lang w:val="en-GB" w:eastAsia="en-GB"/>
        </w:rPr>
      </w:pPr>
    </w:p>
    <w:p w14:paraId="0E62E722" w14:textId="5181DB2C" w:rsidR="0023002B" w:rsidRDefault="0023002B" w:rsidP="00706D74">
      <w:pPr>
        <w:ind w:left="142"/>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The DGF was appointed for the purposes of winding down the Bank and is authorised to administer the Bank's liquidation (including having powers to get in assets of the Bank and to</w:t>
      </w:r>
      <w:r w:rsidR="00C42BEC">
        <w:rPr>
          <w:rFonts w:ascii="Avenir Next" w:hAnsi="Avenir Next" w:cs="Arial"/>
          <w:color w:val="000000"/>
          <w:sz w:val="22"/>
          <w:szCs w:val="22"/>
          <w:lang w:val="en-GB" w:eastAsia="en-GB"/>
        </w:rPr>
        <w:t xml:space="preserve"> identify and repay creditors) however given a number of these powers have been delegated to Mrs G may affect the DGF's rights to be considered a foreign representative for the purposes of Article 2(d). </w:t>
      </w:r>
    </w:p>
    <w:p w14:paraId="2C7F2E22" w14:textId="7BB20E36" w:rsidR="0023002B" w:rsidRDefault="0023002B" w:rsidP="00706D74">
      <w:pPr>
        <w:ind w:left="142"/>
        <w:jc w:val="both"/>
        <w:rPr>
          <w:rFonts w:ascii="Avenir Next" w:hAnsi="Avenir Next" w:cs="Arial"/>
          <w:color w:val="000000"/>
          <w:sz w:val="22"/>
          <w:szCs w:val="22"/>
          <w:lang w:val="en-GB" w:eastAsia="en-GB"/>
        </w:rPr>
      </w:pPr>
    </w:p>
    <w:p w14:paraId="78D82400" w14:textId="3E6C3D55" w:rsidR="0023002B" w:rsidRDefault="0023002B" w:rsidP="00706D74">
      <w:pPr>
        <w:ind w:left="142"/>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There is also no requirement for a foreign representative to be a natural person therefore the DGF, being a governmental authority, would not be challenged on that basis.  </w:t>
      </w:r>
    </w:p>
    <w:p w14:paraId="5979C09E" w14:textId="533128FA" w:rsidR="00C42BEC" w:rsidRDefault="00C42BEC" w:rsidP="00706D74">
      <w:pPr>
        <w:ind w:left="142"/>
        <w:jc w:val="both"/>
        <w:rPr>
          <w:rFonts w:ascii="Avenir Next" w:hAnsi="Avenir Next" w:cs="Arial"/>
          <w:color w:val="000000"/>
          <w:sz w:val="22"/>
          <w:szCs w:val="22"/>
          <w:lang w:val="en-GB" w:eastAsia="en-GB"/>
        </w:rPr>
      </w:pPr>
    </w:p>
    <w:p w14:paraId="1FFDEDCB" w14:textId="0B2708DF" w:rsidR="00C42BEC" w:rsidRDefault="00C42BEC" w:rsidP="00706D74">
      <w:pPr>
        <w:ind w:left="142"/>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Further information would be required as to the actual powers which remain vested in the DGF to confirm whether it in fact should be considered a foreign representative. It may be that it would only be considered a foreign representative once it terminates its delegation of powers to Mrs G.</w:t>
      </w:r>
    </w:p>
    <w:p w14:paraId="498E657C" w14:textId="77777777" w:rsidR="00C42BEC" w:rsidRDefault="00C42BEC" w:rsidP="00706D74">
      <w:pPr>
        <w:ind w:left="142"/>
        <w:jc w:val="both"/>
        <w:rPr>
          <w:rFonts w:ascii="Avenir Next" w:hAnsi="Avenir Next" w:cs="Arial"/>
          <w:color w:val="000000"/>
          <w:sz w:val="22"/>
          <w:szCs w:val="22"/>
          <w:lang w:val="en-GB" w:eastAsia="en-GB"/>
        </w:rPr>
      </w:pPr>
    </w:p>
    <w:p w14:paraId="7E9BECC6" w14:textId="5453056A" w:rsidR="00706D74" w:rsidRDefault="0023002B" w:rsidP="00706D74">
      <w:pPr>
        <w:ind w:left="142"/>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As to Mrs</w:t>
      </w:r>
      <w:r w:rsidR="00C42BEC">
        <w:rPr>
          <w:rFonts w:ascii="Avenir Next" w:hAnsi="Avenir Next" w:cs="Arial"/>
          <w:color w:val="000000"/>
          <w:sz w:val="22"/>
          <w:szCs w:val="22"/>
          <w:lang w:val="en-GB" w:eastAsia="en-GB"/>
        </w:rPr>
        <w:t xml:space="preserve"> </w:t>
      </w:r>
      <w:r>
        <w:rPr>
          <w:rFonts w:ascii="Avenir Next" w:hAnsi="Avenir Next" w:cs="Arial"/>
          <w:color w:val="000000"/>
          <w:sz w:val="22"/>
          <w:szCs w:val="22"/>
          <w:lang w:val="en-GB" w:eastAsia="en-GB"/>
        </w:rPr>
        <w:t xml:space="preserve">G, </w:t>
      </w:r>
      <w:r w:rsidR="00C42BEC">
        <w:rPr>
          <w:rFonts w:ascii="Avenir Next" w:hAnsi="Avenir Next" w:cs="Arial"/>
          <w:color w:val="000000"/>
          <w:sz w:val="22"/>
          <w:szCs w:val="22"/>
          <w:lang w:val="en-GB" w:eastAsia="en-GB"/>
        </w:rPr>
        <w:t xml:space="preserve">it is relevant to note that she has been delegated a number of powers but not all powers in the liquidation. The powers she has been delegated include the power to get in the assets of the Bank and to pay creditor claims. Therefore it seems likely that she would be considered a foreign representative within the meaning of 2(d). </w:t>
      </w:r>
      <w:bookmarkStart w:id="28" w:name="_GoBack"/>
      <w:bookmarkEnd w:id="28"/>
    </w:p>
    <w:p w14:paraId="05B37A5F" w14:textId="77777777" w:rsidR="00D3502E" w:rsidRPr="00E2622D" w:rsidRDefault="00D3502E" w:rsidP="00957951">
      <w:pPr>
        <w:ind w:left="720" w:hanging="720"/>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F10E1" w14:textId="77777777" w:rsidR="00706D74" w:rsidRDefault="00706D74" w:rsidP="00241B44">
      <w:r>
        <w:separator/>
      </w:r>
    </w:p>
  </w:endnote>
  <w:endnote w:type="continuationSeparator" w:id="0">
    <w:p w14:paraId="39FC123A" w14:textId="77777777" w:rsidR="00706D74" w:rsidRDefault="00706D7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Content>
      <w:p w14:paraId="75DFA1A2" w14:textId="6BA13D30" w:rsidR="00706D74" w:rsidRDefault="00706D74"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706D74" w:rsidRDefault="00706D74"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706D74" w:rsidRPr="000300E0" w:rsidRDefault="00706D74" w:rsidP="00706D74">
    <w:pPr>
      <w:pStyle w:val="Footer"/>
      <w:framePr w:wrap="none" w:vAnchor="text" w:hAnchor="margin" w:xAlign="right" w:y="1"/>
      <w:rPr>
        <w:rStyle w:val="PageNumber"/>
        <w:rFonts w:ascii="Avenir Next" w:hAnsi="Avenir Next"/>
        <w:sz w:val="22"/>
        <w:szCs w:val="22"/>
      </w:rPr>
    </w:pPr>
  </w:p>
  <w:p w14:paraId="6BA38AA4" w14:textId="0591D1DD" w:rsidR="00706D74" w:rsidRDefault="00706D74"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Content>
      <w:p w14:paraId="1F7F18A2" w14:textId="560E059B" w:rsidR="00706D74" w:rsidRDefault="00706D74" w:rsidP="00706D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706D74" w:rsidRPr="000300E0" w:rsidRDefault="00706D74" w:rsidP="000300E0">
    <w:pPr>
      <w:pStyle w:val="Footer"/>
      <w:ind w:right="360"/>
      <w:rPr>
        <w:rFonts w:ascii="Avenir Next" w:hAnsi="Avenir Next" w:cs="Arial"/>
        <w:sz w:val="22"/>
        <w:szCs w:val="22"/>
      </w:rPr>
    </w:pPr>
  </w:p>
  <w:p w14:paraId="01028C96" w14:textId="77777777" w:rsidR="00706D74" w:rsidRDefault="00706D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5745" w14:textId="4E6934E7" w:rsidR="00706D74" w:rsidRPr="00B46CE2" w:rsidRDefault="00706D74" w:rsidP="000300E0">
    <w:pPr>
      <w:pStyle w:val="Footer"/>
      <w:ind w:right="360"/>
      <w:rPr>
        <w:rFonts w:ascii="Avenir Next" w:hAnsi="Avenir Next"/>
        <w:sz w:val="22"/>
        <w:szCs w:val="22"/>
      </w:rPr>
    </w:pPr>
    <w:r>
      <w:rPr>
        <w:rFonts w:ascii="Calibri" w:hAnsi="Calibri" w:cs="Calibri"/>
        <w:color w:val="979797"/>
      </w:rPr>
      <w:t>202223-761</w:t>
    </w:r>
    <w:r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61747CE2" w:rsidR="00706D74" w:rsidRPr="000300E0" w:rsidRDefault="00706D74"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C42BEC">
          <w:rPr>
            <w:rStyle w:val="PageNumber"/>
            <w:rFonts w:ascii="Avenir Next" w:hAnsi="Avenir Next"/>
            <w:noProof/>
            <w:sz w:val="22"/>
            <w:szCs w:val="22"/>
          </w:rPr>
          <w:t>18</w:t>
        </w:r>
        <w:r w:rsidRPr="000300E0">
          <w:rPr>
            <w:rStyle w:val="PageNumber"/>
            <w:rFonts w:ascii="Avenir Next" w:hAnsi="Avenir Next"/>
            <w:sz w:val="22"/>
            <w:szCs w:val="22"/>
          </w:rPr>
          <w:fldChar w:fldCharType="end"/>
        </w:r>
      </w:p>
    </w:sdtContent>
  </w:sdt>
  <w:p w14:paraId="4C5B12BE" w14:textId="77777777" w:rsidR="00706D74" w:rsidRPr="000300E0" w:rsidRDefault="00706D74"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706D74" w:rsidRDefault="00706D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0B463" w14:textId="77777777" w:rsidR="00706D74" w:rsidRDefault="00706D74" w:rsidP="00241B44">
      <w:r>
        <w:separator/>
      </w:r>
    </w:p>
  </w:footnote>
  <w:footnote w:type="continuationSeparator" w:id="0">
    <w:p w14:paraId="75A4B3A1" w14:textId="77777777" w:rsidR="00706D74" w:rsidRDefault="00706D74" w:rsidP="00241B44">
      <w:r>
        <w:continuationSeparator/>
      </w:r>
    </w:p>
  </w:footnote>
  <w:footnote w:id="1">
    <w:p w14:paraId="142DCF3D" w14:textId="580D5C6E" w:rsidR="00706D74" w:rsidRPr="008321B2" w:rsidRDefault="00706D74">
      <w:pPr>
        <w:pStyle w:val="FootnoteText"/>
        <w:rPr>
          <w:lang w:val="en-GB"/>
        </w:rPr>
      </w:pPr>
      <w:r>
        <w:rPr>
          <w:rStyle w:val="FootnoteReference"/>
        </w:rPr>
        <w:footnoteRef/>
      </w:r>
      <w:r>
        <w:t xml:space="preserve"> </w:t>
      </w:r>
      <w:r>
        <w:rPr>
          <w:lang w:val="en-GB"/>
        </w:rPr>
        <w:t>See "</w:t>
      </w:r>
      <w:r w:rsidRPr="008321B2">
        <w:t xml:space="preserve"> </w:t>
      </w:r>
      <w:r w:rsidRPr="008321B2">
        <w:rPr>
          <w:lang w:val="en-GB"/>
        </w:rPr>
        <w:t>Clarity on cross-border conundrum (</w:t>
      </w:r>
      <w:r w:rsidRPr="008321B2">
        <w:rPr>
          <w:i/>
          <w:lang w:val="en-GB"/>
        </w:rPr>
        <w:t xml:space="preserve">Re </w:t>
      </w:r>
      <w:proofErr w:type="spellStart"/>
      <w:r w:rsidRPr="008321B2">
        <w:rPr>
          <w:i/>
          <w:lang w:val="en-GB"/>
        </w:rPr>
        <w:t>Toisa</w:t>
      </w:r>
      <w:proofErr w:type="spellEnd"/>
      <w:r w:rsidRPr="008321B2">
        <w:rPr>
          <w:i/>
          <w:lang w:val="en-GB"/>
        </w:rPr>
        <w:t xml:space="preserve"> Limited</w:t>
      </w:r>
      <w:r w:rsidRPr="008321B2">
        <w:rPr>
          <w:lang w:val="en-GB"/>
        </w:rPr>
        <w:t>)</w:t>
      </w:r>
      <w:r>
        <w:rPr>
          <w:lang w:val="en-GB"/>
        </w:rPr>
        <w:t xml:space="preserve">" (accessed from </w:t>
      </w:r>
      <w:hyperlink r:id="rId1" w:history="1">
        <w:r w:rsidRPr="005C7673">
          <w:rPr>
            <w:rStyle w:val="Hyperlink"/>
            <w:lang w:val="en-GB"/>
          </w:rPr>
          <w:t>https://www.lexisnexis.com/uk/lexispsl/bankingandfinance/document/412012/8VC1-RHH2-8T41-D0VS-00000-00</w:t>
        </w:r>
      </w:hyperlink>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BD1F82"/>
    <w:multiLevelType w:val="hybridMultilevel"/>
    <w:tmpl w:val="CBA2900A"/>
    <w:lvl w:ilvl="0" w:tplc="6D34F6A6">
      <w:numFmt w:val="bullet"/>
      <w:lvlText w:val="-"/>
      <w:lvlJc w:val="left"/>
      <w:pPr>
        <w:ind w:left="1080" w:hanging="360"/>
      </w:pPr>
      <w:rPr>
        <w:rFonts w:ascii="Avenir Next" w:eastAsia="Times New Roman" w:hAnsi="Avenir Nex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9"/>
  </w:num>
  <w:num w:numId="3">
    <w:abstractNumId w:val="34"/>
  </w:num>
  <w:num w:numId="4">
    <w:abstractNumId w:val="44"/>
  </w:num>
  <w:num w:numId="5">
    <w:abstractNumId w:val="6"/>
  </w:num>
  <w:num w:numId="6">
    <w:abstractNumId w:val="42"/>
  </w:num>
  <w:num w:numId="7">
    <w:abstractNumId w:val="18"/>
  </w:num>
  <w:num w:numId="8">
    <w:abstractNumId w:val="36"/>
  </w:num>
  <w:num w:numId="9">
    <w:abstractNumId w:val="22"/>
  </w:num>
  <w:num w:numId="10">
    <w:abstractNumId w:val="12"/>
  </w:num>
  <w:num w:numId="11">
    <w:abstractNumId w:val="24"/>
  </w:num>
  <w:num w:numId="12">
    <w:abstractNumId w:val="40"/>
  </w:num>
  <w:num w:numId="13">
    <w:abstractNumId w:val="4"/>
  </w:num>
  <w:num w:numId="14">
    <w:abstractNumId w:val="31"/>
  </w:num>
  <w:num w:numId="15">
    <w:abstractNumId w:val="13"/>
  </w:num>
  <w:num w:numId="16">
    <w:abstractNumId w:val="14"/>
  </w:num>
  <w:num w:numId="17">
    <w:abstractNumId w:val="26"/>
  </w:num>
  <w:num w:numId="18">
    <w:abstractNumId w:val="5"/>
  </w:num>
  <w:num w:numId="19">
    <w:abstractNumId w:val="25"/>
  </w:num>
  <w:num w:numId="20">
    <w:abstractNumId w:val="48"/>
  </w:num>
  <w:num w:numId="21">
    <w:abstractNumId w:val="16"/>
  </w:num>
  <w:num w:numId="22">
    <w:abstractNumId w:val="39"/>
  </w:num>
  <w:num w:numId="23">
    <w:abstractNumId w:val="46"/>
  </w:num>
  <w:num w:numId="24">
    <w:abstractNumId w:val="38"/>
  </w:num>
  <w:num w:numId="25">
    <w:abstractNumId w:val="30"/>
  </w:num>
  <w:num w:numId="26">
    <w:abstractNumId w:val="47"/>
  </w:num>
  <w:num w:numId="27">
    <w:abstractNumId w:val="43"/>
  </w:num>
  <w:num w:numId="28">
    <w:abstractNumId w:val="8"/>
  </w:num>
  <w:num w:numId="29">
    <w:abstractNumId w:val="9"/>
  </w:num>
  <w:num w:numId="30">
    <w:abstractNumId w:val="27"/>
  </w:num>
  <w:num w:numId="31">
    <w:abstractNumId w:val="2"/>
  </w:num>
  <w:num w:numId="32">
    <w:abstractNumId w:val="29"/>
  </w:num>
  <w:num w:numId="33">
    <w:abstractNumId w:val="0"/>
  </w:num>
  <w:num w:numId="34">
    <w:abstractNumId w:val="35"/>
  </w:num>
  <w:num w:numId="35">
    <w:abstractNumId w:val="21"/>
  </w:num>
  <w:num w:numId="36">
    <w:abstractNumId w:val="37"/>
  </w:num>
  <w:num w:numId="37">
    <w:abstractNumId w:val="23"/>
  </w:num>
  <w:num w:numId="38">
    <w:abstractNumId w:val="33"/>
  </w:num>
  <w:num w:numId="39">
    <w:abstractNumId w:val="3"/>
  </w:num>
  <w:num w:numId="40">
    <w:abstractNumId w:val="20"/>
  </w:num>
  <w:num w:numId="41">
    <w:abstractNumId w:val="41"/>
  </w:num>
  <w:num w:numId="42">
    <w:abstractNumId w:val="15"/>
  </w:num>
  <w:num w:numId="43">
    <w:abstractNumId w:val="28"/>
  </w:num>
  <w:num w:numId="44">
    <w:abstractNumId w:val="11"/>
  </w:num>
  <w:num w:numId="45">
    <w:abstractNumId w:val="10"/>
  </w:num>
  <w:num w:numId="46">
    <w:abstractNumId w:val="32"/>
  </w:num>
  <w:num w:numId="47">
    <w:abstractNumId w:val="17"/>
  </w:num>
  <w:num w:numId="48">
    <w:abstractNumId w:val="7"/>
  </w:num>
  <w:num w:numId="49">
    <w:abstractNumId w:val="45"/>
  </w:num>
  <w:num w:numId="5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20557"/>
    <w:rsid w:val="0002216C"/>
    <w:rsid w:val="000232A1"/>
    <w:rsid w:val="000250C7"/>
    <w:rsid w:val="00025CCF"/>
    <w:rsid w:val="000300E0"/>
    <w:rsid w:val="0003114A"/>
    <w:rsid w:val="000352C1"/>
    <w:rsid w:val="0003619C"/>
    <w:rsid w:val="00037621"/>
    <w:rsid w:val="00044D46"/>
    <w:rsid w:val="00045088"/>
    <w:rsid w:val="00045904"/>
    <w:rsid w:val="000464F7"/>
    <w:rsid w:val="0005141D"/>
    <w:rsid w:val="00054AA5"/>
    <w:rsid w:val="00060E02"/>
    <w:rsid w:val="000628B8"/>
    <w:rsid w:val="00065166"/>
    <w:rsid w:val="00067A88"/>
    <w:rsid w:val="00070B92"/>
    <w:rsid w:val="00073474"/>
    <w:rsid w:val="00077D49"/>
    <w:rsid w:val="00082609"/>
    <w:rsid w:val="000851CC"/>
    <w:rsid w:val="00093BE8"/>
    <w:rsid w:val="000A68ED"/>
    <w:rsid w:val="000B4FEB"/>
    <w:rsid w:val="000B5FF1"/>
    <w:rsid w:val="000B609F"/>
    <w:rsid w:val="000C147F"/>
    <w:rsid w:val="000C6BB9"/>
    <w:rsid w:val="000D32A9"/>
    <w:rsid w:val="000D55A8"/>
    <w:rsid w:val="000E4841"/>
    <w:rsid w:val="000E6325"/>
    <w:rsid w:val="000F12E5"/>
    <w:rsid w:val="000F1677"/>
    <w:rsid w:val="000F3D6C"/>
    <w:rsid w:val="000F579C"/>
    <w:rsid w:val="00101707"/>
    <w:rsid w:val="00114082"/>
    <w:rsid w:val="0011473D"/>
    <w:rsid w:val="00115C85"/>
    <w:rsid w:val="00123855"/>
    <w:rsid w:val="00126A4D"/>
    <w:rsid w:val="00132075"/>
    <w:rsid w:val="00133846"/>
    <w:rsid w:val="001374D8"/>
    <w:rsid w:val="00140E0A"/>
    <w:rsid w:val="0014171F"/>
    <w:rsid w:val="0014622C"/>
    <w:rsid w:val="00146E21"/>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B745E"/>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3002B"/>
    <w:rsid w:val="002305E8"/>
    <w:rsid w:val="00230C34"/>
    <w:rsid w:val="0023198D"/>
    <w:rsid w:val="0023317E"/>
    <w:rsid w:val="00234F2C"/>
    <w:rsid w:val="00240B0E"/>
    <w:rsid w:val="0024116D"/>
    <w:rsid w:val="00241B44"/>
    <w:rsid w:val="00245EFB"/>
    <w:rsid w:val="00250DB8"/>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0314"/>
    <w:rsid w:val="002B1C45"/>
    <w:rsid w:val="002C13C8"/>
    <w:rsid w:val="002C3547"/>
    <w:rsid w:val="002C6A89"/>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6FDF"/>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2F6A"/>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2108F"/>
    <w:rsid w:val="00422242"/>
    <w:rsid w:val="00424D07"/>
    <w:rsid w:val="00430FED"/>
    <w:rsid w:val="00431E6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7485C"/>
    <w:rsid w:val="00491675"/>
    <w:rsid w:val="00493855"/>
    <w:rsid w:val="0049508F"/>
    <w:rsid w:val="004A171E"/>
    <w:rsid w:val="004A38B2"/>
    <w:rsid w:val="004A57DD"/>
    <w:rsid w:val="004A7B51"/>
    <w:rsid w:val="004A7D71"/>
    <w:rsid w:val="004A7EF3"/>
    <w:rsid w:val="004B11FD"/>
    <w:rsid w:val="004B23A2"/>
    <w:rsid w:val="004C4E97"/>
    <w:rsid w:val="004C5E19"/>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2697A"/>
    <w:rsid w:val="00530003"/>
    <w:rsid w:val="00530E88"/>
    <w:rsid w:val="005331CA"/>
    <w:rsid w:val="0053353F"/>
    <w:rsid w:val="00533739"/>
    <w:rsid w:val="00537970"/>
    <w:rsid w:val="00537B57"/>
    <w:rsid w:val="00540B44"/>
    <w:rsid w:val="00540E3A"/>
    <w:rsid w:val="00544127"/>
    <w:rsid w:val="00544273"/>
    <w:rsid w:val="005463A9"/>
    <w:rsid w:val="00553EB2"/>
    <w:rsid w:val="00556777"/>
    <w:rsid w:val="0055688E"/>
    <w:rsid w:val="00560534"/>
    <w:rsid w:val="0056391B"/>
    <w:rsid w:val="00564474"/>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3EC6"/>
    <w:rsid w:val="005B67AC"/>
    <w:rsid w:val="005C2C94"/>
    <w:rsid w:val="005C36BC"/>
    <w:rsid w:val="005C4865"/>
    <w:rsid w:val="005D43E0"/>
    <w:rsid w:val="005D5251"/>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57E4B"/>
    <w:rsid w:val="0066252C"/>
    <w:rsid w:val="006661EF"/>
    <w:rsid w:val="0067121D"/>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C463E"/>
    <w:rsid w:val="006D0E6E"/>
    <w:rsid w:val="006D3A71"/>
    <w:rsid w:val="006D6BD5"/>
    <w:rsid w:val="006E481A"/>
    <w:rsid w:val="006E5298"/>
    <w:rsid w:val="006F2CE3"/>
    <w:rsid w:val="006F734A"/>
    <w:rsid w:val="00700D83"/>
    <w:rsid w:val="00703819"/>
    <w:rsid w:val="00704852"/>
    <w:rsid w:val="00706297"/>
    <w:rsid w:val="00706AD5"/>
    <w:rsid w:val="00706D74"/>
    <w:rsid w:val="007074E9"/>
    <w:rsid w:val="00707FC8"/>
    <w:rsid w:val="00713DA4"/>
    <w:rsid w:val="00714BF1"/>
    <w:rsid w:val="00721383"/>
    <w:rsid w:val="0072554C"/>
    <w:rsid w:val="00725911"/>
    <w:rsid w:val="00731DBD"/>
    <w:rsid w:val="007333CC"/>
    <w:rsid w:val="0073399A"/>
    <w:rsid w:val="00743A4B"/>
    <w:rsid w:val="00751F66"/>
    <w:rsid w:val="00752AAD"/>
    <w:rsid w:val="007603F5"/>
    <w:rsid w:val="00764DB0"/>
    <w:rsid w:val="00766F8A"/>
    <w:rsid w:val="0076764D"/>
    <w:rsid w:val="0077498C"/>
    <w:rsid w:val="00777183"/>
    <w:rsid w:val="00780A82"/>
    <w:rsid w:val="00784128"/>
    <w:rsid w:val="00784B4B"/>
    <w:rsid w:val="007854ED"/>
    <w:rsid w:val="00793173"/>
    <w:rsid w:val="007A0667"/>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21B2"/>
    <w:rsid w:val="00835FD1"/>
    <w:rsid w:val="0084683C"/>
    <w:rsid w:val="008477AC"/>
    <w:rsid w:val="008512FA"/>
    <w:rsid w:val="00853A74"/>
    <w:rsid w:val="00857763"/>
    <w:rsid w:val="00860E61"/>
    <w:rsid w:val="00867A8F"/>
    <w:rsid w:val="008723F3"/>
    <w:rsid w:val="00881DE6"/>
    <w:rsid w:val="008837A6"/>
    <w:rsid w:val="0089130C"/>
    <w:rsid w:val="0089145D"/>
    <w:rsid w:val="008A0C6E"/>
    <w:rsid w:val="008A46CF"/>
    <w:rsid w:val="008A4DF2"/>
    <w:rsid w:val="008A6CFE"/>
    <w:rsid w:val="008A7470"/>
    <w:rsid w:val="008B1A08"/>
    <w:rsid w:val="008B28FA"/>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5BA6"/>
    <w:rsid w:val="00942123"/>
    <w:rsid w:val="00951031"/>
    <w:rsid w:val="0095207B"/>
    <w:rsid w:val="00954461"/>
    <w:rsid w:val="00956085"/>
    <w:rsid w:val="00957951"/>
    <w:rsid w:val="00962045"/>
    <w:rsid w:val="00967EDA"/>
    <w:rsid w:val="00970897"/>
    <w:rsid w:val="00970F30"/>
    <w:rsid w:val="009717E7"/>
    <w:rsid w:val="00980314"/>
    <w:rsid w:val="009816D0"/>
    <w:rsid w:val="00991428"/>
    <w:rsid w:val="00992676"/>
    <w:rsid w:val="00996691"/>
    <w:rsid w:val="009A37BB"/>
    <w:rsid w:val="009A4880"/>
    <w:rsid w:val="009A7865"/>
    <w:rsid w:val="009B0668"/>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A7BE6"/>
    <w:rsid w:val="00AB685C"/>
    <w:rsid w:val="00AB6C2D"/>
    <w:rsid w:val="00AC08F7"/>
    <w:rsid w:val="00AC3839"/>
    <w:rsid w:val="00AC7082"/>
    <w:rsid w:val="00AD3FEA"/>
    <w:rsid w:val="00AD7BBD"/>
    <w:rsid w:val="00AE38C3"/>
    <w:rsid w:val="00AF228E"/>
    <w:rsid w:val="00B04137"/>
    <w:rsid w:val="00B1112C"/>
    <w:rsid w:val="00B11924"/>
    <w:rsid w:val="00B11D19"/>
    <w:rsid w:val="00B12936"/>
    <w:rsid w:val="00B14819"/>
    <w:rsid w:val="00B1768C"/>
    <w:rsid w:val="00B17AA9"/>
    <w:rsid w:val="00B32DE4"/>
    <w:rsid w:val="00B33578"/>
    <w:rsid w:val="00B36EE2"/>
    <w:rsid w:val="00B370C3"/>
    <w:rsid w:val="00B40B0D"/>
    <w:rsid w:val="00B411AE"/>
    <w:rsid w:val="00B46CE2"/>
    <w:rsid w:val="00B60190"/>
    <w:rsid w:val="00B61419"/>
    <w:rsid w:val="00B72F5F"/>
    <w:rsid w:val="00B736DF"/>
    <w:rsid w:val="00B74FBD"/>
    <w:rsid w:val="00B77352"/>
    <w:rsid w:val="00B82586"/>
    <w:rsid w:val="00B829A3"/>
    <w:rsid w:val="00B86DB1"/>
    <w:rsid w:val="00B87869"/>
    <w:rsid w:val="00BA0E44"/>
    <w:rsid w:val="00BA47C5"/>
    <w:rsid w:val="00BB0F2B"/>
    <w:rsid w:val="00BD0D57"/>
    <w:rsid w:val="00BE1A50"/>
    <w:rsid w:val="00BE6679"/>
    <w:rsid w:val="00BF50F7"/>
    <w:rsid w:val="00C02F29"/>
    <w:rsid w:val="00C07419"/>
    <w:rsid w:val="00C10C13"/>
    <w:rsid w:val="00C17111"/>
    <w:rsid w:val="00C20747"/>
    <w:rsid w:val="00C20AFE"/>
    <w:rsid w:val="00C22A25"/>
    <w:rsid w:val="00C23B79"/>
    <w:rsid w:val="00C33D50"/>
    <w:rsid w:val="00C35671"/>
    <w:rsid w:val="00C35B77"/>
    <w:rsid w:val="00C370D3"/>
    <w:rsid w:val="00C376EB"/>
    <w:rsid w:val="00C4003A"/>
    <w:rsid w:val="00C42BEC"/>
    <w:rsid w:val="00C4415F"/>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2920"/>
    <w:rsid w:val="00C963D3"/>
    <w:rsid w:val="00CA6E0D"/>
    <w:rsid w:val="00CB0EB7"/>
    <w:rsid w:val="00CB2CBB"/>
    <w:rsid w:val="00CB56CE"/>
    <w:rsid w:val="00CB5857"/>
    <w:rsid w:val="00CB7CAC"/>
    <w:rsid w:val="00CC0EA0"/>
    <w:rsid w:val="00CC5335"/>
    <w:rsid w:val="00CC5BA4"/>
    <w:rsid w:val="00CC70BB"/>
    <w:rsid w:val="00CD3420"/>
    <w:rsid w:val="00CD4998"/>
    <w:rsid w:val="00CE1035"/>
    <w:rsid w:val="00CF2819"/>
    <w:rsid w:val="00CF4F9D"/>
    <w:rsid w:val="00CF70DC"/>
    <w:rsid w:val="00D148DC"/>
    <w:rsid w:val="00D15BE3"/>
    <w:rsid w:val="00D17FDC"/>
    <w:rsid w:val="00D25135"/>
    <w:rsid w:val="00D3502E"/>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AAC"/>
    <w:rsid w:val="00EA6D31"/>
    <w:rsid w:val="00EB146B"/>
    <w:rsid w:val="00EB45AC"/>
    <w:rsid w:val="00EC04D9"/>
    <w:rsid w:val="00EC2AEA"/>
    <w:rsid w:val="00EC4122"/>
    <w:rsid w:val="00EC7B11"/>
    <w:rsid w:val="00EC7F95"/>
    <w:rsid w:val="00ED0BC4"/>
    <w:rsid w:val="00ED3771"/>
    <w:rsid w:val="00ED4AB7"/>
    <w:rsid w:val="00ED6A32"/>
    <w:rsid w:val="00EE4971"/>
    <w:rsid w:val="00EF090E"/>
    <w:rsid w:val="00EF75F9"/>
    <w:rsid w:val="00F033DA"/>
    <w:rsid w:val="00F11AAB"/>
    <w:rsid w:val="00F13FB1"/>
    <w:rsid w:val="00F17BC1"/>
    <w:rsid w:val="00F17C87"/>
    <w:rsid w:val="00F20272"/>
    <w:rsid w:val="00F20BF4"/>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66D"/>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2029156">
      <w:bodyDiv w:val="1"/>
      <w:marLeft w:val="0"/>
      <w:marRight w:val="0"/>
      <w:marTop w:val="0"/>
      <w:marBottom w:val="0"/>
      <w:divBdr>
        <w:top w:val="none" w:sz="0" w:space="0" w:color="auto"/>
        <w:left w:val="none" w:sz="0" w:space="0" w:color="auto"/>
        <w:bottom w:val="none" w:sz="0" w:space="0" w:color="auto"/>
        <w:right w:val="none" w:sz="0" w:space="0" w:color="auto"/>
      </w:divBdr>
    </w:div>
    <w:div w:id="131991833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exisnexis.com/uk/lexispsl/bankingandfinance/document/412012/8VC1-RHH2-8T41-D0VS-0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F75E5-313C-46A8-8A69-F3D42D7C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5934</TotalTime>
  <Pages>18</Pages>
  <Words>8341</Words>
  <Characters>44130</Characters>
  <Application>Microsoft Office Word</Application>
  <DocSecurity>0</DocSecurity>
  <Lines>1379</Lines>
  <Paragraphs>617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Maughan</cp:lastModifiedBy>
  <cp:revision>17</cp:revision>
  <cp:lastPrinted>2019-08-27T05:42:00Z</cp:lastPrinted>
  <dcterms:created xsi:type="dcterms:W3CDTF">2022-12-06T04:00:00Z</dcterms:created>
  <dcterms:modified xsi:type="dcterms:W3CDTF">2023-02-23T14:24:00Z</dcterms:modified>
</cp:coreProperties>
</file>