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9D6F71">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9D6F71">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rsidP="009D6F71">
      <w:pPr>
        <w:pStyle w:val="ListParagraph"/>
        <w:numPr>
          <w:ilvl w:val="0"/>
          <w:numId w:val="1"/>
        </w:numPr>
        <w:ind w:left="426"/>
        <w:jc w:val="both"/>
        <w:rPr>
          <w:rFonts w:ascii="Avenir Next" w:hAnsi="Avenir Next" w:cs="Arial"/>
          <w:sz w:val="22"/>
          <w:szCs w:val="22"/>
          <w:lang w:val="en-GB"/>
        </w:rPr>
      </w:pPr>
      <w:r w:rsidRPr="00666671">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9D6F71">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9D6F7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9D6F7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9D6F71">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B77352" w:rsidRDefault="00436884" w:rsidP="009D6F71">
      <w:pPr>
        <w:pStyle w:val="ListParagraph"/>
        <w:numPr>
          <w:ilvl w:val="0"/>
          <w:numId w:val="2"/>
        </w:numPr>
        <w:ind w:left="426"/>
        <w:jc w:val="both"/>
        <w:rPr>
          <w:rFonts w:ascii="Avenir Next" w:hAnsi="Avenir Next" w:cs="Arial"/>
          <w:sz w:val="22"/>
          <w:szCs w:val="22"/>
          <w:lang w:val="en-GB"/>
        </w:rPr>
      </w:pPr>
      <w:r w:rsidRPr="00375EFB">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9D6F7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9D6F7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9D6F71">
      <w:pPr>
        <w:pStyle w:val="ListParagraph"/>
        <w:numPr>
          <w:ilvl w:val="0"/>
          <w:numId w:val="3"/>
        </w:numPr>
        <w:ind w:left="426"/>
        <w:jc w:val="both"/>
        <w:rPr>
          <w:rFonts w:ascii="Avenir Next" w:hAnsi="Avenir Next" w:cs="Arial"/>
          <w:sz w:val="22"/>
          <w:szCs w:val="22"/>
          <w:lang w:val="en-GB"/>
        </w:rPr>
      </w:pPr>
      <w:r w:rsidRPr="00440194">
        <w:rPr>
          <w:rFonts w:ascii="Avenir Next" w:hAnsi="Avenir Next" w:cs="Arial"/>
          <w:sz w:val="22"/>
          <w:szCs w:val="22"/>
          <w:highlight w:val="yellow"/>
          <w:lang w:val="en-GB"/>
        </w:rPr>
        <w:t>The debtor has neither its COMI nor an establishment in the jurisdiction where the foreign proceedings were opened.</w:t>
      </w:r>
      <w:r w:rsidRPr="00B77352">
        <w:rPr>
          <w:rFonts w:ascii="Avenir Next" w:hAnsi="Avenir Next" w:cs="Arial"/>
          <w:sz w:val="22"/>
          <w:szCs w:val="22"/>
          <w:lang w:val="en-GB"/>
        </w:rPr>
        <w:t xml:space="preserve">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9D6F71">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9D6F71">
      <w:pPr>
        <w:pStyle w:val="ListParagraph"/>
        <w:numPr>
          <w:ilvl w:val="0"/>
          <w:numId w:val="4"/>
        </w:numPr>
        <w:ind w:left="426"/>
        <w:jc w:val="both"/>
        <w:rPr>
          <w:rFonts w:ascii="Avenir Next" w:hAnsi="Avenir Next" w:cs="Arial"/>
          <w:sz w:val="22"/>
          <w:szCs w:val="22"/>
          <w:lang w:val="en-GB"/>
        </w:rPr>
      </w:pPr>
      <w:r w:rsidRPr="00C95B96">
        <w:rPr>
          <w:rFonts w:ascii="Avenir Next" w:hAnsi="Avenir Next" w:cs="Arial"/>
          <w:sz w:val="22"/>
          <w:szCs w:val="22"/>
          <w:highlight w:val="yellow"/>
          <w:lang w:val="en-GB"/>
        </w:rPr>
        <w:t xml:space="preserve">The </w:t>
      </w:r>
      <w:r w:rsidRPr="00C95B96">
        <w:rPr>
          <w:rFonts w:ascii="Avenir Next" w:hAnsi="Avenir Next" w:cs="Arial"/>
          <w:i/>
          <w:iCs/>
          <w:sz w:val="22"/>
          <w:szCs w:val="22"/>
          <w:highlight w:val="yellow"/>
          <w:lang w:val="en-GB"/>
        </w:rPr>
        <w:t>locus standi</w:t>
      </w:r>
      <w:r w:rsidRPr="00C95B96">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9D6F71">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9D6F7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9D6F71">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9D6F7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9D6F7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B77352" w:rsidRDefault="00C504E5" w:rsidP="009D6F71">
      <w:pPr>
        <w:pStyle w:val="ListParagraph"/>
        <w:numPr>
          <w:ilvl w:val="0"/>
          <w:numId w:val="5"/>
        </w:numPr>
        <w:ind w:left="426"/>
        <w:jc w:val="both"/>
        <w:rPr>
          <w:rFonts w:ascii="Avenir Next" w:hAnsi="Avenir Next" w:cs="Arial"/>
          <w:sz w:val="22"/>
          <w:szCs w:val="22"/>
          <w:lang w:val="en-GB"/>
        </w:rPr>
      </w:pPr>
      <w:r w:rsidRPr="00101C40">
        <w:rPr>
          <w:rFonts w:ascii="Avenir Next" w:hAnsi="Avenir Next" w:cs="Arial"/>
          <w:sz w:val="22"/>
          <w:szCs w:val="22"/>
          <w:highlight w:val="yellow"/>
          <w:lang w:val="en-GB"/>
        </w:rPr>
        <w:t xml:space="preserve">Both the foreign main proceedings in South Africa and the foreign non-main proceedings in </w:t>
      </w:r>
      <w:r w:rsidR="004137C3" w:rsidRPr="00101C40">
        <w:rPr>
          <w:rFonts w:ascii="Avenir Next" w:hAnsi="Avenir Next" w:cs="Arial"/>
          <w:sz w:val="22"/>
          <w:szCs w:val="22"/>
          <w:highlight w:val="yellow"/>
          <w:lang w:val="en-GB"/>
        </w:rPr>
        <w:t xml:space="preserve">Argentina </w:t>
      </w:r>
      <w:r w:rsidRPr="00101C40">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9D6F71">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9D6F7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9D6F7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9D6F71">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9D6F71">
      <w:pPr>
        <w:pStyle w:val="ListParagraph"/>
        <w:numPr>
          <w:ilvl w:val="0"/>
          <w:numId w:val="6"/>
        </w:numPr>
        <w:ind w:left="426"/>
        <w:jc w:val="both"/>
        <w:rPr>
          <w:rFonts w:ascii="Avenir Next" w:hAnsi="Avenir Next" w:cs="Arial"/>
          <w:sz w:val="22"/>
          <w:szCs w:val="22"/>
          <w:lang w:val="en-GB"/>
        </w:rPr>
      </w:pPr>
      <w:r w:rsidRPr="0001356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13567">
        <w:rPr>
          <w:rFonts w:ascii="Avenir Next" w:hAnsi="Avenir Next" w:cs="Arial"/>
          <w:sz w:val="22"/>
          <w:szCs w:val="22"/>
          <w:highlight w:val="yellow"/>
          <w:lang w:val="en-GB"/>
        </w:rPr>
        <w:t>will</w:t>
      </w:r>
      <w:r w:rsidRPr="00013567">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9D6F7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9D6F71">
      <w:pPr>
        <w:pStyle w:val="ListParagraph"/>
        <w:numPr>
          <w:ilvl w:val="0"/>
          <w:numId w:val="7"/>
        </w:numPr>
        <w:ind w:left="426"/>
        <w:jc w:val="both"/>
        <w:rPr>
          <w:rFonts w:ascii="Avenir Next" w:hAnsi="Avenir Next" w:cs="Arial"/>
          <w:sz w:val="22"/>
          <w:szCs w:val="22"/>
          <w:lang w:val="en-GB"/>
        </w:rPr>
      </w:pPr>
      <w:r w:rsidRPr="00672EA5">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r w:rsidRPr="00B77352">
        <w:rPr>
          <w:rFonts w:ascii="Avenir Next" w:hAnsi="Avenir Next" w:cs="Arial"/>
          <w:sz w:val="22"/>
          <w:szCs w:val="22"/>
          <w:lang w:val="en-GB"/>
        </w:rPr>
        <w:t>.</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9D6F7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9D6F71">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9D6F7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9D6F7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9D6F71">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9D6F71">
      <w:pPr>
        <w:pStyle w:val="ListParagraph"/>
        <w:numPr>
          <w:ilvl w:val="0"/>
          <w:numId w:val="8"/>
        </w:numPr>
        <w:ind w:left="426"/>
        <w:jc w:val="both"/>
        <w:rPr>
          <w:rFonts w:ascii="Avenir Next" w:hAnsi="Avenir Next" w:cs="Arial"/>
          <w:sz w:val="22"/>
          <w:szCs w:val="22"/>
          <w:lang w:val="en-GB"/>
        </w:rPr>
      </w:pPr>
      <w:r w:rsidRPr="00672EA5">
        <w:rPr>
          <w:rFonts w:ascii="Avenir Next" w:hAnsi="Avenir Next" w:cs="Arial"/>
          <w:sz w:val="22"/>
          <w:szCs w:val="22"/>
          <w:highlight w:val="yellow"/>
          <w:lang w:val="en-GB"/>
        </w:rPr>
        <w:t>All of the above</w:t>
      </w:r>
      <w:r w:rsidRPr="00B77352">
        <w:rPr>
          <w:rFonts w:ascii="Avenir Next" w:hAnsi="Avenir Next" w:cs="Arial"/>
          <w:sz w:val="22"/>
          <w:szCs w:val="22"/>
          <w:lang w:val="en-GB"/>
        </w:rPr>
        <w:t>.</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9D6F7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9D6F71">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9D6F71">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9D6F71">
      <w:pPr>
        <w:pStyle w:val="ListParagraph"/>
        <w:numPr>
          <w:ilvl w:val="0"/>
          <w:numId w:val="9"/>
        </w:numPr>
        <w:ind w:left="426"/>
        <w:jc w:val="both"/>
        <w:rPr>
          <w:rFonts w:ascii="Avenir Next" w:hAnsi="Avenir Next" w:cs="Arial"/>
          <w:sz w:val="22"/>
          <w:szCs w:val="22"/>
          <w:lang w:val="en-GB"/>
        </w:rPr>
      </w:pPr>
      <w:r w:rsidRPr="00672EA5">
        <w:rPr>
          <w:rFonts w:ascii="Avenir Next" w:hAnsi="Avenir Next" w:cs="Arial"/>
          <w:sz w:val="22"/>
          <w:szCs w:val="22"/>
          <w:highlight w:val="yellow"/>
          <w:lang w:val="en-GB"/>
        </w:rPr>
        <w:t>Neither (a) nor (b</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9D6F71">
      <w:pPr>
        <w:pStyle w:val="ListParagraph"/>
        <w:numPr>
          <w:ilvl w:val="0"/>
          <w:numId w:val="10"/>
        </w:numPr>
        <w:ind w:left="426"/>
        <w:jc w:val="both"/>
        <w:rPr>
          <w:rFonts w:ascii="Avenir Next" w:hAnsi="Avenir Next" w:cs="Arial"/>
          <w:sz w:val="22"/>
          <w:szCs w:val="22"/>
          <w:lang w:val="en-GB"/>
        </w:rPr>
      </w:pPr>
      <w:r w:rsidRPr="00A0287E">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9D6F71">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9D6F7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9D6F71">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35957DB8" w14:textId="77777777" w:rsidR="00C36719" w:rsidRDefault="00C36719" w:rsidP="00707FC8">
      <w:pPr>
        <w:jc w:val="both"/>
        <w:rPr>
          <w:rFonts w:ascii="Avenir Next Demi Bold" w:hAnsi="Avenir Next Demi Bold" w:cs="Arial"/>
          <w:b/>
          <w:bCs/>
          <w:sz w:val="22"/>
          <w:szCs w:val="22"/>
          <w:lang w:val="en-GB"/>
        </w:rPr>
      </w:pPr>
    </w:p>
    <w:p w14:paraId="4FC20A3B" w14:textId="75759CFA"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w:t>
      </w:r>
      <w:r w:rsidR="002A368C">
        <w:rPr>
          <w:rFonts w:ascii="Avenir Next Demi Bold" w:hAnsi="Avenir Next Demi Bold" w:cs="Arial"/>
          <w:b/>
          <w:bCs/>
          <w:sz w:val="22"/>
          <w:szCs w:val="22"/>
          <w:lang w:val="en-GB"/>
        </w:rPr>
        <w:t xml:space="preserve"> </w:t>
      </w:r>
      <w:r w:rsidRPr="007B497A">
        <w:rPr>
          <w:rFonts w:ascii="Avenir Next Demi Bold" w:hAnsi="Avenir Next Demi Bold" w:cs="Arial"/>
          <w:b/>
          <w:bCs/>
          <w:sz w:val="22"/>
          <w:szCs w:val="22"/>
          <w:lang w:val="en-GB"/>
        </w:rPr>
        <w:t>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A9E7E0C" w14:textId="222078DA" w:rsidR="003476E7" w:rsidRDefault="00536072" w:rsidP="00F632E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COMI is not defined under the MLCBI but must be determined by reference to </w:t>
      </w:r>
      <w:r w:rsidR="001743D3">
        <w:rPr>
          <w:rFonts w:ascii="Avenir Next" w:hAnsi="Avenir Next" w:cs="Arial"/>
          <w:color w:val="808080" w:themeColor="background1" w:themeShade="80"/>
          <w:sz w:val="22"/>
          <w:szCs w:val="22"/>
          <w:lang w:val="en-GB"/>
        </w:rPr>
        <w:t>cer</w:t>
      </w:r>
      <w:r w:rsidR="00DC4A59">
        <w:rPr>
          <w:rFonts w:ascii="Avenir Next" w:hAnsi="Avenir Next" w:cs="Arial"/>
          <w:color w:val="808080" w:themeColor="background1" w:themeShade="80"/>
          <w:sz w:val="22"/>
          <w:szCs w:val="22"/>
          <w:lang w:val="en-GB"/>
        </w:rPr>
        <w:t xml:space="preserve">tain factors which correspond with </w:t>
      </w:r>
      <w:r w:rsidR="003F4C8A">
        <w:rPr>
          <w:rFonts w:ascii="Avenir Next" w:hAnsi="Avenir Next" w:cs="Arial"/>
          <w:color w:val="808080" w:themeColor="background1" w:themeShade="80"/>
          <w:sz w:val="22"/>
          <w:szCs w:val="22"/>
          <w:lang w:val="en-GB"/>
        </w:rPr>
        <w:t>or</w:t>
      </w:r>
      <w:r w:rsidR="00612C70">
        <w:rPr>
          <w:rFonts w:ascii="Avenir Next" w:hAnsi="Avenir Next" w:cs="Arial"/>
          <w:color w:val="808080" w:themeColor="background1" w:themeShade="80"/>
          <w:sz w:val="22"/>
          <w:szCs w:val="22"/>
          <w:lang w:val="en-GB"/>
        </w:rPr>
        <w:t xml:space="preserve"> which</w:t>
      </w:r>
      <w:r w:rsidR="003F4C8A">
        <w:rPr>
          <w:rFonts w:ascii="Avenir Next" w:hAnsi="Avenir Next" w:cs="Arial"/>
          <w:color w:val="808080" w:themeColor="background1" w:themeShade="80"/>
          <w:sz w:val="22"/>
          <w:szCs w:val="22"/>
          <w:lang w:val="en-GB"/>
        </w:rPr>
        <w:t xml:space="preserve"> point to </w:t>
      </w:r>
      <w:r w:rsidR="00DC4A59">
        <w:rPr>
          <w:rFonts w:ascii="Avenir Next" w:hAnsi="Avenir Next" w:cs="Arial"/>
          <w:color w:val="808080" w:themeColor="background1" w:themeShade="80"/>
          <w:sz w:val="22"/>
          <w:szCs w:val="22"/>
          <w:lang w:val="en-GB"/>
        </w:rPr>
        <w:t xml:space="preserve">the </w:t>
      </w:r>
      <w:r w:rsidR="008B1A0A">
        <w:rPr>
          <w:rFonts w:ascii="Avenir Next" w:hAnsi="Avenir Next" w:cs="Arial"/>
          <w:color w:val="808080" w:themeColor="background1" w:themeShade="80"/>
          <w:sz w:val="22"/>
          <w:szCs w:val="22"/>
          <w:lang w:val="en-GB"/>
        </w:rPr>
        <w:t>location of</w:t>
      </w:r>
      <w:r w:rsidR="005403BA">
        <w:rPr>
          <w:rFonts w:ascii="Avenir Next" w:hAnsi="Avenir Next" w:cs="Arial"/>
          <w:color w:val="808080" w:themeColor="background1" w:themeShade="80"/>
          <w:sz w:val="22"/>
          <w:szCs w:val="22"/>
          <w:lang w:val="en-GB"/>
        </w:rPr>
        <w:t xml:space="preserve"> what is referred to as</w:t>
      </w:r>
      <w:r w:rsidR="008B1A0A">
        <w:rPr>
          <w:rFonts w:ascii="Avenir Next" w:hAnsi="Avenir Next" w:cs="Arial"/>
          <w:color w:val="808080" w:themeColor="background1" w:themeShade="80"/>
          <w:sz w:val="22"/>
          <w:szCs w:val="22"/>
          <w:lang w:val="en-GB"/>
        </w:rPr>
        <w:t xml:space="preserve"> the debtor</w:t>
      </w:r>
      <w:r w:rsidR="007B1E08">
        <w:rPr>
          <w:rFonts w:ascii="Avenir Next" w:hAnsi="Avenir Next" w:cs="Arial"/>
          <w:color w:val="808080" w:themeColor="background1" w:themeShade="80"/>
          <w:sz w:val="22"/>
          <w:szCs w:val="22"/>
          <w:lang w:val="en-GB"/>
        </w:rPr>
        <w:t xml:space="preserve">’s </w:t>
      </w:r>
      <w:r w:rsidR="00954E4C">
        <w:rPr>
          <w:rFonts w:ascii="Avenir Next" w:hAnsi="Avenir Next" w:cs="Arial"/>
          <w:color w:val="808080" w:themeColor="background1" w:themeShade="80"/>
          <w:sz w:val="22"/>
          <w:szCs w:val="22"/>
          <w:lang w:val="en-GB"/>
        </w:rPr>
        <w:t>centre</w:t>
      </w:r>
      <w:r w:rsidR="007B1E08">
        <w:rPr>
          <w:rFonts w:ascii="Avenir Next" w:hAnsi="Avenir Next" w:cs="Arial"/>
          <w:color w:val="808080" w:themeColor="background1" w:themeShade="80"/>
          <w:sz w:val="22"/>
          <w:szCs w:val="22"/>
          <w:lang w:val="en-GB"/>
        </w:rPr>
        <w:t xml:space="preserve"> of main </w:t>
      </w:r>
      <w:r w:rsidR="003B7401">
        <w:rPr>
          <w:rFonts w:ascii="Avenir Next" w:hAnsi="Avenir Next" w:cs="Arial"/>
          <w:color w:val="808080" w:themeColor="background1" w:themeShade="80"/>
          <w:sz w:val="22"/>
          <w:szCs w:val="22"/>
          <w:lang w:val="en-GB"/>
        </w:rPr>
        <w:t>interest</w:t>
      </w:r>
      <w:r w:rsidR="007B1E08">
        <w:rPr>
          <w:rFonts w:ascii="Avenir Next" w:hAnsi="Avenir Next" w:cs="Arial"/>
          <w:color w:val="808080" w:themeColor="background1" w:themeShade="80"/>
          <w:sz w:val="22"/>
          <w:szCs w:val="22"/>
          <w:lang w:val="en-GB"/>
        </w:rPr>
        <w:t xml:space="preserve">. </w:t>
      </w:r>
      <w:r w:rsidR="007670D9">
        <w:rPr>
          <w:rFonts w:ascii="Avenir Next" w:hAnsi="Avenir Next" w:cs="Arial"/>
          <w:color w:val="808080" w:themeColor="background1" w:themeShade="80"/>
          <w:sz w:val="22"/>
          <w:szCs w:val="22"/>
          <w:lang w:val="en-GB"/>
        </w:rPr>
        <w:t xml:space="preserve"> </w:t>
      </w:r>
      <w:r w:rsidR="0094571E">
        <w:rPr>
          <w:rFonts w:ascii="Avenir Next" w:hAnsi="Avenir Next" w:cs="Arial"/>
          <w:color w:val="808080" w:themeColor="background1" w:themeShade="80"/>
          <w:sz w:val="22"/>
          <w:szCs w:val="22"/>
          <w:lang w:val="en-GB"/>
        </w:rPr>
        <w:t>There are a number of factors which a court may take into consideration when determining the debtor’s COMI</w:t>
      </w:r>
      <w:r w:rsidR="006F5B12">
        <w:rPr>
          <w:rFonts w:ascii="Avenir Next" w:hAnsi="Avenir Next" w:cs="Arial"/>
          <w:color w:val="808080" w:themeColor="background1" w:themeShade="80"/>
          <w:sz w:val="22"/>
          <w:szCs w:val="22"/>
          <w:lang w:val="en-GB"/>
        </w:rPr>
        <w:t>,</w:t>
      </w:r>
      <w:r w:rsidR="0094571E">
        <w:rPr>
          <w:rFonts w:ascii="Avenir Next" w:hAnsi="Avenir Next" w:cs="Arial"/>
          <w:color w:val="808080" w:themeColor="background1" w:themeShade="80"/>
          <w:sz w:val="22"/>
          <w:szCs w:val="22"/>
          <w:lang w:val="en-GB"/>
        </w:rPr>
        <w:t xml:space="preserve"> however u</w:t>
      </w:r>
      <w:r w:rsidR="0038543B">
        <w:rPr>
          <w:rFonts w:ascii="Avenir Next" w:hAnsi="Avenir Next" w:cs="Arial"/>
          <w:color w:val="808080" w:themeColor="background1" w:themeShade="80"/>
          <w:sz w:val="22"/>
          <w:szCs w:val="22"/>
          <w:lang w:val="en-GB"/>
        </w:rPr>
        <w:t xml:space="preserve">nder the </w:t>
      </w:r>
      <w:r w:rsidR="0059442C">
        <w:rPr>
          <w:rFonts w:ascii="Avenir Next" w:hAnsi="Avenir Next" w:cs="Arial"/>
          <w:color w:val="808080" w:themeColor="background1" w:themeShade="80"/>
          <w:sz w:val="22"/>
          <w:szCs w:val="22"/>
          <w:lang w:val="en-GB"/>
        </w:rPr>
        <w:t>MLCBI the two main factors</w:t>
      </w:r>
      <w:r w:rsidR="00292987">
        <w:rPr>
          <w:rFonts w:ascii="Avenir Next" w:hAnsi="Avenir Next" w:cs="Arial"/>
          <w:color w:val="808080" w:themeColor="background1" w:themeShade="80"/>
          <w:sz w:val="22"/>
          <w:szCs w:val="22"/>
          <w:lang w:val="en-GB"/>
        </w:rPr>
        <w:t xml:space="preserve"> are:</w:t>
      </w:r>
    </w:p>
    <w:p w14:paraId="5BD46068" w14:textId="77777777" w:rsidR="003476E7" w:rsidRDefault="003476E7" w:rsidP="00F632E8">
      <w:pPr>
        <w:ind w:left="720"/>
        <w:jc w:val="both"/>
        <w:rPr>
          <w:rFonts w:ascii="Avenir Next" w:hAnsi="Avenir Next" w:cs="Arial"/>
          <w:color w:val="808080" w:themeColor="background1" w:themeShade="80"/>
          <w:sz w:val="22"/>
          <w:szCs w:val="22"/>
          <w:lang w:val="en-GB"/>
        </w:rPr>
      </w:pPr>
    </w:p>
    <w:p w14:paraId="374A65D6" w14:textId="77777777" w:rsidR="00B85D4F" w:rsidRDefault="003476E7" w:rsidP="009D6F71">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7729FD">
        <w:rPr>
          <w:rFonts w:ascii="Avenir Next" w:hAnsi="Avenir Next" w:cs="Arial"/>
          <w:color w:val="808080" w:themeColor="background1" w:themeShade="80"/>
          <w:sz w:val="22"/>
          <w:szCs w:val="22"/>
          <w:lang w:val="en-GB"/>
        </w:rPr>
        <w:t xml:space="preserve">place where the </w:t>
      </w:r>
      <w:r w:rsidR="00B85D4F">
        <w:rPr>
          <w:rFonts w:ascii="Avenir Next" w:hAnsi="Avenir Next" w:cs="Arial"/>
          <w:color w:val="808080" w:themeColor="background1" w:themeShade="80"/>
          <w:sz w:val="22"/>
          <w:szCs w:val="22"/>
          <w:lang w:val="en-GB"/>
        </w:rPr>
        <w:t xml:space="preserve">debtor’s central administration takes place; and </w:t>
      </w:r>
    </w:p>
    <w:p w14:paraId="4CDF56C5" w14:textId="145D9C05" w:rsidR="00BC6A59" w:rsidRDefault="005841D0" w:rsidP="009D6F71">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BC6A59">
        <w:rPr>
          <w:rFonts w:ascii="Avenir Next" w:hAnsi="Avenir Next" w:cs="Arial"/>
          <w:color w:val="808080" w:themeColor="background1" w:themeShade="80"/>
          <w:sz w:val="22"/>
          <w:szCs w:val="22"/>
          <w:lang w:val="en-GB"/>
        </w:rPr>
        <w:t>uch place which is readily ascertainable by the debtor’s creditors</w:t>
      </w:r>
      <w:r>
        <w:rPr>
          <w:rFonts w:ascii="Avenir Next" w:hAnsi="Avenir Next" w:cs="Arial"/>
          <w:color w:val="808080" w:themeColor="background1" w:themeShade="80"/>
          <w:sz w:val="22"/>
          <w:szCs w:val="22"/>
          <w:lang w:val="en-GB"/>
        </w:rPr>
        <w:t>.</w:t>
      </w:r>
    </w:p>
    <w:p w14:paraId="2AC13879" w14:textId="77777777" w:rsidR="00BC6A59" w:rsidRDefault="00BC6A59" w:rsidP="00030605">
      <w:pPr>
        <w:pStyle w:val="ListParagraph"/>
        <w:ind w:left="1080"/>
        <w:jc w:val="both"/>
        <w:rPr>
          <w:rFonts w:ascii="Avenir Next" w:hAnsi="Avenir Next" w:cs="Arial"/>
          <w:color w:val="808080" w:themeColor="background1" w:themeShade="80"/>
          <w:sz w:val="22"/>
          <w:szCs w:val="22"/>
          <w:lang w:val="en-GB"/>
        </w:rPr>
      </w:pPr>
    </w:p>
    <w:p w14:paraId="7E60E5E8" w14:textId="2F7DA4E7" w:rsidR="00356636" w:rsidRPr="00C120B5" w:rsidRDefault="00C120B5" w:rsidP="00C120B5">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s</w:t>
      </w:r>
      <w:r w:rsidR="007670D9" w:rsidRPr="00C120B5">
        <w:rPr>
          <w:rFonts w:ascii="Avenir Next" w:hAnsi="Avenir Next" w:cs="Arial"/>
          <w:color w:val="808080" w:themeColor="background1" w:themeShade="80"/>
          <w:sz w:val="22"/>
          <w:szCs w:val="22"/>
          <w:lang w:val="en-GB"/>
        </w:rPr>
        <w:t xml:space="preserve">uch factors may include </w:t>
      </w:r>
      <w:r w:rsidR="00CD578B">
        <w:rPr>
          <w:rFonts w:ascii="Avenir Next" w:hAnsi="Avenir Next" w:cs="Arial"/>
          <w:color w:val="808080" w:themeColor="background1" w:themeShade="80"/>
          <w:sz w:val="22"/>
          <w:szCs w:val="22"/>
          <w:lang w:val="en-GB"/>
        </w:rPr>
        <w:t>the</w:t>
      </w:r>
      <w:r w:rsidR="007670D9" w:rsidRPr="00C120B5">
        <w:rPr>
          <w:rFonts w:ascii="Avenir Next" w:hAnsi="Avenir Next" w:cs="Arial"/>
          <w:color w:val="808080" w:themeColor="background1" w:themeShade="80"/>
          <w:sz w:val="22"/>
          <w:szCs w:val="22"/>
          <w:lang w:val="en-GB"/>
        </w:rPr>
        <w:t xml:space="preserve"> debtor’s registered office</w:t>
      </w:r>
      <w:r w:rsidR="00CD578B">
        <w:rPr>
          <w:rFonts w:ascii="Avenir Next" w:hAnsi="Avenir Next" w:cs="Arial"/>
          <w:color w:val="808080" w:themeColor="background1" w:themeShade="80"/>
          <w:sz w:val="22"/>
          <w:szCs w:val="22"/>
          <w:lang w:val="en-GB"/>
        </w:rPr>
        <w:t xml:space="preserve"> (in the case of a corporate debtor)</w:t>
      </w:r>
      <w:r w:rsidR="007670D9" w:rsidRPr="00C120B5">
        <w:rPr>
          <w:rFonts w:ascii="Avenir Next" w:hAnsi="Avenir Next" w:cs="Arial"/>
          <w:color w:val="808080" w:themeColor="background1" w:themeShade="80"/>
          <w:sz w:val="22"/>
          <w:szCs w:val="22"/>
          <w:lang w:val="en-GB"/>
        </w:rPr>
        <w:t xml:space="preserve"> or</w:t>
      </w:r>
      <w:r w:rsidR="00CD578B">
        <w:rPr>
          <w:rFonts w:ascii="Avenir Next" w:hAnsi="Avenir Next" w:cs="Arial"/>
          <w:color w:val="808080" w:themeColor="background1" w:themeShade="80"/>
          <w:sz w:val="22"/>
          <w:szCs w:val="22"/>
          <w:lang w:val="en-GB"/>
        </w:rPr>
        <w:t xml:space="preserve"> the habitual residence (</w:t>
      </w:r>
      <w:r w:rsidR="00B96AE7" w:rsidRPr="00C120B5">
        <w:rPr>
          <w:rFonts w:ascii="Avenir Next" w:hAnsi="Avenir Next" w:cs="Arial"/>
          <w:color w:val="808080" w:themeColor="background1" w:themeShade="80"/>
          <w:sz w:val="22"/>
          <w:szCs w:val="22"/>
          <w:lang w:val="en-GB"/>
        </w:rPr>
        <w:t>in the case of an individual</w:t>
      </w:r>
      <w:r w:rsidR="00030605">
        <w:rPr>
          <w:rFonts w:ascii="Avenir Next" w:hAnsi="Avenir Next" w:cs="Arial"/>
          <w:color w:val="808080" w:themeColor="background1" w:themeShade="80"/>
          <w:sz w:val="22"/>
          <w:szCs w:val="22"/>
          <w:lang w:val="en-GB"/>
        </w:rPr>
        <w:t>); -</w:t>
      </w:r>
      <w:r w:rsidR="00A108DB" w:rsidRPr="00C120B5">
        <w:rPr>
          <w:rFonts w:ascii="Avenir Next" w:hAnsi="Avenir Next" w:cs="Arial"/>
          <w:color w:val="808080" w:themeColor="background1" w:themeShade="80"/>
          <w:sz w:val="22"/>
          <w:szCs w:val="22"/>
          <w:lang w:val="en-GB"/>
        </w:rPr>
        <w:t xml:space="preserve"> </w:t>
      </w:r>
      <w:r w:rsidR="00E14F92" w:rsidRPr="00C120B5">
        <w:rPr>
          <w:rFonts w:ascii="Avenir Next" w:hAnsi="Avenir Next" w:cs="Arial"/>
          <w:color w:val="808080" w:themeColor="background1" w:themeShade="80"/>
          <w:sz w:val="22"/>
          <w:szCs w:val="22"/>
          <w:lang w:val="en-GB"/>
        </w:rPr>
        <w:t>in fact Art</w:t>
      </w:r>
      <w:r w:rsidR="00F7395F">
        <w:rPr>
          <w:rFonts w:ascii="Avenir Next" w:hAnsi="Avenir Next" w:cs="Arial"/>
          <w:color w:val="808080" w:themeColor="background1" w:themeShade="80"/>
          <w:sz w:val="22"/>
          <w:szCs w:val="22"/>
          <w:lang w:val="en-GB"/>
        </w:rPr>
        <w:t>icle</w:t>
      </w:r>
      <w:r w:rsidR="00E14F92" w:rsidRPr="00C120B5">
        <w:rPr>
          <w:rFonts w:ascii="Avenir Next" w:hAnsi="Avenir Next" w:cs="Arial"/>
          <w:color w:val="808080" w:themeColor="background1" w:themeShade="80"/>
          <w:sz w:val="22"/>
          <w:szCs w:val="22"/>
          <w:lang w:val="en-GB"/>
        </w:rPr>
        <w:t xml:space="preserve"> 16 provides rebuttable presumptions to this effect.  </w:t>
      </w:r>
      <w:r w:rsidR="00B96AE7" w:rsidRPr="00C120B5">
        <w:rPr>
          <w:rFonts w:ascii="Avenir Next" w:hAnsi="Avenir Next" w:cs="Arial"/>
          <w:color w:val="808080" w:themeColor="background1" w:themeShade="80"/>
          <w:sz w:val="22"/>
          <w:szCs w:val="22"/>
          <w:lang w:val="en-GB"/>
        </w:rPr>
        <w:t xml:space="preserve"> </w:t>
      </w:r>
    </w:p>
    <w:p w14:paraId="2FE49CB3" w14:textId="77777777" w:rsidR="00356636" w:rsidRDefault="00356636" w:rsidP="00F632E8">
      <w:pPr>
        <w:ind w:left="720"/>
        <w:jc w:val="both"/>
        <w:rPr>
          <w:rFonts w:ascii="Avenir Next" w:hAnsi="Avenir Next" w:cs="Arial"/>
          <w:color w:val="808080" w:themeColor="background1" w:themeShade="80"/>
          <w:sz w:val="22"/>
          <w:szCs w:val="22"/>
          <w:lang w:val="en-GB"/>
        </w:rPr>
      </w:pPr>
    </w:p>
    <w:p w14:paraId="22280964" w14:textId="4BF5E76B" w:rsidR="00D35D51" w:rsidRDefault="00356636" w:rsidP="005A013E">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Determining the COMI is </w:t>
      </w:r>
      <w:r w:rsidR="005A013E">
        <w:rPr>
          <w:rFonts w:ascii="Avenir Next" w:hAnsi="Avenir Next" w:cs="Arial"/>
          <w:color w:val="808080" w:themeColor="background1" w:themeShade="80"/>
          <w:sz w:val="22"/>
          <w:szCs w:val="22"/>
          <w:lang w:val="en-GB"/>
        </w:rPr>
        <w:t>important because</w:t>
      </w:r>
      <w:r w:rsidR="00256678">
        <w:rPr>
          <w:rFonts w:ascii="Avenir Next" w:hAnsi="Avenir Next" w:cs="Arial"/>
          <w:color w:val="808080" w:themeColor="background1" w:themeShade="80"/>
          <w:sz w:val="22"/>
          <w:szCs w:val="22"/>
          <w:lang w:val="en-GB"/>
        </w:rPr>
        <w:t xml:space="preserve"> it determines where the judicial </w:t>
      </w:r>
      <w:r w:rsidR="00AB71C4">
        <w:rPr>
          <w:rFonts w:ascii="Avenir Next" w:hAnsi="Avenir Next" w:cs="Arial"/>
          <w:color w:val="808080" w:themeColor="background1" w:themeShade="80"/>
          <w:sz w:val="22"/>
          <w:szCs w:val="22"/>
          <w:lang w:val="en-GB"/>
        </w:rPr>
        <w:t>proceedings will be held</w:t>
      </w:r>
      <w:r w:rsidR="00605F51">
        <w:rPr>
          <w:rFonts w:ascii="Avenir Next" w:hAnsi="Avenir Next" w:cs="Arial"/>
          <w:color w:val="808080" w:themeColor="background1" w:themeShade="80"/>
          <w:sz w:val="22"/>
          <w:szCs w:val="22"/>
          <w:lang w:val="en-GB"/>
        </w:rPr>
        <w:t>,</w:t>
      </w:r>
      <w:r w:rsidR="00AB71C4">
        <w:rPr>
          <w:rFonts w:ascii="Avenir Next" w:hAnsi="Avenir Next" w:cs="Arial"/>
          <w:color w:val="808080" w:themeColor="background1" w:themeShade="80"/>
          <w:sz w:val="22"/>
          <w:szCs w:val="22"/>
          <w:lang w:val="en-GB"/>
        </w:rPr>
        <w:t xml:space="preserve"> and </w:t>
      </w:r>
      <w:r w:rsidR="00DE36C0">
        <w:rPr>
          <w:rFonts w:ascii="Avenir Next" w:hAnsi="Avenir Next" w:cs="Arial"/>
          <w:color w:val="808080" w:themeColor="background1" w:themeShade="80"/>
          <w:sz w:val="22"/>
          <w:szCs w:val="22"/>
          <w:lang w:val="en-GB"/>
        </w:rPr>
        <w:t>in the case of concurrent proceedings</w:t>
      </w:r>
      <w:r w:rsidR="00605F51">
        <w:rPr>
          <w:rFonts w:ascii="Avenir Next" w:hAnsi="Avenir Next" w:cs="Arial"/>
          <w:color w:val="808080" w:themeColor="background1" w:themeShade="80"/>
          <w:sz w:val="22"/>
          <w:szCs w:val="22"/>
          <w:lang w:val="en-GB"/>
        </w:rPr>
        <w:t>,</w:t>
      </w:r>
      <w:r w:rsidR="00DE36C0">
        <w:rPr>
          <w:rFonts w:ascii="Avenir Next" w:hAnsi="Avenir Next" w:cs="Arial"/>
          <w:color w:val="808080" w:themeColor="background1" w:themeShade="80"/>
          <w:sz w:val="22"/>
          <w:szCs w:val="22"/>
          <w:lang w:val="en-GB"/>
        </w:rPr>
        <w:t xml:space="preserve"> it determines which proceeding should be designated as the </w:t>
      </w:r>
      <w:r w:rsidR="00097043">
        <w:rPr>
          <w:rFonts w:ascii="Avenir Next" w:hAnsi="Avenir Next" w:cs="Arial"/>
          <w:color w:val="808080" w:themeColor="background1" w:themeShade="80"/>
          <w:sz w:val="22"/>
          <w:szCs w:val="22"/>
          <w:lang w:val="en-GB"/>
        </w:rPr>
        <w:t xml:space="preserve">main proceeding.  Such determination </w:t>
      </w:r>
      <w:r w:rsidR="00720155">
        <w:rPr>
          <w:rFonts w:ascii="Avenir Next" w:hAnsi="Avenir Next" w:cs="Arial"/>
          <w:color w:val="808080" w:themeColor="background1" w:themeShade="80"/>
          <w:sz w:val="22"/>
          <w:szCs w:val="22"/>
          <w:lang w:val="en-GB"/>
        </w:rPr>
        <w:t>aims</w:t>
      </w:r>
      <w:r w:rsidR="00D123A8">
        <w:rPr>
          <w:rFonts w:ascii="Avenir Next" w:hAnsi="Avenir Next" w:cs="Arial"/>
          <w:color w:val="808080" w:themeColor="background1" w:themeShade="80"/>
          <w:sz w:val="22"/>
          <w:szCs w:val="22"/>
          <w:lang w:val="en-GB"/>
        </w:rPr>
        <w:t xml:space="preserve"> to </w:t>
      </w:r>
      <w:r w:rsidR="00097043">
        <w:rPr>
          <w:rFonts w:ascii="Avenir Next" w:hAnsi="Avenir Next" w:cs="Arial"/>
          <w:color w:val="808080" w:themeColor="background1" w:themeShade="80"/>
          <w:sz w:val="22"/>
          <w:szCs w:val="22"/>
          <w:lang w:val="en-GB"/>
        </w:rPr>
        <w:t xml:space="preserve">ensures </w:t>
      </w:r>
      <w:r w:rsidR="009D39C7">
        <w:rPr>
          <w:rFonts w:ascii="Avenir Next" w:hAnsi="Avenir Next" w:cs="Arial"/>
          <w:color w:val="808080" w:themeColor="background1" w:themeShade="80"/>
          <w:sz w:val="22"/>
          <w:szCs w:val="22"/>
          <w:lang w:val="en-GB"/>
        </w:rPr>
        <w:t xml:space="preserve">a fair and </w:t>
      </w:r>
      <w:r w:rsidR="0089264A">
        <w:rPr>
          <w:rFonts w:ascii="Avenir Next" w:hAnsi="Avenir Next" w:cs="Arial"/>
          <w:color w:val="808080" w:themeColor="background1" w:themeShade="80"/>
          <w:sz w:val="22"/>
          <w:szCs w:val="22"/>
          <w:lang w:val="en-GB"/>
        </w:rPr>
        <w:t>efficien</w:t>
      </w:r>
      <w:r w:rsidR="007C6755">
        <w:rPr>
          <w:rFonts w:ascii="Avenir Next" w:hAnsi="Avenir Next" w:cs="Arial"/>
          <w:color w:val="808080" w:themeColor="background1" w:themeShade="80"/>
          <w:sz w:val="22"/>
          <w:szCs w:val="22"/>
          <w:lang w:val="en-GB"/>
        </w:rPr>
        <w:t xml:space="preserve">t </w:t>
      </w:r>
      <w:r w:rsidR="0089264A">
        <w:rPr>
          <w:rFonts w:ascii="Avenir Next" w:hAnsi="Avenir Next" w:cs="Arial"/>
          <w:color w:val="808080" w:themeColor="background1" w:themeShade="80"/>
          <w:sz w:val="22"/>
          <w:szCs w:val="22"/>
          <w:lang w:val="en-GB"/>
        </w:rPr>
        <w:t xml:space="preserve">insolvency proceedings. </w:t>
      </w:r>
      <w:r w:rsidR="00097043">
        <w:rPr>
          <w:rFonts w:ascii="Avenir Next" w:hAnsi="Avenir Next" w:cs="Arial"/>
          <w:color w:val="808080" w:themeColor="background1" w:themeShade="80"/>
          <w:sz w:val="22"/>
          <w:szCs w:val="22"/>
          <w:lang w:val="en-GB"/>
        </w:rPr>
        <w:t xml:space="preserve"> </w:t>
      </w:r>
    </w:p>
    <w:p w14:paraId="2A6A506D" w14:textId="77777777" w:rsidR="00D35D51" w:rsidRDefault="00D35D51" w:rsidP="00F632E8">
      <w:pPr>
        <w:ind w:left="720"/>
        <w:jc w:val="both"/>
        <w:rPr>
          <w:rFonts w:ascii="Avenir Next" w:hAnsi="Avenir Next" w:cs="Arial"/>
          <w:color w:val="808080" w:themeColor="background1" w:themeShade="80"/>
          <w:sz w:val="22"/>
          <w:szCs w:val="22"/>
          <w:lang w:val="en-GB"/>
        </w:rPr>
      </w:pPr>
    </w:p>
    <w:p w14:paraId="6437F837" w14:textId="022C0F32" w:rsidR="00AE7400" w:rsidRDefault="007B4A6E" w:rsidP="00F632E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the COMI can </w:t>
      </w:r>
      <w:r w:rsidR="008A3EAD">
        <w:rPr>
          <w:rFonts w:ascii="Avenir Next" w:hAnsi="Avenir Next" w:cs="Arial"/>
          <w:color w:val="808080" w:themeColor="background1" w:themeShade="80"/>
          <w:sz w:val="22"/>
          <w:szCs w:val="22"/>
          <w:lang w:val="en-GB"/>
        </w:rPr>
        <w:t>change</w:t>
      </w:r>
      <w:r w:rsidR="005A5AA7">
        <w:rPr>
          <w:rFonts w:ascii="Avenir Next" w:hAnsi="Avenir Next" w:cs="Arial"/>
          <w:color w:val="808080" w:themeColor="background1" w:themeShade="80"/>
          <w:sz w:val="22"/>
          <w:szCs w:val="22"/>
          <w:lang w:val="en-GB"/>
        </w:rPr>
        <w:t xml:space="preserve"> and</w:t>
      </w:r>
      <w:r w:rsidR="009336EA">
        <w:rPr>
          <w:rFonts w:ascii="Avenir Next" w:hAnsi="Avenir Next" w:cs="Arial"/>
          <w:color w:val="808080" w:themeColor="background1" w:themeShade="80"/>
          <w:sz w:val="22"/>
          <w:szCs w:val="22"/>
          <w:lang w:val="en-GB"/>
        </w:rPr>
        <w:t xml:space="preserve">/or </w:t>
      </w:r>
      <w:r w:rsidR="00171DFF">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manipulated</w:t>
      </w:r>
      <w:r w:rsidR="003C1623">
        <w:rPr>
          <w:rFonts w:ascii="Avenir Next" w:hAnsi="Avenir Next" w:cs="Arial"/>
          <w:color w:val="808080" w:themeColor="background1" w:themeShade="80"/>
          <w:sz w:val="22"/>
          <w:szCs w:val="22"/>
          <w:lang w:val="en-GB"/>
        </w:rPr>
        <w:t xml:space="preserve"> </w:t>
      </w:r>
      <w:r w:rsidR="00783C8F">
        <w:rPr>
          <w:rFonts w:ascii="Avenir Next" w:hAnsi="Avenir Next" w:cs="Arial"/>
          <w:color w:val="808080" w:themeColor="background1" w:themeShade="80"/>
          <w:sz w:val="22"/>
          <w:szCs w:val="22"/>
          <w:lang w:val="en-GB"/>
        </w:rPr>
        <w:t>at any time</w:t>
      </w:r>
      <w:r w:rsidR="00DB463E">
        <w:rPr>
          <w:rFonts w:ascii="Avenir Next" w:hAnsi="Avenir Next" w:cs="Arial"/>
          <w:color w:val="808080" w:themeColor="background1" w:themeShade="80"/>
          <w:sz w:val="22"/>
          <w:szCs w:val="22"/>
          <w:lang w:val="en-GB"/>
        </w:rPr>
        <w:t>,</w:t>
      </w:r>
      <w:r w:rsidR="00783C8F">
        <w:rPr>
          <w:rFonts w:ascii="Avenir Next" w:hAnsi="Avenir Next" w:cs="Arial"/>
          <w:color w:val="808080" w:themeColor="background1" w:themeShade="80"/>
          <w:sz w:val="22"/>
          <w:szCs w:val="22"/>
          <w:lang w:val="en-GB"/>
        </w:rPr>
        <w:t xml:space="preserve"> </w:t>
      </w:r>
      <w:r w:rsidR="00297813">
        <w:rPr>
          <w:rFonts w:ascii="Avenir Next" w:hAnsi="Avenir Next" w:cs="Arial"/>
          <w:color w:val="808080" w:themeColor="background1" w:themeShade="80"/>
          <w:sz w:val="22"/>
          <w:szCs w:val="22"/>
          <w:lang w:val="en-GB"/>
        </w:rPr>
        <w:t>by relocatio</w:t>
      </w:r>
      <w:r w:rsidR="003C1623">
        <w:rPr>
          <w:rFonts w:ascii="Avenir Next" w:hAnsi="Avenir Next" w:cs="Arial"/>
          <w:color w:val="808080" w:themeColor="background1" w:themeShade="80"/>
          <w:sz w:val="22"/>
          <w:szCs w:val="22"/>
          <w:lang w:val="en-GB"/>
        </w:rPr>
        <w:t>n</w:t>
      </w:r>
      <w:r w:rsidR="00954134">
        <w:rPr>
          <w:rFonts w:ascii="Avenir Next" w:hAnsi="Avenir Next" w:cs="Arial"/>
          <w:color w:val="808080" w:themeColor="background1" w:themeShade="80"/>
          <w:sz w:val="22"/>
          <w:szCs w:val="22"/>
          <w:lang w:val="en-GB"/>
        </w:rPr>
        <w:t xml:space="preserve"> for example</w:t>
      </w:r>
      <w:r w:rsidR="003C1623">
        <w:rPr>
          <w:rFonts w:ascii="Avenir Next" w:hAnsi="Avenir Next" w:cs="Arial"/>
          <w:color w:val="808080" w:themeColor="background1" w:themeShade="80"/>
          <w:sz w:val="22"/>
          <w:szCs w:val="22"/>
          <w:lang w:val="en-GB"/>
        </w:rPr>
        <w:t>,</w:t>
      </w:r>
      <w:r w:rsidR="003C5491">
        <w:rPr>
          <w:rFonts w:ascii="Avenir Next" w:hAnsi="Avenir Next" w:cs="Arial"/>
          <w:color w:val="808080" w:themeColor="background1" w:themeShade="80"/>
          <w:sz w:val="22"/>
          <w:szCs w:val="22"/>
          <w:lang w:val="en-GB"/>
        </w:rPr>
        <w:t xml:space="preserve"> the appropriate date for determining </w:t>
      </w:r>
      <w:r w:rsidR="00614EB3">
        <w:rPr>
          <w:rFonts w:ascii="Avenir Next" w:hAnsi="Avenir Next" w:cs="Arial"/>
          <w:color w:val="808080" w:themeColor="background1" w:themeShade="80"/>
          <w:sz w:val="22"/>
          <w:szCs w:val="22"/>
          <w:lang w:val="en-GB"/>
        </w:rPr>
        <w:t xml:space="preserve">the COMI requires careful analysis.  </w:t>
      </w:r>
      <w:r w:rsidR="00927666">
        <w:rPr>
          <w:rFonts w:ascii="Avenir Next" w:hAnsi="Avenir Next" w:cs="Arial"/>
          <w:color w:val="808080" w:themeColor="background1" w:themeShade="80"/>
          <w:sz w:val="22"/>
          <w:szCs w:val="22"/>
          <w:lang w:val="en-GB"/>
        </w:rPr>
        <w:t>G</w:t>
      </w:r>
      <w:r w:rsidR="0031781A">
        <w:rPr>
          <w:rFonts w:ascii="Avenir Next" w:hAnsi="Avenir Next" w:cs="Arial"/>
          <w:color w:val="808080" w:themeColor="background1" w:themeShade="80"/>
          <w:sz w:val="22"/>
          <w:szCs w:val="22"/>
          <w:lang w:val="en-GB"/>
        </w:rPr>
        <w:t>enerally,</w:t>
      </w:r>
      <w:r w:rsidR="006240D9">
        <w:rPr>
          <w:rFonts w:ascii="Avenir Next" w:hAnsi="Avenir Next" w:cs="Arial"/>
          <w:color w:val="808080" w:themeColor="background1" w:themeShade="80"/>
          <w:sz w:val="22"/>
          <w:szCs w:val="22"/>
          <w:lang w:val="en-GB"/>
        </w:rPr>
        <w:t xml:space="preserve"> the </w:t>
      </w:r>
      <w:r w:rsidR="0031781A">
        <w:rPr>
          <w:rFonts w:ascii="Avenir Next" w:hAnsi="Avenir Next" w:cs="Arial"/>
          <w:color w:val="808080" w:themeColor="background1" w:themeShade="80"/>
          <w:sz w:val="22"/>
          <w:szCs w:val="22"/>
          <w:lang w:val="en-GB"/>
        </w:rPr>
        <w:t>appropriate</w:t>
      </w:r>
      <w:r w:rsidR="006240D9">
        <w:rPr>
          <w:rFonts w:ascii="Avenir Next" w:hAnsi="Avenir Next" w:cs="Arial"/>
          <w:color w:val="808080" w:themeColor="background1" w:themeShade="80"/>
          <w:sz w:val="22"/>
          <w:szCs w:val="22"/>
          <w:lang w:val="en-GB"/>
        </w:rPr>
        <w:t xml:space="preserve"> date for determining the COMI is the date of commencement of the </w:t>
      </w:r>
      <w:r w:rsidR="0031781A">
        <w:rPr>
          <w:rFonts w:ascii="Avenir Next" w:hAnsi="Avenir Next" w:cs="Arial"/>
          <w:color w:val="808080" w:themeColor="background1" w:themeShade="80"/>
          <w:sz w:val="22"/>
          <w:szCs w:val="22"/>
          <w:lang w:val="en-GB"/>
        </w:rPr>
        <w:t>foreign</w:t>
      </w:r>
      <w:r w:rsidR="006240D9">
        <w:rPr>
          <w:rFonts w:ascii="Avenir Next" w:hAnsi="Avenir Next" w:cs="Arial"/>
          <w:color w:val="808080" w:themeColor="background1" w:themeShade="80"/>
          <w:sz w:val="22"/>
          <w:szCs w:val="22"/>
          <w:lang w:val="en-GB"/>
        </w:rPr>
        <w:t xml:space="preserve"> proceedings</w:t>
      </w:r>
      <w:r w:rsidR="002A67B2">
        <w:rPr>
          <w:rFonts w:ascii="Avenir Next" w:hAnsi="Avenir Next" w:cs="Arial"/>
          <w:color w:val="808080" w:themeColor="background1" w:themeShade="80"/>
          <w:sz w:val="22"/>
          <w:szCs w:val="22"/>
          <w:lang w:val="en-GB"/>
        </w:rPr>
        <w:t>.  In practice</w:t>
      </w:r>
      <w:r w:rsidR="00F7395F">
        <w:rPr>
          <w:rFonts w:ascii="Avenir Next" w:hAnsi="Avenir Next" w:cs="Arial"/>
          <w:color w:val="808080" w:themeColor="background1" w:themeShade="80"/>
          <w:sz w:val="22"/>
          <w:szCs w:val="22"/>
          <w:lang w:val="en-GB"/>
        </w:rPr>
        <w:t>,</w:t>
      </w:r>
      <w:r w:rsidR="002A67B2">
        <w:rPr>
          <w:rFonts w:ascii="Avenir Next" w:hAnsi="Avenir Next" w:cs="Arial"/>
          <w:color w:val="808080" w:themeColor="background1" w:themeShade="80"/>
          <w:sz w:val="22"/>
          <w:szCs w:val="22"/>
          <w:lang w:val="en-GB"/>
        </w:rPr>
        <w:t xml:space="preserve"> </w:t>
      </w:r>
      <w:r w:rsidR="00D87AB5">
        <w:rPr>
          <w:rFonts w:ascii="Avenir Next" w:hAnsi="Avenir Next" w:cs="Arial"/>
          <w:color w:val="808080" w:themeColor="background1" w:themeShade="80"/>
          <w:sz w:val="22"/>
          <w:szCs w:val="22"/>
          <w:lang w:val="en-GB"/>
        </w:rPr>
        <w:t>this</w:t>
      </w:r>
      <w:r w:rsidR="002A67B2">
        <w:rPr>
          <w:rFonts w:ascii="Avenir Next" w:hAnsi="Avenir Next" w:cs="Arial"/>
          <w:color w:val="808080" w:themeColor="background1" w:themeShade="80"/>
          <w:sz w:val="22"/>
          <w:szCs w:val="22"/>
          <w:lang w:val="en-GB"/>
        </w:rPr>
        <w:t xml:space="preserve"> means </w:t>
      </w:r>
      <w:r w:rsidR="006A74A2">
        <w:rPr>
          <w:rFonts w:ascii="Avenir Next" w:hAnsi="Avenir Next" w:cs="Arial"/>
          <w:color w:val="808080" w:themeColor="background1" w:themeShade="80"/>
          <w:sz w:val="22"/>
          <w:szCs w:val="22"/>
          <w:lang w:val="en-GB"/>
        </w:rPr>
        <w:t xml:space="preserve">that </w:t>
      </w:r>
      <w:r w:rsidR="00BE5490">
        <w:rPr>
          <w:rFonts w:ascii="Avenir Next" w:hAnsi="Avenir Next" w:cs="Arial"/>
          <w:color w:val="808080" w:themeColor="background1" w:themeShade="80"/>
          <w:sz w:val="22"/>
          <w:szCs w:val="22"/>
          <w:lang w:val="en-GB"/>
        </w:rPr>
        <w:t xml:space="preserve">the existence of certain factors (e.g. registered </w:t>
      </w:r>
      <w:r w:rsidR="00BE5490">
        <w:rPr>
          <w:rFonts w:ascii="Avenir Next" w:hAnsi="Avenir Next" w:cs="Arial"/>
          <w:color w:val="808080" w:themeColor="background1" w:themeShade="80"/>
          <w:sz w:val="22"/>
          <w:szCs w:val="22"/>
          <w:lang w:val="en-GB"/>
        </w:rPr>
        <w:lastRenderedPageBreak/>
        <w:t xml:space="preserve">office) in </w:t>
      </w:r>
      <w:r w:rsidR="006C7E9B">
        <w:rPr>
          <w:rFonts w:ascii="Avenir Next" w:hAnsi="Avenir Next" w:cs="Arial"/>
          <w:color w:val="808080" w:themeColor="background1" w:themeShade="80"/>
          <w:sz w:val="22"/>
          <w:szCs w:val="22"/>
          <w:lang w:val="en-GB"/>
        </w:rPr>
        <w:t>the</w:t>
      </w:r>
      <w:r w:rsidR="00BE5490">
        <w:rPr>
          <w:rFonts w:ascii="Avenir Next" w:hAnsi="Avenir Next" w:cs="Arial"/>
          <w:color w:val="808080" w:themeColor="background1" w:themeShade="80"/>
          <w:sz w:val="22"/>
          <w:szCs w:val="22"/>
          <w:lang w:val="en-GB"/>
        </w:rPr>
        <w:t xml:space="preserve"> particular state at the time of the commencement will most likely mean that that state is the debtor’s </w:t>
      </w:r>
      <w:r w:rsidR="006A74A2">
        <w:rPr>
          <w:rFonts w:ascii="Avenir Next" w:hAnsi="Avenir Next" w:cs="Arial"/>
          <w:color w:val="808080" w:themeColor="background1" w:themeShade="80"/>
          <w:sz w:val="22"/>
          <w:szCs w:val="22"/>
          <w:lang w:val="en-GB"/>
        </w:rPr>
        <w:t>COMI</w:t>
      </w:r>
      <w:r w:rsidR="00BE5490">
        <w:rPr>
          <w:rFonts w:ascii="Avenir Next" w:hAnsi="Avenir Next" w:cs="Arial"/>
          <w:color w:val="808080" w:themeColor="background1" w:themeShade="80"/>
          <w:sz w:val="22"/>
          <w:szCs w:val="22"/>
          <w:lang w:val="en-GB"/>
        </w:rPr>
        <w:t>.</w:t>
      </w:r>
      <w:r w:rsidR="00927666">
        <w:rPr>
          <w:rFonts w:ascii="Avenir Next" w:hAnsi="Avenir Next" w:cs="Arial"/>
          <w:color w:val="808080" w:themeColor="background1" w:themeShade="80"/>
          <w:sz w:val="22"/>
          <w:szCs w:val="22"/>
          <w:lang w:val="en-GB"/>
        </w:rPr>
        <w:t xml:space="preserve">  </w:t>
      </w:r>
      <w:r w:rsidR="00263376">
        <w:rPr>
          <w:rFonts w:ascii="Avenir Next" w:hAnsi="Avenir Next" w:cs="Arial"/>
          <w:color w:val="808080" w:themeColor="background1" w:themeShade="80"/>
          <w:sz w:val="22"/>
          <w:szCs w:val="22"/>
          <w:lang w:val="en-GB"/>
        </w:rPr>
        <w:t xml:space="preserve">In other </w:t>
      </w:r>
      <w:r w:rsidR="002A391F">
        <w:rPr>
          <w:rFonts w:ascii="Avenir Next" w:hAnsi="Avenir Next" w:cs="Arial"/>
          <w:color w:val="808080" w:themeColor="background1" w:themeShade="80"/>
          <w:sz w:val="22"/>
          <w:szCs w:val="22"/>
          <w:lang w:val="en-GB"/>
        </w:rPr>
        <w:t>words,</w:t>
      </w:r>
      <w:r w:rsidR="007335E6">
        <w:rPr>
          <w:rFonts w:ascii="Avenir Next" w:hAnsi="Avenir Next" w:cs="Arial"/>
          <w:color w:val="808080" w:themeColor="background1" w:themeShade="80"/>
          <w:sz w:val="22"/>
          <w:szCs w:val="22"/>
          <w:lang w:val="en-GB"/>
        </w:rPr>
        <w:t xml:space="preserve"> this </w:t>
      </w:r>
      <w:r w:rsidR="002A391F">
        <w:rPr>
          <w:rFonts w:ascii="Avenir Next" w:hAnsi="Avenir Next" w:cs="Arial"/>
          <w:color w:val="808080" w:themeColor="background1" w:themeShade="80"/>
          <w:sz w:val="22"/>
          <w:szCs w:val="22"/>
          <w:lang w:val="en-GB"/>
        </w:rPr>
        <w:t>type</w:t>
      </w:r>
      <w:r w:rsidR="00C46A79">
        <w:rPr>
          <w:rFonts w:ascii="Avenir Next" w:hAnsi="Avenir Next" w:cs="Arial"/>
          <w:color w:val="808080" w:themeColor="background1" w:themeShade="80"/>
          <w:sz w:val="22"/>
          <w:szCs w:val="22"/>
          <w:lang w:val="en-GB"/>
        </w:rPr>
        <w:t xml:space="preserve"> of </w:t>
      </w:r>
      <w:r w:rsidR="007335E6">
        <w:rPr>
          <w:rFonts w:ascii="Avenir Next" w:hAnsi="Avenir Next" w:cs="Arial"/>
          <w:color w:val="808080" w:themeColor="background1" w:themeShade="80"/>
          <w:sz w:val="22"/>
          <w:szCs w:val="22"/>
          <w:lang w:val="en-GB"/>
        </w:rPr>
        <w:t xml:space="preserve">COMI analysis </w:t>
      </w:r>
      <w:r w:rsidR="007651BD">
        <w:rPr>
          <w:rFonts w:ascii="Avenir Next" w:hAnsi="Avenir Next" w:cs="Arial"/>
          <w:color w:val="808080" w:themeColor="background1" w:themeShade="80"/>
          <w:sz w:val="22"/>
          <w:szCs w:val="22"/>
          <w:lang w:val="en-GB"/>
        </w:rPr>
        <w:t xml:space="preserve">seeks </w:t>
      </w:r>
      <w:r w:rsidR="007335E6">
        <w:rPr>
          <w:rFonts w:ascii="Avenir Next" w:hAnsi="Avenir Next" w:cs="Arial"/>
          <w:color w:val="808080" w:themeColor="background1" w:themeShade="80"/>
          <w:sz w:val="22"/>
          <w:szCs w:val="22"/>
          <w:lang w:val="en-GB"/>
        </w:rPr>
        <w:t xml:space="preserve">evidence that supports the regularity and </w:t>
      </w:r>
      <w:r w:rsidR="00F56E59">
        <w:rPr>
          <w:rFonts w:ascii="Avenir Next" w:hAnsi="Avenir Next" w:cs="Arial"/>
          <w:color w:val="808080" w:themeColor="background1" w:themeShade="80"/>
          <w:sz w:val="22"/>
          <w:szCs w:val="22"/>
          <w:lang w:val="en-GB"/>
        </w:rPr>
        <w:t>ascertainably</w:t>
      </w:r>
      <w:r w:rsidR="007651BD">
        <w:rPr>
          <w:rFonts w:ascii="Avenir Next" w:hAnsi="Avenir Next" w:cs="Arial"/>
          <w:color w:val="808080" w:themeColor="background1" w:themeShade="80"/>
          <w:sz w:val="22"/>
          <w:szCs w:val="22"/>
          <w:lang w:val="en-GB"/>
        </w:rPr>
        <w:t xml:space="preserve"> of the </w:t>
      </w:r>
      <w:r w:rsidR="005C6288">
        <w:rPr>
          <w:rFonts w:ascii="Avenir Next" w:hAnsi="Avenir Next" w:cs="Arial"/>
          <w:color w:val="808080" w:themeColor="background1" w:themeShade="80"/>
          <w:sz w:val="22"/>
          <w:szCs w:val="22"/>
          <w:lang w:val="en-GB"/>
        </w:rPr>
        <w:t xml:space="preserve">debtors COMI.  </w:t>
      </w:r>
      <w:r w:rsidR="006A74A2">
        <w:rPr>
          <w:rFonts w:ascii="Avenir Next" w:hAnsi="Avenir Next" w:cs="Arial"/>
          <w:color w:val="808080" w:themeColor="background1" w:themeShade="80"/>
          <w:sz w:val="22"/>
          <w:szCs w:val="22"/>
          <w:lang w:val="en-GB"/>
        </w:rPr>
        <w:t>However,</w:t>
      </w:r>
      <w:r w:rsidR="006240D9">
        <w:rPr>
          <w:rFonts w:ascii="Avenir Next" w:hAnsi="Avenir Next" w:cs="Arial"/>
          <w:color w:val="808080" w:themeColor="background1" w:themeShade="80"/>
          <w:sz w:val="22"/>
          <w:szCs w:val="22"/>
          <w:lang w:val="en-GB"/>
        </w:rPr>
        <w:t xml:space="preserve"> </w:t>
      </w:r>
      <w:r w:rsidR="00CD79F3">
        <w:rPr>
          <w:rFonts w:ascii="Avenir Next" w:hAnsi="Avenir Next" w:cs="Arial"/>
          <w:color w:val="808080" w:themeColor="background1" w:themeShade="80"/>
          <w:sz w:val="22"/>
          <w:szCs w:val="22"/>
          <w:lang w:val="en-GB"/>
        </w:rPr>
        <w:t>it is noted that there are slightly different approaches</w:t>
      </w:r>
      <w:r w:rsidR="0015269A">
        <w:rPr>
          <w:rFonts w:ascii="Avenir Next" w:hAnsi="Avenir Next" w:cs="Arial"/>
          <w:color w:val="808080" w:themeColor="background1" w:themeShade="80"/>
          <w:sz w:val="22"/>
          <w:szCs w:val="22"/>
          <w:lang w:val="en-GB"/>
        </w:rPr>
        <w:t xml:space="preserve"> towards the date </w:t>
      </w:r>
      <w:r w:rsidR="00843AA1">
        <w:rPr>
          <w:rFonts w:ascii="Avenir Next" w:hAnsi="Avenir Next" w:cs="Arial"/>
          <w:color w:val="808080" w:themeColor="background1" w:themeShade="80"/>
          <w:sz w:val="22"/>
          <w:szCs w:val="22"/>
          <w:lang w:val="en-GB"/>
        </w:rPr>
        <w:t xml:space="preserve">for determining the </w:t>
      </w:r>
      <w:r w:rsidR="001F0FB7">
        <w:rPr>
          <w:rFonts w:ascii="Avenir Next" w:hAnsi="Avenir Next" w:cs="Arial"/>
          <w:color w:val="808080" w:themeColor="background1" w:themeShade="80"/>
          <w:sz w:val="22"/>
          <w:szCs w:val="22"/>
          <w:lang w:val="en-GB"/>
        </w:rPr>
        <w:t xml:space="preserve">COMI.  In the </w:t>
      </w:r>
      <w:r w:rsidR="006A6F86">
        <w:rPr>
          <w:rFonts w:ascii="Avenir Next" w:hAnsi="Avenir Next" w:cs="Arial"/>
          <w:color w:val="808080" w:themeColor="background1" w:themeShade="80"/>
          <w:sz w:val="22"/>
          <w:szCs w:val="22"/>
          <w:lang w:val="en-GB"/>
        </w:rPr>
        <w:t>recent US</w:t>
      </w:r>
      <w:r w:rsidR="006C7E9B">
        <w:rPr>
          <w:rFonts w:ascii="Avenir Next" w:hAnsi="Avenir Next" w:cs="Arial"/>
          <w:color w:val="808080" w:themeColor="background1" w:themeShade="80"/>
          <w:sz w:val="22"/>
          <w:szCs w:val="22"/>
          <w:lang w:val="en-GB"/>
        </w:rPr>
        <w:t>A</w:t>
      </w:r>
      <w:r w:rsidR="006A6F86">
        <w:rPr>
          <w:rFonts w:ascii="Avenir Next" w:hAnsi="Avenir Next" w:cs="Arial"/>
          <w:color w:val="808080" w:themeColor="background1" w:themeShade="80"/>
          <w:sz w:val="22"/>
          <w:szCs w:val="22"/>
          <w:lang w:val="en-GB"/>
        </w:rPr>
        <w:t xml:space="preserve"> case </w:t>
      </w:r>
      <w:r w:rsidR="00E147EC" w:rsidRPr="004E44E6">
        <w:rPr>
          <w:rFonts w:ascii="Avenir Next" w:hAnsi="Avenir Next" w:cs="Arial"/>
          <w:i/>
          <w:iCs/>
          <w:color w:val="808080" w:themeColor="background1" w:themeShade="80"/>
          <w:sz w:val="22"/>
          <w:szCs w:val="22"/>
          <w:lang w:val="en-GB"/>
        </w:rPr>
        <w:t xml:space="preserve">Morning Mist Holdings Ltd v </w:t>
      </w:r>
      <w:proofErr w:type="spellStart"/>
      <w:r w:rsidR="00E147EC" w:rsidRPr="004E44E6">
        <w:rPr>
          <w:rFonts w:ascii="Avenir Next" w:hAnsi="Avenir Next" w:cs="Arial"/>
          <w:i/>
          <w:iCs/>
          <w:color w:val="808080" w:themeColor="background1" w:themeShade="80"/>
          <w:sz w:val="22"/>
          <w:szCs w:val="22"/>
          <w:lang w:val="en-GB"/>
        </w:rPr>
        <w:t>Krys</w:t>
      </w:r>
      <w:proofErr w:type="spellEnd"/>
      <w:r w:rsidR="00887D26">
        <w:rPr>
          <w:rStyle w:val="FootnoteReference"/>
          <w:rFonts w:ascii="Avenir Next" w:hAnsi="Avenir Next" w:cs="Arial"/>
          <w:color w:val="808080" w:themeColor="background1" w:themeShade="80"/>
          <w:sz w:val="22"/>
          <w:szCs w:val="22"/>
          <w:lang w:val="en-GB"/>
        </w:rPr>
        <w:footnoteReference w:id="1"/>
      </w:r>
      <w:r w:rsidR="00E512D8">
        <w:rPr>
          <w:rFonts w:ascii="Avenir Next" w:hAnsi="Avenir Next" w:cs="Arial"/>
          <w:i/>
          <w:iCs/>
          <w:color w:val="808080" w:themeColor="background1" w:themeShade="80"/>
          <w:sz w:val="22"/>
          <w:szCs w:val="22"/>
          <w:lang w:val="en-GB"/>
        </w:rPr>
        <w:t xml:space="preserve"> </w:t>
      </w:r>
      <w:r w:rsidR="00F2696B">
        <w:rPr>
          <w:rFonts w:ascii="Avenir Next" w:hAnsi="Avenir Next" w:cs="Arial"/>
          <w:color w:val="808080" w:themeColor="background1" w:themeShade="80"/>
          <w:sz w:val="22"/>
          <w:szCs w:val="22"/>
          <w:lang w:val="en-GB"/>
        </w:rPr>
        <w:t xml:space="preserve">it was held that </w:t>
      </w:r>
      <w:r w:rsidR="007D2AC3">
        <w:rPr>
          <w:rFonts w:ascii="Avenir Next" w:hAnsi="Avenir Next" w:cs="Arial"/>
          <w:color w:val="808080" w:themeColor="background1" w:themeShade="80"/>
          <w:sz w:val="22"/>
          <w:szCs w:val="22"/>
          <w:lang w:val="en-GB"/>
        </w:rPr>
        <w:t xml:space="preserve">determination of the </w:t>
      </w:r>
      <w:r w:rsidR="00F2696B">
        <w:rPr>
          <w:rFonts w:ascii="Avenir Next" w:hAnsi="Avenir Next" w:cs="Arial"/>
          <w:color w:val="808080" w:themeColor="background1" w:themeShade="80"/>
          <w:sz w:val="22"/>
          <w:szCs w:val="22"/>
          <w:lang w:val="en-GB"/>
        </w:rPr>
        <w:t xml:space="preserve">debtor’s COMI should be based on </w:t>
      </w:r>
      <w:r w:rsidR="00E23195">
        <w:rPr>
          <w:rFonts w:ascii="Avenir Next" w:hAnsi="Avenir Next" w:cs="Arial"/>
          <w:color w:val="808080" w:themeColor="background1" w:themeShade="80"/>
          <w:sz w:val="22"/>
          <w:szCs w:val="22"/>
          <w:lang w:val="en-GB"/>
        </w:rPr>
        <w:t>debtor’s</w:t>
      </w:r>
      <w:r w:rsidR="00F2696B">
        <w:rPr>
          <w:rFonts w:ascii="Avenir Next" w:hAnsi="Avenir Next" w:cs="Arial"/>
          <w:color w:val="808080" w:themeColor="background1" w:themeShade="80"/>
          <w:sz w:val="22"/>
          <w:szCs w:val="22"/>
          <w:lang w:val="en-GB"/>
        </w:rPr>
        <w:t xml:space="preserve"> activities at or around the time of the </w:t>
      </w:r>
      <w:r w:rsidR="007D2AC3">
        <w:rPr>
          <w:rFonts w:ascii="Avenir Next" w:hAnsi="Avenir Next" w:cs="Arial"/>
          <w:color w:val="808080" w:themeColor="background1" w:themeShade="80"/>
          <w:sz w:val="22"/>
          <w:szCs w:val="22"/>
          <w:lang w:val="en-GB"/>
        </w:rPr>
        <w:t xml:space="preserve">filing of the </w:t>
      </w:r>
      <w:r w:rsidR="00F2696B">
        <w:rPr>
          <w:rFonts w:ascii="Avenir Next" w:hAnsi="Avenir Next" w:cs="Arial"/>
          <w:color w:val="808080" w:themeColor="background1" w:themeShade="80"/>
          <w:sz w:val="22"/>
          <w:szCs w:val="22"/>
          <w:lang w:val="en-GB"/>
        </w:rPr>
        <w:t>Chapter 15</w:t>
      </w:r>
      <w:r w:rsidR="004E44E6">
        <w:rPr>
          <w:rFonts w:ascii="Avenir Next" w:hAnsi="Avenir Next" w:cs="Arial"/>
          <w:color w:val="808080" w:themeColor="background1" w:themeShade="80"/>
          <w:sz w:val="22"/>
          <w:szCs w:val="22"/>
          <w:lang w:val="en-GB"/>
        </w:rPr>
        <w:t xml:space="preserve"> petition</w:t>
      </w:r>
      <w:r w:rsidR="007D2AC3">
        <w:rPr>
          <w:rFonts w:ascii="Avenir Next" w:hAnsi="Avenir Next" w:cs="Arial"/>
          <w:color w:val="808080" w:themeColor="background1" w:themeShade="80"/>
          <w:sz w:val="22"/>
          <w:szCs w:val="22"/>
          <w:lang w:val="en-GB"/>
        </w:rPr>
        <w:t>.</w:t>
      </w:r>
      <w:r w:rsidR="00B97822">
        <w:rPr>
          <w:rFonts w:ascii="Avenir Next" w:hAnsi="Avenir Next" w:cs="Arial"/>
          <w:color w:val="808080" w:themeColor="background1" w:themeShade="80"/>
          <w:sz w:val="22"/>
          <w:szCs w:val="22"/>
          <w:lang w:val="en-GB"/>
        </w:rPr>
        <w:t xml:space="preserve">  </w:t>
      </w:r>
      <w:r w:rsidR="00E153D6">
        <w:rPr>
          <w:rFonts w:ascii="Avenir Next" w:hAnsi="Avenir Next" w:cs="Arial"/>
          <w:color w:val="808080" w:themeColor="background1" w:themeShade="80"/>
          <w:sz w:val="22"/>
          <w:szCs w:val="22"/>
          <w:lang w:val="en-GB"/>
        </w:rPr>
        <w:t>Interestingly, t</w:t>
      </w:r>
      <w:r w:rsidR="00B97822">
        <w:rPr>
          <w:rFonts w:ascii="Avenir Next" w:hAnsi="Avenir Next" w:cs="Arial"/>
          <w:color w:val="808080" w:themeColor="background1" w:themeShade="80"/>
          <w:sz w:val="22"/>
          <w:szCs w:val="22"/>
          <w:lang w:val="en-GB"/>
        </w:rPr>
        <w:t xml:space="preserve">hese activities could include </w:t>
      </w:r>
      <w:r w:rsidR="00171234">
        <w:rPr>
          <w:rFonts w:ascii="Avenir Next" w:hAnsi="Avenir Next" w:cs="Arial"/>
          <w:color w:val="808080" w:themeColor="background1" w:themeShade="80"/>
          <w:sz w:val="22"/>
          <w:szCs w:val="22"/>
          <w:lang w:val="en-GB"/>
        </w:rPr>
        <w:t xml:space="preserve">liquidation activities or administrative functions.  </w:t>
      </w:r>
    </w:p>
    <w:p w14:paraId="1DD356C1" w14:textId="77777777" w:rsidR="00AE7400" w:rsidRDefault="00AE7400" w:rsidP="00F632E8">
      <w:pPr>
        <w:ind w:left="720"/>
        <w:jc w:val="both"/>
        <w:rPr>
          <w:rFonts w:ascii="Avenir Next" w:hAnsi="Avenir Next" w:cs="Arial"/>
          <w:color w:val="808080" w:themeColor="background1" w:themeShade="80"/>
          <w:sz w:val="22"/>
          <w:szCs w:val="22"/>
          <w:lang w:val="en-GB"/>
        </w:rPr>
      </w:pPr>
    </w:p>
    <w:p w14:paraId="2ED55FB4" w14:textId="4AC28551" w:rsidR="00572E71" w:rsidRDefault="005C6288" w:rsidP="00F632E8">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FC631F">
        <w:rPr>
          <w:rFonts w:ascii="Avenir Next" w:hAnsi="Avenir Next" w:cs="Arial"/>
          <w:color w:val="808080" w:themeColor="background1" w:themeShade="80"/>
          <w:sz w:val="22"/>
          <w:szCs w:val="22"/>
          <w:lang w:val="en-GB"/>
        </w:rPr>
        <w:t xml:space="preserve">n essence </w:t>
      </w:r>
      <w:r w:rsidR="00AB7E8E">
        <w:rPr>
          <w:rFonts w:ascii="Avenir Next" w:hAnsi="Avenir Next" w:cs="Arial"/>
          <w:color w:val="808080" w:themeColor="background1" w:themeShade="80"/>
          <w:sz w:val="22"/>
          <w:szCs w:val="22"/>
          <w:lang w:val="en-GB"/>
        </w:rPr>
        <w:t xml:space="preserve">there needs to be close proximity (time wise) between the commencement date of the </w:t>
      </w:r>
      <w:r>
        <w:rPr>
          <w:rFonts w:ascii="Avenir Next" w:hAnsi="Avenir Next" w:cs="Arial"/>
          <w:color w:val="808080" w:themeColor="background1" w:themeShade="80"/>
          <w:sz w:val="22"/>
          <w:szCs w:val="22"/>
          <w:lang w:val="en-GB"/>
        </w:rPr>
        <w:t>foreign</w:t>
      </w:r>
      <w:r w:rsidR="005C1402">
        <w:rPr>
          <w:rFonts w:ascii="Avenir Next" w:hAnsi="Avenir Next" w:cs="Arial"/>
          <w:color w:val="808080" w:themeColor="background1" w:themeShade="80"/>
          <w:sz w:val="22"/>
          <w:szCs w:val="22"/>
          <w:lang w:val="en-GB"/>
        </w:rPr>
        <w:t xml:space="preserve"> proceeding and</w:t>
      </w:r>
      <w:r>
        <w:rPr>
          <w:rFonts w:ascii="Avenir Next" w:hAnsi="Avenir Next" w:cs="Arial"/>
          <w:color w:val="808080" w:themeColor="background1" w:themeShade="80"/>
          <w:sz w:val="22"/>
          <w:szCs w:val="22"/>
          <w:lang w:val="en-GB"/>
        </w:rPr>
        <w:t xml:space="preserve"> the </w:t>
      </w:r>
      <w:r w:rsidR="000C3670">
        <w:rPr>
          <w:rFonts w:ascii="Avenir Next" w:hAnsi="Avenir Next" w:cs="Arial"/>
          <w:color w:val="808080" w:themeColor="background1" w:themeShade="80"/>
          <w:sz w:val="22"/>
          <w:szCs w:val="22"/>
          <w:lang w:val="en-GB"/>
        </w:rPr>
        <w:t>relevant business activities of the debtor</w:t>
      </w:r>
      <w:r w:rsidR="005C1402">
        <w:rPr>
          <w:rFonts w:ascii="Avenir Next" w:hAnsi="Avenir Next" w:cs="Arial"/>
          <w:color w:val="808080" w:themeColor="background1" w:themeShade="80"/>
          <w:sz w:val="22"/>
          <w:szCs w:val="22"/>
          <w:lang w:val="en-GB"/>
        </w:rPr>
        <w:t xml:space="preserve">.  The less proximate </w:t>
      </w:r>
      <w:r w:rsidR="00972861">
        <w:rPr>
          <w:rFonts w:ascii="Avenir Next" w:hAnsi="Avenir Next" w:cs="Arial"/>
          <w:color w:val="808080" w:themeColor="background1" w:themeShade="80"/>
          <w:sz w:val="22"/>
          <w:szCs w:val="22"/>
          <w:lang w:val="en-GB"/>
        </w:rPr>
        <w:t xml:space="preserve">the </w:t>
      </w:r>
      <w:r w:rsidR="00A5370C">
        <w:rPr>
          <w:rFonts w:ascii="Avenir Next" w:hAnsi="Avenir Next" w:cs="Arial"/>
          <w:color w:val="808080" w:themeColor="background1" w:themeShade="80"/>
          <w:sz w:val="22"/>
          <w:szCs w:val="22"/>
          <w:lang w:val="en-GB"/>
        </w:rPr>
        <w:t xml:space="preserve">relevant </w:t>
      </w:r>
      <w:r w:rsidR="00972861">
        <w:rPr>
          <w:rFonts w:ascii="Avenir Next" w:hAnsi="Avenir Next" w:cs="Arial"/>
          <w:color w:val="808080" w:themeColor="background1" w:themeShade="80"/>
          <w:sz w:val="22"/>
          <w:szCs w:val="22"/>
          <w:lang w:val="en-GB"/>
        </w:rPr>
        <w:t xml:space="preserve">business activities </w:t>
      </w:r>
      <w:r w:rsidR="005C1402">
        <w:rPr>
          <w:rFonts w:ascii="Avenir Next" w:hAnsi="Avenir Next" w:cs="Arial"/>
          <w:color w:val="808080" w:themeColor="background1" w:themeShade="80"/>
          <w:sz w:val="22"/>
          <w:szCs w:val="22"/>
          <w:lang w:val="en-GB"/>
        </w:rPr>
        <w:t xml:space="preserve">the </w:t>
      </w:r>
      <w:r w:rsidR="003D3266">
        <w:rPr>
          <w:rFonts w:ascii="Avenir Next" w:hAnsi="Avenir Next" w:cs="Arial"/>
          <w:color w:val="808080" w:themeColor="background1" w:themeShade="80"/>
          <w:sz w:val="22"/>
          <w:szCs w:val="22"/>
          <w:lang w:val="en-GB"/>
        </w:rPr>
        <w:t xml:space="preserve">weaker </w:t>
      </w:r>
      <w:r w:rsidR="000D4B4E">
        <w:rPr>
          <w:rFonts w:ascii="Avenir Next" w:hAnsi="Avenir Next" w:cs="Arial"/>
          <w:color w:val="808080" w:themeColor="background1" w:themeShade="80"/>
          <w:sz w:val="22"/>
          <w:szCs w:val="22"/>
          <w:lang w:val="en-GB"/>
        </w:rPr>
        <w:t xml:space="preserve">and more difficult </w:t>
      </w:r>
      <w:r w:rsidR="006E04C1">
        <w:rPr>
          <w:rFonts w:ascii="Avenir Next" w:hAnsi="Avenir Next" w:cs="Arial"/>
          <w:color w:val="808080" w:themeColor="background1" w:themeShade="80"/>
          <w:sz w:val="22"/>
          <w:szCs w:val="22"/>
          <w:lang w:val="en-GB"/>
        </w:rPr>
        <w:t xml:space="preserve">the </w:t>
      </w:r>
      <w:r w:rsidR="005C1402">
        <w:rPr>
          <w:rFonts w:ascii="Avenir Next" w:hAnsi="Avenir Next" w:cs="Arial"/>
          <w:color w:val="808080" w:themeColor="background1" w:themeShade="80"/>
          <w:sz w:val="22"/>
          <w:szCs w:val="22"/>
          <w:lang w:val="en-GB"/>
        </w:rPr>
        <w:t xml:space="preserve">evidence </w:t>
      </w:r>
      <w:r w:rsidR="00EC75E6">
        <w:rPr>
          <w:rFonts w:ascii="Avenir Next" w:hAnsi="Avenir Next" w:cs="Arial"/>
          <w:color w:val="808080" w:themeColor="background1" w:themeShade="80"/>
          <w:sz w:val="22"/>
          <w:szCs w:val="22"/>
          <w:lang w:val="en-GB"/>
        </w:rPr>
        <w:t xml:space="preserve">to </w:t>
      </w:r>
      <w:r w:rsidR="006E04C1">
        <w:rPr>
          <w:rFonts w:ascii="Avenir Next" w:hAnsi="Avenir Next" w:cs="Arial"/>
          <w:color w:val="808080" w:themeColor="background1" w:themeShade="80"/>
          <w:sz w:val="22"/>
          <w:szCs w:val="22"/>
          <w:lang w:val="en-GB"/>
        </w:rPr>
        <w:t xml:space="preserve">support the </w:t>
      </w:r>
      <w:r w:rsidR="00893130">
        <w:rPr>
          <w:rFonts w:ascii="Avenir Next" w:hAnsi="Avenir Next" w:cs="Arial"/>
          <w:color w:val="808080" w:themeColor="background1" w:themeShade="80"/>
          <w:sz w:val="22"/>
          <w:szCs w:val="22"/>
          <w:lang w:val="en-GB"/>
        </w:rPr>
        <w:t xml:space="preserve">notion of </w:t>
      </w:r>
      <w:r w:rsidR="006E04C1">
        <w:rPr>
          <w:rFonts w:ascii="Avenir Next" w:hAnsi="Avenir Next" w:cs="Arial"/>
          <w:color w:val="808080" w:themeColor="background1" w:themeShade="80"/>
          <w:sz w:val="22"/>
          <w:szCs w:val="22"/>
          <w:lang w:val="en-GB"/>
        </w:rPr>
        <w:t xml:space="preserve">regularity </w:t>
      </w:r>
      <w:r w:rsidR="00484DED">
        <w:rPr>
          <w:rFonts w:ascii="Avenir Next" w:hAnsi="Avenir Next" w:cs="Arial"/>
          <w:color w:val="808080" w:themeColor="background1" w:themeShade="80"/>
          <w:sz w:val="22"/>
          <w:szCs w:val="22"/>
          <w:lang w:val="en-GB"/>
        </w:rPr>
        <w:t xml:space="preserve">or </w:t>
      </w:r>
      <w:r w:rsidR="000D4B4E">
        <w:rPr>
          <w:rFonts w:ascii="Avenir Next" w:hAnsi="Avenir Next" w:cs="Arial"/>
          <w:color w:val="808080" w:themeColor="background1" w:themeShade="80"/>
          <w:sz w:val="22"/>
          <w:szCs w:val="22"/>
          <w:lang w:val="en-GB"/>
        </w:rPr>
        <w:t>ascertainably</w:t>
      </w:r>
      <w:r w:rsidR="00484DED">
        <w:rPr>
          <w:rFonts w:ascii="Avenir Next" w:hAnsi="Avenir Next" w:cs="Arial"/>
          <w:color w:val="808080" w:themeColor="background1" w:themeShade="80"/>
          <w:sz w:val="22"/>
          <w:szCs w:val="22"/>
          <w:lang w:val="en-GB"/>
        </w:rPr>
        <w:t xml:space="preserve"> of the COMI</w:t>
      </w:r>
      <w:r w:rsidR="003C64F3">
        <w:rPr>
          <w:rFonts w:ascii="Avenir Next" w:hAnsi="Avenir Next" w:cs="Arial"/>
          <w:color w:val="808080" w:themeColor="background1" w:themeShade="80"/>
          <w:sz w:val="22"/>
          <w:szCs w:val="22"/>
          <w:lang w:val="en-GB"/>
        </w:rPr>
        <w:t>.</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7D9F689D" w:rsidR="00867A8F" w:rsidRPr="00D7245C" w:rsidRDefault="00CB7B39" w:rsidP="003E4FCB">
      <w:pPr>
        <w:ind w:left="720"/>
        <w:jc w:val="both"/>
        <w:rPr>
          <w:rFonts w:ascii="Avenir Next" w:hAnsi="Avenir Next" w:cs="Arial"/>
          <w:color w:val="808080" w:themeColor="background1" w:themeShade="80"/>
          <w:sz w:val="22"/>
          <w:szCs w:val="22"/>
          <w:u w:val="single"/>
          <w:lang w:val="en-GB"/>
        </w:rPr>
      </w:pPr>
      <w:r w:rsidRPr="00D7245C">
        <w:rPr>
          <w:rFonts w:ascii="Avenir Next" w:hAnsi="Avenir Next" w:cs="Arial"/>
          <w:color w:val="808080" w:themeColor="background1" w:themeShade="80"/>
          <w:sz w:val="22"/>
          <w:szCs w:val="22"/>
          <w:u w:val="single"/>
          <w:lang w:val="en-GB"/>
        </w:rPr>
        <w:t xml:space="preserve">Article 14 - Notification to foreign creditors of a proceeding under [laws of enacting State relating to insolvency] </w:t>
      </w:r>
    </w:p>
    <w:p w14:paraId="1C03B043" w14:textId="36DFF140" w:rsidR="00DA13BC" w:rsidRDefault="00B96E6A" w:rsidP="003E4FC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article ensures that all creditors are treated equally as it relates to being notified and</w:t>
      </w:r>
      <w:r w:rsidR="006D3B95">
        <w:rPr>
          <w:rFonts w:ascii="Avenir Next" w:hAnsi="Avenir Next" w:cs="Arial"/>
          <w:color w:val="808080" w:themeColor="background1" w:themeShade="80"/>
          <w:sz w:val="22"/>
          <w:szCs w:val="22"/>
          <w:lang w:val="en-GB"/>
        </w:rPr>
        <w:t xml:space="preserve"> receiving timely notification of the proceedings.</w:t>
      </w:r>
      <w:r w:rsidR="009B042F">
        <w:rPr>
          <w:rFonts w:ascii="Avenir Next" w:hAnsi="Avenir Next" w:cs="Arial"/>
          <w:color w:val="808080" w:themeColor="background1" w:themeShade="80"/>
          <w:sz w:val="22"/>
          <w:szCs w:val="22"/>
          <w:lang w:val="en-GB"/>
        </w:rPr>
        <w:t xml:space="preserve"> </w:t>
      </w:r>
      <w:r w:rsidR="006D3B95">
        <w:rPr>
          <w:rFonts w:ascii="Avenir Next" w:hAnsi="Avenir Next" w:cs="Arial"/>
          <w:color w:val="808080" w:themeColor="background1" w:themeShade="80"/>
          <w:sz w:val="22"/>
          <w:szCs w:val="22"/>
          <w:lang w:val="en-GB"/>
        </w:rPr>
        <w:t xml:space="preserve"> </w:t>
      </w:r>
      <w:r w:rsidR="001676E7">
        <w:rPr>
          <w:rFonts w:ascii="Avenir Next" w:hAnsi="Avenir Next" w:cs="Arial"/>
          <w:color w:val="808080" w:themeColor="background1" w:themeShade="80"/>
          <w:sz w:val="22"/>
          <w:szCs w:val="22"/>
          <w:lang w:val="en-GB"/>
        </w:rPr>
        <w:t>The article stipulates how c</w:t>
      </w:r>
      <w:r w:rsidR="00741DEB">
        <w:rPr>
          <w:rFonts w:ascii="Avenir Next" w:hAnsi="Avenir Next" w:cs="Arial"/>
          <w:color w:val="808080" w:themeColor="background1" w:themeShade="80"/>
          <w:sz w:val="22"/>
          <w:szCs w:val="22"/>
          <w:lang w:val="en-GB"/>
        </w:rPr>
        <w:t xml:space="preserve">reditors should be notified and removes any encumbrances for foreign creditors.  </w:t>
      </w:r>
      <w:r>
        <w:rPr>
          <w:rFonts w:ascii="Avenir Next" w:hAnsi="Avenir Next" w:cs="Arial"/>
          <w:color w:val="808080" w:themeColor="background1" w:themeShade="80"/>
          <w:sz w:val="22"/>
          <w:szCs w:val="22"/>
          <w:lang w:val="en-GB"/>
        </w:rPr>
        <w:t xml:space="preserve"> </w:t>
      </w:r>
    </w:p>
    <w:p w14:paraId="143DEAF0" w14:textId="77777777" w:rsidR="00CB7B39" w:rsidRDefault="00CB7B39" w:rsidP="00867A8F">
      <w:pPr>
        <w:ind w:left="720" w:hanging="720"/>
        <w:jc w:val="both"/>
        <w:rPr>
          <w:rFonts w:ascii="Avenir Next" w:hAnsi="Avenir Next" w:cs="Arial"/>
          <w:color w:val="808080" w:themeColor="background1" w:themeShade="80"/>
          <w:sz w:val="22"/>
          <w:szCs w:val="22"/>
          <w:lang w:val="en-GB"/>
        </w:rPr>
      </w:pPr>
    </w:p>
    <w:p w14:paraId="693D3B96" w14:textId="45F16533" w:rsidR="00CB7B39" w:rsidRPr="00D7245C" w:rsidRDefault="00CB7B39" w:rsidP="001A31C5">
      <w:pPr>
        <w:ind w:left="720"/>
        <w:jc w:val="both"/>
        <w:rPr>
          <w:rFonts w:ascii="Avenir Next" w:hAnsi="Avenir Next" w:cs="Arial"/>
          <w:color w:val="808080" w:themeColor="background1" w:themeShade="80"/>
          <w:sz w:val="22"/>
          <w:szCs w:val="22"/>
          <w:u w:val="single"/>
          <w:lang w:val="en-GB"/>
        </w:rPr>
      </w:pPr>
      <w:r w:rsidRPr="00D7245C">
        <w:rPr>
          <w:rFonts w:ascii="Avenir Next" w:hAnsi="Avenir Next" w:cs="Arial"/>
          <w:color w:val="808080" w:themeColor="background1" w:themeShade="80"/>
          <w:sz w:val="22"/>
          <w:szCs w:val="22"/>
          <w:u w:val="single"/>
          <w:lang w:val="en-GB"/>
        </w:rPr>
        <w:t xml:space="preserve">Article </w:t>
      </w:r>
      <w:r w:rsidR="00BB61C5" w:rsidRPr="00D7245C">
        <w:rPr>
          <w:rFonts w:ascii="Avenir Next" w:hAnsi="Avenir Next" w:cs="Arial"/>
          <w:color w:val="808080" w:themeColor="background1" w:themeShade="80"/>
          <w:sz w:val="22"/>
          <w:szCs w:val="22"/>
          <w:u w:val="single"/>
          <w:lang w:val="en-GB"/>
        </w:rPr>
        <w:t xml:space="preserve">10 – </w:t>
      </w:r>
      <w:r w:rsidR="004712CD" w:rsidRPr="00D7245C">
        <w:rPr>
          <w:rFonts w:ascii="Avenir Next" w:hAnsi="Avenir Next" w:cs="Arial"/>
          <w:color w:val="808080" w:themeColor="background1" w:themeShade="80"/>
          <w:sz w:val="22"/>
          <w:szCs w:val="22"/>
          <w:u w:val="single"/>
          <w:lang w:val="en-GB"/>
        </w:rPr>
        <w:t>Limited Jurisdiction</w:t>
      </w:r>
    </w:p>
    <w:p w14:paraId="7DCB64DE" w14:textId="342C7B5D" w:rsidR="001A31C5" w:rsidRDefault="004328E1" w:rsidP="00D7245C">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article</w:t>
      </w:r>
      <w:r w:rsidR="00BD3903">
        <w:rPr>
          <w:rFonts w:ascii="Avenir Next" w:hAnsi="Avenir Next" w:cs="Arial"/>
          <w:color w:val="808080" w:themeColor="background1" w:themeShade="80"/>
          <w:sz w:val="22"/>
          <w:szCs w:val="22"/>
          <w:lang w:val="en-GB"/>
        </w:rPr>
        <w:t xml:space="preserve"> </w:t>
      </w:r>
      <w:r w:rsidR="00025E15">
        <w:rPr>
          <w:rFonts w:ascii="Avenir Next" w:hAnsi="Avenir Next" w:cs="Arial"/>
          <w:color w:val="808080" w:themeColor="background1" w:themeShade="80"/>
          <w:sz w:val="22"/>
          <w:szCs w:val="22"/>
          <w:lang w:val="en-GB"/>
        </w:rPr>
        <w:t xml:space="preserve">also known as the “Safe Conduct Rule” </w:t>
      </w:r>
      <w:r w:rsidR="006B7DA9">
        <w:rPr>
          <w:rFonts w:ascii="Avenir Next" w:hAnsi="Avenir Next" w:cs="Arial"/>
          <w:color w:val="808080" w:themeColor="background1" w:themeShade="80"/>
          <w:sz w:val="22"/>
          <w:szCs w:val="22"/>
          <w:lang w:val="en-GB"/>
        </w:rPr>
        <w:t>limits the</w:t>
      </w:r>
      <w:r w:rsidR="000D69FE">
        <w:rPr>
          <w:rFonts w:ascii="Avenir Next" w:hAnsi="Avenir Next" w:cs="Arial"/>
          <w:color w:val="808080" w:themeColor="background1" w:themeShade="80"/>
          <w:sz w:val="22"/>
          <w:szCs w:val="22"/>
          <w:lang w:val="en-GB"/>
        </w:rPr>
        <w:t xml:space="preserve"> </w:t>
      </w:r>
      <w:r w:rsidR="00507546">
        <w:rPr>
          <w:rFonts w:ascii="Avenir Next" w:hAnsi="Avenir Next" w:cs="Arial"/>
          <w:color w:val="808080" w:themeColor="background1" w:themeShade="80"/>
          <w:sz w:val="22"/>
          <w:szCs w:val="22"/>
          <w:lang w:val="en-GB"/>
        </w:rPr>
        <w:t xml:space="preserve">enacting </w:t>
      </w:r>
      <w:r w:rsidR="00BE1D3B">
        <w:rPr>
          <w:rFonts w:ascii="Avenir Next" w:hAnsi="Avenir Next" w:cs="Arial"/>
          <w:color w:val="808080" w:themeColor="background1" w:themeShade="80"/>
          <w:sz w:val="22"/>
          <w:szCs w:val="22"/>
          <w:lang w:val="en-GB"/>
        </w:rPr>
        <w:t xml:space="preserve">state’s </w:t>
      </w:r>
      <w:r w:rsidR="006B7DA9">
        <w:rPr>
          <w:rFonts w:ascii="Avenir Next" w:hAnsi="Avenir Next" w:cs="Arial"/>
          <w:color w:val="808080" w:themeColor="background1" w:themeShade="80"/>
          <w:sz w:val="22"/>
          <w:szCs w:val="22"/>
          <w:lang w:val="en-GB"/>
        </w:rPr>
        <w:t xml:space="preserve">jurisdiction </w:t>
      </w:r>
      <w:r w:rsidR="00507546">
        <w:rPr>
          <w:rFonts w:ascii="Avenir Next" w:hAnsi="Avenir Next" w:cs="Arial"/>
          <w:color w:val="808080" w:themeColor="background1" w:themeShade="80"/>
          <w:sz w:val="22"/>
          <w:szCs w:val="22"/>
          <w:lang w:val="en-GB"/>
        </w:rPr>
        <w:t xml:space="preserve">over the </w:t>
      </w:r>
      <w:r w:rsidR="00E30454">
        <w:rPr>
          <w:rFonts w:ascii="Avenir Next" w:hAnsi="Avenir Next" w:cs="Arial"/>
          <w:color w:val="808080" w:themeColor="background1" w:themeShade="80"/>
          <w:sz w:val="22"/>
          <w:szCs w:val="22"/>
          <w:lang w:val="en-GB"/>
        </w:rPr>
        <w:t>foreign representative</w:t>
      </w:r>
      <w:r w:rsidR="00F7395F">
        <w:rPr>
          <w:rFonts w:ascii="Avenir Next" w:hAnsi="Avenir Next" w:cs="Arial"/>
          <w:color w:val="808080" w:themeColor="background1" w:themeShade="80"/>
          <w:sz w:val="22"/>
          <w:szCs w:val="22"/>
          <w:lang w:val="en-GB"/>
        </w:rPr>
        <w:t xml:space="preserve"> and</w:t>
      </w:r>
      <w:r w:rsidR="00E30454">
        <w:rPr>
          <w:rFonts w:ascii="Avenir Next" w:hAnsi="Avenir Next" w:cs="Arial"/>
          <w:color w:val="808080" w:themeColor="background1" w:themeShade="80"/>
          <w:sz w:val="22"/>
          <w:szCs w:val="22"/>
          <w:lang w:val="en-GB"/>
        </w:rPr>
        <w:t xml:space="preserve"> the debtor’s foreign assets</w:t>
      </w:r>
      <w:r w:rsidR="00507546">
        <w:rPr>
          <w:rFonts w:ascii="Avenir Next" w:hAnsi="Avenir Next" w:cs="Arial"/>
          <w:color w:val="808080" w:themeColor="background1" w:themeShade="80"/>
          <w:sz w:val="22"/>
          <w:szCs w:val="22"/>
          <w:lang w:val="en-GB"/>
        </w:rPr>
        <w:t xml:space="preserve"> when the foreign rep</w:t>
      </w:r>
      <w:r w:rsidR="00D7181F">
        <w:rPr>
          <w:rFonts w:ascii="Avenir Next" w:hAnsi="Avenir Next" w:cs="Arial"/>
          <w:color w:val="808080" w:themeColor="background1" w:themeShade="80"/>
          <w:sz w:val="22"/>
          <w:szCs w:val="22"/>
          <w:lang w:val="en-GB"/>
        </w:rPr>
        <w:t xml:space="preserve">resentative makes an application for recognition. </w:t>
      </w:r>
      <w:r w:rsidR="00DB701F">
        <w:rPr>
          <w:rFonts w:ascii="Avenir Next" w:hAnsi="Avenir Next" w:cs="Arial"/>
          <w:color w:val="808080" w:themeColor="background1" w:themeShade="80"/>
          <w:sz w:val="22"/>
          <w:szCs w:val="22"/>
          <w:lang w:val="en-GB"/>
        </w:rPr>
        <w:t xml:space="preserve"> Importantly</w:t>
      </w:r>
      <w:r w:rsidR="00F7395F">
        <w:rPr>
          <w:rFonts w:ascii="Avenir Next" w:hAnsi="Avenir Next" w:cs="Arial"/>
          <w:color w:val="808080" w:themeColor="background1" w:themeShade="80"/>
          <w:sz w:val="22"/>
          <w:szCs w:val="22"/>
          <w:lang w:val="en-GB"/>
        </w:rPr>
        <w:t>,</w:t>
      </w:r>
      <w:r w:rsidR="00DB701F">
        <w:rPr>
          <w:rFonts w:ascii="Avenir Next" w:hAnsi="Avenir Next" w:cs="Arial"/>
          <w:color w:val="808080" w:themeColor="background1" w:themeShade="80"/>
          <w:sz w:val="22"/>
          <w:szCs w:val="22"/>
          <w:lang w:val="en-GB"/>
        </w:rPr>
        <w:t xml:space="preserve"> t</w:t>
      </w:r>
      <w:r w:rsidR="00AD24C0">
        <w:rPr>
          <w:rFonts w:ascii="Avenir Next" w:hAnsi="Avenir Next" w:cs="Arial"/>
          <w:color w:val="808080" w:themeColor="background1" w:themeShade="80"/>
          <w:sz w:val="22"/>
          <w:szCs w:val="22"/>
          <w:lang w:val="en-GB"/>
        </w:rPr>
        <w:t xml:space="preserve">he article </w:t>
      </w:r>
      <w:r w:rsidR="004A5FF4">
        <w:rPr>
          <w:rFonts w:ascii="Avenir Next" w:hAnsi="Avenir Next" w:cs="Arial"/>
          <w:color w:val="808080" w:themeColor="background1" w:themeShade="80"/>
          <w:sz w:val="22"/>
          <w:szCs w:val="22"/>
          <w:lang w:val="en-GB"/>
        </w:rPr>
        <w:t xml:space="preserve">provides immunity against exposure </w:t>
      </w:r>
      <w:r w:rsidR="00BD1A47">
        <w:rPr>
          <w:rFonts w:ascii="Avenir Next" w:hAnsi="Avenir Next" w:cs="Arial"/>
          <w:color w:val="808080" w:themeColor="background1" w:themeShade="80"/>
          <w:sz w:val="22"/>
          <w:szCs w:val="22"/>
          <w:lang w:val="en-GB"/>
        </w:rPr>
        <w:t>of the debtor’s assets to an all-</w:t>
      </w:r>
      <w:r w:rsidR="00584A12">
        <w:rPr>
          <w:rFonts w:ascii="Avenir Next" w:hAnsi="Avenir Next" w:cs="Arial"/>
          <w:color w:val="808080" w:themeColor="background1" w:themeShade="80"/>
          <w:sz w:val="22"/>
          <w:szCs w:val="22"/>
          <w:lang w:val="en-GB"/>
        </w:rPr>
        <w:t>embracing</w:t>
      </w:r>
      <w:r w:rsidR="00BD1A47">
        <w:rPr>
          <w:rFonts w:ascii="Avenir Next" w:hAnsi="Avenir Next" w:cs="Arial"/>
          <w:color w:val="808080" w:themeColor="background1" w:themeShade="80"/>
          <w:sz w:val="22"/>
          <w:szCs w:val="22"/>
          <w:lang w:val="en-GB"/>
        </w:rPr>
        <w:t xml:space="preserve"> </w:t>
      </w:r>
      <w:r w:rsidR="00F50B69">
        <w:rPr>
          <w:rFonts w:ascii="Avenir Next" w:hAnsi="Avenir Next" w:cs="Arial"/>
          <w:color w:val="808080" w:themeColor="background1" w:themeShade="80"/>
          <w:sz w:val="22"/>
          <w:szCs w:val="22"/>
          <w:lang w:val="en-GB"/>
        </w:rPr>
        <w:t>state</w:t>
      </w:r>
      <w:r w:rsidR="00584A12">
        <w:rPr>
          <w:rFonts w:ascii="Avenir Next" w:hAnsi="Avenir Next" w:cs="Arial"/>
          <w:color w:val="808080" w:themeColor="background1" w:themeShade="80"/>
          <w:sz w:val="22"/>
          <w:szCs w:val="22"/>
          <w:lang w:val="en-GB"/>
        </w:rPr>
        <w:t>;</w:t>
      </w:r>
      <w:r w:rsidR="00F50B69">
        <w:rPr>
          <w:rFonts w:ascii="Avenir Next" w:hAnsi="Avenir Next" w:cs="Arial"/>
          <w:color w:val="808080" w:themeColor="background1" w:themeShade="80"/>
          <w:sz w:val="22"/>
          <w:szCs w:val="22"/>
          <w:lang w:val="en-GB"/>
        </w:rPr>
        <w:t xml:space="preserve"> such exposure being possible when triggered by an application for </w:t>
      </w:r>
      <w:r w:rsidR="006B4DC9">
        <w:rPr>
          <w:rFonts w:ascii="Avenir Next" w:hAnsi="Avenir Next" w:cs="Arial"/>
          <w:color w:val="808080" w:themeColor="background1" w:themeShade="80"/>
          <w:sz w:val="22"/>
          <w:szCs w:val="22"/>
          <w:lang w:val="en-GB"/>
        </w:rPr>
        <w:t>recognition</w:t>
      </w:r>
      <w:r w:rsidR="00005CCE">
        <w:rPr>
          <w:rFonts w:ascii="Avenir Next" w:hAnsi="Avenir Next" w:cs="Arial"/>
          <w:color w:val="808080" w:themeColor="background1" w:themeShade="80"/>
          <w:sz w:val="22"/>
          <w:szCs w:val="22"/>
          <w:lang w:val="en-GB"/>
        </w:rPr>
        <w:t xml:space="preserve">.  </w:t>
      </w:r>
      <w:r w:rsidR="004D77E5">
        <w:rPr>
          <w:rFonts w:ascii="Avenir Next" w:hAnsi="Avenir Next" w:cs="Arial"/>
          <w:color w:val="808080" w:themeColor="background1" w:themeShade="80"/>
          <w:sz w:val="22"/>
          <w:szCs w:val="22"/>
          <w:lang w:val="en-GB"/>
        </w:rPr>
        <w:t xml:space="preserve">The </w:t>
      </w:r>
      <w:r w:rsidR="002C7C19" w:rsidRPr="002C7C19">
        <w:rPr>
          <w:rFonts w:ascii="Avenir Next" w:hAnsi="Avenir Next" w:cs="Arial"/>
          <w:color w:val="808080" w:themeColor="background1" w:themeShade="80"/>
          <w:sz w:val="22"/>
          <w:szCs w:val="22"/>
          <w:lang w:val="en-GB"/>
        </w:rPr>
        <w:t xml:space="preserve">UNCITRAL Model Law on Cross-Border Insolvency with Guide to Enactment and Interpretation </w:t>
      </w:r>
      <w:r w:rsidR="004D77E5">
        <w:rPr>
          <w:rFonts w:ascii="Avenir Next" w:hAnsi="Avenir Next" w:cs="Arial"/>
          <w:color w:val="808080" w:themeColor="background1" w:themeShade="80"/>
          <w:sz w:val="22"/>
          <w:szCs w:val="22"/>
          <w:lang w:val="en-GB"/>
        </w:rPr>
        <w:t xml:space="preserve">at paragraph </w:t>
      </w:r>
      <w:r w:rsidR="001A31C5">
        <w:rPr>
          <w:rFonts w:ascii="Avenir Next" w:hAnsi="Avenir Next" w:cs="Arial"/>
          <w:color w:val="808080" w:themeColor="background1" w:themeShade="80"/>
          <w:sz w:val="22"/>
          <w:szCs w:val="22"/>
          <w:lang w:val="en-GB"/>
        </w:rPr>
        <w:t xml:space="preserve">110 </w:t>
      </w:r>
      <w:r w:rsidR="004D77E5">
        <w:rPr>
          <w:rFonts w:ascii="Avenir Next" w:hAnsi="Avenir Next" w:cs="Arial"/>
          <w:color w:val="808080" w:themeColor="background1" w:themeShade="80"/>
          <w:sz w:val="22"/>
          <w:szCs w:val="22"/>
          <w:lang w:val="en-GB"/>
        </w:rPr>
        <w:t>states that</w:t>
      </w:r>
      <w:r w:rsidR="006E70C2">
        <w:rPr>
          <w:rFonts w:ascii="Avenir Next" w:hAnsi="Avenir Next" w:cs="Arial"/>
          <w:color w:val="808080" w:themeColor="background1" w:themeShade="80"/>
          <w:sz w:val="22"/>
          <w:szCs w:val="22"/>
          <w:lang w:val="en-GB"/>
        </w:rPr>
        <w:t>:</w:t>
      </w:r>
    </w:p>
    <w:p w14:paraId="29855F00" w14:textId="77777777" w:rsidR="00F7395F" w:rsidRDefault="00F7395F" w:rsidP="00D7245C">
      <w:pPr>
        <w:ind w:left="720"/>
        <w:jc w:val="both"/>
        <w:rPr>
          <w:rFonts w:ascii="Avenir Next" w:hAnsi="Avenir Next" w:cs="Arial"/>
          <w:color w:val="808080" w:themeColor="background1" w:themeShade="80"/>
          <w:sz w:val="22"/>
          <w:szCs w:val="22"/>
          <w:lang w:val="en-GB"/>
        </w:rPr>
      </w:pPr>
    </w:p>
    <w:p w14:paraId="551E3BDF" w14:textId="7C9A5006" w:rsidR="004328E1" w:rsidRDefault="004D77E5" w:rsidP="006E70C2">
      <w:pPr>
        <w:ind w:left="1440" w:right="1106"/>
        <w:jc w:val="both"/>
        <w:rPr>
          <w:rFonts w:ascii="Avenir Next" w:hAnsi="Avenir Next" w:cs="Arial"/>
          <w:color w:val="808080" w:themeColor="background1" w:themeShade="80"/>
          <w:sz w:val="22"/>
          <w:szCs w:val="22"/>
          <w:lang w:val="en-GB"/>
        </w:rPr>
      </w:pPr>
      <w:r w:rsidRPr="002C7C19">
        <w:rPr>
          <w:rFonts w:ascii="Avenir Next" w:hAnsi="Avenir Next" w:cs="Arial"/>
          <w:color w:val="808080" w:themeColor="background1" w:themeShade="80"/>
          <w:sz w:val="22"/>
          <w:szCs w:val="22"/>
          <w:lang w:val="en-GB"/>
        </w:rPr>
        <w:t>The limitation on jurisdiction over the foreign representative embodied in article 10 is not absolute.</w:t>
      </w:r>
      <w:r w:rsidR="007C5CAF">
        <w:rPr>
          <w:rFonts w:ascii="Avenir Next" w:hAnsi="Avenir Next" w:cs="Arial"/>
          <w:color w:val="808080" w:themeColor="background1" w:themeShade="80"/>
          <w:sz w:val="22"/>
          <w:szCs w:val="22"/>
          <w:lang w:val="en-GB"/>
        </w:rPr>
        <w:t xml:space="preserve"> </w:t>
      </w:r>
      <w:r w:rsidRPr="002C7C19">
        <w:rPr>
          <w:rFonts w:ascii="Avenir Next" w:hAnsi="Avenir Next" w:cs="Arial"/>
          <w:color w:val="808080" w:themeColor="background1" w:themeShade="80"/>
          <w:sz w:val="22"/>
          <w:szCs w:val="22"/>
          <w:lang w:val="en-GB"/>
        </w:rPr>
        <w:t xml:space="preserve"> It is only intended to shield the foreign representative to the extent necessary to make court access a meaningful proposition. </w:t>
      </w:r>
      <w:r w:rsidR="00F7395F">
        <w:rPr>
          <w:rFonts w:ascii="Avenir Next" w:hAnsi="Avenir Next" w:cs="Arial"/>
          <w:color w:val="808080" w:themeColor="background1" w:themeShade="80"/>
          <w:sz w:val="22"/>
          <w:szCs w:val="22"/>
          <w:lang w:val="en-GB"/>
        </w:rPr>
        <w:t xml:space="preserve"> </w:t>
      </w:r>
      <w:r w:rsidRPr="002C7C19">
        <w:rPr>
          <w:rFonts w:ascii="Avenir Next" w:hAnsi="Avenir Next" w:cs="Arial"/>
          <w:color w:val="808080" w:themeColor="background1" w:themeShade="80"/>
          <w:sz w:val="22"/>
          <w:szCs w:val="22"/>
          <w:lang w:val="en-GB"/>
        </w:rPr>
        <w:t>It does so by providing that an appearance in the courts of the enacting State for the purpose of requesting recognition would not expose the entire estate under the supervision of the foreign representative to the jurisdiction of those courts.</w:t>
      </w:r>
      <w:r w:rsidR="008A7EC2">
        <w:rPr>
          <w:rStyle w:val="FootnoteReference"/>
        </w:rPr>
        <w:footnoteReference w:id="2"/>
      </w:r>
    </w:p>
    <w:p w14:paraId="1970B72D" w14:textId="77777777" w:rsidR="00BB61C5" w:rsidRDefault="00BB61C5" w:rsidP="00867A8F">
      <w:pPr>
        <w:ind w:left="720" w:hanging="720"/>
        <w:jc w:val="both"/>
        <w:rPr>
          <w:rFonts w:ascii="Avenir Next" w:hAnsi="Avenir Next" w:cs="Arial"/>
          <w:color w:val="808080" w:themeColor="background1" w:themeShade="80"/>
          <w:sz w:val="22"/>
          <w:szCs w:val="22"/>
          <w:lang w:val="en-GB"/>
        </w:rPr>
      </w:pPr>
    </w:p>
    <w:p w14:paraId="11D27080" w14:textId="52C087E6" w:rsidR="00BB61C5" w:rsidRPr="00274691" w:rsidRDefault="00BB61C5" w:rsidP="008D200B">
      <w:pPr>
        <w:ind w:left="720"/>
        <w:jc w:val="both"/>
        <w:rPr>
          <w:rFonts w:ascii="Avenir Next" w:hAnsi="Avenir Next" w:cs="Arial"/>
          <w:color w:val="808080" w:themeColor="background1" w:themeShade="80"/>
          <w:sz w:val="22"/>
          <w:szCs w:val="22"/>
          <w:u w:val="single"/>
          <w:lang w:val="en-GB"/>
        </w:rPr>
      </w:pPr>
      <w:r w:rsidRPr="00274691">
        <w:rPr>
          <w:rFonts w:ascii="Avenir Next" w:hAnsi="Avenir Next" w:cs="Arial"/>
          <w:color w:val="808080" w:themeColor="background1" w:themeShade="80"/>
          <w:sz w:val="22"/>
          <w:szCs w:val="22"/>
          <w:u w:val="single"/>
          <w:lang w:val="en-GB"/>
        </w:rPr>
        <w:lastRenderedPageBreak/>
        <w:t xml:space="preserve">Article </w:t>
      </w:r>
      <w:r w:rsidR="00813E5C" w:rsidRPr="00274691">
        <w:rPr>
          <w:rFonts w:ascii="Avenir Next" w:hAnsi="Avenir Next" w:cs="Arial"/>
          <w:color w:val="808080" w:themeColor="background1" w:themeShade="80"/>
          <w:sz w:val="22"/>
          <w:szCs w:val="22"/>
          <w:u w:val="single"/>
          <w:lang w:val="en-GB"/>
        </w:rPr>
        <w:t>1</w:t>
      </w:r>
      <w:r w:rsidR="00017AAE">
        <w:rPr>
          <w:rFonts w:ascii="Avenir Next" w:hAnsi="Avenir Next" w:cs="Arial"/>
          <w:color w:val="808080" w:themeColor="background1" w:themeShade="80"/>
          <w:sz w:val="22"/>
          <w:szCs w:val="22"/>
          <w:u w:val="single"/>
          <w:lang w:val="en-GB"/>
        </w:rPr>
        <w:t>6</w:t>
      </w:r>
      <w:r w:rsidR="00FF50F0">
        <w:rPr>
          <w:rFonts w:ascii="Avenir Next" w:hAnsi="Avenir Next" w:cs="Arial"/>
          <w:color w:val="808080" w:themeColor="background1" w:themeShade="80"/>
          <w:sz w:val="22"/>
          <w:szCs w:val="22"/>
          <w:u w:val="single"/>
          <w:lang w:val="en-GB"/>
        </w:rPr>
        <w:t xml:space="preserve"> </w:t>
      </w:r>
      <w:r w:rsidR="008D200B" w:rsidRPr="00274691">
        <w:rPr>
          <w:rFonts w:ascii="Avenir Next" w:hAnsi="Avenir Next" w:cs="Arial"/>
          <w:color w:val="808080" w:themeColor="background1" w:themeShade="80"/>
          <w:sz w:val="22"/>
          <w:szCs w:val="22"/>
          <w:u w:val="single"/>
          <w:lang w:val="en-GB"/>
        </w:rPr>
        <w:t xml:space="preserve">- </w:t>
      </w:r>
      <w:r w:rsidR="00017AAE">
        <w:rPr>
          <w:rFonts w:ascii="Avenir Next" w:hAnsi="Avenir Next" w:cs="Arial"/>
          <w:color w:val="808080" w:themeColor="background1" w:themeShade="80"/>
          <w:sz w:val="22"/>
          <w:szCs w:val="22"/>
          <w:u w:val="single"/>
          <w:lang w:val="en-GB"/>
        </w:rPr>
        <w:t xml:space="preserve">Presumption concerning </w:t>
      </w:r>
      <w:r w:rsidR="00FF50F0">
        <w:rPr>
          <w:rFonts w:ascii="Avenir Next" w:hAnsi="Avenir Next" w:cs="Arial"/>
          <w:color w:val="808080" w:themeColor="background1" w:themeShade="80"/>
          <w:sz w:val="22"/>
          <w:szCs w:val="22"/>
          <w:u w:val="single"/>
          <w:lang w:val="en-GB"/>
        </w:rPr>
        <w:t xml:space="preserve">Recognition </w:t>
      </w:r>
    </w:p>
    <w:p w14:paraId="5A2A4341" w14:textId="4EEF8E0A" w:rsidR="006C5587" w:rsidRDefault="00017AAE" w:rsidP="006C5587">
      <w:pPr>
        <w:ind w:left="720"/>
        <w:jc w:val="both"/>
        <w:rPr>
          <w:rFonts w:ascii="Avenir Next" w:hAnsi="Avenir Next" w:cs="Arial"/>
          <w:color w:val="808080" w:themeColor="background1" w:themeShade="80"/>
          <w:sz w:val="22"/>
          <w:szCs w:val="22"/>
          <w:lang w:val="en-GB"/>
        </w:rPr>
      </w:pPr>
      <w:r w:rsidRPr="00A20B08">
        <w:rPr>
          <w:rFonts w:ascii="Avenir Next" w:hAnsi="Avenir Next" w:cs="Arial"/>
          <w:color w:val="808080" w:themeColor="background1" w:themeShade="80"/>
          <w:sz w:val="22"/>
          <w:szCs w:val="22"/>
          <w:lang w:val="en-GB"/>
        </w:rPr>
        <w:t xml:space="preserve">This </w:t>
      </w:r>
      <w:r w:rsidRPr="00A20B08">
        <w:rPr>
          <w:rFonts w:ascii="Avenir Next" w:hAnsi="Avenir Next" w:cs="Arial"/>
          <w:color w:val="808080" w:themeColor="background1" w:themeShade="80"/>
          <w:sz w:val="22"/>
          <w:szCs w:val="22"/>
          <w:lang w:val="en-GB"/>
        </w:rPr>
        <w:t xml:space="preserve">Article </w:t>
      </w:r>
      <w:r w:rsidRPr="00A20B08">
        <w:rPr>
          <w:rFonts w:ascii="Avenir Next" w:hAnsi="Avenir Next" w:cs="Arial"/>
          <w:color w:val="808080" w:themeColor="background1" w:themeShade="80"/>
          <w:sz w:val="22"/>
          <w:szCs w:val="22"/>
          <w:lang w:val="en-GB"/>
        </w:rPr>
        <w:t xml:space="preserve">contains the rebuttable presumption in respect of the debtor’s </w:t>
      </w:r>
      <w:proofErr w:type="spellStart"/>
      <w:r w:rsidRPr="00A20B08">
        <w:rPr>
          <w:rFonts w:ascii="Avenir Next" w:hAnsi="Avenir Next" w:cs="Arial"/>
          <w:color w:val="808080" w:themeColor="background1" w:themeShade="80"/>
          <w:sz w:val="22"/>
          <w:szCs w:val="22"/>
          <w:lang w:val="en-GB"/>
        </w:rPr>
        <w:t>centre</w:t>
      </w:r>
      <w:proofErr w:type="spellEnd"/>
      <w:r w:rsidRPr="00A20B08">
        <w:rPr>
          <w:rFonts w:ascii="Avenir Next" w:hAnsi="Avenir Next" w:cs="Arial"/>
          <w:color w:val="808080" w:themeColor="background1" w:themeShade="80"/>
          <w:sz w:val="22"/>
          <w:szCs w:val="22"/>
          <w:lang w:val="en-GB"/>
        </w:rPr>
        <w:t xml:space="preserve"> of main interest or COMI</w:t>
      </w:r>
      <w:r w:rsidR="008E046B" w:rsidRPr="00A20B08">
        <w:rPr>
          <w:rFonts w:ascii="Avenir Next" w:hAnsi="Avenir Next" w:cs="Arial"/>
          <w:color w:val="808080" w:themeColor="background1" w:themeShade="80"/>
          <w:sz w:val="22"/>
          <w:szCs w:val="22"/>
          <w:lang w:val="en-GB"/>
        </w:rPr>
        <w:t>,</w:t>
      </w:r>
      <w:r w:rsidRPr="00A20B08">
        <w:rPr>
          <w:rFonts w:ascii="Avenir Next" w:hAnsi="Avenir Next" w:cs="Arial"/>
          <w:color w:val="808080" w:themeColor="background1" w:themeShade="80"/>
          <w:sz w:val="22"/>
          <w:szCs w:val="22"/>
          <w:lang w:val="en-GB"/>
        </w:rPr>
        <w:t xml:space="preserve"> which is </w:t>
      </w:r>
      <w:r w:rsidR="00A20B08">
        <w:rPr>
          <w:rFonts w:ascii="Avenir Next" w:hAnsi="Avenir Next" w:cs="Arial"/>
          <w:color w:val="808080" w:themeColor="background1" w:themeShade="80"/>
          <w:sz w:val="22"/>
          <w:szCs w:val="22"/>
          <w:lang w:val="en-GB"/>
        </w:rPr>
        <w:t xml:space="preserve">a fundamental but </w:t>
      </w:r>
      <w:r w:rsidRPr="00A20B08">
        <w:rPr>
          <w:rFonts w:ascii="Avenir Next" w:hAnsi="Avenir Next" w:cs="Arial"/>
          <w:color w:val="808080" w:themeColor="background1" w:themeShade="80"/>
          <w:sz w:val="22"/>
          <w:szCs w:val="22"/>
          <w:lang w:val="en-GB"/>
        </w:rPr>
        <w:t>undefined key concept in the Model Law.  I</w:t>
      </w:r>
      <w:r w:rsidRPr="00A20B08">
        <w:rPr>
          <w:rFonts w:ascii="Avenir Next" w:hAnsi="Avenir Next" w:cs="Arial"/>
          <w:color w:val="808080" w:themeColor="background1" w:themeShade="80"/>
          <w:sz w:val="22"/>
          <w:szCs w:val="22"/>
          <w:lang w:val="en-GB"/>
        </w:rPr>
        <w:t>n the case of a corporate director</w:t>
      </w:r>
      <w:r w:rsidRPr="00A20B08">
        <w:rPr>
          <w:rFonts w:ascii="Avenir Next" w:hAnsi="Avenir Next" w:cs="Arial"/>
          <w:color w:val="808080" w:themeColor="background1" w:themeShade="80"/>
          <w:sz w:val="22"/>
          <w:szCs w:val="22"/>
          <w:lang w:val="en-GB"/>
        </w:rPr>
        <w:t xml:space="preserve">, the </w:t>
      </w:r>
      <w:r w:rsidR="000664A1">
        <w:rPr>
          <w:rFonts w:ascii="Avenir Next" w:hAnsi="Avenir Next" w:cs="Arial"/>
          <w:color w:val="808080" w:themeColor="background1" w:themeShade="80"/>
          <w:sz w:val="22"/>
          <w:szCs w:val="22"/>
          <w:lang w:val="en-GB"/>
        </w:rPr>
        <w:t xml:space="preserve">presumed </w:t>
      </w:r>
      <w:r w:rsidRPr="00A20B08">
        <w:rPr>
          <w:rFonts w:ascii="Avenir Next" w:hAnsi="Avenir Next" w:cs="Arial"/>
          <w:color w:val="808080" w:themeColor="background1" w:themeShade="80"/>
          <w:sz w:val="22"/>
          <w:szCs w:val="22"/>
          <w:lang w:val="en-GB"/>
        </w:rPr>
        <w:t>COMI is its registered office.  I</w:t>
      </w:r>
      <w:r w:rsidRPr="00A20B08">
        <w:rPr>
          <w:rFonts w:ascii="Avenir Next" w:hAnsi="Avenir Next" w:cs="Arial"/>
          <w:color w:val="808080" w:themeColor="background1" w:themeShade="80"/>
          <w:sz w:val="22"/>
          <w:szCs w:val="22"/>
          <w:lang w:val="en-GB"/>
        </w:rPr>
        <w:t>n the case of an individual</w:t>
      </w:r>
      <w:r w:rsidRPr="00A20B08">
        <w:rPr>
          <w:rFonts w:ascii="Avenir Next" w:hAnsi="Avenir Next" w:cs="Arial"/>
          <w:color w:val="808080" w:themeColor="background1" w:themeShade="80"/>
          <w:sz w:val="22"/>
          <w:szCs w:val="22"/>
          <w:lang w:val="en-GB"/>
        </w:rPr>
        <w:t>,</w:t>
      </w:r>
      <w:r w:rsidRPr="00A20B08">
        <w:rPr>
          <w:rFonts w:ascii="Avenir Next" w:hAnsi="Avenir Next" w:cs="Arial"/>
          <w:color w:val="808080" w:themeColor="background1" w:themeShade="80"/>
          <w:sz w:val="22"/>
          <w:szCs w:val="22"/>
          <w:lang w:val="en-GB"/>
        </w:rPr>
        <w:t xml:space="preserve"> </w:t>
      </w:r>
      <w:r w:rsidRPr="00A20B08">
        <w:rPr>
          <w:rFonts w:ascii="Avenir Next" w:hAnsi="Avenir Next" w:cs="Arial"/>
          <w:color w:val="808080" w:themeColor="background1" w:themeShade="80"/>
          <w:sz w:val="22"/>
          <w:szCs w:val="22"/>
          <w:lang w:val="en-GB"/>
        </w:rPr>
        <w:t xml:space="preserve">the </w:t>
      </w:r>
      <w:r w:rsidR="000664A1">
        <w:rPr>
          <w:rFonts w:ascii="Avenir Next" w:hAnsi="Avenir Next" w:cs="Arial"/>
          <w:color w:val="808080" w:themeColor="background1" w:themeShade="80"/>
          <w:sz w:val="22"/>
          <w:szCs w:val="22"/>
          <w:lang w:val="en-GB"/>
        </w:rPr>
        <w:t xml:space="preserve">presumed </w:t>
      </w:r>
      <w:r w:rsidRPr="00A20B08">
        <w:rPr>
          <w:rFonts w:ascii="Avenir Next" w:hAnsi="Avenir Next" w:cs="Arial"/>
          <w:color w:val="808080" w:themeColor="background1" w:themeShade="80"/>
          <w:sz w:val="22"/>
          <w:szCs w:val="22"/>
          <w:lang w:val="en-GB"/>
        </w:rPr>
        <w:t xml:space="preserve">COMI is </w:t>
      </w:r>
      <w:r w:rsidR="000664A1">
        <w:rPr>
          <w:rFonts w:ascii="Avenir Next" w:hAnsi="Avenir Next" w:cs="Arial"/>
          <w:color w:val="808080" w:themeColor="background1" w:themeShade="80"/>
          <w:sz w:val="22"/>
          <w:szCs w:val="22"/>
          <w:lang w:val="en-GB"/>
        </w:rPr>
        <w:t xml:space="preserve">the </w:t>
      </w:r>
      <w:r w:rsidRPr="00A20B08">
        <w:rPr>
          <w:rFonts w:ascii="Avenir Next" w:hAnsi="Avenir Next" w:cs="Arial"/>
          <w:color w:val="808080" w:themeColor="background1" w:themeShade="80"/>
          <w:sz w:val="22"/>
          <w:szCs w:val="22"/>
          <w:lang w:val="en-GB"/>
        </w:rPr>
        <w:t xml:space="preserve">habitual place of residence.  </w:t>
      </w:r>
    </w:p>
    <w:p w14:paraId="47202BB4" w14:textId="3F2A6BAE" w:rsidR="00017AAE" w:rsidRDefault="00017AAE" w:rsidP="006C5587">
      <w:pPr>
        <w:ind w:left="720"/>
        <w:jc w:val="both"/>
        <w:rPr>
          <w:rFonts w:ascii="Avenir Next" w:hAnsi="Avenir Next" w:cs="Arial"/>
          <w:color w:val="808080" w:themeColor="background1" w:themeShade="80"/>
          <w:sz w:val="22"/>
          <w:szCs w:val="22"/>
          <w:lang w:val="en-GB"/>
        </w:rPr>
      </w:pPr>
    </w:p>
    <w:p w14:paraId="3B57C750" w14:textId="006E38DD" w:rsidR="000664A1" w:rsidRDefault="00A20B08" w:rsidP="006C558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is fundamental to the operation of the Model Law because </w:t>
      </w:r>
      <w:r w:rsidR="00CD566D">
        <w:rPr>
          <w:rFonts w:ascii="Avenir Next" w:hAnsi="Avenir Next" w:cs="Arial"/>
          <w:color w:val="808080" w:themeColor="background1" w:themeShade="80"/>
          <w:sz w:val="22"/>
          <w:szCs w:val="22"/>
          <w:lang w:val="en-GB"/>
        </w:rPr>
        <w:t>proceedings commenced in that jurisdiction are given greater deference and more immediate, automatic relief.  The concept is however undefined so that the essential attributes</w:t>
      </w:r>
      <w:r w:rsidR="00C037B4">
        <w:rPr>
          <w:rFonts w:ascii="Avenir Next" w:hAnsi="Avenir Next" w:cs="Arial"/>
          <w:color w:val="808080" w:themeColor="background1" w:themeShade="80"/>
          <w:sz w:val="22"/>
          <w:szCs w:val="22"/>
          <w:lang w:val="en-GB"/>
        </w:rPr>
        <w:t xml:space="preserve"> </w:t>
      </w:r>
      <w:r w:rsidR="00344DF7">
        <w:rPr>
          <w:rFonts w:ascii="Avenir Next" w:hAnsi="Avenir Next" w:cs="Arial"/>
          <w:color w:val="808080" w:themeColor="background1" w:themeShade="80"/>
          <w:sz w:val="22"/>
          <w:szCs w:val="22"/>
          <w:lang w:val="en-GB"/>
        </w:rPr>
        <w:t>that</w:t>
      </w:r>
      <w:r w:rsidR="00C037B4">
        <w:rPr>
          <w:rFonts w:ascii="Avenir Next" w:hAnsi="Avenir Next" w:cs="Arial"/>
          <w:color w:val="808080" w:themeColor="background1" w:themeShade="80"/>
          <w:sz w:val="22"/>
          <w:szCs w:val="22"/>
          <w:lang w:val="en-GB"/>
        </w:rPr>
        <w:t xml:space="preserve"> would determine where the proceedings is likely to commence</w:t>
      </w:r>
      <w:r w:rsidR="00CD566D">
        <w:rPr>
          <w:rFonts w:ascii="Avenir Next" w:hAnsi="Avenir Next" w:cs="Arial"/>
          <w:color w:val="808080" w:themeColor="background1" w:themeShade="80"/>
          <w:sz w:val="22"/>
          <w:szCs w:val="22"/>
          <w:lang w:val="en-GB"/>
        </w:rPr>
        <w:t xml:space="preserve"> can be </w:t>
      </w:r>
      <w:r w:rsidR="00C037B4">
        <w:rPr>
          <w:rFonts w:ascii="Avenir Next" w:hAnsi="Avenir Next" w:cs="Arial"/>
          <w:color w:val="808080" w:themeColor="background1" w:themeShade="80"/>
          <w:sz w:val="22"/>
          <w:szCs w:val="22"/>
          <w:lang w:val="en-GB"/>
        </w:rPr>
        <w:t xml:space="preserve">more </w:t>
      </w:r>
      <w:r w:rsidR="00344DF7">
        <w:rPr>
          <w:rFonts w:ascii="Avenir Next" w:hAnsi="Avenir Next" w:cs="Arial"/>
          <w:color w:val="808080" w:themeColor="background1" w:themeShade="80"/>
          <w:sz w:val="22"/>
          <w:szCs w:val="22"/>
          <w:lang w:val="en-GB"/>
        </w:rPr>
        <w:t>liberally</w:t>
      </w:r>
      <w:r w:rsidR="00C037B4">
        <w:rPr>
          <w:rFonts w:ascii="Avenir Next" w:hAnsi="Avenir Next" w:cs="Arial"/>
          <w:color w:val="808080" w:themeColor="background1" w:themeShade="80"/>
          <w:sz w:val="22"/>
          <w:szCs w:val="22"/>
          <w:lang w:val="en-GB"/>
        </w:rPr>
        <w:t xml:space="preserve"> </w:t>
      </w:r>
      <w:r w:rsidR="00F7395F">
        <w:rPr>
          <w:rFonts w:ascii="Avenir Next" w:hAnsi="Avenir Next" w:cs="Arial"/>
          <w:color w:val="808080" w:themeColor="background1" w:themeShade="80"/>
          <w:sz w:val="22"/>
          <w:szCs w:val="22"/>
          <w:lang w:val="en-GB"/>
        </w:rPr>
        <w:t>ascribed</w:t>
      </w:r>
      <w:r w:rsidR="00CD566D">
        <w:rPr>
          <w:rFonts w:ascii="Avenir Next" w:hAnsi="Avenir Next" w:cs="Arial"/>
          <w:color w:val="808080" w:themeColor="background1" w:themeShade="80"/>
          <w:sz w:val="22"/>
          <w:szCs w:val="22"/>
          <w:lang w:val="en-GB"/>
        </w:rPr>
        <w:t xml:space="preserve"> without a </w:t>
      </w:r>
      <w:r w:rsidR="00C037B4">
        <w:rPr>
          <w:rFonts w:ascii="Avenir Next" w:hAnsi="Avenir Next" w:cs="Arial"/>
          <w:color w:val="808080" w:themeColor="background1" w:themeShade="80"/>
          <w:sz w:val="22"/>
          <w:szCs w:val="22"/>
          <w:lang w:val="en-GB"/>
        </w:rPr>
        <w:t>restrictive</w:t>
      </w:r>
      <w:r w:rsidR="00CD566D">
        <w:rPr>
          <w:rFonts w:ascii="Avenir Next" w:hAnsi="Avenir Next" w:cs="Arial"/>
          <w:color w:val="808080" w:themeColor="background1" w:themeShade="80"/>
          <w:sz w:val="22"/>
          <w:szCs w:val="22"/>
          <w:lang w:val="en-GB"/>
        </w:rPr>
        <w:t xml:space="preserve"> definition.  </w:t>
      </w:r>
    </w:p>
    <w:p w14:paraId="02004A65" w14:textId="77777777" w:rsidR="000664A1" w:rsidRDefault="000664A1" w:rsidP="006C5587">
      <w:pPr>
        <w:ind w:left="720"/>
        <w:jc w:val="both"/>
        <w:rPr>
          <w:rFonts w:ascii="Avenir Next" w:hAnsi="Avenir Next" w:cs="Arial"/>
          <w:color w:val="808080" w:themeColor="background1" w:themeShade="80"/>
          <w:sz w:val="22"/>
          <w:szCs w:val="22"/>
          <w:lang w:val="en-GB"/>
        </w:rPr>
      </w:pPr>
    </w:p>
    <w:p w14:paraId="0AAD2691" w14:textId="3186232D" w:rsidR="006C5587" w:rsidRDefault="000664A1" w:rsidP="006C5587">
      <w:pPr>
        <w:ind w:left="720"/>
        <w:jc w:val="both"/>
      </w:pPr>
      <w:r w:rsidRPr="00A20B08">
        <w:rPr>
          <w:rFonts w:ascii="Avenir Next" w:hAnsi="Avenir Next" w:cs="Arial"/>
          <w:color w:val="808080" w:themeColor="background1" w:themeShade="80"/>
          <w:sz w:val="22"/>
          <w:szCs w:val="22"/>
          <w:lang w:val="en-GB"/>
        </w:rPr>
        <w:t>The Article 16 presumptions helps to expedite the evidentiary process in a case.</w:t>
      </w:r>
    </w:p>
    <w:p w14:paraId="1E7ACB44" w14:textId="77777777" w:rsidR="00A20B08" w:rsidRPr="00B77352" w:rsidRDefault="00A20B08" w:rsidP="006C5587">
      <w:pPr>
        <w:ind w:left="720"/>
        <w:jc w:val="both"/>
        <w:rPr>
          <w:rFonts w:ascii="Avenir Next" w:hAnsi="Avenir Next" w:cs="Arial"/>
          <w:color w:val="808080" w:themeColor="background1" w:themeShade="80"/>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56C45DC" w14:textId="1C20B37D" w:rsidR="00575164" w:rsidRDefault="002E6045" w:rsidP="00BC29B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Cross-Border Insolvency Regulations 2006 (CBIR), which implemented the UNCITRAL Model Law on Cross-Border Insolvency in the UK provides the English court with a discretionary procedural power to grant appropriate relief where such relief would be necessary to protect the assets of the debtor or the interest of the creditors.  Granting such relief could also be justified under the principles of universalism, </w:t>
      </w:r>
      <w:r w:rsidR="00575164">
        <w:rPr>
          <w:rFonts w:ascii="Avenir Next" w:hAnsi="Avenir Next" w:cs="Arial"/>
          <w:color w:val="808080" w:themeColor="background1" w:themeShade="80"/>
          <w:sz w:val="22"/>
          <w:szCs w:val="22"/>
          <w:lang w:val="en-GB"/>
        </w:rPr>
        <w:t xml:space="preserve">in particular, </w:t>
      </w:r>
      <w:r>
        <w:rPr>
          <w:rFonts w:ascii="Avenir Next" w:hAnsi="Avenir Next" w:cs="Arial"/>
          <w:color w:val="808080" w:themeColor="background1" w:themeShade="80"/>
          <w:sz w:val="22"/>
          <w:szCs w:val="22"/>
          <w:lang w:val="en-GB"/>
        </w:rPr>
        <w:t xml:space="preserve">to assists foreign insolvency </w:t>
      </w:r>
      <w:r w:rsidR="00575164">
        <w:rPr>
          <w:rFonts w:ascii="Avenir Next" w:hAnsi="Avenir Next" w:cs="Arial"/>
          <w:color w:val="808080" w:themeColor="background1" w:themeShade="80"/>
          <w:sz w:val="22"/>
          <w:szCs w:val="22"/>
          <w:lang w:val="en-GB"/>
        </w:rPr>
        <w:t xml:space="preserve">processes and also in support of the rescue culture – which are key purposes of the Model Law.  Accordingly, appropriate relief could be continuation of a moratorium, as long as it was necessary to protect the assets of the debtor or interests of creditors and advance the principles of </w:t>
      </w:r>
      <w:r w:rsidR="00BC29B1">
        <w:rPr>
          <w:rFonts w:ascii="Avenir Next" w:hAnsi="Avenir Next" w:cs="Arial"/>
          <w:color w:val="808080" w:themeColor="background1" w:themeShade="80"/>
          <w:sz w:val="22"/>
          <w:szCs w:val="22"/>
          <w:lang w:val="en-GB"/>
        </w:rPr>
        <w:t>universalism</w:t>
      </w:r>
      <w:r w:rsidR="00575164">
        <w:rPr>
          <w:rFonts w:ascii="Avenir Next" w:hAnsi="Avenir Next" w:cs="Arial"/>
          <w:color w:val="808080" w:themeColor="background1" w:themeShade="80"/>
          <w:sz w:val="22"/>
          <w:szCs w:val="22"/>
          <w:lang w:val="en-GB"/>
        </w:rPr>
        <w:t xml:space="preserve">. </w:t>
      </w:r>
      <w:r w:rsidR="00097B82">
        <w:rPr>
          <w:rFonts w:ascii="Avenir Next" w:hAnsi="Avenir Next" w:cs="Arial"/>
          <w:color w:val="808080" w:themeColor="background1" w:themeShade="80"/>
          <w:sz w:val="22"/>
          <w:szCs w:val="22"/>
          <w:lang w:val="en-GB"/>
        </w:rPr>
        <w:t xml:space="preserve"> It is noted that</w:t>
      </w:r>
      <w:r w:rsidR="00F930E3">
        <w:rPr>
          <w:rFonts w:ascii="Avenir Next" w:hAnsi="Avenir Next" w:cs="Arial"/>
          <w:color w:val="808080" w:themeColor="background1" w:themeShade="80"/>
          <w:sz w:val="22"/>
          <w:szCs w:val="22"/>
          <w:lang w:val="en-GB"/>
        </w:rPr>
        <w:t xml:space="preserve"> what is</w:t>
      </w:r>
      <w:r w:rsidR="00097B82">
        <w:rPr>
          <w:rFonts w:ascii="Avenir Next" w:hAnsi="Avenir Next" w:cs="Arial"/>
          <w:color w:val="808080" w:themeColor="background1" w:themeShade="80"/>
          <w:sz w:val="22"/>
          <w:szCs w:val="22"/>
          <w:lang w:val="en-GB"/>
        </w:rPr>
        <w:t xml:space="preserve"> appropriate relief is not specified under the Model Law. </w:t>
      </w:r>
    </w:p>
    <w:p w14:paraId="68A7C363" w14:textId="77777777" w:rsidR="00575164" w:rsidRDefault="00575164" w:rsidP="00867A8F">
      <w:pPr>
        <w:ind w:left="720" w:hanging="720"/>
        <w:jc w:val="both"/>
        <w:rPr>
          <w:rFonts w:ascii="Avenir Next" w:hAnsi="Avenir Next" w:cs="Arial"/>
          <w:color w:val="808080" w:themeColor="background1" w:themeShade="80"/>
          <w:sz w:val="22"/>
          <w:szCs w:val="22"/>
          <w:lang w:val="en-GB"/>
        </w:rPr>
      </w:pPr>
    </w:p>
    <w:p w14:paraId="28AA1C28" w14:textId="3B15F388" w:rsidR="00575164" w:rsidRDefault="00575164" w:rsidP="00BC29B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IBA sought an indefinite moratorium continuation in the UK courts to prevent two of its creditors from enforcing their English law governed claims.  </w:t>
      </w:r>
      <w:r w:rsidR="00BC29B1">
        <w:rPr>
          <w:rFonts w:ascii="Avenir Next" w:hAnsi="Avenir Next" w:cs="Arial"/>
          <w:color w:val="808080" w:themeColor="background1" w:themeShade="80"/>
          <w:sz w:val="22"/>
          <w:szCs w:val="22"/>
          <w:lang w:val="en-GB"/>
        </w:rPr>
        <w:t>Article</w:t>
      </w:r>
      <w:r>
        <w:rPr>
          <w:rFonts w:ascii="Avenir Next" w:hAnsi="Avenir Next" w:cs="Arial"/>
          <w:color w:val="808080" w:themeColor="background1" w:themeShade="80"/>
          <w:sz w:val="22"/>
          <w:szCs w:val="22"/>
          <w:lang w:val="en-GB"/>
        </w:rPr>
        <w:t xml:space="preserve"> 20 of the MLCBI (through the CBIR) initially afforded IBA an automatic stay following its successful recognition application as a </w:t>
      </w:r>
      <w:r w:rsidR="00BC29B1">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main proceeding.  Such stay was to last until the completion of IBA’s Azerbaijan restructuring process.  However, IBA’s application for the indefinite moratorium aimed to prevent the two creditors from enforcing their claims against IBA beyond the Azerbaijan restructuring process;-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a permanent moratorium which would have the effect of discharging the English law governed debts.  Such an outcome was prevented by Gibbs Rule which said that an English law debt cannot be discharged by a </w:t>
      </w:r>
      <w:r w:rsidR="00BC29B1">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proceeding without consent. </w:t>
      </w:r>
    </w:p>
    <w:p w14:paraId="253CA251" w14:textId="77777777" w:rsidR="00575164" w:rsidRDefault="00575164" w:rsidP="00867A8F">
      <w:pPr>
        <w:ind w:left="720" w:hanging="720"/>
        <w:jc w:val="both"/>
        <w:rPr>
          <w:rFonts w:ascii="Avenir Next" w:hAnsi="Avenir Next" w:cs="Arial"/>
          <w:color w:val="808080" w:themeColor="background1" w:themeShade="80"/>
          <w:sz w:val="22"/>
          <w:szCs w:val="22"/>
          <w:lang w:val="en-GB"/>
        </w:rPr>
      </w:pPr>
    </w:p>
    <w:p w14:paraId="1942F243" w14:textId="25D8E3F4" w:rsidR="00575164" w:rsidRDefault="00575164" w:rsidP="00BC29B1">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of Appeal refused to grant the indefinite moratorium because notably, Articles 20 and 21 were designed to give debtors limited, modest breathing </w:t>
      </w:r>
      <w:r w:rsidR="00BC29B1">
        <w:rPr>
          <w:rFonts w:ascii="Avenir Next" w:hAnsi="Avenir Next" w:cs="Arial"/>
          <w:color w:val="808080" w:themeColor="background1" w:themeShade="80"/>
          <w:sz w:val="22"/>
          <w:szCs w:val="22"/>
          <w:lang w:val="en-GB"/>
        </w:rPr>
        <w:t>space</w:t>
      </w:r>
      <w:r>
        <w:rPr>
          <w:rFonts w:ascii="Avenir Next" w:hAnsi="Avenir Next" w:cs="Arial"/>
          <w:color w:val="808080" w:themeColor="background1" w:themeShade="80"/>
          <w:sz w:val="22"/>
          <w:szCs w:val="22"/>
          <w:lang w:val="en-GB"/>
        </w:rPr>
        <w:t xml:space="preserve"> necessary to organise an orderly and fair insolvency/restructuring;- </w:t>
      </w:r>
      <w:r w:rsidR="00F930E3">
        <w:rPr>
          <w:rFonts w:ascii="Avenir Next" w:hAnsi="Avenir Next" w:cs="Arial"/>
          <w:color w:val="808080" w:themeColor="background1" w:themeShade="80"/>
          <w:sz w:val="22"/>
          <w:szCs w:val="22"/>
          <w:lang w:val="en-GB"/>
        </w:rPr>
        <w:t>the temporary moratorium</w:t>
      </w:r>
      <w:r>
        <w:rPr>
          <w:rFonts w:ascii="Avenir Next" w:hAnsi="Avenir Next" w:cs="Arial"/>
          <w:color w:val="808080" w:themeColor="background1" w:themeShade="80"/>
          <w:sz w:val="22"/>
          <w:szCs w:val="22"/>
          <w:lang w:val="en-GB"/>
        </w:rPr>
        <w:t xml:space="preserve"> was appropriate relief during IBA’s restructuring process.  IBA’s </w:t>
      </w:r>
      <w:r w:rsidR="00BC29B1">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w:t>
      </w:r>
      <w:r w:rsidR="00F930E3">
        <w:rPr>
          <w:rFonts w:ascii="Avenir Next" w:hAnsi="Avenir Next" w:cs="Arial"/>
          <w:color w:val="808080" w:themeColor="background1" w:themeShade="80"/>
          <w:sz w:val="22"/>
          <w:szCs w:val="22"/>
          <w:lang w:val="en-GB"/>
        </w:rPr>
        <w:t xml:space="preserve">ended </w:t>
      </w:r>
      <w:r>
        <w:rPr>
          <w:rFonts w:ascii="Avenir Next" w:hAnsi="Avenir Next" w:cs="Arial"/>
          <w:color w:val="808080" w:themeColor="background1" w:themeShade="80"/>
          <w:sz w:val="22"/>
          <w:szCs w:val="22"/>
          <w:lang w:val="en-GB"/>
        </w:rPr>
        <w:t>and they resumed trading thus an indefinite moratorium was not necessary nor the appropriate way to protect their assets or interests of creditors.  Furthermore, the CBIR</w:t>
      </w:r>
      <w:r w:rsidR="00F930E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procedural power could not be used to effectively extinguish the rights of the two </w:t>
      </w:r>
      <w:r w:rsidR="00F930E3">
        <w:rPr>
          <w:rFonts w:ascii="Avenir Next" w:hAnsi="Avenir Next" w:cs="Arial"/>
          <w:color w:val="808080" w:themeColor="background1" w:themeShade="80"/>
          <w:sz w:val="22"/>
          <w:szCs w:val="22"/>
          <w:lang w:val="en-GB"/>
        </w:rPr>
        <w:t xml:space="preserve">English law </w:t>
      </w:r>
      <w:r>
        <w:rPr>
          <w:rFonts w:ascii="Avenir Next" w:hAnsi="Avenir Next" w:cs="Arial"/>
          <w:color w:val="808080" w:themeColor="background1" w:themeShade="80"/>
          <w:sz w:val="22"/>
          <w:szCs w:val="22"/>
          <w:lang w:val="en-GB"/>
        </w:rPr>
        <w:t xml:space="preserve">creditor </w:t>
      </w:r>
      <w:r w:rsidR="00BC29B1">
        <w:rPr>
          <w:rFonts w:ascii="Avenir Next" w:hAnsi="Avenir Next" w:cs="Arial"/>
          <w:color w:val="808080" w:themeColor="background1" w:themeShade="80"/>
          <w:sz w:val="22"/>
          <w:szCs w:val="22"/>
          <w:lang w:val="en-GB"/>
        </w:rPr>
        <w:t>claims</w:t>
      </w:r>
      <w:r>
        <w:rPr>
          <w:rFonts w:ascii="Avenir Next" w:hAnsi="Avenir Next" w:cs="Arial"/>
          <w:color w:val="808080" w:themeColor="background1" w:themeShade="80"/>
          <w:sz w:val="22"/>
          <w:szCs w:val="22"/>
          <w:lang w:val="en-GB"/>
        </w:rPr>
        <w:t xml:space="preserve">, such rights being guaranteed by the Gibbs Rule.  </w:t>
      </w:r>
      <w:r w:rsidR="00F930E3">
        <w:rPr>
          <w:rFonts w:ascii="Avenir Next" w:hAnsi="Avenir Next" w:cs="Arial"/>
          <w:color w:val="808080" w:themeColor="background1" w:themeShade="80"/>
          <w:sz w:val="22"/>
          <w:szCs w:val="22"/>
          <w:lang w:val="en-GB"/>
        </w:rPr>
        <w:t>Moreover,</w:t>
      </w:r>
      <w:r>
        <w:rPr>
          <w:rFonts w:ascii="Avenir Next" w:hAnsi="Avenir Next" w:cs="Arial"/>
          <w:color w:val="808080" w:themeColor="background1" w:themeShade="80"/>
          <w:sz w:val="22"/>
          <w:szCs w:val="22"/>
          <w:lang w:val="en-GB"/>
        </w:rPr>
        <w:t xml:space="preserve"> it would inconsistent with the purpose of the Model Law for a stay to outlast the foreign proceeding to which the stay relates. </w:t>
      </w:r>
    </w:p>
    <w:p w14:paraId="255D3014" w14:textId="77777777" w:rsidR="00575164" w:rsidRDefault="00575164" w:rsidP="00867A8F">
      <w:pPr>
        <w:ind w:left="720" w:hanging="720"/>
        <w:jc w:val="both"/>
        <w:rPr>
          <w:rFonts w:ascii="Avenir Next" w:hAnsi="Avenir Next" w:cs="Arial"/>
          <w:color w:val="808080" w:themeColor="background1" w:themeShade="80"/>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5BC603CD"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67B0BFEE" w14:textId="4E257FFC" w:rsidR="00504D1C" w:rsidRDefault="00496533" w:rsidP="0049653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29</w:t>
      </w:r>
      <w:r w:rsidR="00920897">
        <w:rPr>
          <w:rFonts w:ascii="Avenir Next" w:hAnsi="Avenir Next" w:cs="Arial"/>
          <w:color w:val="808080" w:themeColor="background1" w:themeShade="80"/>
          <w:sz w:val="22"/>
          <w:szCs w:val="22"/>
          <w:lang w:val="en-GB"/>
        </w:rPr>
        <w:t>(a)(</w:t>
      </w:r>
      <w:proofErr w:type="spellStart"/>
      <w:r w:rsidR="00920897">
        <w:rPr>
          <w:rFonts w:ascii="Avenir Next" w:hAnsi="Avenir Next" w:cs="Arial"/>
          <w:color w:val="808080" w:themeColor="background1" w:themeShade="80"/>
          <w:sz w:val="22"/>
          <w:szCs w:val="22"/>
          <w:lang w:val="en-GB"/>
        </w:rPr>
        <w:t>i</w:t>
      </w:r>
      <w:proofErr w:type="spellEnd"/>
      <w:r w:rsidR="00920897">
        <w:rPr>
          <w:rFonts w:ascii="Avenir Next" w:hAnsi="Avenir Next" w:cs="Arial"/>
          <w:color w:val="808080" w:themeColor="background1" w:themeShade="80"/>
          <w:sz w:val="22"/>
          <w:szCs w:val="22"/>
          <w:lang w:val="en-GB"/>
        </w:rPr>
        <w:t xml:space="preserve">)-(ii) </w:t>
      </w:r>
      <w:r>
        <w:rPr>
          <w:rFonts w:ascii="Avenir Next" w:hAnsi="Avenir Next" w:cs="Arial"/>
          <w:color w:val="808080" w:themeColor="background1" w:themeShade="80"/>
          <w:sz w:val="22"/>
          <w:szCs w:val="22"/>
          <w:lang w:val="en-GB"/>
        </w:rPr>
        <w:t xml:space="preserve">provides that </w:t>
      </w:r>
      <w:r w:rsidR="00920897">
        <w:rPr>
          <w:rFonts w:ascii="Avenir Next" w:hAnsi="Avenir Next" w:cs="Arial"/>
          <w:color w:val="808080" w:themeColor="background1" w:themeShade="80"/>
          <w:sz w:val="22"/>
          <w:szCs w:val="22"/>
          <w:lang w:val="en-GB"/>
        </w:rPr>
        <w:t xml:space="preserve">where a domestic proceeding </w:t>
      </w:r>
      <w:r w:rsidR="00504D1C">
        <w:rPr>
          <w:rFonts w:ascii="Avenir Next" w:hAnsi="Avenir Next" w:cs="Arial"/>
          <w:color w:val="808080" w:themeColor="background1" w:themeShade="80"/>
          <w:sz w:val="22"/>
          <w:szCs w:val="22"/>
          <w:lang w:val="en-GB"/>
        </w:rPr>
        <w:t xml:space="preserve">is taking place at the time of the recognition of a foreign proceeding, the court should grant any relief under Article 19 or Article 21, however such relief must be consistent with the domestic proceeding.  If the foreign proceeding is designated a foreign main </w:t>
      </w:r>
      <w:r w:rsidR="003277E3">
        <w:rPr>
          <w:rFonts w:ascii="Avenir Next" w:hAnsi="Avenir Next" w:cs="Arial"/>
          <w:color w:val="808080" w:themeColor="background1" w:themeShade="80"/>
          <w:sz w:val="22"/>
          <w:szCs w:val="22"/>
          <w:lang w:val="en-GB"/>
        </w:rPr>
        <w:t>proceeding,</w:t>
      </w:r>
      <w:r w:rsidR="00504D1C">
        <w:rPr>
          <w:rFonts w:ascii="Avenir Next" w:hAnsi="Avenir Next" w:cs="Arial"/>
          <w:color w:val="808080" w:themeColor="background1" w:themeShade="80"/>
          <w:sz w:val="22"/>
          <w:szCs w:val="22"/>
          <w:lang w:val="en-GB"/>
        </w:rPr>
        <w:t xml:space="preserve"> then article 20 does not apply, i.e. the domestic proceeding </w:t>
      </w:r>
      <w:r w:rsidR="003277E3">
        <w:rPr>
          <w:rFonts w:ascii="Avenir Next" w:hAnsi="Avenir Next" w:cs="Arial"/>
          <w:color w:val="808080" w:themeColor="background1" w:themeShade="80"/>
          <w:sz w:val="22"/>
          <w:szCs w:val="22"/>
          <w:lang w:val="en-GB"/>
        </w:rPr>
        <w:t xml:space="preserve">cannot be </w:t>
      </w:r>
      <w:r w:rsidR="00504D1C">
        <w:rPr>
          <w:rFonts w:ascii="Avenir Next" w:hAnsi="Avenir Next" w:cs="Arial"/>
          <w:color w:val="808080" w:themeColor="background1" w:themeShade="80"/>
          <w:sz w:val="22"/>
          <w:szCs w:val="22"/>
          <w:lang w:val="en-GB"/>
        </w:rPr>
        <w:t>stayed</w:t>
      </w:r>
      <w:r w:rsidR="00F930E3">
        <w:rPr>
          <w:rFonts w:ascii="Avenir Next" w:hAnsi="Avenir Next" w:cs="Arial"/>
          <w:color w:val="808080" w:themeColor="background1" w:themeShade="80"/>
          <w:sz w:val="22"/>
          <w:szCs w:val="22"/>
          <w:lang w:val="en-GB"/>
        </w:rPr>
        <w:t xml:space="preserve"> for example</w:t>
      </w:r>
      <w:r w:rsidR="00504D1C">
        <w:rPr>
          <w:rFonts w:ascii="Avenir Next" w:hAnsi="Avenir Next" w:cs="Arial"/>
          <w:color w:val="808080" w:themeColor="background1" w:themeShade="80"/>
          <w:sz w:val="22"/>
          <w:szCs w:val="22"/>
          <w:lang w:val="en-GB"/>
        </w:rPr>
        <w:t xml:space="preserve">.  </w:t>
      </w:r>
    </w:p>
    <w:p w14:paraId="67CC6E9D" w14:textId="4A23EA9B" w:rsidR="00E76DED" w:rsidRDefault="00E76DED" w:rsidP="00496533">
      <w:pPr>
        <w:pStyle w:val="ListParagraph"/>
        <w:jc w:val="both"/>
        <w:rPr>
          <w:rFonts w:ascii="Avenir Next" w:hAnsi="Avenir Next" w:cs="Arial"/>
          <w:color w:val="808080" w:themeColor="background1" w:themeShade="80"/>
          <w:sz w:val="22"/>
          <w:szCs w:val="22"/>
          <w:lang w:val="en-GB"/>
        </w:rPr>
      </w:pPr>
    </w:p>
    <w:p w14:paraId="6786CCBD" w14:textId="5A49F687" w:rsidR="006F3C29" w:rsidRDefault="00E76DED" w:rsidP="0049653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Furthermore, Article 29(c) provides that where the court is granting relief in a foreign non-main proceeding, the court must be sati</w:t>
      </w:r>
      <w:r w:rsidR="006F3C29">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fied that </w:t>
      </w:r>
      <w:r w:rsidR="006F3C29">
        <w:rPr>
          <w:rFonts w:ascii="Avenir Next" w:hAnsi="Avenir Next" w:cs="Arial"/>
          <w:color w:val="808080" w:themeColor="background1" w:themeShade="80"/>
          <w:sz w:val="22"/>
          <w:szCs w:val="22"/>
          <w:lang w:val="en-GB"/>
        </w:rPr>
        <w:t xml:space="preserve">the relief relates to assets that, under the law of the enacting State, should be administered in the foreign non-main proceeding; or </w:t>
      </w:r>
      <w:r w:rsidR="00F930E3">
        <w:rPr>
          <w:rFonts w:ascii="Avenir Next" w:hAnsi="Avenir Next" w:cs="Arial"/>
          <w:color w:val="808080" w:themeColor="background1" w:themeShade="80"/>
          <w:sz w:val="22"/>
          <w:szCs w:val="22"/>
          <w:lang w:val="en-GB"/>
        </w:rPr>
        <w:t>t</w:t>
      </w:r>
      <w:r w:rsidR="006F3C29">
        <w:rPr>
          <w:rFonts w:ascii="Avenir Next" w:hAnsi="Avenir Next" w:cs="Arial"/>
          <w:color w:val="808080" w:themeColor="background1" w:themeShade="80"/>
          <w:sz w:val="22"/>
          <w:szCs w:val="22"/>
          <w:lang w:val="en-GB"/>
        </w:rPr>
        <w:t xml:space="preserve">he relief concerns information required in the foreign non-main proceeding. </w:t>
      </w:r>
    </w:p>
    <w:p w14:paraId="1A990484" w14:textId="3517604C" w:rsidR="00E76DED" w:rsidRDefault="00E76DED" w:rsidP="00496533">
      <w:pPr>
        <w:pStyle w:val="ListParagraph"/>
        <w:jc w:val="both"/>
        <w:rPr>
          <w:rFonts w:ascii="Avenir Next" w:hAnsi="Avenir Next" w:cs="Arial"/>
          <w:color w:val="808080" w:themeColor="background1" w:themeShade="80"/>
          <w:sz w:val="22"/>
          <w:szCs w:val="22"/>
          <w:lang w:val="en-GB"/>
        </w:rPr>
      </w:pPr>
    </w:p>
    <w:p w14:paraId="3AF643FC" w14:textId="2D1F4ED6" w:rsidR="003C4FC9" w:rsidRDefault="003C4FC9" w:rsidP="00496533">
      <w:pPr>
        <w:pStyle w:val="ListParagraph"/>
        <w:jc w:val="both"/>
        <w:rPr>
          <w:rFonts w:ascii="Avenir Next" w:hAnsi="Avenir Next" w:cs="Arial"/>
          <w:color w:val="808080" w:themeColor="background1" w:themeShade="80"/>
          <w:sz w:val="22"/>
          <w:szCs w:val="22"/>
          <w:lang w:val="en-GB"/>
        </w:rPr>
      </w:pPr>
      <w:r w:rsidRPr="003C4FC9">
        <w:rPr>
          <w:rFonts w:ascii="Avenir Next" w:hAnsi="Avenir Next" w:cs="Arial"/>
          <w:color w:val="808080" w:themeColor="background1" w:themeShade="80"/>
          <w:sz w:val="22"/>
          <w:szCs w:val="22"/>
          <w:lang w:val="en-GB"/>
        </w:rPr>
        <w:t>The Guide to Enactment and Interpretation (</w:t>
      </w:r>
      <w:r w:rsidRPr="003C4FC9">
        <w:rPr>
          <w:rFonts w:ascii="Avenir Next" w:hAnsi="Avenir Next" w:cs="Arial"/>
          <w:b/>
          <w:bCs/>
          <w:color w:val="808080" w:themeColor="background1" w:themeShade="80"/>
          <w:sz w:val="22"/>
          <w:szCs w:val="22"/>
          <w:lang w:val="en-GB"/>
        </w:rPr>
        <w:t>GEI</w:t>
      </w:r>
      <w:r w:rsidRPr="003C4FC9">
        <w:rPr>
          <w:rFonts w:ascii="Avenir Next" w:hAnsi="Avenir Next" w:cs="Arial"/>
          <w:color w:val="808080" w:themeColor="background1" w:themeShade="80"/>
          <w:sz w:val="22"/>
          <w:szCs w:val="22"/>
          <w:lang w:val="en-GB"/>
        </w:rPr>
        <w:t>) notes that A</w:t>
      </w:r>
      <w:r w:rsidR="004C0504" w:rsidRPr="003C4FC9">
        <w:rPr>
          <w:rFonts w:ascii="Avenir Next" w:hAnsi="Avenir Next" w:cs="Arial"/>
          <w:color w:val="808080" w:themeColor="background1" w:themeShade="80"/>
          <w:sz w:val="22"/>
          <w:szCs w:val="22"/>
          <w:lang w:val="en-GB"/>
        </w:rPr>
        <w:t>rticle 29 maintains the pre-eminence of the local insolvency proceeding over the foreign proceeding</w:t>
      </w:r>
      <w:r w:rsidRPr="003C4FC9">
        <w:rPr>
          <w:rFonts w:ascii="Avenir Next" w:hAnsi="Avenir Next" w:cs="Arial"/>
          <w:color w:val="808080" w:themeColor="background1" w:themeShade="80"/>
          <w:sz w:val="22"/>
          <w:szCs w:val="22"/>
          <w:lang w:val="en-GB"/>
        </w:rPr>
        <w:t xml:space="preserve"> by:</w:t>
      </w:r>
    </w:p>
    <w:p w14:paraId="2520276F" w14:textId="77777777" w:rsidR="003C4FC9" w:rsidRPr="003C4FC9" w:rsidRDefault="003C4FC9" w:rsidP="00496533">
      <w:pPr>
        <w:pStyle w:val="ListParagraph"/>
        <w:jc w:val="both"/>
        <w:rPr>
          <w:rFonts w:ascii="Avenir Next" w:hAnsi="Avenir Next" w:cs="Arial"/>
          <w:color w:val="808080" w:themeColor="background1" w:themeShade="80"/>
          <w:sz w:val="22"/>
          <w:szCs w:val="22"/>
          <w:lang w:val="en-GB"/>
        </w:rPr>
      </w:pPr>
    </w:p>
    <w:p w14:paraId="7D0E6073" w14:textId="213EE19A" w:rsidR="003C4FC9" w:rsidRDefault="003C4FC9" w:rsidP="003C4FC9">
      <w:pPr>
        <w:pStyle w:val="ListParagraph"/>
        <w:numPr>
          <w:ilvl w:val="0"/>
          <w:numId w:val="18"/>
        </w:numPr>
        <w:jc w:val="both"/>
        <w:rPr>
          <w:rFonts w:ascii="Avenir Next" w:hAnsi="Avenir Next" w:cs="Arial"/>
          <w:color w:val="808080" w:themeColor="background1" w:themeShade="80"/>
          <w:sz w:val="22"/>
          <w:szCs w:val="22"/>
          <w:lang w:val="en-GB"/>
        </w:rPr>
      </w:pPr>
      <w:r w:rsidRPr="003C4FC9">
        <w:rPr>
          <w:rFonts w:ascii="Avenir Next" w:hAnsi="Avenir Next" w:cs="Arial"/>
          <w:color w:val="808080" w:themeColor="background1" w:themeShade="80"/>
          <w:sz w:val="22"/>
          <w:szCs w:val="22"/>
          <w:lang w:val="en-GB"/>
        </w:rPr>
        <w:t xml:space="preserve">requiring relief granted to the foreign proceeding to be consistent with the local proceeding; </w:t>
      </w:r>
    </w:p>
    <w:p w14:paraId="55E73090" w14:textId="77777777" w:rsidR="003C4FC9" w:rsidRPr="003C4FC9" w:rsidRDefault="003C4FC9" w:rsidP="003C4FC9">
      <w:pPr>
        <w:pStyle w:val="ListParagraph"/>
        <w:ind w:left="1440"/>
        <w:jc w:val="both"/>
        <w:rPr>
          <w:rFonts w:ascii="Avenir Next" w:hAnsi="Avenir Next" w:cs="Arial"/>
          <w:color w:val="808080" w:themeColor="background1" w:themeShade="80"/>
          <w:sz w:val="22"/>
          <w:szCs w:val="22"/>
          <w:lang w:val="en-GB"/>
        </w:rPr>
      </w:pPr>
    </w:p>
    <w:p w14:paraId="5BAC8573" w14:textId="14F1CB5E" w:rsidR="003C4FC9" w:rsidRDefault="003C4FC9" w:rsidP="003C4FC9">
      <w:pPr>
        <w:pStyle w:val="ListParagraph"/>
        <w:numPr>
          <w:ilvl w:val="0"/>
          <w:numId w:val="18"/>
        </w:numPr>
        <w:jc w:val="both"/>
        <w:rPr>
          <w:rFonts w:ascii="Avenir Next" w:hAnsi="Avenir Next" w:cs="Arial"/>
          <w:color w:val="808080" w:themeColor="background1" w:themeShade="80"/>
          <w:sz w:val="22"/>
          <w:szCs w:val="22"/>
          <w:lang w:val="en-GB"/>
        </w:rPr>
      </w:pPr>
      <w:r w:rsidRPr="003C4FC9">
        <w:rPr>
          <w:rFonts w:ascii="Avenir Next" w:hAnsi="Avenir Next" w:cs="Arial"/>
          <w:color w:val="808080" w:themeColor="background1" w:themeShade="80"/>
          <w:sz w:val="22"/>
          <w:szCs w:val="22"/>
          <w:lang w:val="en-GB"/>
        </w:rPr>
        <w:t xml:space="preserve">any relief already granted to the foreign proceeding must be reviewed and modified or terminated to ensure consistency with the local proceeding; </w:t>
      </w:r>
    </w:p>
    <w:p w14:paraId="1B13955D" w14:textId="77777777" w:rsidR="003C4FC9" w:rsidRPr="003C4FC9" w:rsidRDefault="003C4FC9" w:rsidP="003C4FC9">
      <w:pPr>
        <w:pStyle w:val="ListParagraph"/>
        <w:rPr>
          <w:rFonts w:ascii="Avenir Next" w:hAnsi="Avenir Next" w:cs="Arial"/>
          <w:color w:val="808080" w:themeColor="background1" w:themeShade="80"/>
          <w:sz w:val="22"/>
          <w:szCs w:val="22"/>
          <w:lang w:val="en-GB"/>
        </w:rPr>
      </w:pPr>
    </w:p>
    <w:p w14:paraId="007F2572" w14:textId="51D5926A" w:rsidR="003C4FC9" w:rsidRDefault="003C4FC9" w:rsidP="003C4FC9">
      <w:pPr>
        <w:pStyle w:val="ListParagraph"/>
        <w:numPr>
          <w:ilvl w:val="0"/>
          <w:numId w:val="18"/>
        </w:numPr>
        <w:jc w:val="both"/>
        <w:rPr>
          <w:rFonts w:ascii="Avenir Next" w:hAnsi="Avenir Next" w:cs="Arial"/>
          <w:color w:val="808080" w:themeColor="background1" w:themeShade="80"/>
          <w:sz w:val="22"/>
          <w:szCs w:val="22"/>
          <w:lang w:val="en-GB"/>
        </w:rPr>
      </w:pPr>
      <w:r w:rsidRPr="003C4FC9">
        <w:rPr>
          <w:rFonts w:ascii="Avenir Next" w:hAnsi="Avenir Next" w:cs="Arial"/>
          <w:color w:val="808080" w:themeColor="background1" w:themeShade="80"/>
          <w:sz w:val="22"/>
          <w:szCs w:val="22"/>
          <w:lang w:val="en-GB"/>
        </w:rPr>
        <w:t xml:space="preserve">if the foreign proceeding is a main proceeding, the automatic effects of recognition under article 20 are to be modified or terminated if inconsistent with the local proceeding; and </w:t>
      </w:r>
    </w:p>
    <w:p w14:paraId="095EBE09" w14:textId="77777777" w:rsidR="003C4FC9" w:rsidRPr="003C4FC9" w:rsidRDefault="003C4FC9" w:rsidP="003C4FC9">
      <w:pPr>
        <w:pStyle w:val="ListParagraph"/>
        <w:rPr>
          <w:rFonts w:ascii="Avenir Next" w:hAnsi="Avenir Next" w:cs="Arial"/>
          <w:color w:val="808080" w:themeColor="background1" w:themeShade="80"/>
          <w:sz w:val="22"/>
          <w:szCs w:val="22"/>
          <w:lang w:val="en-GB"/>
        </w:rPr>
      </w:pPr>
    </w:p>
    <w:p w14:paraId="5CD61D13" w14:textId="37F72432" w:rsidR="004C0504" w:rsidRDefault="003C4FC9" w:rsidP="003C4FC9">
      <w:pPr>
        <w:pStyle w:val="ListParagraph"/>
        <w:ind w:left="1440" w:hanging="720"/>
        <w:jc w:val="both"/>
        <w:rPr>
          <w:rFonts w:ascii="Avenir Next" w:hAnsi="Avenir Next" w:cs="Arial"/>
          <w:color w:val="808080" w:themeColor="background1" w:themeShade="80"/>
          <w:sz w:val="22"/>
          <w:szCs w:val="22"/>
          <w:lang w:val="en-GB"/>
        </w:rPr>
      </w:pPr>
      <w:r w:rsidRPr="003C4FC9">
        <w:rPr>
          <w:rFonts w:ascii="Avenir Next" w:hAnsi="Avenir Next" w:cs="Arial"/>
          <w:color w:val="808080" w:themeColor="background1" w:themeShade="80"/>
          <w:sz w:val="22"/>
          <w:szCs w:val="22"/>
          <w:lang w:val="en-GB"/>
        </w:rPr>
        <w:t xml:space="preserve">(d) </w:t>
      </w:r>
      <w:r w:rsidRPr="003C4FC9">
        <w:rPr>
          <w:rFonts w:ascii="Avenir Next" w:hAnsi="Avenir Next" w:cs="Arial"/>
          <w:color w:val="808080" w:themeColor="background1" w:themeShade="80"/>
          <w:sz w:val="22"/>
          <w:szCs w:val="22"/>
          <w:lang w:val="en-GB"/>
        </w:rPr>
        <w:tab/>
        <w:t>if a local proceeding pending at the time the foreign proceeding is recogni</w:t>
      </w:r>
      <w:r w:rsidR="009B05C8">
        <w:rPr>
          <w:rFonts w:ascii="Avenir Next" w:hAnsi="Avenir Next" w:cs="Arial"/>
          <w:color w:val="808080" w:themeColor="background1" w:themeShade="80"/>
          <w:sz w:val="22"/>
          <w:szCs w:val="22"/>
          <w:lang w:val="en-GB"/>
        </w:rPr>
        <w:t>s</w:t>
      </w:r>
      <w:r w:rsidRPr="003C4FC9">
        <w:rPr>
          <w:rFonts w:ascii="Avenir Next" w:hAnsi="Avenir Next" w:cs="Arial"/>
          <w:color w:val="808080" w:themeColor="background1" w:themeShade="80"/>
          <w:sz w:val="22"/>
          <w:szCs w:val="22"/>
          <w:lang w:val="en-GB"/>
        </w:rPr>
        <w:t>ed as a main proceeding, the foreign proceeding does not enjoy the automatic effects of article 20</w:t>
      </w:r>
      <w:r w:rsidR="009B05C8">
        <w:rPr>
          <w:rFonts w:ascii="Avenir Next" w:hAnsi="Avenir Next" w:cs="Arial"/>
          <w:color w:val="808080" w:themeColor="background1" w:themeShade="80"/>
          <w:sz w:val="22"/>
          <w:szCs w:val="22"/>
          <w:lang w:val="en-GB"/>
        </w:rPr>
        <w:t>.</w:t>
      </w:r>
    </w:p>
    <w:p w14:paraId="5E1C81B6" w14:textId="77777777" w:rsidR="004C0504" w:rsidRDefault="004C0504" w:rsidP="00496533">
      <w:pPr>
        <w:pStyle w:val="ListParagraph"/>
        <w:jc w:val="both"/>
        <w:rPr>
          <w:rFonts w:ascii="Avenir Next" w:hAnsi="Avenir Next" w:cs="Arial"/>
          <w:color w:val="808080" w:themeColor="background1" w:themeShade="80"/>
          <w:sz w:val="22"/>
          <w:szCs w:val="22"/>
          <w:lang w:val="en-GB"/>
        </w:rPr>
      </w:pPr>
    </w:p>
    <w:p w14:paraId="3B86F2B0" w14:textId="6829FE6B" w:rsidR="004B2706" w:rsidRDefault="004B2706" w:rsidP="0049653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18 provides that the foreign representative has an ongoing obligation</w:t>
      </w:r>
      <w:r w:rsidR="003277E3">
        <w:rPr>
          <w:rFonts w:ascii="Avenir Next" w:hAnsi="Avenir Next" w:cs="Arial"/>
          <w:color w:val="808080" w:themeColor="background1" w:themeShade="80"/>
          <w:sz w:val="22"/>
          <w:szCs w:val="22"/>
          <w:lang w:val="en-GB"/>
        </w:rPr>
        <w:t xml:space="preserve"> to inform the court promptly of </w:t>
      </w:r>
      <w:r w:rsidR="00467F9C">
        <w:rPr>
          <w:rFonts w:ascii="Avenir Next" w:hAnsi="Avenir Next" w:cs="Arial"/>
          <w:color w:val="808080" w:themeColor="background1" w:themeShade="80"/>
          <w:sz w:val="22"/>
          <w:szCs w:val="22"/>
          <w:lang w:val="en-GB"/>
        </w:rPr>
        <w:t xml:space="preserve">(a) </w:t>
      </w:r>
      <w:r w:rsidR="003277E3">
        <w:rPr>
          <w:rFonts w:ascii="Avenir Next" w:hAnsi="Avenir Next" w:cs="Arial"/>
          <w:color w:val="808080" w:themeColor="background1" w:themeShade="80"/>
          <w:sz w:val="22"/>
          <w:szCs w:val="22"/>
          <w:lang w:val="en-GB"/>
        </w:rPr>
        <w:t xml:space="preserve">any substantial change in the status </w:t>
      </w:r>
      <w:r w:rsidR="003277E3" w:rsidRPr="003277E3">
        <w:rPr>
          <w:rFonts w:ascii="Avenir Next" w:hAnsi="Avenir Next" w:cs="Arial"/>
          <w:color w:val="808080" w:themeColor="background1" w:themeShade="80"/>
          <w:sz w:val="22"/>
          <w:szCs w:val="22"/>
          <w:lang w:val="en-GB"/>
        </w:rPr>
        <w:t xml:space="preserve">of the </w:t>
      </w:r>
      <w:r w:rsidR="009B05C8" w:rsidRPr="003277E3">
        <w:rPr>
          <w:rFonts w:ascii="Avenir Next" w:hAnsi="Avenir Next" w:cs="Arial"/>
          <w:color w:val="808080" w:themeColor="background1" w:themeShade="80"/>
          <w:sz w:val="22"/>
          <w:szCs w:val="22"/>
          <w:lang w:val="en-GB"/>
        </w:rPr>
        <w:t>recogni</w:t>
      </w:r>
      <w:r w:rsidR="009B05C8">
        <w:rPr>
          <w:rFonts w:ascii="Avenir Next" w:hAnsi="Avenir Next" w:cs="Arial"/>
          <w:color w:val="808080" w:themeColor="background1" w:themeShade="80"/>
          <w:sz w:val="22"/>
          <w:szCs w:val="22"/>
          <w:lang w:val="en-GB"/>
        </w:rPr>
        <w:t>se</w:t>
      </w:r>
      <w:r w:rsidR="009B05C8" w:rsidRPr="003277E3">
        <w:rPr>
          <w:rFonts w:ascii="Avenir Next" w:hAnsi="Avenir Next" w:cs="Arial"/>
          <w:color w:val="808080" w:themeColor="background1" w:themeShade="80"/>
          <w:sz w:val="22"/>
          <w:szCs w:val="22"/>
          <w:lang w:val="en-GB"/>
        </w:rPr>
        <w:t>d</w:t>
      </w:r>
      <w:r w:rsidR="003277E3" w:rsidRPr="003277E3">
        <w:rPr>
          <w:rFonts w:ascii="Avenir Next" w:hAnsi="Avenir Next" w:cs="Arial"/>
          <w:color w:val="808080" w:themeColor="background1" w:themeShade="80"/>
          <w:sz w:val="22"/>
          <w:szCs w:val="22"/>
          <w:lang w:val="en-GB"/>
        </w:rPr>
        <w:t xml:space="preserve"> foreign proceeding or the status of the foreign representative’s appointment; and (b) any other foreign proceeding regarding the same debtor that becomes known to the foreign representative.</w:t>
      </w:r>
    </w:p>
    <w:p w14:paraId="07A23A3B" w14:textId="6B0071E7" w:rsidR="00504D1C" w:rsidRDefault="00504D1C" w:rsidP="00496533">
      <w:pPr>
        <w:pStyle w:val="ListParagraph"/>
        <w:jc w:val="both"/>
        <w:rPr>
          <w:rFonts w:ascii="Avenir Next" w:hAnsi="Avenir Next" w:cs="Arial"/>
          <w:color w:val="808080" w:themeColor="background1" w:themeShade="80"/>
          <w:sz w:val="22"/>
          <w:szCs w:val="22"/>
          <w:lang w:val="en-GB"/>
        </w:rPr>
      </w:pPr>
    </w:p>
    <w:p w14:paraId="0B1E9385" w14:textId="6704900E" w:rsidR="00467F9C" w:rsidRDefault="00467F9C" w:rsidP="0049653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4C0504">
        <w:rPr>
          <w:rFonts w:ascii="Avenir Next" w:hAnsi="Avenir Next" w:cs="Arial"/>
          <w:color w:val="808080" w:themeColor="background1" w:themeShade="80"/>
          <w:sz w:val="22"/>
          <w:szCs w:val="22"/>
          <w:lang w:val="en-GB"/>
        </w:rPr>
        <w:t>principle</w:t>
      </w:r>
      <w:r>
        <w:rPr>
          <w:rFonts w:ascii="Avenir Next" w:hAnsi="Avenir Next" w:cs="Arial"/>
          <w:color w:val="808080" w:themeColor="background1" w:themeShade="80"/>
          <w:sz w:val="22"/>
          <w:szCs w:val="22"/>
          <w:lang w:val="en-GB"/>
        </w:rPr>
        <w:t xml:space="preserve"> is that such changes could have affected the decision for relief or recognition had those facts been known at the time of the decision or application.  </w:t>
      </w:r>
    </w:p>
    <w:p w14:paraId="687D2741" w14:textId="2457C5FA" w:rsidR="0006703F" w:rsidRDefault="0006703F" w:rsidP="00496533">
      <w:pPr>
        <w:pStyle w:val="ListParagraph"/>
        <w:jc w:val="both"/>
        <w:rPr>
          <w:rFonts w:ascii="Avenir Next" w:hAnsi="Avenir Next" w:cs="Arial"/>
          <w:color w:val="808080" w:themeColor="background1" w:themeShade="80"/>
          <w:sz w:val="22"/>
          <w:szCs w:val="22"/>
          <w:lang w:val="en-GB"/>
        </w:rPr>
      </w:pPr>
    </w:p>
    <w:p w14:paraId="5652C7BC" w14:textId="5B30A3F6" w:rsidR="0006703F" w:rsidRDefault="0006703F" w:rsidP="0049653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Notably a substantial change would be the termination of the foreign proceedings.  The difficulty </w:t>
      </w:r>
      <w:r w:rsidR="008A6F3B">
        <w:rPr>
          <w:rFonts w:ascii="Avenir Next" w:hAnsi="Avenir Next" w:cs="Arial"/>
          <w:color w:val="808080" w:themeColor="background1" w:themeShade="80"/>
          <w:sz w:val="22"/>
          <w:szCs w:val="22"/>
          <w:lang w:val="en-GB"/>
        </w:rPr>
        <w:t xml:space="preserve">in such a scenario </w:t>
      </w:r>
      <w:r w:rsidR="008930A8">
        <w:rPr>
          <w:rFonts w:ascii="Avenir Next" w:hAnsi="Avenir Next" w:cs="Arial"/>
          <w:color w:val="808080" w:themeColor="background1" w:themeShade="80"/>
          <w:sz w:val="22"/>
          <w:szCs w:val="22"/>
          <w:lang w:val="en-GB"/>
        </w:rPr>
        <w:t xml:space="preserve">is that (as enunciated by </w:t>
      </w:r>
      <w:proofErr w:type="spellStart"/>
      <w:r w:rsidR="008930A8" w:rsidRPr="008930A8">
        <w:rPr>
          <w:rFonts w:ascii="Avenir Next" w:hAnsi="Avenir Next" w:cs="Arial"/>
          <w:i/>
          <w:iCs/>
          <w:color w:val="808080" w:themeColor="background1" w:themeShade="80"/>
          <w:sz w:val="22"/>
          <w:szCs w:val="22"/>
          <w:lang w:val="en-GB"/>
        </w:rPr>
        <w:t>Bakhshiyeva</w:t>
      </w:r>
      <w:proofErr w:type="spellEnd"/>
      <w:r w:rsidR="008930A8" w:rsidRPr="008930A8">
        <w:rPr>
          <w:rFonts w:ascii="Avenir Next" w:hAnsi="Avenir Next" w:cs="Arial"/>
          <w:i/>
          <w:iCs/>
          <w:color w:val="808080" w:themeColor="background1" w:themeShade="80"/>
          <w:sz w:val="22"/>
          <w:szCs w:val="22"/>
          <w:lang w:val="en-GB"/>
        </w:rPr>
        <w:t xml:space="preserve"> v Sberbank of Russia</w:t>
      </w:r>
      <w:r w:rsidR="008930A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Pr="008930A8">
        <w:rPr>
          <w:rFonts w:ascii="Avenir Next" w:hAnsi="Avenir Next" w:cs="Arial"/>
          <w:color w:val="808080" w:themeColor="background1" w:themeShade="80"/>
          <w:sz w:val="22"/>
          <w:szCs w:val="22"/>
          <w:lang w:val="en-GB"/>
        </w:rPr>
        <w:t xml:space="preserve">obligation to inform under </w:t>
      </w:r>
      <w:r w:rsidR="004815DC" w:rsidRPr="008930A8">
        <w:rPr>
          <w:rFonts w:ascii="Avenir Next" w:hAnsi="Avenir Next" w:cs="Arial"/>
          <w:color w:val="808080" w:themeColor="background1" w:themeShade="80"/>
          <w:sz w:val="22"/>
          <w:szCs w:val="22"/>
          <w:lang w:val="en-GB"/>
        </w:rPr>
        <w:t xml:space="preserve">Article </w:t>
      </w:r>
      <w:r w:rsidRPr="008930A8">
        <w:rPr>
          <w:rFonts w:ascii="Avenir Next" w:hAnsi="Avenir Next" w:cs="Arial"/>
          <w:color w:val="808080" w:themeColor="background1" w:themeShade="80"/>
          <w:sz w:val="22"/>
          <w:szCs w:val="22"/>
          <w:lang w:val="en-GB"/>
        </w:rPr>
        <w:t>18 falls upon the foreign representative, who is no longer in office.</w:t>
      </w:r>
      <w:r w:rsidR="008930A8">
        <w:rPr>
          <w:rStyle w:val="FootnoteReference"/>
        </w:rPr>
        <w:footnoteReference w:id="3"/>
      </w:r>
      <w:r w:rsidR="008930A8">
        <w:t xml:space="preserve"> </w:t>
      </w:r>
      <w:r>
        <w:t xml:space="preserve"> </w:t>
      </w:r>
      <w:r w:rsidR="004815DC">
        <w:rPr>
          <w:rFonts w:ascii="Avenir Next" w:hAnsi="Avenir Next" w:cs="Arial"/>
          <w:color w:val="808080" w:themeColor="background1" w:themeShade="80"/>
          <w:sz w:val="22"/>
          <w:szCs w:val="22"/>
          <w:lang w:val="en-GB"/>
        </w:rPr>
        <w:t>I</w:t>
      </w:r>
      <w:r w:rsidR="008A6F3B">
        <w:rPr>
          <w:rFonts w:ascii="Avenir Next" w:hAnsi="Avenir Next" w:cs="Arial"/>
          <w:color w:val="808080" w:themeColor="background1" w:themeShade="80"/>
          <w:sz w:val="22"/>
          <w:szCs w:val="22"/>
          <w:lang w:val="en-GB"/>
        </w:rPr>
        <w:t xml:space="preserve">n </w:t>
      </w:r>
      <w:r w:rsidR="004815DC">
        <w:rPr>
          <w:rFonts w:ascii="Avenir Next" w:hAnsi="Avenir Next" w:cs="Arial"/>
          <w:color w:val="808080" w:themeColor="background1" w:themeShade="80"/>
          <w:sz w:val="22"/>
          <w:szCs w:val="22"/>
          <w:lang w:val="en-GB"/>
        </w:rPr>
        <w:t xml:space="preserve">the Australian case </w:t>
      </w:r>
      <w:proofErr w:type="spellStart"/>
      <w:r w:rsidR="004815DC" w:rsidRPr="004815DC">
        <w:rPr>
          <w:rFonts w:ascii="Avenir Next" w:hAnsi="Avenir Next" w:cs="Arial"/>
          <w:i/>
          <w:iCs/>
          <w:color w:val="808080" w:themeColor="background1" w:themeShade="80"/>
          <w:sz w:val="22"/>
          <w:szCs w:val="22"/>
          <w:lang w:val="en-GB"/>
        </w:rPr>
        <w:t>Yakushiji</w:t>
      </w:r>
      <w:proofErr w:type="spellEnd"/>
      <w:r w:rsidR="004815DC" w:rsidRPr="004815DC">
        <w:rPr>
          <w:rFonts w:ascii="Avenir Next" w:hAnsi="Avenir Next" w:cs="Arial"/>
          <w:i/>
          <w:iCs/>
          <w:color w:val="808080" w:themeColor="background1" w:themeShade="80"/>
          <w:sz w:val="22"/>
          <w:szCs w:val="22"/>
          <w:lang w:val="en-GB"/>
        </w:rPr>
        <w:t xml:space="preserve"> (No. 2)</w:t>
      </w:r>
      <w:r w:rsidR="004815DC">
        <w:rPr>
          <w:rFonts w:ascii="Avenir Next" w:hAnsi="Avenir Next" w:cs="Arial"/>
          <w:color w:val="808080" w:themeColor="background1" w:themeShade="80"/>
          <w:sz w:val="22"/>
          <w:szCs w:val="22"/>
          <w:lang w:val="en-GB"/>
        </w:rPr>
        <w:t xml:space="preserve"> i</w:t>
      </w:r>
      <w:r w:rsidR="004815DC" w:rsidRPr="008930A8">
        <w:rPr>
          <w:rFonts w:ascii="Avenir Next" w:hAnsi="Avenir Next" w:cs="Arial"/>
          <w:color w:val="808080" w:themeColor="background1" w:themeShade="80"/>
          <w:sz w:val="22"/>
          <w:szCs w:val="22"/>
          <w:lang w:val="en-GB"/>
        </w:rPr>
        <w:t xml:space="preserve">t was found </w:t>
      </w:r>
      <w:r w:rsidR="008A6F3B" w:rsidRPr="008930A8">
        <w:rPr>
          <w:rFonts w:ascii="Avenir Next" w:hAnsi="Avenir Next" w:cs="Arial"/>
          <w:color w:val="808080" w:themeColor="background1" w:themeShade="80"/>
          <w:sz w:val="22"/>
          <w:szCs w:val="22"/>
          <w:lang w:val="en-GB"/>
        </w:rPr>
        <w:t>that in such a circumstance, the obligation to inform the court might appropriately fall upon the debtor.</w:t>
      </w:r>
      <w:r w:rsidR="004815DC" w:rsidRPr="004815DC">
        <w:rPr>
          <w:rStyle w:val="FootnoteReference"/>
          <w:rFonts w:ascii="Avenir Next" w:hAnsi="Avenir Next" w:cs="Arial"/>
          <w:color w:val="808080" w:themeColor="background1" w:themeShade="80"/>
          <w:sz w:val="22"/>
          <w:szCs w:val="22"/>
          <w:lang w:val="en-GB"/>
        </w:rPr>
        <w:t xml:space="preserve"> </w:t>
      </w:r>
      <w:r w:rsidR="004815DC">
        <w:rPr>
          <w:rStyle w:val="FootnoteReference"/>
          <w:rFonts w:ascii="Avenir Next" w:hAnsi="Avenir Next" w:cs="Arial"/>
          <w:color w:val="808080" w:themeColor="background1" w:themeShade="80"/>
          <w:sz w:val="22"/>
          <w:szCs w:val="22"/>
          <w:lang w:val="en-GB"/>
        </w:rPr>
        <w:footnoteReference w:id="4"/>
      </w:r>
      <w:r w:rsidR="008A6F3B">
        <w:rPr>
          <w:rFonts w:ascii="Avenir Next" w:hAnsi="Avenir Next" w:cs="Arial"/>
          <w:color w:val="808080" w:themeColor="background1" w:themeShade="80"/>
          <w:sz w:val="22"/>
          <w:szCs w:val="22"/>
          <w:lang w:val="en-GB"/>
        </w:rPr>
        <w:t xml:space="preserve">  In terms of relief</w:t>
      </w:r>
      <w:r w:rsidR="004815DC">
        <w:rPr>
          <w:rFonts w:ascii="Avenir Next" w:hAnsi="Avenir Next" w:cs="Arial"/>
          <w:color w:val="808080" w:themeColor="background1" w:themeShade="80"/>
          <w:sz w:val="22"/>
          <w:szCs w:val="22"/>
          <w:lang w:val="en-GB"/>
        </w:rPr>
        <w:t>,</w:t>
      </w:r>
      <w:r w:rsidR="008A6F3B">
        <w:rPr>
          <w:rFonts w:ascii="Avenir Next" w:hAnsi="Avenir Next" w:cs="Arial"/>
          <w:color w:val="808080" w:themeColor="background1" w:themeShade="80"/>
          <w:sz w:val="22"/>
          <w:szCs w:val="22"/>
          <w:lang w:val="en-GB"/>
        </w:rPr>
        <w:t xml:space="preserve"> </w:t>
      </w:r>
      <w:r w:rsidR="008930A8" w:rsidRPr="008930A8">
        <w:rPr>
          <w:rFonts w:ascii="Avenir Next" w:hAnsi="Avenir Next" w:cs="Arial"/>
          <w:color w:val="808080" w:themeColor="background1" w:themeShade="80"/>
          <w:sz w:val="22"/>
          <w:szCs w:val="22"/>
          <w:lang w:val="en-GB"/>
        </w:rPr>
        <w:t xml:space="preserve">as </w:t>
      </w:r>
      <w:r w:rsidR="008930A8" w:rsidRPr="008930A8">
        <w:rPr>
          <w:rFonts w:ascii="Avenir Next" w:hAnsi="Avenir Next" w:cs="Arial"/>
          <w:color w:val="808080" w:themeColor="background1" w:themeShade="80"/>
          <w:sz w:val="22"/>
          <w:szCs w:val="22"/>
          <w:lang w:val="en-GB"/>
        </w:rPr>
        <w:lastRenderedPageBreak/>
        <w:t xml:space="preserve">there </w:t>
      </w:r>
      <w:r w:rsidR="008A6F3B">
        <w:rPr>
          <w:rFonts w:ascii="Avenir Next" w:hAnsi="Avenir Next" w:cs="Arial"/>
          <w:color w:val="808080" w:themeColor="background1" w:themeShade="80"/>
          <w:sz w:val="22"/>
          <w:szCs w:val="22"/>
          <w:lang w:val="en-GB"/>
        </w:rPr>
        <w:t xml:space="preserve">would be </w:t>
      </w:r>
      <w:r w:rsidR="008930A8" w:rsidRPr="008930A8">
        <w:rPr>
          <w:rFonts w:ascii="Avenir Next" w:hAnsi="Avenir Next" w:cs="Arial"/>
          <w:color w:val="808080" w:themeColor="background1" w:themeShade="80"/>
          <w:sz w:val="22"/>
          <w:szCs w:val="22"/>
          <w:lang w:val="en-GB"/>
        </w:rPr>
        <w:t xml:space="preserve">no scope for further orders in support of the foreign proceeding to be made any relief previously granted </w:t>
      </w:r>
      <w:r w:rsidR="008A6F3B">
        <w:rPr>
          <w:rFonts w:ascii="Avenir Next" w:hAnsi="Avenir Next" w:cs="Arial"/>
          <w:color w:val="808080" w:themeColor="background1" w:themeShade="80"/>
          <w:sz w:val="22"/>
          <w:szCs w:val="22"/>
          <w:lang w:val="en-GB"/>
        </w:rPr>
        <w:t xml:space="preserve">under the Model Law </w:t>
      </w:r>
      <w:r w:rsidR="008930A8" w:rsidRPr="008930A8">
        <w:rPr>
          <w:rFonts w:ascii="Avenir Next" w:hAnsi="Avenir Next" w:cs="Arial"/>
          <w:color w:val="808080" w:themeColor="background1" w:themeShade="80"/>
          <w:sz w:val="22"/>
          <w:szCs w:val="22"/>
          <w:lang w:val="en-GB"/>
        </w:rPr>
        <w:t xml:space="preserve">should terminate.  </w:t>
      </w:r>
    </w:p>
    <w:p w14:paraId="454B664F" w14:textId="3ADA0492" w:rsidR="0001580A" w:rsidRDefault="0001580A" w:rsidP="00707FC8">
      <w:pPr>
        <w:jc w:val="both"/>
        <w:rPr>
          <w:rFonts w:ascii="Avenir Next Demi Bold" w:hAnsi="Avenir Next Demi Bold" w:cs="Arial"/>
          <w:b/>
          <w:bCs/>
          <w:sz w:val="22"/>
          <w:szCs w:val="22"/>
          <w:lang w:val="en-GB"/>
        </w:rPr>
      </w:pPr>
    </w:p>
    <w:p w14:paraId="58EE29A2" w14:textId="77777777" w:rsidR="000E17FB" w:rsidRDefault="000E17FB" w:rsidP="00707FC8">
      <w:pPr>
        <w:jc w:val="both"/>
        <w:rPr>
          <w:rFonts w:ascii="Avenir Next Demi Bold" w:hAnsi="Avenir Next Demi Bold" w:cs="Arial"/>
          <w:b/>
          <w:bCs/>
          <w:sz w:val="22"/>
          <w:szCs w:val="22"/>
          <w:lang w:val="en-GB"/>
        </w:rPr>
      </w:pPr>
    </w:p>
    <w:p w14:paraId="170A9E71" w14:textId="0E1E8E72"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7CB6FE02" w:rsidR="00E27E3C"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25E99F0F" w14:textId="77777777" w:rsidR="0085036B" w:rsidRDefault="0085036B" w:rsidP="001F73CA">
      <w:pPr>
        <w:ind w:left="720"/>
        <w:jc w:val="both"/>
        <w:rPr>
          <w:rFonts w:ascii="Avenir Next" w:hAnsi="Avenir Next" w:cs="Arial"/>
          <w:color w:val="808080" w:themeColor="background1" w:themeShade="80"/>
          <w:sz w:val="22"/>
          <w:szCs w:val="22"/>
          <w:lang w:val="en-GB"/>
        </w:rPr>
      </w:pPr>
    </w:p>
    <w:p w14:paraId="6FD97ACA" w14:textId="21C2E4DA" w:rsidR="00FB5070" w:rsidRDefault="0085036B"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9 </w:t>
      </w:r>
      <w:r w:rsidR="00A326F9">
        <w:rPr>
          <w:rFonts w:ascii="Avenir Next" w:hAnsi="Avenir Next" w:cs="Arial"/>
          <w:color w:val="808080" w:themeColor="background1" w:themeShade="80"/>
          <w:sz w:val="22"/>
          <w:szCs w:val="22"/>
          <w:lang w:val="en-GB"/>
        </w:rPr>
        <w:t xml:space="preserve">will give </w:t>
      </w:r>
      <w:r>
        <w:rPr>
          <w:rFonts w:ascii="Avenir Next" w:hAnsi="Avenir Next" w:cs="Arial"/>
          <w:color w:val="808080" w:themeColor="background1" w:themeShade="80"/>
          <w:sz w:val="22"/>
          <w:szCs w:val="22"/>
          <w:lang w:val="en-GB"/>
        </w:rPr>
        <w:t xml:space="preserve">the foreign representative </w:t>
      </w:r>
      <w:r w:rsidR="00D31DA1">
        <w:rPr>
          <w:rFonts w:ascii="Avenir Next" w:hAnsi="Avenir Next" w:cs="Arial"/>
          <w:color w:val="808080" w:themeColor="background1" w:themeShade="80"/>
          <w:sz w:val="22"/>
          <w:szCs w:val="22"/>
          <w:lang w:val="en-GB"/>
        </w:rPr>
        <w:t xml:space="preserve">direct </w:t>
      </w:r>
      <w:r>
        <w:rPr>
          <w:rFonts w:ascii="Avenir Next" w:hAnsi="Avenir Next" w:cs="Arial"/>
          <w:color w:val="808080" w:themeColor="background1" w:themeShade="80"/>
          <w:sz w:val="22"/>
          <w:szCs w:val="22"/>
          <w:lang w:val="en-GB"/>
        </w:rPr>
        <w:t xml:space="preserve">access rights by giving </w:t>
      </w:r>
      <w:r w:rsidR="00A326F9">
        <w:rPr>
          <w:rFonts w:ascii="Avenir Next" w:hAnsi="Avenir Next" w:cs="Arial"/>
          <w:color w:val="808080" w:themeColor="background1" w:themeShade="80"/>
          <w:sz w:val="22"/>
          <w:szCs w:val="22"/>
          <w:lang w:val="en-GB"/>
        </w:rPr>
        <w:t>him</w:t>
      </w:r>
      <w:r>
        <w:rPr>
          <w:rFonts w:ascii="Avenir Next" w:hAnsi="Avenir Next" w:cs="Arial"/>
          <w:color w:val="808080" w:themeColor="background1" w:themeShade="80"/>
          <w:sz w:val="22"/>
          <w:szCs w:val="22"/>
          <w:lang w:val="en-GB"/>
        </w:rPr>
        <w:t xml:space="preserve"> standing before the court without</w:t>
      </w:r>
      <w:r w:rsidR="00A326F9">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need for </w:t>
      </w:r>
      <w:r w:rsidR="00D31DA1">
        <w:rPr>
          <w:rFonts w:ascii="Avenir Next" w:hAnsi="Avenir Next" w:cs="Arial"/>
          <w:color w:val="808080" w:themeColor="background1" w:themeShade="80"/>
          <w:sz w:val="22"/>
          <w:szCs w:val="22"/>
          <w:lang w:val="en-GB"/>
        </w:rPr>
        <w:t>meeting formal requirements</w:t>
      </w:r>
      <w:r w:rsidR="00C13660">
        <w:rPr>
          <w:rFonts w:ascii="Avenir Next" w:hAnsi="Avenir Next" w:cs="Arial"/>
          <w:color w:val="808080" w:themeColor="background1" w:themeShade="80"/>
          <w:sz w:val="22"/>
          <w:szCs w:val="22"/>
          <w:lang w:val="en-GB"/>
        </w:rPr>
        <w:t>,</w:t>
      </w:r>
      <w:r w:rsidR="00D31DA1">
        <w:rPr>
          <w:rFonts w:ascii="Avenir Next" w:hAnsi="Avenir Next" w:cs="Arial"/>
          <w:color w:val="808080" w:themeColor="background1" w:themeShade="80"/>
          <w:sz w:val="22"/>
          <w:szCs w:val="22"/>
          <w:lang w:val="en-GB"/>
        </w:rPr>
        <w:t xml:space="preserve"> consular action or </w:t>
      </w:r>
      <w:r>
        <w:rPr>
          <w:rFonts w:ascii="Avenir Next" w:hAnsi="Avenir Next" w:cs="Arial"/>
          <w:color w:val="808080" w:themeColor="background1" w:themeShade="80"/>
          <w:sz w:val="22"/>
          <w:szCs w:val="22"/>
          <w:lang w:val="en-GB"/>
        </w:rPr>
        <w:t xml:space="preserve">recognition in the </w:t>
      </w:r>
      <w:r w:rsidR="00C1366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tate</w:t>
      </w:r>
      <w:r w:rsidR="00A326F9">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w:t>
      </w:r>
      <w:r w:rsidR="00D31DA1">
        <w:rPr>
          <w:rFonts w:ascii="Avenir Next" w:hAnsi="Avenir Next" w:cs="Arial"/>
          <w:color w:val="808080" w:themeColor="background1" w:themeShade="80"/>
          <w:sz w:val="22"/>
          <w:szCs w:val="22"/>
          <w:lang w:val="en-GB"/>
        </w:rPr>
        <w:t>However</w:t>
      </w:r>
      <w:r w:rsidR="00C840C1">
        <w:rPr>
          <w:rFonts w:ascii="Avenir Next" w:hAnsi="Avenir Next" w:cs="Arial"/>
          <w:color w:val="808080" w:themeColor="background1" w:themeShade="80"/>
          <w:sz w:val="22"/>
          <w:szCs w:val="22"/>
          <w:lang w:val="en-GB"/>
        </w:rPr>
        <w:t>,</w:t>
      </w:r>
      <w:r w:rsidR="00C13660">
        <w:rPr>
          <w:rFonts w:ascii="Avenir Next" w:hAnsi="Avenir Next" w:cs="Arial"/>
          <w:color w:val="808080" w:themeColor="background1" w:themeShade="80"/>
          <w:sz w:val="22"/>
          <w:szCs w:val="22"/>
          <w:lang w:val="en-GB"/>
        </w:rPr>
        <w:t xml:space="preserve"> </w:t>
      </w:r>
      <w:r w:rsidR="00B2166A">
        <w:rPr>
          <w:rFonts w:ascii="Avenir Next" w:hAnsi="Avenir Next" w:cs="Arial"/>
          <w:color w:val="808080" w:themeColor="background1" w:themeShade="80"/>
          <w:sz w:val="22"/>
          <w:szCs w:val="22"/>
          <w:lang w:val="en-GB"/>
        </w:rPr>
        <w:t xml:space="preserve">this article </w:t>
      </w:r>
      <w:r w:rsidR="00C13660">
        <w:rPr>
          <w:rFonts w:ascii="Avenir Next" w:hAnsi="Avenir Next" w:cs="Arial"/>
          <w:color w:val="808080" w:themeColor="background1" w:themeShade="80"/>
          <w:sz w:val="22"/>
          <w:szCs w:val="22"/>
          <w:lang w:val="en-GB"/>
        </w:rPr>
        <w:t xml:space="preserve">will not give him any other rights or powers to deal with the </w:t>
      </w:r>
      <w:r w:rsidR="00A7243D">
        <w:rPr>
          <w:rFonts w:ascii="Avenir Next" w:hAnsi="Avenir Next" w:cs="Arial"/>
          <w:color w:val="808080" w:themeColor="background1" w:themeShade="80"/>
          <w:sz w:val="22"/>
          <w:szCs w:val="22"/>
          <w:lang w:val="en-GB"/>
        </w:rPr>
        <w:t>debtor’s</w:t>
      </w:r>
      <w:r w:rsidR="00C13660">
        <w:rPr>
          <w:rFonts w:ascii="Avenir Next" w:hAnsi="Avenir Next" w:cs="Arial"/>
          <w:color w:val="808080" w:themeColor="background1" w:themeShade="80"/>
          <w:sz w:val="22"/>
          <w:szCs w:val="22"/>
          <w:lang w:val="en-GB"/>
        </w:rPr>
        <w:t xml:space="preserve"> assets</w:t>
      </w:r>
      <w:r w:rsidR="00F9224F">
        <w:rPr>
          <w:rFonts w:ascii="Avenir Next" w:hAnsi="Avenir Next" w:cs="Arial"/>
          <w:color w:val="808080" w:themeColor="background1" w:themeShade="80"/>
          <w:sz w:val="22"/>
          <w:szCs w:val="22"/>
          <w:lang w:val="en-GB"/>
        </w:rPr>
        <w:t xml:space="preserve"> in the jurisdiction</w:t>
      </w:r>
      <w:r w:rsidR="00C840C1">
        <w:rPr>
          <w:rFonts w:ascii="Avenir Next" w:hAnsi="Avenir Next" w:cs="Arial"/>
          <w:color w:val="808080" w:themeColor="background1" w:themeShade="80"/>
          <w:sz w:val="22"/>
          <w:szCs w:val="22"/>
          <w:lang w:val="en-GB"/>
        </w:rPr>
        <w:t>;</w:t>
      </w:r>
      <w:r w:rsidR="00C13660">
        <w:rPr>
          <w:rFonts w:ascii="Avenir Next" w:hAnsi="Avenir Next" w:cs="Arial"/>
          <w:color w:val="808080" w:themeColor="background1" w:themeShade="80"/>
          <w:sz w:val="22"/>
          <w:szCs w:val="22"/>
          <w:lang w:val="en-GB"/>
        </w:rPr>
        <w:t xml:space="preserve"> </w:t>
      </w:r>
      <w:r w:rsidR="00B2166A">
        <w:rPr>
          <w:rFonts w:ascii="Avenir Next" w:hAnsi="Avenir Next" w:cs="Arial"/>
          <w:color w:val="808080" w:themeColor="background1" w:themeShade="80"/>
          <w:sz w:val="22"/>
          <w:szCs w:val="22"/>
          <w:lang w:val="en-GB"/>
        </w:rPr>
        <w:t>n</w:t>
      </w:r>
      <w:r w:rsidR="00C13660">
        <w:rPr>
          <w:rFonts w:ascii="Avenir Next" w:hAnsi="Avenir Next" w:cs="Arial"/>
          <w:color w:val="808080" w:themeColor="background1" w:themeShade="80"/>
          <w:sz w:val="22"/>
          <w:szCs w:val="22"/>
          <w:lang w:val="en-GB"/>
        </w:rPr>
        <w:t xml:space="preserve">otably Article 9 does not specify that any relief must be given.  </w:t>
      </w:r>
    </w:p>
    <w:p w14:paraId="4B2BBB6A" w14:textId="77777777" w:rsidR="00FB5070" w:rsidRDefault="00FB5070" w:rsidP="001F73CA">
      <w:pPr>
        <w:ind w:left="720"/>
        <w:jc w:val="both"/>
        <w:rPr>
          <w:rFonts w:ascii="Avenir Next" w:hAnsi="Avenir Next" w:cs="Arial"/>
          <w:color w:val="808080" w:themeColor="background1" w:themeShade="80"/>
          <w:sz w:val="22"/>
          <w:szCs w:val="22"/>
          <w:lang w:val="en-GB"/>
        </w:rPr>
      </w:pPr>
    </w:p>
    <w:p w14:paraId="0B7A074F" w14:textId="2DF2CCDF" w:rsidR="0085036B" w:rsidRDefault="0085036B"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11 will also give the foreign representative similar access rights but additionally </w:t>
      </w:r>
      <w:r w:rsidR="00FB5070">
        <w:rPr>
          <w:rFonts w:ascii="Avenir Next" w:hAnsi="Avenir Next" w:cs="Arial"/>
          <w:color w:val="808080" w:themeColor="background1" w:themeShade="80"/>
          <w:sz w:val="22"/>
          <w:szCs w:val="22"/>
          <w:lang w:val="en-GB"/>
        </w:rPr>
        <w:t xml:space="preserve">empowers him to </w:t>
      </w:r>
      <w:r w:rsidR="00B2166A">
        <w:rPr>
          <w:rFonts w:ascii="Avenir Next" w:hAnsi="Avenir Next" w:cs="Arial"/>
          <w:color w:val="808080" w:themeColor="background1" w:themeShade="80"/>
          <w:sz w:val="22"/>
          <w:szCs w:val="22"/>
          <w:lang w:val="en-GB"/>
        </w:rPr>
        <w:t xml:space="preserve">request </w:t>
      </w:r>
      <w:r w:rsidR="00F9224F">
        <w:rPr>
          <w:rFonts w:ascii="Avenir Next" w:hAnsi="Avenir Next" w:cs="Arial"/>
          <w:color w:val="808080" w:themeColor="background1" w:themeShade="80"/>
          <w:sz w:val="22"/>
          <w:szCs w:val="22"/>
          <w:lang w:val="en-GB"/>
        </w:rPr>
        <w:t xml:space="preserve">the </w:t>
      </w:r>
      <w:r w:rsidR="00B2166A">
        <w:rPr>
          <w:rFonts w:ascii="Avenir Next" w:hAnsi="Avenir Next" w:cs="Arial"/>
          <w:color w:val="808080" w:themeColor="background1" w:themeShade="80"/>
          <w:sz w:val="22"/>
          <w:szCs w:val="22"/>
          <w:lang w:val="en-GB"/>
        </w:rPr>
        <w:t xml:space="preserve">opening of </w:t>
      </w:r>
      <w:r>
        <w:rPr>
          <w:rFonts w:ascii="Avenir Next" w:hAnsi="Avenir Next" w:cs="Arial"/>
          <w:color w:val="808080" w:themeColor="background1" w:themeShade="80"/>
          <w:sz w:val="22"/>
          <w:szCs w:val="22"/>
          <w:lang w:val="en-GB"/>
        </w:rPr>
        <w:t>domestic insolvency proceedings</w:t>
      </w:r>
      <w:r w:rsidR="009D1726">
        <w:rPr>
          <w:rFonts w:ascii="Avenir Next" w:hAnsi="Avenir Next" w:cs="Arial"/>
          <w:color w:val="808080" w:themeColor="background1" w:themeShade="80"/>
          <w:sz w:val="22"/>
          <w:szCs w:val="22"/>
          <w:lang w:val="en-GB"/>
        </w:rPr>
        <w:t xml:space="preserve">, again without the need for recognition.  </w:t>
      </w:r>
      <w:r w:rsidR="00A7243D">
        <w:rPr>
          <w:rFonts w:ascii="Avenir Next" w:hAnsi="Avenir Next" w:cs="Arial"/>
          <w:color w:val="808080" w:themeColor="background1" w:themeShade="80"/>
          <w:sz w:val="22"/>
          <w:szCs w:val="22"/>
          <w:lang w:val="en-GB"/>
        </w:rPr>
        <w:t xml:space="preserve">This would </w:t>
      </w:r>
      <w:r w:rsidR="009D1726">
        <w:rPr>
          <w:rFonts w:ascii="Avenir Next" w:hAnsi="Avenir Next" w:cs="Arial"/>
          <w:color w:val="808080" w:themeColor="background1" w:themeShade="80"/>
          <w:sz w:val="22"/>
          <w:szCs w:val="22"/>
          <w:lang w:val="en-GB"/>
        </w:rPr>
        <w:t xml:space="preserve">however </w:t>
      </w:r>
      <w:r w:rsidR="00A7243D">
        <w:rPr>
          <w:rFonts w:ascii="Avenir Next" w:hAnsi="Avenir Next" w:cs="Arial"/>
          <w:color w:val="808080" w:themeColor="background1" w:themeShade="80"/>
          <w:sz w:val="22"/>
          <w:szCs w:val="22"/>
          <w:lang w:val="en-GB"/>
        </w:rPr>
        <w:t xml:space="preserve">be </w:t>
      </w:r>
      <w:r w:rsidR="009D1726">
        <w:rPr>
          <w:rFonts w:ascii="Avenir Next" w:hAnsi="Avenir Next" w:cs="Arial"/>
          <w:color w:val="808080" w:themeColor="background1" w:themeShade="80"/>
          <w:sz w:val="22"/>
          <w:szCs w:val="22"/>
          <w:lang w:val="en-GB"/>
        </w:rPr>
        <w:t xml:space="preserve">subject to all the requirements for opening a domestic proceeding being met.  </w:t>
      </w:r>
      <w:r w:rsidR="00C840C1">
        <w:rPr>
          <w:rFonts w:ascii="Avenir Next" w:hAnsi="Avenir Next" w:cs="Arial"/>
          <w:color w:val="808080" w:themeColor="background1" w:themeShade="80"/>
          <w:sz w:val="22"/>
          <w:szCs w:val="22"/>
          <w:lang w:val="en-GB"/>
        </w:rPr>
        <w:t xml:space="preserve">Article 11 </w:t>
      </w:r>
      <w:r w:rsidR="009D1726">
        <w:rPr>
          <w:rFonts w:ascii="Avenir Next" w:hAnsi="Avenir Next" w:cs="Arial"/>
          <w:color w:val="808080" w:themeColor="background1" w:themeShade="80"/>
          <w:sz w:val="22"/>
          <w:szCs w:val="22"/>
          <w:lang w:val="en-GB"/>
        </w:rPr>
        <w:t xml:space="preserve">may be useful option </w:t>
      </w:r>
      <w:r w:rsidR="00FB5070">
        <w:rPr>
          <w:rFonts w:ascii="Avenir Next" w:hAnsi="Avenir Next" w:cs="Arial"/>
          <w:color w:val="808080" w:themeColor="background1" w:themeShade="80"/>
          <w:sz w:val="22"/>
          <w:szCs w:val="22"/>
          <w:lang w:val="en-GB"/>
        </w:rPr>
        <w:t>to protect debtor’s assets</w:t>
      </w:r>
      <w:r w:rsidR="009D1726">
        <w:rPr>
          <w:rFonts w:ascii="Avenir Next" w:hAnsi="Avenir Next" w:cs="Arial"/>
          <w:color w:val="808080" w:themeColor="background1" w:themeShade="80"/>
          <w:sz w:val="22"/>
          <w:szCs w:val="22"/>
          <w:lang w:val="en-GB"/>
        </w:rPr>
        <w:t xml:space="preserve"> especially on an urgent basis.</w:t>
      </w:r>
    </w:p>
    <w:p w14:paraId="40CABA88" w14:textId="04EC650A" w:rsidR="00B2166A" w:rsidRDefault="00B2166A" w:rsidP="001F73CA">
      <w:pPr>
        <w:ind w:left="720"/>
        <w:jc w:val="both"/>
        <w:rPr>
          <w:rFonts w:ascii="Avenir Next" w:hAnsi="Avenir Next" w:cs="Arial"/>
          <w:color w:val="808080" w:themeColor="background1" w:themeShade="80"/>
          <w:sz w:val="22"/>
          <w:szCs w:val="22"/>
          <w:lang w:val="en-GB"/>
        </w:rPr>
      </w:pPr>
    </w:p>
    <w:p w14:paraId="7BECEE4C" w14:textId="01260A19" w:rsidR="00C840C1" w:rsidRDefault="00C840C1" w:rsidP="001F73CA">
      <w:pPr>
        <w:ind w:left="720"/>
        <w:jc w:val="both"/>
        <w:rPr>
          <w:rFonts w:ascii="Avenir Next" w:hAnsi="Avenir Next" w:cs="Arial"/>
          <w:color w:val="808080" w:themeColor="background1" w:themeShade="80"/>
          <w:sz w:val="22"/>
          <w:szCs w:val="22"/>
          <w:lang w:val="en-GB"/>
        </w:rPr>
      </w:pPr>
      <w:r w:rsidRPr="00A7243D">
        <w:rPr>
          <w:rFonts w:ascii="Avenir Next" w:hAnsi="Avenir Next" w:cs="Arial"/>
          <w:color w:val="808080" w:themeColor="background1" w:themeShade="80"/>
          <w:sz w:val="22"/>
          <w:szCs w:val="22"/>
          <w:lang w:val="en-GB"/>
        </w:rPr>
        <w:t>Article 12 will also give the foreign representative access rights and standing before the court</w:t>
      </w:r>
      <w:r w:rsidR="00A7243D" w:rsidRPr="00A7243D">
        <w:rPr>
          <w:rFonts w:ascii="Avenir Next" w:hAnsi="Avenir Next" w:cs="Arial"/>
          <w:color w:val="808080" w:themeColor="background1" w:themeShade="80"/>
          <w:sz w:val="22"/>
          <w:szCs w:val="22"/>
          <w:lang w:val="en-GB"/>
        </w:rPr>
        <w:t xml:space="preserve"> to p</w:t>
      </w:r>
      <w:r w:rsidRPr="00A7243D">
        <w:rPr>
          <w:rFonts w:ascii="Avenir Next" w:hAnsi="Avenir Next" w:cs="Arial"/>
          <w:color w:val="808080" w:themeColor="background1" w:themeShade="80"/>
          <w:sz w:val="22"/>
          <w:szCs w:val="22"/>
          <w:lang w:val="en-GB"/>
        </w:rPr>
        <w:t xml:space="preserve">articipate </w:t>
      </w:r>
      <w:r w:rsidR="00A7243D" w:rsidRPr="00A7243D">
        <w:rPr>
          <w:rFonts w:ascii="Avenir Next" w:hAnsi="Avenir Next" w:cs="Arial"/>
          <w:color w:val="808080" w:themeColor="background1" w:themeShade="80"/>
          <w:sz w:val="22"/>
          <w:szCs w:val="22"/>
          <w:lang w:val="en-GB"/>
        </w:rPr>
        <w:t>any</w:t>
      </w:r>
      <w:r w:rsidRPr="00A7243D">
        <w:rPr>
          <w:rFonts w:ascii="Avenir Next" w:hAnsi="Avenir Next" w:cs="Arial"/>
          <w:color w:val="808080" w:themeColor="background1" w:themeShade="80"/>
          <w:sz w:val="22"/>
          <w:szCs w:val="22"/>
          <w:lang w:val="en-GB"/>
        </w:rPr>
        <w:t xml:space="preserve"> </w:t>
      </w:r>
      <w:r w:rsidR="00A7243D" w:rsidRPr="00A7243D">
        <w:rPr>
          <w:rFonts w:ascii="Avenir Next" w:hAnsi="Avenir Next" w:cs="Arial"/>
          <w:color w:val="808080" w:themeColor="background1" w:themeShade="80"/>
          <w:sz w:val="22"/>
          <w:szCs w:val="22"/>
          <w:lang w:val="en-GB"/>
        </w:rPr>
        <w:t xml:space="preserve">insolvency </w:t>
      </w:r>
      <w:r w:rsidRPr="00A7243D">
        <w:rPr>
          <w:rFonts w:ascii="Avenir Next" w:hAnsi="Avenir Next" w:cs="Arial"/>
          <w:color w:val="808080" w:themeColor="background1" w:themeShade="80"/>
          <w:sz w:val="22"/>
          <w:szCs w:val="22"/>
          <w:lang w:val="en-GB"/>
        </w:rPr>
        <w:t>proceeding in State</w:t>
      </w:r>
      <w:r w:rsidR="00A7243D" w:rsidRPr="00A7243D">
        <w:rPr>
          <w:rFonts w:ascii="Avenir Next" w:hAnsi="Avenir Next" w:cs="Arial"/>
          <w:color w:val="808080" w:themeColor="background1" w:themeShade="80"/>
          <w:sz w:val="22"/>
          <w:szCs w:val="22"/>
          <w:lang w:val="en-GB"/>
        </w:rPr>
        <w:t xml:space="preserve"> A</w:t>
      </w:r>
      <w:r w:rsidRPr="00A7243D">
        <w:rPr>
          <w:rFonts w:ascii="Avenir Next" w:hAnsi="Avenir Next" w:cs="Arial"/>
          <w:color w:val="808080" w:themeColor="background1" w:themeShade="80"/>
          <w:sz w:val="22"/>
          <w:szCs w:val="22"/>
          <w:lang w:val="en-GB"/>
        </w:rPr>
        <w:t xml:space="preserve">. </w:t>
      </w:r>
      <w:r w:rsidR="00A7243D" w:rsidRPr="00A7243D">
        <w:rPr>
          <w:rFonts w:ascii="Avenir Next" w:hAnsi="Avenir Next" w:cs="Arial"/>
          <w:color w:val="808080" w:themeColor="background1" w:themeShade="80"/>
          <w:sz w:val="22"/>
          <w:szCs w:val="22"/>
          <w:lang w:val="en-GB"/>
        </w:rPr>
        <w:t xml:space="preserve"> This </w:t>
      </w:r>
      <w:r w:rsidRPr="00A7243D">
        <w:rPr>
          <w:rFonts w:ascii="Avenir Next" w:hAnsi="Avenir Next" w:cs="Arial"/>
          <w:color w:val="808080" w:themeColor="background1" w:themeShade="80"/>
          <w:sz w:val="22"/>
          <w:szCs w:val="22"/>
          <w:lang w:val="en-GB"/>
        </w:rPr>
        <w:t xml:space="preserve">article </w:t>
      </w:r>
      <w:r w:rsidR="00A7243D" w:rsidRPr="00A7243D">
        <w:rPr>
          <w:rFonts w:ascii="Avenir Next" w:hAnsi="Avenir Next" w:cs="Arial"/>
          <w:color w:val="808080" w:themeColor="background1" w:themeShade="80"/>
          <w:sz w:val="22"/>
          <w:szCs w:val="22"/>
          <w:lang w:val="en-GB"/>
        </w:rPr>
        <w:t xml:space="preserve">however, </w:t>
      </w:r>
      <w:r w:rsidRPr="00A7243D">
        <w:rPr>
          <w:rFonts w:ascii="Avenir Next" w:hAnsi="Avenir Next" w:cs="Arial"/>
          <w:color w:val="808080" w:themeColor="background1" w:themeShade="80"/>
          <w:sz w:val="22"/>
          <w:szCs w:val="22"/>
          <w:lang w:val="en-GB"/>
        </w:rPr>
        <w:t xml:space="preserve">does not specify what participation </w:t>
      </w:r>
      <w:r w:rsidR="00A7243D" w:rsidRPr="00A7243D">
        <w:rPr>
          <w:rFonts w:ascii="Avenir Next" w:hAnsi="Avenir Next" w:cs="Arial"/>
          <w:color w:val="808080" w:themeColor="background1" w:themeShade="80"/>
          <w:sz w:val="22"/>
          <w:szCs w:val="22"/>
          <w:lang w:val="en-GB"/>
        </w:rPr>
        <w:t>encompasses, however th</w:t>
      </w:r>
      <w:r w:rsidRPr="00A7243D">
        <w:rPr>
          <w:rFonts w:ascii="Avenir Next" w:hAnsi="Avenir Next" w:cs="Arial"/>
          <w:color w:val="808080" w:themeColor="background1" w:themeShade="80"/>
          <w:sz w:val="22"/>
          <w:szCs w:val="22"/>
          <w:lang w:val="en-GB"/>
        </w:rPr>
        <w:t>e GEI suggests it may include</w:t>
      </w:r>
      <w:r w:rsidR="00A7243D" w:rsidRPr="00A7243D">
        <w:rPr>
          <w:rFonts w:ascii="Avenir Next" w:hAnsi="Avenir Next" w:cs="Arial"/>
          <w:color w:val="808080" w:themeColor="background1" w:themeShade="80"/>
          <w:sz w:val="22"/>
          <w:szCs w:val="22"/>
          <w:lang w:val="en-GB"/>
        </w:rPr>
        <w:t xml:space="preserve"> m</w:t>
      </w:r>
      <w:r w:rsidRPr="00A7243D">
        <w:rPr>
          <w:rFonts w:ascii="Avenir Next" w:hAnsi="Avenir Next" w:cs="Arial"/>
          <w:color w:val="808080" w:themeColor="background1" w:themeShade="80"/>
          <w:sz w:val="22"/>
          <w:szCs w:val="22"/>
          <w:lang w:val="en-GB"/>
        </w:rPr>
        <w:t xml:space="preserve">aking petitions, requests or </w:t>
      </w:r>
      <w:r w:rsidR="00A7243D" w:rsidRPr="00A7243D">
        <w:rPr>
          <w:rFonts w:ascii="Avenir Next" w:hAnsi="Avenir Next" w:cs="Arial"/>
          <w:color w:val="808080" w:themeColor="background1" w:themeShade="80"/>
          <w:sz w:val="22"/>
          <w:szCs w:val="22"/>
          <w:lang w:val="en-GB"/>
        </w:rPr>
        <w:t xml:space="preserve">make </w:t>
      </w:r>
      <w:r w:rsidRPr="00A7243D">
        <w:rPr>
          <w:rFonts w:ascii="Avenir Next" w:hAnsi="Avenir Next" w:cs="Arial"/>
          <w:color w:val="808080" w:themeColor="background1" w:themeShade="80"/>
          <w:sz w:val="22"/>
          <w:szCs w:val="22"/>
          <w:lang w:val="en-GB"/>
        </w:rPr>
        <w:t>submissions</w:t>
      </w:r>
      <w:r w:rsidR="00A7243D" w:rsidRPr="00A7243D">
        <w:rPr>
          <w:rFonts w:ascii="Avenir Next" w:hAnsi="Avenir Next" w:cs="Arial"/>
          <w:color w:val="808080" w:themeColor="background1" w:themeShade="80"/>
          <w:sz w:val="22"/>
          <w:szCs w:val="22"/>
          <w:lang w:val="en-GB"/>
        </w:rPr>
        <w:t xml:space="preserve"> concerning </w:t>
      </w:r>
      <w:r w:rsidRPr="00A7243D">
        <w:rPr>
          <w:rFonts w:ascii="Avenir Next" w:hAnsi="Avenir Next" w:cs="Arial"/>
          <w:color w:val="808080" w:themeColor="background1" w:themeShade="80"/>
          <w:sz w:val="22"/>
          <w:szCs w:val="22"/>
          <w:lang w:val="en-GB"/>
        </w:rPr>
        <w:t xml:space="preserve">protection, realization or distribution of </w:t>
      </w:r>
      <w:r w:rsidR="00A7243D" w:rsidRPr="00A7243D">
        <w:rPr>
          <w:rFonts w:ascii="Avenir Next" w:hAnsi="Avenir Next" w:cs="Arial"/>
          <w:color w:val="808080" w:themeColor="background1" w:themeShade="80"/>
          <w:sz w:val="22"/>
          <w:szCs w:val="22"/>
          <w:lang w:val="en-GB"/>
        </w:rPr>
        <w:t xml:space="preserve">debtor’s </w:t>
      </w:r>
      <w:r w:rsidRPr="00A7243D">
        <w:rPr>
          <w:rFonts w:ascii="Avenir Next" w:hAnsi="Avenir Next" w:cs="Arial"/>
          <w:color w:val="808080" w:themeColor="background1" w:themeShade="80"/>
          <w:sz w:val="22"/>
          <w:szCs w:val="22"/>
          <w:lang w:val="en-GB"/>
        </w:rPr>
        <w:t>assets</w:t>
      </w:r>
      <w:r w:rsidR="00A7243D" w:rsidRPr="00A7243D">
        <w:rPr>
          <w:rFonts w:ascii="Avenir Next" w:hAnsi="Avenir Next" w:cs="Arial"/>
          <w:color w:val="808080" w:themeColor="background1" w:themeShade="80"/>
          <w:sz w:val="22"/>
          <w:szCs w:val="22"/>
          <w:lang w:val="en-GB"/>
        </w:rPr>
        <w:t xml:space="preserve"> or request for </w:t>
      </w:r>
      <w:r w:rsidRPr="00A7243D">
        <w:rPr>
          <w:rFonts w:ascii="Avenir Next" w:hAnsi="Avenir Next" w:cs="Arial"/>
          <w:color w:val="808080" w:themeColor="background1" w:themeShade="80"/>
          <w:sz w:val="22"/>
          <w:szCs w:val="22"/>
          <w:lang w:val="en-GB"/>
        </w:rPr>
        <w:t>cooperation with the foreign proceeding.</w:t>
      </w:r>
    </w:p>
    <w:p w14:paraId="0015C6F3" w14:textId="5D073D81" w:rsidR="002458B0" w:rsidRDefault="002458B0" w:rsidP="001F73CA">
      <w:pPr>
        <w:ind w:left="720"/>
        <w:jc w:val="both"/>
        <w:rPr>
          <w:rFonts w:ascii="Avenir Next" w:hAnsi="Avenir Next" w:cs="Arial"/>
          <w:color w:val="808080" w:themeColor="background1" w:themeShade="80"/>
          <w:sz w:val="22"/>
          <w:szCs w:val="22"/>
          <w:lang w:val="en-GB"/>
        </w:rPr>
      </w:pPr>
    </w:p>
    <w:p w14:paraId="79CF7419" w14:textId="6B45D66D" w:rsidR="00A20B08" w:rsidRDefault="00A20B08"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17 </w:t>
      </w:r>
      <w:r w:rsidR="0077576D">
        <w:rPr>
          <w:rFonts w:ascii="Avenir Next" w:hAnsi="Avenir Next" w:cs="Arial"/>
          <w:color w:val="808080" w:themeColor="background1" w:themeShade="80"/>
          <w:sz w:val="22"/>
          <w:szCs w:val="22"/>
          <w:lang w:val="en-GB"/>
        </w:rPr>
        <w:t>provides that foreign proceedings should be granted recognition as a matter of course</w:t>
      </w:r>
      <w:r w:rsidR="004331B0">
        <w:rPr>
          <w:rFonts w:ascii="Avenir Next" w:hAnsi="Avenir Next" w:cs="Arial"/>
          <w:color w:val="808080" w:themeColor="background1" w:themeShade="80"/>
          <w:sz w:val="22"/>
          <w:szCs w:val="22"/>
          <w:lang w:val="en-GB"/>
        </w:rPr>
        <w:t>,</w:t>
      </w:r>
      <w:r w:rsidR="0077576D">
        <w:rPr>
          <w:rFonts w:ascii="Avenir Next" w:hAnsi="Avenir Next" w:cs="Arial"/>
          <w:color w:val="808080" w:themeColor="background1" w:themeShade="80"/>
          <w:sz w:val="22"/>
          <w:szCs w:val="22"/>
          <w:lang w:val="en-GB"/>
        </w:rPr>
        <w:t xml:space="preserve"> provided that</w:t>
      </w:r>
      <w:r w:rsidR="004331B0">
        <w:rPr>
          <w:rFonts w:ascii="Avenir Next" w:hAnsi="Avenir Next" w:cs="Arial"/>
          <w:color w:val="808080" w:themeColor="background1" w:themeShade="80"/>
          <w:sz w:val="22"/>
          <w:szCs w:val="22"/>
          <w:lang w:val="en-GB"/>
        </w:rPr>
        <w:t xml:space="preserve"> the</w:t>
      </w:r>
      <w:r w:rsidR="0077576D">
        <w:rPr>
          <w:rFonts w:ascii="Avenir Next" w:hAnsi="Avenir Next" w:cs="Arial"/>
          <w:color w:val="808080" w:themeColor="background1" w:themeShade="80"/>
          <w:sz w:val="22"/>
          <w:szCs w:val="22"/>
          <w:lang w:val="en-GB"/>
        </w:rPr>
        <w:t xml:space="preserve"> recognition is not contrary to the state’s public policy.  </w:t>
      </w:r>
      <w:r w:rsidR="004331B0">
        <w:rPr>
          <w:rFonts w:ascii="Avenir Next" w:hAnsi="Avenir Next" w:cs="Arial"/>
          <w:color w:val="808080" w:themeColor="background1" w:themeShade="80"/>
          <w:sz w:val="22"/>
          <w:szCs w:val="22"/>
          <w:lang w:val="en-GB"/>
        </w:rPr>
        <w:t>A successful recognition application gives the foreign proceedings certain automatic relief under Article 20</w:t>
      </w:r>
      <w:r w:rsidR="00364724">
        <w:rPr>
          <w:rFonts w:ascii="Avenir Next" w:hAnsi="Avenir Next" w:cs="Arial"/>
          <w:color w:val="808080" w:themeColor="background1" w:themeShade="80"/>
          <w:sz w:val="22"/>
          <w:szCs w:val="22"/>
          <w:lang w:val="en-GB"/>
        </w:rPr>
        <w:t xml:space="preserve"> which includes s</w:t>
      </w:r>
      <w:r w:rsidR="00364724" w:rsidRPr="00364724">
        <w:rPr>
          <w:rFonts w:ascii="Avenir Next" w:hAnsi="Avenir Next" w:cs="Arial"/>
          <w:color w:val="808080" w:themeColor="background1" w:themeShade="80"/>
          <w:sz w:val="22"/>
          <w:szCs w:val="22"/>
          <w:lang w:val="en-GB"/>
        </w:rPr>
        <w:t>taying execution against the debtor’s assets</w:t>
      </w:r>
      <w:r w:rsidR="004331B0">
        <w:rPr>
          <w:rFonts w:ascii="Avenir Next" w:hAnsi="Avenir Next" w:cs="Arial"/>
          <w:color w:val="808080" w:themeColor="background1" w:themeShade="80"/>
          <w:sz w:val="22"/>
          <w:szCs w:val="22"/>
          <w:lang w:val="en-GB"/>
        </w:rPr>
        <w:t xml:space="preserve">.  If designated a foreign main proceeding the foreign representative will have access to the domestic tools to secure the value of the assets in State A. </w:t>
      </w:r>
    </w:p>
    <w:p w14:paraId="42EB11D7" w14:textId="2B265101" w:rsidR="00A20B08" w:rsidRDefault="00A20B08" w:rsidP="001F73CA">
      <w:pPr>
        <w:ind w:left="720"/>
        <w:jc w:val="both"/>
        <w:rPr>
          <w:rFonts w:ascii="Avenir Next" w:hAnsi="Avenir Next" w:cs="Arial"/>
          <w:color w:val="808080" w:themeColor="background1" w:themeShade="80"/>
          <w:sz w:val="22"/>
          <w:szCs w:val="22"/>
          <w:lang w:val="en-GB"/>
        </w:rPr>
      </w:pPr>
    </w:p>
    <w:p w14:paraId="77FE6DCC" w14:textId="7CEC3747" w:rsidR="00364724" w:rsidRDefault="00364724" w:rsidP="001F73CA">
      <w:pPr>
        <w:ind w:left="720"/>
        <w:jc w:val="both"/>
        <w:rPr>
          <w:rFonts w:ascii="Avenir Next" w:hAnsi="Avenir Next" w:cs="Arial"/>
          <w:color w:val="808080" w:themeColor="background1" w:themeShade="80"/>
          <w:sz w:val="22"/>
          <w:szCs w:val="22"/>
          <w:lang w:val="en-GB"/>
        </w:rPr>
      </w:pPr>
      <w:r w:rsidRPr="00364724">
        <w:rPr>
          <w:rFonts w:ascii="Avenir Next" w:hAnsi="Avenir Next" w:cs="Arial"/>
          <w:color w:val="808080" w:themeColor="background1" w:themeShade="80"/>
          <w:sz w:val="22"/>
          <w:szCs w:val="22"/>
          <w:lang w:val="en-GB"/>
        </w:rPr>
        <w:t xml:space="preserve">Article 19 provides interim relief while the Article 17 Recognition application is pending.  </w:t>
      </w:r>
      <w:r>
        <w:rPr>
          <w:rFonts w:ascii="Avenir Next" w:hAnsi="Avenir Next" w:cs="Arial"/>
          <w:color w:val="808080" w:themeColor="background1" w:themeShade="80"/>
          <w:sz w:val="22"/>
          <w:szCs w:val="22"/>
          <w:lang w:val="en-GB"/>
        </w:rPr>
        <w:t>S</w:t>
      </w:r>
      <w:r w:rsidRPr="00364724">
        <w:rPr>
          <w:rFonts w:ascii="Avenir Next" w:hAnsi="Avenir Next" w:cs="Arial"/>
          <w:color w:val="808080" w:themeColor="background1" w:themeShade="80"/>
          <w:sz w:val="22"/>
          <w:szCs w:val="22"/>
          <w:lang w:val="en-GB"/>
        </w:rPr>
        <w:t xml:space="preserve">uch </w:t>
      </w:r>
      <w:r w:rsidR="00FC6A86">
        <w:rPr>
          <w:rFonts w:ascii="Avenir Next" w:hAnsi="Avenir Next" w:cs="Arial"/>
          <w:color w:val="808080" w:themeColor="background1" w:themeShade="80"/>
          <w:sz w:val="22"/>
          <w:szCs w:val="22"/>
          <w:lang w:val="en-GB"/>
        </w:rPr>
        <w:t>pre-recognition relief are discretionary and may include:</w:t>
      </w:r>
      <w:r w:rsidR="00FC6A86">
        <w:rPr>
          <w:rFonts w:ascii="Avenir Next" w:hAnsi="Avenir Next" w:cs="Arial"/>
          <w:color w:val="808080" w:themeColor="background1" w:themeShade="80"/>
          <w:sz w:val="22"/>
          <w:szCs w:val="22"/>
          <w:lang w:val="en-GB"/>
        </w:rPr>
        <w:t xml:space="preserve"> </w:t>
      </w:r>
    </w:p>
    <w:p w14:paraId="23C69EA6" w14:textId="1B138619" w:rsidR="00FC6A86" w:rsidRDefault="00FC6A86" w:rsidP="001F73CA">
      <w:pPr>
        <w:ind w:left="720"/>
        <w:jc w:val="both"/>
        <w:rPr>
          <w:rFonts w:ascii="Avenir Next" w:hAnsi="Avenir Next" w:cs="Arial"/>
          <w:color w:val="808080" w:themeColor="background1" w:themeShade="80"/>
          <w:sz w:val="22"/>
          <w:szCs w:val="22"/>
          <w:lang w:val="en-GB"/>
        </w:rPr>
      </w:pPr>
    </w:p>
    <w:p w14:paraId="2DA81A50" w14:textId="77777777" w:rsidR="00FC6A86" w:rsidRPr="007E5682" w:rsidRDefault="00FC6A86" w:rsidP="00FC6A86">
      <w:pPr>
        <w:pStyle w:val="ListParagraph"/>
        <w:numPr>
          <w:ilvl w:val="0"/>
          <w:numId w:val="25"/>
        </w:numPr>
        <w:jc w:val="both"/>
        <w:rPr>
          <w:rFonts w:ascii="Avenir Next" w:hAnsi="Avenir Next" w:cs="Arial"/>
          <w:color w:val="808080" w:themeColor="background1" w:themeShade="80"/>
          <w:sz w:val="22"/>
          <w:szCs w:val="22"/>
          <w:lang w:val="en-GB"/>
        </w:rPr>
      </w:pPr>
      <w:r w:rsidRPr="007E5682">
        <w:rPr>
          <w:rFonts w:ascii="Avenir Next" w:hAnsi="Avenir Next" w:cs="Arial"/>
          <w:color w:val="808080" w:themeColor="background1" w:themeShade="80"/>
          <w:sz w:val="22"/>
          <w:szCs w:val="22"/>
          <w:lang w:val="en-GB"/>
        </w:rPr>
        <w:t xml:space="preserve">Staying execution against the debtor’s assets; </w:t>
      </w:r>
    </w:p>
    <w:p w14:paraId="25063041" w14:textId="77777777" w:rsidR="00FC6A86" w:rsidRPr="007E5682" w:rsidRDefault="00FC6A86" w:rsidP="00FC6A86">
      <w:pPr>
        <w:pStyle w:val="ListParagraph"/>
        <w:numPr>
          <w:ilvl w:val="0"/>
          <w:numId w:val="25"/>
        </w:numPr>
        <w:jc w:val="both"/>
        <w:rPr>
          <w:rFonts w:ascii="Avenir Next" w:hAnsi="Avenir Next" w:cs="Arial"/>
          <w:color w:val="808080" w:themeColor="background1" w:themeShade="80"/>
          <w:sz w:val="22"/>
          <w:szCs w:val="22"/>
          <w:lang w:val="en-GB"/>
        </w:rPr>
      </w:pPr>
      <w:r w:rsidRPr="007E5682">
        <w:rPr>
          <w:rFonts w:ascii="Avenir Next" w:hAnsi="Avenir Next" w:cs="Arial"/>
          <w:color w:val="808080" w:themeColor="background1" w:themeShade="80"/>
          <w:sz w:val="22"/>
          <w:szCs w:val="22"/>
          <w:lang w:val="en-GB"/>
        </w:rPr>
        <w:t xml:space="preserve">Entrusting the administration or realization of all or part of the debtor’s assets located in this State to the foreign representative or another person designated by the court, </w:t>
      </w:r>
      <w:r w:rsidRPr="007E5682">
        <w:rPr>
          <w:rFonts w:ascii="Avenir Next" w:hAnsi="Avenir Next" w:cs="Arial"/>
          <w:color w:val="808080" w:themeColor="background1" w:themeShade="80"/>
          <w:sz w:val="22"/>
          <w:szCs w:val="22"/>
          <w:lang w:val="en-GB"/>
        </w:rPr>
        <w:lastRenderedPageBreak/>
        <w:t xml:space="preserve">in order to protect and preserve the value of assets that, by their nature or because of other circumstances, are perishable, susceptible to devaluation or otherwise in jeopardy; </w:t>
      </w:r>
    </w:p>
    <w:p w14:paraId="5336FDFA" w14:textId="77777777" w:rsidR="00364724" w:rsidRDefault="00364724" w:rsidP="001F73CA">
      <w:pPr>
        <w:ind w:left="720"/>
        <w:jc w:val="both"/>
        <w:rPr>
          <w:rFonts w:ascii="Avenir Next" w:hAnsi="Avenir Next" w:cs="Arial"/>
          <w:color w:val="808080" w:themeColor="background1" w:themeShade="80"/>
          <w:sz w:val="22"/>
          <w:szCs w:val="22"/>
          <w:lang w:val="en-GB"/>
        </w:rPr>
      </w:pPr>
    </w:p>
    <w:p w14:paraId="6E5C67FE" w14:textId="3F26E557" w:rsidR="006A504F" w:rsidRDefault="000B3E34"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respect of co-operation </w:t>
      </w:r>
      <w:r w:rsidR="002458B0">
        <w:rPr>
          <w:rFonts w:ascii="Avenir Next" w:hAnsi="Avenir Next" w:cs="Arial"/>
          <w:color w:val="808080" w:themeColor="background1" w:themeShade="80"/>
          <w:sz w:val="22"/>
          <w:szCs w:val="22"/>
          <w:lang w:val="en-GB"/>
        </w:rPr>
        <w:t>Article</w:t>
      </w:r>
      <w:r w:rsidR="0041191C">
        <w:rPr>
          <w:rFonts w:ascii="Avenir Next" w:hAnsi="Avenir Next" w:cs="Arial"/>
          <w:color w:val="808080" w:themeColor="background1" w:themeShade="80"/>
          <w:sz w:val="22"/>
          <w:szCs w:val="22"/>
          <w:lang w:val="en-GB"/>
        </w:rPr>
        <w:t>s</w:t>
      </w:r>
      <w:r w:rsidR="002458B0">
        <w:rPr>
          <w:rFonts w:ascii="Avenir Next" w:hAnsi="Avenir Next" w:cs="Arial"/>
          <w:color w:val="808080" w:themeColor="background1" w:themeShade="80"/>
          <w:sz w:val="22"/>
          <w:szCs w:val="22"/>
          <w:lang w:val="en-GB"/>
        </w:rPr>
        <w:t xml:space="preserve"> 25</w:t>
      </w:r>
      <w:r w:rsidR="0041191C">
        <w:rPr>
          <w:rFonts w:ascii="Avenir Next" w:hAnsi="Avenir Next" w:cs="Arial"/>
          <w:color w:val="808080" w:themeColor="background1" w:themeShade="80"/>
          <w:sz w:val="22"/>
          <w:szCs w:val="22"/>
          <w:lang w:val="en-GB"/>
        </w:rPr>
        <w:t xml:space="preserve"> and 26</w:t>
      </w:r>
      <w:r w:rsidR="002458B0">
        <w:rPr>
          <w:rFonts w:ascii="Avenir Next" w:hAnsi="Avenir Next" w:cs="Arial"/>
          <w:color w:val="808080" w:themeColor="background1" w:themeShade="80"/>
          <w:sz w:val="22"/>
          <w:szCs w:val="22"/>
          <w:lang w:val="en-GB"/>
        </w:rPr>
        <w:t xml:space="preserve"> </w:t>
      </w:r>
      <w:r w:rsidR="0092335C">
        <w:rPr>
          <w:rFonts w:ascii="Avenir Next" w:hAnsi="Avenir Next" w:cs="Arial"/>
          <w:color w:val="808080" w:themeColor="background1" w:themeShade="80"/>
          <w:sz w:val="22"/>
          <w:szCs w:val="22"/>
          <w:lang w:val="en-GB"/>
        </w:rPr>
        <w:t xml:space="preserve">mandates </w:t>
      </w:r>
      <w:r>
        <w:rPr>
          <w:rFonts w:ascii="Avenir Next" w:hAnsi="Avenir Next" w:cs="Arial"/>
          <w:color w:val="808080" w:themeColor="background1" w:themeShade="80"/>
          <w:sz w:val="22"/>
          <w:szCs w:val="22"/>
          <w:lang w:val="en-GB"/>
        </w:rPr>
        <w:t>the court</w:t>
      </w:r>
      <w:r w:rsidR="0041191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1191C" w:rsidRPr="0041191C">
        <w:rPr>
          <w:rFonts w:ascii="Avenir Next" w:hAnsi="Avenir Next" w:cs="Arial"/>
          <w:color w:val="808080" w:themeColor="background1" w:themeShade="80"/>
          <w:sz w:val="22"/>
          <w:szCs w:val="22"/>
          <w:lang w:val="en-GB"/>
        </w:rPr>
        <w:t xml:space="preserve">and </w:t>
      </w:r>
      <w:r w:rsidR="0041191C" w:rsidRPr="0041191C">
        <w:rPr>
          <w:rFonts w:ascii="Avenir Next" w:hAnsi="Avenir Next" w:cs="Arial"/>
          <w:color w:val="808080" w:themeColor="background1" w:themeShade="80"/>
          <w:sz w:val="22"/>
          <w:szCs w:val="22"/>
          <w:lang w:val="en-GB"/>
        </w:rPr>
        <w:t>person</w:t>
      </w:r>
      <w:r w:rsidR="0041191C" w:rsidRPr="0041191C">
        <w:rPr>
          <w:rFonts w:ascii="Avenir Next" w:hAnsi="Avenir Next" w:cs="Arial"/>
          <w:color w:val="808080" w:themeColor="background1" w:themeShade="80"/>
          <w:sz w:val="22"/>
          <w:szCs w:val="22"/>
          <w:lang w:val="en-GB"/>
        </w:rPr>
        <w:t>s</w:t>
      </w:r>
      <w:r w:rsidR="0041191C" w:rsidRPr="0041191C">
        <w:rPr>
          <w:rFonts w:ascii="Avenir Next" w:hAnsi="Avenir Next" w:cs="Arial"/>
          <w:color w:val="808080" w:themeColor="background1" w:themeShade="80"/>
          <w:sz w:val="22"/>
          <w:szCs w:val="22"/>
          <w:lang w:val="en-GB"/>
        </w:rPr>
        <w:t xml:space="preserve"> or bod</w:t>
      </w:r>
      <w:r w:rsidR="0041191C" w:rsidRPr="0041191C">
        <w:rPr>
          <w:rFonts w:ascii="Avenir Next" w:hAnsi="Avenir Next" w:cs="Arial"/>
          <w:color w:val="808080" w:themeColor="background1" w:themeShade="80"/>
          <w:sz w:val="22"/>
          <w:szCs w:val="22"/>
          <w:lang w:val="en-GB"/>
        </w:rPr>
        <w:t>ies</w:t>
      </w:r>
      <w:r w:rsidR="0041191C" w:rsidRPr="0041191C">
        <w:rPr>
          <w:rFonts w:ascii="Avenir Next" w:hAnsi="Avenir Next" w:cs="Arial"/>
          <w:color w:val="808080" w:themeColor="background1" w:themeShade="80"/>
          <w:sz w:val="22"/>
          <w:szCs w:val="22"/>
          <w:lang w:val="en-GB"/>
        </w:rPr>
        <w:t xml:space="preserve"> administering a reorganization or liquidation under the law of the enacting </w:t>
      </w:r>
      <w:r w:rsidR="00FB49E8">
        <w:rPr>
          <w:rFonts w:ascii="Avenir Next" w:hAnsi="Avenir Next" w:cs="Arial"/>
          <w:color w:val="808080" w:themeColor="background1" w:themeShade="80"/>
          <w:sz w:val="22"/>
          <w:szCs w:val="22"/>
          <w:lang w:val="en-GB"/>
        </w:rPr>
        <w:t>s</w:t>
      </w:r>
      <w:r w:rsidR="0041191C" w:rsidRPr="0041191C">
        <w:rPr>
          <w:rFonts w:ascii="Avenir Next" w:hAnsi="Avenir Next" w:cs="Arial"/>
          <w:color w:val="808080" w:themeColor="background1" w:themeShade="80"/>
          <w:sz w:val="22"/>
          <w:szCs w:val="22"/>
          <w:lang w:val="en-GB"/>
        </w:rPr>
        <w:t>tate</w:t>
      </w:r>
      <w:r w:rsidR="0041191C" w:rsidRPr="0041191C">
        <w:rPr>
          <w:rFonts w:ascii="Avenir Next" w:hAnsi="Avenir Next" w:cs="Arial"/>
          <w:color w:val="808080" w:themeColor="background1" w:themeShade="80"/>
          <w:sz w:val="22"/>
          <w:szCs w:val="22"/>
          <w:lang w:val="en-GB"/>
        </w:rPr>
        <w:t>, to</w:t>
      </w:r>
      <w:r>
        <w:rPr>
          <w:rFonts w:ascii="Avenir Next" w:hAnsi="Avenir Next" w:cs="Arial"/>
          <w:color w:val="808080" w:themeColor="background1" w:themeShade="80"/>
          <w:sz w:val="22"/>
          <w:szCs w:val="22"/>
          <w:lang w:val="en-GB"/>
        </w:rPr>
        <w:t xml:space="preserve"> co-operate to the maximum extent possible with the foreign court or foreign representative.  The requirement for co-operation is not linked to recognition of the foreign proceeding.  In fact, co-operation may also be available to proceedings which do not qualify as a foreign main or foreign non-main.  Co-operation may be available on the basis of the presence of assets in the state. </w:t>
      </w:r>
      <w:r w:rsidR="0092335C">
        <w:rPr>
          <w:rFonts w:ascii="Avenir Next" w:hAnsi="Avenir Next" w:cs="Arial"/>
          <w:color w:val="808080" w:themeColor="background1" w:themeShade="80"/>
          <w:sz w:val="22"/>
          <w:szCs w:val="22"/>
          <w:lang w:val="en-GB"/>
        </w:rPr>
        <w:t xml:space="preserve"> </w:t>
      </w:r>
    </w:p>
    <w:p w14:paraId="54A8D74E" w14:textId="77777777" w:rsidR="000B3E34" w:rsidRDefault="000B3E34" w:rsidP="001F73CA">
      <w:pPr>
        <w:ind w:left="720"/>
        <w:jc w:val="both"/>
        <w:rPr>
          <w:rFonts w:ascii="Avenir Next" w:hAnsi="Avenir Next" w:cs="Arial"/>
          <w:color w:val="808080" w:themeColor="background1" w:themeShade="80"/>
          <w:sz w:val="22"/>
          <w:szCs w:val="22"/>
          <w:lang w:val="en-GB"/>
        </w:rPr>
      </w:pPr>
    </w:p>
    <w:p w14:paraId="26CEE32F" w14:textId="1E56BD5B" w:rsidR="002458B0" w:rsidRDefault="000B3E34"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26 </w:t>
      </w:r>
      <w:r w:rsidR="0041191C">
        <w:rPr>
          <w:rFonts w:ascii="Avenir Next" w:hAnsi="Avenir Next" w:cs="Arial"/>
          <w:color w:val="808080" w:themeColor="background1" w:themeShade="80"/>
          <w:sz w:val="22"/>
          <w:szCs w:val="22"/>
          <w:lang w:val="en-GB"/>
        </w:rPr>
        <w:t xml:space="preserve">further provides that </w:t>
      </w:r>
      <w:r w:rsidR="002E2B51">
        <w:rPr>
          <w:rFonts w:ascii="Avenir Next" w:hAnsi="Avenir Next" w:cs="Arial"/>
          <w:color w:val="808080" w:themeColor="background1" w:themeShade="80"/>
          <w:sz w:val="22"/>
          <w:szCs w:val="22"/>
          <w:lang w:val="en-GB"/>
        </w:rPr>
        <w:t xml:space="preserve">persons or </w:t>
      </w:r>
      <w:r w:rsidR="0041191C" w:rsidRPr="002E2B51">
        <w:rPr>
          <w:rFonts w:ascii="Avenir Next" w:hAnsi="Avenir Next" w:cs="Arial"/>
          <w:color w:val="808080" w:themeColor="background1" w:themeShade="80"/>
          <w:sz w:val="22"/>
          <w:szCs w:val="22"/>
          <w:lang w:val="en-GB"/>
        </w:rPr>
        <w:t>bod</w:t>
      </w:r>
      <w:r w:rsidR="002E2B51" w:rsidRPr="002E2B51">
        <w:rPr>
          <w:rFonts w:ascii="Avenir Next" w:hAnsi="Avenir Next" w:cs="Arial"/>
          <w:color w:val="808080" w:themeColor="background1" w:themeShade="80"/>
          <w:sz w:val="22"/>
          <w:szCs w:val="22"/>
          <w:lang w:val="en-GB"/>
        </w:rPr>
        <w:t xml:space="preserve">ies </w:t>
      </w:r>
      <w:r w:rsidR="0041191C" w:rsidRPr="002E2B51">
        <w:rPr>
          <w:rFonts w:ascii="Avenir Next" w:hAnsi="Avenir Next" w:cs="Arial"/>
          <w:color w:val="808080" w:themeColor="background1" w:themeShade="80"/>
          <w:sz w:val="22"/>
          <w:szCs w:val="22"/>
          <w:lang w:val="en-GB"/>
        </w:rPr>
        <w:t>administering a reorganization or liquidation under the law of the enacting State</w:t>
      </w:r>
      <w:r w:rsidR="002E2B51" w:rsidRPr="002E2B51">
        <w:rPr>
          <w:rFonts w:ascii="Avenir Next" w:hAnsi="Avenir Next" w:cs="Arial"/>
          <w:color w:val="808080" w:themeColor="background1" w:themeShade="80"/>
          <w:sz w:val="22"/>
          <w:szCs w:val="22"/>
          <w:lang w:val="en-GB"/>
        </w:rPr>
        <w:t xml:space="preserve"> are </w:t>
      </w:r>
      <w:r w:rsidR="0041191C" w:rsidRPr="002E2B51">
        <w:rPr>
          <w:rFonts w:ascii="Avenir Next" w:hAnsi="Avenir Next" w:cs="Arial"/>
          <w:color w:val="808080" w:themeColor="background1" w:themeShade="80"/>
          <w:sz w:val="22"/>
          <w:szCs w:val="22"/>
          <w:lang w:val="en-GB"/>
        </w:rPr>
        <w:t xml:space="preserve">entitled, in the exercise of </w:t>
      </w:r>
      <w:r w:rsidR="002E2B51" w:rsidRPr="002E2B51">
        <w:rPr>
          <w:rFonts w:ascii="Avenir Next" w:hAnsi="Avenir Next" w:cs="Arial"/>
          <w:color w:val="808080" w:themeColor="background1" w:themeShade="80"/>
          <w:sz w:val="22"/>
          <w:szCs w:val="22"/>
          <w:lang w:val="en-GB"/>
        </w:rPr>
        <w:t>their</w:t>
      </w:r>
      <w:r w:rsidR="0041191C" w:rsidRPr="002E2B51">
        <w:rPr>
          <w:rFonts w:ascii="Avenir Next" w:hAnsi="Avenir Next" w:cs="Arial"/>
          <w:color w:val="808080" w:themeColor="background1" w:themeShade="80"/>
          <w:sz w:val="22"/>
          <w:szCs w:val="22"/>
          <w:lang w:val="en-GB"/>
        </w:rPr>
        <w:t xml:space="preserve"> functions and subject to the supervision of the court, to communicate directly with foreign courts or foreign representatives. </w:t>
      </w:r>
      <w:r w:rsidR="0041191C" w:rsidRPr="002E2B51">
        <w:rPr>
          <w:rFonts w:ascii="Avenir Next" w:hAnsi="Avenir Next" w:cs="Arial"/>
          <w:color w:val="808080" w:themeColor="background1" w:themeShade="80"/>
          <w:sz w:val="22"/>
          <w:szCs w:val="22"/>
          <w:lang w:val="en-GB"/>
        </w:rPr>
        <w:t xml:space="preserve"> Again,</w:t>
      </w:r>
      <w:r w:rsidR="0041191C">
        <w:rPr>
          <w:rFonts w:ascii="Avenir Next" w:hAnsi="Avenir Next" w:cs="Arial"/>
          <w:color w:val="808080" w:themeColor="background1" w:themeShade="80"/>
          <w:sz w:val="22"/>
          <w:szCs w:val="22"/>
          <w:lang w:val="en-GB"/>
        </w:rPr>
        <w:t xml:space="preserve"> </w:t>
      </w:r>
      <w:r w:rsidR="0041191C">
        <w:rPr>
          <w:rFonts w:ascii="Avenir Next" w:hAnsi="Avenir Next" w:cs="Arial"/>
          <w:color w:val="808080" w:themeColor="background1" w:themeShade="80"/>
          <w:sz w:val="22"/>
          <w:szCs w:val="22"/>
          <w:lang w:val="en-GB"/>
        </w:rPr>
        <w:t xml:space="preserve">direct communication </w:t>
      </w:r>
      <w:r w:rsidR="0041191C">
        <w:rPr>
          <w:rFonts w:ascii="Avenir Next" w:hAnsi="Avenir Next" w:cs="Arial"/>
          <w:color w:val="808080" w:themeColor="background1" w:themeShade="80"/>
          <w:sz w:val="22"/>
          <w:szCs w:val="22"/>
          <w:lang w:val="en-GB"/>
        </w:rPr>
        <w:t>may be available to proceedings which do not qualify as a foreign main or foreign non-main</w:t>
      </w:r>
      <w:r w:rsidR="0041191C">
        <w:rPr>
          <w:rFonts w:ascii="Avenir Next" w:hAnsi="Avenir Next" w:cs="Arial"/>
          <w:color w:val="808080" w:themeColor="background1" w:themeShade="80"/>
          <w:sz w:val="22"/>
          <w:szCs w:val="22"/>
          <w:lang w:val="en-GB"/>
        </w:rPr>
        <w:t xml:space="preserve"> and may be a</w:t>
      </w:r>
      <w:r w:rsidR="0041191C">
        <w:rPr>
          <w:rFonts w:ascii="Avenir Next" w:hAnsi="Avenir Next" w:cs="Arial"/>
          <w:color w:val="808080" w:themeColor="background1" w:themeShade="80"/>
          <w:sz w:val="22"/>
          <w:szCs w:val="22"/>
          <w:lang w:val="en-GB"/>
        </w:rPr>
        <w:t>vailable on the basis of the presence of assets in the state.</w:t>
      </w:r>
    </w:p>
    <w:p w14:paraId="22CBCCAA" w14:textId="77777777" w:rsidR="004B0685" w:rsidRDefault="004B0685" w:rsidP="001F73CA">
      <w:pPr>
        <w:ind w:left="720"/>
        <w:jc w:val="both"/>
        <w:rPr>
          <w:rFonts w:ascii="Avenir Next" w:hAnsi="Avenir Next" w:cs="Arial"/>
          <w:color w:val="808080" w:themeColor="background1" w:themeShade="80"/>
          <w:sz w:val="22"/>
          <w:szCs w:val="22"/>
          <w:lang w:val="en-GB"/>
        </w:rPr>
      </w:pPr>
    </w:p>
    <w:p w14:paraId="5CFAB059" w14:textId="078C76D5" w:rsidR="00C840C1" w:rsidRDefault="004B0685" w:rsidP="001F73C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27 provides a </w:t>
      </w:r>
      <w:r w:rsidR="00FB49E8">
        <w:rPr>
          <w:rFonts w:ascii="Avenir Next" w:hAnsi="Avenir Next" w:cs="Arial"/>
          <w:color w:val="808080" w:themeColor="background1" w:themeShade="80"/>
          <w:sz w:val="22"/>
          <w:szCs w:val="22"/>
          <w:lang w:val="en-GB"/>
        </w:rPr>
        <w:t>non-exhaustive l</w:t>
      </w:r>
      <w:r w:rsidR="006A504F">
        <w:rPr>
          <w:rFonts w:ascii="Avenir Next" w:hAnsi="Avenir Next" w:cs="Arial"/>
          <w:color w:val="808080" w:themeColor="background1" w:themeShade="80"/>
          <w:sz w:val="22"/>
          <w:szCs w:val="22"/>
          <w:lang w:val="en-GB"/>
        </w:rPr>
        <w:t xml:space="preserve">ist of </w:t>
      </w:r>
      <w:r w:rsidR="00FB49E8">
        <w:rPr>
          <w:rFonts w:ascii="Avenir Next" w:hAnsi="Avenir Next" w:cs="Arial"/>
          <w:color w:val="808080" w:themeColor="background1" w:themeShade="80"/>
          <w:sz w:val="22"/>
          <w:szCs w:val="22"/>
          <w:lang w:val="en-GB"/>
        </w:rPr>
        <w:t xml:space="preserve">forms of </w:t>
      </w:r>
      <w:r w:rsidR="006A504F">
        <w:rPr>
          <w:rFonts w:ascii="Avenir Next" w:hAnsi="Avenir Next" w:cs="Arial"/>
          <w:color w:val="808080" w:themeColor="background1" w:themeShade="80"/>
          <w:sz w:val="22"/>
          <w:szCs w:val="22"/>
          <w:lang w:val="en-GB"/>
        </w:rPr>
        <w:t>co</w:t>
      </w:r>
      <w:r w:rsidR="00FB49E8">
        <w:rPr>
          <w:rFonts w:ascii="Avenir Next" w:hAnsi="Avenir Next" w:cs="Arial"/>
          <w:color w:val="808080" w:themeColor="background1" w:themeShade="80"/>
          <w:sz w:val="22"/>
          <w:szCs w:val="22"/>
          <w:lang w:val="en-GB"/>
        </w:rPr>
        <w:t>-</w:t>
      </w:r>
      <w:r w:rsidR="006A504F">
        <w:rPr>
          <w:rFonts w:ascii="Avenir Next" w:hAnsi="Avenir Next" w:cs="Arial"/>
          <w:color w:val="808080" w:themeColor="background1" w:themeShade="80"/>
          <w:sz w:val="22"/>
          <w:szCs w:val="22"/>
          <w:lang w:val="en-GB"/>
        </w:rPr>
        <w:t xml:space="preserve">operation </w:t>
      </w:r>
      <w:r w:rsidR="00FB49E8">
        <w:rPr>
          <w:rFonts w:ascii="Avenir Next" w:hAnsi="Avenir Next" w:cs="Arial"/>
          <w:color w:val="808080" w:themeColor="background1" w:themeShade="80"/>
          <w:sz w:val="22"/>
          <w:szCs w:val="22"/>
          <w:lang w:val="en-GB"/>
        </w:rPr>
        <w:t xml:space="preserve">which may be implemented </w:t>
      </w:r>
      <w:r w:rsidR="00FB49E8">
        <w:rPr>
          <w:rFonts w:ascii="Avenir Next" w:hAnsi="Avenir Next" w:cs="Arial"/>
          <w:color w:val="808080" w:themeColor="background1" w:themeShade="80"/>
          <w:sz w:val="22"/>
          <w:szCs w:val="22"/>
          <w:lang w:val="en-GB"/>
        </w:rPr>
        <w:t>under Articles 25 and 26</w:t>
      </w:r>
      <w:r w:rsidR="00FB49E8">
        <w:rPr>
          <w:rFonts w:ascii="Avenir Next" w:hAnsi="Avenir Next" w:cs="Arial"/>
          <w:color w:val="808080" w:themeColor="background1" w:themeShade="80"/>
          <w:sz w:val="22"/>
          <w:szCs w:val="22"/>
          <w:lang w:val="en-GB"/>
        </w:rPr>
        <w:t xml:space="preserve"> by any appropriate means.  These include the following: </w:t>
      </w:r>
    </w:p>
    <w:p w14:paraId="5B2A5238" w14:textId="01A10A5D" w:rsidR="00FB49E8" w:rsidRDefault="00FB49E8" w:rsidP="001F73CA">
      <w:pPr>
        <w:ind w:left="720"/>
        <w:jc w:val="both"/>
        <w:rPr>
          <w:rFonts w:ascii="Avenir Next" w:hAnsi="Avenir Next" w:cs="Arial"/>
          <w:color w:val="808080" w:themeColor="background1" w:themeShade="80"/>
          <w:sz w:val="22"/>
          <w:szCs w:val="22"/>
          <w:lang w:val="en-GB"/>
        </w:rPr>
      </w:pPr>
    </w:p>
    <w:p w14:paraId="7624D425" w14:textId="240798C9" w:rsidR="00FB49E8" w:rsidRPr="00FB49E8" w:rsidRDefault="00FB49E8" w:rsidP="001F73CA">
      <w:pPr>
        <w:ind w:left="720"/>
        <w:jc w:val="both"/>
        <w:rPr>
          <w:rFonts w:ascii="Avenir Next" w:hAnsi="Avenir Next" w:cs="Arial"/>
          <w:color w:val="808080" w:themeColor="background1" w:themeShade="80"/>
          <w:sz w:val="22"/>
          <w:szCs w:val="22"/>
          <w:lang w:val="en-GB"/>
        </w:rPr>
      </w:pPr>
      <w:r w:rsidRPr="00FB49E8">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ab/>
      </w:r>
      <w:r w:rsidRPr="00FB49E8">
        <w:rPr>
          <w:rFonts w:ascii="Avenir Next" w:hAnsi="Avenir Next" w:cs="Arial"/>
          <w:color w:val="808080" w:themeColor="background1" w:themeShade="80"/>
          <w:sz w:val="22"/>
          <w:szCs w:val="22"/>
          <w:lang w:val="en-GB"/>
        </w:rPr>
        <w:t xml:space="preserve">Appointment of a person or body to act at the direction of the court; </w:t>
      </w:r>
    </w:p>
    <w:p w14:paraId="4E26BEF7" w14:textId="527D0FD0" w:rsidR="00FB49E8" w:rsidRPr="00FB49E8" w:rsidRDefault="00FB49E8" w:rsidP="001F73CA">
      <w:pPr>
        <w:ind w:left="720"/>
        <w:jc w:val="both"/>
        <w:rPr>
          <w:rFonts w:ascii="Avenir Next" w:hAnsi="Avenir Next" w:cs="Arial"/>
          <w:color w:val="808080" w:themeColor="background1" w:themeShade="80"/>
          <w:sz w:val="22"/>
          <w:szCs w:val="22"/>
          <w:lang w:val="en-GB"/>
        </w:rPr>
      </w:pPr>
      <w:r w:rsidRPr="00FB49E8">
        <w:rPr>
          <w:rFonts w:ascii="Avenir Next" w:hAnsi="Avenir Next" w:cs="Arial"/>
          <w:color w:val="808080" w:themeColor="background1" w:themeShade="80"/>
          <w:sz w:val="22"/>
          <w:szCs w:val="22"/>
          <w:lang w:val="en-GB"/>
        </w:rPr>
        <w:t xml:space="preserve">(b) </w:t>
      </w:r>
      <w:r>
        <w:rPr>
          <w:rFonts w:ascii="Avenir Next" w:hAnsi="Avenir Next" w:cs="Arial"/>
          <w:color w:val="808080" w:themeColor="background1" w:themeShade="80"/>
          <w:sz w:val="22"/>
          <w:szCs w:val="22"/>
          <w:lang w:val="en-GB"/>
        </w:rPr>
        <w:tab/>
      </w:r>
      <w:r w:rsidRPr="00FB49E8">
        <w:rPr>
          <w:rFonts w:ascii="Avenir Next" w:hAnsi="Avenir Next" w:cs="Arial"/>
          <w:color w:val="808080" w:themeColor="background1" w:themeShade="80"/>
          <w:sz w:val="22"/>
          <w:szCs w:val="22"/>
          <w:lang w:val="en-GB"/>
        </w:rPr>
        <w:t xml:space="preserve">Communication of information by any means considered appropriate by the court; </w:t>
      </w:r>
    </w:p>
    <w:p w14:paraId="1C54A2FD" w14:textId="22D492A1" w:rsidR="00FB49E8" w:rsidRPr="00FB49E8" w:rsidRDefault="00FB49E8" w:rsidP="001F73CA">
      <w:pPr>
        <w:ind w:left="720"/>
        <w:jc w:val="both"/>
        <w:rPr>
          <w:rFonts w:ascii="Avenir Next" w:hAnsi="Avenir Next" w:cs="Arial"/>
          <w:color w:val="808080" w:themeColor="background1" w:themeShade="80"/>
          <w:sz w:val="22"/>
          <w:szCs w:val="22"/>
          <w:lang w:val="en-GB"/>
        </w:rPr>
      </w:pPr>
      <w:r w:rsidRPr="00FB49E8">
        <w:rPr>
          <w:rFonts w:ascii="Avenir Next" w:hAnsi="Avenir Next" w:cs="Arial"/>
          <w:color w:val="808080" w:themeColor="background1" w:themeShade="80"/>
          <w:sz w:val="22"/>
          <w:szCs w:val="22"/>
          <w:lang w:val="en-GB"/>
        </w:rPr>
        <w:t xml:space="preserve">(c) </w:t>
      </w:r>
      <w:r>
        <w:rPr>
          <w:rFonts w:ascii="Avenir Next" w:hAnsi="Avenir Next" w:cs="Arial"/>
          <w:color w:val="808080" w:themeColor="background1" w:themeShade="80"/>
          <w:sz w:val="22"/>
          <w:szCs w:val="22"/>
          <w:lang w:val="en-GB"/>
        </w:rPr>
        <w:tab/>
      </w:r>
      <w:r w:rsidRPr="00FB49E8">
        <w:rPr>
          <w:rFonts w:ascii="Avenir Next" w:hAnsi="Avenir Next" w:cs="Arial"/>
          <w:color w:val="808080" w:themeColor="background1" w:themeShade="80"/>
          <w:sz w:val="22"/>
          <w:szCs w:val="22"/>
          <w:lang w:val="en-GB"/>
        </w:rPr>
        <w:t xml:space="preserve">Coordination of the administration and supervision of the debtor’s assets and affairs; </w:t>
      </w:r>
    </w:p>
    <w:p w14:paraId="3D1D31AD" w14:textId="5009EBD3" w:rsidR="00FB49E8" w:rsidRDefault="00FB49E8" w:rsidP="00FB49E8">
      <w:pPr>
        <w:ind w:left="1440" w:hanging="720"/>
        <w:jc w:val="both"/>
        <w:rPr>
          <w:rFonts w:ascii="Avenir Next" w:hAnsi="Avenir Next" w:cs="Arial"/>
          <w:color w:val="808080" w:themeColor="background1" w:themeShade="80"/>
          <w:sz w:val="22"/>
          <w:szCs w:val="22"/>
          <w:lang w:val="en-GB"/>
        </w:rPr>
      </w:pPr>
      <w:r w:rsidRPr="00FB49E8">
        <w:rPr>
          <w:rFonts w:ascii="Avenir Next" w:hAnsi="Avenir Next" w:cs="Arial"/>
          <w:color w:val="808080" w:themeColor="background1" w:themeShade="80"/>
          <w:sz w:val="22"/>
          <w:szCs w:val="22"/>
          <w:lang w:val="en-GB"/>
        </w:rPr>
        <w:t xml:space="preserve">(d) </w:t>
      </w:r>
      <w:r>
        <w:rPr>
          <w:rFonts w:ascii="Avenir Next" w:hAnsi="Avenir Next" w:cs="Arial"/>
          <w:color w:val="808080" w:themeColor="background1" w:themeShade="80"/>
          <w:sz w:val="22"/>
          <w:szCs w:val="22"/>
          <w:lang w:val="en-GB"/>
        </w:rPr>
        <w:tab/>
      </w:r>
      <w:r w:rsidRPr="00FB49E8">
        <w:rPr>
          <w:rFonts w:ascii="Avenir Next" w:hAnsi="Avenir Next" w:cs="Arial"/>
          <w:color w:val="808080" w:themeColor="background1" w:themeShade="80"/>
          <w:sz w:val="22"/>
          <w:szCs w:val="22"/>
          <w:lang w:val="en-GB"/>
        </w:rPr>
        <w:t xml:space="preserve">Approval or implementation by courts of agreements concerning the coordination of proceedings; </w:t>
      </w:r>
    </w:p>
    <w:p w14:paraId="4F141521" w14:textId="159EB495" w:rsidR="00FB49E8" w:rsidRDefault="00FB49E8" w:rsidP="001F73CA">
      <w:pPr>
        <w:ind w:left="720"/>
        <w:jc w:val="both"/>
        <w:rPr>
          <w:rFonts w:ascii="Avenir Next" w:hAnsi="Avenir Next" w:cs="Arial"/>
          <w:color w:val="808080" w:themeColor="background1" w:themeShade="80"/>
          <w:sz w:val="22"/>
          <w:szCs w:val="22"/>
          <w:lang w:val="en-GB"/>
        </w:rPr>
      </w:pPr>
      <w:r w:rsidRPr="00FB49E8">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ab/>
      </w:r>
      <w:r w:rsidRPr="00FB49E8">
        <w:rPr>
          <w:rFonts w:ascii="Avenir Next" w:hAnsi="Avenir Next" w:cs="Arial"/>
          <w:color w:val="808080" w:themeColor="background1" w:themeShade="80"/>
          <w:sz w:val="22"/>
          <w:szCs w:val="22"/>
          <w:lang w:val="en-GB"/>
        </w:rPr>
        <w:t xml:space="preserve">Coordination of concurrent proceedings regarding the same debtor; </w:t>
      </w:r>
    </w:p>
    <w:p w14:paraId="7392F41B" w14:textId="523910C6" w:rsidR="00051809" w:rsidRDefault="00051809" w:rsidP="001F73CA">
      <w:pPr>
        <w:ind w:left="720"/>
        <w:jc w:val="both"/>
        <w:rPr>
          <w:rFonts w:ascii="Avenir Next" w:hAnsi="Avenir Next" w:cs="Arial"/>
          <w:color w:val="808080" w:themeColor="background1" w:themeShade="80"/>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00319A1B" w14:textId="77777777" w:rsidR="00A7243D" w:rsidRDefault="00A7243D" w:rsidP="00A7243D">
      <w:pPr>
        <w:ind w:left="720" w:hanging="720"/>
        <w:jc w:val="both"/>
        <w:rPr>
          <w:rFonts w:ascii="Avenir Next" w:hAnsi="Avenir Next" w:cs="Arial"/>
          <w:color w:val="808080" w:themeColor="background1" w:themeShade="80"/>
          <w:sz w:val="22"/>
          <w:szCs w:val="22"/>
          <w:lang w:val="en-GB"/>
        </w:rPr>
      </w:pPr>
    </w:p>
    <w:p w14:paraId="3937CDFF" w14:textId="35D13E2C" w:rsidR="00867A8F" w:rsidRDefault="00497EDB" w:rsidP="00497ED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After being satisfied that both the foreign proceeding and the foreign representative have met the Article 2 qualification</w:t>
      </w:r>
      <w:r w:rsidR="00165523">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court must further consider the following in order to approve an application for recognition. </w:t>
      </w:r>
    </w:p>
    <w:p w14:paraId="5FE42BB5" w14:textId="4F6DB9B6" w:rsidR="00497EDB" w:rsidRDefault="00497EDB" w:rsidP="00867A8F">
      <w:pPr>
        <w:ind w:left="720" w:hanging="720"/>
        <w:jc w:val="both"/>
        <w:rPr>
          <w:rFonts w:ascii="Avenir Next" w:hAnsi="Avenir Next" w:cs="Arial"/>
          <w:color w:val="808080" w:themeColor="background1" w:themeShade="80"/>
          <w:sz w:val="22"/>
          <w:szCs w:val="22"/>
          <w:lang w:val="en-GB"/>
        </w:rPr>
      </w:pPr>
    </w:p>
    <w:p w14:paraId="3F7A57BB" w14:textId="1BA75529" w:rsidR="00497EDB" w:rsidRPr="003B1FD0" w:rsidRDefault="00497EDB" w:rsidP="003B1FD0">
      <w:pPr>
        <w:ind w:left="720"/>
        <w:jc w:val="both"/>
        <w:rPr>
          <w:rFonts w:ascii="Avenir Next" w:hAnsi="Avenir Next" w:cs="Arial"/>
          <w:b/>
          <w:bCs/>
          <w:color w:val="808080" w:themeColor="background1" w:themeShade="80"/>
          <w:sz w:val="22"/>
          <w:szCs w:val="22"/>
          <w:lang w:val="en-GB"/>
        </w:rPr>
      </w:pPr>
      <w:r w:rsidRPr="003B1FD0">
        <w:rPr>
          <w:rFonts w:ascii="Avenir Next" w:hAnsi="Avenir Next" w:cs="Arial"/>
          <w:b/>
          <w:bCs/>
          <w:color w:val="808080" w:themeColor="background1" w:themeShade="80"/>
          <w:sz w:val="22"/>
          <w:szCs w:val="22"/>
          <w:lang w:val="en-GB"/>
        </w:rPr>
        <w:t>Public Policy consideration</w:t>
      </w:r>
    </w:p>
    <w:p w14:paraId="164FF67D" w14:textId="5002230E" w:rsidR="003634B7" w:rsidRDefault="00497EDB" w:rsidP="003B1FD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17 stat</w:t>
      </w:r>
      <w:r w:rsidR="000C3EA4">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s that recognition should be granted provided it is not contrary to public policy of the State as provided under Article 6.  Although there is no uniform definition for the concept of public policy it is noted that the concept is interpreted narrowly and applied consistently in exceptional circumstances.  The GEI notes that the word ‘manifestly</w:t>
      </w:r>
      <w:r w:rsidR="00D7039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acts as a qualifier for the public policy expression and restricts the </w:t>
      </w:r>
      <w:r w:rsidR="00D7039A">
        <w:rPr>
          <w:rFonts w:ascii="Avenir Next" w:hAnsi="Avenir Next" w:cs="Arial"/>
          <w:color w:val="808080" w:themeColor="background1" w:themeShade="80"/>
          <w:sz w:val="22"/>
          <w:szCs w:val="22"/>
          <w:lang w:val="en-GB"/>
        </w:rPr>
        <w:t>interpretation</w:t>
      </w:r>
      <w:r>
        <w:rPr>
          <w:rFonts w:ascii="Avenir Next" w:hAnsi="Avenir Next" w:cs="Arial"/>
          <w:color w:val="808080" w:themeColor="background1" w:themeShade="80"/>
          <w:sz w:val="22"/>
          <w:szCs w:val="22"/>
          <w:lang w:val="en-GB"/>
        </w:rPr>
        <w:t xml:space="preserve"> to matters which are of fundamental importance for the enacting state and not merely matters which are considered contrary or </w:t>
      </w:r>
      <w:r w:rsidR="00D7039A">
        <w:rPr>
          <w:rFonts w:ascii="Avenir Next" w:hAnsi="Avenir Next" w:cs="Arial"/>
          <w:color w:val="808080" w:themeColor="background1" w:themeShade="80"/>
          <w:sz w:val="22"/>
          <w:szCs w:val="22"/>
          <w:lang w:val="en-GB"/>
        </w:rPr>
        <w:t>incompatible</w:t>
      </w:r>
      <w:r>
        <w:rPr>
          <w:rFonts w:ascii="Avenir Next" w:hAnsi="Avenir Next" w:cs="Arial"/>
          <w:color w:val="808080" w:themeColor="background1" w:themeShade="80"/>
          <w:sz w:val="22"/>
          <w:szCs w:val="22"/>
          <w:lang w:val="en-GB"/>
        </w:rPr>
        <w:t xml:space="preserve"> with the Model Law.  </w:t>
      </w:r>
      <w:r w:rsidR="00D7039A">
        <w:rPr>
          <w:rFonts w:ascii="Avenir Next" w:hAnsi="Avenir Next" w:cs="Arial"/>
          <w:color w:val="808080" w:themeColor="background1" w:themeShade="80"/>
          <w:sz w:val="22"/>
          <w:szCs w:val="22"/>
          <w:lang w:val="en-GB"/>
        </w:rPr>
        <w:t xml:space="preserve">The following </w:t>
      </w:r>
      <w:r w:rsidR="00AE37CA">
        <w:rPr>
          <w:rFonts w:ascii="Avenir Next" w:hAnsi="Avenir Next" w:cs="Arial"/>
          <w:color w:val="808080" w:themeColor="background1" w:themeShade="80"/>
          <w:sz w:val="22"/>
          <w:szCs w:val="22"/>
          <w:lang w:val="en-GB"/>
        </w:rPr>
        <w:t xml:space="preserve">are principles </w:t>
      </w:r>
      <w:r w:rsidR="00AE37CA">
        <w:rPr>
          <w:rFonts w:ascii="Avenir Next" w:hAnsi="Avenir Next" w:cs="Arial"/>
          <w:color w:val="808080" w:themeColor="background1" w:themeShade="80"/>
          <w:sz w:val="22"/>
          <w:szCs w:val="22"/>
          <w:lang w:val="en-GB"/>
        </w:rPr>
        <w:lastRenderedPageBreak/>
        <w:t xml:space="preserve">extrapolated from case law </w:t>
      </w:r>
      <w:r w:rsidR="00D7039A">
        <w:rPr>
          <w:rFonts w:ascii="Avenir Next" w:hAnsi="Avenir Next" w:cs="Arial"/>
          <w:color w:val="808080" w:themeColor="background1" w:themeShade="80"/>
          <w:sz w:val="22"/>
          <w:szCs w:val="22"/>
          <w:lang w:val="en-GB"/>
        </w:rPr>
        <w:t xml:space="preserve">which can be </w:t>
      </w:r>
      <w:r w:rsidR="003445D0">
        <w:rPr>
          <w:rFonts w:ascii="Avenir Next" w:hAnsi="Avenir Next" w:cs="Arial"/>
          <w:color w:val="808080" w:themeColor="background1" w:themeShade="80"/>
          <w:sz w:val="22"/>
          <w:szCs w:val="22"/>
          <w:lang w:val="en-GB"/>
        </w:rPr>
        <w:t xml:space="preserve">considered </w:t>
      </w:r>
      <w:r w:rsidR="00D7039A">
        <w:rPr>
          <w:rFonts w:ascii="Avenir Next" w:hAnsi="Avenir Next" w:cs="Arial"/>
          <w:color w:val="808080" w:themeColor="background1" w:themeShade="80"/>
          <w:sz w:val="22"/>
          <w:szCs w:val="22"/>
          <w:lang w:val="en-GB"/>
        </w:rPr>
        <w:t xml:space="preserve">when considering whether a </w:t>
      </w:r>
      <w:r w:rsidR="003445D0">
        <w:rPr>
          <w:rFonts w:ascii="Avenir Next" w:hAnsi="Avenir Next" w:cs="Arial"/>
          <w:color w:val="808080" w:themeColor="background1" w:themeShade="80"/>
          <w:sz w:val="22"/>
          <w:szCs w:val="22"/>
          <w:lang w:val="en-GB"/>
        </w:rPr>
        <w:t>recognition proceeding is manifestly contrary to public policy</w:t>
      </w:r>
      <w:r w:rsidR="003634B7">
        <w:rPr>
          <w:rFonts w:ascii="Avenir Next" w:hAnsi="Avenir Next" w:cs="Arial"/>
          <w:color w:val="808080" w:themeColor="background1" w:themeShade="80"/>
          <w:sz w:val="22"/>
          <w:szCs w:val="22"/>
          <w:lang w:val="en-GB"/>
        </w:rPr>
        <w:t>:</w:t>
      </w:r>
      <w:r w:rsidR="00AE37CA">
        <w:rPr>
          <w:rStyle w:val="FootnoteReference"/>
          <w:rFonts w:ascii="Avenir Next" w:hAnsi="Avenir Next" w:cs="Arial"/>
          <w:color w:val="808080" w:themeColor="background1" w:themeShade="80"/>
          <w:sz w:val="22"/>
          <w:szCs w:val="22"/>
          <w:lang w:val="en-GB"/>
        </w:rPr>
        <w:footnoteReference w:id="5"/>
      </w:r>
    </w:p>
    <w:p w14:paraId="3A64AED5" w14:textId="787635FD" w:rsidR="003634B7" w:rsidRDefault="003634B7" w:rsidP="00867A8F">
      <w:pPr>
        <w:ind w:left="720" w:hanging="720"/>
        <w:jc w:val="both"/>
        <w:rPr>
          <w:rFonts w:ascii="Avenir Next" w:hAnsi="Avenir Next" w:cs="Arial"/>
          <w:color w:val="808080" w:themeColor="background1" w:themeShade="80"/>
          <w:sz w:val="22"/>
          <w:szCs w:val="22"/>
          <w:lang w:val="en-GB"/>
        </w:rPr>
      </w:pPr>
    </w:p>
    <w:p w14:paraId="1DE052B4" w14:textId="62410598" w:rsidR="003634B7" w:rsidRPr="003634B7" w:rsidRDefault="003634B7" w:rsidP="003634B7">
      <w:pPr>
        <w:pStyle w:val="ListParagraph"/>
        <w:numPr>
          <w:ilvl w:val="0"/>
          <w:numId w:val="19"/>
        </w:numPr>
        <w:jc w:val="both"/>
        <w:rPr>
          <w:rFonts w:ascii="Avenir Next" w:hAnsi="Avenir Next" w:cs="Arial"/>
          <w:color w:val="808080" w:themeColor="background1" w:themeShade="80"/>
          <w:sz w:val="22"/>
          <w:szCs w:val="22"/>
          <w:lang w:val="en-GB"/>
        </w:rPr>
      </w:pPr>
      <w:r w:rsidRPr="003634B7">
        <w:rPr>
          <w:rFonts w:ascii="Avenir Next" w:hAnsi="Avenir Next" w:cs="Arial"/>
          <w:color w:val="808080" w:themeColor="background1" w:themeShade="80"/>
          <w:sz w:val="22"/>
          <w:szCs w:val="22"/>
          <w:lang w:val="en-GB"/>
        </w:rPr>
        <w:t xml:space="preserve">The mere fact of a conflict between foreign law and local law, absent other considerations, is insufficient to support the invocation of the public policy exception; </w:t>
      </w:r>
    </w:p>
    <w:p w14:paraId="35DFB574" w14:textId="77777777" w:rsidR="003634B7" w:rsidRPr="003634B7" w:rsidRDefault="003634B7" w:rsidP="003634B7">
      <w:pPr>
        <w:pStyle w:val="ListParagraph"/>
        <w:ind w:left="1080"/>
        <w:jc w:val="both"/>
        <w:rPr>
          <w:rFonts w:ascii="Avenir Next" w:hAnsi="Avenir Next" w:cs="Arial"/>
          <w:color w:val="808080" w:themeColor="background1" w:themeShade="80"/>
          <w:sz w:val="22"/>
          <w:szCs w:val="22"/>
          <w:lang w:val="en-GB"/>
        </w:rPr>
      </w:pPr>
    </w:p>
    <w:p w14:paraId="204D9756" w14:textId="479A9F2C" w:rsidR="003634B7" w:rsidRPr="003634B7" w:rsidRDefault="003634B7" w:rsidP="003634B7">
      <w:pPr>
        <w:pStyle w:val="ListParagraph"/>
        <w:numPr>
          <w:ilvl w:val="0"/>
          <w:numId w:val="19"/>
        </w:numPr>
        <w:jc w:val="both"/>
        <w:rPr>
          <w:rFonts w:ascii="Avenir Next" w:hAnsi="Avenir Next" w:cs="Arial"/>
          <w:color w:val="808080" w:themeColor="background1" w:themeShade="80"/>
          <w:sz w:val="22"/>
          <w:szCs w:val="22"/>
          <w:lang w:val="en-GB"/>
        </w:rPr>
      </w:pPr>
      <w:r w:rsidRPr="003634B7">
        <w:rPr>
          <w:rFonts w:ascii="Avenir Next" w:hAnsi="Avenir Next" w:cs="Arial"/>
          <w:color w:val="808080" w:themeColor="background1" w:themeShade="80"/>
          <w:sz w:val="22"/>
          <w:szCs w:val="22"/>
          <w:lang w:val="en-GB"/>
        </w:rPr>
        <w:t xml:space="preserve">Deference to a foreign proceeding should not be afforded in a recognition proceeding where the procedural fairness of the foreign proceeding is in doubt or cannot be cured by the adoption of additional protections; </w:t>
      </w:r>
    </w:p>
    <w:p w14:paraId="721FC377" w14:textId="77777777" w:rsidR="003634B7" w:rsidRPr="003634B7" w:rsidRDefault="003634B7" w:rsidP="003634B7">
      <w:pPr>
        <w:pStyle w:val="ListParagraph"/>
        <w:ind w:left="1080"/>
        <w:jc w:val="both"/>
        <w:rPr>
          <w:rFonts w:ascii="Avenir Next" w:hAnsi="Avenir Next" w:cs="Arial"/>
          <w:color w:val="808080" w:themeColor="background1" w:themeShade="80"/>
          <w:sz w:val="22"/>
          <w:szCs w:val="22"/>
          <w:lang w:val="en-GB"/>
        </w:rPr>
      </w:pPr>
    </w:p>
    <w:p w14:paraId="6A02354D" w14:textId="6573A213" w:rsidR="003634B7" w:rsidRPr="003634B7" w:rsidRDefault="003634B7" w:rsidP="003634B7">
      <w:pPr>
        <w:pStyle w:val="ListParagraph"/>
        <w:numPr>
          <w:ilvl w:val="0"/>
          <w:numId w:val="19"/>
        </w:numPr>
        <w:jc w:val="both"/>
        <w:rPr>
          <w:rFonts w:ascii="Avenir Next" w:hAnsi="Avenir Next" w:cs="Arial"/>
          <w:color w:val="808080" w:themeColor="background1" w:themeShade="80"/>
          <w:sz w:val="22"/>
          <w:szCs w:val="22"/>
          <w:lang w:val="en-GB"/>
        </w:rPr>
      </w:pPr>
      <w:r w:rsidRPr="003634B7">
        <w:rPr>
          <w:rFonts w:ascii="Avenir Next" w:hAnsi="Avenir Next" w:cs="Arial"/>
          <w:color w:val="808080" w:themeColor="background1" w:themeShade="80"/>
          <w:sz w:val="22"/>
          <w:szCs w:val="22"/>
          <w:lang w:val="en-GB"/>
        </w:rPr>
        <w:t>An action should not be taken in a recognition proceeding where taking that action would frustrate the ability of the courts to administer the recognition proceeding and/or impinge severely on a local constitutional or statutory right, particularly if a party continues to enjoy the benefits of the recognition proceeding.</w:t>
      </w:r>
    </w:p>
    <w:p w14:paraId="7D7AB758" w14:textId="2A04EA47" w:rsidR="00497EDB" w:rsidRDefault="00497EDB" w:rsidP="00867A8F">
      <w:pPr>
        <w:ind w:left="720" w:hanging="720"/>
        <w:jc w:val="both"/>
        <w:rPr>
          <w:rFonts w:ascii="Avenir Next" w:hAnsi="Avenir Next" w:cs="Arial"/>
          <w:color w:val="808080" w:themeColor="background1" w:themeShade="80"/>
          <w:sz w:val="22"/>
          <w:szCs w:val="22"/>
          <w:lang w:val="en-GB"/>
        </w:rPr>
      </w:pPr>
    </w:p>
    <w:p w14:paraId="199C67E2" w14:textId="4985F56C" w:rsidR="008A68C8" w:rsidRPr="00165523" w:rsidRDefault="008A68C8" w:rsidP="00165523">
      <w:pPr>
        <w:ind w:left="720"/>
        <w:jc w:val="both"/>
        <w:rPr>
          <w:rFonts w:ascii="Avenir Next" w:hAnsi="Avenir Next" w:cs="Arial"/>
          <w:b/>
          <w:bCs/>
          <w:color w:val="808080" w:themeColor="background1" w:themeShade="80"/>
          <w:sz w:val="22"/>
          <w:szCs w:val="22"/>
          <w:lang w:val="en-GB"/>
        </w:rPr>
      </w:pPr>
      <w:r w:rsidRPr="00165523">
        <w:rPr>
          <w:rFonts w:ascii="Avenir Next" w:hAnsi="Avenir Next" w:cs="Arial"/>
          <w:b/>
          <w:bCs/>
          <w:color w:val="808080" w:themeColor="background1" w:themeShade="80"/>
          <w:sz w:val="22"/>
          <w:szCs w:val="22"/>
          <w:lang w:val="en-GB"/>
        </w:rPr>
        <w:t xml:space="preserve">Procedural </w:t>
      </w:r>
      <w:r w:rsidR="00591F9E" w:rsidRPr="00165523">
        <w:rPr>
          <w:rFonts w:ascii="Avenir Next" w:hAnsi="Avenir Next" w:cs="Arial"/>
          <w:b/>
          <w:bCs/>
          <w:color w:val="808080" w:themeColor="background1" w:themeShade="80"/>
          <w:sz w:val="22"/>
          <w:szCs w:val="22"/>
          <w:lang w:val="en-GB"/>
        </w:rPr>
        <w:t>Requirements</w:t>
      </w:r>
    </w:p>
    <w:p w14:paraId="5885709E" w14:textId="60B9970C" w:rsidR="008A68C8" w:rsidRDefault="008A68C8" w:rsidP="0016552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ensure the core procedural requirements set out in Article 15 are complied with.  This </w:t>
      </w:r>
      <w:r w:rsidR="00591F9E">
        <w:rPr>
          <w:rFonts w:ascii="Avenir Next" w:hAnsi="Avenir Next" w:cs="Arial"/>
          <w:color w:val="808080" w:themeColor="background1" w:themeShade="80"/>
          <w:sz w:val="22"/>
          <w:szCs w:val="22"/>
          <w:lang w:val="en-GB"/>
        </w:rPr>
        <w:t>information</w:t>
      </w:r>
      <w:r>
        <w:rPr>
          <w:rFonts w:ascii="Avenir Next" w:hAnsi="Avenir Next" w:cs="Arial"/>
          <w:color w:val="808080" w:themeColor="background1" w:themeShade="80"/>
          <w:sz w:val="22"/>
          <w:szCs w:val="22"/>
          <w:lang w:val="en-GB"/>
        </w:rPr>
        <w:t xml:space="preserve"> will assist the court in granting the </w:t>
      </w:r>
      <w:r w:rsidR="00591F9E">
        <w:rPr>
          <w:rFonts w:ascii="Avenir Next" w:hAnsi="Avenir Next" w:cs="Arial"/>
          <w:color w:val="808080" w:themeColor="background1" w:themeShade="80"/>
          <w:sz w:val="22"/>
          <w:szCs w:val="22"/>
          <w:lang w:val="en-GB"/>
        </w:rPr>
        <w:t>appropriate</w:t>
      </w:r>
      <w:r>
        <w:rPr>
          <w:rFonts w:ascii="Avenir Next" w:hAnsi="Avenir Next" w:cs="Arial"/>
          <w:color w:val="808080" w:themeColor="background1" w:themeShade="80"/>
          <w:sz w:val="22"/>
          <w:szCs w:val="22"/>
          <w:lang w:val="en-GB"/>
        </w:rPr>
        <w:t xml:space="preserve"> relief in support of the foreign proceedings and ensures consistency with other proceedings relating to the debtor.  The court is not expected to embark on considerable </w:t>
      </w:r>
      <w:r w:rsidR="00591F9E">
        <w:rPr>
          <w:rFonts w:ascii="Avenir Next" w:hAnsi="Avenir Next" w:cs="Arial"/>
          <w:color w:val="808080" w:themeColor="background1" w:themeShade="80"/>
          <w:sz w:val="22"/>
          <w:szCs w:val="22"/>
          <w:lang w:val="en-GB"/>
        </w:rPr>
        <w:t>enquiry</w:t>
      </w:r>
      <w:r>
        <w:rPr>
          <w:rFonts w:ascii="Avenir Next" w:hAnsi="Avenir Next" w:cs="Arial"/>
          <w:color w:val="808080" w:themeColor="background1" w:themeShade="80"/>
          <w:sz w:val="22"/>
          <w:szCs w:val="22"/>
          <w:lang w:val="en-GB"/>
        </w:rPr>
        <w:t xml:space="preserve"> </w:t>
      </w:r>
      <w:r w:rsidR="00165523">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s to the legitimacy of the foreign proceeding, the authorisation of the foreign representative or the </w:t>
      </w:r>
      <w:r w:rsidR="00591F9E">
        <w:rPr>
          <w:rFonts w:ascii="Avenir Next" w:hAnsi="Avenir Next" w:cs="Arial"/>
          <w:color w:val="808080" w:themeColor="background1" w:themeShade="80"/>
          <w:sz w:val="22"/>
          <w:szCs w:val="22"/>
          <w:lang w:val="en-GB"/>
        </w:rPr>
        <w:t>authenticity</w:t>
      </w:r>
      <w:r>
        <w:rPr>
          <w:rFonts w:ascii="Avenir Next" w:hAnsi="Avenir Next" w:cs="Arial"/>
          <w:color w:val="808080" w:themeColor="background1" w:themeShade="80"/>
          <w:sz w:val="22"/>
          <w:szCs w:val="22"/>
          <w:lang w:val="en-GB"/>
        </w:rPr>
        <w:t xml:space="preserve"> of the supporting documents.  The court </w:t>
      </w:r>
      <w:r w:rsidR="00591F9E">
        <w:rPr>
          <w:rFonts w:ascii="Avenir Next" w:hAnsi="Avenir Next" w:cs="Arial"/>
          <w:color w:val="808080" w:themeColor="background1" w:themeShade="80"/>
          <w:sz w:val="22"/>
          <w:szCs w:val="22"/>
          <w:lang w:val="en-GB"/>
        </w:rPr>
        <w:t>can</w:t>
      </w:r>
      <w:r>
        <w:rPr>
          <w:rFonts w:ascii="Avenir Next" w:hAnsi="Avenir Next" w:cs="Arial"/>
          <w:color w:val="808080" w:themeColor="background1" w:themeShade="80"/>
          <w:sz w:val="22"/>
          <w:szCs w:val="22"/>
          <w:lang w:val="en-GB"/>
        </w:rPr>
        <w:t xml:space="preserve"> rely on Article 16(1) presumptions – that the </w:t>
      </w:r>
      <w:r w:rsidR="00591F9E">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w:t>
      </w:r>
      <w:r w:rsidR="00591F9E">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is a proceeding within the meaning of Article 2(a), that the foreign representative is a person or body within the meaning of Article 2</w:t>
      </w:r>
      <w:r w:rsidR="0016552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d); and Article 16(2) presumption – that the documents provided in support of the recognition </w:t>
      </w:r>
      <w:r w:rsidR="00165523">
        <w:rPr>
          <w:rFonts w:ascii="Avenir Next" w:hAnsi="Avenir Next" w:cs="Arial"/>
          <w:color w:val="808080" w:themeColor="background1" w:themeShade="80"/>
          <w:sz w:val="22"/>
          <w:szCs w:val="22"/>
          <w:lang w:val="en-GB"/>
        </w:rPr>
        <w:t>application</w:t>
      </w:r>
      <w:r>
        <w:rPr>
          <w:rFonts w:ascii="Avenir Next" w:hAnsi="Avenir Next" w:cs="Arial"/>
          <w:color w:val="808080" w:themeColor="background1" w:themeShade="80"/>
          <w:sz w:val="22"/>
          <w:szCs w:val="22"/>
          <w:lang w:val="en-GB"/>
        </w:rPr>
        <w:t xml:space="preserve"> are authentic, whether legalised or not. </w:t>
      </w:r>
    </w:p>
    <w:p w14:paraId="529C3DBA" w14:textId="6C398A5C" w:rsidR="008A68C8" w:rsidRDefault="008A68C8" w:rsidP="00867A8F">
      <w:pPr>
        <w:ind w:left="720" w:hanging="720"/>
        <w:jc w:val="both"/>
        <w:rPr>
          <w:rFonts w:ascii="Avenir Next" w:hAnsi="Avenir Next" w:cs="Arial"/>
          <w:color w:val="808080" w:themeColor="background1" w:themeShade="80"/>
          <w:sz w:val="22"/>
          <w:szCs w:val="22"/>
          <w:lang w:val="en-GB"/>
        </w:rPr>
      </w:pPr>
    </w:p>
    <w:p w14:paraId="767DE361" w14:textId="073C3CE7" w:rsidR="00165523" w:rsidRPr="00B463CC" w:rsidRDefault="00B463CC" w:rsidP="00B463CC">
      <w:pPr>
        <w:ind w:left="720"/>
        <w:jc w:val="both"/>
        <w:rPr>
          <w:rFonts w:ascii="Avenir Next" w:hAnsi="Avenir Next" w:cs="Arial"/>
          <w:b/>
          <w:bCs/>
          <w:color w:val="808080" w:themeColor="background1" w:themeShade="80"/>
          <w:sz w:val="22"/>
          <w:szCs w:val="22"/>
          <w:lang w:val="en-GB"/>
        </w:rPr>
      </w:pPr>
      <w:r w:rsidRPr="00B463CC">
        <w:rPr>
          <w:rFonts w:ascii="Avenir Next" w:hAnsi="Avenir Next" w:cs="Arial"/>
          <w:b/>
          <w:bCs/>
          <w:color w:val="808080" w:themeColor="background1" w:themeShade="80"/>
          <w:sz w:val="22"/>
          <w:szCs w:val="22"/>
          <w:lang w:val="en-GB"/>
        </w:rPr>
        <w:t>Designation of Foreign Proceeding</w:t>
      </w:r>
    </w:p>
    <w:p w14:paraId="274FFEF1" w14:textId="5C561649" w:rsidR="00165523" w:rsidRDefault="00165523" w:rsidP="0016552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 A will need to determine whether the foreign proceeding is a foreign main proceeding Article 17(2)</w:t>
      </w:r>
      <w:r w:rsidR="00706FBE">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or a foreign non-main proceeding</w:t>
      </w:r>
      <w:r w:rsidR="00706FBE">
        <w:rPr>
          <w:rFonts w:ascii="Avenir Next" w:hAnsi="Avenir Next" w:cs="Arial"/>
          <w:color w:val="808080" w:themeColor="background1" w:themeShade="80"/>
          <w:sz w:val="22"/>
          <w:szCs w:val="22"/>
          <w:lang w:val="en-GB"/>
        </w:rPr>
        <w:t xml:space="preserve"> 17(2)(b)</w:t>
      </w:r>
      <w:r>
        <w:rPr>
          <w:rFonts w:ascii="Avenir Next" w:hAnsi="Avenir Next" w:cs="Arial"/>
          <w:color w:val="808080" w:themeColor="background1" w:themeShade="80"/>
          <w:sz w:val="22"/>
          <w:szCs w:val="22"/>
          <w:lang w:val="en-GB"/>
        </w:rPr>
        <w:t xml:space="preserve">.  </w:t>
      </w:r>
      <w:r w:rsidR="00F9224F">
        <w:rPr>
          <w:rFonts w:ascii="Avenir Next" w:hAnsi="Avenir Next" w:cs="Arial"/>
          <w:color w:val="808080" w:themeColor="background1" w:themeShade="80"/>
          <w:sz w:val="22"/>
          <w:szCs w:val="22"/>
          <w:lang w:val="en-GB"/>
        </w:rPr>
        <w:t>I</w:t>
      </w:r>
      <w:r w:rsidR="00706FBE">
        <w:rPr>
          <w:rFonts w:ascii="Avenir Next" w:hAnsi="Avenir Next" w:cs="Arial"/>
          <w:color w:val="808080" w:themeColor="background1" w:themeShade="80"/>
          <w:sz w:val="22"/>
          <w:szCs w:val="22"/>
          <w:lang w:val="en-GB"/>
        </w:rPr>
        <w:t xml:space="preserve">t is important to make the distinction between a main and non-main </w:t>
      </w:r>
      <w:r w:rsidR="00FE25A8">
        <w:rPr>
          <w:rFonts w:ascii="Avenir Next" w:hAnsi="Avenir Next" w:cs="Arial"/>
          <w:color w:val="808080" w:themeColor="background1" w:themeShade="80"/>
          <w:sz w:val="22"/>
          <w:szCs w:val="22"/>
          <w:lang w:val="en-GB"/>
        </w:rPr>
        <w:t xml:space="preserve">foreign proceeding </w:t>
      </w:r>
      <w:r w:rsidR="00706FBE">
        <w:rPr>
          <w:rFonts w:ascii="Avenir Next" w:hAnsi="Avenir Next" w:cs="Arial"/>
          <w:color w:val="808080" w:themeColor="background1" w:themeShade="80"/>
          <w:sz w:val="22"/>
          <w:szCs w:val="22"/>
          <w:lang w:val="en-GB"/>
        </w:rPr>
        <w:t xml:space="preserve">because different consequences flow from the recognition of the two types of proceedings.  </w:t>
      </w:r>
    </w:p>
    <w:p w14:paraId="78309659" w14:textId="7B04BEF4" w:rsidR="00697B59" w:rsidRDefault="00697B59" w:rsidP="00165523">
      <w:pPr>
        <w:ind w:left="720"/>
        <w:jc w:val="both"/>
        <w:rPr>
          <w:rFonts w:ascii="Avenir Next" w:hAnsi="Avenir Next" w:cs="Arial"/>
          <w:color w:val="808080" w:themeColor="background1" w:themeShade="80"/>
          <w:sz w:val="22"/>
          <w:szCs w:val="22"/>
          <w:lang w:val="en-GB"/>
        </w:rPr>
      </w:pPr>
    </w:p>
    <w:p w14:paraId="001E82C4" w14:textId="6A2ED65A" w:rsidR="00697B59" w:rsidRPr="00697B59" w:rsidRDefault="00697B59" w:rsidP="00165523">
      <w:pPr>
        <w:ind w:left="720"/>
        <w:jc w:val="both"/>
        <w:rPr>
          <w:rFonts w:ascii="Avenir Next" w:hAnsi="Avenir Next" w:cs="Arial"/>
          <w:b/>
          <w:bCs/>
          <w:color w:val="808080" w:themeColor="background1" w:themeShade="80"/>
          <w:sz w:val="22"/>
          <w:szCs w:val="22"/>
          <w:lang w:val="en-GB"/>
        </w:rPr>
      </w:pPr>
      <w:r w:rsidRPr="00697B59">
        <w:rPr>
          <w:rFonts w:ascii="Avenir Next" w:hAnsi="Avenir Next" w:cs="Arial"/>
          <w:b/>
          <w:bCs/>
          <w:color w:val="808080" w:themeColor="background1" w:themeShade="80"/>
          <w:sz w:val="22"/>
          <w:szCs w:val="22"/>
          <w:lang w:val="en-GB"/>
        </w:rPr>
        <w:t>Safe Conduct Rule</w:t>
      </w:r>
    </w:p>
    <w:p w14:paraId="42F42663" w14:textId="39E2447F" w:rsidR="00165523" w:rsidRDefault="00697B59" w:rsidP="005D43A3">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10 </w:t>
      </w:r>
      <w:r w:rsidR="005D43A3">
        <w:rPr>
          <w:rFonts w:ascii="Avenir Next" w:hAnsi="Avenir Next" w:cs="Arial"/>
          <w:color w:val="808080" w:themeColor="background1" w:themeShade="80"/>
          <w:sz w:val="22"/>
          <w:szCs w:val="22"/>
          <w:lang w:val="en-GB"/>
        </w:rPr>
        <w:t xml:space="preserve">provides for what is referred to as the ‘Safe Conduct Rule’ which is basically a limitation on the court’s jurisdiction over the debtor’s assets.  It aims to ensure that the court does not assume jurisdiction over all the debtor’s assets on the sole ground that the foreign representative made and recognition application.  However, the limitation is not absolute and only provides immunity to the extent that it is necessary to make access to the court a meaningful proposition.  </w:t>
      </w:r>
    </w:p>
    <w:p w14:paraId="1B9F0AAC" w14:textId="4244770E" w:rsidR="00165523" w:rsidRDefault="00165523" w:rsidP="00165523">
      <w:pPr>
        <w:ind w:left="720" w:hanging="720"/>
        <w:jc w:val="both"/>
        <w:rPr>
          <w:rFonts w:ascii="Avenir Next" w:hAnsi="Avenir Next" w:cs="Arial"/>
          <w:color w:val="808080" w:themeColor="background1" w:themeShade="80"/>
          <w:sz w:val="22"/>
          <w:szCs w:val="22"/>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C7DEBA1" w:rsidR="00867A8F" w:rsidRDefault="001836A6"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19 provides the court with the power to grant pre-recognition relief</w:t>
      </w:r>
      <w:r w:rsidR="007E5682">
        <w:rPr>
          <w:rFonts w:ascii="Avenir Next" w:hAnsi="Avenir Next" w:cs="Arial"/>
          <w:color w:val="808080" w:themeColor="background1" w:themeShade="80"/>
          <w:sz w:val="22"/>
          <w:szCs w:val="22"/>
          <w:lang w:val="en-GB"/>
        </w:rPr>
        <w:t xml:space="preserve">, i.e. relief while an </w:t>
      </w:r>
      <w:r w:rsidR="007E5682" w:rsidRPr="00364724">
        <w:rPr>
          <w:rFonts w:ascii="Avenir Next" w:hAnsi="Avenir Next" w:cs="Arial"/>
          <w:color w:val="808080" w:themeColor="background1" w:themeShade="80"/>
          <w:sz w:val="22"/>
          <w:szCs w:val="22"/>
          <w:lang w:val="en-GB"/>
        </w:rPr>
        <w:t xml:space="preserve">Article 17 </w:t>
      </w:r>
      <w:r w:rsidR="007E5682">
        <w:rPr>
          <w:rFonts w:ascii="Avenir Next" w:hAnsi="Avenir Next" w:cs="Arial"/>
          <w:color w:val="808080" w:themeColor="background1" w:themeShade="80"/>
          <w:sz w:val="22"/>
          <w:szCs w:val="22"/>
          <w:lang w:val="en-GB"/>
        </w:rPr>
        <w:t>r</w:t>
      </w:r>
      <w:r w:rsidR="007E5682" w:rsidRPr="00364724">
        <w:rPr>
          <w:rFonts w:ascii="Avenir Next" w:hAnsi="Avenir Next" w:cs="Arial"/>
          <w:color w:val="808080" w:themeColor="background1" w:themeShade="80"/>
          <w:sz w:val="22"/>
          <w:szCs w:val="22"/>
          <w:lang w:val="en-GB"/>
        </w:rPr>
        <w:t xml:space="preserve">ecognition application is pending.  </w:t>
      </w:r>
      <w:r w:rsidR="00526367">
        <w:rPr>
          <w:rFonts w:ascii="Avenir Next" w:hAnsi="Avenir Next" w:cs="Arial"/>
          <w:color w:val="808080" w:themeColor="background1" w:themeShade="80"/>
          <w:sz w:val="22"/>
          <w:szCs w:val="22"/>
          <w:lang w:val="en-GB"/>
        </w:rPr>
        <w:t xml:space="preserve">This provision is useful where relief is urgently </w:t>
      </w:r>
      <w:r w:rsidR="00526367">
        <w:rPr>
          <w:rFonts w:ascii="Avenir Next" w:hAnsi="Avenir Next" w:cs="Arial"/>
          <w:color w:val="808080" w:themeColor="background1" w:themeShade="80"/>
          <w:sz w:val="22"/>
          <w:szCs w:val="22"/>
          <w:lang w:val="en-GB"/>
        </w:rPr>
        <w:lastRenderedPageBreak/>
        <w:t xml:space="preserve">needed to </w:t>
      </w:r>
      <w:r w:rsidR="00526367" w:rsidRPr="00526367">
        <w:rPr>
          <w:rFonts w:ascii="Avenir Next" w:hAnsi="Avenir Next" w:cs="Arial"/>
          <w:color w:val="808080" w:themeColor="background1" w:themeShade="80"/>
          <w:sz w:val="22"/>
          <w:szCs w:val="22"/>
          <w:lang w:val="en-GB"/>
        </w:rPr>
        <w:t xml:space="preserve">protect the assets of the debtor or the interests of </w:t>
      </w:r>
      <w:r w:rsidR="00526367">
        <w:rPr>
          <w:rFonts w:ascii="Avenir Next" w:hAnsi="Avenir Next" w:cs="Arial"/>
          <w:color w:val="808080" w:themeColor="background1" w:themeShade="80"/>
          <w:sz w:val="22"/>
          <w:szCs w:val="22"/>
          <w:lang w:val="en-GB"/>
        </w:rPr>
        <w:t xml:space="preserve">its </w:t>
      </w:r>
      <w:r w:rsidR="00526367" w:rsidRPr="00526367">
        <w:rPr>
          <w:rFonts w:ascii="Avenir Next" w:hAnsi="Avenir Next" w:cs="Arial"/>
          <w:color w:val="808080" w:themeColor="background1" w:themeShade="80"/>
          <w:sz w:val="22"/>
          <w:szCs w:val="22"/>
          <w:lang w:val="en-GB"/>
        </w:rPr>
        <w:t>creditors</w:t>
      </w:r>
      <w:r w:rsidR="00526367">
        <w:rPr>
          <w:rFonts w:ascii="Avenir Next" w:hAnsi="Avenir Next" w:cs="Arial"/>
          <w:color w:val="808080" w:themeColor="background1" w:themeShade="80"/>
          <w:sz w:val="22"/>
          <w:szCs w:val="22"/>
          <w:lang w:val="en-GB"/>
        </w:rPr>
        <w:t xml:space="preserve">.  </w:t>
      </w:r>
      <w:r w:rsidR="007E5682">
        <w:rPr>
          <w:rFonts w:ascii="Avenir Next" w:hAnsi="Avenir Next" w:cs="Arial"/>
          <w:color w:val="808080" w:themeColor="background1" w:themeShade="80"/>
          <w:sz w:val="22"/>
          <w:szCs w:val="22"/>
          <w:lang w:val="en-GB"/>
        </w:rPr>
        <w:t>These pre-recognition relief</w:t>
      </w:r>
      <w:r w:rsidR="00FC42B9">
        <w:rPr>
          <w:rFonts w:ascii="Avenir Next" w:hAnsi="Avenir Next" w:cs="Arial"/>
          <w:color w:val="808080" w:themeColor="background1" w:themeShade="80"/>
          <w:sz w:val="22"/>
          <w:szCs w:val="22"/>
          <w:lang w:val="en-GB"/>
        </w:rPr>
        <w:t>s</w:t>
      </w:r>
      <w:r w:rsidR="007E5682">
        <w:rPr>
          <w:rFonts w:ascii="Avenir Next" w:hAnsi="Avenir Next" w:cs="Arial"/>
          <w:color w:val="808080" w:themeColor="background1" w:themeShade="80"/>
          <w:sz w:val="22"/>
          <w:szCs w:val="22"/>
          <w:lang w:val="en-GB"/>
        </w:rPr>
        <w:t xml:space="preserve"> are discretionary and may include:</w:t>
      </w:r>
    </w:p>
    <w:p w14:paraId="36C0ECFF" w14:textId="77777777" w:rsidR="007E5682" w:rsidRDefault="007E5682" w:rsidP="007E5682">
      <w:pPr>
        <w:ind w:left="720"/>
        <w:jc w:val="both"/>
        <w:rPr>
          <w:rFonts w:ascii="Avenir Next" w:hAnsi="Avenir Next" w:cs="Arial"/>
          <w:color w:val="808080" w:themeColor="background1" w:themeShade="80"/>
          <w:sz w:val="22"/>
          <w:szCs w:val="22"/>
          <w:lang w:val="en-GB"/>
        </w:rPr>
      </w:pPr>
    </w:p>
    <w:p w14:paraId="6E6E3DD1" w14:textId="77777777" w:rsidR="007E5682" w:rsidRPr="007E5682" w:rsidRDefault="007E5682" w:rsidP="007E5682">
      <w:pPr>
        <w:pStyle w:val="ListParagraph"/>
        <w:numPr>
          <w:ilvl w:val="0"/>
          <w:numId w:val="25"/>
        </w:numPr>
        <w:jc w:val="both"/>
        <w:rPr>
          <w:rFonts w:ascii="Avenir Next" w:hAnsi="Avenir Next" w:cs="Arial"/>
          <w:color w:val="808080" w:themeColor="background1" w:themeShade="80"/>
          <w:sz w:val="22"/>
          <w:szCs w:val="22"/>
          <w:lang w:val="en-GB"/>
        </w:rPr>
      </w:pPr>
      <w:r w:rsidRPr="007E5682">
        <w:rPr>
          <w:rFonts w:ascii="Avenir Next" w:hAnsi="Avenir Next" w:cs="Arial"/>
          <w:color w:val="808080" w:themeColor="background1" w:themeShade="80"/>
          <w:sz w:val="22"/>
          <w:szCs w:val="22"/>
          <w:lang w:val="en-GB"/>
        </w:rPr>
        <w:t xml:space="preserve">Staying execution against the debtor’s assets; </w:t>
      </w:r>
    </w:p>
    <w:p w14:paraId="3B76E889" w14:textId="77777777" w:rsidR="007E5682" w:rsidRPr="007E5682" w:rsidRDefault="007E5682" w:rsidP="007E5682">
      <w:pPr>
        <w:pStyle w:val="ListParagraph"/>
        <w:numPr>
          <w:ilvl w:val="0"/>
          <w:numId w:val="25"/>
        </w:numPr>
        <w:jc w:val="both"/>
        <w:rPr>
          <w:rFonts w:ascii="Avenir Next" w:hAnsi="Avenir Next" w:cs="Arial"/>
          <w:color w:val="808080" w:themeColor="background1" w:themeShade="80"/>
          <w:sz w:val="22"/>
          <w:szCs w:val="22"/>
          <w:lang w:val="en-GB"/>
        </w:rPr>
      </w:pPr>
      <w:r w:rsidRPr="007E5682">
        <w:rPr>
          <w:rFonts w:ascii="Avenir Next" w:hAnsi="Avenir Next" w:cs="Arial"/>
          <w:color w:val="808080" w:themeColor="background1" w:themeShade="80"/>
          <w:sz w:val="22"/>
          <w:szCs w:val="22"/>
          <w:lang w:val="en-GB"/>
        </w:rPr>
        <w:t xml:space="preserve">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701ED0CF" w14:textId="06CB8E18" w:rsidR="007E5682" w:rsidRPr="007E5682" w:rsidRDefault="007E5682" w:rsidP="007E5682">
      <w:pPr>
        <w:pStyle w:val="ListParagraph"/>
        <w:numPr>
          <w:ilvl w:val="0"/>
          <w:numId w:val="25"/>
        </w:numPr>
        <w:jc w:val="both"/>
        <w:rPr>
          <w:rFonts w:ascii="Avenir Next" w:hAnsi="Avenir Next" w:cs="Arial"/>
          <w:color w:val="808080" w:themeColor="background1" w:themeShade="80"/>
          <w:sz w:val="22"/>
          <w:szCs w:val="22"/>
          <w:lang w:val="en-GB"/>
        </w:rPr>
      </w:pPr>
      <w:r w:rsidRPr="007E5682">
        <w:rPr>
          <w:rFonts w:ascii="Avenir Next" w:hAnsi="Avenir Next" w:cs="Arial"/>
          <w:color w:val="808080" w:themeColor="background1" w:themeShade="80"/>
          <w:sz w:val="22"/>
          <w:szCs w:val="22"/>
          <w:lang w:val="en-GB"/>
        </w:rPr>
        <w:t xml:space="preserve">Any relief mentioned in paragraph 1 (c), (d) and (g) of </w:t>
      </w:r>
      <w:r w:rsidR="00FC42B9" w:rsidRPr="007E5682">
        <w:rPr>
          <w:rFonts w:ascii="Avenir Next" w:hAnsi="Avenir Next" w:cs="Arial"/>
          <w:color w:val="808080" w:themeColor="background1" w:themeShade="80"/>
          <w:sz w:val="22"/>
          <w:szCs w:val="22"/>
          <w:lang w:val="en-GB"/>
        </w:rPr>
        <w:t xml:space="preserve">Article </w:t>
      </w:r>
      <w:r w:rsidRPr="007E5682">
        <w:rPr>
          <w:rFonts w:ascii="Avenir Next" w:hAnsi="Avenir Next" w:cs="Arial"/>
          <w:color w:val="808080" w:themeColor="background1" w:themeShade="80"/>
          <w:sz w:val="22"/>
          <w:szCs w:val="22"/>
          <w:lang w:val="en-GB"/>
        </w:rPr>
        <w:t>21.</w:t>
      </w:r>
    </w:p>
    <w:p w14:paraId="1F4A8FF0" w14:textId="0C45407F" w:rsidR="00FC42B9" w:rsidRDefault="00FC42B9" w:rsidP="007E5682">
      <w:pPr>
        <w:ind w:left="720"/>
        <w:jc w:val="both"/>
        <w:rPr>
          <w:rFonts w:ascii="Avenir Next" w:hAnsi="Avenir Next" w:cs="Arial"/>
          <w:color w:val="808080" w:themeColor="background1" w:themeShade="80"/>
          <w:sz w:val="22"/>
          <w:szCs w:val="22"/>
          <w:lang w:val="en-GB"/>
        </w:rPr>
      </w:pPr>
    </w:p>
    <w:p w14:paraId="6B78ADA1" w14:textId="6F96667B" w:rsidR="00526367" w:rsidRPr="009E0161" w:rsidRDefault="009E0161" w:rsidP="009E0161">
      <w:pPr>
        <w:ind w:left="720"/>
        <w:jc w:val="both"/>
        <w:rPr>
          <w:rFonts w:ascii="Avenir Next" w:hAnsi="Avenir Next" w:cs="Arial"/>
          <w:color w:val="808080" w:themeColor="background1" w:themeShade="80"/>
          <w:sz w:val="22"/>
          <w:szCs w:val="22"/>
          <w:lang w:val="en-GB"/>
        </w:rPr>
      </w:pPr>
      <w:r w:rsidRPr="009E0161">
        <w:rPr>
          <w:rFonts w:ascii="Avenir Next" w:hAnsi="Avenir Next" w:cs="Arial"/>
          <w:color w:val="808080" w:themeColor="background1" w:themeShade="80"/>
          <w:sz w:val="22"/>
          <w:szCs w:val="22"/>
          <w:lang w:val="en-GB"/>
        </w:rPr>
        <w:t xml:space="preserve">Although Article 19 is discretionary it is not without limitations.  The relief must be </w:t>
      </w:r>
      <w:r w:rsidRPr="009E0161">
        <w:rPr>
          <w:rFonts w:ascii="Avenir Next" w:hAnsi="Avenir Next" w:cs="Arial"/>
          <w:color w:val="808080" w:themeColor="background1" w:themeShade="80"/>
          <w:sz w:val="22"/>
          <w:szCs w:val="22"/>
          <w:lang w:val="en-GB"/>
        </w:rPr>
        <w:t>necessary to protect the assets of the debtor or the interests of the creditors</w:t>
      </w:r>
      <w:r w:rsidR="00526367">
        <w:rPr>
          <w:rFonts w:ascii="Avenir Next" w:hAnsi="Avenir Next" w:cs="Arial"/>
          <w:color w:val="808080" w:themeColor="background1" w:themeShade="80"/>
          <w:sz w:val="22"/>
          <w:szCs w:val="22"/>
          <w:lang w:val="en-GB"/>
        </w:rPr>
        <w:t>.  Furthermore p</w:t>
      </w:r>
      <w:r w:rsidR="00526367" w:rsidRPr="003B17C8">
        <w:rPr>
          <w:rFonts w:ascii="Avenir Next" w:hAnsi="Avenir Next" w:cs="Arial"/>
          <w:color w:val="808080" w:themeColor="background1" w:themeShade="80"/>
          <w:sz w:val="22"/>
          <w:szCs w:val="22"/>
          <w:lang w:val="en-GB"/>
        </w:rPr>
        <w:t>aragraph</w:t>
      </w:r>
      <w:r w:rsidR="00526367" w:rsidRPr="003B17C8">
        <w:rPr>
          <w:rFonts w:ascii="Avenir Next" w:hAnsi="Avenir Next" w:cs="Arial"/>
          <w:color w:val="808080" w:themeColor="background1" w:themeShade="80"/>
          <w:sz w:val="22"/>
          <w:szCs w:val="22"/>
          <w:lang w:val="en-GB"/>
        </w:rPr>
        <w:t xml:space="preserve"> 4</w:t>
      </w:r>
      <w:r w:rsidR="004D3211">
        <w:rPr>
          <w:rFonts w:ascii="Avenir Next" w:hAnsi="Avenir Next" w:cs="Arial"/>
          <w:color w:val="808080" w:themeColor="background1" w:themeShade="80"/>
          <w:sz w:val="22"/>
          <w:szCs w:val="22"/>
          <w:lang w:val="en-GB"/>
        </w:rPr>
        <w:t xml:space="preserve"> requires the court to consider whether granting such relief will interfere </w:t>
      </w:r>
      <w:r w:rsidR="003B17C8" w:rsidRPr="003B17C8">
        <w:rPr>
          <w:rFonts w:ascii="Avenir Next" w:hAnsi="Avenir Next" w:cs="Arial"/>
          <w:color w:val="808080" w:themeColor="background1" w:themeShade="80"/>
          <w:sz w:val="22"/>
          <w:szCs w:val="22"/>
          <w:lang w:val="en-GB"/>
        </w:rPr>
        <w:t>with the administration of a foreign main procee</w:t>
      </w:r>
      <w:r w:rsidR="003B17C8" w:rsidRPr="003B17C8">
        <w:rPr>
          <w:rFonts w:ascii="Avenir Next" w:hAnsi="Avenir Next" w:cs="Arial"/>
          <w:color w:val="808080" w:themeColor="background1" w:themeShade="80"/>
          <w:sz w:val="22"/>
          <w:szCs w:val="22"/>
          <w:lang w:val="en-GB"/>
        </w:rPr>
        <w:t xml:space="preserve">ding; the aim being to </w:t>
      </w:r>
      <w:r w:rsidR="00526367" w:rsidRPr="003B17C8">
        <w:rPr>
          <w:rFonts w:ascii="Avenir Next" w:hAnsi="Avenir Next" w:cs="Arial"/>
          <w:color w:val="808080" w:themeColor="background1" w:themeShade="80"/>
          <w:sz w:val="22"/>
          <w:szCs w:val="22"/>
          <w:lang w:val="en-GB"/>
        </w:rPr>
        <w:t>foster coordination of pre-recognition relief with any foreign main proceedings</w:t>
      </w:r>
      <w:r w:rsidR="003B17C8" w:rsidRPr="003B17C8">
        <w:rPr>
          <w:rFonts w:ascii="Avenir Next" w:hAnsi="Avenir Next" w:cs="Arial"/>
          <w:color w:val="808080" w:themeColor="background1" w:themeShade="80"/>
          <w:sz w:val="22"/>
          <w:szCs w:val="22"/>
          <w:lang w:val="en-GB"/>
        </w:rPr>
        <w:t>.</w:t>
      </w:r>
      <w:r w:rsidR="004D3211">
        <w:rPr>
          <w:rFonts w:ascii="Avenir Next" w:hAnsi="Avenir Next" w:cs="Arial"/>
          <w:color w:val="808080" w:themeColor="background1" w:themeShade="80"/>
          <w:sz w:val="22"/>
          <w:szCs w:val="22"/>
          <w:lang w:val="en-GB"/>
        </w:rPr>
        <w:t xml:space="preserve">  If there will be an interference the court can refuse to grant the relief. </w:t>
      </w:r>
    </w:p>
    <w:p w14:paraId="57C7FE3C" w14:textId="2E71232F" w:rsidR="009E0161" w:rsidRDefault="009E0161" w:rsidP="007E5682">
      <w:pPr>
        <w:ind w:left="720"/>
        <w:jc w:val="both"/>
        <w:rPr>
          <w:rFonts w:ascii="Avenir Next" w:hAnsi="Avenir Next" w:cs="Arial"/>
          <w:color w:val="808080" w:themeColor="background1" w:themeShade="80"/>
          <w:sz w:val="22"/>
          <w:szCs w:val="22"/>
          <w:lang w:val="en-GB"/>
        </w:rPr>
      </w:pPr>
    </w:p>
    <w:p w14:paraId="13B1D62F" w14:textId="308B222B" w:rsidR="00FC42B9" w:rsidRDefault="00FC42B9"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Conditions for application of Article 19 are:</w:t>
      </w:r>
    </w:p>
    <w:p w14:paraId="3A9F3B89" w14:textId="64AA980C" w:rsidR="00FC42B9" w:rsidRPr="00FC42B9" w:rsidRDefault="00FC42B9" w:rsidP="00FC42B9">
      <w:pPr>
        <w:pStyle w:val="ListParagraph"/>
        <w:numPr>
          <w:ilvl w:val="0"/>
          <w:numId w:val="26"/>
        </w:numPr>
        <w:jc w:val="both"/>
        <w:rPr>
          <w:rFonts w:ascii="Avenir Next" w:hAnsi="Avenir Next" w:cs="Arial"/>
          <w:color w:val="808080" w:themeColor="background1" w:themeShade="80"/>
          <w:sz w:val="22"/>
          <w:szCs w:val="22"/>
          <w:lang w:val="en-GB"/>
        </w:rPr>
      </w:pPr>
      <w:r w:rsidRPr="00FC42B9">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n</w:t>
      </w:r>
      <w:r w:rsidRPr="00FC42B9">
        <w:rPr>
          <w:rFonts w:ascii="Avenir Next" w:hAnsi="Avenir Next" w:cs="Arial"/>
          <w:color w:val="808080" w:themeColor="background1" w:themeShade="80"/>
          <w:sz w:val="22"/>
          <w:szCs w:val="22"/>
          <w:lang w:val="en-GB"/>
        </w:rPr>
        <w:t xml:space="preserve"> Article 17 Recognition application must be made</w:t>
      </w:r>
    </w:p>
    <w:p w14:paraId="4D5185AD" w14:textId="01C68A19" w:rsidR="00FC42B9" w:rsidRPr="00FC42B9" w:rsidRDefault="00FC42B9" w:rsidP="00FC42B9">
      <w:pPr>
        <w:pStyle w:val="ListParagraph"/>
        <w:numPr>
          <w:ilvl w:val="0"/>
          <w:numId w:val="26"/>
        </w:numPr>
        <w:jc w:val="both"/>
        <w:rPr>
          <w:rFonts w:ascii="Avenir Next" w:hAnsi="Avenir Next" w:cs="Arial"/>
          <w:color w:val="808080" w:themeColor="background1" w:themeShade="80"/>
          <w:sz w:val="22"/>
          <w:szCs w:val="22"/>
          <w:lang w:val="en-GB"/>
        </w:rPr>
      </w:pPr>
      <w:r w:rsidRPr="00FC42B9">
        <w:rPr>
          <w:rFonts w:ascii="Avenir Next" w:hAnsi="Avenir Next" w:cs="Arial"/>
          <w:color w:val="808080" w:themeColor="background1" w:themeShade="80"/>
          <w:sz w:val="22"/>
          <w:szCs w:val="22"/>
          <w:lang w:val="en-GB"/>
        </w:rPr>
        <w:t xml:space="preserve">court must satisfy itself that the interest of debtor’s creditors and other interested parties are adequately protected. </w:t>
      </w:r>
    </w:p>
    <w:p w14:paraId="21B5B7A4" w14:textId="5352E412" w:rsidR="00FC42B9" w:rsidRDefault="00FC42B9" w:rsidP="007E5682">
      <w:pPr>
        <w:ind w:left="720"/>
        <w:jc w:val="both"/>
        <w:rPr>
          <w:rFonts w:ascii="Avenir Next" w:hAnsi="Avenir Next" w:cs="Arial"/>
          <w:color w:val="808080" w:themeColor="background1" w:themeShade="80"/>
          <w:sz w:val="22"/>
          <w:szCs w:val="22"/>
          <w:lang w:val="en-GB"/>
        </w:rPr>
      </w:pPr>
    </w:p>
    <w:p w14:paraId="0FAC5DC6" w14:textId="05EE3163" w:rsidR="007E5682" w:rsidRDefault="007E5682"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successful </w:t>
      </w:r>
      <w:r w:rsidR="00FC42B9">
        <w:rPr>
          <w:rFonts w:ascii="Avenir Next" w:hAnsi="Avenir Next" w:cs="Arial"/>
          <w:color w:val="808080" w:themeColor="background1" w:themeShade="80"/>
          <w:sz w:val="22"/>
          <w:szCs w:val="22"/>
          <w:lang w:val="en-GB"/>
        </w:rPr>
        <w:t xml:space="preserve">Article 17 </w:t>
      </w:r>
      <w:r>
        <w:rPr>
          <w:rFonts w:ascii="Avenir Next" w:hAnsi="Avenir Next" w:cs="Arial"/>
          <w:color w:val="808080" w:themeColor="background1" w:themeShade="80"/>
          <w:sz w:val="22"/>
          <w:szCs w:val="22"/>
          <w:lang w:val="en-GB"/>
        </w:rPr>
        <w:t xml:space="preserve">recognition application </w:t>
      </w:r>
      <w:r w:rsidR="009E0161">
        <w:rPr>
          <w:rFonts w:ascii="Avenir Next" w:hAnsi="Avenir Next" w:cs="Arial"/>
          <w:color w:val="808080" w:themeColor="background1" w:themeShade="80"/>
          <w:sz w:val="22"/>
          <w:szCs w:val="22"/>
          <w:lang w:val="en-GB"/>
        </w:rPr>
        <w:t xml:space="preserve">gives the foreign proceedings certain automatic relief under Article 20 </w:t>
      </w:r>
      <w:r w:rsidR="009E0161">
        <w:rPr>
          <w:rFonts w:ascii="Avenir Next" w:hAnsi="Avenir Next" w:cs="Arial"/>
          <w:color w:val="808080" w:themeColor="background1" w:themeShade="80"/>
          <w:sz w:val="22"/>
          <w:szCs w:val="22"/>
          <w:lang w:val="en-GB"/>
        </w:rPr>
        <w:t xml:space="preserve">and will </w:t>
      </w:r>
      <w:r w:rsidR="006C0299">
        <w:rPr>
          <w:rFonts w:ascii="Avenir Next" w:hAnsi="Avenir Next" w:cs="Arial"/>
          <w:color w:val="808080" w:themeColor="background1" w:themeShade="80"/>
          <w:sz w:val="22"/>
          <w:szCs w:val="22"/>
          <w:lang w:val="en-GB"/>
        </w:rPr>
        <w:t xml:space="preserve">terminate </w:t>
      </w:r>
      <w:r w:rsidR="009E0161">
        <w:rPr>
          <w:rFonts w:ascii="Avenir Next" w:hAnsi="Avenir Next" w:cs="Arial"/>
          <w:color w:val="808080" w:themeColor="background1" w:themeShade="80"/>
          <w:sz w:val="22"/>
          <w:szCs w:val="22"/>
          <w:lang w:val="en-GB"/>
        </w:rPr>
        <w:t>the operation of Article</w:t>
      </w:r>
      <w:r w:rsidR="006C0299">
        <w:rPr>
          <w:rFonts w:ascii="Avenir Next" w:hAnsi="Avenir Next" w:cs="Arial"/>
          <w:color w:val="808080" w:themeColor="background1" w:themeShade="80"/>
          <w:sz w:val="22"/>
          <w:szCs w:val="22"/>
          <w:lang w:val="en-GB"/>
        </w:rPr>
        <w:t xml:space="preserve"> 19.</w:t>
      </w:r>
    </w:p>
    <w:p w14:paraId="63702124" w14:textId="77777777" w:rsidR="006C5C07" w:rsidRDefault="006C5C07" w:rsidP="007E5682">
      <w:pPr>
        <w:ind w:left="720"/>
        <w:jc w:val="both"/>
        <w:rPr>
          <w:rFonts w:ascii="Avenir Next" w:hAnsi="Avenir Next" w:cs="Arial"/>
          <w:color w:val="808080" w:themeColor="background1" w:themeShade="80"/>
          <w:sz w:val="22"/>
          <w:szCs w:val="22"/>
          <w:lang w:val="en-GB"/>
        </w:rPr>
      </w:pPr>
    </w:p>
    <w:p w14:paraId="0894C712" w14:textId="591C057A" w:rsidR="002B5605" w:rsidRDefault="00FC42B9"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w:t>
      </w:r>
      <w:r w:rsidR="006C0299">
        <w:rPr>
          <w:rFonts w:ascii="Avenir Next" w:hAnsi="Avenir Next" w:cs="Arial"/>
          <w:color w:val="808080" w:themeColor="background1" w:themeShade="80"/>
          <w:sz w:val="22"/>
          <w:szCs w:val="22"/>
          <w:lang w:val="en-GB"/>
        </w:rPr>
        <w:t>21</w:t>
      </w:r>
      <w:r>
        <w:rPr>
          <w:rFonts w:ascii="Avenir Next" w:hAnsi="Avenir Next" w:cs="Arial"/>
          <w:color w:val="808080" w:themeColor="background1" w:themeShade="80"/>
          <w:sz w:val="22"/>
          <w:szCs w:val="22"/>
          <w:lang w:val="en-GB"/>
        </w:rPr>
        <w:t xml:space="preserve"> provides the court with discretionary power to grant </w:t>
      </w:r>
      <w:r w:rsidR="00A7283C">
        <w:rPr>
          <w:rFonts w:ascii="Avenir Next" w:hAnsi="Avenir Next" w:cs="Arial"/>
          <w:color w:val="808080" w:themeColor="background1" w:themeShade="80"/>
          <w:sz w:val="22"/>
          <w:szCs w:val="22"/>
          <w:lang w:val="en-GB"/>
        </w:rPr>
        <w:t xml:space="preserve">post-recognition </w:t>
      </w:r>
      <w:r>
        <w:rPr>
          <w:rFonts w:ascii="Avenir Next" w:hAnsi="Avenir Next" w:cs="Arial"/>
          <w:color w:val="808080" w:themeColor="background1" w:themeShade="80"/>
          <w:sz w:val="22"/>
          <w:szCs w:val="22"/>
          <w:lang w:val="en-GB"/>
        </w:rPr>
        <w:t>relief</w:t>
      </w:r>
      <w:r w:rsidR="00A7283C">
        <w:rPr>
          <w:rFonts w:ascii="Avenir Next" w:hAnsi="Avenir Next" w:cs="Arial"/>
          <w:color w:val="808080" w:themeColor="background1" w:themeShade="80"/>
          <w:sz w:val="22"/>
          <w:szCs w:val="22"/>
          <w:lang w:val="en-GB"/>
        </w:rPr>
        <w:t xml:space="preserve">, i.e. relief </w:t>
      </w:r>
      <w:r>
        <w:rPr>
          <w:rFonts w:ascii="Avenir Next" w:hAnsi="Avenir Next" w:cs="Arial"/>
          <w:color w:val="808080" w:themeColor="background1" w:themeShade="80"/>
          <w:sz w:val="22"/>
          <w:szCs w:val="22"/>
          <w:lang w:val="en-GB"/>
        </w:rPr>
        <w:t xml:space="preserve">following a successful recognition application.  </w:t>
      </w:r>
      <w:r w:rsidR="002B5605">
        <w:rPr>
          <w:rFonts w:ascii="Avenir Next" w:hAnsi="Avenir Next" w:cs="Arial"/>
          <w:color w:val="808080" w:themeColor="background1" w:themeShade="80"/>
          <w:sz w:val="22"/>
          <w:szCs w:val="22"/>
          <w:lang w:val="en-GB"/>
        </w:rPr>
        <w:t xml:space="preserve">Note however, that Article 20 relief will become applicable and the Article 21 provision may only be applicable to the </w:t>
      </w:r>
      <w:r w:rsidR="002B5605" w:rsidRPr="002B5605">
        <w:rPr>
          <w:rFonts w:ascii="Avenir Next" w:hAnsi="Avenir Next" w:cs="Arial"/>
          <w:color w:val="808080" w:themeColor="background1" w:themeShade="80"/>
          <w:sz w:val="22"/>
          <w:szCs w:val="22"/>
          <w:lang w:val="en-GB"/>
        </w:rPr>
        <w:t xml:space="preserve">extent </w:t>
      </w:r>
      <w:r w:rsidR="002B5605" w:rsidRPr="002B5605">
        <w:rPr>
          <w:rFonts w:ascii="Avenir Next" w:hAnsi="Avenir Next" w:cs="Arial"/>
          <w:color w:val="808080" w:themeColor="background1" w:themeShade="80"/>
          <w:sz w:val="22"/>
          <w:szCs w:val="22"/>
          <w:lang w:val="en-GB"/>
        </w:rPr>
        <w:t xml:space="preserve">that certain </w:t>
      </w:r>
      <w:r w:rsidR="004D3211">
        <w:rPr>
          <w:rFonts w:ascii="Avenir Next" w:hAnsi="Avenir Next" w:cs="Arial"/>
          <w:color w:val="808080" w:themeColor="background1" w:themeShade="80"/>
          <w:sz w:val="22"/>
          <w:szCs w:val="22"/>
          <w:lang w:val="en-GB"/>
        </w:rPr>
        <w:t xml:space="preserve">relief </w:t>
      </w:r>
      <w:r w:rsidR="002B5605" w:rsidRPr="002B5605">
        <w:rPr>
          <w:rFonts w:ascii="Avenir Next" w:hAnsi="Avenir Next" w:cs="Arial"/>
          <w:color w:val="808080" w:themeColor="background1" w:themeShade="80"/>
          <w:sz w:val="22"/>
          <w:szCs w:val="22"/>
          <w:lang w:val="en-GB"/>
        </w:rPr>
        <w:t xml:space="preserve">was not </w:t>
      </w:r>
      <w:r w:rsidR="004D3211">
        <w:rPr>
          <w:rFonts w:ascii="Avenir Next" w:hAnsi="Avenir Next" w:cs="Arial"/>
          <w:color w:val="808080" w:themeColor="background1" w:themeShade="80"/>
          <w:sz w:val="22"/>
          <w:szCs w:val="22"/>
          <w:lang w:val="en-GB"/>
        </w:rPr>
        <w:t xml:space="preserve">automatically </w:t>
      </w:r>
      <w:r w:rsidR="002B5605" w:rsidRPr="002B5605">
        <w:rPr>
          <w:rFonts w:ascii="Avenir Next" w:hAnsi="Avenir Next" w:cs="Arial"/>
          <w:color w:val="808080" w:themeColor="background1" w:themeShade="80"/>
          <w:sz w:val="22"/>
          <w:szCs w:val="22"/>
          <w:lang w:val="en-GB"/>
        </w:rPr>
        <w:t xml:space="preserve">applicable </w:t>
      </w:r>
      <w:r w:rsidR="002B5605" w:rsidRPr="002B5605">
        <w:rPr>
          <w:rFonts w:ascii="Avenir Next" w:hAnsi="Avenir Next" w:cs="Arial"/>
          <w:color w:val="808080" w:themeColor="background1" w:themeShade="80"/>
          <w:sz w:val="22"/>
          <w:szCs w:val="22"/>
          <w:lang w:val="en-GB"/>
        </w:rPr>
        <w:t xml:space="preserve">under </w:t>
      </w:r>
      <w:r w:rsidR="002B5605" w:rsidRPr="002B5605">
        <w:rPr>
          <w:rFonts w:ascii="Avenir Next" w:hAnsi="Avenir Next" w:cs="Arial"/>
          <w:color w:val="808080" w:themeColor="background1" w:themeShade="80"/>
          <w:sz w:val="22"/>
          <w:szCs w:val="22"/>
          <w:lang w:val="en-GB"/>
        </w:rPr>
        <w:t>A</w:t>
      </w:r>
      <w:r w:rsidR="002B5605" w:rsidRPr="002B5605">
        <w:rPr>
          <w:rFonts w:ascii="Avenir Next" w:hAnsi="Avenir Next" w:cs="Arial"/>
          <w:color w:val="808080" w:themeColor="background1" w:themeShade="80"/>
          <w:sz w:val="22"/>
          <w:szCs w:val="22"/>
          <w:lang w:val="en-GB"/>
        </w:rPr>
        <w:t>rticle 20</w:t>
      </w:r>
      <w:r w:rsidR="002B5605" w:rsidRPr="002B5605">
        <w:rPr>
          <w:rFonts w:ascii="Avenir Next" w:hAnsi="Avenir Next" w:cs="Arial"/>
          <w:color w:val="808080" w:themeColor="background1" w:themeShade="80"/>
          <w:sz w:val="22"/>
          <w:szCs w:val="22"/>
          <w:lang w:val="en-GB"/>
        </w:rPr>
        <w:t>.</w:t>
      </w:r>
      <w:r w:rsidR="002B5605">
        <w:rPr>
          <w:rFonts w:ascii="Avenir Next" w:hAnsi="Avenir Next" w:cs="Arial"/>
          <w:color w:val="808080" w:themeColor="background1" w:themeShade="80"/>
          <w:sz w:val="22"/>
          <w:szCs w:val="22"/>
          <w:lang w:val="en-GB"/>
        </w:rPr>
        <w:t xml:space="preserve">  </w:t>
      </w:r>
    </w:p>
    <w:p w14:paraId="44D83FE2" w14:textId="77777777" w:rsidR="002B5605" w:rsidRDefault="002B5605" w:rsidP="007E5682">
      <w:pPr>
        <w:ind w:left="720"/>
        <w:jc w:val="both"/>
        <w:rPr>
          <w:rFonts w:ascii="Avenir Next" w:hAnsi="Avenir Next" w:cs="Arial"/>
          <w:color w:val="808080" w:themeColor="background1" w:themeShade="80"/>
          <w:sz w:val="22"/>
          <w:szCs w:val="22"/>
          <w:lang w:val="en-GB"/>
        </w:rPr>
      </w:pPr>
    </w:p>
    <w:p w14:paraId="7120D09E" w14:textId="4EA5AC85" w:rsidR="00A7283C" w:rsidRDefault="00FC42B9"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Article 21 relief is</w:t>
      </w:r>
      <w:r w:rsidR="006C0299">
        <w:rPr>
          <w:rFonts w:ascii="Avenir Next" w:hAnsi="Avenir Next" w:cs="Arial"/>
          <w:color w:val="808080" w:themeColor="background1" w:themeShade="80"/>
          <w:sz w:val="22"/>
          <w:szCs w:val="22"/>
          <w:lang w:val="en-GB"/>
        </w:rPr>
        <w:t xml:space="preserve"> broader</w:t>
      </w:r>
      <w:r>
        <w:rPr>
          <w:rFonts w:ascii="Avenir Next" w:hAnsi="Avenir Next" w:cs="Arial"/>
          <w:color w:val="808080" w:themeColor="background1" w:themeShade="80"/>
          <w:sz w:val="22"/>
          <w:szCs w:val="22"/>
          <w:lang w:val="en-GB"/>
        </w:rPr>
        <w:t xml:space="preserve"> than the Article 19 relief </w:t>
      </w:r>
      <w:r w:rsidR="006C0299">
        <w:rPr>
          <w:rFonts w:ascii="Avenir Next" w:hAnsi="Avenir Next" w:cs="Arial"/>
          <w:color w:val="808080" w:themeColor="background1" w:themeShade="80"/>
          <w:sz w:val="22"/>
          <w:szCs w:val="22"/>
          <w:lang w:val="en-GB"/>
        </w:rPr>
        <w:t xml:space="preserve">but </w:t>
      </w:r>
      <w:r>
        <w:rPr>
          <w:rFonts w:ascii="Avenir Next" w:hAnsi="Avenir Next" w:cs="Arial"/>
          <w:color w:val="808080" w:themeColor="background1" w:themeShade="80"/>
          <w:sz w:val="22"/>
          <w:szCs w:val="22"/>
          <w:lang w:val="en-GB"/>
        </w:rPr>
        <w:t xml:space="preserve">is still </w:t>
      </w:r>
      <w:r w:rsidR="006C0299">
        <w:rPr>
          <w:rFonts w:ascii="Avenir Next" w:hAnsi="Avenir Next" w:cs="Arial"/>
          <w:color w:val="808080" w:themeColor="background1" w:themeShade="80"/>
          <w:sz w:val="22"/>
          <w:szCs w:val="22"/>
          <w:lang w:val="en-GB"/>
        </w:rPr>
        <w:t>discretionary</w:t>
      </w:r>
      <w:r w:rsidR="003E1667">
        <w:rPr>
          <w:rFonts w:ascii="Avenir Next" w:hAnsi="Avenir Next" w:cs="Arial"/>
          <w:color w:val="808080" w:themeColor="background1" w:themeShade="80"/>
          <w:sz w:val="22"/>
          <w:szCs w:val="22"/>
          <w:lang w:val="en-GB"/>
        </w:rPr>
        <w:t xml:space="preserve">.  </w:t>
      </w:r>
      <w:r w:rsidR="00B00841">
        <w:rPr>
          <w:rFonts w:ascii="Avenir Next" w:hAnsi="Avenir Next" w:cs="Arial"/>
          <w:color w:val="808080" w:themeColor="background1" w:themeShade="80"/>
          <w:sz w:val="22"/>
          <w:szCs w:val="22"/>
          <w:lang w:val="en-GB"/>
        </w:rPr>
        <w:t>The</w:t>
      </w:r>
      <w:r w:rsidR="00A7283C">
        <w:rPr>
          <w:rFonts w:ascii="Avenir Next" w:hAnsi="Avenir Next" w:cs="Arial"/>
          <w:color w:val="808080" w:themeColor="background1" w:themeShade="80"/>
          <w:sz w:val="22"/>
          <w:szCs w:val="22"/>
          <w:lang w:val="en-GB"/>
        </w:rPr>
        <w:t xml:space="preserve"> following is the </w:t>
      </w:r>
      <w:r w:rsidR="003E1667">
        <w:rPr>
          <w:rFonts w:ascii="Avenir Next" w:hAnsi="Avenir Next" w:cs="Arial"/>
          <w:color w:val="808080" w:themeColor="background1" w:themeShade="80"/>
          <w:sz w:val="22"/>
          <w:szCs w:val="22"/>
          <w:lang w:val="en-GB"/>
        </w:rPr>
        <w:t xml:space="preserve">non-exhaustive list </w:t>
      </w:r>
      <w:r w:rsidR="00A7283C">
        <w:rPr>
          <w:rFonts w:ascii="Avenir Next" w:hAnsi="Avenir Next" w:cs="Arial"/>
          <w:color w:val="808080" w:themeColor="background1" w:themeShade="80"/>
          <w:sz w:val="22"/>
          <w:szCs w:val="22"/>
          <w:lang w:val="en-GB"/>
        </w:rPr>
        <w:t xml:space="preserve">of forms of </w:t>
      </w:r>
      <w:r w:rsidR="008C301B">
        <w:rPr>
          <w:rFonts w:ascii="Avenir Next" w:hAnsi="Avenir Next" w:cs="Arial"/>
          <w:color w:val="808080" w:themeColor="background1" w:themeShade="80"/>
          <w:sz w:val="22"/>
          <w:szCs w:val="22"/>
          <w:lang w:val="en-GB"/>
        </w:rPr>
        <w:t xml:space="preserve">relief </w:t>
      </w:r>
      <w:r w:rsidR="00A7283C">
        <w:rPr>
          <w:rFonts w:ascii="Avenir Next" w:hAnsi="Avenir Next" w:cs="Arial"/>
          <w:color w:val="808080" w:themeColor="background1" w:themeShade="80"/>
          <w:sz w:val="22"/>
          <w:szCs w:val="22"/>
          <w:lang w:val="en-GB"/>
        </w:rPr>
        <w:t xml:space="preserve">provided in Article 21 </w:t>
      </w:r>
      <w:r w:rsidR="008C301B">
        <w:rPr>
          <w:rFonts w:ascii="Avenir Next" w:hAnsi="Avenir Next" w:cs="Arial"/>
          <w:color w:val="808080" w:themeColor="background1" w:themeShade="80"/>
          <w:sz w:val="22"/>
          <w:szCs w:val="22"/>
          <w:lang w:val="en-GB"/>
        </w:rPr>
        <w:t>which could be implemented.</w:t>
      </w:r>
      <w:r w:rsidR="00A7283C">
        <w:rPr>
          <w:rFonts w:ascii="Avenir Next" w:hAnsi="Avenir Next" w:cs="Arial"/>
          <w:color w:val="808080" w:themeColor="background1" w:themeShade="80"/>
          <w:sz w:val="22"/>
          <w:szCs w:val="22"/>
          <w:lang w:val="en-GB"/>
        </w:rPr>
        <w:t xml:space="preserve">  </w:t>
      </w:r>
    </w:p>
    <w:p w14:paraId="031F47FF" w14:textId="77777777" w:rsidR="00A7283C" w:rsidRDefault="00A7283C" w:rsidP="007E5682">
      <w:pPr>
        <w:ind w:left="720"/>
        <w:jc w:val="both"/>
        <w:rPr>
          <w:rFonts w:ascii="Avenir Next" w:hAnsi="Avenir Next" w:cs="Arial"/>
          <w:color w:val="808080" w:themeColor="background1" w:themeShade="80"/>
          <w:sz w:val="22"/>
          <w:szCs w:val="22"/>
          <w:lang w:val="en-GB"/>
        </w:rPr>
      </w:pPr>
    </w:p>
    <w:p w14:paraId="136421AC" w14:textId="665D0E34" w:rsidR="00A7283C" w:rsidRP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(a) </w:t>
      </w:r>
      <w:r w:rsidRPr="00A7283C">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Staying the commencement or continuation of individual actions or individual proceedings concerning the debtor’s assets, rights, obligations or liabilities, to the extent they have not been stayed under paragraph 1 (a) of </w:t>
      </w:r>
      <w:r w:rsidR="009E0161" w:rsidRPr="00A7283C">
        <w:rPr>
          <w:rFonts w:ascii="Avenir Next" w:hAnsi="Avenir Next" w:cs="Arial"/>
          <w:color w:val="808080" w:themeColor="background1" w:themeShade="80"/>
          <w:sz w:val="22"/>
          <w:szCs w:val="22"/>
          <w:lang w:val="en-GB"/>
        </w:rPr>
        <w:t xml:space="preserve">Article </w:t>
      </w:r>
      <w:r w:rsidRPr="00A7283C">
        <w:rPr>
          <w:rFonts w:ascii="Avenir Next" w:hAnsi="Avenir Next" w:cs="Arial"/>
          <w:color w:val="808080" w:themeColor="background1" w:themeShade="80"/>
          <w:sz w:val="22"/>
          <w:szCs w:val="22"/>
          <w:lang w:val="en-GB"/>
        </w:rPr>
        <w:t xml:space="preserve">20; </w:t>
      </w:r>
    </w:p>
    <w:p w14:paraId="71C6936E" w14:textId="0B52E0DD" w:rsidR="00A7283C" w:rsidRP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(b)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Staying execution against the debtor’s assets to the extent it has not been stayed under paragraph 1 (b) of </w:t>
      </w:r>
      <w:r w:rsidR="009E0161" w:rsidRPr="00A7283C">
        <w:rPr>
          <w:rFonts w:ascii="Avenir Next" w:hAnsi="Avenir Next" w:cs="Arial"/>
          <w:color w:val="808080" w:themeColor="background1" w:themeShade="80"/>
          <w:sz w:val="22"/>
          <w:szCs w:val="22"/>
          <w:lang w:val="en-GB"/>
        </w:rPr>
        <w:t xml:space="preserve">Article </w:t>
      </w:r>
      <w:r w:rsidRPr="00A7283C">
        <w:rPr>
          <w:rFonts w:ascii="Avenir Next" w:hAnsi="Avenir Next" w:cs="Arial"/>
          <w:color w:val="808080" w:themeColor="background1" w:themeShade="80"/>
          <w:sz w:val="22"/>
          <w:szCs w:val="22"/>
          <w:lang w:val="en-GB"/>
        </w:rPr>
        <w:t xml:space="preserve">20; </w:t>
      </w:r>
    </w:p>
    <w:p w14:paraId="6EF572C8" w14:textId="7A162538" w:rsidR="00A7283C" w:rsidRP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(c)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Suspending the right to transfer, encumber or otherwise dispose of any assets of the debtor to the extent this right has not been suspended under paragraph 1 (c) of </w:t>
      </w:r>
      <w:r w:rsidR="009E0161" w:rsidRPr="00A7283C">
        <w:rPr>
          <w:rFonts w:ascii="Avenir Next" w:hAnsi="Avenir Next" w:cs="Arial"/>
          <w:color w:val="808080" w:themeColor="background1" w:themeShade="80"/>
          <w:sz w:val="22"/>
          <w:szCs w:val="22"/>
          <w:lang w:val="en-GB"/>
        </w:rPr>
        <w:t xml:space="preserve">Article </w:t>
      </w:r>
      <w:r w:rsidRPr="00A7283C">
        <w:rPr>
          <w:rFonts w:ascii="Avenir Next" w:hAnsi="Avenir Next" w:cs="Arial"/>
          <w:color w:val="808080" w:themeColor="background1" w:themeShade="80"/>
          <w:sz w:val="22"/>
          <w:szCs w:val="22"/>
          <w:lang w:val="en-GB"/>
        </w:rPr>
        <w:t xml:space="preserve">20; </w:t>
      </w:r>
    </w:p>
    <w:p w14:paraId="3AF6550E" w14:textId="33B81C56" w:rsidR="00A7283C" w:rsidRP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(d)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Providing for the examination of witnesses, the taking of evidence or the delivery of information concerning the debtor’s assets, affairs, rights, obligations or liabilities; </w:t>
      </w:r>
    </w:p>
    <w:p w14:paraId="37C5BE86" w14:textId="3923DB12" w:rsidR="00A7283C" w:rsidRP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(e)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Entrusting the administration or realization of all or part of the debtor’s assets located in this State to the foreign representative or another person designated by the court; </w:t>
      </w:r>
    </w:p>
    <w:p w14:paraId="6318C24E" w14:textId="6ADB56FD" w:rsidR="00A7283C" w:rsidRPr="00A7283C" w:rsidRDefault="00A7283C" w:rsidP="007E5682">
      <w:pPr>
        <w:ind w:left="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(f)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Extending relief granted under paragraph 1 of </w:t>
      </w:r>
      <w:r w:rsidR="009E0161" w:rsidRPr="00A7283C">
        <w:rPr>
          <w:rFonts w:ascii="Avenir Next" w:hAnsi="Avenir Next" w:cs="Arial"/>
          <w:color w:val="808080" w:themeColor="background1" w:themeShade="80"/>
          <w:sz w:val="22"/>
          <w:szCs w:val="22"/>
          <w:lang w:val="en-GB"/>
        </w:rPr>
        <w:t xml:space="preserve">Article </w:t>
      </w:r>
      <w:r w:rsidRPr="00A7283C">
        <w:rPr>
          <w:rFonts w:ascii="Avenir Next" w:hAnsi="Avenir Next" w:cs="Arial"/>
          <w:color w:val="808080" w:themeColor="background1" w:themeShade="80"/>
          <w:sz w:val="22"/>
          <w:szCs w:val="22"/>
          <w:lang w:val="en-GB"/>
        </w:rPr>
        <w:t xml:space="preserve">19; </w:t>
      </w:r>
    </w:p>
    <w:p w14:paraId="236166C0" w14:textId="107A92A3" w:rsidR="00A7283C" w:rsidRDefault="00A7283C" w:rsidP="00A7283C">
      <w:pPr>
        <w:ind w:left="1440" w:hanging="720"/>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(g) </w:t>
      </w:r>
      <w:r>
        <w:rPr>
          <w:rFonts w:ascii="Avenir Next" w:hAnsi="Avenir Next" w:cs="Arial"/>
          <w:color w:val="808080" w:themeColor="background1" w:themeShade="80"/>
          <w:sz w:val="22"/>
          <w:szCs w:val="22"/>
          <w:lang w:val="en-GB"/>
        </w:rPr>
        <w:tab/>
      </w:r>
      <w:r w:rsidRPr="00A7283C">
        <w:rPr>
          <w:rFonts w:ascii="Avenir Next" w:hAnsi="Avenir Next" w:cs="Arial"/>
          <w:color w:val="808080" w:themeColor="background1" w:themeShade="80"/>
          <w:sz w:val="22"/>
          <w:szCs w:val="22"/>
          <w:lang w:val="en-GB"/>
        </w:rPr>
        <w:t xml:space="preserve">Granting any additional relief that may be available to </w:t>
      </w:r>
      <w:r w:rsidR="009E0161">
        <w:rPr>
          <w:rFonts w:ascii="Avenir Next" w:hAnsi="Avenir Next" w:cs="Arial"/>
          <w:color w:val="808080" w:themeColor="background1" w:themeShade="80"/>
          <w:sz w:val="22"/>
          <w:szCs w:val="22"/>
          <w:lang w:val="en-GB"/>
        </w:rPr>
        <w:t>a</w:t>
      </w:r>
      <w:r w:rsidRPr="00A7283C">
        <w:rPr>
          <w:rFonts w:ascii="Avenir Next" w:hAnsi="Avenir Next" w:cs="Arial"/>
          <w:color w:val="808080" w:themeColor="background1" w:themeShade="80"/>
          <w:sz w:val="22"/>
          <w:szCs w:val="22"/>
          <w:lang w:val="en-GB"/>
        </w:rPr>
        <w:t xml:space="preserve"> person or body administering a reorganization or liquidation under the law of the enacting </w:t>
      </w:r>
      <w:r w:rsidR="009E0161">
        <w:rPr>
          <w:rFonts w:ascii="Avenir Next" w:hAnsi="Avenir Next" w:cs="Arial"/>
          <w:color w:val="808080" w:themeColor="background1" w:themeShade="80"/>
          <w:sz w:val="22"/>
          <w:szCs w:val="22"/>
          <w:lang w:val="en-GB"/>
        </w:rPr>
        <w:t>s</w:t>
      </w:r>
      <w:r w:rsidRPr="00A7283C">
        <w:rPr>
          <w:rFonts w:ascii="Avenir Next" w:hAnsi="Avenir Next" w:cs="Arial"/>
          <w:color w:val="808080" w:themeColor="background1" w:themeShade="80"/>
          <w:sz w:val="22"/>
          <w:szCs w:val="22"/>
          <w:lang w:val="en-GB"/>
        </w:rPr>
        <w:t>tate</w:t>
      </w:r>
      <w:r w:rsidR="009E0161">
        <w:rPr>
          <w:rFonts w:ascii="Avenir Next" w:hAnsi="Avenir Next" w:cs="Arial"/>
          <w:color w:val="808080" w:themeColor="background1" w:themeShade="80"/>
          <w:sz w:val="22"/>
          <w:szCs w:val="22"/>
          <w:lang w:val="en-GB"/>
        </w:rPr>
        <w:t>.</w:t>
      </w:r>
    </w:p>
    <w:p w14:paraId="4FC43EB2" w14:textId="77777777" w:rsidR="00A7283C" w:rsidRDefault="00A7283C" w:rsidP="007E5682">
      <w:pPr>
        <w:ind w:left="720"/>
        <w:jc w:val="both"/>
        <w:rPr>
          <w:rFonts w:ascii="Avenir Next" w:hAnsi="Avenir Next" w:cs="Arial"/>
          <w:color w:val="808080" w:themeColor="background1" w:themeShade="80"/>
          <w:sz w:val="22"/>
          <w:szCs w:val="22"/>
          <w:lang w:val="en-GB"/>
        </w:rPr>
      </w:pPr>
    </w:p>
    <w:p w14:paraId="4C25DBE9" w14:textId="76E1E4BF" w:rsidR="003E1667" w:rsidRDefault="008C301B" w:rsidP="007E568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Although the Article allows</w:t>
      </w:r>
      <w:r w:rsidR="003E1667">
        <w:rPr>
          <w:rFonts w:ascii="Avenir Next" w:hAnsi="Avenir Next" w:cs="Arial"/>
          <w:color w:val="808080" w:themeColor="background1" w:themeShade="80"/>
          <w:sz w:val="22"/>
          <w:szCs w:val="22"/>
          <w:lang w:val="en-GB"/>
        </w:rPr>
        <w:t xml:space="preserve"> the court </w:t>
      </w:r>
      <w:r>
        <w:rPr>
          <w:rFonts w:ascii="Avenir Next" w:hAnsi="Avenir Next" w:cs="Arial"/>
          <w:color w:val="808080" w:themeColor="background1" w:themeShade="80"/>
          <w:sz w:val="22"/>
          <w:szCs w:val="22"/>
          <w:lang w:val="en-GB"/>
        </w:rPr>
        <w:t xml:space="preserve">a degree of </w:t>
      </w:r>
      <w:r w:rsidR="003E1667">
        <w:rPr>
          <w:rFonts w:ascii="Avenir Next" w:hAnsi="Avenir Next" w:cs="Arial"/>
          <w:color w:val="808080" w:themeColor="background1" w:themeShade="80"/>
          <w:sz w:val="22"/>
          <w:szCs w:val="22"/>
          <w:lang w:val="en-GB"/>
        </w:rPr>
        <w:t>flexibility in granting relief</w:t>
      </w:r>
      <w:r>
        <w:rPr>
          <w:rFonts w:ascii="Avenir Next" w:hAnsi="Avenir Next" w:cs="Arial"/>
          <w:color w:val="808080" w:themeColor="background1" w:themeShade="80"/>
          <w:sz w:val="22"/>
          <w:szCs w:val="22"/>
          <w:lang w:val="en-GB"/>
        </w:rPr>
        <w:t>,</w:t>
      </w:r>
      <w:r w:rsidR="003E1667">
        <w:rPr>
          <w:rFonts w:ascii="Avenir Next" w:hAnsi="Avenir Next" w:cs="Arial"/>
          <w:color w:val="808080" w:themeColor="background1" w:themeShade="80"/>
          <w:sz w:val="22"/>
          <w:szCs w:val="22"/>
          <w:lang w:val="en-GB"/>
        </w:rPr>
        <w:t xml:space="preserve"> the power is</w:t>
      </w:r>
      <w:r>
        <w:rPr>
          <w:rFonts w:ascii="Avenir Next" w:hAnsi="Avenir Next" w:cs="Arial"/>
          <w:color w:val="808080" w:themeColor="background1" w:themeShade="80"/>
          <w:sz w:val="22"/>
          <w:szCs w:val="22"/>
          <w:lang w:val="en-GB"/>
        </w:rPr>
        <w:t xml:space="preserve"> </w:t>
      </w:r>
      <w:r w:rsidR="003E1667">
        <w:rPr>
          <w:rFonts w:ascii="Avenir Next" w:hAnsi="Avenir Next" w:cs="Arial"/>
          <w:color w:val="808080" w:themeColor="background1" w:themeShade="80"/>
          <w:sz w:val="22"/>
          <w:szCs w:val="22"/>
          <w:lang w:val="en-GB"/>
        </w:rPr>
        <w:t xml:space="preserve">not unlimited.  The court will be obliged to </w:t>
      </w:r>
      <w:r>
        <w:rPr>
          <w:rFonts w:ascii="Avenir Next" w:hAnsi="Avenir Next" w:cs="Arial"/>
          <w:color w:val="808080" w:themeColor="background1" w:themeShade="80"/>
          <w:sz w:val="22"/>
          <w:szCs w:val="22"/>
          <w:lang w:val="en-GB"/>
        </w:rPr>
        <w:t xml:space="preserve">make certain consideration </w:t>
      </w:r>
      <w:r w:rsidR="003E1667">
        <w:rPr>
          <w:rFonts w:ascii="Avenir Next" w:hAnsi="Avenir Next" w:cs="Arial"/>
          <w:color w:val="808080" w:themeColor="background1" w:themeShade="80"/>
          <w:sz w:val="22"/>
          <w:szCs w:val="22"/>
          <w:lang w:val="en-GB"/>
        </w:rPr>
        <w:t xml:space="preserve">including the following </w:t>
      </w:r>
    </w:p>
    <w:p w14:paraId="338F3281" w14:textId="77777777" w:rsidR="003E1667" w:rsidRDefault="003E1667" w:rsidP="007E5682">
      <w:pPr>
        <w:ind w:left="720"/>
        <w:jc w:val="both"/>
        <w:rPr>
          <w:rFonts w:ascii="Avenir Next" w:hAnsi="Avenir Next" w:cs="Arial"/>
          <w:color w:val="808080" w:themeColor="background1" w:themeShade="80"/>
          <w:sz w:val="22"/>
          <w:szCs w:val="22"/>
          <w:lang w:val="en-GB"/>
        </w:rPr>
      </w:pPr>
    </w:p>
    <w:p w14:paraId="0CC3CAD6" w14:textId="001F72C2" w:rsidR="003E1667" w:rsidRPr="00A7283C" w:rsidRDefault="009E0161" w:rsidP="00A7283C">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w:t>
      </w:r>
      <w:r w:rsidR="00A7283C">
        <w:rPr>
          <w:rFonts w:ascii="Avenir Next" w:hAnsi="Avenir Next" w:cs="Arial"/>
          <w:color w:val="808080" w:themeColor="background1" w:themeShade="80"/>
          <w:sz w:val="22"/>
          <w:szCs w:val="22"/>
          <w:lang w:val="en-GB"/>
        </w:rPr>
        <w:t xml:space="preserve"> the relief </w:t>
      </w:r>
      <w:r>
        <w:rPr>
          <w:rFonts w:ascii="Avenir Next" w:hAnsi="Avenir Next" w:cs="Arial"/>
          <w:color w:val="808080" w:themeColor="background1" w:themeShade="80"/>
          <w:sz w:val="22"/>
          <w:szCs w:val="22"/>
          <w:lang w:val="en-GB"/>
        </w:rPr>
        <w:t xml:space="preserve">is </w:t>
      </w:r>
      <w:r w:rsidR="00251BBD" w:rsidRPr="00A7283C">
        <w:rPr>
          <w:rFonts w:ascii="Avenir Next" w:hAnsi="Avenir Next" w:cs="Arial"/>
          <w:color w:val="808080" w:themeColor="background1" w:themeShade="80"/>
          <w:sz w:val="22"/>
          <w:szCs w:val="22"/>
          <w:lang w:val="en-GB"/>
        </w:rPr>
        <w:t>manifestly contrary to public policy</w:t>
      </w:r>
      <w:r>
        <w:rPr>
          <w:rFonts w:ascii="Avenir Next" w:hAnsi="Avenir Next" w:cs="Arial"/>
          <w:color w:val="808080" w:themeColor="background1" w:themeShade="80"/>
          <w:sz w:val="22"/>
          <w:szCs w:val="22"/>
          <w:lang w:val="en-GB"/>
        </w:rPr>
        <w:t>;</w:t>
      </w:r>
    </w:p>
    <w:p w14:paraId="5584B65A" w14:textId="19481AE8" w:rsidR="003E1667" w:rsidRPr="00A7283C" w:rsidRDefault="00A7283C" w:rsidP="00A7283C">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5F14CD" w:rsidRPr="00A7283C">
        <w:rPr>
          <w:rFonts w:ascii="Avenir Next" w:hAnsi="Avenir Next" w:cs="Arial"/>
          <w:color w:val="808080" w:themeColor="background1" w:themeShade="80"/>
          <w:sz w:val="22"/>
          <w:szCs w:val="22"/>
          <w:lang w:val="en-GB"/>
        </w:rPr>
        <w:t xml:space="preserve">appropriateness </w:t>
      </w:r>
      <w:r w:rsidR="003E1667" w:rsidRPr="00A7283C">
        <w:rPr>
          <w:rFonts w:ascii="Avenir Next" w:hAnsi="Avenir Next" w:cs="Arial"/>
          <w:color w:val="808080" w:themeColor="background1" w:themeShade="80"/>
          <w:sz w:val="22"/>
          <w:szCs w:val="22"/>
          <w:lang w:val="en-GB"/>
        </w:rPr>
        <w:t>of the relief</w:t>
      </w:r>
      <w:r>
        <w:rPr>
          <w:rFonts w:ascii="Avenir Next" w:hAnsi="Avenir Next" w:cs="Arial"/>
          <w:color w:val="808080" w:themeColor="background1" w:themeShade="80"/>
          <w:sz w:val="22"/>
          <w:szCs w:val="22"/>
          <w:lang w:val="en-GB"/>
        </w:rPr>
        <w:t>;</w:t>
      </w:r>
    </w:p>
    <w:p w14:paraId="16AFAF8D" w14:textId="379E8E61" w:rsidR="003E1667" w:rsidRPr="00A7283C" w:rsidRDefault="00A7283C" w:rsidP="00A7283C">
      <w:pPr>
        <w:pStyle w:val="ListParagraph"/>
        <w:numPr>
          <w:ilvl w:val="0"/>
          <w:numId w:val="27"/>
        </w:numPr>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 xml:space="preserve">the </w:t>
      </w:r>
      <w:r w:rsidR="006C0299" w:rsidRPr="00A7283C">
        <w:rPr>
          <w:rFonts w:ascii="Avenir Next" w:hAnsi="Avenir Next" w:cs="Arial"/>
          <w:color w:val="808080" w:themeColor="background1" w:themeShade="80"/>
          <w:sz w:val="22"/>
          <w:szCs w:val="22"/>
          <w:lang w:val="en-GB"/>
        </w:rPr>
        <w:t>necessity of the relief</w:t>
      </w:r>
      <w:r>
        <w:rPr>
          <w:rFonts w:ascii="Avenir Next" w:hAnsi="Avenir Next" w:cs="Arial"/>
          <w:color w:val="808080" w:themeColor="background1" w:themeShade="80"/>
          <w:sz w:val="22"/>
          <w:szCs w:val="22"/>
          <w:lang w:val="en-GB"/>
        </w:rPr>
        <w:t>;</w:t>
      </w:r>
    </w:p>
    <w:p w14:paraId="13297764" w14:textId="58C8DFFA" w:rsidR="003E1667" w:rsidRDefault="006C0299" w:rsidP="00A7283C">
      <w:pPr>
        <w:pStyle w:val="ListParagraph"/>
        <w:numPr>
          <w:ilvl w:val="0"/>
          <w:numId w:val="27"/>
        </w:numPr>
        <w:jc w:val="both"/>
        <w:rPr>
          <w:rFonts w:ascii="Avenir Next" w:hAnsi="Avenir Next" w:cs="Arial"/>
          <w:color w:val="808080" w:themeColor="background1" w:themeShade="80"/>
          <w:sz w:val="22"/>
          <w:szCs w:val="22"/>
          <w:lang w:val="en-GB"/>
        </w:rPr>
      </w:pPr>
      <w:r w:rsidRPr="00A7283C">
        <w:rPr>
          <w:rFonts w:ascii="Avenir Next" w:hAnsi="Avenir Next" w:cs="Arial"/>
          <w:color w:val="808080" w:themeColor="background1" w:themeShade="80"/>
          <w:sz w:val="22"/>
          <w:szCs w:val="22"/>
          <w:lang w:val="en-GB"/>
        </w:rPr>
        <w:t>whether other relief is available,</w:t>
      </w:r>
    </w:p>
    <w:p w14:paraId="2D455CBA" w14:textId="1C423E19" w:rsidR="00A7283C" w:rsidRPr="00A7283C" w:rsidRDefault="00A7283C" w:rsidP="00A7283C">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A7283C">
        <w:rPr>
          <w:rFonts w:ascii="Avenir Next" w:hAnsi="Avenir Next" w:cs="Arial"/>
          <w:color w:val="808080" w:themeColor="background1" w:themeShade="80"/>
          <w:sz w:val="22"/>
          <w:szCs w:val="22"/>
          <w:lang w:val="en-GB"/>
        </w:rPr>
        <w:t>balancing requirement</w:t>
      </w:r>
      <w:r>
        <w:rPr>
          <w:rFonts w:ascii="Avenir Next" w:hAnsi="Avenir Next" w:cs="Arial"/>
          <w:color w:val="808080" w:themeColor="background1" w:themeShade="80"/>
          <w:sz w:val="22"/>
          <w:szCs w:val="22"/>
          <w:lang w:val="en-GB"/>
        </w:rPr>
        <w:t xml:space="preserve"> of Article 22.</w:t>
      </w:r>
    </w:p>
    <w:p w14:paraId="5B2E8131" w14:textId="77777777" w:rsidR="00A7283C" w:rsidRDefault="00A7283C" w:rsidP="00A7283C">
      <w:pPr>
        <w:ind w:left="1080"/>
        <w:jc w:val="both"/>
        <w:rPr>
          <w:rFonts w:ascii="Avenir Next" w:hAnsi="Avenir Next" w:cs="Arial"/>
          <w:color w:val="808080" w:themeColor="background1" w:themeShade="80"/>
          <w:sz w:val="22"/>
          <w:szCs w:val="22"/>
          <w:lang w:val="en-GB"/>
        </w:rPr>
      </w:pPr>
    </w:p>
    <w:p w14:paraId="2CD928FA" w14:textId="51823C04" w:rsidR="003E1667" w:rsidRPr="00A7283C" w:rsidRDefault="00A7283C" w:rsidP="00A7283C">
      <w:p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w:t>
      </w:r>
      <w:r w:rsidR="003E1667" w:rsidRPr="00A7283C">
        <w:rPr>
          <w:rFonts w:ascii="Avenir Next" w:hAnsi="Avenir Next" w:cs="Arial"/>
          <w:color w:val="808080" w:themeColor="background1" w:themeShade="80"/>
          <w:sz w:val="22"/>
          <w:szCs w:val="22"/>
          <w:lang w:val="en-GB"/>
        </w:rPr>
        <w:t>urthermore</w:t>
      </w:r>
      <w:r w:rsidR="009E0161">
        <w:rPr>
          <w:rFonts w:ascii="Avenir Next" w:hAnsi="Avenir Next" w:cs="Arial"/>
          <w:color w:val="808080" w:themeColor="background1" w:themeShade="80"/>
          <w:sz w:val="22"/>
          <w:szCs w:val="22"/>
          <w:lang w:val="en-GB"/>
        </w:rPr>
        <w:t>,</w:t>
      </w:r>
      <w:r w:rsidR="003E1667" w:rsidRPr="00A7283C">
        <w:rPr>
          <w:rFonts w:ascii="Avenir Next" w:hAnsi="Avenir Next" w:cs="Arial"/>
          <w:color w:val="808080" w:themeColor="background1" w:themeShade="80"/>
          <w:sz w:val="22"/>
          <w:szCs w:val="22"/>
          <w:lang w:val="en-GB"/>
        </w:rPr>
        <w:t xml:space="preserve"> the </w:t>
      </w:r>
      <w:r w:rsidR="005F14CD" w:rsidRPr="00A7283C">
        <w:rPr>
          <w:rFonts w:ascii="Avenir Next" w:hAnsi="Avenir Next" w:cs="Arial"/>
          <w:color w:val="808080" w:themeColor="background1" w:themeShade="80"/>
          <w:sz w:val="22"/>
          <w:szCs w:val="22"/>
          <w:lang w:val="en-GB"/>
        </w:rPr>
        <w:t>court can subject the relief</w:t>
      </w:r>
      <w:r w:rsidR="008C301B" w:rsidRPr="00A7283C">
        <w:rPr>
          <w:rFonts w:ascii="Avenir Next" w:hAnsi="Avenir Next" w:cs="Arial"/>
          <w:color w:val="808080" w:themeColor="background1" w:themeShade="80"/>
          <w:sz w:val="22"/>
          <w:szCs w:val="22"/>
          <w:lang w:val="en-GB"/>
        </w:rPr>
        <w:t xml:space="preserve"> granted</w:t>
      </w:r>
      <w:r w:rsidR="005F14CD" w:rsidRPr="00A7283C">
        <w:rPr>
          <w:rFonts w:ascii="Avenir Next" w:hAnsi="Avenir Next" w:cs="Arial"/>
          <w:color w:val="808080" w:themeColor="background1" w:themeShade="80"/>
          <w:sz w:val="22"/>
          <w:szCs w:val="22"/>
          <w:lang w:val="en-GB"/>
        </w:rPr>
        <w:t xml:space="preserve"> to </w:t>
      </w:r>
      <w:r w:rsidR="003E1667" w:rsidRPr="00A7283C">
        <w:rPr>
          <w:rFonts w:ascii="Avenir Next" w:hAnsi="Avenir Next" w:cs="Arial"/>
          <w:color w:val="808080" w:themeColor="background1" w:themeShade="80"/>
          <w:sz w:val="22"/>
          <w:szCs w:val="22"/>
          <w:lang w:val="en-GB"/>
        </w:rPr>
        <w:t xml:space="preserve">certain </w:t>
      </w:r>
      <w:r w:rsidR="005F14CD" w:rsidRPr="00A7283C">
        <w:rPr>
          <w:rFonts w:ascii="Avenir Next" w:hAnsi="Avenir Next" w:cs="Arial"/>
          <w:color w:val="808080" w:themeColor="background1" w:themeShade="80"/>
          <w:sz w:val="22"/>
          <w:szCs w:val="22"/>
          <w:lang w:val="en-GB"/>
        </w:rPr>
        <w:t>conditions.</w:t>
      </w:r>
      <w:r w:rsidR="006C5C07" w:rsidRPr="00A7283C">
        <w:rPr>
          <w:rFonts w:ascii="Avenir Next" w:hAnsi="Avenir Next" w:cs="Arial"/>
          <w:color w:val="808080" w:themeColor="background1" w:themeShade="80"/>
          <w:sz w:val="22"/>
          <w:szCs w:val="22"/>
          <w:lang w:val="en-GB"/>
        </w:rPr>
        <w:t xml:space="preserve">  </w:t>
      </w:r>
    </w:p>
    <w:p w14:paraId="189273FC" w14:textId="4578455E" w:rsidR="005F14CD" w:rsidRDefault="005F14CD" w:rsidP="007E5682">
      <w:pPr>
        <w:ind w:left="720"/>
        <w:jc w:val="both"/>
        <w:rPr>
          <w:rFonts w:ascii="Avenir Next" w:hAnsi="Avenir Next" w:cs="Arial"/>
          <w:color w:val="808080" w:themeColor="background1" w:themeShade="80"/>
          <w:sz w:val="22"/>
          <w:szCs w:val="22"/>
          <w:lang w:val="en-GB"/>
        </w:rPr>
      </w:pPr>
    </w:p>
    <w:p w14:paraId="449345A5" w14:textId="77777777" w:rsidR="005F14CD" w:rsidRPr="00251BBD" w:rsidRDefault="005F14CD" w:rsidP="007E5682">
      <w:pPr>
        <w:ind w:left="720"/>
        <w:jc w:val="both"/>
        <w:rPr>
          <w:rFonts w:ascii="Avenir Next" w:hAnsi="Avenir Next" w:cs="Arial"/>
          <w:color w:val="808080" w:themeColor="background1" w:themeShade="80"/>
          <w:sz w:val="22"/>
          <w:szCs w:val="22"/>
          <w:lang w:val="en-GB"/>
        </w:rPr>
      </w:pPr>
      <w:r w:rsidRPr="00251BBD">
        <w:rPr>
          <w:rFonts w:ascii="Avenir Next" w:hAnsi="Avenir Next" w:cs="Arial"/>
          <w:color w:val="808080" w:themeColor="background1" w:themeShade="80"/>
          <w:sz w:val="22"/>
          <w:szCs w:val="22"/>
          <w:lang w:val="en-GB"/>
        </w:rPr>
        <w:t xml:space="preserve">The </w:t>
      </w:r>
      <w:r w:rsidRPr="00251BBD">
        <w:rPr>
          <w:rFonts w:ascii="Avenir Next" w:hAnsi="Avenir Next" w:cs="Arial"/>
          <w:color w:val="808080" w:themeColor="background1" w:themeShade="80"/>
          <w:sz w:val="22"/>
          <w:szCs w:val="22"/>
          <w:lang w:val="en-GB"/>
        </w:rPr>
        <w:t>Digest of Case Law on the UNCITRAL Model Law on Cross-Border Insolvency</w:t>
      </w:r>
      <w:r w:rsidRPr="00251BBD">
        <w:rPr>
          <w:rFonts w:ascii="Avenir Next" w:hAnsi="Avenir Next" w:cs="Arial"/>
          <w:color w:val="808080" w:themeColor="background1" w:themeShade="80"/>
          <w:sz w:val="22"/>
          <w:szCs w:val="22"/>
          <w:lang w:val="en-GB"/>
        </w:rPr>
        <w:t xml:space="preserve"> canvases that Article 21:-</w:t>
      </w:r>
    </w:p>
    <w:p w14:paraId="176C2762" w14:textId="77777777" w:rsidR="005F14CD" w:rsidRPr="00251BBD" w:rsidRDefault="005F14CD" w:rsidP="007E5682">
      <w:pPr>
        <w:ind w:left="720"/>
        <w:jc w:val="both"/>
        <w:rPr>
          <w:rFonts w:ascii="Avenir Next" w:hAnsi="Avenir Next" w:cs="Arial"/>
          <w:color w:val="808080" w:themeColor="background1" w:themeShade="80"/>
          <w:sz w:val="22"/>
          <w:szCs w:val="22"/>
          <w:lang w:val="en-GB"/>
        </w:rPr>
      </w:pPr>
    </w:p>
    <w:p w14:paraId="3209F12E" w14:textId="201AE20D" w:rsidR="005F14CD" w:rsidRDefault="005F14CD" w:rsidP="005F14CD">
      <w:pPr>
        <w:ind w:left="1440" w:right="566"/>
        <w:jc w:val="both"/>
        <w:rPr>
          <w:rFonts w:ascii="Avenir Next" w:hAnsi="Avenir Next" w:cs="Arial"/>
          <w:color w:val="808080" w:themeColor="background1" w:themeShade="80"/>
          <w:sz w:val="22"/>
          <w:szCs w:val="22"/>
          <w:lang w:val="en-GB"/>
        </w:rPr>
      </w:pPr>
      <w:r w:rsidRPr="00251BBD">
        <w:rPr>
          <w:rFonts w:ascii="Avenir Next" w:hAnsi="Avenir Next" w:cs="Arial"/>
          <w:color w:val="808080" w:themeColor="background1" w:themeShade="80"/>
          <w:sz w:val="22"/>
          <w:szCs w:val="22"/>
          <w:lang w:val="en-GB"/>
        </w:rPr>
        <w:t>“</w:t>
      </w:r>
      <w:r w:rsidR="00251BBD">
        <w:rPr>
          <w:rFonts w:ascii="Avenir Next" w:hAnsi="Avenir Next" w:cs="Arial"/>
          <w:color w:val="808080" w:themeColor="background1" w:themeShade="80"/>
          <w:sz w:val="22"/>
          <w:szCs w:val="22"/>
          <w:lang w:val="en-GB"/>
        </w:rPr>
        <w:t>…</w:t>
      </w:r>
      <w:r w:rsidRPr="00251BBD">
        <w:rPr>
          <w:rFonts w:ascii="Avenir Next" w:hAnsi="Avenir Next" w:cs="Arial"/>
          <w:color w:val="808080" w:themeColor="background1" w:themeShade="80"/>
          <w:sz w:val="22"/>
          <w:szCs w:val="22"/>
          <w:lang w:val="en-GB"/>
        </w:rPr>
        <w:t>is circumscribed in several ways: it must be necessary to protect the interests of the creditors (meaning the interests of the general body of creditors as a whole)</w:t>
      </w:r>
      <w:r>
        <w:rPr>
          <w:rStyle w:val="FootnoteReference"/>
        </w:rPr>
        <w:footnoteReference w:id="6"/>
      </w:r>
      <w:r>
        <w:t xml:space="preserve"> </w:t>
      </w:r>
      <w:r w:rsidRPr="00251BBD">
        <w:rPr>
          <w:rFonts w:ascii="Avenir Next" w:hAnsi="Avenir Next" w:cs="Arial"/>
          <w:color w:val="808080" w:themeColor="background1" w:themeShade="80"/>
          <w:sz w:val="22"/>
          <w:szCs w:val="22"/>
          <w:lang w:val="en-GB"/>
        </w:rPr>
        <w:t>or, as an alternative, to protect the assets of the debtor;</w:t>
      </w:r>
      <w:r>
        <w:rPr>
          <w:rStyle w:val="FootnoteReference"/>
        </w:rPr>
        <w:footnoteReference w:id="7"/>
      </w:r>
      <w:r>
        <w:t xml:space="preserve"> </w:t>
      </w:r>
      <w:r w:rsidRPr="00251BBD">
        <w:rPr>
          <w:rFonts w:ascii="Avenir Next" w:hAnsi="Avenir Next" w:cs="Arial"/>
          <w:color w:val="808080" w:themeColor="background1" w:themeShade="80"/>
          <w:sz w:val="22"/>
          <w:szCs w:val="22"/>
          <w:lang w:val="en-GB"/>
        </w:rPr>
        <w:t>it would be subject to the public policy exception under article 6;</w:t>
      </w:r>
      <w:r>
        <w:rPr>
          <w:rStyle w:val="FootnoteReference"/>
        </w:rPr>
        <w:footnoteReference w:id="8"/>
      </w:r>
      <w:r>
        <w:t xml:space="preserve"> </w:t>
      </w:r>
      <w:r w:rsidRPr="00251BBD">
        <w:rPr>
          <w:rFonts w:ascii="Avenir Next" w:hAnsi="Avenir Next" w:cs="Arial"/>
          <w:color w:val="808080" w:themeColor="background1" w:themeShade="80"/>
          <w:sz w:val="22"/>
          <w:szCs w:val="22"/>
          <w:lang w:val="en-GB"/>
        </w:rPr>
        <w:t xml:space="preserve">and regard must be had to article 22, paragraph 1, which emphasizes the need to tailor relief and conditions so as to balance the relief granted to the foreign representative and the interests of those affected by such relief, without unduly </w:t>
      </w:r>
      <w:proofErr w:type="spellStart"/>
      <w:r w:rsidRPr="00251BBD">
        <w:rPr>
          <w:rFonts w:ascii="Avenir Next" w:hAnsi="Avenir Next" w:cs="Arial"/>
          <w:color w:val="808080" w:themeColor="background1" w:themeShade="80"/>
          <w:sz w:val="22"/>
          <w:szCs w:val="22"/>
          <w:lang w:val="en-GB"/>
        </w:rPr>
        <w:t>favouring</w:t>
      </w:r>
      <w:proofErr w:type="spellEnd"/>
      <w:r w:rsidRPr="00251BBD">
        <w:rPr>
          <w:rFonts w:ascii="Avenir Next" w:hAnsi="Avenir Next" w:cs="Arial"/>
          <w:color w:val="808080" w:themeColor="background1" w:themeShade="80"/>
          <w:sz w:val="22"/>
          <w:szCs w:val="22"/>
          <w:lang w:val="en-GB"/>
        </w:rPr>
        <w:t xml:space="preserve"> one group of creditors over another.</w:t>
      </w:r>
      <w:r>
        <w:rPr>
          <w:rStyle w:val="FootnoteReference"/>
        </w:rPr>
        <w:footnoteReference w:id="9"/>
      </w:r>
      <w:r w:rsidRPr="00251BBD">
        <w:rPr>
          <w:rFonts w:ascii="Avenir Next" w:hAnsi="Avenir Next" w:cs="Arial"/>
          <w:color w:val="808080" w:themeColor="background1" w:themeShade="80"/>
          <w:sz w:val="22"/>
          <w:szCs w:val="22"/>
          <w:lang w:val="en-GB"/>
        </w:rPr>
        <w:t>”</w:t>
      </w:r>
    </w:p>
    <w:p w14:paraId="2CCAF11B" w14:textId="77777777" w:rsidR="00FD20BB" w:rsidRPr="00FD20BB" w:rsidRDefault="00FD20BB" w:rsidP="00FD20BB">
      <w:pPr>
        <w:ind w:left="1080"/>
        <w:jc w:val="both"/>
        <w:rPr>
          <w:rFonts w:ascii="Avenir Next" w:hAnsi="Avenir Next" w:cs="Arial"/>
          <w:color w:val="808080" w:themeColor="background1" w:themeShade="80"/>
          <w:sz w:val="22"/>
          <w:szCs w:val="22"/>
          <w:lang w:val="en-GB"/>
        </w:rPr>
      </w:pPr>
    </w:p>
    <w:p w14:paraId="791241C4" w14:textId="16510B92" w:rsidR="007E5682" w:rsidRPr="00FD20BB" w:rsidRDefault="00FD20BB" w:rsidP="00AE5507">
      <w:pPr>
        <w:ind w:left="720"/>
        <w:jc w:val="both"/>
        <w:rPr>
          <w:rFonts w:ascii="Avenir Next" w:hAnsi="Avenir Next" w:cs="Arial"/>
          <w:color w:val="808080" w:themeColor="background1" w:themeShade="80"/>
          <w:sz w:val="22"/>
          <w:szCs w:val="22"/>
          <w:lang w:val="en-GB"/>
        </w:rPr>
      </w:pPr>
      <w:r w:rsidRPr="00FD20BB">
        <w:rPr>
          <w:rFonts w:ascii="Avenir Next" w:hAnsi="Avenir Next" w:cs="Arial"/>
          <w:color w:val="808080" w:themeColor="background1" w:themeShade="80"/>
          <w:sz w:val="22"/>
          <w:szCs w:val="22"/>
          <w:lang w:val="en-GB"/>
        </w:rPr>
        <w:t xml:space="preserve">Subparagraph 1 (e) set out a limitation that the assets in question should be assets located in the recognizing state.  </w:t>
      </w:r>
    </w:p>
    <w:p w14:paraId="6633E53E" w14:textId="77777777" w:rsidR="00FD20BB" w:rsidRPr="00FD20BB" w:rsidRDefault="00FD20BB" w:rsidP="00FD20BB">
      <w:pPr>
        <w:ind w:left="1080"/>
        <w:jc w:val="both"/>
        <w:rPr>
          <w:rFonts w:ascii="Avenir Next" w:hAnsi="Avenir Next" w:cs="Arial"/>
          <w:color w:val="808080" w:themeColor="background1" w:themeShade="80"/>
          <w:sz w:val="22"/>
          <w:szCs w:val="22"/>
          <w:lang w:val="en-GB"/>
        </w:rPr>
      </w:pPr>
    </w:p>
    <w:p w14:paraId="6A9B43A3" w14:textId="5958B62E" w:rsidR="006C5C07" w:rsidRDefault="006C5C07" w:rsidP="00707FC8">
      <w:pPr>
        <w:ind w:left="720" w:hanging="720"/>
        <w:jc w:val="both"/>
        <w:rPr>
          <w:rFonts w:ascii="Avenir Next" w:hAnsi="Avenir Next" w:cs="Arial"/>
          <w:sz w:val="22"/>
          <w:szCs w:val="22"/>
          <w:lang w:val="en-GB"/>
        </w:rPr>
      </w:pPr>
    </w:p>
    <w:p w14:paraId="552796D2" w14:textId="634660CF"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r w:rsidR="00B94258">
        <w:rPr>
          <w:rFonts w:ascii="Avenir Next Demi Bold" w:hAnsi="Avenir Next Demi Bold" w:cs="Arial"/>
          <w:b/>
          <w:bCs/>
          <w:sz w:val="22"/>
          <w:szCs w:val="22"/>
          <w:lang w:val="en-GB"/>
        </w:rPr>
        <w:t xml:space="preserve"> </w:t>
      </w:r>
    </w:p>
    <w:p w14:paraId="6AD1D79E" w14:textId="77777777" w:rsidR="000077DD" w:rsidRPr="00E2622D" w:rsidRDefault="000077DD" w:rsidP="000077DD">
      <w:pPr>
        <w:rPr>
          <w:rFonts w:ascii="Avenir Next" w:hAnsi="Avenir Next" w:cs="Arial"/>
          <w:b/>
          <w:bCs/>
          <w:sz w:val="22"/>
          <w:szCs w:val="22"/>
          <w:lang w:val="en-GB"/>
        </w:rPr>
      </w:pPr>
    </w:p>
    <w:p w14:paraId="516EEA8B" w14:textId="0A8F0244" w:rsidR="000077D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2B569257" w14:textId="77777777" w:rsidR="00390FB0" w:rsidRPr="00E2622D" w:rsidRDefault="00390FB0" w:rsidP="000077DD">
      <w:pPr>
        <w:jc w:val="both"/>
        <w:rPr>
          <w:rFonts w:ascii="Avenir Next" w:hAnsi="Avenir Next" w:cs="Arial"/>
          <w:sz w:val="22"/>
          <w:szCs w:val="22"/>
          <w:lang w:val="en-GB"/>
        </w:rPr>
      </w:pPr>
    </w:p>
    <w:p w14:paraId="3D3653DD" w14:textId="410993AF" w:rsidR="00390FB0" w:rsidRPr="005D4C1D" w:rsidRDefault="00390FB0" w:rsidP="00390FB0">
      <w:pPr>
        <w:ind w:left="720"/>
        <w:jc w:val="both"/>
        <w:rPr>
          <w:rFonts w:ascii="Avenir Next" w:hAnsi="Avenir Next" w:cs="Arial"/>
          <w:color w:val="808080" w:themeColor="background1" w:themeShade="80"/>
          <w:sz w:val="22"/>
          <w:szCs w:val="22"/>
          <w:lang w:val="en-GB"/>
        </w:rPr>
      </w:pPr>
      <w:r w:rsidRPr="005D4C1D">
        <w:rPr>
          <w:rFonts w:ascii="Avenir Next" w:hAnsi="Avenir Next" w:cs="Arial"/>
          <w:color w:val="808080" w:themeColor="background1" w:themeShade="80"/>
          <w:sz w:val="22"/>
          <w:szCs w:val="22"/>
          <w:lang w:val="en-GB"/>
        </w:rPr>
        <w:t xml:space="preserve">Article 21 provides post-recognition discretionary relief.  </w:t>
      </w:r>
      <w:r w:rsidR="00607492" w:rsidRPr="005D4C1D">
        <w:rPr>
          <w:rFonts w:ascii="Avenir Next" w:hAnsi="Avenir Next" w:cs="Arial"/>
          <w:color w:val="808080" w:themeColor="background1" w:themeShade="80"/>
          <w:sz w:val="22"/>
          <w:szCs w:val="22"/>
          <w:lang w:val="en-GB"/>
        </w:rPr>
        <w:t>Article 21(1)(f) includes discretion to extend relief granted under paragraph 1 of Article 19</w:t>
      </w:r>
      <w:r w:rsidR="00A220D9" w:rsidRPr="005D4C1D">
        <w:rPr>
          <w:rFonts w:ascii="Avenir Next" w:hAnsi="Avenir Next" w:cs="Arial"/>
          <w:color w:val="808080" w:themeColor="background1" w:themeShade="80"/>
          <w:sz w:val="22"/>
          <w:szCs w:val="22"/>
          <w:lang w:val="en-GB"/>
        </w:rPr>
        <w:t xml:space="preserve">.  The court would need to be satisfied that such relief is necessary. </w:t>
      </w:r>
    </w:p>
    <w:p w14:paraId="645ACD9E" w14:textId="77777777" w:rsidR="00390FB0" w:rsidRPr="005D4C1D" w:rsidRDefault="00390FB0" w:rsidP="00390FB0">
      <w:pPr>
        <w:ind w:left="720"/>
        <w:jc w:val="both"/>
        <w:rPr>
          <w:rFonts w:ascii="Avenir Next" w:hAnsi="Avenir Next" w:cs="Arial"/>
          <w:color w:val="808080" w:themeColor="background1" w:themeShade="80"/>
          <w:sz w:val="22"/>
          <w:szCs w:val="22"/>
          <w:lang w:val="en-GB"/>
        </w:rPr>
      </w:pPr>
    </w:p>
    <w:p w14:paraId="02912C39" w14:textId="71C1DC27" w:rsidR="00390FB0" w:rsidRPr="005D4C1D" w:rsidRDefault="00AD2064" w:rsidP="00390FB0">
      <w:pPr>
        <w:ind w:left="720"/>
        <w:jc w:val="both"/>
        <w:rPr>
          <w:rFonts w:ascii="Avenir Next" w:hAnsi="Avenir Next" w:cs="Arial"/>
          <w:color w:val="808080" w:themeColor="background1" w:themeShade="80"/>
          <w:sz w:val="22"/>
          <w:szCs w:val="22"/>
          <w:lang w:val="en-GB"/>
        </w:rPr>
      </w:pPr>
      <w:r w:rsidRPr="005D4C1D">
        <w:rPr>
          <w:rFonts w:ascii="Avenir Next" w:hAnsi="Avenir Next" w:cs="Arial"/>
          <w:color w:val="808080" w:themeColor="background1" w:themeShade="80"/>
          <w:sz w:val="22"/>
          <w:szCs w:val="22"/>
          <w:lang w:val="en-GB"/>
        </w:rPr>
        <w:t>In</w:t>
      </w:r>
      <w:r w:rsidRPr="00390FB0">
        <w:rPr>
          <w:rFonts w:ascii="Avenir Next" w:hAnsi="Avenir Next" w:cs="Arial"/>
          <w:color w:val="7030A0"/>
          <w:sz w:val="22"/>
          <w:szCs w:val="22"/>
          <w:lang w:val="en-GB"/>
        </w:rPr>
        <w:t xml:space="preserve"> </w:t>
      </w:r>
      <w:r w:rsidR="00915DFC" w:rsidRPr="005D4C1D">
        <w:rPr>
          <w:rFonts w:ascii="Avenir Next" w:hAnsi="Avenir Next" w:cs="Arial"/>
          <w:i/>
          <w:iCs/>
          <w:color w:val="808080" w:themeColor="background1" w:themeShade="80"/>
          <w:sz w:val="22"/>
          <w:szCs w:val="22"/>
          <w:lang w:val="en-GB"/>
        </w:rPr>
        <w:t xml:space="preserve">Igor </w:t>
      </w:r>
      <w:proofErr w:type="spellStart"/>
      <w:r w:rsidR="00915DFC" w:rsidRPr="005D4C1D">
        <w:rPr>
          <w:rFonts w:ascii="Avenir Next" w:hAnsi="Avenir Next" w:cs="Arial"/>
          <w:i/>
          <w:iCs/>
          <w:color w:val="808080" w:themeColor="background1" w:themeShade="80"/>
          <w:sz w:val="22"/>
          <w:szCs w:val="22"/>
          <w:lang w:val="en-GB"/>
        </w:rPr>
        <w:t>Vitalievich</w:t>
      </w:r>
      <w:proofErr w:type="spellEnd"/>
      <w:r w:rsidR="00915DFC" w:rsidRPr="005D4C1D">
        <w:rPr>
          <w:rFonts w:ascii="Avenir Next" w:hAnsi="Avenir Next" w:cs="Arial"/>
          <w:i/>
          <w:iCs/>
          <w:color w:val="808080" w:themeColor="background1" w:themeShade="80"/>
          <w:sz w:val="22"/>
          <w:szCs w:val="22"/>
          <w:lang w:val="en-GB"/>
        </w:rPr>
        <w:t xml:space="preserve"> </w:t>
      </w:r>
      <w:proofErr w:type="spellStart"/>
      <w:r w:rsidR="00915DFC" w:rsidRPr="005D4C1D">
        <w:rPr>
          <w:rFonts w:ascii="Avenir Next" w:hAnsi="Avenir Next" w:cs="Arial"/>
          <w:i/>
          <w:iCs/>
          <w:color w:val="808080" w:themeColor="background1" w:themeShade="80"/>
          <w:sz w:val="22"/>
          <w:szCs w:val="22"/>
          <w:lang w:val="en-GB"/>
        </w:rPr>
        <w:t>Protasov</w:t>
      </w:r>
      <w:proofErr w:type="spellEnd"/>
      <w:r w:rsidR="00915DFC" w:rsidRPr="005D4C1D">
        <w:rPr>
          <w:rFonts w:ascii="Avenir Next" w:hAnsi="Avenir Next" w:cs="Arial"/>
          <w:i/>
          <w:iCs/>
          <w:color w:val="808080" w:themeColor="background1" w:themeShade="80"/>
          <w:sz w:val="22"/>
          <w:szCs w:val="22"/>
          <w:lang w:val="en-GB"/>
        </w:rPr>
        <w:t xml:space="preserve"> and </w:t>
      </w:r>
      <w:proofErr w:type="spellStart"/>
      <w:r w:rsidR="00915DFC" w:rsidRPr="005D4C1D">
        <w:rPr>
          <w:rFonts w:ascii="Avenir Next" w:hAnsi="Avenir Next" w:cs="Arial"/>
          <w:i/>
          <w:iCs/>
          <w:color w:val="808080" w:themeColor="background1" w:themeShade="80"/>
          <w:sz w:val="22"/>
          <w:szCs w:val="22"/>
          <w:lang w:val="en-GB"/>
        </w:rPr>
        <w:t>Khadzhi</w:t>
      </w:r>
      <w:proofErr w:type="spellEnd"/>
      <w:r w:rsidR="00915DFC" w:rsidRPr="005D4C1D">
        <w:rPr>
          <w:rFonts w:ascii="Avenir Next" w:hAnsi="Avenir Next" w:cs="Arial"/>
          <w:i/>
          <w:iCs/>
          <w:color w:val="808080" w:themeColor="background1" w:themeShade="80"/>
          <w:sz w:val="22"/>
          <w:szCs w:val="22"/>
          <w:lang w:val="en-GB"/>
        </w:rPr>
        <w:t xml:space="preserve">-Murat </w:t>
      </w:r>
      <w:proofErr w:type="spellStart"/>
      <w:r w:rsidR="00915DFC" w:rsidRPr="005D4C1D">
        <w:rPr>
          <w:rFonts w:ascii="Avenir Next" w:hAnsi="Avenir Next" w:cs="Arial"/>
          <w:i/>
          <w:iCs/>
          <w:color w:val="808080" w:themeColor="background1" w:themeShade="80"/>
          <w:sz w:val="22"/>
          <w:szCs w:val="22"/>
          <w:lang w:val="en-GB"/>
        </w:rPr>
        <w:t>Derev</w:t>
      </w:r>
      <w:proofErr w:type="spellEnd"/>
      <w:r w:rsidR="00607492">
        <w:rPr>
          <w:rStyle w:val="FootnoteReference"/>
          <w:rFonts w:ascii="Avenir Next" w:hAnsi="Avenir Next" w:cs="Arial"/>
          <w:i/>
          <w:iCs/>
          <w:color w:val="7030A0"/>
          <w:sz w:val="22"/>
          <w:szCs w:val="22"/>
          <w:lang w:val="en-GB"/>
        </w:rPr>
        <w:footnoteReference w:id="10"/>
      </w:r>
      <w:r w:rsidR="00915DFC" w:rsidRPr="00390FB0">
        <w:rPr>
          <w:rFonts w:ascii="Avenir Next" w:hAnsi="Avenir Next" w:cs="Arial"/>
          <w:color w:val="7030A0"/>
          <w:sz w:val="22"/>
          <w:szCs w:val="22"/>
          <w:lang w:val="en-GB"/>
        </w:rPr>
        <w:t xml:space="preserve"> </w:t>
      </w:r>
      <w:r w:rsidR="00915DFC" w:rsidRPr="005D4C1D">
        <w:rPr>
          <w:rFonts w:ascii="Avenir Next" w:hAnsi="Avenir Next" w:cs="Arial"/>
          <w:color w:val="808080" w:themeColor="background1" w:themeShade="80"/>
          <w:sz w:val="22"/>
          <w:szCs w:val="22"/>
          <w:lang w:val="en-GB"/>
        </w:rPr>
        <w:t>a</w:t>
      </w:r>
      <w:r w:rsidRPr="005D4C1D">
        <w:rPr>
          <w:rFonts w:ascii="Avenir Next" w:hAnsi="Avenir Next" w:cs="Arial"/>
          <w:color w:val="808080" w:themeColor="background1" w:themeShade="80"/>
          <w:sz w:val="22"/>
          <w:szCs w:val="22"/>
          <w:lang w:val="en-GB"/>
        </w:rPr>
        <w:t xml:space="preserve"> post recognition </w:t>
      </w:r>
      <w:r w:rsidR="00915DFC" w:rsidRPr="005D4C1D">
        <w:rPr>
          <w:rFonts w:ascii="Avenir Next" w:hAnsi="Avenir Next" w:cs="Arial"/>
          <w:color w:val="808080" w:themeColor="background1" w:themeShade="80"/>
          <w:sz w:val="22"/>
          <w:szCs w:val="22"/>
          <w:lang w:val="en-GB"/>
        </w:rPr>
        <w:t>application under Article 21 for</w:t>
      </w:r>
      <w:r w:rsidRPr="005D4C1D">
        <w:rPr>
          <w:rFonts w:ascii="Avenir Next" w:hAnsi="Avenir Next" w:cs="Arial"/>
          <w:color w:val="808080" w:themeColor="background1" w:themeShade="80"/>
          <w:sz w:val="22"/>
          <w:szCs w:val="22"/>
          <w:lang w:val="en-GB"/>
        </w:rPr>
        <w:t xml:space="preserve"> the continuation of</w:t>
      </w:r>
      <w:r w:rsidR="00915DFC" w:rsidRPr="005D4C1D">
        <w:rPr>
          <w:rFonts w:ascii="Avenir Next" w:hAnsi="Avenir Next" w:cs="Arial"/>
          <w:color w:val="808080" w:themeColor="background1" w:themeShade="80"/>
          <w:sz w:val="22"/>
          <w:szCs w:val="22"/>
          <w:lang w:val="en-GB"/>
        </w:rPr>
        <w:t xml:space="preserve"> a worldwide freezing order </w:t>
      </w:r>
      <w:r w:rsidRPr="005D4C1D">
        <w:rPr>
          <w:rFonts w:ascii="Avenir Next" w:hAnsi="Avenir Next" w:cs="Arial"/>
          <w:color w:val="808080" w:themeColor="background1" w:themeShade="80"/>
          <w:sz w:val="22"/>
          <w:szCs w:val="22"/>
          <w:lang w:val="en-GB"/>
        </w:rPr>
        <w:t xml:space="preserve">previously </w:t>
      </w:r>
      <w:r w:rsidR="00915DFC" w:rsidRPr="005D4C1D">
        <w:rPr>
          <w:rFonts w:ascii="Avenir Next" w:hAnsi="Avenir Next" w:cs="Arial"/>
          <w:color w:val="808080" w:themeColor="background1" w:themeShade="80"/>
          <w:sz w:val="22"/>
          <w:szCs w:val="22"/>
          <w:lang w:val="en-GB"/>
        </w:rPr>
        <w:t xml:space="preserve">granted under Article 19 was unsuccessful because the court held that there were restrictions </w:t>
      </w:r>
      <w:r w:rsidRPr="005D4C1D">
        <w:rPr>
          <w:rFonts w:ascii="Avenir Next" w:hAnsi="Avenir Next" w:cs="Arial"/>
          <w:color w:val="808080" w:themeColor="background1" w:themeShade="80"/>
          <w:sz w:val="22"/>
          <w:szCs w:val="22"/>
          <w:lang w:val="en-GB"/>
        </w:rPr>
        <w:t xml:space="preserve">and limitations on the </w:t>
      </w:r>
      <w:r w:rsidR="00607492" w:rsidRPr="005D4C1D">
        <w:rPr>
          <w:rFonts w:ascii="Avenir Next" w:hAnsi="Avenir Next" w:cs="Arial"/>
          <w:color w:val="808080" w:themeColor="background1" w:themeShade="80"/>
          <w:sz w:val="22"/>
          <w:szCs w:val="22"/>
          <w:lang w:val="en-GB"/>
        </w:rPr>
        <w:t>court’s</w:t>
      </w:r>
      <w:r w:rsidRPr="005D4C1D">
        <w:rPr>
          <w:rFonts w:ascii="Avenir Next" w:hAnsi="Avenir Next" w:cs="Arial"/>
          <w:color w:val="808080" w:themeColor="background1" w:themeShade="80"/>
          <w:sz w:val="22"/>
          <w:szCs w:val="22"/>
          <w:lang w:val="en-GB"/>
        </w:rPr>
        <w:t xml:space="preserve"> jurisdiction to apply A</w:t>
      </w:r>
      <w:r w:rsidR="00915DFC" w:rsidRPr="005D4C1D">
        <w:rPr>
          <w:rFonts w:ascii="Avenir Next" w:hAnsi="Avenir Next" w:cs="Arial"/>
          <w:color w:val="808080" w:themeColor="background1" w:themeShade="80"/>
          <w:sz w:val="22"/>
          <w:szCs w:val="22"/>
          <w:lang w:val="en-GB"/>
        </w:rPr>
        <w:t xml:space="preserve">rticle 21.  </w:t>
      </w:r>
      <w:r w:rsidRPr="005D4C1D">
        <w:rPr>
          <w:rFonts w:ascii="Avenir Next" w:hAnsi="Avenir Next" w:cs="Arial"/>
          <w:color w:val="808080" w:themeColor="background1" w:themeShade="80"/>
          <w:sz w:val="22"/>
          <w:szCs w:val="22"/>
          <w:lang w:val="en-GB"/>
        </w:rPr>
        <w:t xml:space="preserve">The court noted that the scheme of the MLCBI </w:t>
      </w:r>
      <w:r w:rsidR="00915DFC" w:rsidRPr="005D4C1D">
        <w:rPr>
          <w:rFonts w:ascii="Avenir Next" w:hAnsi="Avenir Next" w:cs="Arial"/>
          <w:color w:val="808080" w:themeColor="background1" w:themeShade="80"/>
          <w:sz w:val="22"/>
          <w:szCs w:val="22"/>
          <w:lang w:val="en-GB"/>
        </w:rPr>
        <w:t xml:space="preserve">aimed to put </w:t>
      </w:r>
      <w:r w:rsidRPr="005D4C1D">
        <w:rPr>
          <w:rFonts w:ascii="Avenir Next" w:hAnsi="Avenir Next" w:cs="Arial"/>
          <w:color w:val="808080" w:themeColor="background1" w:themeShade="80"/>
          <w:sz w:val="22"/>
          <w:szCs w:val="22"/>
          <w:lang w:val="en-GB"/>
        </w:rPr>
        <w:t xml:space="preserve">foreign </w:t>
      </w:r>
      <w:r w:rsidR="00915DFC" w:rsidRPr="005D4C1D">
        <w:rPr>
          <w:rFonts w:ascii="Avenir Next" w:hAnsi="Avenir Next" w:cs="Arial"/>
          <w:color w:val="808080" w:themeColor="background1" w:themeShade="80"/>
          <w:sz w:val="22"/>
          <w:szCs w:val="22"/>
          <w:lang w:val="en-GB"/>
        </w:rPr>
        <w:t>rep</w:t>
      </w:r>
      <w:r w:rsidRPr="005D4C1D">
        <w:rPr>
          <w:rFonts w:ascii="Avenir Next" w:hAnsi="Avenir Next" w:cs="Arial"/>
          <w:color w:val="808080" w:themeColor="background1" w:themeShade="80"/>
          <w:sz w:val="22"/>
          <w:szCs w:val="22"/>
          <w:lang w:val="en-GB"/>
        </w:rPr>
        <w:t xml:space="preserve">resentatives (following recognition) in </w:t>
      </w:r>
      <w:r w:rsidR="00915DFC" w:rsidRPr="005D4C1D">
        <w:rPr>
          <w:rFonts w:ascii="Avenir Next" w:hAnsi="Avenir Next" w:cs="Arial"/>
          <w:color w:val="808080" w:themeColor="background1" w:themeShade="80"/>
          <w:sz w:val="22"/>
          <w:szCs w:val="22"/>
          <w:lang w:val="en-GB"/>
        </w:rPr>
        <w:t>the same position</w:t>
      </w:r>
      <w:r w:rsidRPr="005D4C1D">
        <w:rPr>
          <w:rFonts w:ascii="Avenir Next" w:hAnsi="Avenir Next" w:cs="Arial"/>
          <w:color w:val="808080" w:themeColor="background1" w:themeShade="80"/>
          <w:sz w:val="22"/>
          <w:szCs w:val="22"/>
          <w:lang w:val="en-GB"/>
        </w:rPr>
        <w:t>,</w:t>
      </w:r>
      <w:r w:rsidR="00915DFC" w:rsidRPr="005D4C1D">
        <w:rPr>
          <w:rFonts w:ascii="Avenir Next" w:hAnsi="Avenir Next" w:cs="Arial"/>
          <w:color w:val="808080" w:themeColor="background1" w:themeShade="80"/>
          <w:sz w:val="22"/>
          <w:szCs w:val="22"/>
          <w:lang w:val="en-GB"/>
        </w:rPr>
        <w:t xml:space="preserve"> as far as practicable</w:t>
      </w:r>
      <w:r w:rsidRPr="005D4C1D">
        <w:rPr>
          <w:rFonts w:ascii="Avenir Next" w:hAnsi="Avenir Next" w:cs="Arial"/>
          <w:color w:val="808080" w:themeColor="background1" w:themeShade="80"/>
          <w:sz w:val="22"/>
          <w:szCs w:val="22"/>
          <w:lang w:val="en-GB"/>
        </w:rPr>
        <w:t>,</w:t>
      </w:r>
      <w:r w:rsidR="00915DFC" w:rsidRPr="005D4C1D">
        <w:rPr>
          <w:rFonts w:ascii="Avenir Next" w:hAnsi="Avenir Next" w:cs="Arial"/>
          <w:color w:val="808080" w:themeColor="background1" w:themeShade="80"/>
          <w:sz w:val="22"/>
          <w:szCs w:val="22"/>
          <w:lang w:val="en-GB"/>
        </w:rPr>
        <w:t xml:space="preserve"> as </w:t>
      </w:r>
      <w:r w:rsidRPr="005D4C1D">
        <w:rPr>
          <w:rFonts w:ascii="Avenir Next" w:hAnsi="Avenir Next" w:cs="Arial"/>
          <w:color w:val="808080" w:themeColor="background1" w:themeShade="80"/>
          <w:sz w:val="22"/>
          <w:szCs w:val="22"/>
          <w:lang w:val="en-GB"/>
        </w:rPr>
        <w:t xml:space="preserve">domestic </w:t>
      </w:r>
      <w:r w:rsidR="00915DFC" w:rsidRPr="005D4C1D">
        <w:rPr>
          <w:rFonts w:ascii="Avenir Next" w:hAnsi="Avenir Next" w:cs="Arial"/>
          <w:color w:val="808080" w:themeColor="background1" w:themeShade="80"/>
          <w:sz w:val="22"/>
          <w:szCs w:val="22"/>
          <w:lang w:val="en-GB"/>
        </w:rPr>
        <w:t xml:space="preserve">insolvency </w:t>
      </w:r>
      <w:r w:rsidRPr="005D4C1D">
        <w:rPr>
          <w:rFonts w:ascii="Avenir Next" w:hAnsi="Avenir Next" w:cs="Arial"/>
          <w:color w:val="808080" w:themeColor="background1" w:themeShade="80"/>
          <w:sz w:val="22"/>
          <w:szCs w:val="22"/>
          <w:lang w:val="en-GB"/>
        </w:rPr>
        <w:t xml:space="preserve">officeholder.  </w:t>
      </w:r>
      <w:r w:rsidR="00607492" w:rsidRPr="005D4C1D">
        <w:rPr>
          <w:rFonts w:ascii="Avenir Next" w:hAnsi="Avenir Next" w:cs="Arial"/>
          <w:color w:val="808080" w:themeColor="background1" w:themeShade="80"/>
          <w:sz w:val="22"/>
          <w:szCs w:val="22"/>
          <w:lang w:val="en-GB"/>
        </w:rPr>
        <w:t>S</w:t>
      </w:r>
      <w:r w:rsidRPr="005D4C1D">
        <w:rPr>
          <w:rFonts w:ascii="Avenir Next" w:hAnsi="Avenir Next" w:cs="Arial"/>
          <w:color w:val="808080" w:themeColor="background1" w:themeShade="80"/>
          <w:sz w:val="22"/>
          <w:szCs w:val="22"/>
          <w:lang w:val="en-GB"/>
        </w:rPr>
        <w:t xml:space="preserve">uch officeholder would have access to tools available in the </w:t>
      </w:r>
      <w:r w:rsidR="00915DFC" w:rsidRPr="005D4C1D">
        <w:rPr>
          <w:rFonts w:ascii="Avenir Next" w:hAnsi="Avenir Next" w:cs="Arial"/>
          <w:color w:val="808080" w:themeColor="background1" w:themeShade="80"/>
          <w:sz w:val="22"/>
          <w:szCs w:val="22"/>
          <w:lang w:val="en-GB"/>
        </w:rPr>
        <w:t xml:space="preserve">UK </w:t>
      </w:r>
      <w:r w:rsidRPr="005D4C1D">
        <w:rPr>
          <w:rFonts w:ascii="Avenir Next" w:hAnsi="Avenir Next" w:cs="Arial"/>
          <w:color w:val="808080" w:themeColor="background1" w:themeShade="80"/>
          <w:sz w:val="22"/>
          <w:szCs w:val="22"/>
          <w:lang w:val="en-GB"/>
        </w:rPr>
        <w:t>insolvency framework.  i.e. t</w:t>
      </w:r>
      <w:r w:rsidR="00915DFC" w:rsidRPr="005D4C1D">
        <w:rPr>
          <w:rFonts w:ascii="Avenir Next" w:hAnsi="Avenir Next" w:cs="Arial"/>
          <w:color w:val="808080" w:themeColor="background1" w:themeShade="80"/>
          <w:sz w:val="22"/>
          <w:szCs w:val="22"/>
          <w:lang w:val="en-GB"/>
        </w:rPr>
        <w:t xml:space="preserve">he UK </w:t>
      </w:r>
      <w:r w:rsidRPr="005D4C1D">
        <w:rPr>
          <w:rFonts w:ascii="Avenir Next" w:hAnsi="Avenir Next" w:cs="Arial"/>
          <w:color w:val="808080" w:themeColor="background1" w:themeShade="80"/>
          <w:sz w:val="22"/>
          <w:szCs w:val="22"/>
          <w:lang w:val="en-GB"/>
        </w:rPr>
        <w:t>bankruptcy</w:t>
      </w:r>
      <w:r w:rsidR="00915DFC" w:rsidRPr="005D4C1D">
        <w:rPr>
          <w:rFonts w:ascii="Avenir Next" w:hAnsi="Avenir Next" w:cs="Arial"/>
          <w:color w:val="808080" w:themeColor="background1" w:themeShade="80"/>
          <w:sz w:val="22"/>
          <w:szCs w:val="22"/>
          <w:lang w:val="en-GB"/>
        </w:rPr>
        <w:t xml:space="preserve"> regime offered other forms of protection which the foreign </w:t>
      </w:r>
      <w:r w:rsidRPr="005D4C1D">
        <w:rPr>
          <w:rFonts w:ascii="Avenir Next" w:hAnsi="Avenir Next" w:cs="Arial"/>
          <w:color w:val="808080" w:themeColor="background1" w:themeShade="80"/>
          <w:sz w:val="22"/>
          <w:szCs w:val="22"/>
          <w:lang w:val="en-GB"/>
        </w:rPr>
        <w:t xml:space="preserve">representative now had access to </w:t>
      </w:r>
      <w:r w:rsidR="00915DFC" w:rsidRPr="005D4C1D">
        <w:rPr>
          <w:rFonts w:ascii="Avenir Next" w:hAnsi="Avenir Next" w:cs="Arial"/>
          <w:color w:val="808080" w:themeColor="background1" w:themeShade="80"/>
          <w:sz w:val="22"/>
          <w:szCs w:val="22"/>
          <w:lang w:val="en-GB"/>
        </w:rPr>
        <w:t xml:space="preserve">following </w:t>
      </w:r>
      <w:r w:rsidRPr="005D4C1D">
        <w:rPr>
          <w:rFonts w:ascii="Avenir Next" w:hAnsi="Avenir Next" w:cs="Arial"/>
          <w:color w:val="808080" w:themeColor="background1" w:themeShade="80"/>
          <w:sz w:val="22"/>
          <w:szCs w:val="22"/>
          <w:lang w:val="en-GB"/>
        </w:rPr>
        <w:t>recognition</w:t>
      </w:r>
      <w:r w:rsidR="00915DFC" w:rsidRPr="005D4C1D">
        <w:rPr>
          <w:rFonts w:ascii="Avenir Next" w:hAnsi="Avenir Next" w:cs="Arial"/>
          <w:color w:val="808080" w:themeColor="background1" w:themeShade="80"/>
          <w:sz w:val="22"/>
          <w:szCs w:val="22"/>
          <w:lang w:val="en-GB"/>
        </w:rPr>
        <w:t xml:space="preserve">.  </w:t>
      </w:r>
      <w:r w:rsidR="00607492" w:rsidRPr="005D4C1D">
        <w:rPr>
          <w:rFonts w:ascii="Avenir Next" w:hAnsi="Avenir Next" w:cs="Arial"/>
          <w:color w:val="808080" w:themeColor="background1" w:themeShade="80"/>
          <w:sz w:val="22"/>
          <w:szCs w:val="22"/>
          <w:lang w:val="en-GB"/>
        </w:rPr>
        <w:lastRenderedPageBreak/>
        <w:t>Therefore,</w:t>
      </w:r>
      <w:r w:rsidR="00915DFC" w:rsidRPr="005D4C1D">
        <w:rPr>
          <w:rFonts w:ascii="Avenir Next" w:hAnsi="Avenir Next" w:cs="Arial"/>
          <w:color w:val="808080" w:themeColor="background1" w:themeShade="80"/>
          <w:sz w:val="22"/>
          <w:szCs w:val="22"/>
          <w:lang w:val="en-GB"/>
        </w:rPr>
        <w:t xml:space="preserve"> the continued freezing order would not be </w:t>
      </w:r>
      <w:r w:rsidR="00A220D9" w:rsidRPr="005D4C1D">
        <w:rPr>
          <w:rFonts w:ascii="Avenir Next" w:hAnsi="Avenir Next" w:cs="Arial"/>
          <w:color w:val="808080" w:themeColor="background1" w:themeShade="80"/>
          <w:sz w:val="22"/>
          <w:szCs w:val="22"/>
          <w:lang w:val="en-GB"/>
        </w:rPr>
        <w:t xml:space="preserve">necessary, </w:t>
      </w:r>
      <w:r w:rsidRPr="005D4C1D">
        <w:rPr>
          <w:rFonts w:ascii="Avenir Next" w:hAnsi="Avenir Next" w:cs="Arial"/>
          <w:color w:val="808080" w:themeColor="background1" w:themeShade="80"/>
          <w:sz w:val="22"/>
          <w:szCs w:val="22"/>
          <w:lang w:val="en-GB"/>
        </w:rPr>
        <w:t xml:space="preserve">justified </w:t>
      </w:r>
      <w:r w:rsidR="00915DFC" w:rsidRPr="005D4C1D">
        <w:rPr>
          <w:rFonts w:ascii="Avenir Next" w:hAnsi="Avenir Next" w:cs="Arial"/>
          <w:color w:val="808080" w:themeColor="background1" w:themeShade="80"/>
          <w:sz w:val="22"/>
          <w:szCs w:val="22"/>
          <w:lang w:val="en-GB"/>
        </w:rPr>
        <w:t>or appropriate</w:t>
      </w:r>
      <w:r w:rsidRPr="005D4C1D">
        <w:rPr>
          <w:rFonts w:ascii="Avenir Next" w:hAnsi="Avenir Next" w:cs="Arial"/>
          <w:color w:val="808080" w:themeColor="background1" w:themeShade="80"/>
          <w:sz w:val="22"/>
          <w:szCs w:val="22"/>
          <w:lang w:val="en-GB"/>
        </w:rPr>
        <w:t>, there being no exceptional or special reasons</w:t>
      </w:r>
      <w:r w:rsidR="00390FB0" w:rsidRPr="005D4C1D">
        <w:rPr>
          <w:rFonts w:ascii="Avenir Next" w:hAnsi="Avenir Next" w:cs="Arial"/>
          <w:color w:val="808080" w:themeColor="background1" w:themeShade="80"/>
          <w:sz w:val="22"/>
          <w:szCs w:val="22"/>
          <w:lang w:val="en-GB"/>
        </w:rPr>
        <w:t xml:space="preserve">.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9D6F7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9D6F7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9D6F71">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9D6F71">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9D6F71">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9D6F71">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9D6F7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9D6F7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9D6F7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9D6F7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9D6F71">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6FC0A904" w14:textId="77777777" w:rsidR="00760A57" w:rsidRDefault="00760A57" w:rsidP="00760A57">
      <w:pPr>
        <w:ind w:left="720"/>
        <w:jc w:val="both"/>
        <w:rPr>
          <w:rFonts w:ascii="Avenir Next" w:hAnsi="Avenir Next" w:cs="Arial"/>
          <w:color w:val="808080" w:themeColor="background1" w:themeShade="80"/>
          <w:sz w:val="22"/>
          <w:szCs w:val="22"/>
          <w:lang w:val="en-GB"/>
        </w:rPr>
      </w:pPr>
    </w:p>
    <w:p w14:paraId="0D30E849" w14:textId="101E19A8" w:rsidR="001836A6" w:rsidRPr="00760A57" w:rsidRDefault="00752A14" w:rsidP="005C2B40">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lastRenderedPageBreak/>
        <w:t xml:space="preserve">For the bank’s liquidation to be determined a </w:t>
      </w:r>
      <w:r w:rsidR="00025FD4" w:rsidRPr="00760A57">
        <w:rPr>
          <w:rFonts w:ascii="Avenir Next" w:hAnsi="Avenir Next" w:cs="Arial"/>
          <w:color w:val="808080" w:themeColor="background1" w:themeShade="80"/>
          <w:sz w:val="22"/>
          <w:szCs w:val="22"/>
          <w:lang w:val="en-GB"/>
        </w:rPr>
        <w:t>“</w:t>
      </w:r>
      <w:r w:rsidRPr="00760A57">
        <w:rPr>
          <w:rFonts w:ascii="Avenir Next" w:hAnsi="Avenir Next" w:cs="Arial"/>
          <w:color w:val="808080" w:themeColor="background1" w:themeShade="80"/>
          <w:sz w:val="22"/>
          <w:szCs w:val="22"/>
          <w:lang w:val="en-GB"/>
        </w:rPr>
        <w:t>foreign proceeding</w:t>
      </w:r>
      <w:r w:rsidR="00025FD4" w:rsidRPr="00760A57">
        <w:rPr>
          <w:rFonts w:ascii="Avenir Next" w:hAnsi="Avenir Next" w:cs="Arial"/>
          <w:color w:val="808080" w:themeColor="background1" w:themeShade="80"/>
          <w:sz w:val="22"/>
          <w:szCs w:val="22"/>
          <w:lang w:val="en-GB"/>
        </w:rPr>
        <w:t>”</w:t>
      </w:r>
      <w:r w:rsidRPr="00760A57">
        <w:rPr>
          <w:rFonts w:ascii="Avenir Next" w:hAnsi="Avenir Next" w:cs="Arial"/>
          <w:color w:val="808080" w:themeColor="background1" w:themeShade="80"/>
          <w:sz w:val="22"/>
          <w:szCs w:val="22"/>
          <w:lang w:val="en-GB"/>
        </w:rPr>
        <w:t xml:space="preserve"> within the meaning of </w:t>
      </w:r>
      <w:r w:rsidR="007C5E0C" w:rsidRPr="00760A57">
        <w:rPr>
          <w:rFonts w:ascii="Avenir Next" w:hAnsi="Avenir Next" w:cs="Arial"/>
          <w:color w:val="808080" w:themeColor="background1" w:themeShade="80"/>
          <w:sz w:val="22"/>
          <w:szCs w:val="22"/>
          <w:lang w:val="en-GB"/>
        </w:rPr>
        <w:t xml:space="preserve">Article </w:t>
      </w:r>
      <w:r w:rsidRPr="00760A57">
        <w:rPr>
          <w:rFonts w:ascii="Avenir Next" w:hAnsi="Avenir Next" w:cs="Arial"/>
          <w:color w:val="808080" w:themeColor="background1" w:themeShade="80"/>
          <w:sz w:val="22"/>
          <w:szCs w:val="22"/>
          <w:lang w:val="en-GB"/>
        </w:rPr>
        <w:t xml:space="preserve">2(a) of the MLCBI it has to satisfy the following characteristics or </w:t>
      </w:r>
      <w:r w:rsidR="005C2B40" w:rsidRPr="00760A57">
        <w:rPr>
          <w:rFonts w:ascii="Avenir Next" w:hAnsi="Avenir Next" w:cs="Arial"/>
          <w:color w:val="808080" w:themeColor="background1" w:themeShade="80"/>
          <w:sz w:val="22"/>
          <w:szCs w:val="22"/>
          <w:lang w:val="en-GB"/>
        </w:rPr>
        <w:t>requirements</w:t>
      </w:r>
      <w:r w:rsidRPr="00760A57">
        <w:rPr>
          <w:rFonts w:ascii="Avenir Next" w:hAnsi="Avenir Next" w:cs="Arial"/>
          <w:color w:val="808080" w:themeColor="background1" w:themeShade="80"/>
          <w:sz w:val="22"/>
          <w:szCs w:val="22"/>
          <w:lang w:val="en-GB"/>
        </w:rPr>
        <w:t xml:space="preserve">: </w:t>
      </w:r>
    </w:p>
    <w:p w14:paraId="15ED3C8D" w14:textId="4938A93D" w:rsidR="00752A14" w:rsidRPr="00760A57" w:rsidRDefault="00752A14" w:rsidP="00760A57">
      <w:pPr>
        <w:ind w:left="720"/>
        <w:jc w:val="both"/>
        <w:rPr>
          <w:rFonts w:ascii="Avenir Next" w:hAnsi="Avenir Next" w:cs="Arial"/>
          <w:color w:val="808080" w:themeColor="background1" w:themeShade="80"/>
          <w:sz w:val="22"/>
          <w:szCs w:val="22"/>
          <w:lang w:val="en-GB"/>
        </w:rPr>
      </w:pPr>
    </w:p>
    <w:p w14:paraId="26B49F91" w14:textId="5D6638DD" w:rsidR="00DC6CF3" w:rsidRPr="00760A57" w:rsidRDefault="00752A14" w:rsidP="00760A57">
      <w:pPr>
        <w:ind w:left="2160" w:hanging="1440"/>
        <w:jc w:val="both"/>
        <w:rPr>
          <w:rFonts w:ascii="Avenir Next" w:hAnsi="Avenir Next" w:cs="Arial"/>
          <w:color w:val="808080" w:themeColor="background1" w:themeShade="80"/>
          <w:sz w:val="22"/>
          <w:szCs w:val="22"/>
          <w:lang w:val="en-GB"/>
        </w:rPr>
      </w:pPr>
      <w:r w:rsidRPr="00760A57">
        <w:rPr>
          <w:rFonts w:ascii="Avenir Next" w:hAnsi="Avenir Next" w:cs="Arial"/>
          <w:b/>
          <w:bCs/>
          <w:color w:val="808080" w:themeColor="background1" w:themeShade="80"/>
          <w:sz w:val="22"/>
          <w:szCs w:val="22"/>
          <w:lang w:val="en-GB"/>
        </w:rPr>
        <w:t>Collective</w:t>
      </w:r>
      <w:r w:rsidRPr="00760A57">
        <w:rPr>
          <w:rFonts w:ascii="Avenir Next" w:hAnsi="Avenir Next" w:cs="Arial"/>
          <w:color w:val="808080" w:themeColor="background1" w:themeShade="80"/>
          <w:sz w:val="22"/>
          <w:szCs w:val="22"/>
          <w:lang w:val="en-GB"/>
        </w:rPr>
        <w:t xml:space="preserve">:  </w:t>
      </w:r>
      <w:r w:rsidR="005C2B40" w:rsidRPr="00760A57">
        <w:rPr>
          <w:rFonts w:ascii="Avenir Next" w:hAnsi="Avenir Next" w:cs="Arial"/>
          <w:color w:val="808080" w:themeColor="background1" w:themeShade="80"/>
          <w:sz w:val="22"/>
          <w:szCs w:val="22"/>
          <w:lang w:val="en-GB"/>
        </w:rPr>
        <w:tab/>
        <w:t xml:space="preserve">the </w:t>
      </w:r>
      <w:r w:rsidRPr="00760A57">
        <w:rPr>
          <w:rFonts w:ascii="Avenir Next" w:hAnsi="Avenir Next" w:cs="Arial"/>
          <w:color w:val="808080" w:themeColor="background1" w:themeShade="80"/>
          <w:sz w:val="22"/>
          <w:szCs w:val="22"/>
          <w:lang w:val="en-GB"/>
        </w:rPr>
        <w:t xml:space="preserve">proceeding must be collective in nature.  </w:t>
      </w:r>
      <w:r w:rsidR="003D44D3" w:rsidRPr="00760A57">
        <w:rPr>
          <w:rFonts w:ascii="Avenir Next" w:hAnsi="Avenir Next" w:cs="Arial"/>
          <w:color w:val="808080" w:themeColor="background1" w:themeShade="80"/>
          <w:sz w:val="22"/>
          <w:szCs w:val="22"/>
          <w:lang w:val="en-GB"/>
        </w:rPr>
        <w:t>The G</w:t>
      </w:r>
      <w:r w:rsidR="009700EC" w:rsidRPr="00760A57">
        <w:rPr>
          <w:rFonts w:ascii="Avenir Next" w:hAnsi="Avenir Next" w:cs="Arial"/>
          <w:color w:val="808080" w:themeColor="background1" w:themeShade="80"/>
          <w:sz w:val="22"/>
          <w:szCs w:val="22"/>
          <w:lang w:val="en-GB"/>
        </w:rPr>
        <w:t xml:space="preserve">EI </w:t>
      </w:r>
      <w:r w:rsidR="003D44D3" w:rsidRPr="00760A57">
        <w:rPr>
          <w:rFonts w:ascii="Avenir Next" w:hAnsi="Avenir Next" w:cs="Arial"/>
          <w:color w:val="808080" w:themeColor="background1" w:themeShade="80"/>
          <w:sz w:val="22"/>
          <w:szCs w:val="22"/>
          <w:lang w:val="en-GB"/>
        </w:rPr>
        <w:t>states that “In evaluating whether a given proceeding is collective for the purpose of the Model Law, a key consideration is whether substantially all of the assets and liabilities of the debtor are dealt with in the proceeding…</w:t>
      </w:r>
      <w:r w:rsidR="003D44D3" w:rsidRPr="009700EC">
        <w:rPr>
          <w:rFonts w:ascii="Avenir Next" w:hAnsi="Avenir Next" w:cs="Arial"/>
          <w:color w:val="7030A0"/>
          <w:sz w:val="22"/>
          <w:szCs w:val="22"/>
          <w:lang w:val="en-GB" w:eastAsia="en-GB"/>
        </w:rPr>
        <w:t>”</w:t>
      </w:r>
      <w:r w:rsidR="0047666B" w:rsidRPr="00760A57">
        <w:rPr>
          <w:rStyle w:val="FootnoteReference"/>
          <w:rFonts w:ascii="Avenir Next" w:hAnsi="Avenir Next"/>
          <w:color w:val="7030A0"/>
        </w:rPr>
        <w:footnoteReference w:id="11"/>
      </w:r>
      <w:r w:rsidR="009700EC">
        <w:rPr>
          <w:rFonts w:ascii="Avenir Next" w:hAnsi="Avenir Next" w:cs="Arial"/>
          <w:color w:val="7030A0"/>
          <w:sz w:val="22"/>
          <w:szCs w:val="22"/>
          <w:lang w:val="en-GB" w:eastAsia="en-GB"/>
        </w:rPr>
        <w:t>.</w:t>
      </w:r>
      <w:r w:rsidR="009700EC" w:rsidRPr="00DE1F5D">
        <w:rPr>
          <w:rFonts w:ascii="Avenir Next" w:hAnsi="Avenir Next" w:cs="Arial"/>
          <w:color w:val="808080" w:themeColor="background1" w:themeShade="80"/>
          <w:sz w:val="22"/>
          <w:szCs w:val="22"/>
          <w:lang w:val="en-GB"/>
        </w:rPr>
        <w:t xml:space="preserve">  </w:t>
      </w:r>
      <w:r w:rsidR="00E03248" w:rsidRPr="00760A57">
        <w:rPr>
          <w:rFonts w:ascii="Avenir Next" w:hAnsi="Avenir Next" w:cs="Arial"/>
          <w:color w:val="808080" w:themeColor="background1" w:themeShade="80"/>
          <w:sz w:val="22"/>
          <w:szCs w:val="22"/>
          <w:lang w:val="en-GB"/>
        </w:rPr>
        <w:t xml:space="preserve">In </w:t>
      </w:r>
      <w:proofErr w:type="spellStart"/>
      <w:r w:rsidR="00E03248" w:rsidRPr="00760A57">
        <w:rPr>
          <w:rFonts w:ascii="Avenir Next" w:hAnsi="Avenir Next" w:cs="Arial"/>
          <w:i/>
          <w:iCs/>
          <w:color w:val="808080" w:themeColor="background1" w:themeShade="80"/>
          <w:sz w:val="22"/>
          <w:szCs w:val="22"/>
          <w:lang w:val="en-GB"/>
        </w:rPr>
        <w:t>Betcorp</w:t>
      </w:r>
      <w:proofErr w:type="spellEnd"/>
      <w:r w:rsidR="00E03248" w:rsidRPr="00760A57">
        <w:rPr>
          <w:rFonts w:ascii="Avenir Next" w:hAnsi="Avenir Next" w:cs="Arial"/>
          <w:i/>
          <w:iCs/>
          <w:color w:val="808080" w:themeColor="background1" w:themeShade="80"/>
          <w:sz w:val="22"/>
          <w:szCs w:val="22"/>
          <w:lang w:val="en-GB"/>
        </w:rPr>
        <w:t xml:space="preserve"> (case no. 5)</w:t>
      </w:r>
      <w:r w:rsidR="00E03248" w:rsidRPr="00760A57">
        <w:rPr>
          <w:rFonts w:ascii="Avenir Next" w:hAnsi="Avenir Next" w:cs="Arial"/>
          <w:color w:val="808080" w:themeColor="background1" w:themeShade="80"/>
          <w:sz w:val="22"/>
          <w:szCs w:val="22"/>
          <w:lang w:val="en-GB"/>
        </w:rPr>
        <w:t xml:space="preserve">, the court held that the voluntary liquidation was realizing assets for the benefit of all the debtor’s creditors and as such the requisite aspect of a “collective” proceeding was present. </w:t>
      </w:r>
      <w:r w:rsidR="00E71FD5" w:rsidRPr="00760A57">
        <w:rPr>
          <w:rFonts w:ascii="Avenir Next" w:hAnsi="Avenir Next" w:cs="Arial"/>
          <w:color w:val="808080" w:themeColor="background1" w:themeShade="80"/>
          <w:sz w:val="22"/>
          <w:szCs w:val="22"/>
          <w:lang w:val="en-GB"/>
        </w:rPr>
        <w:t xml:space="preserve"> </w:t>
      </w:r>
      <w:r w:rsidR="00DC6CF3" w:rsidRPr="00760A57">
        <w:rPr>
          <w:rFonts w:ascii="Avenir Next" w:hAnsi="Avenir Next" w:cs="Arial"/>
          <w:color w:val="808080" w:themeColor="background1" w:themeShade="80"/>
          <w:sz w:val="22"/>
          <w:szCs w:val="22"/>
          <w:lang w:val="en-GB"/>
        </w:rPr>
        <w:t>Therefore, the</w:t>
      </w:r>
      <w:r w:rsidR="009700EC" w:rsidRPr="00760A57">
        <w:rPr>
          <w:rFonts w:ascii="Avenir Next" w:hAnsi="Avenir Next" w:cs="Arial"/>
          <w:color w:val="808080" w:themeColor="background1" w:themeShade="80"/>
          <w:sz w:val="22"/>
          <w:szCs w:val="22"/>
          <w:lang w:val="en-GB"/>
        </w:rPr>
        <w:t xml:space="preserve"> </w:t>
      </w:r>
      <w:r w:rsidR="00DC6CF3" w:rsidRPr="00760A57">
        <w:rPr>
          <w:rFonts w:ascii="Avenir Next" w:hAnsi="Avenir Next" w:cs="Arial"/>
          <w:color w:val="808080" w:themeColor="background1" w:themeShade="80"/>
          <w:sz w:val="22"/>
          <w:szCs w:val="22"/>
          <w:lang w:val="en-GB"/>
        </w:rPr>
        <w:t>rights and obligations of all creditors</w:t>
      </w:r>
      <w:r w:rsidR="009700EC" w:rsidRPr="00760A57">
        <w:rPr>
          <w:rFonts w:ascii="Avenir Next" w:hAnsi="Avenir Next" w:cs="Arial"/>
          <w:color w:val="808080" w:themeColor="background1" w:themeShade="80"/>
          <w:sz w:val="22"/>
          <w:szCs w:val="22"/>
          <w:lang w:val="en-GB"/>
        </w:rPr>
        <w:t xml:space="preserve"> must be taken into </w:t>
      </w:r>
      <w:r w:rsidR="00DC6CF3" w:rsidRPr="00760A57">
        <w:rPr>
          <w:rFonts w:ascii="Avenir Next" w:hAnsi="Avenir Next" w:cs="Arial"/>
          <w:color w:val="808080" w:themeColor="background1" w:themeShade="80"/>
          <w:sz w:val="22"/>
          <w:szCs w:val="22"/>
          <w:lang w:val="en-GB"/>
        </w:rPr>
        <w:t xml:space="preserve">account.  </w:t>
      </w:r>
      <w:r w:rsidR="00E71FD5" w:rsidRPr="00760A57">
        <w:rPr>
          <w:rFonts w:ascii="Avenir Next" w:hAnsi="Avenir Next" w:cs="Arial"/>
          <w:color w:val="808080" w:themeColor="background1" w:themeShade="80"/>
          <w:sz w:val="22"/>
          <w:szCs w:val="22"/>
          <w:lang w:val="en-GB"/>
        </w:rPr>
        <w:t xml:space="preserve">Note however, that a proceeding should not fail the “collectiveness” test simply because a particular class of creditor’s right is unaffected by the proceeding e.g. where </w:t>
      </w:r>
      <w:r w:rsidR="002E00A1" w:rsidRPr="00760A57">
        <w:rPr>
          <w:rFonts w:ascii="Avenir Next" w:hAnsi="Avenir Next" w:cs="Arial"/>
          <w:color w:val="808080" w:themeColor="background1" w:themeShade="80"/>
          <w:sz w:val="22"/>
          <w:szCs w:val="22"/>
          <w:lang w:val="en-GB"/>
        </w:rPr>
        <w:t xml:space="preserve">an </w:t>
      </w:r>
      <w:r w:rsidR="00E71FD5" w:rsidRPr="00760A57">
        <w:rPr>
          <w:rFonts w:ascii="Avenir Next" w:hAnsi="Avenir Next" w:cs="Arial"/>
          <w:color w:val="808080" w:themeColor="background1" w:themeShade="80"/>
          <w:sz w:val="22"/>
          <w:szCs w:val="22"/>
          <w:lang w:val="en-GB"/>
        </w:rPr>
        <w:t xml:space="preserve">encumbered asset is excluded from the proceeding.  </w:t>
      </w:r>
    </w:p>
    <w:p w14:paraId="73839B29" w14:textId="77777777" w:rsidR="00DC6CF3" w:rsidRPr="00760A57" w:rsidRDefault="00DC6CF3" w:rsidP="00760A57">
      <w:pPr>
        <w:ind w:left="2160" w:hanging="1440"/>
        <w:jc w:val="both"/>
        <w:rPr>
          <w:rFonts w:ascii="Avenir Next" w:hAnsi="Avenir Next" w:cs="Arial"/>
          <w:color w:val="808080" w:themeColor="background1" w:themeShade="80"/>
          <w:sz w:val="22"/>
          <w:szCs w:val="22"/>
          <w:lang w:val="en-GB"/>
        </w:rPr>
      </w:pPr>
    </w:p>
    <w:p w14:paraId="74AAD1E9" w14:textId="709D4461" w:rsidR="003D44D3" w:rsidRPr="00760A57" w:rsidRDefault="00BC31FF" w:rsidP="00760A57">
      <w:pPr>
        <w:ind w:left="21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submitted that </w:t>
      </w:r>
      <w:r w:rsidR="00F55DCB">
        <w:rPr>
          <w:rFonts w:ascii="Avenir Next" w:hAnsi="Avenir Next" w:cs="Arial"/>
          <w:color w:val="808080" w:themeColor="background1" w:themeShade="80"/>
          <w:sz w:val="22"/>
          <w:szCs w:val="22"/>
          <w:lang w:val="en-GB"/>
        </w:rPr>
        <w:t xml:space="preserve">the proceeding is collective in nature.  </w:t>
      </w:r>
      <w:r w:rsidR="00F55DCB">
        <w:rPr>
          <w:rFonts w:ascii="Avenir Next" w:hAnsi="Avenir Next" w:cs="Arial"/>
          <w:color w:val="808080" w:themeColor="background1" w:themeShade="80"/>
          <w:sz w:val="22"/>
          <w:szCs w:val="22"/>
          <w:lang w:val="en-GB"/>
        </w:rPr>
        <w:t xml:space="preserve">Article 34, 35 and 36 of the DGF Law </w:t>
      </w:r>
      <w:r w:rsidR="00F55DCB">
        <w:rPr>
          <w:rFonts w:ascii="Avenir Next" w:hAnsi="Avenir Next" w:cs="Arial"/>
          <w:color w:val="808080" w:themeColor="background1" w:themeShade="80"/>
          <w:sz w:val="22"/>
          <w:szCs w:val="22"/>
          <w:lang w:val="en-GB"/>
        </w:rPr>
        <w:t xml:space="preserve">gives </w:t>
      </w:r>
      <w:r w:rsidR="00F55DCB">
        <w:rPr>
          <w:rFonts w:ascii="Avenir Next" w:hAnsi="Avenir Next" w:cs="Arial"/>
          <w:color w:val="808080" w:themeColor="background1" w:themeShade="80"/>
          <w:sz w:val="22"/>
          <w:szCs w:val="22"/>
          <w:lang w:val="en-GB"/>
        </w:rPr>
        <w:t>DGF as liquidator all powers to deal with</w:t>
      </w:r>
      <w:r w:rsidR="00CA74D2">
        <w:rPr>
          <w:rFonts w:ascii="Avenir Next" w:hAnsi="Avenir Next" w:cs="Arial"/>
          <w:color w:val="808080" w:themeColor="background1" w:themeShade="80"/>
          <w:sz w:val="22"/>
          <w:szCs w:val="22"/>
          <w:lang w:val="en-GB"/>
        </w:rPr>
        <w:t xml:space="preserve"> all</w:t>
      </w:r>
      <w:r w:rsidR="00F55DCB">
        <w:rPr>
          <w:rFonts w:ascii="Avenir Next" w:hAnsi="Avenir Next" w:cs="Arial"/>
          <w:color w:val="808080" w:themeColor="background1" w:themeShade="80"/>
          <w:sz w:val="22"/>
          <w:szCs w:val="22"/>
          <w:lang w:val="en-GB"/>
        </w:rPr>
        <w:t xml:space="preserve"> the Bank’s asset and </w:t>
      </w:r>
      <w:r w:rsidR="00CA74D2">
        <w:rPr>
          <w:rFonts w:ascii="Avenir Next" w:hAnsi="Avenir Next" w:cs="Arial"/>
          <w:color w:val="808080" w:themeColor="background1" w:themeShade="80"/>
          <w:sz w:val="22"/>
          <w:szCs w:val="22"/>
          <w:lang w:val="en-GB"/>
        </w:rPr>
        <w:t xml:space="preserve">all </w:t>
      </w:r>
      <w:r w:rsidR="00F55DCB">
        <w:rPr>
          <w:rFonts w:ascii="Avenir Next" w:hAnsi="Avenir Next" w:cs="Arial"/>
          <w:color w:val="808080" w:themeColor="background1" w:themeShade="80"/>
          <w:sz w:val="22"/>
          <w:szCs w:val="22"/>
          <w:lang w:val="en-GB"/>
        </w:rPr>
        <w:t xml:space="preserve">creditor claims including such other powers </w:t>
      </w:r>
      <w:r w:rsidR="00CA74D2">
        <w:rPr>
          <w:rFonts w:ascii="Avenir Next" w:hAnsi="Avenir Next" w:cs="Arial"/>
          <w:color w:val="808080" w:themeColor="background1" w:themeShade="80"/>
          <w:sz w:val="22"/>
          <w:szCs w:val="22"/>
          <w:lang w:val="en-GB"/>
        </w:rPr>
        <w:t xml:space="preserve">that </w:t>
      </w:r>
      <w:r w:rsidR="00F55DCB">
        <w:rPr>
          <w:rFonts w:ascii="Avenir Next" w:hAnsi="Avenir Next" w:cs="Arial"/>
          <w:color w:val="808080" w:themeColor="background1" w:themeShade="80"/>
          <w:sz w:val="22"/>
          <w:szCs w:val="22"/>
          <w:lang w:val="en-GB"/>
        </w:rPr>
        <w:t xml:space="preserve">are necessary to complete the liquidation of the Bank. </w:t>
      </w:r>
      <w:r w:rsidR="00F55DCB">
        <w:rPr>
          <w:rFonts w:ascii="Avenir Next" w:hAnsi="Avenir Next" w:cs="Arial"/>
          <w:color w:val="808080" w:themeColor="background1" w:themeShade="80"/>
          <w:sz w:val="22"/>
          <w:szCs w:val="22"/>
          <w:lang w:val="en-GB"/>
        </w:rPr>
        <w:t xml:space="preserve"> In order to execute their duties as liquidator DGF will have to </w:t>
      </w:r>
      <w:r w:rsidR="00E71FD5" w:rsidRPr="00760A57">
        <w:rPr>
          <w:rFonts w:ascii="Avenir Next" w:hAnsi="Avenir Next" w:cs="Arial"/>
          <w:color w:val="808080" w:themeColor="background1" w:themeShade="80"/>
          <w:sz w:val="22"/>
          <w:szCs w:val="22"/>
          <w:lang w:val="en-GB"/>
        </w:rPr>
        <w:t xml:space="preserve">consider all the assets for the benefit of all the </w:t>
      </w:r>
      <w:r w:rsidR="007F2571" w:rsidRPr="00760A57">
        <w:rPr>
          <w:rFonts w:ascii="Avenir Next" w:hAnsi="Avenir Next" w:cs="Arial"/>
          <w:color w:val="808080" w:themeColor="background1" w:themeShade="80"/>
          <w:sz w:val="22"/>
          <w:szCs w:val="22"/>
          <w:lang w:val="en-GB"/>
        </w:rPr>
        <w:t>creditors -</w:t>
      </w:r>
      <w:r w:rsidR="00E71FD5" w:rsidRPr="00760A57">
        <w:rPr>
          <w:rFonts w:ascii="Avenir Next" w:hAnsi="Avenir Next" w:cs="Arial"/>
          <w:color w:val="808080" w:themeColor="background1" w:themeShade="80"/>
          <w:sz w:val="22"/>
          <w:szCs w:val="22"/>
          <w:lang w:val="en-GB"/>
        </w:rPr>
        <w:t xml:space="preserve"> </w:t>
      </w:r>
      <w:r w:rsidR="00E71FD5" w:rsidRPr="00F55DCB">
        <w:rPr>
          <w:rFonts w:ascii="Avenir Next" w:hAnsi="Avenir Next" w:cs="Arial"/>
          <w:i/>
          <w:iCs/>
          <w:color w:val="808080" w:themeColor="background1" w:themeShade="80"/>
          <w:sz w:val="22"/>
          <w:szCs w:val="22"/>
          <w:lang w:val="en-GB"/>
        </w:rPr>
        <w:t>Gold &amp; Honey (case no. 15)</w:t>
      </w:r>
      <w:r w:rsidR="003D44D3" w:rsidRPr="00760A57">
        <w:rPr>
          <w:rFonts w:ascii="Avenir Next" w:hAnsi="Avenir Next" w:cs="Arial"/>
          <w:color w:val="808080" w:themeColor="background1" w:themeShade="80"/>
          <w:sz w:val="22"/>
          <w:szCs w:val="22"/>
          <w:lang w:val="en-GB"/>
        </w:rPr>
        <w:t>.</w:t>
      </w:r>
      <w:r w:rsidR="00632D3B" w:rsidRPr="00760A57">
        <w:rPr>
          <w:rFonts w:ascii="Avenir Next" w:hAnsi="Avenir Next" w:cs="Arial"/>
          <w:color w:val="808080" w:themeColor="background1" w:themeShade="80"/>
          <w:sz w:val="22"/>
          <w:szCs w:val="22"/>
          <w:lang w:val="en-GB"/>
        </w:rPr>
        <w:t xml:space="preserve">  </w:t>
      </w:r>
      <w:r w:rsidR="00F55DCB">
        <w:rPr>
          <w:rFonts w:ascii="Avenir Next" w:hAnsi="Avenir Next" w:cs="Arial"/>
          <w:color w:val="808080" w:themeColor="background1" w:themeShade="80"/>
          <w:sz w:val="22"/>
          <w:szCs w:val="22"/>
          <w:lang w:val="en-GB"/>
        </w:rPr>
        <w:t xml:space="preserve">The </w:t>
      </w:r>
      <w:r w:rsidR="00632D3B" w:rsidRPr="00760A57">
        <w:rPr>
          <w:rFonts w:ascii="Avenir Next" w:hAnsi="Avenir Next" w:cs="Arial"/>
          <w:color w:val="808080" w:themeColor="background1" w:themeShade="80"/>
          <w:sz w:val="22"/>
          <w:szCs w:val="22"/>
          <w:lang w:val="en-GB"/>
        </w:rPr>
        <w:t xml:space="preserve">collective proceeding would include proceedings which are </w:t>
      </w:r>
      <w:r w:rsidR="00E71FD5" w:rsidRPr="00760A57">
        <w:rPr>
          <w:rFonts w:ascii="Avenir Next" w:hAnsi="Avenir Next" w:cs="Arial"/>
          <w:color w:val="808080" w:themeColor="background1" w:themeShade="80"/>
          <w:sz w:val="22"/>
          <w:szCs w:val="22"/>
          <w:lang w:val="en-GB"/>
        </w:rPr>
        <w:t xml:space="preserve">interim, judicial or administrative, </w:t>
      </w:r>
      <w:r w:rsidR="00632D3B" w:rsidRPr="00760A57">
        <w:rPr>
          <w:rFonts w:ascii="Avenir Next" w:hAnsi="Avenir Next" w:cs="Arial"/>
          <w:color w:val="808080" w:themeColor="background1" w:themeShade="80"/>
          <w:sz w:val="22"/>
          <w:szCs w:val="22"/>
          <w:lang w:val="en-GB"/>
        </w:rPr>
        <w:t xml:space="preserve">voluntary or compulsory, individual or corporate, </w:t>
      </w:r>
      <w:r w:rsidR="00E71FD5" w:rsidRPr="00760A57">
        <w:rPr>
          <w:rFonts w:ascii="Avenir Next" w:hAnsi="Avenir Next" w:cs="Arial"/>
          <w:color w:val="808080" w:themeColor="background1" w:themeShade="80"/>
          <w:sz w:val="22"/>
          <w:szCs w:val="22"/>
          <w:lang w:val="en-GB"/>
        </w:rPr>
        <w:t xml:space="preserve">for </w:t>
      </w:r>
      <w:r w:rsidR="00632D3B" w:rsidRPr="00760A57">
        <w:rPr>
          <w:rFonts w:ascii="Avenir Next" w:hAnsi="Avenir Next" w:cs="Arial"/>
          <w:color w:val="808080" w:themeColor="background1" w:themeShade="80"/>
          <w:sz w:val="22"/>
          <w:szCs w:val="22"/>
          <w:lang w:val="en-GB"/>
        </w:rPr>
        <w:t>re-organization or wind-up proceedings.</w:t>
      </w:r>
      <w:r w:rsidR="00B81982" w:rsidRPr="00760A57">
        <w:rPr>
          <w:rFonts w:ascii="Avenir Next" w:hAnsi="Avenir Next" w:cs="Arial"/>
          <w:color w:val="808080" w:themeColor="background1" w:themeShade="80"/>
          <w:sz w:val="22"/>
          <w:szCs w:val="22"/>
          <w:lang w:val="en-GB"/>
        </w:rPr>
        <w:t xml:space="preserve">  </w:t>
      </w:r>
      <w:r w:rsidR="00CA74D2">
        <w:rPr>
          <w:rFonts w:ascii="Avenir Next" w:hAnsi="Avenir Next" w:cs="Arial"/>
          <w:color w:val="808080" w:themeColor="background1" w:themeShade="80"/>
          <w:sz w:val="22"/>
          <w:szCs w:val="22"/>
          <w:lang w:val="en-GB"/>
        </w:rPr>
        <w:t xml:space="preserve">It is noted that this proceeding is administrative.  </w:t>
      </w:r>
    </w:p>
    <w:p w14:paraId="3B18EFE5" w14:textId="0B6D8DE6" w:rsidR="003D44D3" w:rsidRPr="00760A57" w:rsidRDefault="003D44D3" w:rsidP="00760A57">
      <w:pPr>
        <w:ind w:left="2160" w:hanging="1440"/>
        <w:jc w:val="both"/>
        <w:rPr>
          <w:rFonts w:ascii="Avenir Next" w:hAnsi="Avenir Next" w:cs="Arial"/>
          <w:color w:val="808080" w:themeColor="background1" w:themeShade="80"/>
          <w:sz w:val="22"/>
          <w:szCs w:val="22"/>
          <w:lang w:val="en-GB"/>
        </w:rPr>
      </w:pPr>
    </w:p>
    <w:p w14:paraId="437B7704" w14:textId="77777777" w:rsidR="00AE5E57" w:rsidRPr="00760A57" w:rsidRDefault="009738FD" w:rsidP="005C2B40">
      <w:pPr>
        <w:ind w:left="720"/>
        <w:jc w:val="both"/>
        <w:rPr>
          <w:rFonts w:ascii="Avenir Next" w:hAnsi="Avenir Next" w:cs="Arial"/>
          <w:b/>
          <w:bCs/>
          <w:color w:val="808080" w:themeColor="background1" w:themeShade="80"/>
          <w:sz w:val="22"/>
          <w:szCs w:val="22"/>
          <w:lang w:val="en-GB"/>
        </w:rPr>
      </w:pPr>
      <w:r w:rsidRPr="00760A57">
        <w:rPr>
          <w:rFonts w:ascii="Avenir Next" w:hAnsi="Avenir Next" w:cs="Arial"/>
          <w:b/>
          <w:bCs/>
          <w:color w:val="808080" w:themeColor="background1" w:themeShade="80"/>
          <w:sz w:val="22"/>
          <w:szCs w:val="22"/>
          <w:lang w:val="en-GB"/>
        </w:rPr>
        <w:t xml:space="preserve">Pursuant to a law relating to insolvency:  </w:t>
      </w:r>
    </w:p>
    <w:p w14:paraId="3196EC9E" w14:textId="77777777" w:rsidR="00760A57" w:rsidRDefault="00760A57" w:rsidP="00760A57">
      <w:pPr>
        <w:ind w:left="2160"/>
        <w:jc w:val="both"/>
        <w:rPr>
          <w:rFonts w:ascii="Avenir Next" w:hAnsi="Avenir Next" w:cs="Arial"/>
          <w:color w:val="808080" w:themeColor="background1" w:themeShade="80"/>
          <w:sz w:val="22"/>
          <w:szCs w:val="22"/>
          <w:lang w:val="en-GB"/>
        </w:rPr>
      </w:pPr>
    </w:p>
    <w:p w14:paraId="52F24EE6" w14:textId="1D5BF7DC" w:rsidR="00760A57" w:rsidRDefault="00760A57" w:rsidP="00760A57">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w:t>
      </w:r>
      <w:r w:rsidRPr="00760A57">
        <w:rPr>
          <w:rFonts w:ascii="Avenir Next" w:hAnsi="Avenir Next" w:cs="Arial"/>
          <w:color w:val="808080" w:themeColor="background1" w:themeShade="80"/>
          <w:sz w:val="22"/>
          <w:szCs w:val="22"/>
          <w:lang w:val="en-GB"/>
        </w:rPr>
        <w:t xml:space="preserve">nsolvency proceedings” in </w:t>
      </w:r>
      <w:r w:rsidR="007C5E0C" w:rsidRPr="00760A57">
        <w:rPr>
          <w:rFonts w:ascii="Avenir Next" w:hAnsi="Avenir Next" w:cs="Arial"/>
          <w:color w:val="808080" w:themeColor="background1" w:themeShade="80"/>
          <w:sz w:val="22"/>
          <w:szCs w:val="22"/>
          <w:lang w:val="en-GB"/>
        </w:rPr>
        <w:t xml:space="preserve">Article </w:t>
      </w:r>
      <w:r w:rsidRPr="00760A57">
        <w:rPr>
          <w:rFonts w:ascii="Avenir Next" w:hAnsi="Avenir Next" w:cs="Arial"/>
          <w:color w:val="808080" w:themeColor="background1" w:themeShade="80"/>
          <w:sz w:val="22"/>
          <w:szCs w:val="22"/>
          <w:lang w:val="en-GB"/>
        </w:rPr>
        <w:t xml:space="preserve">2(a) is referring to proceedings involving debtors which are insolvent or in severe financial distress.  </w:t>
      </w:r>
      <w:r w:rsidR="00CA74D2">
        <w:rPr>
          <w:rFonts w:ascii="Avenir Next" w:hAnsi="Avenir Next" w:cs="Arial"/>
          <w:color w:val="808080" w:themeColor="background1" w:themeShade="80"/>
          <w:sz w:val="22"/>
          <w:szCs w:val="22"/>
          <w:lang w:val="en-GB"/>
        </w:rPr>
        <w:t xml:space="preserve">On 17 September 2015 the NB classified the Bank as insolvent pursuant to Article 76 of the LBBA.  </w:t>
      </w:r>
    </w:p>
    <w:p w14:paraId="44D9CF0A" w14:textId="77777777" w:rsidR="00760A57" w:rsidRDefault="00760A57" w:rsidP="00760A57">
      <w:pPr>
        <w:ind w:left="2160"/>
        <w:jc w:val="both"/>
        <w:rPr>
          <w:rFonts w:ascii="Avenir Next" w:hAnsi="Avenir Next" w:cs="Arial"/>
          <w:color w:val="808080" w:themeColor="background1" w:themeShade="80"/>
          <w:sz w:val="22"/>
          <w:szCs w:val="22"/>
          <w:lang w:val="en-GB"/>
        </w:rPr>
      </w:pPr>
    </w:p>
    <w:p w14:paraId="04C67C5B" w14:textId="4F38D85F" w:rsidR="00B70499" w:rsidRPr="00760A57" w:rsidRDefault="00CA74D2" w:rsidP="00760A57">
      <w:pPr>
        <w:ind w:left="21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the purpose of the CBIR recognition application t</w:t>
      </w:r>
      <w:r w:rsidR="00752A14" w:rsidRPr="00760A57">
        <w:rPr>
          <w:rFonts w:ascii="Avenir Next" w:hAnsi="Avenir Next" w:cs="Arial"/>
          <w:color w:val="808080" w:themeColor="background1" w:themeShade="80"/>
          <w:sz w:val="22"/>
          <w:szCs w:val="22"/>
          <w:lang w:val="en-GB"/>
        </w:rPr>
        <w:t>he proceeding must be a proceeding which is conducted under insolvency law</w:t>
      </w:r>
      <w:r w:rsidR="009738FD" w:rsidRPr="00760A57">
        <w:rPr>
          <w:rFonts w:ascii="Avenir Next" w:hAnsi="Avenir Next" w:cs="Arial"/>
          <w:color w:val="808080" w:themeColor="background1" w:themeShade="80"/>
          <w:sz w:val="22"/>
          <w:szCs w:val="22"/>
          <w:lang w:val="en-GB"/>
        </w:rPr>
        <w:t>/rule</w:t>
      </w:r>
      <w:r w:rsidR="00752A14" w:rsidRPr="00760A57">
        <w:rPr>
          <w:rFonts w:ascii="Avenir Next" w:hAnsi="Avenir Next" w:cs="Arial"/>
          <w:color w:val="808080" w:themeColor="background1" w:themeShade="80"/>
          <w:sz w:val="22"/>
          <w:szCs w:val="22"/>
          <w:lang w:val="en-GB"/>
        </w:rPr>
        <w:t xml:space="preserve"> of a foreign state</w:t>
      </w:r>
      <w:r w:rsidR="009738FD" w:rsidRPr="00760A5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w:t>
      </w:r>
      <w:r w:rsidR="00B70499" w:rsidRPr="00760A57">
        <w:rPr>
          <w:rFonts w:ascii="Avenir Next" w:hAnsi="Avenir Next" w:cs="Arial"/>
          <w:color w:val="808080" w:themeColor="background1" w:themeShade="80"/>
          <w:sz w:val="22"/>
          <w:szCs w:val="22"/>
          <w:lang w:val="en-GB"/>
        </w:rPr>
        <w:t xml:space="preserve">must be a proceeding which addresses or deals with the debtor’s severe financial distress or insolvency.  This means that the proceeding can be pursuant to a law which is not necessarily </w:t>
      </w:r>
      <w:r w:rsidR="009738FD" w:rsidRPr="00760A57">
        <w:rPr>
          <w:rFonts w:ascii="Avenir Next" w:hAnsi="Avenir Next" w:cs="Arial"/>
          <w:color w:val="808080" w:themeColor="background1" w:themeShade="80"/>
          <w:sz w:val="22"/>
          <w:szCs w:val="22"/>
          <w:lang w:val="en-GB"/>
        </w:rPr>
        <w:t>label</w:t>
      </w:r>
      <w:r w:rsidR="00B70499" w:rsidRPr="00760A57">
        <w:rPr>
          <w:rFonts w:ascii="Avenir Next" w:hAnsi="Avenir Next" w:cs="Arial"/>
          <w:color w:val="808080" w:themeColor="background1" w:themeShade="80"/>
          <w:sz w:val="22"/>
          <w:szCs w:val="22"/>
          <w:lang w:val="en-GB"/>
        </w:rPr>
        <w:t xml:space="preserve"> ‘insolvency law’ but </w:t>
      </w:r>
      <w:r w:rsidR="009738FD" w:rsidRPr="00760A57">
        <w:rPr>
          <w:rFonts w:ascii="Avenir Next" w:hAnsi="Avenir Next" w:cs="Arial"/>
          <w:color w:val="808080" w:themeColor="background1" w:themeShade="80"/>
          <w:sz w:val="22"/>
          <w:szCs w:val="22"/>
          <w:lang w:val="en-GB"/>
        </w:rPr>
        <w:t xml:space="preserve">can be pursuant to a range of insolvency rules which deals with the debtor’s financial distress or insolvency. </w:t>
      </w:r>
      <w:r w:rsidR="007F2571" w:rsidRPr="00760A57">
        <w:rPr>
          <w:rFonts w:ascii="Avenir Next" w:hAnsi="Avenir Next" w:cs="Arial"/>
          <w:color w:val="808080" w:themeColor="background1" w:themeShade="80"/>
          <w:sz w:val="22"/>
          <w:szCs w:val="22"/>
          <w:lang w:val="en-GB"/>
        </w:rPr>
        <w:t xml:space="preserve"> Put another way, </w:t>
      </w:r>
      <w:r w:rsidR="002E00A1" w:rsidRPr="00760A57">
        <w:rPr>
          <w:rFonts w:ascii="Avenir Next" w:hAnsi="Avenir Next" w:cs="Arial"/>
          <w:color w:val="808080" w:themeColor="background1" w:themeShade="80"/>
          <w:sz w:val="22"/>
          <w:szCs w:val="22"/>
          <w:lang w:val="en-GB"/>
        </w:rPr>
        <w:t>l</w:t>
      </w:r>
      <w:r w:rsidR="007F2571" w:rsidRPr="00760A57">
        <w:rPr>
          <w:rFonts w:ascii="Avenir Next" w:hAnsi="Avenir Next" w:cs="Arial"/>
          <w:color w:val="808080" w:themeColor="background1" w:themeShade="80"/>
          <w:sz w:val="22"/>
          <w:szCs w:val="22"/>
          <w:lang w:val="en-GB"/>
        </w:rPr>
        <w:t>aws or rules which regulated the whole life-cycle of a corporation which includes insolvency</w:t>
      </w:r>
      <w:r w:rsidR="002E00A1" w:rsidRPr="00760A57">
        <w:rPr>
          <w:rFonts w:ascii="Avenir Next" w:hAnsi="Avenir Next" w:cs="Arial"/>
          <w:color w:val="808080" w:themeColor="background1" w:themeShade="80"/>
          <w:sz w:val="22"/>
          <w:szCs w:val="22"/>
          <w:lang w:val="en-GB"/>
        </w:rPr>
        <w:t xml:space="preserve"> can be rightly said to be a law relating to insolvency</w:t>
      </w:r>
      <w:r w:rsidR="007F2571" w:rsidRPr="00760A57">
        <w:rPr>
          <w:rFonts w:ascii="Avenir Next" w:hAnsi="Avenir Next" w:cs="Arial"/>
          <w:color w:val="808080" w:themeColor="background1" w:themeShade="80"/>
          <w:sz w:val="22"/>
          <w:szCs w:val="22"/>
          <w:lang w:val="en-GB"/>
        </w:rPr>
        <w:t xml:space="preserve">.  </w:t>
      </w:r>
      <w:r w:rsidR="002E00A1" w:rsidRPr="00760A57">
        <w:rPr>
          <w:rFonts w:ascii="Avenir Next" w:hAnsi="Avenir Next" w:cs="Arial"/>
          <w:color w:val="808080" w:themeColor="background1" w:themeShade="80"/>
          <w:sz w:val="22"/>
          <w:szCs w:val="22"/>
          <w:lang w:val="en-GB"/>
        </w:rPr>
        <w:t xml:space="preserve">The breadth of this interpretation also means that </w:t>
      </w:r>
      <w:r w:rsidR="007F2571" w:rsidRPr="00760A57">
        <w:rPr>
          <w:rFonts w:ascii="Avenir Next" w:hAnsi="Avenir Next" w:cs="Arial"/>
          <w:color w:val="808080" w:themeColor="background1" w:themeShade="80"/>
          <w:sz w:val="22"/>
          <w:szCs w:val="22"/>
          <w:lang w:val="en-GB"/>
        </w:rPr>
        <w:t xml:space="preserve">laws or rules which allow decisions to be made on just and equitable grounds, allowing a court to consider the insolvency of a debtor, would </w:t>
      </w:r>
      <w:r w:rsidR="002E00A1" w:rsidRPr="00760A57">
        <w:rPr>
          <w:rFonts w:ascii="Avenir Next" w:hAnsi="Avenir Next" w:cs="Arial"/>
          <w:color w:val="808080" w:themeColor="background1" w:themeShade="80"/>
          <w:sz w:val="22"/>
          <w:szCs w:val="22"/>
          <w:lang w:val="en-GB"/>
        </w:rPr>
        <w:t xml:space="preserve">also </w:t>
      </w:r>
      <w:r w:rsidR="007F2571" w:rsidRPr="00760A57">
        <w:rPr>
          <w:rFonts w:ascii="Avenir Next" w:hAnsi="Avenir Next" w:cs="Arial"/>
          <w:color w:val="808080" w:themeColor="background1" w:themeShade="80"/>
          <w:sz w:val="22"/>
          <w:szCs w:val="22"/>
          <w:lang w:val="en-GB"/>
        </w:rPr>
        <w:t>be a law relating to insolvency; see Stanford International Bank case.</w:t>
      </w:r>
    </w:p>
    <w:p w14:paraId="15081238" w14:textId="77777777" w:rsidR="00C16CE3" w:rsidRPr="00760A57" w:rsidRDefault="00C16CE3" w:rsidP="00CA74D2">
      <w:pPr>
        <w:ind w:left="2160"/>
        <w:jc w:val="both"/>
        <w:rPr>
          <w:rFonts w:ascii="Avenir Next" w:hAnsi="Avenir Next" w:cs="Arial"/>
          <w:color w:val="808080" w:themeColor="background1" w:themeShade="80"/>
          <w:sz w:val="22"/>
          <w:szCs w:val="22"/>
          <w:lang w:val="en-GB"/>
        </w:rPr>
      </w:pPr>
    </w:p>
    <w:p w14:paraId="6D184367" w14:textId="360FC2B1" w:rsidR="00FD2AA1" w:rsidRPr="00760A57" w:rsidRDefault="00E6530D" w:rsidP="00CA74D2">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Note that insolvency proceedings can commence in circumstances defined by law which do not necessarily mean that the debtor is insolvent, e.g. the </w:t>
      </w:r>
      <w:r w:rsidRPr="00760A57">
        <w:rPr>
          <w:rFonts w:ascii="Avenir Next" w:hAnsi="Avenir Next" w:cs="Arial"/>
          <w:color w:val="808080" w:themeColor="background1" w:themeShade="80"/>
          <w:sz w:val="22"/>
          <w:szCs w:val="22"/>
          <w:lang w:val="en-GB"/>
        </w:rPr>
        <w:lastRenderedPageBreak/>
        <w:t>debtor’s cessation of payments, debtor’s corporate decision abandonment of debtor’s establishment or dissipation of debtor’s assets.</w:t>
      </w:r>
    </w:p>
    <w:p w14:paraId="15ACCBFB" w14:textId="5D3288AE" w:rsidR="00E6530D" w:rsidRPr="00760A57" w:rsidRDefault="00E6530D" w:rsidP="00CA74D2">
      <w:pPr>
        <w:ind w:left="2160"/>
        <w:jc w:val="both"/>
        <w:rPr>
          <w:rFonts w:ascii="Avenir Next" w:hAnsi="Avenir Next" w:cs="Arial"/>
          <w:color w:val="808080" w:themeColor="background1" w:themeShade="80"/>
          <w:sz w:val="22"/>
          <w:szCs w:val="22"/>
          <w:lang w:val="en-GB"/>
        </w:rPr>
      </w:pPr>
    </w:p>
    <w:p w14:paraId="76B275B7" w14:textId="5C85D102" w:rsidR="004D1240" w:rsidRPr="00760A57" w:rsidRDefault="004D1240" w:rsidP="00CA74D2">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GEI states that a proceeding that is seeking to dissolve a solvent entity is </w:t>
      </w:r>
      <w:r w:rsidR="00CD4E37" w:rsidRPr="00760A57">
        <w:rPr>
          <w:rFonts w:ascii="Avenir Next" w:hAnsi="Avenir Next" w:cs="Arial"/>
          <w:color w:val="808080" w:themeColor="background1" w:themeShade="80"/>
          <w:sz w:val="22"/>
          <w:szCs w:val="22"/>
          <w:lang w:val="en-GB"/>
        </w:rPr>
        <w:t xml:space="preserve">likely </w:t>
      </w:r>
      <w:r w:rsidRPr="00760A57">
        <w:rPr>
          <w:rFonts w:ascii="Avenir Next" w:hAnsi="Avenir Next" w:cs="Arial"/>
          <w:color w:val="808080" w:themeColor="background1" w:themeShade="80"/>
          <w:sz w:val="22"/>
          <w:szCs w:val="22"/>
          <w:lang w:val="en-GB"/>
        </w:rPr>
        <w:t xml:space="preserve">not </w:t>
      </w:r>
      <w:r w:rsidR="00CD4E37" w:rsidRPr="00760A57">
        <w:rPr>
          <w:rFonts w:ascii="Avenir Next" w:hAnsi="Avenir Next" w:cs="Arial"/>
          <w:color w:val="808080" w:themeColor="background1" w:themeShade="80"/>
          <w:sz w:val="22"/>
          <w:szCs w:val="22"/>
          <w:lang w:val="en-GB"/>
        </w:rPr>
        <w:t>one pursuant to a law relating to insolvency or severe financial distress for the purposes of article 2(a).</w:t>
      </w:r>
    </w:p>
    <w:p w14:paraId="027839CF" w14:textId="3D227FA4" w:rsidR="00E6530D" w:rsidRPr="00760A57" w:rsidRDefault="00E6530D" w:rsidP="00CA74D2">
      <w:pPr>
        <w:ind w:left="2160"/>
        <w:jc w:val="both"/>
        <w:rPr>
          <w:rFonts w:ascii="Avenir Next" w:hAnsi="Avenir Next" w:cs="Arial"/>
          <w:color w:val="808080" w:themeColor="background1" w:themeShade="80"/>
          <w:sz w:val="22"/>
          <w:szCs w:val="22"/>
          <w:lang w:val="en-GB"/>
        </w:rPr>
      </w:pPr>
    </w:p>
    <w:p w14:paraId="5D79E35D" w14:textId="3351F8A9" w:rsidR="00D06215" w:rsidRPr="00760A57" w:rsidRDefault="00DE1F5D" w:rsidP="00CA74D2">
      <w:pPr>
        <w:ind w:left="21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submitted that although the LBBA is not label as ‘insolvency</w:t>
      </w:r>
      <w:r w:rsidR="009E2815">
        <w:rPr>
          <w:rFonts w:ascii="Avenir Next" w:hAnsi="Avenir Next" w:cs="Arial"/>
          <w:color w:val="808080" w:themeColor="background1" w:themeShade="80"/>
          <w:sz w:val="22"/>
          <w:szCs w:val="22"/>
          <w:lang w:val="en-GB"/>
        </w:rPr>
        <w:t xml:space="preserve"> law</w:t>
      </w:r>
      <w:r>
        <w:rPr>
          <w:rFonts w:ascii="Avenir Next" w:hAnsi="Avenir Next" w:cs="Arial"/>
          <w:color w:val="808080" w:themeColor="background1" w:themeShade="80"/>
          <w:sz w:val="22"/>
          <w:szCs w:val="22"/>
          <w:lang w:val="en-GB"/>
        </w:rPr>
        <w:t xml:space="preserve">’ it is nevertheless a law that deals with the severe financial distress or insolvency of an entity.  In </w:t>
      </w:r>
      <w:r w:rsidR="007C5E0C">
        <w:rPr>
          <w:rFonts w:ascii="Avenir Next" w:hAnsi="Avenir Next" w:cs="Arial"/>
          <w:color w:val="808080" w:themeColor="background1" w:themeShade="80"/>
          <w:sz w:val="22"/>
          <w:szCs w:val="22"/>
          <w:lang w:val="en-GB"/>
        </w:rPr>
        <w:t>fact,</w:t>
      </w:r>
      <w:r>
        <w:rPr>
          <w:rFonts w:ascii="Avenir Next" w:hAnsi="Avenir Next" w:cs="Arial"/>
          <w:color w:val="808080" w:themeColor="background1" w:themeShade="80"/>
          <w:sz w:val="22"/>
          <w:szCs w:val="22"/>
          <w:lang w:val="en-GB"/>
        </w:rPr>
        <w:t xml:space="preserve"> the NB can classify and has classified the Bank as insolvent by reference to certain insolvency factors</w:t>
      </w:r>
      <w:r w:rsidR="009E2815">
        <w:rPr>
          <w:rFonts w:ascii="Avenir Next" w:hAnsi="Avenir Next" w:cs="Arial"/>
          <w:color w:val="808080" w:themeColor="background1" w:themeShade="80"/>
          <w:sz w:val="22"/>
          <w:szCs w:val="22"/>
          <w:lang w:val="en-GB"/>
        </w:rPr>
        <w:t xml:space="preserve"> set out in the LBBA</w:t>
      </w:r>
      <w:r>
        <w:rPr>
          <w:rFonts w:ascii="Avenir Next" w:hAnsi="Avenir Next" w:cs="Arial"/>
          <w:color w:val="808080" w:themeColor="background1" w:themeShade="80"/>
          <w:sz w:val="22"/>
          <w:szCs w:val="22"/>
          <w:lang w:val="en-GB"/>
        </w:rPr>
        <w:t xml:space="preserve">.  The proceedings </w:t>
      </w:r>
      <w:r w:rsidR="007C5E0C">
        <w:rPr>
          <w:rFonts w:ascii="Avenir Next" w:hAnsi="Avenir Next" w:cs="Arial"/>
          <w:color w:val="808080" w:themeColor="background1" w:themeShade="80"/>
          <w:sz w:val="22"/>
          <w:szCs w:val="22"/>
          <w:lang w:val="en-GB"/>
        </w:rPr>
        <w:t>are</w:t>
      </w:r>
      <w:r>
        <w:rPr>
          <w:rFonts w:ascii="Avenir Next" w:hAnsi="Avenir Next" w:cs="Arial"/>
          <w:color w:val="808080" w:themeColor="background1" w:themeShade="80"/>
          <w:sz w:val="22"/>
          <w:szCs w:val="22"/>
          <w:lang w:val="en-GB"/>
        </w:rPr>
        <w:t xml:space="preserve"> therefore pursuant to a law relating to insolvency. </w:t>
      </w:r>
    </w:p>
    <w:p w14:paraId="7969EC43" w14:textId="429A5215" w:rsidR="00C16CE3" w:rsidRPr="00CA74D2" w:rsidRDefault="00C16CE3" w:rsidP="00CA74D2">
      <w:pPr>
        <w:ind w:left="2160"/>
        <w:jc w:val="both"/>
        <w:rPr>
          <w:rFonts w:ascii="Avenir Next" w:hAnsi="Avenir Next" w:cs="Arial"/>
          <w:color w:val="808080" w:themeColor="background1" w:themeShade="80"/>
          <w:sz w:val="22"/>
          <w:szCs w:val="22"/>
          <w:lang w:val="en-GB"/>
        </w:rPr>
      </w:pPr>
    </w:p>
    <w:p w14:paraId="394BCC8B" w14:textId="18409A67" w:rsidR="00FD2AA1" w:rsidRPr="00CA74D2" w:rsidRDefault="00FD2AA1" w:rsidP="005C2B40">
      <w:pPr>
        <w:ind w:left="720"/>
        <w:jc w:val="both"/>
        <w:rPr>
          <w:rFonts w:ascii="Avenir Next" w:hAnsi="Avenir Next" w:cs="Arial"/>
          <w:b/>
          <w:bCs/>
          <w:color w:val="808080" w:themeColor="background1" w:themeShade="80"/>
          <w:sz w:val="22"/>
          <w:szCs w:val="22"/>
          <w:lang w:val="en-GB"/>
        </w:rPr>
      </w:pPr>
      <w:r w:rsidRPr="00CA74D2">
        <w:rPr>
          <w:rFonts w:ascii="Avenir Next" w:hAnsi="Avenir Next" w:cs="Arial"/>
          <w:b/>
          <w:bCs/>
          <w:color w:val="808080" w:themeColor="background1" w:themeShade="80"/>
          <w:sz w:val="22"/>
          <w:szCs w:val="22"/>
          <w:lang w:val="en-GB"/>
        </w:rPr>
        <w:t>Asset and affairs under the control or supervision by a foreign court</w:t>
      </w:r>
      <w:r w:rsidR="002416D7" w:rsidRPr="00CA74D2">
        <w:rPr>
          <w:rFonts w:ascii="Avenir Next" w:hAnsi="Avenir Next" w:cs="Arial"/>
          <w:b/>
          <w:bCs/>
          <w:color w:val="808080" w:themeColor="background1" w:themeShade="80"/>
          <w:sz w:val="22"/>
          <w:szCs w:val="22"/>
          <w:lang w:val="en-GB"/>
        </w:rPr>
        <w:t>:</w:t>
      </w:r>
    </w:p>
    <w:p w14:paraId="3D9F5967" w14:textId="3C4E9FE6" w:rsidR="00752A14" w:rsidRPr="00760A57" w:rsidRDefault="00752A14" w:rsidP="00CA74D2">
      <w:pPr>
        <w:ind w:left="2160"/>
        <w:jc w:val="both"/>
        <w:rPr>
          <w:rFonts w:ascii="Avenir Next" w:hAnsi="Avenir Next" w:cs="Arial"/>
          <w:color w:val="808080" w:themeColor="background1" w:themeShade="80"/>
          <w:sz w:val="22"/>
          <w:szCs w:val="22"/>
          <w:lang w:val="en-GB"/>
        </w:rPr>
      </w:pPr>
    </w:p>
    <w:p w14:paraId="2F5914B2" w14:textId="54EB7DBD" w:rsidR="00AC119F" w:rsidRPr="00760A57" w:rsidRDefault="00A461C9" w:rsidP="00CA74D2">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“control or supervision” concept has </w:t>
      </w:r>
      <w:r w:rsidR="00EC6675" w:rsidRPr="00760A57">
        <w:rPr>
          <w:rFonts w:ascii="Avenir Next" w:hAnsi="Avenir Next" w:cs="Arial"/>
          <w:color w:val="808080" w:themeColor="background1" w:themeShade="80"/>
          <w:sz w:val="22"/>
          <w:szCs w:val="22"/>
          <w:lang w:val="en-GB"/>
        </w:rPr>
        <w:t>received</w:t>
      </w:r>
      <w:r w:rsidRPr="00760A57">
        <w:rPr>
          <w:rFonts w:ascii="Avenir Next" w:hAnsi="Avenir Next" w:cs="Arial"/>
          <w:color w:val="808080" w:themeColor="background1" w:themeShade="80"/>
          <w:sz w:val="22"/>
          <w:szCs w:val="22"/>
          <w:lang w:val="en-GB"/>
        </w:rPr>
        <w:t xml:space="preserve"> limited judicial scrutiny.  However, courts have pointed out that b</w:t>
      </w:r>
      <w:r w:rsidR="002416D7" w:rsidRPr="00760A57">
        <w:rPr>
          <w:rFonts w:ascii="Avenir Next" w:hAnsi="Avenir Next" w:cs="Arial"/>
          <w:color w:val="808080" w:themeColor="background1" w:themeShade="80"/>
          <w:sz w:val="22"/>
          <w:szCs w:val="22"/>
          <w:lang w:val="en-GB"/>
        </w:rPr>
        <w:t xml:space="preserve">oth the affairs and assets of the debtor must be under the control or supervision of the foreign court in order to satisfy the definition.  </w:t>
      </w:r>
      <w:r w:rsidR="00AC119F" w:rsidRPr="00760A57">
        <w:rPr>
          <w:rFonts w:ascii="Avenir Next" w:hAnsi="Avenir Next" w:cs="Arial"/>
          <w:color w:val="808080" w:themeColor="background1" w:themeShade="80"/>
          <w:sz w:val="22"/>
          <w:szCs w:val="22"/>
          <w:lang w:val="en-GB"/>
        </w:rPr>
        <w:t xml:space="preserve">  </w:t>
      </w:r>
    </w:p>
    <w:p w14:paraId="5EDD223B" w14:textId="64771C34" w:rsidR="00AC119F" w:rsidRPr="00760A57" w:rsidRDefault="00AC119F" w:rsidP="00CA74D2">
      <w:pPr>
        <w:ind w:left="2160"/>
        <w:jc w:val="both"/>
        <w:rPr>
          <w:rFonts w:ascii="Avenir Next" w:hAnsi="Avenir Next" w:cs="Arial"/>
          <w:color w:val="808080" w:themeColor="background1" w:themeShade="80"/>
          <w:sz w:val="22"/>
          <w:szCs w:val="22"/>
          <w:lang w:val="en-GB"/>
        </w:rPr>
      </w:pPr>
    </w:p>
    <w:p w14:paraId="4881F0E0" w14:textId="065080B9" w:rsidR="00AC119F" w:rsidRPr="007C5E0C" w:rsidRDefault="00AC119F" w:rsidP="00CA74D2">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GEI </w:t>
      </w:r>
      <w:r w:rsidR="002416D7" w:rsidRPr="00760A57">
        <w:rPr>
          <w:rFonts w:ascii="Avenir Next" w:hAnsi="Avenir Next" w:cs="Arial"/>
          <w:color w:val="808080" w:themeColor="background1" w:themeShade="80"/>
          <w:sz w:val="22"/>
          <w:szCs w:val="22"/>
          <w:lang w:val="en-GB"/>
        </w:rPr>
        <w:t>notes that the Model Law does not specify the level of control or supervision o</w:t>
      </w:r>
      <w:r w:rsidR="00EC6675" w:rsidRPr="00760A57">
        <w:rPr>
          <w:rFonts w:ascii="Avenir Next" w:hAnsi="Avenir Next" w:cs="Arial"/>
          <w:color w:val="808080" w:themeColor="background1" w:themeShade="80"/>
          <w:sz w:val="22"/>
          <w:szCs w:val="22"/>
          <w:lang w:val="en-GB"/>
        </w:rPr>
        <w:t>r</w:t>
      </w:r>
      <w:r w:rsidR="002416D7" w:rsidRPr="00760A57">
        <w:rPr>
          <w:rFonts w:ascii="Avenir Next" w:hAnsi="Avenir Next" w:cs="Arial"/>
          <w:color w:val="808080" w:themeColor="background1" w:themeShade="80"/>
          <w:sz w:val="22"/>
          <w:szCs w:val="22"/>
          <w:lang w:val="en-GB"/>
        </w:rPr>
        <w:t xml:space="preserve"> </w:t>
      </w:r>
      <w:r w:rsidR="000C6515" w:rsidRPr="00760A57">
        <w:rPr>
          <w:rFonts w:ascii="Avenir Next" w:hAnsi="Avenir Next" w:cs="Arial"/>
          <w:color w:val="808080" w:themeColor="background1" w:themeShade="80"/>
          <w:sz w:val="22"/>
          <w:szCs w:val="22"/>
          <w:lang w:val="en-GB"/>
        </w:rPr>
        <w:t xml:space="preserve">the </w:t>
      </w:r>
      <w:r w:rsidR="002416D7" w:rsidRPr="00760A57">
        <w:rPr>
          <w:rFonts w:ascii="Avenir Next" w:hAnsi="Avenir Next" w:cs="Arial"/>
          <w:color w:val="808080" w:themeColor="background1" w:themeShade="80"/>
          <w:sz w:val="22"/>
          <w:szCs w:val="22"/>
          <w:lang w:val="en-GB"/>
        </w:rPr>
        <w:t xml:space="preserve">timing at which such control or supervision arises.  </w:t>
      </w:r>
      <w:r w:rsidR="00EC6675" w:rsidRPr="00760A57">
        <w:rPr>
          <w:rFonts w:ascii="Avenir Next" w:hAnsi="Avenir Next" w:cs="Arial"/>
          <w:color w:val="808080" w:themeColor="background1" w:themeShade="80"/>
          <w:sz w:val="22"/>
          <w:szCs w:val="22"/>
          <w:lang w:val="en-GB"/>
        </w:rPr>
        <w:t xml:space="preserve">Nevertheless, </w:t>
      </w:r>
      <w:r w:rsidR="002416D7" w:rsidRPr="00760A57">
        <w:rPr>
          <w:rFonts w:ascii="Avenir Next" w:hAnsi="Avenir Next" w:cs="Arial"/>
          <w:color w:val="808080" w:themeColor="background1" w:themeShade="80"/>
          <w:sz w:val="22"/>
          <w:szCs w:val="22"/>
          <w:lang w:val="en-GB"/>
        </w:rPr>
        <w:t>t</w:t>
      </w:r>
      <w:r w:rsidRPr="00760A57">
        <w:rPr>
          <w:rFonts w:ascii="Avenir Next" w:hAnsi="Avenir Next" w:cs="Arial"/>
          <w:color w:val="808080" w:themeColor="background1" w:themeShade="80"/>
          <w:sz w:val="22"/>
          <w:szCs w:val="22"/>
          <w:lang w:val="en-GB"/>
        </w:rPr>
        <w:t xml:space="preserve">he GEI </w:t>
      </w:r>
      <w:r w:rsidR="002416D7" w:rsidRPr="007C5E0C">
        <w:rPr>
          <w:rFonts w:ascii="Avenir Next" w:hAnsi="Avenir Next" w:cs="Arial"/>
          <w:color w:val="808080" w:themeColor="background1" w:themeShade="80"/>
          <w:sz w:val="22"/>
          <w:szCs w:val="22"/>
          <w:lang w:val="en-GB"/>
        </w:rPr>
        <w:t xml:space="preserve">noted that </w:t>
      </w:r>
      <w:r w:rsidRPr="007C5E0C">
        <w:rPr>
          <w:rFonts w:ascii="Avenir Next" w:hAnsi="Avenir Next" w:cs="Arial"/>
          <w:color w:val="808080" w:themeColor="background1" w:themeShade="80"/>
          <w:sz w:val="22"/>
          <w:szCs w:val="22"/>
          <w:lang w:val="en-GB"/>
        </w:rPr>
        <w:t>it is intended that the control or supervision should be formal in nature</w:t>
      </w:r>
      <w:r w:rsidR="002416D7" w:rsidRPr="007C5E0C">
        <w:rPr>
          <w:rFonts w:ascii="Avenir Next" w:hAnsi="Avenir Next" w:cs="Arial"/>
          <w:color w:val="808080" w:themeColor="background1" w:themeShade="80"/>
          <w:sz w:val="22"/>
          <w:szCs w:val="22"/>
          <w:lang w:val="en-GB"/>
        </w:rPr>
        <w:t xml:space="preserve"> and </w:t>
      </w:r>
      <w:r w:rsidRPr="007C5E0C">
        <w:rPr>
          <w:rFonts w:ascii="Avenir Next" w:hAnsi="Avenir Next" w:cs="Arial"/>
          <w:color w:val="808080" w:themeColor="background1" w:themeShade="80"/>
          <w:sz w:val="22"/>
          <w:szCs w:val="22"/>
          <w:lang w:val="en-GB"/>
        </w:rPr>
        <w:t>it may be potential rather than actual.</w:t>
      </w:r>
    </w:p>
    <w:p w14:paraId="793CBCF2" w14:textId="2A29869A" w:rsidR="00770401" w:rsidRPr="00760A57" w:rsidRDefault="00770401" w:rsidP="00CA74D2">
      <w:pPr>
        <w:ind w:left="2160"/>
        <w:jc w:val="both"/>
        <w:rPr>
          <w:rFonts w:ascii="Avenir Next" w:hAnsi="Avenir Next" w:cs="Arial"/>
          <w:color w:val="808080" w:themeColor="background1" w:themeShade="80"/>
          <w:sz w:val="22"/>
          <w:szCs w:val="22"/>
          <w:lang w:val="en-GB"/>
        </w:rPr>
      </w:pPr>
    </w:p>
    <w:p w14:paraId="161D90FF" w14:textId="0916306D" w:rsidR="00770401" w:rsidRPr="007C5E0C" w:rsidRDefault="00770401" w:rsidP="00CA74D2">
      <w:pPr>
        <w:ind w:left="2160"/>
        <w:jc w:val="both"/>
        <w:rPr>
          <w:rFonts w:ascii="Avenir Next" w:hAnsi="Avenir Next" w:cs="Arial"/>
          <w:color w:val="808080" w:themeColor="background1" w:themeShade="80"/>
          <w:sz w:val="22"/>
          <w:szCs w:val="22"/>
          <w:lang w:val="en-GB"/>
        </w:rPr>
      </w:pPr>
      <w:r w:rsidRPr="007C5E0C">
        <w:rPr>
          <w:rFonts w:ascii="Avenir Next" w:hAnsi="Avenir Next" w:cs="Arial"/>
          <w:color w:val="808080" w:themeColor="background1" w:themeShade="80"/>
          <w:sz w:val="22"/>
          <w:szCs w:val="22"/>
          <w:lang w:val="en-GB"/>
        </w:rPr>
        <w:t xml:space="preserve">Control or supervision </w:t>
      </w:r>
      <w:r w:rsidR="000C6515" w:rsidRPr="007C5E0C">
        <w:rPr>
          <w:rFonts w:ascii="Avenir Next" w:hAnsi="Avenir Next" w:cs="Arial"/>
          <w:color w:val="808080" w:themeColor="background1" w:themeShade="80"/>
          <w:sz w:val="22"/>
          <w:szCs w:val="22"/>
          <w:lang w:val="en-GB"/>
        </w:rPr>
        <w:t xml:space="preserve">does not need to be exercised directly by the court but can be by </w:t>
      </w:r>
      <w:r w:rsidR="00A36D87" w:rsidRPr="007C5E0C">
        <w:rPr>
          <w:rFonts w:ascii="Avenir Next" w:hAnsi="Avenir Next" w:cs="Arial"/>
          <w:color w:val="808080" w:themeColor="background1" w:themeShade="80"/>
          <w:sz w:val="22"/>
          <w:szCs w:val="22"/>
          <w:lang w:val="en-GB"/>
        </w:rPr>
        <w:t>an</w:t>
      </w:r>
      <w:r w:rsidR="000C6515" w:rsidRPr="007C5E0C">
        <w:rPr>
          <w:rFonts w:ascii="Avenir Next" w:hAnsi="Avenir Next" w:cs="Arial"/>
          <w:color w:val="808080" w:themeColor="background1" w:themeShade="80"/>
          <w:sz w:val="22"/>
          <w:szCs w:val="22"/>
          <w:lang w:val="en-GB"/>
        </w:rPr>
        <w:t xml:space="preserve"> insolvency representative who is subject to the control or supervision of the court. </w:t>
      </w:r>
    </w:p>
    <w:p w14:paraId="7BF34EF9" w14:textId="402991E8" w:rsidR="00AC119F" w:rsidRPr="00760A57" w:rsidRDefault="00AC119F" w:rsidP="00CA74D2">
      <w:pPr>
        <w:ind w:left="2160"/>
        <w:jc w:val="both"/>
        <w:rPr>
          <w:rFonts w:ascii="Avenir Next" w:hAnsi="Avenir Next" w:cs="Arial"/>
          <w:color w:val="808080" w:themeColor="background1" w:themeShade="80"/>
          <w:sz w:val="22"/>
          <w:szCs w:val="22"/>
          <w:lang w:val="en-GB"/>
        </w:rPr>
      </w:pPr>
    </w:p>
    <w:p w14:paraId="0E836FAE" w14:textId="346FE737" w:rsidR="00EC6675" w:rsidRPr="00760A57" w:rsidRDefault="00420415" w:rsidP="00CA74D2">
      <w:pPr>
        <w:ind w:left="216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UNCITRAL Model Law on Cross-Border Insolvency: The Judicial Perspective noted that </w:t>
      </w:r>
      <w:r w:rsidR="00AC119F" w:rsidRPr="00760A57">
        <w:rPr>
          <w:rFonts w:ascii="Avenir Next" w:hAnsi="Avenir Next" w:cs="Arial"/>
          <w:color w:val="808080" w:themeColor="background1" w:themeShade="80"/>
          <w:sz w:val="22"/>
          <w:szCs w:val="22"/>
          <w:lang w:val="en-GB"/>
        </w:rPr>
        <w:t>the requirement for control and supervision can be met in a variety of situations</w:t>
      </w:r>
      <w:r w:rsidR="00EC6675" w:rsidRPr="00760A57">
        <w:rPr>
          <w:rFonts w:ascii="Avenir Next" w:hAnsi="Avenir Next" w:cs="Arial"/>
          <w:color w:val="808080" w:themeColor="background1" w:themeShade="80"/>
          <w:sz w:val="22"/>
          <w:szCs w:val="22"/>
          <w:lang w:val="en-GB"/>
        </w:rPr>
        <w:t xml:space="preserve">, </w:t>
      </w:r>
      <w:r w:rsidR="00AC119F" w:rsidRPr="00760A57">
        <w:rPr>
          <w:rFonts w:ascii="Avenir Next" w:hAnsi="Avenir Next" w:cs="Arial"/>
          <w:color w:val="808080" w:themeColor="background1" w:themeShade="80"/>
          <w:sz w:val="22"/>
          <w:szCs w:val="22"/>
          <w:lang w:val="en-GB"/>
        </w:rPr>
        <w:t>including</w:t>
      </w:r>
      <w:r w:rsidR="00EC6675" w:rsidRPr="00760A57">
        <w:rPr>
          <w:rFonts w:ascii="Avenir Next" w:hAnsi="Avenir Next" w:cs="Arial"/>
          <w:color w:val="808080" w:themeColor="background1" w:themeShade="80"/>
          <w:sz w:val="22"/>
          <w:szCs w:val="22"/>
          <w:lang w:val="en-GB"/>
        </w:rPr>
        <w:t>:</w:t>
      </w:r>
    </w:p>
    <w:p w14:paraId="7B3EAA28" w14:textId="77777777" w:rsidR="00EC6675" w:rsidRPr="00760A57" w:rsidRDefault="00EC6675" w:rsidP="00CA74D2">
      <w:pPr>
        <w:ind w:left="2160"/>
        <w:jc w:val="both"/>
        <w:rPr>
          <w:rFonts w:ascii="Avenir Next" w:hAnsi="Avenir Next" w:cs="Arial"/>
          <w:color w:val="808080" w:themeColor="background1" w:themeShade="80"/>
          <w:sz w:val="22"/>
          <w:szCs w:val="22"/>
          <w:lang w:val="en-GB"/>
        </w:rPr>
      </w:pPr>
    </w:p>
    <w:p w14:paraId="580B7219" w14:textId="5E3EDB41" w:rsidR="00EC6675" w:rsidRPr="00A36D87" w:rsidRDefault="00AC119F" w:rsidP="00A36D87">
      <w:pPr>
        <w:pStyle w:val="ListParagraph"/>
        <w:numPr>
          <w:ilvl w:val="0"/>
          <w:numId w:val="28"/>
        </w:numPr>
        <w:jc w:val="both"/>
        <w:rPr>
          <w:rFonts w:ascii="Avenir Next" w:hAnsi="Avenir Next" w:cs="Arial"/>
          <w:color w:val="808080" w:themeColor="background1" w:themeShade="80"/>
          <w:sz w:val="22"/>
          <w:szCs w:val="22"/>
          <w:lang w:val="en-GB"/>
        </w:rPr>
      </w:pPr>
      <w:r w:rsidRPr="00A36D87">
        <w:rPr>
          <w:rFonts w:ascii="Avenir Next" w:hAnsi="Avenir Next" w:cs="Arial"/>
          <w:color w:val="808080" w:themeColor="background1" w:themeShade="80"/>
          <w:sz w:val="22"/>
          <w:szCs w:val="22"/>
          <w:lang w:val="en-GB"/>
        </w:rPr>
        <w:t xml:space="preserve">where liquidators can proceed with their duties largely without court involvement; </w:t>
      </w:r>
    </w:p>
    <w:p w14:paraId="0C6EC10F" w14:textId="77777777" w:rsidR="00EC6675" w:rsidRPr="00A36D87" w:rsidRDefault="00AC119F" w:rsidP="00A36D87">
      <w:pPr>
        <w:pStyle w:val="ListParagraph"/>
        <w:numPr>
          <w:ilvl w:val="0"/>
          <w:numId w:val="28"/>
        </w:numPr>
        <w:jc w:val="both"/>
        <w:rPr>
          <w:rFonts w:ascii="Avenir Next" w:hAnsi="Avenir Next" w:cs="Arial"/>
          <w:color w:val="808080" w:themeColor="background1" w:themeShade="80"/>
          <w:sz w:val="22"/>
          <w:szCs w:val="22"/>
          <w:lang w:val="en-GB"/>
        </w:rPr>
      </w:pPr>
      <w:r w:rsidRPr="00A36D87">
        <w:rPr>
          <w:rFonts w:ascii="Avenir Next" w:hAnsi="Avenir Next" w:cs="Arial"/>
          <w:color w:val="808080" w:themeColor="background1" w:themeShade="80"/>
          <w:sz w:val="22"/>
          <w:szCs w:val="22"/>
          <w:lang w:val="en-GB"/>
        </w:rPr>
        <w:t>where the relevant law gives the court various control and supervisory roles with respect to liquidation proceedings;</w:t>
      </w:r>
      <w:r w:rsidR="00A461C9" w:rsidRPr="00A36D87">
        <w:rPr>
          <w:rFonts w:ascii="Avenir Next" w:hAnsi="Avenir Next" w:cs="Arial"/>
          <w:color w:val="808080" w:themeColor="background1" w:themeShade="80"/>
          <w:sz w:val="22"/>
          <w:szCs w:val="22"/>
          <w:lang w:val="en-GB"/>
        </w:rPr>
        <w:t xml:space="preserve"> </w:t>
      </w:r>
    </w:p>
    <w:p w14:paraId="15CF370B" w14:textId="4A251A4C" w:rsidR="00AC119F" w:rsidRPr="00A36D87" w:rsidRDefault="00AC119F" w:rsidP="00A36D87">
      <w:pPr>
        <w:pStyle w:val="ListParagraph"/>
        <w:numPr>
          <w:ilvl w:val="0"/>
          <w:numId w:val="28"/>
        </w:numPr>
        <w:jc w:val="both"/>
        <w:rPr>
          <w:rFonts w:ascii="Avenir Next" w:hAnsi="Avenir Next" w:cs="Arial"/>
          <w:color w:val="808080" w:themeColor="background1" w:themeShade="80"/>
          <w:sz w:val="22"/>
          <w:szCs w:val="22"/>
          <w:lang w:val="en-GB"/>
        </w:rPr>
      </w:pPr>
      <w:r w:rsidRPr="00A36D87">
        <w:rPr>
          <w:rFonts w:ascii="Avenir Next" w:hAnsi="Avenir Next" w:cs="Arial"/>
          <w:color w:val="808080" w:themeColor="background1" w:themeShade="80"/>
          <w:sz w:val="22"/>
          <w:szCs w:val="22"/>
          <w:lang w:val="en-GB"/>
        </w:rPr>
        <w:t xml:space="preserve">where the </w:t>
      </w:r>
      <w:r w:rsidRPr="007C5E0C">
        <w:rPr>
          <w:rFonts w:ascii="Avenir Next" w:hAnsi="Avenir Next" w:cs="Arial"/>
          <w:color w:val="808080" w:themeColor="background1" w:themeShade="80"/>
          <w:sz w:val="22"/>
          <w:szCs w:val="22"/>
          <w:lang w:val="en-GB"/>
        </w:rPr>
        <w:t>court may ultimately become involved</w:t>
      </w:r>
      <w:r w:rsidRPr="00A36D87">
        <w:rPr>
          <w:rFonts w:ascii="Avenir Next" w:hAnsi="Avenir Next" w:cs="Arial"/>
          <w:color w:val="808080" w:themeColor="background1" w:themeShade="80"/>
          <w:sz w:val="22"/>
          <w:szCs w:val="22"/>
          <w:lang w:val="en-GB"/>
        </w:rPr>
        <w:t xml:space="preserve"> because the debtor is found to be insolvent and the nature of the proceeding has to change</w:t>
      </w:r>
      <w:r w:rsidR="00420415" w:rsidRPr="00A36D87">
        <w:rPr>
          <w:rFonts w:ascii="Avenir Next" w:hAnsi="Avenir Next" w:cs="Arial"/>
          <w:color w:val="808080" w:themeColor="background1" w:themeShade="80"/>
          <w:sz w:val="22"/>
          <w:szCs w:val="22"/>
          <w:lang w:val="en-GB"/>
        </w:rPr>
        <w:t>…’</w:t>
      </w:r>
      <w:r w:rsidR="00420415">
        <w:rPr>
          <w:rStyle w:val="FootnoteReference"/>
        </w:rPr>
        <w:footnoteReference w:id="12"/>
      </w:r>
    </w:p>
    <w:p w14:paraId="0A09952B" w14:textId="64721C7C" w:rsidR="00AC119F" w:rsidRPr="00DE1F5D" w:rsidRDefault="00AC119F" w:rsidP="00760A57">
      <w:pPr>
        <w:ind w:left="720"/>
        <w:jc w:val="both"/>
        <w:rPr>
          <w:rFonts w:ascii="Avenir Next" w:hAnsi="Avenir Next" w:cs="Arial"/>
          <w:color w:val="808080" w:themeColor="background1" w:themeShade="80"/>
          <w:sz w:val="22"/>
          <w:szCs w:val="22"/>
          <w:lang w:val="en-GB"/>
        </w:rPr>
      </w:pPr>
    </w:p>
    <w:p w14:paraId="1D155786" w14:textId="5ED086C6" w:rsidR="00EC6675" w:rsidRPr="00760A57" w:rsidRDefault="002416D7" w:rsidP="00A36D87">
      <w:pPr>
        <w:ind w:left="2160"/>
        <w:jc w:val="both"/>
        <w:rPr>
          <w:rFonts w:ascii="Avenir Next" w:hAnsi="Avenir Next" w:cs="Arial"/>
          <w:color w:val="808080" w:themeColor="background1" w:themeShade="80"/>
          <w:sz w:val="22"/>
          <w:szCs w:val="22"/>
          <w:lang w:val="en-GB"/>
        </w:rPr>
      </w:pPr>
      <w:proofErr w:type="spellStart"/>
      <w:r w:rsidRPr="007C5E0C">
        <w:rPr>
          <w:rFonts w:ascii="Avenir Next" w:hAnsi="Avenir Next" w:cs="Arial"/>
          <w:i/>
          <w:iCs/>
          <w:color w:val="808080" w:themeColor="background1" w:themeShade="80"/>
          <w:sz w:val="22"/>
          <w:szCs w:val="22"/>
          <w:lang w:val="en-GB"/>
        </w:rPr>
        <w:t>Betcorp</w:t>
      </w:r>
      <w:proofErr w:type="spellEnd"/>
      <w:r w:rsidRPr="007C5E0C">
        <w:rPr>
          <w:rFonts w:ascii="Avenir Next" w:hAnsi="Avenir Next" w:cs="Arial"/>
          <w:i/>
          <w:iCs/>
          <w:color w:val="808080" w:themeColor="background1" w:themeShade="80"/>
          <w:sz w:val="22"/>
          <w:szCs w:val="22"/>
          <w:lang w:val="en-GB"/>
        </w:rPr>
        <w:t xml:space="preserve"> (case no. 5)</w:t>
      </w:r>
      <w:r w:rsidRPr="00760A57">
        <w:rPr>
          <w:rFonts w:ascii="Avenir Next" w:hAnsi="Avenir Next" w:cs="Arial"/>
          <w:color w:val="808080" w:themeColor="background1" w:themeShade="80"/>
          <w:sz w:val="22"/>
          <w:szCs w:val="22"/>
          <w:lang w:val="en-GB"/>
        </w:rPr>
        <w:t xml:space="preserve"> held that </w:t>
      </w:r>
      <w:r w:rsidR="00420415" w:rsidRPr="00760A57">
        <w:rPr>
          <w:rFonts w:ascii="Avenir Next" w:hAnsi="Avenir Next" w:cs="Arial"/>
          <w:color w:val="808080" w:themeColor="background1" w:themeShade="80"/>
          <w:sz w:val="22"/>
          <w:szCs w:val="22"/>
          <w:lang w:val="en-GB"/>
        </w:rPr>
        <w:t xml:space="preserve">a proceeding could be subject to supervision by a judicial authority </w:t>
      </w:r>
      <w:r w:rsidR="00D76A5E" w:rsidRPr="00760A57">
        <w:rPr>
          <w:rFonts w:ascii="Avenir Next" w:hAnsi="Avenir Next" w:cs="Arial"/>
          <w:color w:val="808080" w:themeColor="background1" w:themeShade="80"/>
          <w:sz w:val="22"/>
          <w:szCs w:val="22"/>
          <w:lang w:val="en-GB"/>
        </w:rPr>
        <w:t>where</w:t>
      </w:r>
      <w:r w:rsidR="00EC6675" w:rsidRPr="00760A57">
        <w:rPr>
          <w:rFonts w:ascii="Avenir Next" w:hAnsi="Avenir Next" w:cs="Arial"/>
          <w:color w:val="808080" w:themeColor="background1" w:themeShade="80"/>
          <w:sz w:val="22"/>
          <w:szCs w:val="22"/>
          <w:lang w:val="en-GB"/>
        </w:rPr>
        <w:t>:</w:t>
      </w:r>
    </w:p>
    <w:p w14:paraId="00CF3F50" w14:textId="77777777" w:rsidR="00EC6675" w:rsidRPr="00EC6675" w:rsidRDefault="00EC6675" w:rsidP="004A2DBB">
      <w:pPr>
        <w:ind w:left="720"/>
        <w:jc w:val="both"/>
        <w:rPr>
          <w:color w:val="7030A0"/>
        </w:rPr>
      </w:pPr>
    </w:p>
    <w:p w14:paraId="5653E86C" w14:textId="5819C125" w:rsidR="00EC6675" w:rsidRPr="007C5E0C" w:rsidRDefault="00420415" w:rsidP="004A2DBB">
      <w:pPr>
        <w:pStyle w:val="ListParagraph"/>
        <w:numPr>
          <w:ilvl w:val="0"/>
          <w:numId w:val="29"/>
        </w:numPr>
        <w:jc w:val="both"/>
        <w:rPr>
          <w:rFonts w:ascii="Avenir Next" w:hAnsi="Avenir Next" w:cs="Arial"/>
          <w:color w:val="808080" w:themeColor="background1" w:themeShade="80"/>
          <w:sz w:val="22"/>
          <w:szCs w:val="22"/>
          <w:lang w:val="en-GB"/>
        </w:rPr>
      </w:pPr>
      <w:r w:rsidRPr="007C5E0C">
        <w:rPr>
          <w:rFonts w:ascii="Avenir Next" w:hAnsi="Avenir Next" w:cs="Arial"/>
          <w:color w:val="808080" w:themeColor="background1" w:themeShade="80"/>
          <w:sz w:val="22"/>
          <w:szCs w:val="22"/>
          <w:lang w:val="en-GB"/>
        </w:rPr>
        <w:t>the</w:t>
      </w:r>
      <w:r w:rsidR="007F2571" w:rsidRPr="007C5E0C">
        <w:rPr>
          <w:rFonts w:ascii="Avenir Next" w:hAnsi="Avenir Next" w:cs="Arial"/>
          <w:color w:val="808080" w:themeColor="background1" w:themeShade="80"/>
          <w:sz w:val="22"/>
          <w:szCs w:val="22"/>
          <w:lang w:val="en-GB"/>
        </w:rPr>
        <w:t>re is the</w:t>
      </w:r>
      <w:r w:rsidRPr="007C5E0C">
        <w:rPr>
          <w:rFonts w:ascii="Avenir Next" w:hAnsi="Avenir Next" w:cs="Arial"/>
          <w:color w:val="808080" w:themeColor="background1" w:themeShade="80"/>
          <w:sz w:val="22"/>
          <w:szCs w:val="22"/>
          <w:lang w:val="en-GB"/>
        </w:rPr>
        <w:t xml:space="preserve"> ability of liquidators and creditors in a voluntary liquidation to seek court</w:t>
      </w:r>
      <w:r w:rsidR="00D76A5E" w:rsidRPr="007C5E0C">
        <w:rPr>
          <w:rFonts w:ascii="Avenir Next" w:hAnsi="Avenir Next" w:cs="Arial"/>
          <w:color w:val="808080" w:themeColor="background1" w:themeShade="80"/>
          <w:sz w:val="22"/>
          <w:szCs w:val="22"/>
          <w:lang w:val="en-GB"/>
        </w:rPr>
        <w:t xml:space="preserve"> determination of any question arising in the liquidation; </w:t>
      </w:r>
    </w:p>
    <w:p w14:paraId="411356B7" w14:textId="77777777" w:rsidR="00EC6675" w:rsidRPr="004A2DBB" w:rsidRDefault="00EC6675" w:rsidP="004A2DBB">
      <w:pPr>
        <w:ind w:left="2160"/>
        <w:jc w:val="both"/>
        <w:rPr>
          <w:rFonts w:ascii="Avenir Next" w:hAnsi="Avenir Next" w:cs="Arial"/>
          <w:color w:val="808080" w:themeColor="background1" w:themeShade="80"/>
          <w:sz w:val="22"/>
          <w:szCs w:val="22"/>
          <w:lang w:val="en-GB"/>
        </w:rPr>
      </w:pPr>
    </w:p>
    <w:p w14:paraId="1887FBA4" w14:textId="58D733C0" w:rsidR="00EC6675" w:rsidRPr="004A2DBB" w:rsidRDefault="00D76A5E" w:rsidP="004A2DBB">
      <w:pPr>
        <w:pStyle w:val="ListParagraph"/>
        <w:numPr>
          <w:ilvl w:val="0"/>
          <w:numId w:val="29"/>
        </w:numPr>
        <w:jc w:val="both"/>
        <w:rPr>
          <w:rFonts w:ascii="Avenir Next" w:hAnsi="Avenir Next" w:cs="Arial"/>
          <w:color w:val="808080" w:themeColor="background1" w:themeShade="80"/>
          <w:sz w:val="22"/>
          <w:szCs w:val="22"/>
          <w:lang w:val="en-GB"/>
        </w:rPr>
      </w:pPr>
      <w:r w:rsidRPr="004A2DBB">
        <w:rPr>
          <w:rFonts w:ascii="Avenir Next" w:hAnsi="Avenir Next" w:cs="Arial"/>
          <w:color w:val="808080" w:themeColor="background1" w:themeShade="80"/>
          <w:sz w:val="22"/>
          <w:szCs w:val="22"/>
          <w:lang w:val="en-GB"/>
        </w:rPr>
        <w:t>the</w:t>
      </w:r>
      <w:r w:rsidR="007F2571" w:rsidRPr="004A2DBB">
        <w:rPr>
          <w:rFonts w:ascii="Avenir Next" w:hAnsi="Avenir Next" w:cs="Arial"/>
          <w:color w:val="808080" w:themeColor="background1" w:themeShade="80"/>
          <w:sz w:val="22"/>
          <w:szCs w:val="22"/>
          <w:lang w:val="en-GB"/>
        </w:rPr>
        <w:t>re is the</w:t>
      </w:r>
      <w:r w:rsidRPr="004A2DBB">
        <w:rPr>
          <w:rFonts w:ascii="Avenir Next" w:hAnsi="Avenir Next" w:cs="Arial"/>
          <w:color w:val="808080" w:themeColor="background1" w:themeShade="80"/>
          <w:sz w:val="22"/>
          <w:szCs w:val="22"/>
          <w:lang w:val="en-GB"/>
        </w:rPr>
        <w:t xml:space="preserve"> general supervisory jurisdiction of </w:t>
      </w:r>
      <w:r w:rsidR="007F2571" w:rsidRPr="004A2DBB">
        <w:rPr>
          <w:rFonts w:ascii="Avenir Next" w:hAnsi="Avenir Next" w:cs="Arial"/>
          <w:color w:val="808080" w:themeColor="background1" w:themeShade="80"/>
          <w:sz w:val="22"/>
          <w:szCs w:val="22"/>
          <w:lang w:val="en-GB"/>
        </w:rPr>
        <w:t xml:space="preserve">[the </w:t>
      </w:r>
      <w:r w:rsidRPr="004A2DBB">
        <w:rPr>
          <w:rFonts w:ascii="Avenir Next" w:hAnsi="Avenir Next" w:cs="Arial"/>
          <w:color w:val="808080" w:themeColor="background1" w:themeShade="80"/>
          <w:sz w:val="22"/>
          <w:szCs w:val="22"/>
          <w:lang w:val="en-GB"/>
        </w:rPr>
        <w:t>court</w:t>
      </w:r>
      <w:r w:rsidR="007F2571" w:rsidRPr="004A2DBB">
        <w:rPr>
          <w:rFonts w:ascii="Avenir Next" w:hAnsi="Avenir Next" w:cs="Arial"/>
          <w:color w:val="808080" w:themeColor="background1" w:themeShade="80"/>
          <w:sz w:val="22"/>
          <w:szCs w:val="22"/>
          <w:lang w:val="en-GB"/>
        </w:rPr>
        <w:t>]</w:t>
      </w:r>
      <w:r w:rsidRPr="004A2DBB">
        <w:rPr>
          <w:rFonts w:ascii="Avenir Next" w:hAnsi="Avenir Next" w:cs="Arial"/>
          <w:color w:val="808080" w:themeColor="background1" w:themeShade="80"/>
          <w:sz w:val="22"/>
          <w:szCs w:val="22"/>
          <w:lang w:val="en-GB"/>
        </w:rPr>
        <w:t xml:space="preserve"> over actions of liquidators; and </w:t>
      </w:r>
    </w:p>
    <w:p w14:paraId="3FFCC3B7" w14:textId="77777777" w:rsidR="00EC6675" w:rsidRPr="004A2DBB" w:rsidRDefault="00EC6675" w:rsidP="004A2DBB">
      <w:pPr>
        <w:ind w:left="2160"/>
        <w:jc w:val="both"/>
        <w:rPr>
          <w:rFonts w:ascii="Avenir Next" w:hAnsi="Avenir Next" w:cs="Arial"/>
          <w:color w:val="808080" w:themeColor="background1" w:themeShade="80"/>
          <w:sz w:val="22"/>
          <w:szCs w:val="22"/>
          <w:lang w:val="en-GB"/>
        </w:rPr>
      </w:pPr>
    </w:p>
    <w:p w14:paraId="08BBB4BD" w14:textId="536538D2" w:rsidR="002416D7" w:rsidRPr="004A2DBB" w:rsidRDefault="00D76A5E" w:rsidP="004A2DBB">
      <w:pPr>
        <w:pStyle w:val="ListParagraph"/>
        <w:numPr>
          <w:ilvl w:val="0"/>
          <w:numId w:val="29"/>
        </w:numPr>
        <w:jc w:val="both"/>
        <w:rPr>
          <w:rFonts w:ascii="Avenir Next" w:hAnsi="Avenir Next" w:cs="Arial"/>
          <w:color w:val="808080" w:themeColor="background1" w:themeShade="80"/>
          <w:sz w:val="22"/>
          <w:szCs w:val="22"/>
          <w:lang w:val="en-GB"/>
        </w:rPr>
      </w:pPr>
      <w:r w:rsidRPr="004A2DBB">
        <w:rPr>
          <w:rFonts w:ascii="Avenir Next" w:hAnsi="Avenir Next" w:cs="Arial"/>
          <w:color w:val="808080" w:themeColor="background1" w:themeShade="80"/>
          <w:sz w:val="22"/>
          <w:szCs w:val="22"/>
          <w:lang w:val="en-GB"/>
        </w:rPr>
        <w:t>the</w:t>
      </w:r>
      <w:r w:rsidR="007F2571" w:rsidRPr="004A2DBB">
        <w:rPr>
          <w:rFonts w:ascii="Avenir Next" w:hAnsi="Avenir Next" w:cs="Arial"/>
          <w:color w:val="808080" w:themeColor="background1" w:themeShade="80"/>
          <w:sz w:val="22"/>
          <w:szCs w:val="22"/>
          <w:lang w:val="en-GB"/>
        </w:rPr>
        <w:t>re is the</w:t>
      </w:r>
      <w:r w:rsidRPr="004A2DBB">
        <w:rPr>
          <w:rFonts w:ascii="Avenir Next" w:hAnsi="Avenir Next" w:cs="Arial"/>
          <w:color w:val="808080" w:themeColor="background1" w:themeShade="80"/>
          <w:sz w:val="22"/>
          <w:szCs w:val="22"/>
          <w:lang w:val="en-GB"/>
        </w:rPr>
        <w:t xml:space="preserve"> ability of any person “aggrieved by any act, omission or decision” of a liquidator to appeal to </w:t>
      </w:r>
      <w:r w:rsidR="000C6515" w:rsidRPr="004A2DBB">
        <w:rPr>
          <w:rFonts w:ascii="Avenir Next" w:hAnsi="Avenir Next" w:cs="Arial"/>
          <w:color w:val="808080" w:themeColor="background1" w:themeShade="80"/>
          <w:sz w:val="22"/>
          <w:szCs w:val="22"/>
          <w:lang w:val="en-GB"/>
        </w:rPr>
        <w:t xml:space="preserve">[the </w:t>
      </w:r>
      <w:r w:rsidRPr="004A2DBB">
        <w:rPr>
          <w:rFonts w:ascii="Avenir Next" w:hAnsi="Avenir Next" w:cs="Arial"/>
          <w:color w:val="808080" w:themeColor="background1" w:themeShade="80"/>
          <w:sz w:val="22"/>
          <w:szCs w:val="22"/>
          <w:lang w:val="en-GB"/>
        </w:rPr>
        <w:t>court</w:t>
      </w:r>
      <w:r w:rsidR="000C6515" w:rsidRPr="004A2DBB">
        <w:rPr>
          <w:rFonts w:ascii="Avenir Next" w:hAnsi="Avenir Next" w:cs="Arial"/>
          <w:color w:val="808080" w:themeColor="background1" w:themeShade="80"/>
          <w:sz w:val="22"/>
          <w:szCs w:val="22"/>
          <w:lang w:val="en-GB"/>
        </w:rPr>
        <w:t>]</w:t>
      </w:r>
      <w:r w:rsidRPr="004A2DBB">
        <w:rPr>
          <w:rFonts w:ascii="Avenir Next" w:hAnsi="Avenir Next" w:cs="Arial"/>
          <w:color w:val="808080" w:themeColor="background1" w:themeShade="80"/>
          <w:sz w:val="22"/>
          <w:szCs w:val="22"/>
          <w:lang w:val="en-GB"/>
        </w:rPr>
        <w:t>, which could “confirm, reverse or modify the act or decision or remedy the omission, as the case may be”</w:t>
      </w:r>
    </w:p>
    <w:p w14:paraId="5936F1B5" w14:textId="77777777" w:rsidR="00866593" w:rsidRPr="00760A57" w:rsidRDefault="00866593" w:rsidP="004A2DBB">
      <w:pPr>
        <w:ind w:left="2160"/>
        <w:jc w:val="both"/>
        <w:rPr>
          <w:rFonts w:ascii="Avenir Next" w:hAnsi="Avenir Next" w:cs="Arial"/>
          <w:color w:val="808080" w:themeColor="background1" w:themeShade="80"/>
          <w:sz w:val="22"/>
          <w:szCs w:val="22"/>
          <w:lang w:val="en-GB"/>
        </w:rPr>
      </w:pPr>
    </w:p>
    <w:p w14:paraId="566D8401" w14:textId="3342DA5C" w:rsidR="00866593" w:rsidRPr="00760A57" w:rsidRDefault="007556AD" w:rsidP="009E2815">
      <w:pPr>
        <w:ind w:left="21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9E2815">
        <w:rPr>
          <w:rFonts w:ascii="Avenir Next" w:hAnsi="Avenir Next" w:cs="Arial"/>
          <w:color w:val="808080" w:themeColor="background1" w:themeShade="80"/>
          <w:sz w:val="22"/>
          <w:szCs w:val="22"/>
          <w:lang w:val="en-GB"/>
        </w:rPr>
        <w:t xml:space="preserve">t is submitted that the </w:t>
      </w:r>
      <w:r w:rsidR="003D1CAF">
        <w:rPr>
          <w:rFonts w:ascii="Avenir Next" w:hAnsi="Avenir Next" w:cs="Arial"/>
          <w:color w:val="808080" w:themeColor="background1" w:themeShade="80"/>
          <w:sz w:val="22"/>
          <w:szCs w:val="22"/>
          <w:lang w:val="en-GB"/>
        </w:rPr>
        <w:t xml:space="preserve">assets and affairs of the </w:t>
      </w:r>
      <w:r w:rsidR="00866593" w:rsidRPr="00760A57">
        <w:rPr>
          <w:rFonts w:ascii="Avenir Next" w:hAnsi="Avenir Next" w:cs="Arial"/>
          <w:color w:val="808080" w:themeColor="background1" w:themeShade="80"/>
          <w:sz w:val="22"/>
          <w:szCs w:val="22"/>
          <w:lang w:val="en-GB"/>
        </w:rPr>
        <w:t>Banks</w:t>
      </w:r>
      <w:r w:rsidR="003D1CAF">
        <w:rPr>
          <w:rFonts w:ascii="Avenir Next" w:hAnsi="Avenir Next" w:cs="Arial"/>
          <w:color w:val="808080" w:themeColor="background1" w:themeShade="80"/>
          <w:sz w:val="22"/>
          <w:szCs w:val="22"/>
          <w:lang w:val="en-GB"/>
        </w:rPr>
        <w:t xml:space="preserve"> are under the supervision or control of the court of State A.  </w:t>
      </w:r>
      <w:r>
        <w:rPr>
          <w:rFonts w:ascii="Avenir Next" w:hAnsi="Avenir Next" w:cs="Arial"/>
          <w:color w:val="808080" w:themeColor="background1" w:themeShade="80"/>
          <w:sz w:val="22"/>
          <w:szCs w:val="22"/>
          <w:lang w:val="en-GB"/>
        </w:rPr>
        <w:t xml:space="preserve">Article 37 DGF Law states that the DGF has </w:t>
      </w:r>
      <w:r w:rsidR="00B01E27">
        <w:rPr>
          <w:rFonts w:ascii="Avenir Next" w:hAnsi="Avenir Next" w:cs="Arial"/>
          <w:color w:val="808080" w:themeColor="background1" w:themeShade="80"/>
          <w:sz w:val="22"/>
          <w:szCs w:val="22"/>
          <w:lang w:val="en-GB"/>
        </w:rPr>
        <w:t>extensive</w:t>
      </w:r>
      <w:r>
        <w:rPr>
          <w:rFonts w:ascii="Avenir Next" w:hAnsi="Avenir Next" w:cs="Arial"/>
          <w:color w:val="808080" w:themeColor="background1" w:themeShade="80"/>
          <w:sz w:val="22"/>
          <w:szCs w:val="22"/>
          <w:lang w:val="en-GB"/>
        </w:rPr>
        <w:t xml:space="preserve"> powers</w:t>
      </w:r>
      <w:r w:rsidR="00B01E27">
        <w:rPr>
          <w:rFonts w:ascii="Avenir Next" w:hAnsi="Avenir Next" w:cs="Arial"/>
          <w:color w:val="808080" w:themeColor="background1" w:themeShade="80"/>
          <w:sz w:val="22"/>
          <w:szCs w:val="22"/>
          <w:lang w:val="en-GB"/>
        </w:rPr>
        <w:t xml:space="preserve"> including to f</w:t>
      </w:r>
      <w:r>
        <w:rPr>
          <w:rFonts w:ascii="Avenir Next" w:hAnsi="Avenir Next" w:cs="Arial"/>
          <w:color w:val="808080" w:themeColor="background1" w:themeShade="80"/>
          <w:sz w:val="22"/>
          <w:szCs w:val="22"/>
          <w:lang w:val="en-GB"/>
        </w:rPr>
        <w:t>il</w:t>
      </w:r>
      <w:r w:rsidR="00B01E27">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property and non-property claims with </w:t>
      </w:r>
      <w:r w:rsidR="00B01E27">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court.  </w:t>
      </w:r>
      <w:r w:rsidRPr="00B01E27">
        <w:rPr>
          <w:rFonts w:ascii="Avenir Next" w:hAnsi="Avenir Next" w:cs="Arial"/>
          <w:color w:val="808080" w:themeColor="background1" w:themeShade="80"/>
          <w:sz w:val="22"/>
          <w:szCs w:val="22"/>
          <w:lang w:val="en-GB"/>
        </w:rPr>
        <w:t xml:space="preserve">The provision </w:t>
      </w:r>
      <w:r w:rsidR="00B01E27" w:rsidRPr="00B01E27">
        <w:rPr>
          <w:rFonts w:ascii="Avenir Next" w:hAnsi="Avenir Next" w:cs="Arial"/>
          <w:color w:val="808080" w:themeColor="background1" w:themeShade="80"/>
          <w:sz w:val="22"/>
          <w:szCs w:val="22"/>
          <w:lang w:val="en-GB"/>
        </w:rPr>
        <w:t xml:space="preserve">proves that the </w:t>
      </w:r>
      <w:r w:rsidRPr="00B01E27">
        <w:rPr>
          <w:rFonts w:ascii="Avenir Next" w:hAnsi="Avenir Next" w:cs="Arial"/>
          <w:color w:val="808080" w:themeColor="background1" w:themeShade="80"/>
          <w:sz w:val="22"/>
          <w:szCs w:val="22"/>
          <w:lang w:val="en-GB"/>
        </w:rPr>
        <w:t>DGF</w:t>
      </w:r>
      <w:r w:rsidR="00B01E27" w:rsidRPr="00B01E27">
        <w:rPr>
          <w:rFonts w:ascii="Avenir Next" w:hAnsi="Avenir Next" w:cs="Arial"/>
          <w:color w:val="808080" w:themeColor="background1" w:themeShade="80"/>
          <w:sz w:val="22"/>
          <w:szCs w:val="22"/>
          <w:lang w:val="en-GB"/>
        </w:rPr>
        <w:t xml:space="preserve"> has the ability to seek court determination of </w:t>
      </w:r>
      <w:r w:rsidR="00B01E27" w:rsidRPr="00B01E27">
        <w:rPr>
          <w:rFonts w:ascii="Avenir Next" w:hAnsi="Avenir Next" w:cs="Arial"/>
          <w:color w:val="808080" w:themeColor="background1" w:themeShade="80"/>
          <w:sz w:val="22"/>
          <w:szCs w:val="22"/>
          <w:lang w:val="en-GB"/>
        </w:rPr>
        <w:t>any question arising in the liquidation</w:t>
      </w:r>
      <w:r w:rsidR="00B01E27" w:rsidRPr="00B01E27">
        <w:rPr>
          <w:rFonts w:ascii="Avenir Next" w:hAnsi="Avenir Next" w:cs="Arial"/>
          <w:color w:val="808080" w:themeColor="background1" w:themeShade="80"/>
          <w:sz w:val="22"/>
          <w:szCs w:val="22"/>
          <w:lang w:val="en-GB"/>
        </w:rPr>
        <w:t xml:space="preserve"> </w:t>
      </w:r>
      <w:r w:rsidR="00B01E27">
        <w:rPr>
          <w:rFonts w:ascii="Avenir Next" w:hAnsi="Avenir Next" w:cs="Arial"/>
          <w:color w:val="808080" w:themeColor="background1" w:themeShade="80"/>
          <w:sz w:val="22"/>
          <w:szCs w:val="22"/>
          <w:lang w:val="en-GB"/>
        </w:rPr>
        <w:t xml:space="preserve">and </w:t>
      </w:r>
      <w:r w:rsidR="00B01E27" w:rsidRPr="00B01E27">
        <w:rPr>
          <w:rFonts w:ascii="Avenir Next" w:hAnsi="Avenir Next" w:cs="Arial"/>
          <w:color w:val="808080" w:themeColor="background1" w:themeShade="80"/>
          <w:sz w:val="22"/>
          <w:szCs w:val="22"/>
          <w:lang w:val="en-GB"/>
        </w:rPr>
        <w:t>as such the DGF is</w:t>
      </w:r>
      <w:r w:rsidRPr="00B01E27">
        <w:rPr>
          <w:rFonts w:ascii="Avenir Next" w:hAnsi="Avenir Next" w:cs="Arial"/>
          <w:color w:val="808080" w:themeColor="background1" w:themeShade="80"/>
          <w:sz w:val="22"/>
          <w:szCs w:val="22"/>
          <w:lang w:val="en-GB"/>
        </w:rPr>
        <w:t xml:space="preserve"> subject to the control or supervision of the court</w:t>
      </w:r>
      <w:r w:rsidR="00B01E27">
        <w:rPr>
          <w:rFonts w:ascii="Avenir Next" w:hAnsi="Avenir Next" w:cs="Arial"/>
          <w:color w:val="808080" w:themeColor="background1" w:themeShade="80"/>
          <w:sz w:val="22"/>
          <w:szCs w:val="22"/>
          <w:lang w:val="en-GB"/>
        </w:rPr>
        <w:t xml:space="preserve">. </w:t>
      </w:r>
    </w:p>
    <w:p w14:paraId="3048C8BD" w14:textId="77777777" w:rsidR="00AC119F" w:rsidRPr="00760A57" w:rsidRDefault="00AC119F" w:rsidP="00760A57">
      <w:pPr>
        <w:ind w:left="720"/>
        <w:jc w:val="both"/>
        <w:rPr>
          <w:rFonts w:ascii="Avenir Next" w:hAnsi="Avenir Next" w:cs="Arial"/>
          <w:color w:val="808080" w:themeColor="background1" w:themeShade="80"/>
          <w:sz w:val="22"/>
          <w:szCs w:val="22"/>
          <w:lang w:val="en-GB"/>
        </w:rPr>
      </w:pPr>
    </w:p>
    <w:p w14:paraId="158395F6" w14:textId="447156F0" w:rsidR="00752A14" w:rsidRPr="004A2DBB" w:rsidRDefault="00752A14" w:rsidP="00F05CD7">
      <w:pPr>
        <w:ind w:left="720"/>
        <w:jc w:val="both"/>
        <w:rPr>
          <w:rFonts w:ascii="Avenir Next" w:hAnsi="Avenir Next" w:cs="Arial"/>
          <w:b/>
          <w:bCs/>
          <w:color w:val="808080" w:themeColor="background1" w:themeShade="80"/>
          <w:sz w:val="22"/>
          <w:szCs w:val="22"/>
          <w:lang w:val="en-GB"/>
        </w:rPr>
      </w:pPr>
      <w:r w:rsidRPr="004A2DBB">
        <w:rPr>
          <w:rFonts w:ascii="Avenir Next" w:hAnsi="Avenir Next" w:cs="Arial"/>
          <w:b/>
          <w:bCs/>
          <w:color w:val="808080" w:themeColor="background1" w:themeShade="80"/>
          <w:sz w:val="22"/>
          <w:szCs w:val="22"/>
          <w:lang w:val="en-GB"/>
        </w:rPr>
        <w:t>The proceeding must be for the</w:t>
      </w:r>
      <w:r w:rsidR="005C2B40" w:rsidRPr="004A2DBB">
        <w:rPr>
          <w:rFonts w:ascii="Avenir Next" w:hAnsi="Avenir Next" w:cs="Arial"/>
          <w:b/>
          <w:bCs/>
          <w:color w:val="808080" w:themeColor="background1" w:themeShade="80"/>
          <w:sz w:val="22"/>
          <w:szCs w:val="22"/>
          <w:lang w:val="en-GB"/>
        </w:rPr>
        <w:t xml:space="preserve"> </w:t>
      </w:r>
      <w:r w:rsidRPr="004A2DBB">
        <w:rPr>
          <w:rFonts w:ascii="Avenir Next" w:hAnsi="Avenir Next" w:cs="Arial"/>
          <w:b/>
          <w:bCs/>
          <w:color w:val="808080" w:themeColor="background1" w:themeShade="80"/>
          <w:sz w:val="22"/>
          <w:szCs w:val="22"/>
          <w:lang w:val="en-GB"/>
        </w:rPr>
        <w:t xml:space="preserve">liquidation or </w:t>
      </w:r>
      <w:r w:rsidR="00F05CD7" w:rsidRPr="004A2DBB">
        <w:rPr>
          <w:rFonts w:ascii="Avenir Next" w:hAnsi="Avenir Next" w:cs="Arial"/>
          <w:b/>
          <w:bCs/>
          <w:color w:val="808080" w:themeColor="background1" w:themeShade="80"/>
          <w:sz w:val="22"/>
          <w:szCs w:val="22"/>
          <w:lang w:val="en-GB"/>
        </w:rPr>
        <w:t>reorganization:</w:t>
      </w:r>
    </w:p>
    <w:p w14:paraId="3EC9F12F" w14:textId="77777777" w:rsidR="004A2DBB" w:rsidRDefault="004A2DBB" w:rsidP="00760A57">
      <w:pPr>
        <w:ind w:left="720"/>
        <w:jc w:val="both"/>
        <w:rPr>
          <w:rFonts w:ascii="Avenir Next" w:hAnsi="Avenir Next" w:cs="Arial"/>
          <w:color w:val="808080" w:themeColor="background1" w:themeShade="80"/>
          <w:sz w:val="22"/>
          <w:szCs w:val="22"/>
          <w:lang w:val="en-GB"/>
        </w:rPr>
      </w:pPr>
    </w:p>
    <w:p w14:paraId="2DC78601" w14:textId="1EFF2F65" w:rsidR="00752A14" w:rsidRPr="00760A57" w:rsidRDefault="0005172D" w:rsidP="00760A57">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purpose of the proceeding will need to be carefully considered </w:t>
      </w:r>
      <w:r w:rsidR="00E51D93" w:rsidRPr="00760A57">
        <w:rPr>
          <w:rFonts w:ascii="Avenir Next" w:hAnsi="Avenir Next" w:cs="Arial"/>
          <w:color w:val="808080" w:themeColor="background1" w:themeShade="80"/>
          <w:sz w:val="22"/>
          <w:szCs w:val="22"/>
          <w:lang w:val="en-GB"/>
        </w:rPr>
        <w:t>because</w:t>
      </w:r>
      <w:r w:rsidRPr="00760A57">
        <w:rPr>
          <w:rFonts w:ascii="Avenir Next" w:hAnsi="Avenir Next" w:cs="Arial"/>
          <w:color w:val="808080" w:themeColor="background1" w:themeShade="80"/>
          <w:sz w:val="22"/>
          <w:szCs w:val="22"/>
          <w:lang w:val="en-GB"/>
        </w:rPr>
        <w:t xml:space="preserve"> some proceedings may </w:t>
      </w:r>
      <w:r w:rsidR="00D441D4" w:rsidRPr="00760A57">
        <w:rPr>
          <w:rFonts w:ascii="Avenir Next" w:hAnsi="Avenir Next" w:cs="Arial"/>
          <w:color w:val="808080" w:themeColor="background1" w:themeShade="80"/>
          <w:sz w:val="22"/>
          <w:szCs w:val="22"/>
          <w:lang w:val="en-GB"/>
        </w:rPr>
        <w:t>address t</w:t>
      </w:r>
      <w:r w:rsidRPr="00760A57">
        <w:rPr>
          <w:rFonts w:ascii="Avenir Next" w:hAnsi="Avenir Next" w:cs="Arial"/>
          <w:color w:val="808080" w:themeColor="background1" w:themeShade="80"/>
          <w:sz w:val="22"/>
          <w:szCs w:val="22"/>
          <w:lang w:val="en-GB"/>
        </w:rPr>
        <w:t xml:space="preserve">he financial distress of the company but nevertheless are not </w:t>
      </w:r>
      <w:r w:rsidR="00D441D4" w:rsidRPr="00760A57">
        <w:rPr>
          <w:rFonts w:ascii="Avenir Next" w:hAnsi="Avenir Next" w:cs="Arial"/>
          <w:color w:val="808080" w:themeColor="background1" w:themeShade="80"/>
          <w:sz w:val="22"/>
          <w:szCs w:val="22"/>
          <w:lang w:val="en-GB"/>
        </w:rPr>
        <w:t xml:space="preserve">dealing with the </w:t>
      </w:r>
      <w:r w:rsidRPr="00760A57">
        <w:rPr>
          <w:rFonts w:ascii="Avenir Next" w:hAnsi="Avenir Next" w:cs="Arial"/>
          <w:color w:val="808080" w:themeColor="background1" w:themeShade="80"/>
          <w:sz w:val="22"/>
          <w:szCs w:val="22"/>
          <w:lang w:val="en-GB"/>
        </w:rPr>
        <w:t>liquidating or reorganising the debtor</w:t>
      </w:r>
      <w:r w:rsidR="00D441D4" w:rsidRPr="00760A57">
        <w:rPr>
          <w:rFonts w:ascii="Avenir Next" w:hAnsi="Avenir Next" w:cs="Arial"/>
          <w:color w:val="808080" w:themeColor="background1" w:themeShade="80"/>
          <w:sz w:val="22"/>
          <w:szCs w:val="22"/>
          <w:lang w:val="en-GB"/>
        </w:rPr>
        <w:t xml:space="preserve">.  </w:t>
      </w:r>
    </w:p>
    <w:p w14:paraId="7F7BC984" w14:textId="4AEED53F" w:rsidR="008F55FB" w:rsidRPr="00760A57" w:rsidRDefault="008F55FB" w:rsidP="00760A57">
      <w:pPr>
        <w:ind w:left="720"/>
        <w:jc w:val="both"/>
        <w:rPr>
          <w:rFonts w:ascii="Avenir Next" w:hAnsi="Avenir Next" w:cs="Arial"/>
          <w:color w:val="808080" w:themeColor="background1" w:themeShade="80"/>
          <w:sz w:val="22"/>
          <w:szCs w:val="22"/>
          <w:lang w:val="en-GB"/>
        </w:rPr>
      </w:pPr>
    </w:p>
    <w:p w14:paraId="4777BB50" w14:textId="617508DC" w:rsidR="008F55FB" w:rsidRDefault="008F55FB" w:rsidP="00F72FA8">
      <w:pPr>
        <w:ind w:left="2160"/>
        <w:jc w:val="both"/>
        <w:rPr>
          <w:rFonts w:ascii="Avenir Next" w:hAnsi="Avenir Next" w:cs="Arial"/>
          <w:color w:val="000000"/>
          <w:sz w:val="22"/>
          <w:szCs w:val="22"/>
          <w:lang w:val="en-GB" w:eastAsia="en-GB"/>
        </w:rPr>
      </w:pPr>
      <w:r w:rsidRPr="00760A57">
        <w:rPr>
          <w:rFonts w:ascii="Avenir Next" w:hAnsi="Avenir Next" w:cs="Arial"/>
          <w:color w:val="808080" w:themeColor="background1" w:themeShade="80"/>
          <w:sz w:val="22"/>
          <w:szCs w:val="22"/>
          <w:lang w:val="en-GB"/>
        </w:rPr>
        <w:t>Courts have confirmed that proceedings designed to prevent dissipation and waste, or to prevent detriment to investors, rather than to liquidate or reorganize the insolvency estate</w:t>
      </w:r>
      <w:r w:rsidR="00F72FA8" w:rsidRPr="00760A57">
        <w:rPr>
          <w:rFonts w:ascii="Avenir Next" w:hAnsi="Avenir Next" w:cs="Arial"/>
          <w:color w:val="808080" w:themeColor="background1" w:themeShade="80"/>
          <w:sz w:val="22"/>
          <w:szCs w:val="22"/>
          <w:lang w:val="en-GB"/>
        </w:rPr>
        <w:t>;</w:t>
      </w:r>
      <w:r w:rsidR="009A67F7" w:rsidRPr="00760A57">
        <w:rPr>
          <w:rFonts w:ascii="Avenir Next" w:hAnsi="Avenir Next" w:cs="Arial"/>
          <w:color w:val="808080" w:themeColor="background1" w:themeShade="80"/>
          <w:sz w:val="22"/>
          <w:szCs w:val="22"/>
          <w:lang w:val="en-GB"/>
        </w:rPr>
        <w:t xml:space="preserve"> </w:t>
      </w:r>
      <w:r w:rsidRPr="00760A57">
        <w:rPr>
          <w:rFonts w:ascii="Avenir Next" w:hAnsi="Avenir Next" w:cs="Arial"/>
          <w:color w:val="808080" w:themeColor="background1" w:themeShade="80"/>
          <w:sz w:val="22"/>
          <w:szCs w:val="22"/>
          <w:lang w:val="en-GB"/>
        </w:rPr>
        <w:t xml:space="preserve">proceedings in which the foreign representative does not have the authority to liquidate and distribute assets to satisfy creditor claims and proceedings designed to allow a certain party to collect its debts, do not satisfy this requirement of </w:t>
      </w:r>
      <w:r w:rsidR="00F72FA8" w:rsidRPr="00760A57">
        <w:rPr>
          <w:rFonts w:ascii="Avenir Next" w:hAnsi="Avenir Next" w:cs="Arial"/>
          <w:color w:val="808080" w:themeColor="background1" w:themeShade="80"/>
          <w:sz w:val="22"/>
          <w:szCs w:val="22"/>
          <w:lang w:val="en-GB"/>
        </w:rPr>
        <w:t xml:space="preserve">Article </w:t>
      </w:r>
      <w:r w:rsidRPr="003D1CAF">
        <w:rPr>
          <w:rFonts w:ascii="Avenir Next" w:hAnsi="Avenir Next" w:cs="Arial"/>
          <w:color w:val="767171" w:themeColor="background2" w:themeShade="80"/>
          <w:sz w:val="22"/>
          <w:szCs w:val="22"/>
          <w:lang w:val="en-GB"/>
        </w:rPr>
        <w:t>2</w:t>
      </w:r>
      <w:r w:rsidRPr="003D1CAF">
        <w:rPr>
          <w:rStyle w:val="FootnoteReference"/>
          <w:color w:val="767171" w:themeColor="background2" w:themeShade="80"/>
        </w:rPr>
        <w:footnoteReference w:id="13"/>
      </w:r>
    </w:p>
    <w:p w14:paraId="21590FA7" w14:textId="26BFD44A" w:rsidR="0005172D" w:rsidRDefault="0005172D" w:rsidP="00760A57">
      <w:pPr>
        <w:ind w:left="720"/>
        <w:jc w:val="both"/>
        <w:rPr>
          <w:rFonts w:ascii="Avenir Next" w:hAnsi="Avenir Next" w:cs="Arial"/>
          <w:color w:val="808080" w:themeColor="background1" w:themeShade="80"/>
          <w:sz w:val="22"/>
          <w:szCs w:val="22"/>
          <w:lang w:val="en-GB"/>
        </w:rPr>
      </w:pPr>
    </w:p>
    <w:p w14:paraId="283FDEB2" w14:textId="2EA650E1" w:rsidR="00B01E27" w:rsidRDefault="00B01E27" w:rsidP="00760A5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is to liquidate the Bank.  On or around 17 December 2015 the DGF initiated the liquidation procedure. . </w:t>
      </w:r>
    </w:p>
    <w:p w14:paraId="35E1AB46" w14:textId="77777777" w:rsidR="00B01E27" w:rsidRPr="00760A57" w:rsidRDefault="00B01E27" w:rsidP="00760A57">
      <w:pPr>
        <w:ind w:left="720"/>
        <w:jc w:val="both"/>
        <w:rPr>
          <w:rFonts w:ascii="Avenir Next" w:hAnsi="Avenir Next" w:cs="Arial"/>
          <w:color w:val="808080" w:themeColor="background1" w:themeShade="80"/>
          <w:sz w:val="22"/>
          <w:szCs w:val="22"/>
          <w:lang w:val="en-GB"/>
        </w:rPr>
      </w:pPr>
    </w:p>
    <w:p w14:paraId="385CA7FD" w14:textId="124FC9AE" w:rsidR="00B01E27" w:rsidRDefault="00752A14" w:rsidP="005C2B40">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If </w:t>
      </w:r>
      <w:r w:rsidR="00FF3111" w:rsidRPr="00760A57">
        <w:rPr>
          <w:rFonts w:ascii="Avenir Next" w:hAnsi="Avenir Next" w:cs="Arial"/>
          <w:color w:val="808080" w:themeColor="background1" w:themeShade="80"/>
          <w:sz w:val="22"/>
          <w:szCs w:val="22"/>
          <w:lang w:val="en-GB"/>
        </w:rPr>
        <w:t xml:space="preserve">all </w:t>
      </w:r>
      <w:r w:rsidR="00EC06EF">
        <w:rPr>
          <w:rFonts w:ascii="Avenir Next" w:hAnsi="Avenir Next" w:cs="Arial"/>
          <w:color w:val="808080" w:themeColor="background1" w:themeShade="80"/>
          <w:sz w:val="22"/>
          <w:szCs w:val="22"/>
          <w:lang w:val="en-GB"/>
        </w:rPr>
        <w:t>the above</w:t>
      </w:r>
      <w:r w:rsidRPr="00760A57">
        <w:rPr>
          <w:rFonts w:ascii="Avenir Next" w:hAnsi="Avenir Next" w:cs="Arial"/>
          <w:color w:val="808080" w:themeColor="background1" w:themeShade="80"/>
          <w:sz w:val="22"/>
          <w:szCs w:val="22"/>
          <w:lang w:val="en-GB"/>
        </w:rPr>
        <w:t xml:space="preserve"> elements</w:t>
      </w:r>
      <w:r w:rsidR="00B01E27">
        <w:rPr>
          <w:rFonts w:ascii="Avenir Next" w:hAnsi="Avenir Next" w:cs="Arial"/>
          <w:color w:val="808080" w:themeColor="background1" w:themeShade="80"/>
          <w:sz w:val="22"/>
          <w:szCs w:val="22"/>
          <w:lang w:val="en-GB"/>
        </w:rPr>
        <w:t xml:space="preserve"> </w:t>
      </w:r>
      <w:r w:rsidRPr="00760A57">
        <w:rPr>
          <w:rFonts w:ascii="Avenir Next" w:hAnsi="Avenir Next" w:cs="Arial"/>
          <w:color w:val="808080" w:themeColor="background1" w:themeShade="80"/>
          <w:sz w:val="22"/>
          <w:szCs w:val="22"/>
          <w:lang w:val="en-GB"/>
        </w:rPr>
        <w:t xml:space="preserve">are not satisfied an application </w:t>
      </w:r>
      <w:r w:rsidR="00BE1B21" w:rsidRPr="00760A57">
        <w:rPr>
          <w:rFonts w:ascii="Avenir Next" w:hAnsi="Avenir Next" w:cs="Arial"/>
          <w:color w:val="808080" w:themeColor="background1" w:themeShade="80"/>
          <w:sz w:val="22"/>
          <w:szCs w:val="22"/>
          <w:lang w:val="en-GB"/>
        </w:rPr>
        <w:t xml:space="preserve">under the </w:t>
      </w:r>
      <w:r w:rsidR="00EC06EF">
        <w:rPr>
          <w:rFonts w:ascii="Avenir Next" w:hAnsi="Avenir Next" w:cs="Arial"/>
          <w:color w:val="808080" w:themeColor="background1" w:themeShade="80"/>
          <w:sz w:val="22"/>
          <w:szCs w:val="22"/>
          <w:lang w:val="en-GB"/>
        </w:rPr>
        <w:t xml:space="preserve">CBIR </w:t>
      </w:r>
      <w:r w:rsidR="00BE1B21" w:rsidRPr="00760A57">
        <w:rPr>
          <w:rFonts w:ascii="Avenir Next" w:hAnsi="Avenir Next" w:cs="Arial"/>
          <w:color w:val="808080" w:themeColor="background1" w:themeShade="80"/>
          <w:sz w:val="22"/>
          <w:szCs w:val="22"/>
          <w:lang w:val="en-GB"/>
        </w:rPr>
        <w:t xml:space="preserve">will be denied. </w:t>
      </w:r>
      <w:r w:rsidR="00B01E27">
        <w:rPr>
          <w:rFonts w:ascii="Avenir Next" w:hAnsi="Avenir Next" w:cs="Arial"/>
          <w:color w:val="808080" w:themeColor="background1" w:themeShade="80"/>
          <w:sz w:val="22"/>
          <w:szCs w:val="22"/>
          <w:lang w:val="en-GB"/>
        </w:rPr>
        <w:t xml:space="preserve"> </w:t>
      </w:r>
    </w:p>
    <w:p w14:paraId="19F8CACA" w14:textId="77777777" w:rsidR="00EC06EF" w:rsidRDefault="00EC06EF" w:rsidP="005C2B40">
      <w:pPr>
        <w:ind w:left="720"/>
        <w:jc w:val="both"/>
        <w:rPr>
          <w:rFonts w:ascii="Avenir Next" w:hAnsi="Avenir Next" w:cs="Arial"/>
          <w:color w:val="808080" w:themeColor="background1" w:themeShade="80"/>
          <w:sz w:val="22"/>
          <w:szCs w:val="22"/>
          <w:lang w:val="en-GB"/>
        </w:rPr>
      </w:pPr>
    </w:p>
    <w:p w14:paraId="5158EE36" w14:textId="63F81B28" w:rsidR="00752A14" w:rsidRPr="00760A57" w:rsidRDefault="00B01E27" w:rsidP="005C2B4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submitted that all the </w:t>
      </w:r>
      <w:r w:rsidR="00EC06EF" w:rsidRPr="00760A57">
        <w:rPr>
          <w:rFonts w:ascii="Avenir Next" w:hAnsi="Avenir Next" w:cs="Arial"/>
          <w:color w:val="808080" w:themeColor="background1" w:themeShade="80"/>
          <w:sz w:val="22"/>
          <w:szCs w:val="22"/>
          <w:lang w:val="en-GB"/>
        </w:rPr>
        <w:t>characteristics or requirements</w:t>
      </w:r>
      <w:r w:rsidR="00EC06E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are present </w:t>
      </w:r>
      <w:r w:rsidR="00EC06EF">
        <w:rPr>
          <w:rFonts w:ascii="Avenir Next" w:hAnsi="Avenir Next" w:cs="Arial"/>
          <w:color w:val="808080" w:themeColor="background1" w:themeShade="80"/>
          <w:sz w:val="22"/>
          <w:szCs w:val="22"/>
          <w:lang w:val="en-GB"/>
        </w:rPr>
        <w:t xml:space="preserve">to designate the Bank’s liquidation as a </w:t>
      </w:r>
      <w:r>
        <w:rPr>
          <w:rFonts w:ascii="Avenir Next" w:hAnsi="Avenir Next" w:cs="Arial"/>
          <w:color w:val="808080" w:themeColor="background1" w:themeShade="80"/>
          <w:sz w:val="22"/>
          <w:szCs w:val="22"/>
          <w:lang w:val="en-GB"/>
        </w:rPr>
        <w:t>foreign proceeding for the purposes of Article 2(a) of Model Law</w:t>
      </w:r>
      <w:r w:rsidR="00EC06EF">
        <w:rPr>
          <w:rFonts w:ascii="Avenir Next" w:hAnsi="Avenir Next" w:cs="Arial"/>
          <w:color w:val="808080" w:themeColor="background1" w:themeShade="80"/>
          <w:sz w:val="22"/>
          <w:szCs w:val="22"/>
          <w:lang w:val="en-GB"/>
        </w:rPr>
        <w:t xml:space="preserve"> (CBIR)</w:t>
      </w:r>
      <w:r w:rsidR="007C5E0C">
        <w:rPr>
          <w:rFonts w:ascii="Avenir Next" w:hAnsi="Avenir Next" w:cs="Arial"/>
          <w:color w:val="808080" w:themeColor="background1" w:themeShade="80"/>
          <w:sz w:val="22"/>
          <w:szCs w:val="22"/>
          <w:lang w:val="en-GB"/>
        </w:rPr>
        <w:t>.</w:t>
      </w:r>
    </w:p>
    <w:p w14:paraId="1326261C" w14:textId="77777777" w:rsidR="00BE1B21" w:rsidRPr="00760A57" w:rsidRDefault="00BE1B21" w:rsidP="005C2B40">
      <w:pPr>
        <w:ind w:left="720"/>
        <w:jc w:val="both"/>
        <w:rPr>
          <w:rFonts w:ascii="Avenir Next" w:hAnsi="Avenir Next" w:cs="Arial"/>
          <w:color w:val="808080" w:themeColor="background1" w:themeShade="80"/>
          <w:sz w:val="22"/>
          <w:szCs w:val="22"/>
          <w:lang w:val="en-GB"/>
        </w:rPr>
      </w:pPr>
    </w:p>
    <w:p w14:paraId="365AA1D6" w14:textId="071D98DC"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157DF2FC" w14:textId="1BDF76D4" w:rsidR="00F4307A" w:rsidRPr="00760A57" w:rsidRDefault="00F4307A" w:rsidP="00760A57">
      <w:pPr>
        <w:ind w:left="720"/>
        <w:jc w:val="both"/>
        <w:rPr>
          <w:rFonts w:ascii="Avenir Next" w:hAnsi="Avenir Next" w:cs="Arial"/>
          <w:color w:val="808080" w:themeColor="background1" w:themeShade="80"/>
          <w:sz w:val="22"/>
          <w:szCs w:val="22"/>
          <w:lang w:val="en-GB"/>
        </w:rPr>
      </w:pPr>
    </w:p>
    <w:p w14:paraId="66DE6F37" w14:textId="6235F447" w:rsidR="00F4307A" w:rsidRPr="00760A57" w:rsidRDefault="00F4307A" w:rsidP="00F4307A">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For the Applicants to be determined a </w:t>
      </w:r>
      <w:r w:rsidR="00943BAF" w:rsidRPr="00760A57">
        <w:rPr>
          <w:rFonts w:ascii="Avenir Next" w:hAnsi="Avenir Next" w:cs="Arial"/>
          <w:color w:val="808080" w:themeColor="background1" w:themeShade="80"/>
          <w:sz w:val="22"/>
          <w:szCs w:val="22"/>
          <w:lang w:val="en-GB"/>
        </w:rPr>
        <w:t>“foreign representative”</w:t>
      </w:r>
      <w:r w:rsidRPr="00760A57">
        <w:rPr>
          <w:rFonts w:ascii="Avenir Next" w:hAnsi="Avenir Next" w:cs="Arial"/>
          <w:color w:val="808080" w:themeColor="background1" w:themeShade="80"/>
          <w:sz w:val="22"/>
          <w:szCs w:val="22"/>
          <w:lang w:val="en-GB"/>
        </w:rPr>
        <w:t xml:space="preserve"> within the meaning of </w:t>
      </w:r>
      <w:r w:rsidR="005B7533" w:rsidRPr="00760A57">
        <w:rPr>
          <w:rFonts w:ascii="Avenir Next" w:hAnsi="Avenir Next" w:cs="Arial"/>
          <w:color w:val="808080" w:themeColor="background1" w:themeShade="80"/>
          <w:sz w:val="22"/>
          <w:szCs w:val="22"/>
          <w:lang w:val="en-GB"/>
        </w:rPr>
        <w:t xml:space="preserve">Article </w:t>
      </w:r>
      <w:r w:rsidRPr="00760A57">
        <w:rPr>
          <w:rFonts w:ascii="Avenir Next" w:hAnsi="Avenir Next" w:cs="Arial"/>
          <w:color w:val="808080" w:themeColor="background1" w:themeShade="80"/>
          <w:sz w:val="22"/>
          <w:szCs w:val="22"/>
          <w:lang w:val="en-GB"/>
        </w:rPr>
        <w:t>2(d) of the MLCBI they have to satisfy the following characteristics or requirements:</w:t>
      </w:r>
    </w:p>
    <w:p w14:paraId="6507FBB8" w14:textId="7A55FF83" w:rsidR="00F4307A" w:rsidRPr="00760A57" w:rsidRDefault="00F4307A" w:rsidP="00760A57">
      <w:pPr>
        <w:ind w:left="720"/>
        <w:jc w:val="both"/>
        <w:rPr>
          <w:rFonts w:ascii="Avenir Next" w:hAnsi="Avenir Next" w:cs="Arial"/>
          <w:color w:val="808080" w:themeColor="background1" w:themeShade="80"/>
          <w:sz w:val="22"/>
          <w:szCs w:val="22"/>
          <w:lang w:val="en-GB"/>
        </w:rPr>
      </w:pPr>
    </w:p>
    <w:p w14:paraId="50384D69" w14:textId="4AEB9BBE" w:rsidR="005B7533" w:rsidRPr="00760A57" w:rsidRDefault="005B7533" w:rsidP="00760A57">
      <w:pPr>
        <w:ind w:left="1440" w:right="1106"/>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“be a person or body, including one appointed on an interim basis, authorized in a foreign proceeding to administer the reorganization or the liquidation of the debtor’s assets or affairs or to act as a representative of the foreign proceeding;” - Article 2(d) MLCBI</w:t>
      </w:r>
      <w:r w:rsidR="00FA50DC">
        <w:rPr>
          <w:rFonts w:ascii="Avenir Next" w:hAnsi="Avenir Next" w:cs="Arial"/>
          <w:color w:val="808080" w:themeColor="background1" w:themeShade="80"/>
          <w:sz w:val="22"/>
          <w:szCs w:val="22"/>
          <w:lang w:val="en-GB"/>
        </w:rPr>
        <w:t>.</w:t>
      </w:r>
    </w:p>
    <w:p w14:paraId="627CA586" w14:textId="77777777" w:rsidR="005B7533" w:rsidRPr="00760A57" w:rsidRDefault="005B7533" w:rsidP="00760A57">
      <w:pPr>
        <w:ind w:left="720"/>
        <w:jc w:val="both"/>
        <w:rPr>
          <w:rFonts w:ascii="Avenir Next" w:hAnsi="Avenir Next" w:cs="Arial"/>
          <w:color w:val="808080" w:themeColor="background1" w:themeShade="80"/>
          <w:sz w:val="22"/>
          <w:szCs w:val="22"/>
          <w:lang w:val="en-GB"/>
        </w:rPr>
      </w:pPr>
    </w:p>
    <w:p w14:paraId="30E8C06E" w14:textId="77AD2A20" w:rsidR="005B7533" w:rsidRPr="00760A57" w:rsidRDefault="00ED62DB" w:rsidP="00ED62DB">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 xml:space="preserve">The GEI states that </w:t>
      </w:r>
      <w:r w:rsidR="005B7533" w:rsidRPr="00760A57">
        <w:rPr>
          <w:rFonts w:ascii="Avenir Next" w:hAnsi="Avenir Next" w:cs="Arial"/>
          <w:color w:val="808080" w:themeColor="background1" w:themeShade="80"/>
          <w:sz w:val="22"/>
          <w:szCs w:val="22"/>
          <w:lang w:val="en-GB"/>
        </w:rPr>
        <w:t>Article 2</w:t>
      </w:r>
      <w:r w:rsidR="00770401" w:rsidRPr="00760A57">
        <w:rPr>
          <w:rFonts w:ascii="Avenir Next" w:hAnsi="Avenir Next" w:cs="Arial"/>
          <w:color w:val="808080" w:themeColor="background1" w:themeShade="80"/>
          <w:sz w:val="22"/>
          <w:szCs w:val="22"/>
          <w:lang w:val="en-GB"/>
        </w:rPr>
        <w:t>(d) recogni</w:t>
      </w:r>
      <w:r w:rsidR="009B05C8">
        <w:rPr>
          <w:rFonts w:ascii="Avenir Next" w:hAnsi="Avenir Next" w:cs="Arial"/>
          <w:color w:val="808080" w:themeColor="background1" w:themeShade="80"/>
          <w:sz w:val="22"/>
          <w:szCs w:val="22"/>
          <w:lang w:val="en-GB"/>
        </w:rPr>
        <w:t>s</w:t>
      </w:r>
      <w:r w:rsidR="00770401" w:rsidRPr="00760A57">
        <w:rPr>
          <w:rFonts w:ascii="Avenir Next" w:hAnsi="Avenir Next" w:cs="Arial"/>
          <w:color w:val="808080" w:themeColor="background1" w:themeShade="80"/>
          <w:sz w:val="22"/>
          <w:szCs w:val="22"/>
          <w:lang w:val="en-GB"/>
        </w:rPr>
        <w:t xml:space="preserve">es that the foreign representative may be a person authorized in the foreign proceedings to administer those proceedings, which would include seeking recognition, relief and cooperation in another jurisdiction, or they may simply be a person authorized specifically for the purposes of representing those proceedings. </w:t>
      </w:r>
    </w:p>
    <w:p w14:paraId="49AB8545" w14:textId="77777777" w:rsidR="005B7533" w:rsidRPr="00760A57" w:rsidRDefault="005B7533" w:rsidP="00ED62DB">
      <w:pPr>
        <w:ind w:left="720"/>
        <w:jc w:val="both"/>
        <w:rPr>
          <w:rFonts w:ascii="Avenir Next" w:hAnsi="Avenir Next" w:cs="Arial"/>
          <w:color w:val="808080" w:themeColor="background1" w:themeShade="80"/>
          <w:sz w:val="22"/>
          <w:szCs w:val="22"/>
          <w:lang w:val="en-GB"/>
        </w:rPr>
      </w:pPr>
    </w:p>
    <w:p w14:paraId="4B9FB500" w14:textId="45B5B3D7" w:rsidR="004E6A56" w:rsidRPr="00760A57" w:rsidRDefault="00770401" w:rsidP="00ED62DB">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lastRenderedPageBreak/>
        <w:t xml:space="preserve">The foreign representative </w:t>
      </w:r>
      <w:r w:rsidR="007D74AA" w:rsidRPr="00760A57">
        <w:rPr>
          <w:rFonts w:ascii="Avenir Next" w:hAnsi="Avenir Next" w:cs="Arial"/>
          <w:color w:val="808080" w:themeColor="background1" w:themeShade="80"/>
          <w:sz w:val="22"/>
          <w:szCs w:val="22"/>
          <w:lang w:val="en-GB"/>
        </w:rPr>
        <w:t>does not need to be au</w:t>
      </w:r>
      <w:r w:rsidRPr="00760A57">
        <w:rPr>
          <w:rFonts w:ascii="Avenir Next" w:hAnsi="Avenir Next" w:cs="Arial"/>
          <w:color w:val="808080" w:themeColor="background1" w:themeShade="80"/>
          <w:sz w:val="22"/>
          <w:szCs w:val="22"/>
          <w:lang w:val="en-GB"/>
        </w:rPr>
        <w:t xml:space="preserve">thorized by the court </w:t>
      </w:r>
      <w:r w:rsidR="00947B1D" w:rsidRPr="00760A57">
        <w:rPr>
          <w:rFonts w:ascii="Avenir Next" w:hAnsi="Avenir Next" w:cs="Arial"/>
          <w:color w:val="808080" w:themeColor="background1" w:themeShade="80"/>
          <w:sz w:val="22"/>
          <w:szCs w:val="22"/>
          <w:lang w:val="en-GB"/>
        </w:rPr>
        <w:t xml:space="preserve">and the provision is </w:t>
      </w:r>
      <w:r w:rsidR="007D74AA" w:rsidRPr="00760A57">
        <w:rPr>
          <w:rFonts w:ascii="Avenir Next" w:hAnsi="Avenir Next" w:cs="Arial"/>
          <w:color w:val="808080" w:themeColor="background1" w:themeShade="80"/>
          <w:sz w:val="22"/>
          <w:szCs w:val="22"/>
          <w:lang w:val="en-GB"/>
        </w:rPr>
        <w:t xml:space="preserve">broad enough to include appointments by </w:t>
      </w:r>
      <w:r w:rsidRPr="00760A57">
        <w:rPr>
          <w:rFonts w:ascii="Avenir Next" w:hAnsi="Avenir Next" w:cs="Arial"/>
          <w:color w:val="808080" w:themeColor="background1" w:themeShade="80"/>
          <w:sz w:val="22"/>
          <w:szCs w:val="22"/>
          <w:lang w:val="en-GB"/>
        </w:rPr>
        <w:t>special agenc</w:t>
      </w:r>
      <w:r w:rsidR="007D74AA" w:rsidRPr="00760A57">
        <w:rPr>
          <w:rFonts w:ascii="Avenir Next" w:hAnsi="Avenir Next" w:cs="Arial"/>
          <w:color w:val="808080" w:themeColor="background1" w:themeShade="80"/>
          <w:sz w:val="22"/>
          <w:szCs w:val="22"/>
          <w:lang w:val="en-GB"/>
        </w:rPr>
        <w:t xml:space="preserve">ies.  </w:t>
      </w:r>
      <w:r w:rsidR="004E6A56" w:rsidRPr="00760A57">
        <w:rPr>
          <w:rFonts w:ascii="Avenir Next" w:hAnsi="Avenir Next" w:cs="Arial"/>
          <w:color w:val="808080" w:themeColor="background1" w:themeShade="80"/>
          <w:sz w:val="22"/>
          <w:szCs w:val="22"/>
          <w:lang w:val="en-GB"/>
        </w:rPr>
        <w:t>T</w:t>
      </w:r>
      <w:r w:rsidRPr="00760A57">
        <w:rPr>
          <w:rFonts w:ascii="Avenir Next" w:hAnsi="Avenir Next" w:cs="Arial"/>
          <w:color w:val="808080" w:themeColor="background1" w:themeShade="80"/>
          <w:sz w:val="22"/>
          <w:szCs w:val="22"/>
          <w:lang w:val="en-GB"/>
        </w:rPr>
        <w:t>he appointment</w:t>
      </w:r>
      <w:r w:rsidR="004E6A56" w:rsidRPr="00760A57">
        <w:rPr>
          <w:rFonts w:ascii="Avenir Next" w:hAnsi="Avenir Next" w:cs="Arial"/>
          <w:color w:val="808080" w:themeColor="background1" w:themeShade="80"/>
          <w:sz w:val="22"/>
          <w:szCs w:val="22"/>
          <w:lang w:val="en-GB"/>
        </w:rPr>
        <w:t xml:space="preserve"> needs to be evidenced by certified copies </w:t>
      </w:r>
      <w:r w:rsidRPr="00760A57">
        <w:rPr>
          <w:rFonts w:ascii="Avenir Next" w:hAnsi="Avenir Next" w:cs="Arial"/>
          <w:color w:val="808080" w:themeColor="background1" w:themeShade="80"/>
          <w:sz w:val="22"/>
          <w:szCs w:val="22"/>
          <w:lang w:val="en-GB"/>
        </w:rPr>
        <w:t xml:space="preserve">of the decision appointing the representative, a certificate affirming the appointment or other evidence acceptable to the receiving court. </w:t>
      </w:r>
      <w:r w:rsidR="00943BAF" w:rsidRPr="00760A57">
        <w:rPr>
          <w:rFonts w:ascii="Avenir Next" w:hAnsi="Avenir Next" w:cs="Arial"/>
          <w:color w:val="808080" w:themeColor="background1" w:themeShade="80"/>
          <w:sz w:val="22"/>
          <w:szCs w:val="22"/>
          <w:lang w:val="en-GB"/>
        </w:rPr>
        <w:t xml:space="preserve"> </w:t>
      </w:r>
      <w:r w:rsidR="00B95C37" w:rsidRPr="00760A57">
        <w:rPr>
          <w:rFonts w:ascii="Avenir Next" w:hAnsi="Avenir Next" w:cs="Arial"/>
          <w:color w:val="808080" w:themeColor="background1" w:themeShade="80"/>
          <w:sz w:val="22"/>
          <w:szCs w:val="22"/>
          <w:lang w:val="en-GB"/>
        </w:rPr>
        <w:t>The c</w:t>
      </w:r>
      <w:r w:rsidR="00943BAF" w:rsidRPr="00760A57">
        <w:rPr>
          <w:rFonts w:ascii="Avenir Next" w:hAnsi="Avenir Next" w:cs="Arial"/>
          <w:color w:val="808080" w:themeColor="background1" w:themeShade="80"/>
          <w:sz w:val="22"/>
          <w:szCs w:val="22"/>
          <w:lang w:val="en-GB"/>
        </w:rPr>
        <w:t xml:space="preserve">ourt can rely on the Article 16 presumption which allows the court to presume that the facts in the </w:t>
      </w:r>
      <w:r w:rsidR="00B95C37" w:rsidRPr="00760A57">
        <w:rPr>
          <w:rFonts w:ascii="Avenir Next" w:hAnsi="Avenir Next" w:cs="Arial"/>
          <w:color w:val="808080" w:themeColor="background1" w:themeShade="80"/>
          <w:sz w:val="22"/>
          <w:szCs w:val="22"/>
          <w:lang w:val="en-GB"/>
        </w:rPr>
        <w:t xml:space="preserve">provided </w:t>
      </w:r>
      <w:r w:rsidR="00943BAF" w:rsidRPr="00760A57">
        <w:rPr>
          <w:rFonts w:ascii="Avenir Next" w:hAnsi="Avenir Next" w:cs="Arial"/>
          <w:color w:val="808080" w:themeColor="background1" w:themeShade="80"/>
          <w:sz w:val="22"/>
          <w:szCs w:val="22"/>
          <w:lang w:val="en-GB"/>
        </w:rPr>
        <w:t xml:space="preserve">documents are true. </w:t>
      </w:r>
    </w:p>
    <w:p w14:paraId="2A8FC1BA" w14:textId="77777777" w:rsidR="004E6A56" w:rsidRPr="00760A57" w:rsidRDefault="004E6A56" w:rsidP="00ED62DB">
      <w:pPr>
        <w:ind w:left="720"/>
        <w:jc w:val="both"/>
        <w:rPr>
          <w:rFonts w:ascii="Avenir Next" w:hAnsi="Avenir Next" w:cs="Arial"/>
          <w:color w:val="808080" w:themeColor="background1" w:themeShade="80"/>
          <w:sz w:val="22"/>
          <w:szCs w:val="22"/>
          <w:lang w:val="en-GB"/>
        </w:rPr>
      </w:pPr>
    </w:p>
    <w:p w14:paraId="48AEDD6F" w14:textId="15FB4143" w:rsidR="00041A9F" w:rsidRPr="00760A57" w:rsidRDefault="00B95C37" w:rsidP="00ED62DB">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T</w:t>
      </w:r>
      <w:r w:rsidR="00041A9F" w:rsidRPr="00760A57">
        <w:rPr>
          <w:rFonts w:ascii="Avenir Next" w:hAnsi="Avenir Next" w:cs="Arial"/>
          <w:color w:val="808080" w:themeColor="background1" w:themeShade="80"/>
          <w:sz w:val="22"/>
          <w:szCs w:val="22"/>
          <w:lang w:val="en-GB"/>
        </w:rPr>
        <w:t xml:space="preserve">he focus is </w:t>
      </w:r>
      <w:r w:rsidRPr="00760A57">
        <w:rPr>
          <w:rFonts w:ascii="Avenir Next" w:hAnsi="Avenir Next" w:cs="Arial"/>
          <w:color w:val="808080" w:themeColor="background1" w:themeShade="80"/>
          <w:sz w:val="22"/>
          <w:szCs w:val="22"/>
          <w:lang w:val="en-GB"/>
        </w:rPr>
        <w:t xml:space="preserve">on the </w:t>
      </w:r>
      <w:r w:rsidR="00041A9F" w:rsidRPr="00760A57">
        <w:rPr>
          <w:rFonts w:ascii="Avenir Next" w:hAnsi="Avenir Next" w:cs="Arial"/>
          <w:color w:val="808080" w:themeColor="background1" w:themeShade="80"/>
          <w:sz w:val="22"/>
          <w:szCs w:val="22"/>
          <w:lang w:val="en-GB"/>
        </w:rPr>
        <w:t xml:space="preserve">authorization </w:t>
      </w:r>
      <w:r w:rsidRPr="00760A57">
        <w:rPr>
          <w:rFonts w:ascii="Avenir Next" w:hAnsi="Avenir Next" w:cs="Arial"/>
          <w:color w:val="808080" w:themeColor="background1" w:themeShade="80"/>
          <w:sz w:val="22"/>
          <w:szCs w:val="22"/>
          <w:lang w:val="en-GB"/>
        </w:rPr>
        <w:t xml:space="preserve">granted to the foreign representative in the course of or the context of the proceeding </w:t>
      </w:r>
      <w:r w:rsidR="00041A9F" w:rsidRPr="00760A57">
        <w:rPr>
          <w:rFonts w:ascii="Avenir Next" w:hAnsi="Avenir Next" w:cs="Arial"/>
          <w:color w:val="808080" w:themeColor="background1" w:themeShade="80"/>
          <w:sz w:val="22"/>
          <w:szCs w:val="22"/>
          <w:lang w:val="en-GB"/>
        </w:rPr>
        <w:t xml:space="preserve">rather than upon the body </w:t>
      </w:r>
      <w:r w:rsidRPr="00760A57">
        <w:rPr>
          <w:rFonts w:ascii="Avenir Next" w:hAnsi="Avenir Next" w:cs="Arial"/>
          <w:color w:val="808080" w:themeColor="background1" w:themeShade="80"/>
          <w:sz w:val="22"/>
          <w:szCs w:val="22"/>
          <w:lang w:val="en-GB"/>
        </w:rPr>
        <w:t>granting</w:t>
      </w:r>
      <w:r w:rsidR="00041A9F" w:rsidRPr="00760A57">
        <w:rPr>
          <w:rFonts w:ascii="Avenir Next" w:hAnsi="Avenir Next" w:cs="Arial"/>
          <w:color w:val="808080" w:themeColor="background1" w:themeShade="80"/>
          <w:sz w:val="22"/>
          <w:szCs w:val="22"/>
          <w:lang w:val="en-GB"/>
        </w:rPr>
        <w:t xml:space="preserve"> the authorization</w:t>
      </w:r>
      <w:r w:rsidRPr="00760A57">
        <w:rPr>
          <w:rFonts w:ascii="Avenir Next" w:hAnsi="Avenir Next" w:cs="Arial"/>
          <w:color w:val="808080" w:themeColor="background1" w:themeShade="80"/>
          <w:sz w:val="22"/>
          <w:szCs w:val="22"/>
          <w:lang w:val="en-GB"/>
        </w:rPr>
        <w:t xml:space="preserve">.  Once the foreign representative is appointed and authorized there is no </w:t>
      </w:r>
      <w:r w:rsidR="00041A9F" w:rsidRPr="00760A57">
        <w:rPr>
          <w:rFonts w:ascii="Avenir Next" w:hAnsi="Avenir Next" w:cs="Arial"/>
          <w:color w:val="808080" w:themeColor="background1" w:themeShade="80"/>
          <w:sz w:val="22"/>
          <w:szCs w:val="22"/>
          <w:lang w:val="en-GB"/>
        </w:rPr>
        <w:t xml:space="preserve">requirement </w:t>
      </w:r>
      <w:r w:rsidRPr="00760A57">
        <w:rPr>
          <w:rFonts w:ascii="Avenir Next" w:hAnsi="Avenir Next" w:cs="Arial"/>
          <w:color w:val="808080" w:themeColor="background1" w:themeShade="80"/>
          <w:sz w:val="22"/>
          <w:szCs w:val="22"/>
          <w:lang w:val="en-GB"/>
        </w:rPr>
        <w:t xml:space="preserve">to satisfy a disinterested test or conflict of interest test.  </w:t>
      </w:r>
      <w:r w:rsidR="00BB75AD" w:rsidRPr="00760A57">
        <w:rPr>
          <w:rFonts w:ascii="Avenir Next" w:hAnsi="Avenir Next" w:cs="Arial"/>
          <w:color w:val="808080" w:themeColor="background1" w:themeShade="80"/>
          <w:sz w:val="22"/>
          <w:szCs w:val="22"/>
          <w:lang w:val="en-GB"/>
        </w:rPr>
        <w:t xml:space="preserve">Notably, the debtor </w:t>
      </w:r>
      <w:r w:rsidR="007E3391" w:rsidRPr="00760A57">
        <w:rPr>
          <w:rFonts w:ascii="Avenir Next" w:hAnsi="Avenir Next" w:cs="Arial"/>
          <w:color w:val="808080" w:themeColor="background1" w:themeShade="80"/>
          <w:sz w:val="22"/>
          <w:szCs w:val="22"/>
          <w:lang w:val="en-GB"/>
        </w:rPr>
        <w:t xml:space="preserve">can be appointed by the board of directors.  </w:t>
      </w:r>
    </w:p>
    <w:p w14:paraId="0893CD0D" w14:textId="77777777" w:rsidR="00947B1D" w:rsidRPr="00760A57" w:rsidRDefault="00947B1D" w:rsidP="00ED62DB">
      <w:pPr>
        <w:ind w:left="720"/>
        <w:jc w:val="both"/>
        <w:rPr>
          <w:rFonts w:ascii="Avenir Next" w:hAnsi="Avenir Next" w:cs="Arial"/>
          <w:color w:val="808080" w:themeColor="background1" w:themeShade="80"/>
          <w:sz w:val="22"/>
          <w:szCs w:val="22"/>
          <w:lang w:val="en-GB"/>
        </w:rPr>
      </w:pPr>
    </w:p>
    <w:p w14:paraId="745AD518" w14:textId="6E1F6BC3" w:rsidR="00041A9F" w:rsidRDefault="000C2AC1" w:rsidP="00ED62DB">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The MLCBI does not define the words ‘body’ or ‘person’ but the courts have found that a foreign representative can be a firm or an artificial person created by a legal authority.</w:t>
      </w:r>
      <w:r w:rsidR="00EE31E5">
        <w:rPr>
          <w:rFonts w:ascii="Avenir Next" w:hAnsi="Avenir Next" w:cs="Arial"/>
          <w:color w:val="808080" w:themeColor="background1" w:themeShade="80"/>
          <w:sz w:val="22"/>
          <w:szCs w:val="22"/>
          <w:lang w:val="en-GB"/>
        </w:rPr>
        <w:t xml:space="preserve">  Accordingly, the Applicants would satisfy this element of the definition; clearly Ms. G is a person and DGF is a government body created by a legal authority. </w:t>
      </w:r>
    </w:p>
    <w:p w14:paraId="4676078F" w14:textId="390CCC32" w:rsidR="00EE31E5" w:rsidRDefault="00EE31E5" w:rsidP="00ED62DB">
      <w:pPr>
        <w:ind w:left="720"/>
        <w:jc w:val="both"/>
        <w:rPr>
          <w:rFonts w:ascii="Avenir Next" w:hAnsi="Avenir Next" w:cs="Arial"/>
          <w:color w:val="808080" w:themeColor="background1" w:themeShade="80"/>
          <w:sz w:val="22"/>
          <w:szCs w:val="22"/>
          <w:lang w:val="en-GB"/>
        </w:rPr>
      </w:pPr>
    </w:p>
    <w:p w14:paraId="798D1AF1" w14:textId="77777777" w:rsidR="00DE3B86" w:rsidRDefault="00B9171F" w:rsidP="00ED62DB">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2(d) MLCBI </w:t>
      </w:r>
      <w:r w:rsidRPr="00760A57">
        <w:rPr>
          <w:rFonts w:ascii="Avenir Next" w:hAnsi="Avenir Next" w:cs="Arial"/>
          <w:color w:val="808080" w:themeColor="background1" w:themeShade="80"/>
          <w:sz w:val="22"/>
          <w:szCs w:val="22"/>
          <w:lang w:val="en-GB"/>
        </w:rPr>
        <w:t xml:space="preserve">is broad enough to include </w:t>
      </w:r>
      <w:r>
        <w:rPr>
          <w:rFonts w:ascii="Avenir Next" w:hAnsi="Avenir Next" w:cs="Arial"/>
          <w:color w:val="808080" w:themeColor="background1" w:themeShade="80"/>
          <w:sz w:val="22"/>
          <w:szCs w:val="22"/>
          <w:lang w:val="en-GB"/>
        </w:rPr>
        <w:t>b</w:t>
      </w:r>
      <w:r w:rsidR="00EE31E5">
        <w:rPr>
          <w:rFonts w:ascii="Avenir Next" w:hAnsi="Avenir Next" w:cs="Arial"/>
          <w:color w:val="808080" w:themeColor="background1" w:themeShade="80"/>
          <w:sz w:val="22"/>
          <w:szCs w:val="22"/>
          <w:lang w:val="en-GB"/>
        </w:rPr>
        <w:t>oth DGF</w:t>
      </w:r>
      <w:r>
        <w:rPr>
          <w:rFonts w:ascii="Avenir Next" w:hAnsi="Avenir Next" w:cs="Arial"/>
          <w:color w:val="808080" w:themeColor="background1" w:themeShade="80"/>
          <w:sz w:val="22"/>
          <w:szCs w:val="22"/>
          <w:lang w:val="en-GB"/>
        </w:rPr>
        <w:t xml:space="preserve">’s authorisation </w:t>
      </w:r>
      <w:r w:rsidR="00EE31E5">
        <w:rPr>
          <w:rFonts w:ascii="Avenir Next" w:hAnsi="Avenir Next" w:cs="Arial"/>
          <w:color w:val="808080" w:themeColor="background1" w:themeShade="80"/>
          <w:sz w:val="22"/>
          <w:szCs w:val="22"/>
          <w:lang w:val="en-GB"/>
        </w:rPr>
        <w:t>and Ms. G</w:t>
      </w:r>
      <w:r>
        <w:rPr>
          <w:rFonts w:ascii="Avenir Next" w:hAnsi="Avenir Next" w:cs="Arial"/>
          <w:color w:val="808080" w:themeColor="background1" w:themeShade="80"/>
          <w:sz w:val="22"/>
          <w:szCs w:val="22"/>
          <w:lang w:val="en-GB"/>
        </w:rPr>
        <w:t>’s appointment to</w:t>
      </w:r>
      <w:r w:rsidR="00EE31E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administer the</w:t>
      </w:r>
      <w:r w:rsidR="00EE31E5" w:rsidRPr="00760A57">
        <w:rPr>
          <w:rFonts w:ascii="Avenir Next" w:hAnsi="Avenir Next" w:cs="Arial"/>
          <w:color w:val="808080" w:themeColor="background1" w:themeShade="80"/>
          <w:sz w:val="22"/>
          <w:szCs w:val="22"/>
          <w:lang w:val="en-GB"/>
        </w:rPr>
        <w:t xml:space="preserve"> foreign proceedings</w:t>
      </w:r>
      <w:r>
        <w:rPr>
          <w:rFonts w:ascii="Avenir Next" w:hAnsi="Avenir Next" w:cs="Arial"/>
          <w:color w:val="808080" w:themeColor="background1" w:themeShade="80"/>
          <w:sz w:val="22"/>
          <w:szCs w:val="22"/>
          <w:lang w:val="en-GB"/>
        </w:rPr>
        <w:t xml:space="preserve">; </w:t>
      </w:r>
      <w:r w:rsidR="00EE31E5">
        <w:rPr>
          <w:rFonts w:ascii="Avenir Next" w:hAnsi="Avenir Next" w:cs="Arial"/>
          <w:color w:val="808080" w:themeColor="background1" w:themeShade="80"/>
          <w:sz w:val="22"/>
          <w:szCs w:val="22"/>
          <w:lang w:val="en-GB"/>
        </w:rPr>
        <w:t xml:space="preserve">DGF </w:t>
      </w:r>
      <w:r w:rsidR="00996FB7">
        <w:rPr>
          <w:rFonts w:ascii="Avenir Next" w:hAnsi="Avenir Next" w:cs="Arial"/>
          <w:color w:val="808080" w:themeColor="background1" w:themeShade="80"/>
          <w:sz w:val="22"/>
          <w:szCs w:val="22"/>
          <w:lang w:val="en-GB"/>
        </w:rPr>
        <w:t xml:space="preserve">was automatically authorised </w:t>
      </w:r>
      <w:r w:rsidR="00EE31E5">
        <w:rPr>
          <w:rFonts w:ascii="Avenir Next" w:hAnsi="Avenir Next" w:cs="Arial"/>
          <w:color w:val="808080" w:themeColor="background1" w:themeShade="80"/>
          <w:sz w:val="22"/>
          <w:szCs w:val="22"/>
          <w:lang w:val="en-GB"/>
        </w:rPr>
        <w:t xml:space="preserve">by Article 77 LBBA </w:t>
      </w:r>
      <w:r w:rsidR="00996FB7">
        <w:rPr>
          <w:rFonts w:ascii="Avenir Next" w:hAnsi="Avenir Next" w:cs="Arial"/>
          <w:color w:val="808080" w:themeColor="background1" w:themeShade="80"/>
          <w:sz w:val="22"/>
          <w:szCs w:val="22"/>
          <w:lang w:val="en-GB"/>
        </w:rPr>
        <w:t>when it received confirmation of NB’s decision to revoke the Bank’s license on 17 December 2015</w:t>
      </w:r>
      <w:r>
        <w:rPr>
          <w:rFonts w:ascii="Avenir Next" w:hAnsi="Avenir Next" w:cs="Arial"/>
          <w:color w:val="808080" w:themeColor="background1" w:themeShade="80"/>
          <w:sz w:val="22"/>
          <w:szCs w:val="22"/>
          <w:lang w:val="en-GB"/>
        </w:rPr>
        <w:t xml:space="preserve"> and </w:t>
      </w:r>
      <w:r w:rsidR="00996FB7">
        <w:rPr>
          <w:rFonts w:ascii="Avenir Next" w:hAnsi="Avenir Next" w:cs="Arial"/>
          <w:color w:val="808080" w:themeColor="background1" w:themeShade="80"/>
          <w:sz w:val="22"/>
          <w:szCs w:val="22"/>
          <w:lang w:val="en-GB"/>
        </w:rPr>
        <w:t xml:space="preserve">Ms. G’s appointment </w:t>
      </w:r>
      <w:r>
        <w:rPr>
          <w:rFonts w:ascii="Avenir Next" w:hAnsi="Avenir Next" w:cs="Arial"/>
          <w:color w:val="808080" w:themeColor="background1" w:themeShade="80"/>
          <w:sz w:val="22"/>
          <w:szCs w:val="22"/>
          <w:lang w:val="en-GB"/>
        </w:rPr>
        <w:t xml:space="preserve">(effective 17 Aug 2020) </w:t>
      </w:r>
      <w:r w:rsidR="00996FB7">
        <w:rPr>
          <w:rFonts w:ascii="Avenir Next" w:hAnsi="Avenir Next" w:cs="Arial"/>
          <w:color w:val="808080" w:themeColor="background1" w:themeShade="80"/>
          <w:sz w:val="22"/>
          <w:szCs w:val="22"/>
          <w:lang w:val="en-GB"/>
        </w:rPr>
        <w:t xml:space="preserve">was pursuant to a decision of the Executive Board of directors of DGF.  </w:t>
      </w:r>
      <w:r w:rsidR="000038B7">
        <w:rPr>
          <w:rFonts w:ascii="Avenir Next" w:hAnsi="Avenir Next" w:cs="Arial"/>
          <w:color w:val="808080" w:themeColor="background1" w:themeShade="80"/>
          <w:sz w:val="22"/>
          <w:szCs w:val="22"/>
          <w:lang w:val="en-GB"/>
        </w:rPr>
        <w:t xml:space="preserve">Their respective authorisations will need to be evidenced by certified copies of the decision, certificate affirmation of the appointment or other acceptable evidence by the English court.  </w:t>
      </w:r>
      <w:r>
        <w:rPr>
          <w:rFonts w:ascii="Avenir Next" w:hAnsi="Avenir Next" w:cs="Arial"/>
          <w:color w:val="808080" w:themeColor="background1" w:themeShade="80"/>
          <w:sz w:val="22"/>
          <w:szCs w:val="22"/>
          <w:lang w:val="en-GB"/>
        </w:rPr>
        <w:t xml:space="preserve">The English court can rely on Article 16 MLCBI presumption which would allow them to presume that the facts in the </w:t>
      </w:r>
      <w:r w:rsidR="00FA50DC">
        <w:rPr>
          <w:rFonts w:ascii="Avenir Next" w:hAnsi="Avenir Next" w:cs="Arial"/>
          <w:color w:val="808080" w:themeColor="background1" w:themeShade="80"/>
          <w:sz w:val="22"/>
          <w:szCs w:val="22"/>
          <w:lang w:val="en-GB"/>
        </w:rPr>
        <w:t xml:space="preserve">authorisation </w:t>
      </w:r>
      <w:r>
        <w:rPr>
          <w:rFonts w:ascii="Avenir Next" w:hAnsi="Avenir Next" w:cs="Arial"/>
          <w:color w:val="808080" w:themeColor="background1" w:themeShade="80"/>
          <w:sz w:val="22"/>
          <w:szCs w:val="22"/>
          <w:lang w:val="en-GB"/>
        </w:rPr>
        <w:t>document</w:t>
      </w:r>
      <w:r w:rsidR="00FA50DC">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are true.  </w:t>
      </w:r>
    </w:p>
    <w:p w14:paraId="4878AECA" w14:textId="77777777" w:rsidR="00DE3B86" w:rsidRDefault="00DE3B86" w:rsidP="00ED62DB">
      <w:pPr>
        <w:ind w:left="720"/>
        <w:jc w:val="both"/>
        <w:rPr>
          <w:rFonts w:ascii="Avenir Next" w:hAnsi="Avenir Next" w:cs="Arial"/>
          <w:color w:val="808080" w:themeColor="background1" w:themeShade="80"/>
          <w:sz w:val="22"/>
          <w:szCs w:val="22"/>
          <w:lang w:val="en-GB"/>
        </w:rPr>
      </w:pPr>
    </w:p>
    <w:p w14:paraId="150E5D66" w14:textId="354F90F4" w:rsidR="00007D95" w:rsidRDefault="00FA50DC" w:rsidP="00ED62DB">
      <w:pPr>
        <w:ind w:left="720"/>
        <w:jc w:val="both"/>
        <w:rPr>
          <w:rFonts w:ascii="Avenir Next" w:hAnsi="Avenir Next" w:cs="Arial"/>
          <w:color w:val="808080" w:themeColor="background1" w:themeShade="80"/>
          <w:sz w:val="22"/>
          <w:szCs w:val="22"/>
          <w:lang w:val="en-GB"/>
        </w:rPr>
      </w:pPr>
      <w:r w:rsidRPr="00760A57">
        <w:rPr>
          <w:rFonts w:ascii="Avenir Next" w:hAnsi="Avenir Next" w:cs="Arial"/>
          <w:color w:val="808080" w:themeColor="background1" w:themeShade="80"/>
          <w:sz w:val="22"/>
          <w:szCs w:val="22"/>
          <w:lang w:val="en-GB"/>
        </w:rPr>
        <w:t>Once the</w:t>
      </w:r>
      <w:r>
        <w:rPr>
          <w:rFonts w:ascii="Avenir Next" w:hAnsi="Avenir Next" w:cs="Arial"/>
          <w:color w:val="808080" w:themeColor="background1" w:themeShade="80"/>
          <w:sz w:val="22"/>
          <w:szCs w:val="22"/>
          <w:lang w:val="en-GB"/>
        </w:rPr>
        <w:t xml:space="preserve"> court is satisfied about the appointments </w:t>
      </w:r>
      <w:r w:rsidRPr="00760A57">
        <w:rPr>
          <w:rFonts w:ascii="Avenir Next" w:hAnsi="Avenir Next" w:cs="Arial"/>
          <w:color w:val="808080" w:themeColor="background1" w:themeShade="80"/>
          <w:sz w:val="22"/>
          <w:szCs w:val="22"/>
          <w:lang w:val="en-GB"/>
        </w:rPr>
        <w:t>there is no requirement to satisfy a disinterested or conflict of interest test.</w:t>
      </w:r>
      <w:r>
        <w:rPr>
          <w:rFonts w:ascii="Avenir Next" w:hAnsi="Avenir Next" w:cs="Arial"/>
          <w:color w:val="808080" w:themeColor="background1" w:themeShade="80"/>
          <w:sz w:val="22"/>
          <w:szCs w:val="22"/>
          <w:lang w:val="en-GB"/>
        </w:rPr>
        <w:t xml:space="preserve">  </w:t>
      </w:r>
      <w:r w:rsidR="00007D95">
        <w:rPr>
          <w:rFonts w:ascii="Avenir Next" w:hAnsi="Avenir Next" w:cs="Arial"/>
          <w:color w:val="808080" w:themeColor="background1" w:themeShade="80"/>
          <w:sz w:val="22"/>
          <w:szCs w:val="22"/>
          <w:lang w:val="en-GB"/>
        </w:rPr>
        <w:t xml:space="preserve">Their authorisation would cover seeking </w:t>
      </w:r>
      <w:r w:rsidR="00EE31E5" w:rsidRPr="00760A57">
        <w:rPr>
          <w:rFonts w:ascii="Avenir Next" w:hAnsi="Avenir Next" w:cs="Arial"/>
          <w:color w:val="808080" w:themeColor="background1" w:themeShade="80"/>
          <w:sz w:val="22"/>
          <w:szCs w:val="22"/>
          <w:lang w:val="en-GB"/>
        </w:rPr>
        <w:t xml:space="preserve">recognition, relief and cooperation in </w:t>
      </w:r>
      <w:r w:rsidR="00007D95">
        <w:rPr>
          <w:rFonts w:ascii="Avenir Next" w:hAnsi="Avenir Next" w:cs="Arial"/>
          <w:color w:val="808080" w:themeColor="background1" w:themeShade="80"/>
          <w:sz w:val="22"/>
          <w:szCs w:val="22"/>
          <w:lang w:val="en-GB"/>
        </w:rPr>
        <w:t xml:space="preserve">England.  </w:t>
      </w:r>
    </w:p>
    <w:p w14:paraId="23DCEA79" w14:textId="77777777" w:rsidR="00007D95" w:rsidRDefault="00007D95" w:rsidP="00ED62DB">
      <w:pPr>
        <w:ind w:left="720"/>
        <w:jc w:val="both"/>
        <w:rPr>
          <w:rFonts w:ascii="Avenir Next" w:hAnsi="Avenir Next" w:cs="Arial"/>
          <w:color w:val="808080" w:themeColor="background1" w:themeShade="80"/>
          <w:sz w:val="22"/>
          <w:szCs w:val="22"/>
          <w:lang w:val="en-GB"/>
        </w:rPr>
      </w:pPr>
    </w:p>
    <w:p w14:paraId="3B026C70" w14:textId="238BCD24" w:rsidR="00EE31E5" w:rsidRPr="00EE31E5" w:rsidRDefault="00007D95" w:rsidP="00ED62DB">
      <w:pPr>
        <w:ind w:left="720"/>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submitted that </w:t>
      </w:r>
      <w:r w:rsidR="00DE3B86">
        <w:rPr>
          <w:rFonts w:ascii="Avenir Next" w:hAnsi="Avenir Next" w:cs="Arial"/>
          <w:color w:val="808080" w:themeColor="background1" w:themeShade="80"/>
          <w:sz w:val="22"/>
          <w:szCs w:val="22"/>
          <w:lang w:val="en-GB"/>
        </w:rPr>
        <w:t>although</w:t>
      </w:r>
      <w:r>
        <w:rPr>
          <w:rFonts w:ascii="Avenir Next" w:hAnsi="Avenir Next" w:cs="Arial"/>
          <w:color w:val="808080" w:themeColor="background1" w:themeShade="80"/>
          <w:sz w:val="22"/>
          <w:szCs w:val="22"/>
          <w:lang w:val="en-GB"/>
        </w:rPr>
        <w:t xml:space="preserve"> Ms. G’s </w:t>
      </w:r>
      <w:r w:rsidR="00DE3B86">
        <w:rPr>
          <w:rFonts w:ascii="Avenir Next" w:hAnsi="Avenir Next" w:cs="Arial"/>
          <w:color w:val="808080" w:themeColor="background1" w:themeShade="80"/>
          <w:sz w:val="22"/>
          <w:szCs w:val="22"/>
          <w:lang w:val="en-GB"/>
        </w:rPr>
        <w:t>appointment</w:t>
      </w:r>
      <w:r>
        <w:rPr>
          <w:rFonts w:ascii="Avenir Next" w:hAnsi="Avenir Next" w:cs="Arial"/>
          <w:color w:val="808080" w:themeColor="background1" w:themeShade="80"/>
          <w:sz w:val="22"/>
          <w:szCs w:val="22"/>
          <w:lang w:val="en-GB"/>
        </w:rPr>
        <w:t xml:space="preserve"> is restricted to certain acts </w:t>
      </w:r>
      <w:r w:rsidR="00DE3B86">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 xml:space="preserve">would not invalidate her appointment for the purpose of </w:t>
      </w:r>
      <w:r w:rsidR="00DE3B86">
        <w:rPr>
          <w:rFonts w:ascii="Avenir Next" w:hAnsi="Avenir Next" w:cs="Arial"/>
          <w:color w:val="808080" w:themeColor="background1" w:themeShade="80"/>
          <w:sz w:val="22"/>
          <w:szCs w:val="22"/>
          <w:lang w:val="en-GB"/>
        </w:rPr>
        <w:t>Article 2(d) as it is r</w:t>
      </w:r>
      <w:r>
        <w:rPr>
          <w:rFonts w:ascii="Avenir Next" w:hAnsi="Avenir Next" w:cs="Arial"/>
          <w:color w:val="808080" w:themeColor="background1" w:themeShade="80"/>
          <w:sz w:val="22"/>
          <w:szCs w:val="22"/>
          <w:lang w:val="en-GB"/>
        </w:rPr>
        <w:t xml:space="preserve">ecognition </w:t>
      </w:r>
      <w:r w:rsidR="00DE3B86">
        <w:rPr>
          <w:rFonts w:ascii="Avenir Next" w:hAnsi="Avenir Next" w:cs="Arial"/>
          <w:color w:val="808080" w:themeColor="background1" w:themeShade="80"/>
          <w:sz w:val="22"/>
          <w:szCs w:val="22"/>
          <w:lang w:val="en-GB"/>
        </w:rPr>
        <w:t xml:space="preserve">a foreign representative </w:t>
      </w:r>
      <w:r w:rsidR="00EE31E5" w:rsidRPr="00760A57">
        <w:rPr>
          <w:rFonts w:ascii="Avenir Next" w:hAnsi="Avenir Next" w:cs="Arial"/>
          <w:color w:val="808080" w:themeColor="background1" w:themeShade="80"/>
          <w:sz w:val="22"/>
          <w:szCs w:val="22"/>
          <w:lang w:val="en-GB"/>
        </w:rPr>
        <w:t>may simply be a person authorized specifically for the purposes of representing th</w:t>
      </w:r>
      <w:r w:rsidR="00DE3B86">
        <w:rPr>
          <w:rFonts w:ascii="Avenir Next" w:hAnsi="Avenir Next" w:cs="Arial"/>
          <w:color w:val="808080" w:themeColor="background1" w:themeShade="80"/>
          <w:sz w:val="22"/>
          <w:szCs w:val="22"/>
          <w:lang w:val="en-GB"/>
        </w:rPr>
        <w:t xml:space="preserve">e foreign </w:t>
      </w:r>
      <w:r w:rsidR="00EE31E5" w:rsidRPr="00760A57">
        <w:rPr>
          <w:rFonts w:ascii="Avenir Next" w:hAnsi="Avenir Next" w:cs="Arial"/>
          <w:color w:val="808080" w:themeColor="background1" w:themeShade="80"/>
          <w:sz w:val="22"/>
          <w:szCs w:val="22"/>
          <w:lang w:val="en-GB"/>
        </w:rPr>
        <w:t>proceedings</w:t>
      </w:r>
      <w:r w:rsidR="00DE3B86">
        <w:rPr>
          <w:rFonts w:ascii="Avenir Next" w:hAnsi="Avenir Next" w:cs="Arial"/>
          <w:color w:val="808080" w:themeColor="background1" w:themeShade="80"/>
          <w:sz w:val="22"/>
          <w:szCs w:val="22"/>
          <w:lang w:val="en-GB"/>
        </w:rPr>
        <w:t xml:space="preserve">.  She remains under delegated authority of DGF which remains responsible for her actions. </w:t>
      </w:r>
    </w:p>
    <w:p w14:paraId="379E5194" w14:textId="4549AFD3" w:rsidR="00770401" w:rsidRDefault="00770401" w:rsidP="00760A57">
      <w:pPr>
        <w:ind w:left="720"/>
        <w:jc w:val="both"/>
        <w:rPr>
          <w:rFonts w:ascii="Avenir Next" w:hAnsi="Avenir Next" w:cs="Arial"/>
          <w:color w:val="808080" w:themeColor="background1" w:themeShade="80"/>
          <w:sz w:val="22"/>
          <w:szCs w:val="22"/>
          <w:lang w:val="en-GB"/>
        </w:rPr>
      </w:pPr>
    </w:p>
    <w:p w14:paraId="36EB1203" w14:textId="2E22365C" w:rsidR="00DE3B86" w:rsidRPr="00760A57" w:rsidRDefault="00DE3B86" w:rsidP="00760A57">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therefore concluded that the Applicants fall within the description of “foreign representatives” as defined by Article 2(d) of the MLCBI.</w:t>
      </w:r>
    </w:p>
    <w:p w14:paraId="7ABE1D33" w14:textId="77777777" w:rsidR="00F4307A" w:rsidRPr="00760A57" w:rsidRDefault="00F4307A" w:rsidP="00760A57">
      <w:pPr>
        <w:ind w:left="720"/>
        <w:jc w:val="both"/>
        <w:rPr>
          <w:rFonts w:ascii="Avenir Next" w:hAnsi="Avenir Next" w:cs="Arial"/>
          <w:color w:val="808080" w:themeColor="background1" w:themeShade="80"/>
          <w:sz w:val="22"/>
          <w:szCs w:val="22"/>
          <w:lang w:val="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F76A602" w:rsidR="00857763"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481D1DB6" w:rsidR="00A153F7"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sectPr w:rsidR="0077498C" w:rsidRPr="00A70BBC"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8E0D" w14:textId="77777777" w:rsidR="00D45528" w:rsidRDefault="00D45528" w:rsidP="00241B44">
      <w:r>
        <w:separator/>
      </w:r>
    </w:p>
  </w:endnote>
  <w:endnote w:type="continuationSeparator" w:id="0">
    <w:p w14:paraId="2DEF678F" w14:textId="77777777" w:rsidR="00D45528" w:rsidRDefault="00D455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2A1063E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0E55">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071144D" w:rsidR="000300E0" w:rsidRPr="00B46CE2" w:rsidRDefault="009B0E55" w:rsidP="000300E0">
    <w:pPr>
      <w:pStyle w:val="Footer"/>
      <w:ind w:right="360"/>
      <w:rPr>
        <w:rFonts w:ascii="Avenir Next" w:hAnsi="Avenir Next"/>
        <w:sz w:val="22"/>
        <w:szCs w:val="22"/>
      </w:rPr>
    </w:pPr>
    <w:r w:rsidRPr="009B67C4">
      <w:rPr>
        <w:rFonts w:ascii="Avenir Next" w:hAnsi="Avenir Next" w:cs="Arial"/>
        <w:sz w:val="22"/>
        <w:szCs w:val="22"/>
        <w:lang w:val="en-GB"/>
      </w:rPr>
      <w:t>202223-782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518A" w14:textId="77777777" w:rsidR="00D45528" w:rsidRDefault="00D45528" w:rsidP="00241B44">
      <w:r>
        <w:separator/>
      </w:r>
    </w:p>
  </w:footnote>
  <w:footnote w:type="continuationSeparator" w:id="0">
    <w:p w14:paraId="38DA9987" w14:textId="77777777" w:rsidR="00D45528" w:rsidRDefault="00D45528" w:rsidP="00241B44">
      <w:r>
        <w:continuationSeparator/>
      </w:r>
    </w:p>
  </w:footnote>
  <w:footnote w:id="1">
    <w:p w14:paraId="4D99EED1" w14:textId="5B483FBD" w:rsidR="00887D26" w:rsidRDefault="00887D26">
      <w:pPr>
        <w:pStyle w:val="FootnoteText"/>
      </w:pPr>
      <w:r>
        <w:rPr>
          <w:rStyle w:val="FootnoteReference"/>
        </w:rPr>
        <w:footnoteRef/>
      </w:r>
      <w:r>
        <w:t xml:space="preserve"> </w:t>
      </w:r>
      <w:r w:rsidR="00E512D8">
        <w:t>2</w:t>
      </w:r>
      <w:r w:rsidR="00E512D8" w:rsidRPr="00E512D8">
        <w:rPr>
          <w:vertAlign w:val="superscript"/>
        </w:rPr>
        <w:t>nd</w:t>
      </w:r>
      <w:r w:rsidR="00E512D8">
        <w:t xml:space="preserve"> Cir Appeals Apr. 16, 2013</w:t>
      </w:r>
    </w:p>
  </w:footnote>
  <w:footnote w:id="2">
    <w:p w14:paraId="354F0542" w14:textId="652980FE" w:rsidR="008A7EC2" w:rsidRDefault="008A7EC2">
      <w:pPr>
        <w:pStyle w:val="FootnoteText"/>
      </w:pPr>
      <w:r>
        <w:rPr>
          <w:rStyle w:val="FootnoteReference"/>
        </w:rPr>
        <w:footnoteRef/>
      </w:r>
      <w:r>
        <w:t xml:space="preserve"> </w:t>
      </w:r>
      <w:r w:rsidR="00773513">
        <w:t>UNCITRAL Model Law on Cross-Border Insolvency with Guide to Enactment and Interpretation</w:t>
      </w:r>
    </w:p>
  </w:footnote>
  <w:footnote w:id="3">
    <w:p w14:paraId="3C5183CD" w14:textId="08B3E18C" w:rsidR="008930A8" w:rsidRDefault="008930A8">
      <w:pPr>
        <w:pStyle w:val="FootnoteText"/>
      </w:pPr>
      <w:r>
        <w:rPr>
          <w:rStyle w:val="FootnoteReference"/>
        </w:rPr>
        <w:footnoteRef/>
      </w:r>
      <w:r>
        <w:t xml:space="preserve"> [2018] EWCA Civ 2802</w:t>
      </w:r>
    </w:p>
  </w:footnote>
  <w:footnote w:id="4">
    <w:p w14:paraId="2E282663" w14:textId="459A18B5" w:rsidR="004815DC" w:rsidRDefault="004815DC" w:rsidP="004815DC">
      <w:pPr>
        <w:pStyle w:val="FootnoteText"/>
      </w:pPr>
      <w:r>
        <w:rPr>
          <w:rStyle w:val="FootnoteReference"/>
        </w:rPr>
        <w:footnoteRef/>
      </w:r>
      <w:r>
        <w:t xml:space="preserve"> [2016] FCA 1277</w:t>
      </w:r>
    </w:p>
  </w:footnote>
  <w:footnote w:id="5">
    <w:p w14:paraId="486DD987" w14:textId="252C3492" w:rsidR="00AE37CA" w:rsidRDefault="00AE37CA">
      <w:pPr>
        <w:pStyle w:val="FootnoteText"/>
      </w:pPr>
      <w:r>
        <w:rPr>
          <w:rStyle w:val="FootnoteReference"/>
        </w:rPr>
        <w:footnoteRef/>
      </w:r>
      <w:r>
        <w:t xml:space="preserve"> Digest of Case Law on the UNCITRAL Model Law on Cross-Border Insolvency, </w:t>
      </w:r>
      <w:proofErr w:type="spellStart"/>
      <w:r>
        <w:t>pg</w:t>
      </w:r>
      <w:proofErr w:type="spellEnd"/>
      <w:r>
        <w:t xml:space="preserve"> 20</w:t>
      </w:r>
    </w:p>
  </w:footnote>
  <w:footnote w:id="6">
    <w:p w14:paraId="4F37BEC2" w14:textId="479AA9E8" w:rsidR="005F14CD" w:rsidRDefault="005F14CD">
      <w:pPr>
        <w:pStyle w:val="FootnoteText"/>
      </w:pPr>
      <w:r>
        <w:rPr>
          <w:rStyle w:val="FootnoteReference"/>
        </w:rPr>
        <w:footnoteRef/>
      </w:r>
      <w:r>
        <w:t xml:space="preserve"> </w:t>
      </w:r>
      <w:r>
        <w:t xml:space="preserve">England: Larsen v </w:t>
      </w:r>
      <w:proofErr w:type="spellStart"/>
      <w:r>
        <w:t>Navios</w:t>
      </w:r>
      <w:proofErr w:type="spellEnd"/>
      <w:r>
        <w:t xml:space="preserve"> International Inc [2011] EWHC 878</w:t>
      </w:r>
    </w:p>
  </w:footnote>
  <w:footnote w:id="7">
    <w:p w14:paraId="114C6CCE" w14:textId="30BC318C" w:rsidR="005F14CD" w:rsidRDefault="005F14CD">
      <w:pPr>
        <w:pStyle w:val="FootnoteText"/>
      </w:pPr>
      <w:r>
        <w:rPr>
          <w:rStyle w:val="FootnoteReference"/>
        </w:rPr>
        <w:footnoteRef/>
      </w:r>
      <w:r>
        <w:t xml:space="preserve"> E</w:t>
      </w:r>
      <w:r>
        <w:t>ngland: Pan Ocean Co Ltd [2014] EWHC 2124</w:t>
      </w:r>
    </w:p>
  </w:footnote>
  <w:footnote w:id="8">
    <w:p w14:paraId="6BD77C18" w14:textId="220AF1E4" w:rsidR="005F14CD" w:rsidRDefault="005F14CD">
      <w:pPr>
        <w:pStyle w:val="FootnoteText"/>
      </w:pPr>
      <w:r>
        <w:rPr>
          <w:rStyle w:val="FootnoteReference"/>
        </w:rPr>
        <w:footnoteRef/>
      </w:r>
      <w:r>
        <w:t xml:space="preserve"> England: </w:t>
      </w:r>
      <w:r>
        <w:t>Pan Ocean Co Ltd [2014] EWHC 2124</w:t>
      </w:r>
    </w:p>
  </w:footnote>
  <w:footnote w:id="9">
    <w:p w14:paraId="05CFED4E" w14:textId="0F28607F" w:rsidR="005F14CD" w:rsidRDefault="005F14CD">
      <w:pPr>
        <w:pStyle w:val="FootnoteText"/>
      </w:pPr>
      <w:r>
        <w:rPr>
          <w:rStyle w:val="FootnoteReference"/>
        </w:rPr>
        <w:footnoteRef/>
      </w:r>
      <w:r>
        <w:t xml:space="preserve"> </w:t>
      </w:r>
      <w:r>
        <w:t xml:space="preserve">United States: </w:t>
      </w:r>
      <w:proofErr w:type="spellStart"/>
      <w:r>
        <w:t>Lavie</w:t>
      </w:r>
      <w:proofErr w:type="spellEnd"/>
      <w:r>
        <w:t xml:space="preserve"> v Ran (In re Ran), 607 F.3d 1017, 1026 (5th Cir. 2010)</w:t>
      </w:r>
    </w:p>
  </w:footnote>
  <w:footnote w:id="10">
    <w:p w14:paraId="658F9B51" w14:textId="240F2C41" w:rsidR="00607492" w:rsidRDefault="00607492">
      <w:pPr>
        <w:pStyle w:val="FootnoteText"/>
      </w:pPr>
      <w:r>
        <w:rPr>
          <w:rStyle w:val="FootnoteReference"/>
        </w:rPr>
        <w:footnoteRef/>
      </w:r>
      <w:r>
        <w:t xml:space="preserve"> Order of 24 February 2021 by </w:t>
      </w:r>
      <w:proofErr w:type="spellStart"/>
      <w:r>
        <w:t>Mr</w:t>
      </w:r>
      <w:proofErr w:type="spellEnd"/>
      <w:r>
        <w:t xml:space="preserve"> Justice Ada Johnson, [2021] EWHC 392 (CH)(the </w:t>
      </w:r>
      <w:proofErr w:type="spellStart"/>
      <w:r w:rsidRPr="00607492">
        <w:rPr>
          <w:i/>
          <w:iCs/>
        </w:rPr>
        <w:t>Protasov</w:t>
      </w:r>
      <w:proofErr w:type="spellEnd"/>
      <w:r w:rsidRPr="00607492">
        <w:rPr>
          <w:i/>
          <w:iCs/>
        </w:rPr>
        <w:t xml:space="preserve"> v </w:t>
      </w:r>
      <w:proofErr w:type="spellStart"/>
      <w:r w:rsidRPr="00607492">
        <w:rPr>
          <w:i/>
          <w:iCs/>
        </w:rPr>
        <w:t>Derev</w:t>
      </w:r>
      <w:proofErr w:type="spellEnd"/>
      <w:r w:rsidRPr="00607492">
        <w:rPr>
          <w:i/>
          <w:iCs/>
        </w:rPr>
        <w:t xml:space="preserve"> Case</w:t>
      </w:r>
      <w:r>
        <w:t>)</w:t>
      </w:r>
    </w:p>
  </w:footnote>
  <w:footnote w:id="11">
    <w:p w14:paraId="56302166" w14:textId="77777777" w:rsidR="0047666B" w:rsidRDefault="0047666B" w:rsidP="0047666B">
      <w:pPr>
        <w:pStyle w:val="FootnoteText"/>
      </w:pPr>
      <w:r>
        <w:rPr>
          <w:rStyle w:val="FootnoteReference"/>
        </w:rPr>
        <w:footnoteRef/>
      </w:r>
      <w:r>
        <w:t xml:space="preserve"> UNCITRAL Model Law on Cross-Border Insolvency Law with Guide to Enactment and Interpretation, para 70, </w:t>
      </w:r>
      <w:proofErr w:type="spellStart"/>
      <w:r>
        <w:t>pg</w:t>
      </w:r>
      <w:proofErr w:type="spellEnd"/>
      <w:r>
        <w:t xml:space="preserve"> 40</w:t>
      </w:r>
    </w:p>
  </w:footnote>
  <w:footnote w:id="12">
    <w:p w14:paraId="0D821568" w14:textId="7522F328" w:rsidR="00420415" w:rsidRPr="001F60B6" w:rsidRDefault="00420415">
      <w:pPr>
        <w:pStyle w:val="FootnoteText"/>
        <w:rPr>
          <w:color w:val="767171" w:themeColor="background2" w:themeShade="80"/>
        </w:rPr>
      </w:pPr>
      <w:r w:rsidRPr="001F60B6">
        <w:rPr>
          <w:rStyle w:val="FootnoteReference"/>
          <w:color w:val="767171" w:themeColor="background2" w:themeShade="80"/>
        </w:rPr>
        <w:footnoteRef/>
      </w:r>
      <w:r w:rsidRPr="001F60B6">
        <w:rPr>
          <w:color w:val="767171" w:themeColor="background2" w:themeShade="80"/>
        </w:rPr>
        <w:t xml:space="preserve"> </w:t>
      </w:r>
      <w:r w:rsidR="000C6515" w:rsidRPr="001F60B6">
        <w:rPr>
          <w:color w:val="767171" w:themeColor="background2" w:themeShade="80"/>
        </w:rPr>
        <w:t xml:space="preserve">The UNCITRAL Model Law on Cross-Border Insolvency: The Judicial Perspective, </w:t>
      </w:r>
      <w:r w:rsidRPr="001F60B6">
        <w:rPr>
          <w:color w:val="767171" w:themeColor="background2" w:themeShade="80"/>
        </w:rPr>
        <w:t>Pg 30</w:t>
      </w:r>
    </w:p>
  </w:footnote>
  <w:footnote w:id="13">
    <w:p w14:paraId="529CA6B5" w14:textId="782B25EB" w:rsidR="008F55FB" w:rsidRDefault="008F55FB">
      <w:pPr>
        <w:pStyle w:val="FootnoteText"/>
      </w:pPr>
      <w:r>
        <w:rPr>
          <w:rStyle w:val="FootnoteReference"/>
        </w:rPr>
        <w:footnoteRef/>
      </w:r>
      <w:r>
        <w:t xml:space="preserve"> Digest of Case Law on the UNCITRAL Model Law on Cross-Border Insolvency, </w:t>
      </w:r>
      <w:proofErr w:type="spellStart"/>
      <w:r>
        <w:t>pg</w:t>
      </w:r>
      <w:proofErr w:type="spellEnd"/>
      <w:r>
        <w:t xml:space="preserv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E56A6"/>
    <w:multiLevelType w:val="hybridMultilevel"/>
    <w:tmpl w:val="48A2DD3A"/>
    <w:lvl w:ilvl="0" w:tplc="F77ABFB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5676FED"/>
    <w:multiLevelType w:val="hybridMultilevel"/>
    <w:tmpl w:val="89B0B622"/>
    <w:lvl w:ilvl="0" w:tplc="7E4C8F28">
      <w:start w:val="1"/>
      <w:numFmt w:val="lowerLetter"/>
      <w:lvlText w:val="(%1)"/>
      <w:lvlJc w:val="left"/>
      <w:pPr>
        <w:ind w:left="720" w:hanging="360"/>
      </w:pPr>
      <w:rPr>
        <w:rFonts w:asciiTheme="minorHAnsi" w:hAnsiTheme="minorHAnsi" w:cstheme="minorBidi"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162952"/>
    <w:multiLevelType w:val="hybridMultilevel"/>
    <w:tmpl w:val="CB5E49C0"/>
    <w:lvl w:ilvl="0" w:tplc="45A40C86">
      <w:start w:val="1"/>
      <w:numFmt w:val="decimal"/>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D9051C"/>
    <w:multiLevelType w:val="hybridMultilevel"/>
    <w:tmpl w:val="4D9604CC"/>
    <w:lvl w:ilvl="0" w:tplc="20000017">
      <w:start w:val="1"/>
      <w:numFmt w:val="lowerLetter"/>
      <w:lvlText w:val="%1)"/>
      <w:lvlJc w:val="left"/>
      <w:pPr>
        <w:ind w:left="2880" w:hanging="360"/>
      </w:pPr>
    </w:lvl>
    <w:lvl w:ilvl="1" w:tplc="20000019" w:tentative="1">
      <w:start w:val="1"/>
      <w:numFmt w:val="lowerLetter"/>
      <w:lvlText w:val="%2."/>
      <w:lvlJc w:val="left"/>
      <w:pPr>
        <w:ind w:left="3600" w:hanging="360"/>
      </w:pPr>
    </w:lvl>
    <w:lvl w:ilvl="2" w:tplc="2000001B" w:tentative="1">
      <w:start w:val="1"/>
      <w:numFmt w:val="lowerRoman"/>
      <w:lvlText w:val="%3."/>
      <w:lvlJc w:val="right"/>
      <w:pPr>
        <w:ind w:left="4320" w:hanging="180"/>
      </w:pPr>
    </w:lvl>
    <w:lvl w:ilvl="3" w:tplc="2000000F" w:tentative="1">
      <w:start w:val="1"/>
      <w:numFmt w:val="decimal"/>
      <w:lvlText w:val="%4."/>
      <w:lvlJc w:val="left"/>
      <w:pPr>
        <w:ind w:left="5040" w:hanging="360"/>
      </w:pPr>
    </w:lvl>
    <w:lvl w:ilvl="4" w:tplc="20000019" w:tentative="1">
      <w:start w:val="1"/>
      <w:numFmt w:val="lowerLetter"/>
      <w:lvlText w:val="%5."/>
      <w:lvlJc w:val="left"/>
      <w:pPr>
        <w:ind w:left="5760" w:hanging="360"/>
      </w:pPr>
    </w:lvl>
    <w:lvl w:ilvl="5" w:tplc="2000001B" w:tentative="1">
      <w:start w:val="1"/>
      <w:numFmt w:val="lowerRoman"/>
      <w:lvlText w:val="%6."/>
      <w:lvlJc w:val="right"/>
      <w:pPr>
        <w:ind w:left="6480" w:hanging="180"/>
      </w:pPr>
    </w:lvl>
    <w:lvl w:ilvl="6" w:tplc="2000000F" w:tentative="1">
      <w:start w:val="1"/>
      <w:numFmt w:val="decimal"/>
      <w:lvlText w:val="%7."/>
      <w:lvlJc w:val="left"/>
      <w:pPr>
        <w:ind w:left="7200" w:hanging="360"/>
      </w:pPr>
    </w:lvl>
    <w:lvl w:ilvl="7" w:tplc="20000019" w:tentative="1">
      <w:start w:val="1"/>
      <w:numFmt w:val="lowerLetter"/>
      <w:lvlText w:val="%8."/>
      <w:lvlJc w:val="left"/>
      <w:pPr>
        <w:ind w:left="7920" w:hanging="360"/>
      </w:pPr>
    </w:lvl>
    <w:lvl w:ilvl="8" w:tplc="2000001B" w:tentative="1">
      <w:start w:val="1"/>
      <w:numFmt w:val="lowerRoman"/>
      <w:lvlText w:val="%9."/>
      <w:lvlJc w:val="right"/>
      <w:pPr>
        <w:ind w:left="864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660CD"/>
    <w:multiLevelType w:val="hybridMultilevel"/>
    <w:tmpl w:val="FD4A9160"/>
    <w:lvl w:ilvl="0" w:tplc="5AF85568">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E1885"/>
    <w:multiLevelType w:val="hybridMultilevel"/>
    <w:tmpl w:val="C24C8866"/>
    <w:lvl w:ilvl="0" w:tplc="08DAF49C">
      <w:start w:val="1"/>
      <w:numFmt w:val="lowerLetter"/>
      <w:lvlText w:val="(%1)"/>
      <w:lvlJc w:val="left"/>
      <w:pPr>
        <w:ind w:left="2880" w:hanging="72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2" w15:restartNumberingAfterBreak="0">
    <w:nsid w:val="28645088"/>
    <w:multiLevelType w:val="hybridMultilevel"/>
    <w:tmpl w:val="5B9E2562"/>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A2C5C8B"/>
    <w:multiLevelType w:val="hybridMultilevel"/>
    <w:tmpl w:val="0A442B7C"/>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42057F4F"/>
    <w:multiLevelType w:val="hybridMultilevel"/>
    <w:tmpl w:val="C1741F2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422E116D"/>
    <w:multiLevelType w:val="hybridMultilevel"/>
    <w:tmpl w:val="789C91F8"/>
    <w:lvl w:ilvl="0" w:tplc="9F90C40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4A40BA"/>
    <w:multiLevelType w:val="hybridMultilevel"/>
    <w:tmpl w:val="D468544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17830BA"/>
    <w:multiLevelType w:val="hybridMultilevel"/>
    <w:tmpl w:val="F752BAFA"/>
    <w:lvl w:ilvl="0" w:tplc="591CFEE4">
      <w:start w:val="1"/>
      <w:numFmt w:val="lowerLetter"/>
      <w:lvlText w:val="%1)"/>
      <w:lvlJc w:val="left"/>
      <w:pPr>
        <w:ind w:left="1080" w:hanging="360"/>
      </w:pPr>
      <w:rPr>
        <w:rFonts w:asciiTheme="minorHAnsi" w:hAnsiTheme="minorHAnsi" w:cstheme="minorBidi" w:hint="default"/>
        <w:color w:val="auto"/>
        <w:sz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F27490"/>
    <w:multiLevelType w:val="hybridMultilevel"/>
    <w:tmpl w:val="12828D8A"/>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59514472"/>
    <w:multiLevelType w:val="hybridMultilevel"/>
    <w:tmpl w:val="1D62791E"/>
    <w:lvl w:ilvl="0" w:tplc="20000001">
      <w:start w:val="1"/>
      <w:numFmt w:val="bullet"/>
      <w:lvlText w:val=""/>
      <w:lvlJc w:val="left"/>
      <w:pPr>
        <w:ind w:left="2923" w:hanging="360"/>
      </w:pPr>
      <w:rPr>
        <w:rFonts w:ascii="Symbol" w:hAnsi="Symbol" w:hint="default"/>
      </w:rPr>
    </w:lvl>
    <w:lvl w:ilvl="1" w:tplc="20000003" w:tentative="1">
      <w:start w:val="1"/>
      <w:numFmt w:val="bullet"/>
      <w:lvlText w:val="o"/>
      <w:lvlJc w:val="left"/>
      <w:pPr>
        <w:ind w:left="3643" w:hanging="360"/>
      </w:pPr>
      <w:rPr>
        <w:rFonts w:ascii="Courier New" w:hAnsi="Courier New" w:cs="Courier New" w:hint="default"/>
      </w:rPr>
    </w:lvl>
    <w:lvl w:ilvl="2" w:tplc="20000005" w:tentative="1">
      <w:start w:val="1"/>
      <w:numFmt w:val="bullet"/>
      <w:lvlText w:val=""/>
      <w:lvlJc w:val="left"/>
      <w:pPr>
        <w:ind w:left="4363" w:hanging="360"/>
      </w:pPr>
      <w:rPr>
        <w:rFonts w:ascii="Wingdings" w:hAnsi="Wingdings" w:hint="default"/>
      </w:rPr>
    </w:lvl>
    <w:lvl w:ilvl="3" w:tplc="20000001" w:tentative="1">
      <w:start w:val="1"/>
      <w:numFmt w:val="bullet"/>
      <w:lvlText w:val=""/>
      <w:lvlJc w:val="left"/>
      <w:pPr>
        <w:ind w:left="5083" w:hanging="360"/>
      </w:pPr>
      <w:rPr>
        <w:rFonts w:ascii="Symbol" w:hAnsi="Symbol" w:hint="default"/>
      </w:rPr>
    </w:lvl>
    <w:lvl w:ilvl="4" w:tplc="20000003" w:tentative="1">
      <w:start w:val="1"/>
      <w:numFmt w:val="bullet"/>
      <w:lvlText w:val="o"/>
      <w:lvlJc w:val="left"/>
      <w:pPr>
        <w:ind w:left="5803" w:hanging="360"/>
      </w:pPr>
      <w:rPr>
        <w:rFonts w:ascii="Courier New" w:hAnsi="Courier New" w:cs="Courier New" w:hint="default"/>
      </w:rPr>
    </w:lvl>
    <w:lvl w:ilvl="5" w:tplc="20000005" w:tentative="1">
      <w:start w:val="1"/>
      <w:numFmt w:val="bullet"/>
      <w:lvlText w:val=""/>
      <w:lvlJc w:val="left"/>
      <w:pPr>
        <w:ind w:left="6523" w:hanging="360"/>
      </w:pPr>
      <w:rPr>
        <w:rFonts w:ascii="Wingdings" w:hAnsi="Wingdings" w:hint="default"/>
      </w:rPr>
    </w:lvl>
    <w:lvl w:ilvl="6" w:tplc="20000001" w:tentative="1">
      <w:start w:val="1"/>
      <w:numFmt w:val="bullet"/>
      <w:lvlText w:val=""/>
      <w:lvlJc w:val="left"/>
      <w:pPr>
        <w:ind w:left="7243" w:hanging="360"/>
      </w:pPr>
      <w:rPr>
        <w:rFonts w:ascii="Symbol" w:hAnsi="Symbol" w:hint="default"/>
      </w:rPr>
    </w:lvl>
    <w:lvl w:ilvl="7" w:tplc="20000003" w:tentative="1">
      <w:start w:val="1"/>
      <w:numFmt w:val="bullet"/>
      <w:lvlText w:val="o"/>
      <w:lvlJc w:val="left"/>
      <w:pPr>
        <w:ind w:left="7963" w:hanging="360"/>
      </w:pPr>
      <w:rPr>
        <w:rFonts w:ascii="Courier New" w:hAnsi="Courier New" w:cs="Courier New" w:hint="default"/>
      </w:rPr>
    </w:lvl>
    <w:lvl w:ilvl="8" w:tplc="20000005" w:tentative="1">
      <w:start w:val="1"/>
      <w:numFmt w:val="bullet"/>
      <w:lvlText w:val=""/>
      <w:lvlJc w:val="left"/>
      <w:pPr>
        <w:ind w:left="8683" w:hanging="360"/>
      </w:pPr>
      <w:rPr>
        <w:rFonts w:ascii="Wingdings" w:hAnsi="Wingdings" w:hint="default"/>
      </w:rPr>
    </w:lvl>
  </w:abstractNum>
  <w:abstractNum w:abstractNumId="24" w15:restartNumberingAfterBreak="0">
    <w:nsid w:val="642657C9"/>
    <w:multiLevelType w:val="hybridMultilevel"/>
    <w:tmpl w:val="FA24E398"/>
    <w:lvl w:ilvl="0" w:tplc="A0BE03F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6771777">
    <w:abstractNumId w:val="25"/>
  </w:num>
  <w:num w:numId="2" w16cid:durableId="1608462152">
    <w:abstractNumId w:val="21"/>
  </w:num>
  <w:num w:numId="3" w16cid:durableId="347756372">
    <w:abstractNumId w:val="10"/>
  </w:num>
  <w:num w:numId="4" w16cid:durableId="2126385609">
    <w:abstractNumId w:val="5"/>
  </w:num>
  <w:num w:numId="5" w16cid:durableId="1770812132">
    <w:abstractNumId w:val="28"/>
  </w:num>
  <w:num w:numId="6" w16cid:durableId="1680696590">
    <w:abstractNumId w:val="27"/>
  </w:num>
  <w:num w:numId="7" w16cid:durableId="1076586662">
    <w:abstractNumId w:val="26"/>
  </w:num>
  <w:num w:numId="8" w16cid:durableId="1969508736">
    <w:abstractNumId w:val="7"/>
  </w:num>
  <w:num w:numId="9" w16cid:durableId="1715108040">
    <w:abstractNumId w:val="8"/>
  </w:num>
  <w:num w:numId="10" w16cid:durableId="333193646">
    <w:abstractNumId w:val="18"/>
  </w:num>
  <w:num w:numId="11" w16cid:durableId="1578637041">
    <w:abstractNumId w:val="0"/>
  </w:num>
  <w:num w:numId="12" w16cid:durableId="1293092112">
    <w:abstractNumId w:val="13"/>
  </w:num>
  <w:num w:numId="13" w16cid:durableId="126243331">
    <w:abstractNumId w:val="14"/>
  </w:num>
  <w:num w:numId="14" w16cid:durableId="1661273506">
    <w:abstractNumId w:val="4"/>
  </w:num>
  <w:num w:numId="15" w16cid:durableId="2088724765">
    <w:abstractNumId w:val="24"/>
  </w:num>
  <w:num w:numId="16" w16cid:durableId="1479884541">
    <w:abstractNumId w:val="2"/>
  </w:num>
  <w:num w:numId="17" w16cid:durableId="97911008">
    <w:abstractNumId w:val="17"/>
  </w:num>
  <w:num w:numId="18" w16cid:durableId="1131634465">
    <w:abstractNumId w:val="9"/>
  </w:num>
  <w:num w:numId="19" w16cid:durableId="2131320013">
    <w:abstractNumId w:val="1"/>
  </w:num>
  <w:num w:numId="20" w16cid:durableId="33315001">
    <w:abstractNumId w:val="11"/>
  </w:num>
  <w:num w:numId="21" w16cid:durableId="1599752524">
    <w:abstractNumId w:val="3"/>
  </w:num>
  <w:num w:numId="22" w16cid:durableId="1399011910">
    <w:abstractNumId w:val="23"/>
  </w:num>
  <w:num w:numId="23" w16cid:durableId="546064169">
    <w:abstractNumId w:val="20"/>
  </w:num>
  <w:num w:numId="24" w16cid:durableId="825971742">
    <w:abstractNumId w:val="19"/>
  </w:num>
  <w:num w:numId="25" w16cid:durableId="1484666260">
    <w:abstractNumId w:val="15"/>
  </w:num>
  <w:num w:numId="26" w16cid:durableId="1592930538">
    <w:abstractNumId w:val="16"/>
  </w:num>
  <w:num w:numId="27" w16cid:durableId="45035513">
    <w:abstractNumId w:val="12"/>
  </w:num>
  <w:num w:numId="28" w16cid:durableId="157425080">
    <w:abstractNumId w:val="22"/>
  </w:num>
  <w:num w:numId="29" w16cid:durableId="51303789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678"/>
    <w:rsid w:val="00001E0C"/>
    <w:rsid w:val="000038B7"/>
    <w:rsid w:val="000048E6"/>
    <w:rsid w:val="00005CCE"/>
    <w:rsid w:val="000077DD"/>
    <w:rsid w:val="00007D95"/>
    <w:rsid w:val="00010BA0"/>
    <w:rsid w:val="00011778"/>
    <w:rsid w:val="00013567"/>
    <w:rsid w:val="0001580A"/>
    <w:rsid w:val="00017AAE"/>
    <w:rsid w:val="00020557"/>
    <w:rsid w:val="000232A1"/>
    <w:rsid w:val="000250C7"/>
    <w:rsid w:val="00025CCF"/>
    <w:rsid w:val="00025E15"/>
    <w:rsid w:val="00025FD4"/>
    <w:rsid w:val="000300E0"/>
    <w:rsid w:val="00030605"/>
    <w:rsid w:val="0003114A"/>
    <w:rsid w:val="0003298E"/>
    <w:rsid w:val="00033E07"/>
    <w:rsid w:val="00034343"/>
    <w:rsid w:val="000352C1"/>
    <w:rsid w:val="0003619C"/>
    <w:rsid w:val="00037621"/>
    <w:rsid w:val="00041A9F"/>
    <w:rsid w:val="00044D46"/>
    <w:rsid w:val="00045088"/>
    <w:rsid w:val="00045904"/>
    <w:rsid w:val="000464F7"/>
    <w:rsid w:val="000476BA"/>
    <w:rsid w:val="0005141D"/>
    <w:rsid w:val="0005172D"/>
    <w:rsid w:val="00051809"/>
    <w:rsid w:val="00056262"/>
    <w:rsid w:val="00060E02"/>
    <w:rsid w:val="00065166"/>
    <w:rsid w:val="00065638"/>
    <w:rsid w:val="000664A1"/>
    <w:rsid w:val="0006703F"/>
    <w:rsid w:val="00067A88"/>
    <w:rsid w:val="00070B92"/>
    <w:rsid w:val="00073474"/>
    <w:rsid w:val="00077D49"/>
    <w:rsid w:val="00082609"/>
    <w:rsid w:val="000851CC"/>
    <w:rsid w:val="00093BE8"/>
    <w:rsid w:val="00097043"/>
    <w:rsid w:val="00097B82"/>
    <w:rsid w:val="000A1222"/>
    <w:rsid w:val="000A68ED"/>
    <w:rsid w:val="000B3E34"/>
    <w:rsid w:val="000B4FEB"/>
    <w:rsid w:val="000B5FF1"/>
    <w:rsid w:val="000B609F"/>
    <w:rsid w:val="000B6D5B"/>
    <w:rsid w:val="000C147F"/>
    <w:rsid w:val="000C2AC1"/>
    <w:rsid w:val="000C3670"/>
    <w:rsid w:val="000C3EA4"/>
    <w:rsid w:val="000C63C2"/>
    <w:rsid w:val="000C6515"/>
    <w:rsid w:val="000C6BB9"/>
    <w:rsid w:val="000D32A9"/>
    <w:rsid w:val="000D4B4E"/>
    <w:rsid w:val="000D55A8"/>
    <w:rsid w:val="000D69FE"/>
    <w:rsid w:val="000E17FB"/>
    <w:rsid w:val="000E4841"/>
    <w:rsid w:val="000E6325"/>
    <w:rsid w:val="000F1677"/>
    <w:rsid w:val="000F3D6C"/>
    <w:rsid w:val="000F579C"/>
    <w:rsid w:val="00101707"/>
    <w:rsid w:val="00101818"/>
    <w:rsid w:val="00101C40"/>
    <w:rsid w:val="00113B02"/>
    <w:rsid w:val="00114082"/>
    <w:rsid w:val="0011473D"/>
    <w:rsid w:val="00115C85"/>
    <w:rsid w:val="00123855"/>
    <w:rsid w:val="00126A4D"/>
    <w:rsid w:val="00130212"/>
    <w:rsid w:val="001374D8"/>
    <w:rsid w:val="00140E0A"/>
    <w:rsid w:val="0014171F"/>
    <w:rsid w:val="0014622C"/>
    <w:rsid w:val="00151F58"/>
    <w:rsid w:val="00152348"/>
    <w:rsid w:val="0015269A"/>
    <w:rsid w:val="00152845"/>
    <w:rsid w:val="0015456D"/>
    <w:rsid w:val="0015549B"/>
    <w:rsid w:val="00155FA2"/>
    <w:rsid w:val="001578CB"/>
    <w:rsid w:val="00161F1B"/>
    <w:rsid w:val="00162829"/>
    <w:rsid w:val="00165523"/>
    <w:rsid w:val="001672E0"/>
    <w:rsid w:val="001676E7"/>
    <w:rsid w:val="00167C32"/>
    <w:rsid w:val="00171234"/>
    <w:rsid w:val="00171DFF"/>
    <w:rsid w:val="0017257C"/>
    <w:rsid w:val="001743D3"/>
    <w:rsid w:val="00176079"/>
    <w:rsid w:val="0017652E"/>
    <w:rsid w:val="00180548"/>
    <w:rsid w:val="00180AC4"/>
    <w:rsid w:val="00180CCE"/>
    <w:rsid w:val="00182648"/>
    <w:rsid w:val="0018267A"/>
    <w:rsid w:val="00182779"/>
    <w:rsid w:val="001830DF"/>
    <w:rsid w:val="001836A6"/>
    <w:rsid w:val="00190FD2"/>
    <w:rsid w:val="001966D9"/>
    <w:rsid w:val="001A24E7"/>
    <w:rsid w:val="001A2B78"/>
    <w:rsid w:val="001A31C5"/>
    <w:rsid w:val="001A7E9A"/>
    <w:rsid w:val="001B0F70"/>
    <w:rsid w:val="001B5016"/>
    <w:rsid w:val="001B695C"/>
    <w:rsid w:val="001C45FC"/>
    <w:rsid w:val="001D02C5"/>
    <w:rsid w:val="001D4862"/>
    <w:rsid w:val="001E25B9"/>
    <w:rsid w:val="001E49E0"/>
    <w:rsid w:val="001E5A93"/>
    <w:rsid w:val="001E60C3"/>
    <w:rsid w:val="001E7B5A"/>
    <w:rsid w:val="001F0FB7"/>
    <w:rsid w:val="001F31AB"/>
    <w:rsid w:val="001F60B6"/>
    <w:rsid w:val="001F73C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6D7"/>
    <w:rsid w:val="00241B44"/>
    <w:rsid w:val="002458B0"/>
    <w:rsid w:val="00245EFB"/>
    <w:rsid w:val="00250E19"/>
    <w:rsid w:val="00251BBD"/>
    <w:rsid w:val="0025386E"/>
    <w:rsid w:val="00256678"/>
    <w:rsid w:val="00257437"/>
    <w:rsid w:val="00263376"/>
    <w:rsid w:val="002638B0"/>
    <w:rsid w:val="00264FFF"/>
    <w:rsid w:val="002650D7"/>
    <w:rsid w:val="002654E8"/>
    <w:rsid w:val="0026647A"/>
    <w:rsid w:val="002668D3"/>
    <w:rsid w:val="002675BE"/>
    <w:rsid w:val="0027299F"/>
    <w:rsid w:val="00274691"/>
    <w:rsid w:val="00276913"/>
    <w:rsid w:val="0028135B"/>
    <w:rsid w:val="00282480"/>
    <w:rsid w:val="00284EBE"/>
    <w:rsid w:val="0029243D"/>
    <w:rsid w:val="00292987"/>
    <w:rsid w:val="00292D36"/>
    <w:rsid w:val="0029433F"/>
    <w:rsid w:val="00294829"/>
    <w:rsid w:val="00294F3B"/>
    <w:rsid w:val="0029690F"/>
    <w:rsid w:val="00297813"/>
    <w:rsid w:val="002A1629"/>
    <w:rsid w:val="002A1EEC"/>
    <w:rsid w:val="002A2A60"/>
    <w:rsid w:val="002A368C"/>
    <w:rsid w:val="002A391F"/>
    <w:rsid w:val="002A67B2"/>
    <w:rsid w:val="002B1C45"/>
    <w:rsid w:val="002B5605"/>
    <w:rsid w:val="002C13C8"/>
    <w:rsid w:val="002C3547"/>
    <w:rsid w:val="002C7C19"/>
    <w:rsid w:val="002D0021"/>
    <w:rsid w:val="002D3473"/>
    <w:rsid w:val="002D5C95"/>
    <w:rsid w:val="002E00A1"/>
    <w:rsid w:val="002E00F8"/>
    <w:rsid w:val="002E1BB5"/>
    <w:rsid w:val="002E2322"/>
    <w:rsid w:val="002E2B51"/>
    <w:rsid w:val="002E38E2"/>
    <w:rsid w:val="002E6045"/>
    <w:rsid w:val="002F1956"/>
    <w:rsid w:val="002F3440"/>
    <w:rsid w:val="002F4EC0"/>
    <w:rsid w:val="002F6BEF"/>
    <w:rsid w:val="002F71BE"/>
    <w:rsid w:val="002F75A3"/>
    <w:rsid w:val="002F78CA"/>
    <w:rsid w:val="00303C2F"/>
    <w:rsid w:val="00312911"/>
    <w:rsid w:val="003144EF"/>
    <w:rsid w:val="003148CA"/>
    <w:rsid w:val="00315506"/>
    <w:rsid w:val="0031781A"/>
    <w:rsid w:val="00320C91"/>
    <w:rsid w:val="00322F3B"/>
    <w:rsid w:val="00326292"/>
    <w:rsid w:val="00326415"/>
    <w:rsid w:val="003277E3"/>
    <w:rsid w:val="00330937"/>
    <w:rsid w:val="00330F31"/>
    <w:rsid w:val="0033442A"/>
    <w:rsid w:val="00334648"/>
    <w:rsid w:val="00335063"/>
    <w:rsid w:val="00335BD3"/>
    <w:rsid w:val="00335E93"/>
    <w:rsid w:val="0033768C"/>
    <w:rsid w:val="00337938"/>
    <w:rsid w:val="00340769"/>
    <w:rsid w:val="00341AA6"/>
    <w:rsid w:val="00342459"/>
    <w:rsid w:val="003427B9"/>
    <w:rsid w:val="003445D0"/>
    <w:rsid w:val="00344DF7"/>
    <w:rsid w:val="00346B16"/>
    <w:rsid w:val="003476E7"/>
    <w:rsid w:val="003503C5"/>
    <w:rsid w:val="00356636"/>
    <w:rsid w:val="00361358"/>
    <w:rsid w:val="00361A0A"/>
    <w:rsid w:val="003631FB"/>
    <w:rsid w:val="003634B7"/>
    <w:rsid w:val="00364724"/>
    <w:rsid w:val="00364BD9"/>
    <w:rsid w:val="0036565C"/>
    <w:rsid w:val="00365735"/>
    <w:rsid w:val="0036625E"/>
    <w:rsid w:val="003671D4"/>
    <w:rsid w:val="0036760B"/>
    <w:rsid w:val="0037465A"/>
    <w:rsid w:val="0037544E"/>
    <w:rsid w:val="00375EFB"/>
    <w:rsid w:val="00380BAB"/>
    <w:rsid w:val="00382C98"/>
    <w:rsid w:val="003834AE"/>
    <w:rsid w:val="0038533C"/>
    <w:rsid w:val="0038543B"/>
    <w:rsid w:val="00386568"/>
    <w:rsid w:val="00387106"/>
    <w:rsid w:val="00390FB0"/>
    <w:rsid w:val="00391F3E"/>
    <w:rsid w:val="003948D5"/>
    <w:rsid w:val="00396821"/>
    <w:rsid w:val="00397D3A"/>
    <w:rsid w:val="003A051E"/>
    <w:rsid w:val="003A2FEE"/>
    <w:rsid w:val="003B1310"/>
    <w:rsid w:val="003B170F"/>
    <w:rsid w:val="003B17C8"/>
    <w:rsid w:val="003B1FD0"/>
    <w:rsid w:val="003B3C5F"/>
    <w:rsid w:val="003B7401"/>
    <w:rsid w:val="003C089D"/>
    <w:rsid w:val="003C1623"/>
    <w:rsid w:val="003C4471"/>
    <w:rsid w:val="003C4FC9"/>
    <w:rsid w:val="003C5491"/>
    <w:rsid w:val="003C64F3"/>
    <w:rsid w:val="003C66B1"/>
    <w:rsid w:val="003C74E8"/>
    <w:rsid w:val="003D0A6D"/>
    <w:rsid w:val="003D1CAF"/>
    <w:rsid w:val="003D3266"/>
    <w:rsid w:val="003D44D3"/>
    <w:rsid w:val="003E0B16"/>
    <w:rsid w:val="003E1667"/>
    <w:rsid w:val="003E4FCB"/>
    <w:rsid w:val="003E5C6D"/>
    <w:rsid w:val="003E67D1"/>
    <w:rsid w:val="003F218A"/>
    <w:rsid w:val="003F3AAC"/>
    <w:rsid w:val="003F4C8A"/>
    <w:rsid w:val="00405DC1"/>
    <w:rsid w:val="0040710D"/>
    <w:rsid w:val="0041139B"/>
    <w:rsid w:val="0041191C"/>
    <w:rsid w:val="004131E8"/>
    <w:rsid w:val="004137C3"/>
    <w:rsid w:val="00413D3A"/>
    <w:rsid w:val="00414AD9"/>
    <w:rsid w:val="00415F1F"/>
    <w:rsid w:val="00420415"/>
    <w:rsid w:val="0042108F"/>
    <w:rsid w:val="00422242"/>
    <w:rsid w:val="004248A6"/>
    <w:rsid w:val="00424D07"/>
    <w:rsid w:val="00425421"/>
    <w:rsid w:val="00427E6B"/>
    <w:rsid w:val="00430FED"/>
    <w:rsid w:val="00432179"/>
    <w:rsid w:val="004328E1"/>
    <w:rsid w:val="004331B0"/>
    <w:rsid w:val="00434292"/>
    <w:rsid w:val="00434A8C"/>
    <w:rsid w:val="00435583"/>
    <w:rsid w:val="00436884"/>
    <w:rsid w:val="00437297"/>
    <w:rsid w:val="00440194"/>
    <w:rsid w:val="00443403"/>
    <w:rsid w:val="00444284"/>
    <w:rsid w:val="00445CE6"/>
    <w:rsid w:val="00447FE6"/>
    <w:rsid w:val="004533C9"/>
    <w:rsid w:val="004534C2"/>
    <w:rsid w:val="0045446F"/>
    <w:rsid w:val="0045683E"/>
    <w:rsid w:val="00467BC8"/>
    <w:rsid w:val="00467F9C"/>
    <w:rsid w:val="0047025B"/>
    <w:rsid w:val="004712CD"/>
    <w:rsid w:val="0047666B"/>
    <w:rsid w:val="004815DC"/>
    <w:rsid w:val="00484DED"/>
    <w:rsid w:val="00491675"/>
    <w:rsid w:val="00492238"/>
    <w:rsid w:val="00493855"/>
    <w:rsid w:val="0049508F"/>
    <w:rsid w:val="00496533"/>
    <w:rsid w:val="00497EDB"/>
    <w:rsid w:val="004A09C8"/>
    <w:rsid w:val="004A171E"/>
    <w:rsid w:val="004A2DBB"/>
    <w:rsid w:val="004A57DD"/>
    <w:rsid w:val="004A5FF4"/>
    <w:rsid w:val="004A7B51"/>
    <w:rsid w:val="004A7D71"/>
    <w:rsid w:val="004A7EF3"/>
    <w:rsid w:val="004B0685"/>
    <w:rsid w:val="004B11FD"/>
    <w:rsid w:val="004B23A2"/>
    <w:rsid w:val="004B2706"/>
    <w:rsid w:val="004C0504"/>
    <w:rsid w:val="004C4E97"/>
    <w:rsid w:val="004D1240"/>
    <w:rsid w:val="004D1A5A"/>
    <w:rsid w:val="004D2FFF"/>
    <w:rsid w:val="004D3211"/>
    <w:rsid w:val="004D3721"/>
    <w:rsid w:val="004D64F9"/>
    <w:rsid w:val="004D77E5"/>
    <w:rsid w:val="004E0549"/>
    <w:rsid w:val="004E2E92"/>
    <w:rsid w:val="004E30B0"/>
    <w:rsid w:val="004E44E6"/>
    <w:rsid w:val="004E622C"/>
    <w:rsid w:val="004E66A3"/>
    <w:rsid w:val="004E6A56"/>
    <w:rsid w:val="004F5FDF"/>
    <w:rsid w:val="0050157D"/>
    <w:rsid w:val="00504D1C"/>
    <w:rsid w:val="00506803"/>
    <w:rsid w:val="0050682B"/>
    <w:rsid w:val="00507546"/>
    <w:rsid w:val="00507AAC"/>
    <w:rsid w:val="005177FE"/>
    <w:rsid w:val="0052263B"/>
    <w:rsid w:val="00524728"/>
    <w:rsid w:val="00526367"/>
    <w:rsid w:val="00530003"/>
    <w:rsid w:val="00530E88"/>
    <w:rsid w:val="005331CA"/>
    <w:rsid w:val="0053353F"/>
    <w:rsid w:val="00533739"/>
    <w:rsid w:val="00536072"/>
    <w:rsid w:val="00537970"/>
    <w:rsid w:val="005403BA"/>
    <w:rsid w:val="00540B44"/>
    <w:rsid w:val="00540E3A"/>
    <w:rsid w:val="00542D43"/>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2E71"/>
    <w:rsid w:val="00573E73"/>
    <w:rsid w:val="00575164"/>
    <w:rsid w:val="00575B2D"/>
    <w:rsid w:val="005833D0"/>
    <w:rsid w:val="005841D0"/>
    <w:rsid w:val="005846F3"/>
    <w:rsid w:val="00584A12"/>
    <w:rsid w:val="0058622F"/>
    <w:rsid w:val="00587461"/>
    <w:rsid w:val="00590023"/>
    <w:rsid w:val="00591F9E"/>
    <w:rsid w:val="00592F82"/>
    <w:rsid w:val="0059442C"/>
    <w:rsid w:val="005A013E"/>
    <w:rsid w:val="005A0CCA"/>
    <w:rsid w:val="005A5AA7"/>
    <w:rsid w:val="005A726D"/>
    <w:rsid w:val="005B5D95"/>
    <w:rsid w:val="005B67AC"/>
    <w:rsid w:val="005B7533"/>
    <w:rsid w:val="005C1402"/>
    <w:rsid w:val="005C2926"/>
    <w:rsid w:val="005C2B40"/>
    <w:rsid w:val="005C2C94"/>
    <w:rsid w:val="005C36BC"/>
    <w:rsid w:val="005C4865"/>
    <w:rsid w:val="005C6288"/>
    <w:rsid w:val="005D1253"/>
    <w:rsid w:val="005D43A3"/>
    <w:rsid w:val="005D43E0"/>
    <w:rsid w:val="005D4C1D"/>
    <w:rsid w:val="005D58A3"/>
    <w:rsid w:val="005D6522"/>
    <w:rsid w:val="005E1B79"/>
    <w:rsid w:val="005E371A"/>
    <w:rsid w:val="005E5C28"/>
    <w:rsid w:val="005F026D"/>
    <w:rsid w:val="005F0FAE"/>
    <w:rsid w:val="005F14CD"/>
    <w:rsid w:val="005F21F4"/>
    <w:rsid w:val="005F2D0B"/>
    <w:rsid w:val="005F4B31"/>
    <w:rsid w:val="00604A13"/>
    <w:rsid w:val="00605F51"/>
    <w:rsid w:val="00607492"/>
    <w:rsid w:val="00610388"/>
    <w:rsid w:val="00612C70"/>
    <w:rsid w:val="00612CA5"/>
    <w:rsid w:val="00614EB3"/>
    <w:rsid w:val="006153EC"/>
    <w:rsid w:val="00621A17"/>
    <w:rsid w:val="00622586"/>
    <w:rsid w:val="00622C2B"/>
    <w:rsid w:val="00622DCB"/>
    <w:rsid w:val="006240D9"/>
    <w:rsid w:val="00627CC9"/>
    <w:rsid w:val="00627E7B"/>
    <w:rsid w:val="00630542"/>
    <w:rsid w:val="00632D3B"/>
    <w:rsid w:val="00632E44"/>
    <w:rsid w:val="00633052"/>
    <w:rsid w:val="00634622"/>
    <w:rsid w:val="00636808"/>
    <w:rsid w:val="0063729E"/>
    <w:rsid w:val="00641002"/>
    <w:rsid w:val="00641515"/>
    <w:rsid w:val="00650737"/>
    <w:rsid w:val="00651AE3"/>
    <w:rsid w:val="00654C2F"/>
    <w:rsid w:val="006553D9"/>
    <w:rsid w:val="0065674D"/>
    <w:rsid w:val="00657087"/>
    <w:rsid w:val="0066252C"/>
    <w:rsid w:val="006661EF"/>
    <w:rsid w:val="00666671"/>
    <w:rsid w:val="006719F4"/>
    <w:rsid w:val="0067294B"/>
    <w:rsid w:val="00672EA5"/>
    <w:rsid w:val="00677736"/>
    <w:rsid w:val="0067785F"/>
    <w:rsid w:val="00677AEB"/>
    <w:rsid w:val="00680EF2"/>
    <w:rsid w:val="00681B15"/>
    <w:rsid w:val="006834FD"/>
    <w:rsid w:val="006839C2"/>
    <w:rsid w:val="00687A1D"/>
    <w:rsid w:val="006920CC"/>
    <w:rsid w:val="00692AB2"/>
    <w:rsid w:val="0069647C"/>
    <w:rsid w:val="00697B59"/>
    <w:rsid w:val="00697EA1"/>
    <w:rsid w:val="006A1850"/>
    <w:rsid w:val="006A2646"/>
    <w:rsid w:val="006A3DF0"/>
    <w:rsid w:val="006A504F"/>
    <w:rsid w:val="006A6530"/>
    <w:rsid w:val="006A6F86"/>
    <w:rsid w:val="006A7223"/>
    <w:rsid w:val="006A74A2"/>
    <w:rsid w:val="006B435A"/>
    <w:rsid w:val="006B4C64"/>
    <w:rsid w:val="006B4DC9"/>
    <w:rsid w:val="006B4FFC"/>
    <w:rsid w:val="006B7CBD"/>
    <w:rsid w:val="006B7DA9"/>
    <w:rsid w:val="006C0299"/>
    <w:rsid w:val="006C399F"/>
    <w:rsid w:val="006C5587"/>
    <w:rsid w:val="006C5C07"/>
    <w:rsid w:val="006C7E9B"/>
    <w:rsid w:val="006D0E6E"/>
    <w:rsid w:val="006D3374"/>
    <w:rsid w:val="006D3B95"/>
    <w:rsid w:val="006D6BD5"/>
    <w:rsid w:val="006E04C1"/>
    <w:rsid w:val="006E3022"/>
    <w:rsid w:val="006E3E23"/>
    <w:rsid w:val="006E481A"/>
    <w:rsid w:val="006E5298"/>
    <w:rsid w:val="006E70C2"/>
    <w:rsid w:val="006F2CE3"/>
    <w:rsid w:val="006F3C29"/>
    <w:rsid w:val="006F5B12"/>
    <w:rsid w:val="006F734A"/>
    <w:rsid w:val="00700D83"/>
    <w:rsid w:val="0070116C"/>
    <w:rsid w:val="00703819"/>
    <w:rsid w:val="00704852"/>
    <w:rsid w:val="00706297"/>
    <w:rsid w:val="00706AD5"/>
    <w:rsid w:val="00706FBE"/>
    <w:rsid w:val="007074E9"/>
    <w:rsid w:val="00707FC8"/>
    <w:rsid w:val="00713DA4"/>
    <w:rsid w:val="00714BF1"/>
    <w:rsid w:val="00720155"/>
    <w:rsid w:val="00721383"/>
    <w:rsid w:val="0072554C"/>
    <w:rsid w:val="00725911"/>
    <w:rsid w:val="00727093"/>
    <w:rsid w:val="00731DBD"/>
    <w:rsid w:val="007333CC"/>
    <w:rsid w:val="007335E6"/>
    <w:rsid w:val="0073399A"/>
    <w:rsid w:val="00740223"/>
    <w:rsid w:val="00741DEB"/>
    <w:rsid w:val="00742A8F"/>
    <w:rsid w:val="00751F66"/>
    <w:rsid w:val="00752A14"/>
    <w:rsid w:val="007556AD"/>
    <w:rsid w:val="007603F5"/>
    <w:rsid w:val="00760A57"/>
    <w:rsid w:val="00764DB0"/>
    <w:rsid w:val="007651BD"/>
    <w:rsid w:val="00766EB4"/>
    <w:rsid w:val="00766F8A"/>
    <w:rsid w:val="007670D9"/>
    <w:rsid w:val="0076764D"/>
    <w:rsid w:val="00770401"/>
    <w:rsid w:val="0077196F"/>
    <w:rsid w:val="007729FD"/>
    <w:rsid w:val="00773513"/>
    <w:rsid w:val="0077498C"/>
    <w:rsid w:val="0077576D"/>
    <w:rsid w:val="00777183"/>
    <w:rsid w:val="007776CE"/>
    <w:rsid w:val="00783C8F"/>
    <w:rsid w:val="00784128"/>
    <w:rsid w:val="00784B4B"/>
    <w:rsid w:val="007854ED"/>
    <w:rsid w:val="00787646"/>
    <w:rsid w:val="00793173"/>
    <w:rsid w:val="007A355E"/>
    <w:rsid w:val="007A5253"/>
    <w:rsid w:val="007A7A3E"/>
    <w:rsid w:val="007B1E08"/>
    <w:rsid w:val="007B3AC7"/>
    <w:rsid w:val="007B497A"/>
    <w:rsid w:val="007B4A6E"/>
    <w:rsid w:val="007C1FCC"/>
    <w:rsid w:val="007C32A8"/>
    <w:rsid w:val="007C3FE5"/>
    <w:rsid w:val="007C48C9"/>
    <w:rsid w:val="007C4DC4"/>
    <w:rsid w:val="007C5CAF"/>
    <w:rsid w:val="007C5E0C"/>
    <w:rsid w:val="007C6201"/>
    <w:rsid w:val="007C6755"/>
    <w:rsid w:val="007C6988"/>
    <w:rsid w:val="007D28A1"/>
    <w:rsid w:val="007D2AC3"/>
    <w:rsid w:val="007D74AA"/>
    <w:rsid w:val="007D7C92"/>
    <w:rsid w:val="007E1154"/>
    <w:rsid w:val="007E3391"/>
    <w:rsid w:val="007E4475"/>
    <w:rsid w:val="007E5682"/>
    <w:rsid w:val="007E6BA4"/>
    <w:rsid w:val="007E7678"/>
    <w:rsid w:val="007F2571"/>
    <w:rsid w:val="007F2BAE"/>
    <w:rsid w:val="007F41F8"/>
    <w:rsid w:val="007F60D0"/>
    <w:rsid w:val="00800AA7"/>
    <w:rsid w:val="0080454E"/>
    <w:rsid w:val="00804C32"/>
    <w:rsid w:val="00806302"/>
    <w:rsid w:val="00806AE5"/>
    <w:rsid w:val="00807119"/>
    <w:rsid w:val="00812002"/>
    <w:rsid w:val="00813E5C"/>
    <w:rsid w:val="00817D57"/>
    <w:rsid w:val="008213FD"/>
    <w:rsid w:val="00822764"/>
    <w:rsid w:val="008241C4"/>
    <w:rsid w:val="00824568"/>
    <w:rsid w:val="0082483F"/>
    <w:rsid w:val="008264CB"/>
    <w:rsid w:val="008279C0"/>
    <w:rsid w:val="00835FD1"/>
    <w:rsid w:val="00843AA1"/>
    <w:rsid w:val="0084683C"/>
    <w:rsid w:val="0085036B"/>
    <w:rsid w:val="008512FA"/>
    <w:rsid w:val="00853A74"/>
    <w:rsid w:val="00856821"/>
    <w:rsid w:val="00857763"/>
    <w:rsid w:val="00860E61"/>
    <w:rsid w:val="00863994"/>
    <w:rsid w:val="00866593"/>
    <w:rsid w:val="00867A8F"/>
    <w:rsid w:val="008723F3"/>
    <w:rsid w:val="00873BAD"/>
    <w:rsid w:val="00880D06"/>
    <w:rsid w:val="00881DE6"/>
    <w:rsid w:val="008837A6"/>
    <w:rsid w:val="00887D26"/>
    <w:rsid w:val="0089145D"/>
    <w:rsid w:val="0089264A"/>
    <w:rsid w:val="008930A8"/>
    <w:rsid w:val="00893130"/>
    <w:rsid w:val="008A0C6E"/>
    <w:rsid w:val="008A3946"/>
    <w:rsid w:val="008A3EAD"/>
    <w:rsid w:val="008A46CF"/>
    <w:rsid w:val="008A4DF2"/>
    <w:rsid w:val="008A68C8"/>
    <w:rsid w:val="008A6CFE"/>
    <w:rsid w:val="008A6F3B"/>
    <w:rsid w:val="008A7470"/>
    <w:rsid w:val="008A7EC2"/>
    <w:rsid w:val="008B1A08"/>
    <w:rsid w:val="008B1A0A"/>
    <w:rsid w:val="008B2DE3"/>
    <w:rsid w:val="008B5333"/>
    <w:rsid w:val="008B6223"/>
    <w:rsid w:val="008C301B"/>
    <w:rsid w:val="008C64C5"/>
    <w:rsid w:val="008C66E0"/>
    <w:rsid w:val="008D200B"/>
    <w:rsid w:val="008E046B"/>
    <w:rsid w:val="008E2DFA"/>
    <w:rsid w:val="008E3339"/>
    <w:rsid w:val="008E549B"/>
    <w:rsid w:val="008F18EF"/>
    <w:rsid w:val="008F20FC"/>
    <w:rsid w:val="008F2B24"/>
    <w:rsid w:val="008F55FB"/>
    <w:rsid w:val="008F5FFE"/>
    <w:rsid w:val="0090421A"/>
    <w:rsid w:val="00905A43"/>
    <w:rsid w:val="00907DC2"/>
    <w:rsid w:val="00912C79"/>
    <w:rsid w:val="00913FD1"/>
    <w:rsid w:val="00915DFC"/>
    <w:rsid w:val="00920897"/>
    <w:rsid w:val="0092335C"/>
    <w:rsid w:val="009260A2"/>
    <w:rsid w:val="00927666"/>
    <w:rsid w:val="009336EA"/>
    <w:rsid w:val="00942123"/>
    <w:rsid w:val="00943BAF"/>
    <w:rsid w:val="0094571E"/>
    <w:rsid w:val="00947B1D"/>
    <w:rsid w:val="00951031"/>
    <w:rsid w:val="0095207B"/>
    <w:rsid w:val="00954134"/>
    <w:rsid w:val="00954461"/>
    <w:rsid w:val="00954E4C"/>
    <w:rsid w:val="00956085"/>
    <w:rsid w:val="00957951"/>
    <w:rsid w:val="00962045"/>
    <w:rsid w:val="00963DD8"/>
    <w:rsid w:val="00966001"/>
    <w:rsid w:val="00967EDA"/>
    <w:rsid w:val="009700EC"/>
    <w:rsid w:val="00970897"/>
    <w:rsid w:val="00972861"/>
    <w:rsid w:val="009738FD"/>
    <w:rsid w:val="00980314"/>
    <w:rsid w:val="009816D0"/>
    <w:rsid w:val="00991428"/>
    <w:rsid w:val="00992676"/>
    <w:rsid w:val="00996691"/>
    <w:rsid w:val="00996FB7"/>
    <w:rsid w:val="009A4880"/>
    <w:rsid w:val="009A67F7"/>
    <w:rsid w:val="009A7865"/>
    <w:rsid w:val="009B042F"/>
    <w:rsid w:val="009B05C8"/>
    <w:rsid w:val="009B0723"/>
    <w:rsid w:val="009B07AD"/>
    <w:rsid w:val="009B0883"/>
    <w:rsid w:val="009B0E55"/>
    <w:rsid w:val="009B15E2"/>
    <w:rsid w:val="009B5832"/>
    <w:rsid w:val="009B6312"/>
    <w:rsid w:val="009B640D"/>
    <w:rsid w:val="009C0850"/>
    <w:rsid w:val="009C0B8E"/>
    <w:rsid w:val="009C1BC8"/>
    <w:rsid w:val="009C2442"/>
    <w:rsid w:val="009D0811"/>
    <w:rsid w:val="009D0EE1"/>
    <w:rsid w:val="009D1726"/>
    <w:rsid w:val="009D25F3"/>
    <w:rsid w:val="009D30BB"/>
    <w:rsid w:val="009D39C7"/>
    <w:rsid w:val="009D58C7"/>
    <w:rsid w:val="009D6F71"/>
    <w:rsid w:val="009E0161"/>
    <w:rsid w:val="009E2815"/>
    <w:rsid w:val="009E2AEB"/>
    <w:rsid w:val="009E2E27"/>
    <w:rsid w:val="009E4DE3"/>
    <w:rsid w:val="009F28BB"/>
    <w:rsid w:val="009F6807"/>
    <w:rsid w:val="00A0287E"/>
    <w:rsid w:val="00A047EE"/>
    <w:rsid w:val="00A108DB"/>
    <w:rsid w:val="00A114EA"/>
    <w:rsid w:val="00A153F7"/>
    <w:rsid w:val="00A20B08"/>
    <w:rsid w:val="00A220D9"/>
    <w:rsid w:val="00A2274A"/>
    <w:rsid w:val="00A235B7"/>
    <w:rsid w:val="00A25EE5"/>
    <w:rsid w:val="00A27A7A"/>
    <w:rsid w:val="00A326F9"/>
    <w:rsid w:val="00A3377D"/>
    <w:rsid w:val="00A352A2"/>
    <w:rsid w:val="00A36D87"/>
    <w:rsid w:val="00A407EF"/>
    <w:rsid w:val="00A461C9"/>
    <w:rsid w:val="00A46B4C"/>
    <w:rsid w:val="00A5117B"/>
    <w:rsid w:val="00A5370C"/>
    <w:rsid w:val="00A54000"/>
    <w:rsid w:val="00A54689"/>
    <w:rsid w:val="00A60074"/>
    <w:rsid w:val="00A6627C"/>
    <w:rsid w:val="00A701AD"/>
    <w:rsid w:val="00A70BBC"/>
    <w:rsid w:val="00A71019"/>
    <w:rsid w:val="00A7243D"/>
    <w:rsid w:val="00A7283C"/>
    <w:rsid w:val="00A81029"/>
    <w:rsid w:val="00A83CB5"/>
    <w:rsid w:val="00A865A7"/>
    <w:rsid w:val="00A96489"/>
    <w:rsid w:val="00AA3391"/>
    <w:rsid w:val="00AA3A42"/>
    <w:rsid w:val="00AA5311"/>
    <w:rsid w:val="00AA7BAA"/>
    <w:rsid w:val="00AB6707"/>
    <w:rsid w:val="00AB685C"/>
    <w:rsid w:val="00AB6C2D"/>
    <w:rsid w:val="00AB71C4"/>
    <w:rsid w:val="00AB7E8E"/>
    <w:rsid w:val="00AC08F7"/>
    <w:rsid w:val="00AC119F"/>
    <w:rsid w:val="00AC3839"/>
    <w:rsid w:val="00AC7082"/>
    <w:rsid w:val="00AD2064"/>
    <w:rsid w:val="00AD24C0"/>
    <w:rsid w:val="00AD3FEA"/>
    <w:rsid w:val="00AD7AC9"/>
    <w:rsid w:val="00AD7BBD"/>
    <w:rsid w:val="00AE37CA"/>
    <w:rsid w:val="00AE5507"/>
    <w:rsid w:val="00AE5E57"/>
    <w:rsid w:val="00AE7400"/>
    <w:rsid w:val="00AF228E"/>
    <w:rsid w:val="00AF60A3"/>
    <w:rsid w:val="00B00841"/>
    <w:rsid w:val="00B01E27"/>
    <w:rsid w:val="00B04137"/>
    <w:rsid w:val="00B10F9C"/>
    <w:rsid w:val="00B1112C"/>
    <w:rsid w:val="00B11D19"/>
    <w:rsid w:val="00B12936"/>
    <w:rsid w:val="00B14819"/>
    <w:rsid w:val="00B17AA9"/>
    <w:rsid w:val="00B2166A"/>
    <w:rsid w:val="00B32DE4"/>
    <w:rsid w:val="00B33578"/>
    <w:rsid w:val="00B370C3"/>
    <w:rsid w:val="00B411AE"/>
    <w:rsid w:val="00B41C7A"/>
    <w:rsid w:val="00B463CC"/>
    <w:rsid w:val="00B46CE2"/>
    <w:rsid w:val="00B60190"/>
    <w:rsid w:val="00B61419"/>
    <w:rsid w:val="00B70499"/>
    <w:rsid w:val="00B72F5F"/>
    <w:rsid w:val="00B736DF"/>
    <w:rsid w:val="00B74170"/>
    <w:rsid w:val="00B74FBD"/>
    <w:rsid w:val="00B77352"/>
    <w:rsid w:val="00B81982"/>
    <w:rsid w:val="00B82586"/>
    <w:rsid w:val="00B829A3"/>
    <w:rsid w:val="00B85D4F"/>
    <w:rsid w:val="00B86DB1"/>
    <w:rsid w:val="00B87869"/>
    <w:rsid w:val="00B9171F"/>
    <w:rsid w:val="00B94258"/>
    <w:rsid w:val="00B95C37"/>
    <w:rsid w:val="00B96AE7"/>
    <w:rsid w:val="00B96E6A"/>
    <w:rsid w:val="00B97822"/>
    <w:rsid w:val="00BA0E44"/>
    <w:rsid w:val="00BA47C5"/>
    <w:rsid w:val="00BB0F2B"/>
    <w:rsid w:val="00BB61C5"/>
    <w:rsid w:val="00BB75AD"/>
    <w:rsid w:val="00BC29B1"/>
    <w:rsid w:val="00BC31FF"/>
    <w:rsid w:val="00BC6A59"/>
    <w:rsid w:val="00BD0D57"/>
    <w:rsid w:val="00BD1A47"/>
    <w:rsid w:val="00BD3903"/>
    <w:rsid w:val="00BE1A50"/>
    <w:rsid w:val="00BE1B21"/>
    <w:rsid w:val="00BE1D3B"/>
    <w:rsid w:val="00BE5490"/>
    <w:rsid w:val="00BF50F7"/>
    <w:rsid w:val="00C02F29"/>
    <w:rsid w:val="00C037B4"/>
    <w:rsid w:val="00C10C13"/>
    <w:rsid w:val="00C120B5"/>
    <w:rsid w:val="00C13660"/>
    <w:rsid w:val="00C16CE3"/>
    <w:rsid w:val="00C17111"/>
    <w:rsid w:val="00C20747"/>
    <w:rsid w:val="00C20AFE"/>
    <w:rsid w:val="00C22A25"/>
    <w:rsid w:val="00C23B79"/>
    <w:rsid w:val="00C23E5F"/>
    <w:rsid w:val="00C32174"/>
    <w:rsid w:val="00C33D50"/>
    <w:rsid w:val="00C35671"/>
    <w:rsid w:val="00C35B77"/>
    <w:rsid w:val="00C36719"/>
    <w:rsid w:val="00C370D3"/>
    <w:rsid w:val="00C376EB"/>
    <w:rsid w:val="00C4003A"/>
    <w:rsid w:val="00C46A79"/>
    <w:rsid w:val="00C46EC1"/>
    <w:rsid w:val="00C47B22"/>
    <w:rsid w:val="00C504E5"/>
    <w:rsid w:val="00C53E2C"/>
    <w:rsid w:val="00C550C8"/>
    <w:rsid w:val="00C56B61"/>
    <w:rsid w:val="00C606C3"/>
    <w:rsid w:val="00C620F4"/>
    <w:rsid w:val="00C668B6"/>
    <w:rsid w:val="00C67ECE"/>
    <w:rsid w:val="00C7161B"/>
    <w:rsid w:val="00C72848"/>
    <w:rsid w:val="00C7736C"/>
    <w:rsid w:val="00C82D87"/>
    <w:rsid w:val="00C840C1"/>
    <w:rsid w:val="00C841ED"/>
    <w:rsid w:val="00C85F17"/>
    <w:rsid w:val="00C8712A"/>
    <w:rsid w:val="00C87B04"/>
    <w:rsid w:val="00C91324"/>
    <w:rsid w:val="00C914F7"/>
    <w:rsid w:val="00C95B96"/>
    <w:rsid w:val="00C963D3"/>
    <w:rsid w:val="00CA6E0D"/>
    <w:rsid w:val="00CA74D2"/>
    <w:rsid w:val="00CA7D18"/>
    <w:rsid w:val="00CB2CBB"/>
    <w:rsid w:val="00CB56CE"/>
    <w:rsid w:val="00CB5808"/>
    <w:rsid w:val="00CB7B39"/>
    <w:rsid w:val="00CB7CAC"/>
    <w:rsid w:val="00CC0EA0"/>
    <w:rsid w:val="00CC5335"/>
    <w:rsid w:val="00CC5BA4"/>
    <w:rsid w:val="00CC70BB"/>
    <w:rsid w:val="00CD329C"/>
    <w:rsid w:val="00CD3420"/>
    <w:rsid w:val="00CD4998"/>
    <w:rsid w:val="00CD4E37"/>
    <w:rsid w:val="00CD566D"/>
    <w:rsid w:val="00CD578B"/>
    <w:rsid w:val="00CD79F3"/>
    <w:rsid w:val="00CE1035"/>
    <w:rsid w:val="00CE63C5"/>
    <w:rsid w:val="00CF2819"/>
    <w:rsid w:val="00CF4F9D"/>
    <w:rsid w:val="00CF6B3D"/>
    <w:rsid w:val="00CF70DC"/>
    <w:rsid w:val="00D01110"/>
    <w:rsid w:val="00D06215"/>
    <w:rsid w:val="00D1088F"/>
    <w:rsid w:val="00D123A8"/>
    <w:rsid w:val="00D148DC"/>
    <w:rsid w:val="00D17FDC"/>
    <w:rsid w:val="00D30DBD"/>
    <w:rsid w:val="00D31DA1"/>
    <w:rsid w:val="00D32429"/>
    <w:rsid w:val="00D35D51"/>
    <w:rsid w:val="00D441D4"/>
    <w:rsid w:val="00D444C5"/>
    <w:rsid w:val="00D45528"/>
    <w:rsid w:val="00D45AEA"/>
    <w:rsid w:val="00D5244F"/>
    <w:rsid w:val="00D52E4F"/>
    <w:rsid w:val="00D56A37"/>
    <w:rsid w:val="00D57202"/>
    <w:rsid w:val="00D62F39"/>
    <w:rsid w:val="00D63817"/>
    <w:rsid w:val="00D6386E"/>
    <w:rsid w:val="00D63EFD"/>
    <w:rsid w:val="00D64826"/>
    <w:rsid w:val="00D7039A"/>
    <w:rsid w:val="00D7181F"/>
    <w:rsid w:val="00D7245C"/>
    <w:rsid w:val="00D76A5E"/>
    <w:rsid w:val="00D80DF2"/>
    <w:rsid w:val="00D81FA5"/>
    <w:rsid w:val="00D84752"/>
    <w:rsid w:val="00D85AB0"/>
    <w:rsid w:val="00D86B3B"/>
    <w:rsid w:val="00D8748A"/>
    <w:rsid w:val="00D87AB5"/>
    <w:rsid w:val="00D90CFB"/>
    <w:rsid w:val="00D93196"/>
    <w:rsid w:val="00D94A4D"/>
    <w:rsid w:val="00D97A93"/>
    <w:rsid w:val="00DA1083"/>
    <w:rsid w:val="00DA13BC"/>
    <w:rsid w:val="00DA26C8"/>
    <w:rsid w:val="00DA44E7"/>
    <w:rsid w:val="00DB243C"/>
    <w:rsid w:val="00DB45DD"/>
    <w:rsid w:val="00DB463E"/>
    <w:rsid w:val="00DB482A"/>
    <w:rsid w:val="00DB53FD"/>
    <w:rsid w:val="00DB56F2"/>
    <w:rsid w:val="00DB6EF5"/>
    <w:rsid w:val="00DB701F"/>
    <w:rsid w:val="00DC3089"/>
    <w:rsid w:val="00DC4420"/>
    <w:rsid w:val="00DC4A59"/>
    <w:rsid w:val="00DC6CF3"/>
    <w:rsid w:val="00DD0802"/>
    <w:rsid w:val="00DD0A50"/>
    <w:rsid w:val="00DD2E11"/>
    <w:rsid w:val="00DD6410"/>
    <w:rsid w:val="00DE03AF"/>
    <w:rsid w:val="00DE0AA6"/>
    <w:rsid w:val="00DE121C"/>
    <w:rsid w:val="00DE1F5D"/>
    <w:rsid w:val="00DE243C"/>
    <w:rsid w:val="00DE2A27"/>
    <w:rsid w:val="00DE36C0"/>
    <w:rsid w:val="00DE3705"/>
    <w:rsid w:val="00DE3B86"/>
    <w:rsid w:val="00DE6633"/>
    <w:rsid w:val="00DF75F8"/>
    <w:rsid w:val="00DF7A3A"/>
    <w:rsid w:val="00E00C00"/>
    <w:rsid w:val="00E03151"/>
    <w:rsid w:val="00E03248"/>
    <w:rsid w:val="00E04A7C"/>
    <w:rsid w:val="00E059FB"/>
    <w:rsid w:val="00E069C4"/>
    <w:rsid w:val="00E07275"/>
    <w:rsid w:val="00E07866"/>
    <w:rsid w:val="00E07C5A"/>
    <w:rsid w:val="00E147EC"/>
    <w:rsid w:val="00E14F92"/>
    <w:rsid w:val="00E153D6"/>
    <w:rsid w:val="00E15BA9"/>
    <w:rsid w:val="00E22A2A"/>
    <w:rsid w:val="00E23195"/>
    <w:rsid w:val="00E25B22"/>
    <w:rsid w:val="00E26121"/>
    <w:rsid w:val="00E2622D"/>
    <w:rsid w:val="00E26E19"/>
    <w:rsid w:val="00E27E3C"/>
    <w:rsid w:val="00E30454"/>
    <w:rsid w:val="00E31DF3"/>
    <w:rsid w:val="00E32814"/>
    <w:rsid w:val="00E33448"/>
    <w:rsid w:val="00E33486"/>
    <w:rsid w:val="00E34181"/>
    <w:rsid w:val="00E450A4"/>
    <w:rsid w:val="00E506BE"/>
    <w:rsid w:val="00E512D8"/>
    <w:rsid w:val="00E51D93"/>
    <w:rsid w:val="00E54141"/>
    <w:rsid w:val="00E55547"/>
    <w:rsid w:val="00E57410"/>
    <w:rsid w:val="00E6302B"/>
    <w:rsid w:val="00E6452F"/>
    <w:rsid w:val="00E64619"/>
    <w:rsid w:val="00E64F45"/>
    <w:rsid w:val="00E6530D"/>
    <w:rsid w:val="00E6742D"/>
    <w:rsid w:val="00E71CB0"/>
    <w:rsid w:val="00E71FD5"/>
    <w:rsid w:val="00E73529"/>
    <w:rsid w:val="00E76DED"/>
    <w:rsid w:val="00E77C3D"/>
    <w:rsid w:val="00E82E22"/>
    <w:rsid w:val="00E850FE"/>
    <w:rsid w:val="00E909F0"/>
    <w:rsid w:val="00E90D47"/>
    <w:rsid w:val="00E93993"/>
    <w:rsid w:val="00E9597C"/>
    <w:rsid w:val="00EA0913"/>
    <w:rsid w:val="00EA0A2F"/>
    <w:rsid w:val="00EA2EB3"/>
    <w:rsid w:val="00EA6D31"/>
    <w:rsid w:val="00EB146B"/>
    <w:rsid w:val="00EB36E1"/>
    <w:rsid w:val="00EB45AC"/>
    <w:rsid w:val="00EC06EF"/>
    <w:rsid w:val="00EC2AEA"/>
    <w:rsid w:val="00EC6675"/>
    <w:rsid w:val="00EC71AC"/>
    <w:rsid w:val="00EC75E6"/>
    <w:rsid w:val="00EC7B11"/>
    <w:rsid w:val="00EC7F95"/>
    <w:rsid w:val="00ED0BC4"/>
    <w:rsid w:val="00ED1D40"/>
    <w:rsid w:val="00ED2AEF"/>
    <w:rsid w:val="00ED3771"/>
    <w:rsid w:val="00ED4AB7"/>
    <w:rsid w:val="00ED62DB"/>
    <w:rsid w:val="00ED6A32"/>
    <w:rsid w:val="00EE31E5"/>
    <w:rsid w:val="00EE35AF"/>
    <w:rsid w:val="00EE4971"/>
    <w:rsid w:val="00EF090E"/>
    <w:rsid w:val="00F033DA"/>
    <w:rsid w:val="00F05CD7"/>
    <w:rsid w:val="00F11AAB"/>
    <w:rsid w:val="00F13FB1"/>
    <w:rsid w:val="00F17BC1"/>
    <w:rsid w:val="00F17C87"/>
    <w:rsid w:val="00F20272"/>
    <w:rsid w:val="00F223E7"/>
    <w:rsid w:val="00F2288D"/>
    <w:rsid w:val="00F22B0C"/>
    <w:rsid w:val="00F23CA0"/>
    <w:rsid w:val="00F25779"/>
    <w:rsid w:val="00F2696B"/>
    <w:rsid w:val="00F2750A"/>
    <w:rsid w:val="00F27CD8"/>
    <w:rsid w:val="00F30351"/>
    <w:rsid w:val="00F3323E"/>
    <w:rsid w:val="00F341F4"/>
    <w:rsid w:val="00F34F9D"/>
    <w:rsid w:val="00F35CCE"/>
    <w:rsid w:val="00F37F11"/>
    <w:rsid w:val="00F4307A"/>
    <w:rsid w:val="00F473BA"/>
    <w:rsid w:val="00F50B69"/>
    <w:rsid w:val="00F53E9D"/>
    <w:rsid w:val="00F55241"/>
    <w:rsid w:val="00F5524B"/>
    <w:rsid w:val="00F55DCB"/>
    <w:rsid w:val="00F56E59"/>
    <w:rsid w:val="00F60538"/>
    <w:rsid w:val="00F61DD2"/>
    <w:rsid w:val="00F632E8"/>
    <w:rsid w:val="00F6523A"/>
    <w:rsid w:val="00F66AFF"/>
    <w:rsid w:val="00F71433"/>
    <w:rsid w:val="00F7241A"/>
    <w:rsid w:val="00F72FA8"/>
    <w:rsid w:val="00F7395F"/>
    <w:rsid w:val="00F83E76"/>
    <w:rsid w:val="00F86CCC"/>
    <w:rsid w:val="00F87BEA"/>
    <w:rsid w:val="00F90A57"/>
    <w:rsid w:val="00F9224F"/>
    <w:rsid w:val="00F930E3"/>
    <w:rsid w:val="00F97C5B"/>
    <w:rsid w:val="00FA05D2"/>
    <w:rsid w:val="00FA359A"/>
    <w:rsid w:val="00FA3D50"/>
    <w:rsid w:val="00FA50DC"/>
    <w:rsid w:val="00FA5EBD"/>
    <w:rsid w:val="00FA633B"/>
    <w:rsid w:val="00FA79AB"/>
    <w:rsid w:val="00FB009F"/>
    <w:rsid w:val="00FB25B0"/>
    <w:rsid w:val="00FB49E8"/>
    <w:rsid w:val="00FB5070"/>
    <w:rsid w:val="00FB6136"/>
    <w:rsid w:val="00FC0C26"/>
    <w:rsid w:val="00FC374A"/>
    <w:rsid w:val="00FC42B9"/>
    <w:rsid w:val="00FC631F"/>
    <w:rsid w:val="00FC6A86"/>
    <w:rsid w:val="00FC7B47"/>
    <w:rsid w:val="00FD035C"/>
    <w:rsid w:val="00FD1408"/>
    <w:rsid w:val="00FD1A35"/>
    <w:rsid w:val="00FD1FE6"/>
    <w:rsid w:val="00FD20BB"/>
    <w:rsid w:val="00FD2AA1"/>
    <w:rsid w:val="00FD36C5"/>
    <w:rsid w:val="00FD428C"/>
    <w:rsid w:val="00FD6310"/>
    <w:rsid w:val="00FD7C7B"/>
    <w:rsid w:val="00FD7FD0"/>
    <w:rsid w:val="00FE1D12"/>
    <w:rsid w:val="00FE2122"/>
    <w:rsid w:val="00FE25A8"/>
    <w:rsid w:val="00FE2A86"/>
    <w:rsid w:val="00FF296F"/>
    <w:rsid w:val="00FF3111"/>
    <w:rsid w:val="00FF3741"/>
    <w:rsid w:val="00FF50F0"/>
    <w:rsid w:val="00FF5DDD"/>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74540069">
      <w:bodyDiv w:val="1"/>
      <w:marLeft w:val="0"/>
      <w:marRight w:val="0"/>
      <w:marTop w:val="0"/>
      <w:marBottom w:val="0"/>
      <w:divBdr>
        <w:top w:val="none" w:sz="0" w:space="0" w:color="auto"/>
        <w:left w:val="none" w:sz="0" w:space="0" w:color="auto"/>
        <w:bottom w:val="none" w:sz="0" w:space="0" w:color="auto"/>
        <w:right w:val="none" w:sz="0" w:space="0" w:color="auto"/>
      </w:divBdr>
    </w:div>
    <w:div w:id="192086646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38695</TotalTime>
  <Pages>22</Pages>
  <Words>9000</Words>
  <Characters>51305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Khadine Moodie</cp:lastModifiedBy>
  <cp:revision>377</cp:revision>
  <cp:lastPrinted>2019-08-27T05:42:00Z</cp:lastPrinted>
  <dcterms:created xsi:type="dcterms:W3CDTF">2023-01-10T11:32:00Z</dcterms:created>
  <dcterms:modified xsi:type="dcterms:W3CDTF">2023-02-21T11:35:00Z</dcterms:modified>
</cp:coreProperties>
</file>