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DB6D3C" w:rsidRDefault="00D66F96" w:rsidP="005B7C95">
      <w:pPr>
        <w:pStyle w:val="ListParagraph"/>
        <w:numPr>
          <w:ilvl w:val="0"/>
          <w:numId w:val="26"/>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DB6D3C"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DB6D3C">
        <w:rPr>
          <w:rFonts w:ascii="Avenir Next" w:hAnsi="Avenir Next" w:cs="Arial"/>
          <w:iCs/>
          <w:sz w:val="22"/>
          <w:szCs w:val="22"/>
          <w:highlight w:val="yellow"/>
          <w:lang w:val="en-GB"/>
        </w:rPr>
        <w:t>t</w:t>
      </w:r>
      <w:r w:rsidR="00302D76" w:rsidRPr="00DB6D3C">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DB6D3C"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DB6D3C">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DB6D3C" w:rsidRDefault="00971896" w:rsidP="003C4BCB">
      <w:pPr>
        <w:pStyle w:val="ListParagraph"/>
        <w:numPr>
          <w:ilvl w:val="0"/>
          <w:numId w:val="5"/>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DB6D3C">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DB6D3C">
        <w:rPr>
          <w:rFonts w:ascii="Avenir Next" w:hAnsi="Avenir Next" w:cs="Arial"/>
          <w:sz w:val="22"/>
          <w:szCs w:val="22"/>
          <w:highlight w:val="yellow"/>
          <w:lang w:val="en-GB"/>
        </w:rPr>
        <w:t>Article 31 EIR Recast (“</w:t>
      </w:r>
      <w:r w:rsidRPr="00DB6D3C">
        <w:rPr>
          <w:rFonts w:ascii="Avenir Next" w:hAnsi="Avenir Next" w:cs="Arial"/>
          <w:bCs/>
          <w:sz w:val="22"/>
          <w:szCs w:val="22"/>
          <w:highlight w:val="yellow"/>
          <w:lang w:val="en-GB"/>
        </w:rPr>
        <w:t>Honouring of an obligation to a debtor”</w:t>
      </w:r>
      <w:r w:rsidRPr="00DB6D3C">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DB6D3C" w:rsidRDefault="00CA7069" w:rsidP="003C4BCB">
      <w:pPr>
        <w:pStyle w:val="ListParagraph"/>
        <w:numPr>
          <w:ilvl w:val="0"/>
          <w:numId w:val="7"/>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 xml:space="preserve">Each Member State will define </w:t>
      </w:r>
      <w:r w:rsidR="001A68CC" w:rsidRPr="00DB6D3C">
        <w:rPr>
          <w:rFonts w:ascii="Avenir Next" w:hAnsi="Avenir Next" w:cs="Arial"/>
          <w:sz w:val="22"/>
          <w:szCs w:val="22"/>
          <w:highlight w:val="yellow"/>
          <w:lang w:val="en-GB"/>
        </w:rPr>
        <w:t>“</w:t>
      </w:r>
      <w:r w:rsidRPr="00DB6D3C">
        <w:rPr>
          <w:rFonts w:ascii="Avenir Next" w:hAnsi="Avenir Next" w:cs="Arial"/>
          <w:sz w:val="22"/>
          <w:szCs w:val="22"/>
          <w:highlight w:val="yellow"/>
          <w:lang w:val="en-GB"/>
        </w:rPr>
        <w:t>insolvency</w:t>
      </w:r>
      <w:r w:rsidR="001A68CC" w:rsidRPr="00DB6D3C">
        <w:rPr>
          <w:rFonts w:ascii="Avenir Next" w:hAnsi="Avenir Next" w:cs="Arial"/>
          <w:sz w:val="22"/>
          <w:szCs w:val="22"/>
          <w:highlight w:val="yellow"/>
          <w:lang w:val="en-GB"/>
        </w:rPr>
        <w:t>”</w:t>
      </w:r>
      <w:r w:rsidRPr="00DB6D3C">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DB6D3C" w:rsidRDefault="00CA7069" w:rsidP="00CA7069">
      <w:pPr>
        <w:pStyle w:val="ListParagraph"/>
        <w:numPr>
          <w:ilvl w:val="0"/>
          <w:numId w:val="8"/>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DB6D3C" w:rsidRDefault="00C15FA2" w:rsidP="008E3C96">
      <w:pPr>
        <w:pStyle w:val="ListParagraph"/>
        <w:numPr>
          <w:ilvl w:val="0"/>
          <w:numId w:val="29"/>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DB6D3C" w:rsidRDefault="00EC242E" w:rsidP="008E3C96">
      <w:pPr>
        <w:pStyle w:val="ListParagraph"/>
        <w:numPr>
          <w:ilvl w:val="0"/>
          <w:numId w:val="30"/>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DB6D3C" w:rsidRDefault="00054E15" w:rsidP="00054E15">
      <w:pPr>
        <w:pStyle w:val="ListParagraph"/>
        <w:numPr>
          <w:ilvl w:val="0"/>
          <w:numId w:val="9"/>
        </w:numPr>
        <w:ind w:left="426"/>
        <w:jc w:val="both"/>
        <w:rPr>
          <w:rFonts w:ascii="Avenir Next" w:hAnsi="Avenir Next" w:cs="Arial"/>
          <w:sz w:val="22"/>
          <w:szCs w:val="22"/>
          <w:highlight w:val="yellow"/>
          <w:lang w:val="en-GB"/>
        </w:rPr>
      </w:pPr>
      <w:r w:rsidRPr="00DB6D3C">
        <w:rPr>
          <w:rFonts w:ascii="Avenir Next" w:hAnsi="Avenir Next" w:cs="Arial"/>
          <w:sz w:val="22"/>
          <w:szCs w:val="22"/>
          <w:highlight w:val="yellow"/>
          <w:lang w:val="en-GB"/>
        </w:rPr>
        <w:t xml:space="preserve">The contested payments </w:t>
      </w:r>
      <w:r w:rsidR="00FC235E" w:rsidRPr="00DB6D3C">
        <w:rPr>
          <w:rFonts w:ascii="Avenir Next" w:hAnsi="Avenir Next" w:cs="Arial"/>
          <w:sz w:val="22"/>
          <w:szCs w:val="22"/>
          <w:highlight w:val="yellow"/>
          <w:lang w:val="en-GB"/>
        </w:rPr>
        <w:t>will</w:t>
      </w:r>
      <w:r w:rsidRPr="00DB6D3C">
        <w:rPr>
          <w:rFonts w:ascii="Avenir Next" w:hAnsi="Avenir Next" w:cs="Arial"/>
          <w:sz w:val="22"/>
          <w:szCs w:val="22"/>
          <w:highlight w:val="yellow"/>
          <w:lang w:val="en-GB"/>
        </w:rPr>
        <w:t xml:space="preserve"> not be avoided if </w:t>
      </w:r>
      <w:proofErr w:type="spellStart"/>
      <w:r w:rsidRPr="00DB6D3C">
        <w:rPr>
          <w:rFonts w:ascii="Avenir Next" w:hAnsi="Avenir Next" w:cs="Arial"/>
          <w:sz w:val="22"/>
          <w:szCs w:val="22"/>
          <w:highlight w:val="yellow"/>
          <w:lang w:val="en-GB"/>
        </w:rPr>
        <w:t>Canetier</w:t>
      </w:r>
      <w:proofErr w:type="spellEnd"/>
      <w:r w:rsidRPr="00DB6D3C">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1636BDCA" w:rsidR="00636C15" w:rsidRDefault="00636C15" w:rsidP="00636C15">
      <w:pPr>
        <w:ind w:left="720" w:hanging="720"/>
        <w:jc w:val="both"/>
        <w:rPr>
          <w:rFonts w:ascii="Avenir Next" w:hAnsi="Avenir Next" w:cs="Arial"/>
          <w:sz w:val="22"/>
          <w:szCs w:val="22"/>
        </w:rPr>
      </w:pPr>
    </w:p>
    <w:p w14:paraId="4D1BA12F" w14:textId="319C5D37" w:rsidR="00DB6D3C" w:rsidRPr="009C320F" w:rsidRDefault="00DB6D3C" w:rsidP="00636C15">
      <w:pPr>
        <w:ind w:left="720" w:hanging="720"/>
        <w:jc w:val="both"/>
        <w:rPr>
          <w:rFonts w:ascii="Arial" w:hAnsi="Arial" w:cs="Arial"/>
          <w:i/>
          <w:iCs/>
          <w:sz w:val="22"/>
          <w:szCs w:val="22"/>
        </w:rPr>
      </w:pPr>
      <w:r w:rsidRPr="009C320F">
        <w:rPr>
          <w:rFonts w:ascii="Arial" w:hAnsi="Arial" w:cs="Arial"/>
          <w:i/>
          <w:iCs/>
          <w:sz w:val="22"/>
          <w:szCs w:val="22"/>
        </w:rPr>
        <w:t>Statement 1</w:t>
      </w:r>
    </w:p>
    <w:p w14:paraId="73950BB2" w14:textId="6951A684" w:rsidR="00DB6D3C" w:rsidRPr="009C320F" w:rsidRDefault="00DB6D3C" w:rsidP="00DB6D3C">
      <w:pPr>
        <w:rPr>
          <w:rFonts w:ascii="Arial" w:hAnsi="Arial" w:cs="Arial"/>
          <w:sz w:val="22"/>
          <w:szCs w:val="22"/>
        </w:rPr>
      </w:pPr>
      <w:r w:rsidRPr="009C320F">
        <w:rPr>
          <w:rFonts w:ascii="Arial" w:hAnsi="Arial" w:cs="Arial"/>
          <w:sz w:val="22"/>
          <w:szCs w:val="22"/>
        </w:rPr>
        <w:t xml:space="preserve">This statement deals with the 'centre of main interest' (COMI) presumption and its rebuttal. </w:t>
      </w:r>
    </w:p>
    <w:p w14:paraId="7C6E060B" w14:textId="77777777" w:rsidR="00EB70FE" w:rsidRPr="009C320F" w:rsidRDefault="00EB70FE" w:rsidP="00DB6D3C">
      <w:pPr>
        <w:rPr>
          <w:rFonts w:ascii="Arial" w:hAnsi="Arial" w:cs="Arial"/>
          <w:sz w:val="22"/>
          <w:szCs w:val="22"/>
        </w:rPr>
      </w:pPr>
    </w:p>
    <w:p w14:paraId="37EEAF04" w14:textId="4192CA4F" w:rsidR="00DB6D3C" w:rsidRPr="009C320F" w:rsidRDefault="00DB6D3C" w:rsidP="00DB6D3C">
      <w:pPr>
        <w:rPr>
          <w:rFonts w:ascii="Arial" w:hAnsi="Arial" w:cs="Arial"/>
          <w:sz w:val="22"/>
          <w:szCs w:val="22"/>
        </w:rPr>
      </w:pPr>
      <w:r w:rsidRPr="009C320F">
        <w:rPr>
          <w:rFonts w:ascii="Arial" w:hAnsi="Arial" w:cs="Arial"/>
          <w:sz w:val="22"/>
          <w:szCs w:val="22"/>
        </w:rPr>
        <w:t>Article 3(1) of the EIR Recast states that in the case of a company or legal person, the place of the registered office shall be presumed to be the place of the debtor's COMI.</w:t>
      </w:r>
      <w:r w:rsidRPr="009C320F">
        <w:rPr>
          <w:rStyle w:val="FootnoteReference"/>
          <w:rFonts w:ascii="Arial" w:hAnsi="Arial" w:cs="Arial"/>
          <w:sz w:val="22"/>
          <w:szCs w:val="22"/>
        </w:rPr>
        <w:footnoteReference w:id="1"/>
      </w:r>
      <w:r w:rsidRPr="009C320F">
        <w:rPr>
          <w:rFonts w:ascii="Arial" w:hAnsi="Arial" w:cs="Arial"/>
          <w:sz w:val="22"/>
          <w:szCs w:val="22"/>
        </w:rPr>
        <w:t xml:space="preserve"> Article 3(1) further states that in the case of a company or legal person, the presumption shall only apply if the registered office </w:t>
      </w:r>
      <w:r w:rsidR="00E07153">
        <w:rPr>
          <w:rFonts w:ascii="Arial" w:hAnsi="Arial" w:cs="Arial"/>
          <w:sz w:val="22"/>
          <w:szCs w:val="22"/>
        </w:rPr>
        <w:t>h</w:t>
      </w:r>
      <w:r w:rsidRPr="009C320F">
        <w:rPr>
          <w:rFonts w:ascii="Arial" w:hAnsi="Arial" w:cs="Arial"/>
          <w:sz w:val="22"/>
          <w:szCs w:val="22"/>
        </w:rPr>
        <w:t>as not been moved to another Member State within the 3-month period prior to the request for the opening of insolvency proceedings.</w:t>
      </w:r>
    </w:p>
    <w:p w14:paraId="5ABCEFF6" w14:textId="77777777" w:rsidR="00DB6D3C" w:rsidRPr="009C320F" w:rsidRDefault="00DB6D3C" w:rsidP="00DB6D3C">
      <w:pPr>
        <w:rPr>
          <w:rFonts w:ascii="Arial" w:hAnsi="Arial" w:cs="Arial"/>
          <w:sz w:val="22"/>
          <w:szCs w:val="22"/>
        </w:rPr>
      </w:pPr>
      <w:r w:rsidRPr="009C320F">
        <w:rPr>
          <w:rFonts w:ascii="Arial" w:hAnsi="Arial" w:cs="Arial"/>
          <w:sz w:val="22"/>
          <w:szCs w:val="22"/>
        </w:rPr>
        <w:t xml:space="preserve">As a result of the CJEU case of </w:t>
      </w:r>
      <w:r w:rsidRPr="009C320F">
        <w:rPr>
          <w:rFonts w:ascii="Arial" w:hAnsi="Arial" w:cs="Arial"/>
          <w:i/>
          <w:iCs/>
          <w:sz w:val="22"/>
          <w:szCs w:val="22"/>
        </w:rPr>
        <w:t>Interedil Srl v Fallimento Interedil Srl,</w:t>
      </w:r>
      <w:r w:rsidRPr="009C320F">
        <w:rPr>
          <w:rStyle w:val="FootnoteReference"/>
          <w:rFonts w:ascii="Arial" w:hAnsi="Arial" w:cs="Arial"/>
          <w:i/>
          <w:iCs/>
          <w:sz w:val="22"/>
          <w:szCs w:val="22"/>
        </w:rPr>
        <w:footnoteReference w:id="2"/>
      </w:r>
      <w:r w:rsidRPr="009C320F">
        <w:rPr>
          <w:rFonts w:ascii="Arial" w:hAnsi="Arial" w:cs="Arial"/>
          <w:sz w:val="22"/>
          <w:szCs w:val="22"/>
        </w:rPr>
        <w:t xml:space="preserve"> the EIR Recast includes Recital 30, which repeats the guidance given by the CJEU in that case, and states that the COMI presumption should be rebuttable, so long as from the viewpoint of third parties, the place in which the company's central administration (meaning the actual centre of management and supervision, and of the management of its interests) is located, does not coincide with the jurisdiction of its registered office.</w:t>
      </w:r>
      <w:r w:rsidRPr="009C320F">
        <w:rPr>
          <w:rStyle w:val="FootnoteReference"/>
          <w:rFonts w:ascii="Arial" w:hAnsi="Arial" w:cs="Arial"/>
          <w:sz w:val="22"/>
          <w:szCs w:val="22"/>
        </w:rPr>
        <w:footnoteReference w:id="3"/>
      </w:r>
      <w:r w:rsidRPr="009C320F">
        <w:rPr>
          <w:rFonts w:ascii="Arial" w:hAnsi="Arial" w:cs="Arial"/>
          <w:sz w:val="22"/>
          <w:szCs w:val="22"/>
        </w:rPr>
        <w:t xml:space="preserve"> However, this will require a comprehensive assessment of all the relevant facts.</w:t>
      </w:r>
      <w:r w:rsidRPr="009C320F">
        <w:rPr>
          <w:rStyle w:val="FootnoteReference"/>
          <w:rFonts w:ascii="Arial" w:hAnsi="Arial" w:cs="Arial"/>
          <w:sz w:val="22"/>
          <w:szCs w:val="22"/>
        </w:rPr>
        <w:footnoteReference w:id="4"/>
      </w:r>
    </w:p>
    <w:p w14:paraId="22C610C9" w14:textId="5A818301" w:rsidR="00DE03AF" w:rsidRPr="009C320F" w:rsidRDefault="00DE03AF" w:rsidP="002A37BB">
      <w:pPr>
        <w:jc w:val="both"/>
        <w:rPr>
          <w:rFonts w:ascii="Arial" w:hAnsi="Arial" w:cs="Arial"/>
          <w:sz w:val="22"/>
          <w:szCs w:val="22"/>
        </w:rPr>
      </w:pPr>
    </w:p>
    <w:p w14:paraId="25EC6E35" w14:textId="0FF833F3" w:rsidR="00DB6D3C" w:rsidRPr="009C320F" w:rsidRDefault="00DB6D3C" w:rsidP="00DB6D3C">
      <w:pPr>
        <w:rPr>
          <w:rFonts w:ascii="Arial" w:hAnsi="Arial" w:cs="Arial"/>
          <w:i/>
          <w:iCs/>
          <w:sz w:val="22"/>
          <w:szCs w:val="22"/>
        </w:rPr>
      </w:pPr>
      <w:r w:rsidRPr="009C320F">
        <w:rPr>
          <w:rFonts w:ascii="Arial" w:hAnsi="Arial" w:cs="Arial"/>
          <w:i/>
          <w:iCs/>
          <w:sz w:val="22"/>
          <w:szCs w:val="22"/>
        </w:rPr>
        <w:t>Statement 2</w:t>
      </w:r>
    </w:p>
    <w:p w14:paraId="4AFA4C1C" w14:textId="23EACA03" w:rsidR="00DB6D3C" w:rsidRPr="009C320F" w:rsidRDefault="00DB6D3C" w:rsidP="00DB6D3C">
      <w:pPr>
        <w:rPr>
          <w:rFonts w:ascii="Arial" w:hAnsi="Arial" w:cs="Arial"/>
          <w:sz w:val="22"/>
          <w:szCs w:val="22"/>
        </w:rPr>
      </w:pPr>
      <w:r w:rsidRPr="009C320F">
        <w:rPr>
          <w:rFonts w:ascii="Arial" w:hAnsi="Arial" w:cs="Arial"/>
          <w:sz w:val="22"/>
          <w:szCs w:val="22"/>
        </w:rPr>
        <w:t xml:space="preserve">This statement deals with the concept of restructuring and rescuing stressed debtors under the EIR Recast. </w:t>
      </w:r>
    </w:p>
    <w:p w14:paraId="01548BDE" w14:textId="77777777" w:rsidR="00EB70FE" w:rsidRPr="009C320F" w:rsidRDefault="00EB70FE" w:rsidP="00DB6D3C">
      <w:pPr>
        <w:rPr>
          <w:rFonts w:ascii="Arial" w:hAnsi="Arial" w:cs="Arial"/>
          <w:sz w:val="22"/>
          <w:szCs w:val="22"/>
        </w:rPr>
      </w:pPr>
    </w:p>
    <w:p w14:paraId="7F46A3F6" w14:textId="77777777" w:rsidR="00DB6D3C" w:rsidRPr="009C320F" w:rsidRDefault="00DB6D3C" w:rsidP="00DB6D3C">
      <w:pPr>
        <w:rPr>
          <w:rFonts w:ascii="Arial" w:hAnsi="Arial" w:cs="Arial"/>
          <w:sz w:val="22"/>
          <w:szCs w:val="22"/>
        </w:rPr>
      </w:pPr>
      <w:r w:rsidRPr="009C320F">
        <w:rPr>
          <w:rFonts w:ascii="Arial" w:hAnsi="Arial" w:cs="Arial"/>
          <w:sz w:val="22"/>
          <w:szCs w:val="22"/>
        </w:rPr>
        <w:t>The scope of the EIR Recast is set out by Article 1. By way of summary, it states that the EIR Recast applies to proceedings which are based on the laws relating to insolvency. In particular, Article 1 states that proceedings may be commenced in situations where there is only a likelihood of insolvency, the purpose of which shall therefore be to avoid the debtor's insolvency.</w:t>
      </w:r>
      <w:r w:rsidRPr="009C320F">
        <w:rPr>
          <w:rStyle w:val="FootnoteReference"/>
          <w:rFonts w:ascii="Arial" w:hAnsi="Arial" w:cs="Arial"/>
          <w:sz w:val="22"/>
          <w:szCs w:val="22"/>
        </w:rPr>
        <w:footnoteReference w:id="5"/>
      </w:r>
    </w:p>
    <w:p w14:paraId="540D13BF" w14:textId="6E3188D9" w:rsidR="00DB6D3C" w:rsidRPr="009C320F" w:rsidRDefault="00DB6D3C" w:rsidP="00DB6D3C">
      <w:pPr>
        <w:rPr>
          <w:rFonts w:ascii="Arial" w:hAnsi="Arial" w:cs="Arial"/>
          <w:sz w:val="22"/>
          <w:szCs w:val="22"/>
        </w:rPr>
      </w:pPr>
      <w:r w:rsidRPr="009C320F">
        <w:rPr>
          <w:rFonts w:ascii="Arial" w:hAnsi="Arial" w:cs="Arial"/>
          <w:sz w:val="22"/>
          <w:szCs w:val="22"/>
        </w:rPr>
        <w:t xml:space="preserve">Recital 10 expands on this further by noting that the EIR Recast should extend to proceedings which promote the rescue of economically viable but distressed </w:t>
      </w:r>
      <w:r w:rsidR="00E07153" w:rsidRPr="009C320F">
        <w:rPr>
          <w:rFonts w:ascii="Arial" w:hAnsi="Arial" w:cs="Arial"/>
          <w:sz w:val="22"/>
          <w:szCs w:val="22"/>
        </w:rPr>
        <w:t>businesses and</w:t>
      </w:r>
      <w:r w:rsidRPr="009C320F">
        <w:rPr>
          <w:rFonts w:ascii="Arial" w:hAnsi="Arial" w:cs="Arial"/>
          <w:sz w:val="22"/>
          <w:szCs w:val="22"/>
        </w:rPr>
        <w:t xml:space="preserve"> extend to proceedings which provide for restructuring of a debtor at a stage where there is only a likelihood of insolvency.</w:t>
      </w:r>
      <w:r w:rsidRPr="009C320F">
        <w:rPr>
          <w:rStyle w:val="FootnoteReference"/>
          <w:rFonts w:ascii="Arial" w:hAnsi="Arial" w:cs="Arial"/>
          <w:sz w:val="22"/>
          <w:szCs w:val="22"/>
        </w:rPr>
        <w:footnoteReference w:id="6"/>
      </w:r>
      <w:r w:rsidRPr="009C320F">
        <w:rPr>
          <w:rFonts w:ascii="Arial" w:hAnsi="Arial" w:cs="Arial"/>
          <w:sz w:val="22"/>
          <w:szCs w:val="22"/>
        </w:rPr>
        <w:t xml:space="preserve"> </w:t>
      </w:r>
    </w:p>
    <w:p w14:paraId="358BB061" w14:textId="77777777" w:rsidR="00DB6D3C" w:rsidRPr="009C320F" w:rsidRDefault="00DB6D3C" w:rsidP="002A37BB">
      <w:pPr>
        <w:jc w:val="both"/>
        <w:rPr>
          <w:rFonts w:ascii="Arial" w:hAnsi="Arial"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506E2ADE" w14:textId="77777777" w:rsidR="00DB6D3C" w:rsidRPr="009C320F" w:rsidRDefault="00DB6D3C" w:rsidP="00DB6D3C">
      <w:pPr>
        <w:rPr>
          <w:rFonts w:ascii="Arial" w:hAnsi="Arial" w:cs="Arial"/>
          <w:sz w:val="22"/>
          <w:szCs w:val="22"/>
        </w:rPr>
      </w:pPr>
      <w:r w:rsidRPr="009C320F">
        <w:rPr>
          <w:rFonts w:ascii="Arial" w:hAnsi="Arial" w:cs="Arial"/>
          <w:sz w:val="22"/>
          <w:szCs w:val="22"/>
        </w:rPr>
        <w:t>Some examples of provisions from the EIR Recast which highlight the modified universalism approach are:</w:t>
      </w:r>
    </w:p>
    <w:p w14:paraId="2D6F7698" w14:textId="77777777" w:rsidR="00DB6D3C" w:rsidRPr="009C320F" w:rsidRDefault="00DB6D3C" w:rsidP="00DB6D3C">
      <w:pPr>
        <w:pStyle w:val="ListParagraph"/>
        <w:numPr>
          <w:ilvl w:val="0"/>
          <w:numId w:val="31"/>
        </w:numPr>
        <w:spacing w:before="120" w:after="120"/>
        <w:contextualSpacing w:val="0"/>
        <w:rPr>
          <w:rFonts w:ascii="Arial" w:hAnsi="Arial" w:cs="Arial"/>
          <w:sz w:val="22"/>
          <w:szCs w:val="22"/>
        </w:rPr>
      </w:pPr>
      <w:r w:rsidRPr="009C320F">
        <w:rPr>
          <w:rFonts w:ascii="Arial" w:hAnsi="Arial" w:cs="Arial"/>
          <w:sz w:val="22"/>
          <w:szCs w:val="22"/>
        </w:rPr>
        <w:lastRenderedPageBreak/>
        <w:t>Article 3(2), which allows for the opening of one or more secondary insolvency proceedings against a debtor in any Member State where it possesses an establishment. The effects of those proceedings shall be restricted to the assets of the debtor situated in the territory of the latter Member State.</w:t>
      </w:r>
      <w:r w:rsidRPr="009C320F">
        <w:rPr>
          <w:rStyle w:val="FootnoteReference"/>
          <w:rFonts w:ascii="Arial" w:hAnsi="Arial" w:cs="Arial"/>
          <w:sz w:val="22"/>
          <w:szCs w:val="22"/>
        </w:rPr>
        <w:footnoteReference w:id="7"/>
      </w:r>
    </w:p>
    <w:p w14:paraId="282566EF" w14:textId="77777777" w:rsidR="00DB6D3C" w:rsidRPr="009C320F" w:rsidRDefault="00DB6D3C" w:rsidP="00DB6D3C">
      <w:pPr>
        <w:pStyle w:val="ListParagraph"/>
        <w:numPr>
          <w:ilvl w:val="0"/>
          <w:numId w:val="31"/>
        </w:numPr>
        <w:spacing w:before="120" w:after="120"/>
        <w:contextualSpacing w:val="0"/>
        <w:rPr>
          <w:rFonts w:ascii="Arial" w:hAnsi="Arial" w:cs="Arial"/>
          <w:i/>
          <w:iCs/>
          <w:sz w:val="22"/>
          <w:szCs w:val="22"/>
        </w:rPr>
      </w:pPr>
      <w:r w:rsidRPr="009C320F">
        <w:rPr>
          <w:rFonts w:ascii="Arial" w:hAnsi="Arial" w:cs="Arial"/>
          <w:sz w:val="22"/>
          <w:szCs w:val="22"/>
        </w:rPr>
        <w:t xml:space="preserve">Recital 23, which states that the EIR Recast permits </w:t>
      </w:r>
      <w:r w:rsidRPr="009C320F">
        <w:rPr>
          <w:rFonts w:ascii="Arial" w:hAnsi="Arial" w:cs="Arial"/>
          <w:i/>
          <w:iCs/>
          <w:sz w:val="22"/>
          <w:szCs w:val="22"/>
        </w:rPr>
        <w:t>"secondary insolvency proceedings to be opened to run in parallel with the main insolvency proceedings",</w:t>
      </w:r>
      <w:r w:rsidRPr="009C320F">
        <w:rPr>
          <w:rFonts w:ascii="Arial" w:hAnsi="Arial" w:cs="Arial"/>
          <w:sz w:val="22"/>
          <w:szCs w:val="22"/>
        </w:rPr>
        <w:t xml:space="preserve"> in order to </w:t>
      </w:r>
      <w:r w:rsidRPr="009C320F">
        <w:rPr>
          <w:rFonts w:ascii="Arial" w:hAnsi="Arial" w:cs="Arial"/>
          <w:i/>
          <w:iCs/>
          <w:sz w:val="22"/>
          <w:szCs w:val="22"/>
        </w:rPr>
        <w:t>"protect the diversity of interests".</w:t>
      </w:r>
      <w:r w:rsidRPr="009C320F">
        <w:rPr>
          <w:rStyle w:val="FootnoteReference"/>
          <w:rFonts w:ascii="Arial" w:hAnsi="Arial" w:cs="Arial"/>
          <w:i/>
          <w:iCs/>
          <w:sz w:val="22"/>
          <w:szCs w:val="22"/>
        </w:rPr>
        <w:footnoteReference w:id="8"/>
      </w:r>
      <w:r w:rsidRPr="009C320F">
        <w:rPr>
          <w:rFonts w:ascii="Arial" w:hAnsi="Arial" w:cs="Arial"/>
          <w:i/>
          <w:iCs/>
          <w:sz w:val="22"/>
          <w:szCs w:val="22"/>
        </w:rPr>
        <w:t xml:space="preserve"> </w:t>
      </w:r>
    </w:p>
    <w:p w14:paraId="3DEA9DC4" w14:textId="4B229E1F" w:rsidR="00DB6D3C" w:rsidRPr="009C320F" w:rsidRDefault="00DB6D3C" w:rsidP="00DB6D3C">
      <w:pPr>
        <w:pStyle w:val="ListParagraph"/>
        <w:numPr>
          <w:ilvl w:val="0"/>
          <w:numId w:val="31"/>
        </w:numPr>
        <w:spacing w:before="120" w:after="120"/>
        <w:contextualSpacing w:val="0"/>
        <w:rPr>
          <w:rFonts w:ascii="Arial" w:hAnsi="Arial" w:cs="Arial"/>
          <w:sz w:val="22"/>
          <w:szCs w:val="22"/>
        </w:rPr>
      </w:pPr>
      <w:r w:rsidRPr="009C320F">
        <w:rPr>
          <w:rFonts w:ascii="Arial" w:hAnsi="Arial" w:cs="Arial"/>
          <w:sz w:val="22"/>
          <w:szCs w:val="22"/>
        </w:rPr>
        <w:t xml:space="preserve">Article 19(2), which clarifies that the opening of secondary insolvency proceedings shall not be precluded by the fact that insolvency proceedings pursuant to Article 3 shall be </w:t>
      </w:r>
      <w:r w:rsidR="00E07153" w:rsidRPr="009C320F">
        <w:rPr>
          <w:rFonts w:ascii="Arial" w:hAnsi="Arial" w:cs="Arial"/>
          <w:sz w:val="22"/>
          <w:szCs w:val="22"/>
        </w:rPr>
        <w:t>recognized</w:t>
      </w:r>
      <w:r w:rsidRPr="009C320F">
        <w:rPr>
          <w:rFonts w:ascii="Arial" w:hAnsi="Arial" w:cs="Arial"/>
          <w:sz w:val="22"/>
          <w:szCs w:val="22"/>
        </w:rPr>
        <w:t xml:space="preserve"> in all Member States, this recognition being effective from the opening of those main proceedings.</w:t>
      </w:r>
      <w:r w:rsidRPr="009C320F">
        <w:rPr>
          <w:rStyle w:val="FootnoteReference"/>
          <w:rFonts w:ascii="Arial" w:hAnsi="Arial" w:cs="Arial"/>
          <w:sz w:val="22"/>
          <w:szCs w:val="22"/>
        </w:rPr>
        <w:footnoteReference w:id="9"/>
      </w:r>
    </w:p>
    <w:p w14:paraId="6CB331DB" w14:textId="77777777" w:rsidR="00DB6D3C" w:rsidRPr="009C320F" w:rsidRDefault="00DB6D3C" w:rsidP="00DB6D3C">
      <w:pPr>
        <w:pStyle w:val="ListParagraph"/>
        <w:numPr>
          <w:ilvl w:val="0"/>
          <w:numId w:val="31"/>
        </w:numPr>
        <w:spacing w:before="120" w:after="120"/>
        <w:contextualSpacing w:val="0"/>
        <w:rPr>
          <w:rFonts w:ascii="Arial" w:hAnsi="Arial" w:cs="Arial"/>
          <w:sz w:val="22"/>
          <w:szCs w:val="22"/>
        </w:rPr>
      </w:pPr>
      <w:r w:rsidRPr="009C320F">
        <w:rPr>
          <w:rFonts w:ascii="Arial" w:hAnsi="Arial" w:cs="Arial"/>
          <w:sz w:val="22"/>
          <w:szCs w:val="22"/>
        </w:rPr>
        <w:t>Article 45(1), which states that any creditor may lodge its claims in both the main and secondary insolvency proceeding.</w:t>
      </w:r>
      <w:r w:rsidRPr="009C320F">
        <w:rPr>
          <w:rStyle w:val="FootnoteReference"/>
          <w:rFonts w:ascii="Arial" w:hAnsi="Arial" w:cs="Arial"/>
          <w:sz w:val="22"/>
          <w:szCs w:val="22"/>
        </w:rPr>
        <w:footnoteReference w:id="10"/>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CBC3E0B" w14:textId="77777777" w:rsidR="00DB6D3C" w:rsidRPr="009C320F" w:rsidRDefault="00DB6D3C" w:rsidP="00DB6D3C">
      <w:pPr>
        <w:rPr>
          <w:rFonts w:ascii="Arial" w:hAnsi="Arial" w:cs="Arial"/>
          <w:sz w:val="22"/>
          <w:szCs w:val="22"/>
        </w:rPr>
      </w:pPr>
      <w:r w:rsidRPr="009C320F">
        <w:rPr>
          <w:rFonts w:ascii="Arial" w:hAnsi="Arial" w:cs="Arial"/>
          <w:sz w:val="22"/>
          <w:szCs w:val="22"/>
        </w:rPr>
        <w:t>Three provisions of the EIR Recast that deal with the obligation to co-operate are:</w:t>
      </w:r>
    </w:p>
    <w:p w14:paraId="0CA51486" w14:textId="77777777" w:rsidR="00DB6D3C" w:rsidRPr="009C320F" w:rsidRDefault="00DB6D3C" w:rsidP="00DB6D3C">
      <w:pPr>
        <w:pStyle w:val="ListParagraph"/>
        <w:numPr>
          <w:ilvl w:val="0"/>
          <w:numId w:val="32"/>
        </w:numPr>
        <w:spacing w:before="120" w:after="120"/>
        <w:contextualSpacing w:val="0"/>
        <w:rPr>
          <w:rFonts w:ascii="Arial" w:hAnsi="Arial" w:cs="Arial"/>
          <w:sz w:val="22"/>
          <w:szCs w:val="22"/>
        </w:rPr>
      </w:pPr>
      <w:r w:rsidRPr="009C320F">
        <w:rPr>
          <w:rFonts w:ascii="Arial" w:hAnsi="Arial" w:cs="Arial"/>
          <w:sz w:val="22"/>
          <w:szCs w:val="22"/>
        </w:rPr>
        <w:t>Article 41(1), which states that the insolvency practitioner in main insolvency proceedings and insolvency practitioner(s) in secondary proceedings concerning the same debtor shall co-operate with each other to the extent such cooperation is not incompatible with the rules applicable to the respective proceedings.</w:t>
      </w:r>
      <w:r w:rsidRPr="009C320F">
        <w:rPr>
          <w:rStyle w:val="FootnoteReference"/>
          <w:rFonts w:ascii="Arial" w:hAnsi="Arial" w:cs="Arial"/>
          <w:sz w:val="22"/>
          <w:szCs w:val="22"/>
        </w:rPr>
        <w:footnoteReference w:id="11"/>
      </w:r>
      <w:r w:rsidRPr="009C320F">
        <w:rPr>
          <w:rFonts w:ascii="Arial" w:hAnsi="Arial" w:cs="Arial"/>
          <w:sz w:val="22"/>
          <w:szCs w:val="22"/>
        </w:rPr>
        <w:t xml:space="preserve"> </w:t>
      </w:r>
    </w:p>
    <w:p w14:paraId="34111B24" w14:textId="78FFDDC5" w:rsidR="00DB6D3C" w:rsidRPr="009C320F" w:rsidRDefault="00DB6D3C" w:rsidP="00DB6D3C">
      <w:pPr>
        <w:pStyle w:val="ListParagraph"/>
        <w:numPr>
          <w:ilvl w:val="0"/>
          <w:numId w:val="32"/>
        </w:numPr>
        <w:spacing w:before="120" w:after="120"/>
        <w:contextualSpacing w:val="0"/>
        <w:rPr>
          <w:rFonts w:ascii="Arial" w:hAnsi="Arial" w:cs="Arial"/>
          <w:sz w:val="22"/>
          <w:szCs w:val="22"/>
        </w:rPr>
      </w:pPr>
      <w:r w:rsidRPr="009C320F">
        <w:rPr>
          <w:rFonts w:ascii="Arial" w:hAnsi="Arial" w:cs="Arial"/>
          <w:sz w:val="22"/>
          <w:szCs w:val="22"/>
        </w:rPr>
        <w:t>Article 42(1), which states that the court before which a request to open insolvency proceedings is pending, o</w:t>
      </w:r>
      <w:r w:rsidR="00E07153">
        <w:rPr>
          <w:rFonts w:ascii="Arial" w:hAnsi="Arial" w:cs="Arial"/>
          <w:sz w:val="22"/>
          <w:szCs w:val="22"/>
        </w:rPr>
        <w:t>r</w:t>
      </w:r>
      <w:r w:rsidRPr="009C320F">
        <w:rPr>
          <w:rFonts w:ascii="Arial" w:hAnsi="Arial" w:cs="Arial"/>
          <w:sz w:val="22"/>
          <w:szCs w:val="22"/>
        </w:rPr>
        <w:t xml:space="preserve"> which has opened such proceeding, must co-operate with any other court faced with the issue of opening insolvency proceedings or which has already opened such proceedings.</w:t>
      </w:r>
      <w:r w:rsidRPr="009C320F">
        <w:rPr>
          <w:rStyle w:val="FootnoteReference"/>
          <w:rFonts w:ascii="Arial" w:hAnsi="Arial" w:cs="Arial"/>
          <w:sz w:val="22"/>
          <w:szCs w:val="22"/>
        </w:rPr>
        <w:footnoteReference w:id="12"/>
      </w:r>
    </w:p>
    <w:p w14:paraId="0F4B1257" w14:textId="0AEBB78B" w:rsidR="00DB6D3C" w:rsidRPr="009C320F" w:rsidRDefault="00DB6D3C" w:rsidP="00DB6D3C">
      <w:pPr>
        <w:pStyle w:val="ListParagraph"/>
        <w:numPr>
          <w:ilvl w:val="0"/>
          <w:numId w:val="32"/>
        </w:numPr>
        <w:spacing w:before="120" w:after="120"/>
        <w:contextualSpacing w:val="0"/>
        <w:rPr>
          <w:rFonts w:ascii="Arial" w:hAnsi="Arial" w:cs="Arial"/>
          <w:sz w:val="22"/>
          <w:szCs w:val="22"/>
        </w:rPr>
      </w:pPr>
      <w:r w:rsidRPr="009C320F">
        <w:rPr>
          <w:rFonts w:ascii="Arial" w:hAnsi="Arial" w:cs="Arial"/>
          <w:sz w:val="22"/>
          <w:szCs w:val="22"/>
        </w:rPr>
        <w:t>Article 43 sets out co-operation obligations between insolvency practitioners and courts.</w:t>
      </w:r>
      <w:r w:rsidRPr="009C320F">
        <w:rPr>
          <w:rStyle w:val="FootnoteReference"/>
          <w:rFonts w:ascii="Arial" w:hAnsi="Arial" w:cs="Arial"/>
          <w:sz w:val="22"/>
          <w:szCs w:val="22"/>
        </w:rPr>
        <w:footnoteReference w:id="13"/>
      </w:r>
      <w:r w:rsidRPr="009C320F">
        <w:rPr>
          <w:rFonts w:ascii="Arial" w:hAnsi="Arial" w:cs="Arial"/>
          <w:sz w:val="22"/>
          <w:szCs w:val="22"/>
        </w:rPr>
        <w:t xml:space="preserve"> In particular, article 43(1) sets out that the obligation to co</w:t>
      </w:r>
      <w:r w:rsidR="00E07153">
        <w:rPr>
          <w:rFonts w:ascii="Arial" w:hAnsi="Arial" w:cs="Arial"/>
          <w:sz w:val="22"/>
          <w:szCs w:val="22"/>
        </w:rPr>
        <w:t>-</w:t>
      </w:r>
      <w:r w:rsidRPr="009C320F">
        <w:rPr>
          <w:rFonts w:ascii="Arial" w:hAnsi="Arial" w:cs="Arial"/>
          <w:sz w:val="22"/>
          <w:szCs w:val="22"/>
        </w:rPr>
        <w:t>operate arises in the following three situations, to the extent it is not incompatible with the rules applicable to each proceeding and does not entail any conflict of interest:</w:t>
      </w:r>
      <w:r w:rsidRPr="009C320F">
        <w:rPr>
          <w:rStyle w:val="FootnoteReference"/>
          <w:rFonts w:ascii="Arial" w:hAnsi="Arial" w:cs="Arial"/>
          <w:sz w:val="22"/>
          <w:szCs w:val="22"/>
        </w:rPr>
        <w:footnoteReference w:id="14"/>
      </w:r>
    </w:p>
    <w:p w14:paraId="4E0B5A6A" w14:textId="0FED1568" w:rsidR="00DB6D3C" w:rsidRPr="009C320F" w:rsidRDefault="00DB6D3C" w:rsidP="00DB6D3C">
      <w:pPr>
        <w:pStyle w:val="ListParagraph"/>
        <w:numPr>
          <w:ilvl w:val="1"/>
          <w:numId w:val="32"/>
        </w:numPr>
        <w:spacing w:before="120" w:after="120"/>
        <w:contextualSpacing w:val="0"/>
        <w:rPr>
          <w:rFonts w:ascii="Arial" w:hAnsi="Arial" w:cs="Arial"/>
          <w:sz w:val="22"/>
          <w:szCs w:val="22"/>
        </w:rPr>
      </w:pPr>
      <w:r w:rsidRPr="009C320F">
        <w:rPr>
          <w:rFonts w:ascii="Arial" w:hAnsi="Arial" w:cs="Arial"/>
          <w:sz w:val="22"/>
          <w:szCs w:val="22"/>
        </w:rPr>
        <w:t>An insolvency practitioner in main insolvency proceedings shall co</w:t>
      </w:r>
      <w:r w:rsidR="00E07153">
        <w:rPr>
          <w:rFonts w:ascii="Arial" w:hAnsi="Arial" w:cs="Arial"/>
          <w:sz w:val="22"/>
          <w:szCs w:val="22"/>
        </w:rPr>
        <w:t>-</w:t>
      </w:r>
      <w:r w:rsidRPr="009C320F">
        <w:rPr>
          <w:rFonts w:ascii="Arial" w:hAnsi="Arial" w:cs="Arial"/>
          <w:sz w:val="22"/>
          <w:szCs w:val="22"/>
        </w:rPr>
        <w:t>operate and communicate with any court before which a request to open secondary insolvency proceedings is pending or which has opened such proceedings;</w:t>
      </w:r>
    </w:p>
    <w:p w14:paraId="249860F0" w14:textId="155AFC51" w:rsidR="00DB6D3C" w:rsidRPr="009C320F" w:rsidRDefault="00DB6D3C" w:rsidP="00DB6D3C">
      <w:pPr>
        <w:pStyle w:val="ListParagraph"/>
        <w:numPr>
          <w:ilvl w:val="1"/>
          <w:numId w:val="32"/>
        </w:numPr>
        <w:spacing w:before="120" w:after="120"/>
        <w:contextualSpacing w:val="0"/>
        <w:rPr>
          <w:rFonts w:ascii="Arial" w:hAnsi="Arial" w:cs="Arial"/>
          <w:sz w:val="22"/>
          <w:szCs w:val="22"/>
        </w:rPr>
      </w:pPr>
      <w:r w:rsidRPr="009C320F">
        <w:rPr>
          <w:rFonts w:ascii="Arial" w:hAnsi="Arial" w:cs="Arial"/>
          <w:sz w:val="22"/>
          <w:szCs w:val="22"/>
        </w:rPr>
        <w:lastRenderedPageBreak/>
        <w:t>An insolvency practitioner in territorial or secondary insolvency proceedings shall co</w:t>
      </w:r>
      <w:r w:rsidR="00E07153">
        <w:rPr>
          <w:rFonts w:ascii="Arial" w:hAnsi="Arial" w:cs="Arial"/>
          <w:sz w:val="22"/>
          <w:szCs w:val="22"/>
        </w:rPr>
        <w:t>-</w:t>
      </w:r>
      <w:r w:rsidRPr="009C320F">
        <w:rPr>
          <w:rFonts w:ascii="Arial" w:hAnsi="Arial" w:cs="Arial"/>
          <w:sz w:val="22"/>
          <w:szCs w:val="22"/>
        </w:rPr>
        <w:t>operate and communicate with the court before which a request to open main insolvency proceedings is pending or which has opened such proceedings;</w:t>
      </w:r>
    </w:p>
    <w:p w14:paraId="04CB9528" w14:textId="0F34DFC2" w:rsidR="00DB6D3C" w:rsidRPr="009C320F" w:rsidRDefault="00DB6D3C" w:rsidP="00DB6D3C">
      <w:pPr>
        <w:pStyle w:val="ListParagraph"/>
        <w:numPr>
          <w:ilvl w:val="1"/>
          <w:numId w:val="32"/>
        </w:numPr>
        <w:spacing w:before="120" w:after="120"/>
        <w:contextualSpacing w:val="0"/>
        <w:rPr>
          <w:rFonts w:ascii="Arial" w:hAnsi="Arial" w:cs="Arial"/>
          <w:sz w:val="22"/>
          <w:szCs w:val="22"/>
        </w:rPr>
      </w:pPr>
      <w:r w:rsidRPr="009C320F">
        <w:rPr>
          <w:rFonts w:ascii="Arial" w:hAnsi="Arial" w:cs="Arial"/>
          <w:sz w:val="22"/>
          <w:szCs w:val="22"/>
        </w:rPr>
        <w:t>An insolvency practitioner in territorial or secondary insolvency proceedings shall co</w:t>
      </w:r>
      <w:r w:rsidR="00E07153">
        <w:rPr>
          <w:rFonts w:ascii="Arial" w:hAnsi="Arial" w:cs="Arial"/>
          <w:sz w:val="22"/>
          <w:szCs w:val="22"/>
        </w:rPr>
        <w:t>-</w:t>
      </w:r>
      <w:r w:rsidRPr="009C320F">
        <w:rPr>
          <w:rFonts w:ascii="Arial" w:hAnsi="Arial" w:cs="Arial"/>
          <w:sz w:val="22"/>
          <w:szCs w:val="22"/>
        </w:rPr>
        <w:t>operate and communicate with the court before which a request to open other territorial or secondary insolvency proceedings is pending o</w:t>
      </w:r>
      <w:r w:rsidR="00E07153">
        <w:rPr>
          <w:rFonts w:ascii="Arial" w:hAnsi="Arial" w:cs="Arial"/>
          <w:sz w:val="22"/>
          <w:szCs w:val="22"/>
        </w:rPr>
        <w:t>r</w:t>
      </w:r>
      <w:r w:rsidRPr="009C320F">
        <w:rPr>
          <w:rFonts w:ascii="Arial" w:hAnsi="Arial" w:cs="Arial"/>
          <w:sz w:val="22"/>
          <w:szCs w:val="22"/>
        </w:rPr>
        <w:t xml:space="preserve"> which has opened such proceedings.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50F5E8C6" w14:textId="77777777" w:rsidR="00DB6D3C" w:rsidRPr="009C320F" w:rsidRDefault="00DB6D3C" w:rsidP="00DB6D3C">
      <w:pPr>
        <w:rPr>
          <w:rFonts w:ascii="Arial" w:hAnsi="Arial" w:cs="Arial"/>
          <w:sz w:val="22"/>
          <w:szCs w:val="22"/>
        </w:rPr>
      </w:pPr>
      <w:r w:rsidRPr="009C320F">
        <w:rPr>
          <w:rFonts w:ascii="Arial" w:hAnsi="Arial" w:cs="Arial"/>
          <w:sz w:val="22"/>
          <w:szCs w:val="22"/>
        </w:rPr>
        <w:t>Two examples of instruments which avoid or otherwise control the opening, conduct, and closure of secondary proceedings are:</w:t>
      </w:r>
    </w:p>
    <w:p w14:paraId="04EFCC80" w14:textId="77777777" w:rsidR="00DB6D3C" w:rsidRPr="009C320F" w:rsidRDefault="00DB6D3C" w:rsidP="00DB6D3C">
      <w:pPr>
        <w:pStyle w:val="ListParagraph"/>
        <w:numPr>
          <w:ilvl w:val="0"/>
          <w:numId w:val="33"/>
        </w:numPr>
        <w:spacing w:before="120" w:after="120"/>
        <w:contextualSpacing w:val="0"/>
        <w:rPr>
          <w:rFonts w:ascii="Arial" w:hAnsi="Arial" w:cs="Arial"/>
          <w:sz w:val="22"/>
          <w:szCs w:val="22"/>
        </w:rPr>
      </w:pPr>
      <w:r w:rsidRPr="009C320F">
        <w:rPr>
          <w:rFonts w:ascii="Arial" w:hAnsi="Arial" w:cs="Arial"/>
          <w:sz w:val="22"/>
          <w:szCs w:val="22"/>
        </w:rPr>
        <w:t>Article 36, which states that in order to avoid the opening of secondary insolvency proceedings, the insolvency practitioner in the main insolvency proceedings may give a unilateral undertaking in respect of the assets located in the Member State in which secondary insolvency proceedings could be opened, that when distributing those assets or the proceeds received as a result of their realisation, he or she will comply with the distribution or priority rights under the national law that creditors would have if secondary insolvency proceedings were opened in that Member State.</w:t>
      </w:r>
      <w:r w:rsidRPr="009C320F">
        <w:rPr>
          <w:rStyle w:val="FootnoteReference"/>
          <w:rFonts w:ascii="Arial" w:hAnsi="Arial" w:cs="Arial"/>
          <w:sz w:val="22"/>
          <w:szCs w:val="22"/>
        </w:rPr>
        <w:footnoteReference w:id="15"/>
      </w:r>
      <w:r w:rsidRPr="009C320F">
        <w:rPr>
          <w:rFonts w:ascii="Arial" w:hAnsi="Arial" w:cs="Arial"/>
          <w:sz w:val="22"/>
          <w:szCs w:val="22"/>
        </w:rPr>
        <w:t xml:space="preserve"> Such undertaking must be:</w:t>
      </w:r>
      <w:r w:rsidRPr="009C320F">
        <w:rPr>
          <w:rStyle w:val="FootnoteReference"/>
          <w:rFonts w:ascii="Arial" w:hAnsi="Arial" w:cs="Arial"/>
          <w:sz w:val="22"/>
          <w:szCs w:val="22"/>
        </w:rPr>
        <w:footnoteReference w:id="16"/>
      </w:r>
    </w:p>
    <w:p w14:paraId="7E84F26F" w14:textId="77777777" w:rsidR="00DB6D3C" w:rsidRPr="009C320F" w:rsidRDefault="00DB6D3C" w:rsidP="00DB6D3C">
      <w:pPr>
        <w:pStyle w:val="ListParagraph"/>
        <w:numPr>
          <w:ilvl w:val="1"/>
          <w:numId w:val="33"/>
        </w:numPr>
        <w:spacing w:before="120" w:after="120"/>
        <w:contextualSpacing w:val="0"/>
        <w:rPr>
          <w:rFonts w:ascii="Arial" w:hAnsi="Arial" w:cs="Arial"/>
          <w:sz w:val="22"/>
          <w:szCs w:val="22"/>
        </w:rPr>
      </w:pPr>
      <w:r w:rsidRPr="009C320F">
        <w:rPr>
          <w:rFonts w:ascii="Arial" w:hAnsi="Arial" w:cs="Arial"/>
          <w:sz w:val="22"/>
          <w:szCs w:val="22"/>
        </w:rPr>
        <w:t>made in the official language of the Member State where secondary proceedings could have been opened;</w:t>
      </w:r>
    </w:p>
    <w:p w14:paraId="4D558568" w14:textId="77777777" w:rsidR="00DB6D3C" w:rsidRPr="009C320F" w:rsidRDefault="00DB6D3C" w:rsidP="00DB6D3C">
      <w:pPr>
        <w:pStyle w:val="ListParagraph"/>
        <w:numPr>
          <w:ilvl w:val="1"/>
          <w:numId w:val="33"/>
        </w:numPr>
        <w:spacing w:before="120" w:after="120"/>
        <w:contextualSpacing w:val="0"/>
        <w:rPr>
          <w:rFonts w:ascii="Arial" w:hAnsi="Arial" w:cs="Arial"/>
          <w:sz w:val="22"/>
          <w:szCs w:val="22"/>
        </w:rPr>
      </w:pPr>
      <w:r w:rsidRPr="009C320F">
        <w:rPr>
          <w:rFonts w:ascii="Arial" w:hAnsi="Arial" w:cs="Arial"/>
          <w:sz w:val="22"/>
          <w:szCs w:val="22"/>
        </w:rPr>
        <w:t>in writing;</w:t>
      </w:r>
    </w:p>
    <w:p w14:paraId="64EBD500" w14:textId="77777777" w:rsidR="00DB6D3C" w:rsidRPr="009C320F" w:rsidRDefault="00DB6D3C" w:rsidP="00DB6D3C">
      <w:pPr>
        <w:pStyle w:val="ListParagraph"/>
        <w:numPr>
          <w:ilvl w:val="1"/>
          <w:numId w:val="33"/>
        </w:numPr>
        <w:spacing w:before="120" w:after="120"/>
        <w:contextualSpacing w:val="0"/>
        <w:rPr>
          <w:rFonts w:ascii="Arial" w:hAnsi="Arial" w:cs="Arial"/>
          <w:sz w:val="22"/>
          <w:szCs w:val="22"/>
        </w:rPr>
      </w:pPr>
      <w:r w:rsidRPr="009C320F">
        <w:rPr>
          <w:rFonts w:ascii="Arial" w:hAnsi="Arial" w:cs="Arial"/>
          <w:sz w:val="22"/>
          <w:szCs w:val="22"/>
        </w:rPr>
        <w:t>in compliance with any other prerequisites relating to the form and approval requirements as to distributions (if dictated by the lex concursus of the main insolvency proceeding); and</w:t>
      </w:r>
    </w:p>
    <w:p w14:paraId="46574242" w14:textId="77777777" w:rsidR="00DB6D3C" w:rsidRPr="009C320F" w:rsidRDefault="00DB6D3C" w:rsidP="00DB6D3C">
      <w:pPr>
        <w:pStyle w:val="ListParagraph"/>
        <w:numPr>
          <w:ilvl w:val="1"/>
          <w:numId w:val="33"/>
        </w:numPr>
        <w:spacing w:before="120" w:after="120"/>
        <w:contextualSpacing w:val="0"/>
        <w:rPr>
          <w:rFonts w:ascii="Arial" w:hAnsi="Arial" w:cs="Arial"/>
          <w:sz w:val="22"/>
          <w:szCs w:val="22"/>
        </w:rPr>
      </w:pPr>
      <w:r w:rsidRPr="009C320F">
        <w:rPr>
          <w:rFonts w:ascii="Arial" w:hAnsi="Arial" w:cs="Arial"/>
          <w:sz w:val="22"/>
          <w:szCs w:val="22"/>
        </w:rPr>
        <w:t>be approved by known local creditors.</w:t>
      </w:r>
    </w:p>
    <w:p w14:paraId="1C95AEFA" w14:textId="77777777" w:rsidR="00DB6D3C" w:rsidRPr="009C320F" w:rsidRDefault="00DB6D3C" w:rsidP="00DB6D3C">
      <w:pPr>
        <w:pStyle w:val="ListParagraph"/>
        <w:numPr>
          <w:ilvl w:val="0"/>
          <w:numId w:val="33"/>
        </w:numPr>
        <w:spacing w:before="120" w:after="120"/>
        <w:contextualSpacing w:val="0"/>
        <w:rPr>
          <w:rFonts w:ascii="Arial" w:hAnsi="Arial" w:cs="Arial"/>
          <w:sz w:val="22"/>
          <w:szCs w:val="22"/>
        </w:rPr>
      </w:pPr>
      <w:r w:rsidRPr="009C320F">
        <w:rPr>
          <w:rFonts w:ascii="Arial" w:hAnsi="Arial" w:cs="Arial"/>
          <w:sz w:val="22"/>
          <w:szCs w:val="22"/>
        </w:rPr>
        <w:t>Article 38(3), under which a stay on the opening of secondary insolvency proceedings may be granted at the request of an insolvency practitioner, in circumstances where a temporary stay of individual enforcement proceedings has been granted in the main insolvency proceedings.</w:t>
      </w:r>
      <w:r w:rsidRPr="009C320F">
        <w:rPr>
          <w:rStyle w:val="FootnoteReference"/>
          <w:rFonts w:ascii="Arial" w:hAnsi="Arial" w:cs="Arial"/>
          <w:sz w:val="22"/>
          <w:szCs w:val="22"/>
        </w:rPr>
        <w:footnoteReference w:id="17"/>
      </w:r>
      <w:r w:rsidRPr="009C320F">
        <w:rPr>
          <w:rFonts w:ascii="Arial" w:hAnsi="Arial" w:cs="Arial"/>
          <w:sz w:val="22"/>
          <w:szCs w:val="22"/>
        </w:rPr>
        <w:t xml:space="preserve"> The purpose of the stay is to preserve the efficiency of the stay granted in the main insolvency proceeding.</w:t>
      </w:r>
      <w:r w:rsidRPr="009C320F">
        <w:rPr>
          <w:rStyle w:val="FootnoteReference"/>
          <w:rFonts w:ascii="Arial" w:hAnsi="Arial" w:cs="Arial"/>
          <w:sz w:val="22"/>
          <w:szCs w:val="22"/>
        </w:rPr>
        <w:footnoteReference w:id="18"/>
      </w:r>
      <w:r w:rsidRPr="009C320F">
        <w:rPr>
          <w:rFonts w:ascii="Arial" w:hAnsi="Arial" w:cs="Arial"/>
          <w:sz w:val="22"/>
          <w:szCs w:val="22"/>
        </w:rPr>
        <w:t xml:space="preserve"> The stay may be imposed for a period not exceeding three months and on condition that suitable measures are in place to protect the interests of local creditors.</w:t>
      </w:r>
      <w:r w:rsidRPr="009C320F">
        <w:rPr>
          <w:rStyle w:val="FootnoteReference"/>
          <w:rFonts w:ascii="Arial" w:hAnsi="Arial" w:cs="Arial"/>
          <w:sz w:val="22"/>
          <w:szCs w:val="22"/>
        </w:rPr>
        <w:footnoteReference w:id="19"/>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E56384A" w14:textId="7B87153D" w:rsidR="00EB70FE" w:rsidRPr="009C320F" w:rsidRDefault="00EB70FE" w:rsidP="00EB70FE">
      <w:pPr>
        <w:rPr>
          <w:rFonts w:ascii="Arial" w:hAnsi="Arial" w:cs="Arial"/>
          <w:sz w:val="22"/>
          <w:szCs w:val="22"/>
        </w:rPr>
      </w:pPr>
      <w:r w:rsidRPr="009C320F">
        <w:rPr>
          <w:rFonts w:ascii="Arial" w:hAnsi="Arial" w:cs="Arial"/>
          <w:sz w:val="22"/>
          <w:szCs w:val="22"/>
        </w:rPr>
        <w:t xml:space="preserve">Due to Article 46 </w:t>
      </w:r>
      <w:r w:rsidRPr="009C320F">
        <w:rPr>
          <w:rFonts w:ascii="Arial" w:hAnsi="Arial" w:cs="Arial"/>
          <w:sz w:val="22"/>
          <w:szCs w:val="22"/>
        </w:rPr>
        <w:t xml:space="preserve">of the </w:t>
      </w:r>
      <w:r w:rsidRPr="009C320F">
        <w:rPr>
          <w:rFonts w:ascii="Arial" w:hAnsi="Arial" w:cs="Arial"/>
          <w:sz w:val="22"/>
          <w:szCs w:val="22"/>
        </w:rPr>
        <w:t>EIR 2000, the European Commission had to present a report on the application of the EIR 2000 with a proposal for its adaptation no later than 1 June 2012.</w:t>
      </w:r>
      <w:r w:rsidRPr="009C320F">
        <w:rPr>
          <w:rStyle w:val="FootnoteReference"/>
          <w:rFonts w:ascii="Arial" w:hAnsi="Arial" w:cs="Arial"/>
          <w:sz w:val="22"/>
          <w:szCs w:val="22"/>
        </w:rPr>
        <w:footnoteReference w:id="20"/>
      </w:r>
      <w:r w:rsidRPr="009C320F">
        <w:rPr>
          <w:rFonts w:ascii="Arial" w:hAnsi="Arial" w:cs="Arial"/>
          <w:sz w:val="22"/>
          <w:szCs w:val="22"/>
        </w:rPr>
        <w:t xml:space="preserve"> </w:t>
      </w:r>
    </w:p>
    <w:p w14:paraId="3CBA2D26" w14:textId="77777777" w:rsidR="00EB70FE" w:rsidRPr="009C320F" w:rsidRDefault="00EB70FE" w:rsidP="00EB70FE">
      <w:pPr>
        <w:rPr>
          <w:rFonts w:ascii="Arial" w:hAnsi="Arial" w:cs="Arial"/>
          <w:sz w:val="22"/>
          <w:szCs w:val="22"/>
        </w:rPr>
      </w:pPr>
      <w:r w:rsidRPr="009C320F">
        <w:rPr>
          <w:rFonts w:ascii="Arial" w:hAnsi="Arial" w:cs="Arial"/>
          <w:sz w:val="22"/>
          <w:szCs w:val="22"/>
        </w:rPr>
        <w:t>Whilst the European Commission acknowledged the success of the EIR 2000, it had become clear that some provisions required adjustment, while other issues required entirely new rules.</w:t>
      </w:r>
      <w:r w:rsidRPr="009C320F">
        <w:rPr>
          <w:rStyle w:val="FootnoteReference"/>
          <w:rFonts w:ascii="Arial" w:hAnsi="Arial" w:cs="Arial"/>
          <w:sz w:val="22"/>
          <w:szCs w:val="22"/>
        </w:rPr>
        <w:footnoteReference w:id="21"/>
      </w:r>
    </w:p>
    <w:p w14:paraId="4D62E278" w14:textId="77777777" w:rsidR="00EB70FE" w:rsidRPr="009C320F" w:rsidRDefault="00EB70FE" w:rsidP="00EB70FE">
      <w:pPr>
        <w:rPr>
          <w:rFonts w:ascii="Arial" w:hAnsi="Arial" w:cs="Arial"/>
          <w:sz w:val="22"/>
          <w:szCs w:val="22"/>
        </w:rPr>
      </w:pPr>
      <w:r w:rsidRPr="009C320F">
        <w:rPr>
          <w:rFonts w:ascii="Arial" w:hAnsi="Arial" w:cs="Arial"/>
          <w:sz w:val="22"/>
          <w:szCs w:val="22"/>
        </w:rPr>
        <w:t>The main elements identified as needing revision were:</w:t>
      </w:r>
      <w:r w:rsidRPr="009C320F">
        <w:rPr>
          <w:rStyle w:val="FootnoteReference"/>
          <w:rFonts w:ascii="Arial" w:hAnsi="Arial" w:cs="Arial"/>
          <w:sz w:val="22"/>
          <w:szCs w:val="22"/>
        </w:rPr>
        <w:footnoteReference w:id="22"/>
      </w:r>
    </w:p>
    <w:p w14:paraId="6597035D" w14:textId="48D2D289" w:rsidR="00EB70FE" w:rsidRPr="009C320F" w:rsidRDefault="00EB70FE" w:rsidP="00EB70FE">
      <w:pPr>
        <w:pStyle w:val="ListParagraph"/>
        <w:numPr>
          <w:ilvl w:val="0"/>
          <w:numId w:val="34"/>
        </w:numPr>
        <w:spacing w:before="120" w:after="120"/>
        <w:contextualSpacing w:val="0"/>
        <w:rPr>
          <w:rFonts w:ascii="Arial" w:hAnsi="Arial" w:cs="Arial"/>
          <w:sz w:val="22"/>
          <w:szCs w:val="22"/>
        </w:rPr>
      </w:pPr>
      <w:r w:rsidRPr="009C320F">
        <w:rPr>
          <w:rFonts w:ascii="Arial" w:hAnsi="Arial" w:cs="Arial"/>
          <w:sz w:val="22"/>
          <w:szCs w:val="22"/>
        </w:rPr>
        <w:t xml:space="preserve">The EIR 2000's scope did not cover national procedures which provide for the restructuring of a company at a pre-insolvency stage or proceedings which leave the existing management in place. Furthermore, at the time of the reform process, a number of personal insolvency proceedings were outside </w:t>
      </w:r>
      <w:r w:rsidR="006D3027">
        <w:rPr>
          <w:rFonts w:ascii="Arial" w:hAnsi="Arial" w:cs="Arial"/>
          <w:sz w:val="22"/>
          <w:szCs w:val="22"/>
        </w:rPr>
        <w:t xml:space="preserve">the </w:t>
      </w:r>
      <w:r w:rsidRPr="009C320F">
        <w:rPr>
          <w:rFonts w:ascii="Arial" w:hAnsi="Arial" w:cs="Arial"/>
          <w:sz w:val="22"/>
          <w:szCs w:val="22"/>
        </w:rPr>
        <w:t xml:space="preserve">EIR 2000's scope. </w:t>
      </w:r>
    </w:p>
    <w:p w14:paraId="6D68E498" w14:textId="1B930F31" w:rsidR="00EB70FE" w:rsidRPr="009C320F" w:rsidRDefault="00EB70FE" w:rsidP="00EB70FE">
      <w:pPr>
        <w:pStyle w:val="ListParagraph"/>
        <w:numPr>
          <w:ilvl w:val="0"/>
          <w:numId w:val="34"/>
        </w:numPr>
        <w:spacing w:before="120" w:after="120"/>
        <w:contextualSpacing w:val="0"/>
        <w:rPr>
          <w:rFonts w:ascii="Arial" w:hAnsi="Arial" w:cs="Arial"/>
          <w:sz w:val="22"/>
          <w:szCs w:val="22"/>
        </w:rPr>
      </w:pPr>
      <w:r w:rsidRPr="009C320F">
        <w:rPr>
          <w:rFonts w:ascii="Arial" w:hAnsi="Arial" w:cs="Arial"/>
          <w:sz w:val="22"/>
          <w:szCs w:val="22"/>
        </w:rPr>
        <w:t xml:space="preserve">There are difficulties in determining which Member State is competent to open insolvency proceedings as there have been difficulties applying the concept of the debtor's COMI in practice. The EIR 2000 was also </w:t>
      </w:r>
      <w:r w:rsidRPr="009C320F">
        <w:rPr>
          <w:rFonts w:ascii="Arial" w:hAnsi="Arial" w:cs="Arial"/>
          <w:sz w:val="22"/>
          <w:szCs w:val="22"/>
        </w:rPr>
        <w:t>criticized</w:t>
      </w:r>
      <w:r w:rsidRPr="009C320F">
        <w:rPr>
          <w:rFonts w:ascii="Arial" w:hAnsi="Arial" w:cs="Arial"/>
          <w:sz w:val="22"/>
          <w:szCs w:val="22"/>
        </w:rPr>
        <w:t xml:space="preserve"> for allowing forum shopping by companies and natural persons through intentional COMI-relocation.</w:t>
      </w:r>
    </w:p>
    <w:p w14:paraId="6C1684F1" w14:textId="77777777" w:rsidR="00EB70FE" w:rsidRPr="009C320F" w:rsidRDefault="00EB70FE" w:rsidP="00EB70FE">
      <w:pPr>
        <w:pStyle w:val="ListParagraph"/>
        <w:numPr>
          <w:ilvl w:val="0"/>
          <w:numId w:val="34"/>
        </w:numPr>
        <w:spacing w:before="120" w:after="120"/>
        <w:contextualSpacing w:val="0"/>
        <w:rPr>
          <w:rFonts w:ascii="Arial" w:hAnsi="Arial" w:cs="Arial"/>
          <w:sz w:val="22"/>
          <w:szCs w:val="22"/>
        </w:rPr>
      </w:pPr>
      <w:r w:rsidRPr="009C320F">
        <w:rPr>
          <w:rFonts w:ascii="Arial" w:hAnsi="Arial" w:cs="Arial"/>
          <w:sz w:val="22"/>
          <w:szCs w:val="22"/>
        </w:rPr>
        <w:t>Secondary proceedings were seen as problematic due to the detrimental effect on the efficient administration of the debtor's estate. Given that under the EIR 2000, the liquidator in the main proceeding no longer had control over assets located in the other member state, the sale of the debtor on a going concern basis was made more difficult. In addition, secondary proceedings under the EIR 2000 were required to be winding-up proceedings, which was an obstacle to the successful restructuring of a debtor.</w:t>
      </w:r>
    </w:p>
    <w:p w14:paraId="36F6F6C8" w14:textId="77777777" w:rsidR="00EB70FE" w:rsidRPr="009C320F" w:rsidRDefault="00EB70FE" w:rsidP="00EB70FE">
      <w:pPr>
        <w:pStyle w:val="ListParagraph"/>
        <w:numPr>
          <w:ilvl w:val="0"/>
          <w:numId w:val="34"/>
        </w:numPr>
        <w:spacing w:before="120" w:after="120"/>
        <w:contextualSpacing w:val="0"/>
        <w:rPr>
          <w:rFonts w:ascii="Arial" w:hAnsi="Arial" w:cs="Arial"/>
          <w:sz w:val="22"/>
          <w:szCs w:val="22"/>
        </w:rPr>
      </w:pPr>
      <w:r w:rsidRPr="009C320F">
        <w:rPr>
          <w:rFonts w:ascii="Arial" w:hAnsi="Arial" w:cs="Arial"/>
          <w:sz w:val="22"/>
          <w:szCs w:val="22"/>
        </w:rPr>
        <w:t xml:space="preserve">There were issues relating to the rules on publicity of insolvency proceedings. Under the EIR 2000, there was no mandatory publication or registration of the decision in the Member States where a proceeding was opening, nor in Member States in which there was an establishment. There was also no European Insolvency Register, allowing for searches on several national registers. </w:t>
      </w:r>
    </w:p>
    <w:p w14:paraId="3B66196B" w14:textId="77777777" w:rsidR="00EB70FE" w:rsidRPr="009C320F" w:rsidRDefault="00EB70FE" w:rsidP="00EB70FE">
      <w:pPr>
        <w:pStyle w:val="ListParagraph"/>
        <w:numPr>
          <w:ilvl w:val="0"/>
          <w:numId w:val="34"/>
        </w:numPr>
        <w:spacing w:before="120" w:after="120"/>
        <w:contextualSpacing w:val="0"/>
        <w:rPr>
          <w:rFonts w:ascii="Arial" w:hAnsi="Arial" w:cs="Arial"/>
          <w:sz w:val="22"/>
          <w:szCs w:val="22"/>
        </w:rPr>
      </w:pPr>
      <w:r w:rsidRPr="009C320F">
        <w:rPr>
          <w:rFonts w:ascii="Arial" w:hAnsi="Arial" w:cs="Arial"/>
          <w:sz w:val="22"/>
          <w:szCs w:val="22"/>
        </w:rPr>
        <w:t xml:space="preserve">The EIR 2000 did not contain specific rules dealing with the insolvency of a multi-national enterprise group. Instead, the basic premise of EIR 2000 is that separate proceedings must be opened for each individual member of the group. Ultimately, this meant that these separate proceedings were independent from each other. This was seen as diminishing the prospects of successful restructuring of the group as a whole. </w:t>
      </w:r>
    </w:p>
    <w:p w14:paraId="56E9F1A4" w14:textId="77777777" w:rsidR="00EB70FE" w:rsidRPr="009C320F" w:rsidRDefault="00EB70FE" w:rsidP="00EB70FE">
      <w:pPr>
        <w:rPr>
          <w:rFonts w:ascii="Arial" w:hAnsi="Arial" w:cs="Arial"/>
          <w:sz w:val="22"/>
          <w:szCs w:val="22"/>
        </w:rPr>
      </w:pPr>
      <w:r w:rsidRPr="009C320F">
        <w:rPr>
          <w:rFonts w:ascii="Arial" w:hAnsi="Arial" w:cs="Arial"/>
          <w:sz w:val="22"/>
          <w:szCs w:val="22"/>
        </w:rPr>
        <w:lastRenderedPageBreak/>
        <w:t>Overall, the objective of the reform of the EIR 2000 was to improve the efficiency of the European framework for resolving cross-border insolvency cases in order to ensure a strong internal market and resilience in the face of economic crises.</w:t>
      </w:r>
      <w:r w:rsidRPr="009C320F">
        <w:rPr>
          <w:rStyle w:val="FootnoteReference"/>
          <w:rFonts w:ascii="Arial" w:hAnsi="Arial" w:cs="Arial"/>
          <w:sz w:val="22"/>
          <w:szCs w:val="22"/>
        </w:rPr>
        <w:footnoteReference w:id="23"/>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1415A947" w14:textId="542602DB" w:rsidR="00EB70FE" w:rsidRPr="009C320F" w:rsidRDefault="00EB70FE" w:rsidP="00EB70FE">
      <w:pPr>
        <w:rPr>
          <w:rFonts w:ascii="Arial" w:hAnsi="Arial" w:cs="Arial"/>
          <w:sz w:val="22"/>
          <w:szCs w:val="22"/>
        </w:rPr>
      </w:pPr>
      <w:r w:rsidRPr="009C320F">
        <w:rPr>
          <w:rFonts w:ascii="Arial" w:hAnsi="Arial" w:cs="Arial"/>
          <w:sz w:val="22"/>
          <w:szCs w:val="22"/>
        </w:rPr>
        <w:t>As a whole, the EIR Recast has, and continues to be, an improvement of the EIR 2000. One key weakness of the EIR 2000 was its lack of provisions dealing with insolvency of multinational enterprise groups.</w:t>
      </w:r>
      <w:r w:rsidRPr="009C320F">
        <w:rPr>
          <w:rStyle w:val="FootnoteReference"/>
          <w:rFonts w:ascii="Arial" w:hAnsi="Arial" w:cs="Arial"/>
          <w:sz w:val="22"/>
          <w:szCs w:val="22"/>
        </w:rPr>
        <w:footnoteReference w:id="24"/>
      </w:r>
    </w:p>
    <w:p w14:paraId="5148647F" w14:textId="77777777" w:rsidR="00EB70FE" w:rsidRPr="009C320F" w:rsidRDefault="00EB70FE" w:rsidP="00EB70FE">
      <w:pPr>
        <w:rPr>
          <w:rFonts w:ascii="Arial" w:hAnsi="Arial" w:cs="Arial"/>
          <w:sz w:val="22"/>
          <w:szCs w:val="22"/>
        </w:rPr>
      </w:pPr>
    </w:p>
    <w:p w14:paraId="1E0BD48A" w14:textId="61444D47" w:rsidR="00EB70FE" w:rsidRPr="009C320F" w:rsidRDefault="00EB70FE" w:rsidP="00EB70FE">
      <w:pPr>
        <w:rPr>
          <w:rFonts w:ascii="Arial" w:hAnsi="Arial" w:cs="Arial"/>
          <w:sz w:val="22"/>
          <w:szCs w:val="22"/>
        </w:rPr>
      </w:pPr>
      <w:r w:rsidRPr="009C320F">
        <w:rPr>
          <w:rFonts w:ascii="Arial" w:hAnsi="Arial" w:cs="Arial"/>
          <w:sz w:val="22"/>
          <w:szCs w:val="22"/>
        </w:rPr>
        <w:t>While the EIR Recast introduced a whole chapter, with over twenty articles, dedicated to group insolvency in order to address the perceived weakness of the EIR 2000 in this area,</w:t>
      </w:r>
      <w:r w:rsidRPr="009C320F">
        <w:rPr>
          <w:rStyle w:val="FootnoteReference"/>
          <w:rFonts w:ascii="Arial" w:hAnsi="Arial" w:cs="Arial"/>
          <w:sz w:val="22"/>
          <w:szCs w:val="22"/>
        </w:rPr>
        <w:footnoteReference w:id="25"/>
      </w:r>
      <w:r w:rsidRPr="009C320F">
        <w:rPr>
          <w:rFonts w:ascii="Arial" w:hAnsi="Arial" w:cs="Arial"/>
          <w:sz w:val="22"/>
          <w:szCs w:val="22"/>
        </w:rPr>
        <w:t xml:space="preserve"> the EIR Recast provisions and articles on this matter are not as effective as they could be. </w:t>
      </w:r>
    </w:p>
    <w:p w14:paraId="14558146" w14:textId="77777777" w:rsidR="00EB70FE" w:rsidRPr="009C320F" w:rsidRDefault="00EB70FE" w:rsidP="00EB70FE">
      <w:pPr>
        <w:rPr>
          <w:rFonts w:ascii="Arial" w:hAnsi="Arial" w:cs="Arial"/>
          <w:sz w:val="22"/>
          <w:szCs w:val="22"/>
        </w:rPr>
      </w:pPr>
    </w:p>
    <w:p w14:paraId="46E56EDD" w14:textId="77777777" w:rsidR="00EB70FE" w:rsidRPr="009C320F" w:rsidRDefault="00EB70FE" w:rsidP="00EB70FE">
      <w:pPr>
        <w:rPr>
          <w:rFonts w:ascii="Arial" w:hAnsi="Arial" w:cs="Arial"/>
          <w:sz w:val="22"/>
          <w:szCs w:val="22"/>
        </w:rPr>
      </w:pPr>
      <w:r w:rsidRPr="009C320F">
        <w:rPr>
          <w:rFonts w:ascii="Arial" w:hAnsi="Arial" w:cs="Arial"/>
          <w:sz w:val="22"/>
          <w:szCs w:val="22"/>
        </w:rPr>
        <w:t>By way of example, articles 41 to 43, as well as Recital 52 of the EIR Recast, set out the legal framework for co-operation and communication in the context of group insolvencies, which closely follow the obligations for co-operation and communication between main and secondary insolvency proceedings relating to the same debtor.</w:t>
      </w:r>
      <w:r w:rsidRPr="009C320F">
        <w:rPr>
          <w:rStyle w:val="FootnoteReference"/>
          <w:rFonts w:ascii="Arial" w:hAnsi="Arial" w:cs="Arial"/>
          <w:sz w:val="22"/>
          <w:szCs w:val="22"/>
        </w:rPr>
        <w:footnoteReference w:id="26"/>
      </w:r>
    </w:p>
    <w:p w14:paraId="6ADAE35F" w14:textId="2BCF3A67" w:rsidR="00EB70FE" w:rsidRPr="009C320F" w:rsidRDefault="00EB70FE" w:rsidP="00EB70FE">
      <w:pPr>
        <w:rPr>
          <w:rFonts w:ascii="Arial" w:hAnsi="Arial" w:cs="Arial"/>
          <w:sz w:val="22"/>
          <w:szCs w:val="22"/>
        </w:rPr>
      </w:pPr>
      <w:r w:rsidRPr="009C320F">
        <w:rPr>
          <w:rFonts w:ascii="Arial" w:hAnsi="Arial" w:cs="Arial"/>
          <w:sz w:val="22"/>
          <w:szCs w:val="22"/>
        </w:rPr>
        <w:t xml:space="preserve">However, this means that such duties are limited to group insolvencies within Member States only. This is a shortcoming as it means that insolvency practitioners and courts involved in group insolvencies are only obligated to co-operate and communicate if the various companies have their COMI or establishment in Member States. This flaw could be corrected by extending the co-operation and communication obligations to be applicable even if some of the subsidiary companies are located in non-Member States. </w:t>
      </w:r>
    </w:p>
    <w:p w14:paraId="48004740" w14:textId="77777777" w:rsidR="009C320F" w:rsidRPr="009C320F" w:rsidRDefault="009C320F" w:rsidP="00EB70FE">
      <w:pPr>
        <w:rPr>
          <w:rFonts w:ascii="Arial" w:hAnsi="Arial" w:cs="Arial"/>
          <w:sz w:val="22"/>
          <w:szCs w:val="22"/>
        </w:rPr>
      </w:pPr>
    </w:p>
    <w:p w14:paraId="6A5195D1" w14:textId="77777777" w:rsidR="00EB70FE" w:rsidRPr="009C320F" w:rsidRDefault="00EB70FE" w:rsidP="00EB70FE">
      <w:pPr>
        <w:rPr>
          <w:rFonts w:ascii="Arial" w:hAnsi="Arial" w:cs="Arial"/>
          <w:sz w:val="22"/>
          <w:szCs w:val="22"/>
        </w:rPr>
      </w:pPr>
      <w:r w:rsidRPr="009C320F">
        <w:rPr>
          <w:rFonts w:ascii="Arial" w:hAnsi="Arial" w:cs="Arial"/>
          <w:sz w:val="22"/>
          <w:szCs w:val="22"/>
        </w:rPr>
        <w:t>In addition, the EIR Recast introduced procedural rules on the co-ordination of the insolvency proceedings of members of an enterprise group, in order to improve the co-ordination of insolvency proceedings of members of a group of companies.</w:t>
      </w:r>
      <w:r w:rsidRPr="009C320F">
        <w:rPr>
          <w:rStyle w:val="FootnoteReference"/>
          <w:rFonts w:ascii="Arial" w:hAnsi="Arial" w:cs="Arial"/>
          <w:sz w:val="22"/>
          <w:szCs w:val="22"/>
        </w:rPr>
        <w:footnoteReference w:id="27"/>
      </w:r>
      <w:r w:rsidRPr="009C320F">
        <w:rPr>
          <w:rFonts w:ascii="Arial" w:hAnsi="Arial" w:cs="Arial"/>
          <w:sz w:val="22"/>
          <w:szCs w:val="22"/>
        </w:rPr>
        <w:t xml:space="preserve"> This co-ordination mechanism is called a 'group co-ordination proceeding' and is regulated by article 61 of the EIR Recast.</w:t>
      </w:r>
      <w:r w:rsidRPr="009C320F">
        <w:rPr>
          <w:rStyle w:val="FootnoteReference"/>
          <w:rFonts w:ascii="Arial" w:hAnsi="Arial" w:cs="Arial"/>
          <w:sz w:val="22"/>
          <w:szCs w:val="22"/>
        </w:rPr>
        <w:footnoteReference w:id="28"/>
      </w:r>
    </w:p>
    <w:p w14:paraId="56ED58C1" w14:textId="77019CB8" w:rsidR="00EB70FE" w:rsidRPr="009C320F" w:rsidRDefault="00EB70FE" w:rsidP="00EB70FE">
      <w:pPr>
        <w:rPr>
          <w:rFonts w:ascii="Arial" w:hAnsi="Arial" w:cs="Arial"/>
          <w:sz w:val="22"/>
          <w:szCs w:val="22"/>
        </w:rPr>
      </w:pPr>
      <w:r w:rsidRPr="009C320F">
        <w:rPr>
          <w:rFonts w:ascii="Arial" w:hAnsi="Arial" w:cs="Arial"/>
          <w:sz w:val="22"/>
          <w:szCs w:val="22"/>
        </w:rPr>
        <w:t>While this theoretically is a good idea, group co-ordination proceedings are voluntary in nature and lead to non-binding actions only.</w:t>
      </w:r>
      <w:r w:rsidRPr="009C320F">
        <w:rPr>
          <w:rStyle w:val="FootnoteReference"/>
          <w:rFonts w:ascii="Arial" w:hAnsi="Arial" w:cs="Arial"/>
          <w:sz w:val="22"/>
          <w:szCs w:val="22"/>
        </w:rPr>
        <w:footnoteReference w:id="29"/>
      </w:r>
      <w:r w:rsidRPr="009C320F">
        <w:rPr>
          <w:rFonts w:ascii="Arial" w:hAnsi="Arial" w:cs="Arial"/>
          <w:sz w:val="22"/>
          <w:szCs w:val="22"/>
        </w:rPr>
        <w:t xml:space="preserve"> As such, the group</w:t>
      </w:r>
      <w:r w:rsidR="006D3027">
        <w:rPr>
          <w:rFonts w:ascii="Arial" w:hAnsi="Arial" w:cs="Arial"/>
          <w:sz w:val="22"/>
          <w:szCs w:val="22"/>
        </w:rPr>
        <w:t xml:space="preserve"> </w:t>
      </w:r>
      <w:r w:rsidRPr="009C320F">
        <w:rPr>
          <w:rFonts w:ascii="Arial" w:hAnsi="Arial" w:cs="Arial"/>
          <w:sz w:val="22"/>
          <w:szCs w:val="22"/>
        </w:rPr>
        <w:t>co</w:t>
      </w:r>
      <w:r w:rsidR="006D3027">
        <w:rPr>
          <w:rFonts w:ascii="Arial" w:hAnsi="Arial" w:cs="Arial"/>
          <w:sz w:val="22"/>
          <w:szCs w:val="22"/>
        </w:rPr>
        <w:t>-</w:t>
      </w:r>
      <w:r w:rsidRPr="009C320F">
        <w:rPr>
          <w:rFonts w:ascii="Arial" w:hAnsi="Arial" w:cs="Arial"/>
          <w:sz w:val="22"/>
          <w:szCs w:val="22"/>
        </w:rPr>
        <w:t xml:space="preserve">ordination proceedings would be more effective and practical if the EIR Recast was re-worded or included additional articles to the effect that group co-ordinations are compulsory, and lead to binding actions. This would result in additional certainty and provide Member States with assurance that such proceedings will culminate in practical, binding actions. </w:t>
      </w:r>
    </w:p>
    <w:p w14:paraId="775006E9" w14:textId="77777777" w:rsidR="00EB70FE" w:rsidRPr="009C320F" w:rsidRDefault="00EB70FE" w:rsidP="00EB70FE">
      <w:pPr>
        <w:rPr>
          <w:rFonts w:ascii="Arial" w:hAnsi="Arial" w:cs="Arial"/>
          <w:sz w:val="22"/>
          <w:szCs w:val="22"/>
        </w:rPr>
      </w:pPr>
    </w:p>
    <w:p w14:paraId="6A72B82E" w14:textId="77777777" w:rsidR="00EB70FE" w:rsidRPr="009C320F" w:rsidRDefault="00EB70FE" w:rsidP="00EB70FE">
      <w:pPr>
        <w:rPr>
          <w:rFonts w:ascii="Arial" w:hAnsi="Arial" w:cs="Arial"/>
          <w:sz w:val="22"/>
          <w:szCs w:val="22"/>
        </w:rPr>
      </w:pPr>
      <w:r w:rsidRPr="009C320F">
        <w:rPr>
          <w:rFonts w:ascii="Arial" w:hAnsi="Arial" w:cs="Arial"/>
          <w:sz w:val="22"/>
          <w:szCs w:val="22"/>
        </w:rPr>
        <w:t xml:space="preserve">Notwithstanding the above weaknesses of the EIR Recast, it remains a significant improvement compared to the EIR 2000.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673175" w14:textId="4DBA472E" w:rsidR="00EB70FE" w:rsidRPr="009C320F" w:rsidRDefault="00EB70FE" w:rsidP="00EB70FE">
      <w:pPr>
        <w:rPr>
          <w:rFonts w:ascii="Arial" w:hAnsi="Arial" w:cs="Arial"/>
          <w:sz w:val="22"/>
          <w:szCs w:val="22"/>
        </w:rPr>
      </w:pPr>
      <w:r w:rsidRPr="009C320F">
        <w:rPr>
          <w:rFonts w:ascii="Arial" w:hAnsi="Arial" w:cs="Arial"/>
          <w:sz w:val="22"/>
          <w:szCs w:val="22"/>
        </w:rPr>
        <w:t xml:space="preserve">The EIR Recast co-exists with the Directive on Preventative Restructuring (2019/1023) (the Directive). </w:t>
      </w:r>
    </w:p>
    <w:p w14:paraId="7E497CE2" w14:textId="77777777" w:rsidR="009C320F" w:rsidRPr="009C320F" w:rsidRDefault="009C320F" w:rsidP="00EB70FE">
      <w:pPr>
        <w:rPr>
          <w:rFonts w:ascii="Arial" w:hAnsi="Arial" w:cs="Arial"/>
          <w:sz w:val="22"/>
          <w:szCs w:val="22"/>
        </w:rPr>
      </w:pPr>
    </w:p>
    <w:p w14:paraId="67E135EF" w14:textId="6448EDC0" w:rsidR="00EB70FE" w:rsidRPr="009C320F" w:rsidRDefault="00EB70FE" w:rsidP="00EB70FE">
      <w:pPr>
        <w:rPr>
          <w:rFonts w:ascii="Arial" w:hAnsi="Arial" w:cs="Arial"/>
          <w:sz w:val="22"/>
          <w:szCs w:val="22"/>
        </w:rPr>
      </w:pPr>
      <w:r w:rsidRPr="009C320F">
        <w:rPr>
          <w:rFonts w:ascii="Arial" w:hAnsi="Arial" w:cs="Arial"/>
          <w:sz w:val="22"/>
          <w:szCs w:val="22"/>
        </w:rPr>
        <w:t>The Directive establishes a set of minimum standards for preventative restructuring at an early stage to avoid insolvency.</w:t>
      </w:r>
      <w:r w:rsidRPr="009C320F">
        <w:rPr>
          <w:rStyle w:val="FootnoteReference"/>
          <w:rFonts w:ascii="Arial" w:hAnsi="Arial" w:cs="Arial"/>
          <w:sz w:val="22"/>
          <w:szCs w:val="22"/>
        </w:rPr>
        <w:footnoteReference w:id="30"/>
      </w:r>
      <w:r w:rsidRPr="009C320F">
        <w:rPr>
          <w:rFonts w:ascii="Arial" w:hAnsi="Arial" w:cs="Arial"/>
          <w:sz w:val="22"/>
          <w:szCs w:val="22"/>
        </w:rPr>
        <w:t xml:space="preserve"> </w:t>
      </w:r>
    </w:p>
    <w:p w14:paraId="5CD5BE22" w14:textId="77777777" w:rsidR="009C320F" w:rsidRPr="009C320F" w:rsidRDefault="009C320F" w:rsidP="00EB70FE">
      <w:pPr>
        <w:rPr>
          <w:rFonts w:ascii="Arial" w:hAnsi="Arial" w:cs="Arial"/>
          <w:sz w:val="22"/>
          <w:szCs w:val="22"/>
        </w:rPr>
      </w:pPr>
    </w:p>
    <w:p w14:paraId="45DF0943" w14:textId="77777777" w:rsidR="00EB70FE" w:rsidRPr="009C320F" w:rsidRDefault="00EB70FE" w:rsidP="00EB70FE">
      <w:pPr>
        <w:rPr>
          <w:rFonts w:ascii="Arial" w:hAnsi="Arial" w:cs="Arial"/>
          <w:sz w:val="22"/>
          <w:szCs w:val="22"/>
        </w:rPr>
      </w:pPr>
      <w:r w:rsidRPr="009C320F">
        <w:rPr>
          <w:rFonts w:ascii="Arial" w:hAnsi="Arial" w:cs="Arial"/>
          <w:sz w:val="22"/>
          <w:szCs w:val="22"/>
        </w:rPr>
        <w:t>It aims to:</w:t>
      </w:r>
      <w:r w:rsidRPr="009C320F">
        <w:rPr>
          <w:rStyle w:val="FootnoteReference"/>
          <w:rFonts w:ascii="Arial" w:hAnsi="Arial" w:cs="Arial"/>
          <w:sz w:val="22"/>
          <w:szCs w:val="22"/>
        </w:rPr>
        <w:footnoteReference w:id="31"/>
      </w:r>
    </w:p>
    <w:p w14:paraId="18731759" w14:textId="77777777" w:rsidR="00EB70FE" w:rsidRPr="009C320F" w:rsidRDefault="00EB70FE" w:rsidP="00EB70FE">
      <w:pPr>
        <w:pStyle w:val="ListParagraph"/>
        <w:numPr>
          <w:ilvl w:val="0"/>
          <w:numId w:val="35"/>
        </w:numPr>
        <w:spacing w:before="120" w:after="120"/>
        <w:contextualSpacing w:val="0"/>
        <w:rPr>
          <w:rFonts w:ascii="Arial" w:hAnsi="Arial" w:cs="Arial"/>
          <w:sz w:val="22"/>
          <w:szCs w:val="22"/>
        </w:rPr>
      </w:pPr>
      <w:r w:rsidRPr="009C320F">
        <w:rPr>
          <w:rFonts w:ascii="Arial" w:hAnsi="Arial" w:cs="Arial"/>
          <w:sz w:val="22"/>
          <w:szCs w:val="22"/>
        </w:rPr>
        <w:t>Enhance the efficiency of early restructuring;</w:t>
      </w:r>
    </w:p>
    <w:p w14:paraId="12537A2A" w14:textId="77777777" w:rsidR="00EB70FE" w:rsidRPr="009C320F" w:rsidRDefault="00EB70FE" w:rsidP="00EB70FE">
      <w:pPr>
        <w:pStyle w:val="ListParagraph"/>
        <w:numPr>
          <w:ilvl w:val="0"/>
          <w:numId w:val="35"/>
        </w:numPr>
        <w:spacing w:before="120" w:after="120"/>
        <w:contextualSpacing w:val="0"/>
        <w:rPr>
          <w:rFonts w:ascii="Arial" w:hAnsi="Arial" w:cs="Arial"/>
          <w:sz w:val="22"/>
          <w:szCs w:val="22"/>
        </w:rPr>
      </w:pPr>
      <w:r w:rsidRPr="009C320F">
        <w:rPr>
          <w:rFonts w:ascii="Arial" w:hAnsi="Arial" w:cs="Arial"/>
          <w:sz w:val="22"/>
          <w:szCs w:val="22"/>
        </w:rPr>
        <w:t>Improve the negotiation process;</w:t>
      </w:r>
    </w:p>
    <w:p w14:paraId="27826604" w14:textId="77777777" w:rsidR="00EB70FE" w:rsidRPr="009C320F" w:rsidRDefault="00EB70FE" w:rsidP="00EB70FE">
      <w:pPr>
        <w:pStyle w:val="ListParagraph"/>
        <w:numPr>
          <w:ilvl w:val="0"/>
          <w:numId w:val="35"/>
        </w:numPr>
        <w:spacing w:before="120" w:after="120"/>
        <w:contextualSpacing w:val="0"/>
        <w:rPr>
          <w:rFonts w:ascii="Arial" w:hAnsi="Arial" w:cs="Arial"/>
          <w:sz w:val="22"/>
          <w:szCs w:val="22"/>
        </w:rPr>
      </w:pPr>
      <w:r w:rsidRPr="009C320F">
        <w:rPr>
          <w:rFonts w:ascii="Arial" w:hAnsi="Arial" w:cs="Arial"/>
          <w:sz w:val="22"/>
          <w:szCs w:val="22"/>
        </w:rPr>
        <w:t>Facilitate the continuation of the debtor's business while restructuring;</w:t>
      </w:r>
    </w:p>
    <w:p w14:paraId="5090693D" w14:textId="77777777" w:rsidR="00EB70FE" w:rsidRPr="009C320F" w:rsidRDefault="00EB70FE" w:rsidP="00EB70FE">
      <w:pPr>
        <w:pStyle w:val="ListParagraph"/>
        <w:numPr>
          <w:ilvl w:val="0"/>
          <w:numId w:val="35"/>
        </w:numPr>
        <w:spacing w:before="120" w:after="120"/>
        <w:contextualSpacing w:val="0"/>
        <w:rPr>
          <w:rFonts w:ascii="Arial" w:hAnsi="Arial" w:cs="Arial"/>
          <w:sz w:val="22"/>
          <w:szCs w:val="22"/>
        </w:rPr>
      </w:pPr>
      <w:r w:rsidRPr="009C320F">
        <w:rPr>
          <w:rFonts w:ascii="Arial" w:hAnsi="Arial" w:cs="Arial"/>
          <w:sz w:val="22"/>
          <w:szCs w:val="22"/>
        </w:rPr>
        <w:t>Prevent dissenting minority creditors and shareholders from jeopardising the restructuring effort, while also safeguarding their interests; and</w:t>
      </w:r>
    </w:p>
    <w:p w14:paraId="4F22356E" w14:textId="77777777" w:rsidR="00EB70FE" w:rsidRPr="009C320F" w:rsidRDefault="00EB70FE" w:rsidP="00EB70FE">
      <w:pPr>
        <w:pStyle w:val="ListParagraph"/>
        <w:numPr>
          <w:ilvl w:val="0"/>
          <w:numId w:val="35"/>
        </w:numPr>
        <w:spacing w:before="120" w:after="120"/>
        <w:contextualSpacing w:val="0"/>
        <w:rPr>
          <w:rFonts w:ascii="Arial" w:hAnsi="Arial" w:cs="Arial"/>
          <w:sz w:val="22"/>
          <w:szCs w:val="22"/>
        </w:rPr>
      </w:pPr>
      <w:r w:rsidRPr="009C320F">
        <w:rPr>
          <w:rFonts w:ascii="Arial" w:hAnsi="Arial" w:cs="Arial"/>
          <w:sz w:val="22"/>
          <w:szCs w:val="22"/>
        </w:rPr>
        <w:t xml:space="preserve">Reducing the costs and length of restructuring procedures. </w:t>
      </w:r>
    </w:p>
    <w:p w14:paraId="6E68A8DB" w14:textId="77777777" w:rsidR="00EB70FE" w:rsidRPr="009C320F" w:rsidRDefault="00EB70FE" w:rsidP="00EB70FE">
      <w:pPr>
        <w:rPr>
          <w:rFonts w:ascii="Arial" w:hAnsi="Arial" w:cs="Arial"/>
          <w:sz w:val="22"/>
          <w:szCs w:val="22"/>
        </w:rPr>
      </w:pPr>
      <w:r w:rsidRPr="009C320F">
        <w:rPr>
          <w:rFonts w:ascii="Arial" w:hAnsi="Arial" w:cs="Arial"/>
          <w:sz w:val="22"/>
          <w:szCs w:val="22"/>
        </w:rPr>
        <w:t xml:space="preserve">While the EIR Recast and the Directive co-exist, they are not the same and have some key differences between. </w:t>
      </w:r>
    </w:p>
    <w:p w14:paraId="4022C8FA" w14:textId="0EEC00F6" w:rsidR="00EB70FE" w:rsidRPr="009C320F" w:rsidRDefault="00EB70FE" w:rsidP="00EB70FE">
      <w:pPr>
        <w:rPr>
          <w:rFonts w:ascii="Arial" w:hAnsi="Arial" w:cs="Arial"/>
          <w:sz w:val="22"/>
          <w:szCs w:val="22"/>
        </w:rPr>
      </w:pPr>
      <w:r w:rsidRPr="009C320F">
        <w:rPr>
          <w:rFonts w:ascii="Arial" w:hAnsi="Arial" w:cs="Arial"/>
          <w:sz w:val="22"/>
          <w:szCs w:val="22"/>
        </w:rPr>
        <w:t>For example, one difference between the EIR Recast and the Directive is that the EIR Recast is mostly procedural while the Directive imposes a substantive obligation on Member States to offer a more attractive and flexible restructuring scheme in their respective laws.</w:t>
      </w:r>
      <w:r w:rsidRPr="009C320F">
        <w:rPr>
          <w:rStyle w:val="FootnoteReference"/>
          <w:rFonts w:ascii="Arial" w:hAnsi="Arial" w:cs="Arial"/>
          <w:sz w:val="22"/>
          <w:szCs w:val="22"/>
        </w:rPr>
        <w:footnoteReference w:id="32"/>
      </w:r>
      <w:r w:rsidRPr="009C320F">
        <w:rPr>
          <w:rFonts w:ascii="Arial" w:hAnsi="Arial" w:cs="Arial"/>
          <w:sz w:val="22"/>
          <w:szCs w:val="22"/>
        </w:rPr>
        <w:t xml:space="preserve"> </w:t>
      </w:r>
    </w:p>
    <w:p w14:paraId="0EED9258" w14:textId="77777777" w:rsidR="009C320F" w:rsidRPr="009C320F" w:rsidRDefault="009C320F" w:rsidP="00EB70FE">
      <w:pPr>
        <w:rPr>
          <w:rFonts w:ascii="Arial" w:hAnsi="Arial" w:cs="Arial"/>
          <w:sz w:val="22"/>
          <w:szCs w:val="22"/>
        </w:rPr>
      </w:pPr>
    </w:p>
    <w:p w14:paraId="1184FC8F" w14:textId="77777777" w:rsidR="00EB70FE" w:rsidRPr="009C320F" w:rsidRDefault="00EB70FE" w:rsidP="00EB70FE">
      <w:pPr>
        <w:rPr>
          <w:rFonts w:ascii="Arial" w:hAnsi="Arial" w:cs="Arial"/>
          <w:sz w:val="22"/>
          <w:szCs w:val="22"/>
        </w:rPr>
      </w:pPr>
      <w:r w:rsidRPr="009C320F">
        <w:rPr>
          <w:rFonts w:ascii="Arial" w:hAnsi="Arial" w:cs="Arial"/>
          <w:sz w:val="22"/>
          <w:szCs w:val="22"/>
        </w:rPr>
        <w:t>Secondly, the EIR Recast is wide-ranging in that it governs jurisdiction for opening insolvency proceedings and actions directly deriving from them, as well as recognition and enforcement of judgments issued in such proceedings.</w:t>
      </w:r>
      <w:r w:rsidRPr="009C320F">
        <w:rPr>
          <w:rStyle w:val="FootnoteReference"/>
          <w:rFonts w:ascii="Arial" w:hAnsi="Arial" w:cs="Arial"/>
          <w:sz w:val="22"/>
          <w:szCs w:val="22"/>
        </w:rPr>
        <w:footnoteReference w:id="33"/>
      </w:r>
      <w:r w:rsidRPr="009C320F">
        <w:rPr>
          <w:rFonts w:ascii="Arial" w:hAnsi="Arial" w:cs="Arial"/>
          <w:sz w:val="22"/>
          <w:szCs w:val="22"/>
        </w:rPr>
        <w:t xml:space="preserve"> On the other hand, the Directive is more minimal in scope as it focuses on minimum standards for preventive restructuring procedures only.</w:t>
      </w:r>
      <w:r w:rsidRPr="009C320F">
        <w:rPr>
          <w:rStyle w:val="FootnoteReference"/>
          <w:rFonts w:ascii="Arial" w:hAnsi="Arial" w:cs="Arial"/>
          <w:sz w:val="22"/>
          <w:szCs w:val="22"/>
        </w:rPr>
        <w:footnoteReference w:id="34"/>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7780E501"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The EIR 2000 was adopted by the European Council on 29 May 2000, and entered into force on 31 May 2002. It was binding in its entirety and directly applicable to all EU Member States, including France. </w:t>
      </w:r>
    </w:p>
    <w:p w14:paraId="26DE4A4E" w14:textId="27835611" w:rsidR="00EB70FE" w:rsidRPr="00DF050F" w:rsidRDefault="006D3027" w:rsidP="00EB70FE">
      <w:pPr>
        <w:rPr>
          <w:rFonts w:ascii="Arial" w:hAnsi="Arial" w:cs="Arial"/>
          <w:sz w:val="22"/>
          <w:szCs w:val="22"/>
        </w:rPr>
      </w:pPr>
      <w:r>
        <w:rPr>
          <w:rFonts w:ascii="Arial" w:hAnsi="Arial" w:cs="Arial"/>
          <w:sz w:val="22"/>
          <w:szCs w:val="22"/>
        </w:rPr>
        <w:t>As a preliminary point,</w:t>
      </w:r>
      <w:r w:rsidR="00EB70FE" w:rsidRPr="00DF050F">
        <w:rPr>
          <w:rFonts w:ascii="Arial" w:hAnsi="Arial" w:cs="Arial"/>
          <w:sz w:val="22"/>
          <w:szCs w:val="22"/>
        </w:rPr>
        <w:t xml:space="preserve"> it appears that safeguard proceedings are not referred to in Annex A of the EIR 2000,</w:t>
      </w:r>
      <w:r w:rsidR="00EB70FE" w:rsidRPr="00DF050F">
        <w:rPr>
          <w:rStyle w:val="FootnoteReference"/>
          <w:rFonts w:ascii="Arial" w:hAnsi="Arial" w:cs="Arial"/>
          <w:sz w:val="22"/>
          <w:szCs w:val="22"/>
        </w:rPr>
        <w:footnoteReference w:id="35"/>
      </w:r>
      <w:r w:rsidR="00EB70FE" w:rsidRPr="00DF050F">
        <w:rPr>
          <w:rFonts w:ascii="Arial" w:hAnsi="Arial" w:cs="Arial"/>
          <w:sz w:val="22"/>
          <w:szCs w:val="22"/>
        </w:rPr>
        <w:t xml:space="preserve"> and are therefore unlikely to be covered by EIR 2000.</w:t>
      </w:r>
    </w:p>
    <w:p w14:paraId="58F30448" w14:textId="77777777" w:rsidR="009C320F" w:rsidRPr="00DF050F" w:rsidRDefault="009C320F" w:rsidP="00EB70FE">
      <w:pPr>
        <w:rPr>
          <w:rFonts w:ascii="Arial" w:hAnsi="Arial" w:cs="Arial"/>
          <w:sz w:val="22"/>
          <w:szCs w:val="22"/>
        </w:rPr>
      </w:pPr>
    </w:p>
    <w:p w14:paraId="38D55E64" w14:textId="7DF813DF" w:rsidR="00EB70FE" w:rsidRPr="00DF050F" w:rsidRDefault="00EB70FE" w:rsidP="00EB70FE">
      <w:pPr>
        <w:rPr>
          <w:rFonts w:ascii="Arial" w:hAnsi="Arial" w:cs="Arial"/>
          <w:sz w:val="22"/>
          <w:szCs w:val="22"/>
        </w:rPr>
      </w:pPr>
      <w:r w:rsidRPr="00DF050F">
        <w:rPr>
          <w:rFonts w:ascii="Arial" w:hAnsi="Arial" w:cs="Arial"/>
          <w:sz w:val="22"/>
          <w:szCs w:val="22"/>
        </w:rPr>
        <w:t xml:space="preserve">With respect to whether the Strasbourg High Court has jurisdiction, this will depend on Bella SARL's COMI as stipulated by Article 3(1) of the EIR 2000. </w:t>
      </w:r>
    </w:p>
    <w:p w14:paraId="311F4A6C" w14:textId="77777777" w:rsidR="009C320F" w:rsidRPr="00DF050F" w:rsidRDefault="009C320F" w:rsidP="00EB70FE">
      <w:pPr>
        <w:rPr>
          <w:rFonts w:ascii="Arial" w:hAnsi="Arial" w:cs="Arial"/>
          <w:sz w:val="22"/>
          <w:szCs w:val="22"/>
        </w:rPr>
      </w:pPr>
    </w:p>
    <w:p w14:paraId="6C92E3D0" w14:textId="1876E72E" w:rsidR="00EB70FE" w:rsidRPr="00DF050F" w:rsidRDefault="00EB70FE" w:rsidP="00EB70FE">
      <w:pPr>
        <w:rPr>
          <w:rFonts w:ascii="Arial" w:hAnsi="Arial" w:cs="Arial"/>
          <w:sz w:val="22"/>
          <w:szCs w:val="22"/>
        </w:rPr>
      </w:pPr>
      <w:r w:rsidRPr="00DF050F">
        <w:rPr>
          <w:rFonts w:ascii="Arial" w:hAnsi="Arial" w:cs="Arial"/>
          <w:sz w:val="22"/>
          <w:szCs w:val="22"/>
        </w:rPr>
        <w:t xml:space="preserve">While the EIR 2000 does not include a definition of COMI, recital 13 provides some guidance by stating that </w:t>
      </w:r>
      <w:r w:rsidRPr="00DF050F">
        <w:rPr>
          <w:rFonts w:ascii="Arial" w:hAnsi="Arial" w:cs="Arial"/>
          <w:i/>
          <w:iCs/>
          <w:sz w:val="22"/>
          <w:szCs w:val="22"/>
        </w:rPr>
        <w:t>"the 'centre of main interests' should correspond to the place where the debtor conducts the administration of his interests on a regular basis and is therefore ascertainable by third parties."</w:t>
      </w:r>
      <w:r w:rsidRPr="00DF050F">
        <w:rPr>
          <w:rStyle w:val="FootnoteReference"/>
          <w:rFonts w:ascii="Arial" w:hAnsi="Arial" w:cs="Arial"/>
          <w:i/>
          <w:iCs/>
          <w:sz w:val="22"/>
          <w:szCs w:val="22"/>
        </w:rPr>
        <w:footnoteReference w:id="36"/>
      </w:r>
      <w:r w:rsidRPr="00DF050F">
        <w:rPr>
          <w:rFonts w:ascii="Arial" w:hAnsi="Arial" w:cs="Arial"/>
          <w:i/>
          <w:iCs/>
          <w:sz w:val="22"/>
          <w:szCs w:val="22"/>
        </w:rPr>
        <w:t xml:space="preserve"> </w:t>
      </w:r>
      <w:r w:rsidRPr="00DF050F">
        <w:rPr>
          <w:rFonts w:ascii="Arial" w:hAnsi="Arial" w:cs="Arial"/>
          <w:sz w:val="22"/>
          <w:szCs w:val="22"/>
        </w:rPr>
        <w:t>Article 3(1) of the EIR 2000 also includes a presumption that the company's place of registered office shall be presumed to be the centre of its main interest in the absence of proof to the contrary.</w:t>
      </w:r>
      <w:r w:rsidRPr="00DF050F">
        <w:rPr>
          <w:rStyle w:val="FootnoteReference"/>
          <w:rFonts w:ascii="Arial" w:hAnsi="Arial" w:cs="Arial"/>
          <w:sz w:val="22"/>
          <w:szCs w:val="22"/>
        </w:rPr>
        <w:footnoteReference w:id="37"/>
      </w:r>
    </w:p>
    <w:p w14:paraId="248F904D" w14:textId="77777777" w:rsidR="009C320F" w:rsidRPr="00DF050F" w:rsidRDefault="009C320F" w:rsidP="00EB70FE">
      <w:pPr>
        <w:rPr>
          <w:rFonts w:ascii="Arial" w:hAnsi="Arial" w:cs="Arial"/>
          <w:sz w:val="22"/>
          <w:szCs w:val="22"/>
        </w:rPr>
      </w:pPr>
    </w:p>
    <w:p w14:paraId="5A3A9953" w14:textId="329FA37A" w:rsidR="00EB70FE" w:rsidRPr="00DF050F" w:rsidRDefault="00EB70FE" w:rsidP="00EB70FE">
      <w:pPr>
        <w:rPr>
          <w:rFonts w:ascii="Arial" w:hAnsi="Arial" w:cs="Arial"/>
          <w:sz w:val="22"/>
          <w:szCs w:val="22"/>
        </w:rPr>
      </w:pPr>
      <w:r w:rsidRPr="00DF050F">
        <w:rPr>
          <w:rFonts w:ascii="Arial" w:hAnsi="Arial" w:cs="Arial"/>
          <w:sz w:val="22"/>
          <w:szCs w:val="22"/>
        </w:rPr>
        <w:t xml:space="preserve">The application of the COMI presumption was confirmed in the case of </w:t>
      </w:r>
      <w:proofErr w:type="spellStart"/>
      <w:r w:rsidRPr="00DF050F">
        <w:rPr>
          <w:rFonts w:ascii="Arial" w:hAnsi="Arial" w:cs="Arial"/>
          <w:i/>
          <w:iCs/>
          <w:sz w:val="22"/>
          <w:szCs w:val="22"/>
        </w:rPr>
        <w:t>Eurofood</w:t>
      </w:r>
      <w:proofErr w:type="spellEnd"/>
      <w:r w:rsidRPr="00DF050F">
        <w:rPr>
          <w:rFonts w:ascii="Arial" w:hAnsi="Arial" w:cs="Arial"/>
          <w:i/>
          <w:iCs/>
          <w:sz w:val="22"/>
          <w:szCs w:val="22"/>
        </w:rPr>
        <w:t xml:space="preserve"> IFSC Ltd,</w:t>
      </w:r>
      <w:r w:rsidRPr="00DF050F">
        <w:rPr>
          <w:rStyle w:val="FootnoteReference"/>
          <w:rFonts w:ascii="Arial" w:hAnsi="Arial" w:cs="Arial"/>
          <w:i/>
          <w:iCs/>
          <w:sz w:val="22"/>
          <w:szCs w:val="22"/>
        </w:rPr>
        <w:footnoteReference w:id="38"/>
      </w:r>
      <w:r w:rsidRPr="00DF050F">
        <w:rPr>
          <w:rFonts w:ascii="Arial" w:hAnsi="Arial" w:cs="Arial"/>
          <w:sz w:val="22"/>
          <w:szCs w:val="22"/>
        </w:rPr>
        <w:t xml:space="preserve"> in which </w:t>
      </w:r>
      <w:proofErr w:type="spellStart"/>
      <w:r w:rsidRPr="00DF050F">
        <w:rPr>
          <w:rFonts w:ascii="Arial" w:hAnsi="Arial" w:cs="Arial"/>
          <w:sz w:val="22"/>
          <w:szCs w:val="22"/>
        </w:rPr>
        <w:t>Eurofood</w:t>
      </w:r>
      <w:proofErr w:type="spellEnd"/>
      <w:r w:rsidRPr="00DF050F">
        <w:rPr>
          <w:rFonts w:ascii="Arial" w:hAnsi="Arial" w:cs="Arial"/>
          <w:sz w:val="22"/>
          <w:szCs w:val="22"/>
        </w:rPr>
        <w:t xml:space="preserve"> IFSC Ltd had its registered office in Ireland, but was owned by another company incorporated in Italy. The Irish High Court confirmed that </w:t>
      </w:r>
      <w:proofErr w:type="spellStart"/>
      <w:r w:rsidRPr="00DF050F">
        <w:rPr>
          <w:rFonts w:ascii="Arial" w:hAnsi="Arial" w:cs="Arial"/>
          <w:sz w:val="22"/>
          <w:szCs w:val="22"/>
        </w:rPr>
        <w:t>Eurofood's</w:t>
      </w:r>
      <w:proofErr w:type="spellEnd"/>
      <w:r w:rsidRPr="00DF050F">
        <w:rPr>
          <w:rFonts w:ascii="Arial" w:hAnsi="Arial" w:cs="Arial"/>
          <w:sz w:val="22"/>
          <w:szCs w:val="22"/>
        </w:rPr>
        <w:t xml:space="preserve"> COMI was in Ireland despite the place of incorporation of the parent company.</w:t>
      </w:r>
      <w:r w:rsidRPr="00DF050F">
        <w:rPr>
          <w:rStyle w:val="FootnoteReference"/>
          <w:rFonts w:ascii="Arial" w:hAnsi="Arial" w:cs="Arial"/>
          <w:sz w:val="22"/>
          <w:szCs w:val="22"/>
        </w:rPr>
        <w:footnoteReference w:id="39"/>
      </w:r>
    </w:p>
    <w:p w14:paraId="314F606E" w14:textId="77777777" w:rsidR="009C320F" w:rsidRPr="00DF050F" w:rsidRDefault="009C320F" w:rsidP="00EB70FE">
      <w:pPr>
        <w:rPr>
          <w:rFonts w:ascii="Arial" w:hAnsi="Arial" w:cs="Arial"/>
          <w:sz w:val="22"/>
          <w:szCs w:val="22"/>
        </w:rPr>
      </w:pPr>
    </w:p>
    <w:p w14:paraId="1518DB3F" w14:textId="77777777" w:rsidR="00EB70FE" w:rsidRPr="00DF050F" w:rsidRDefault="00EB70FE" w:rsidP="00EB70FE">
      <w:pPr>
        <w:rPr>
          <w:rFonts w:ascii="Arial" w:hAnsi="Arial" w:cs="Arial"/>
          <w:sz w:val="22"/>
          <w:szCs w:val="22"/>
        </w:rPr>
      </w:pPr>
      <w:r w:rsidRPr="00DF050F">
        <w:rPr>
          <w:rFonts w:ascii="Arial" w:hAnsi="Arial" w:cs="Arial"/>
          <w:sz w:val="22"/>
          <w:szCs w:val="22"/>
        </w:rPr>
        <w:lastRenderedPageBreak/>
        <w:t xml:space="preserve">However, it is important to note the CJEU's judgment in </w:t>
      </w:r>
      <w:r w:rsidRPr="00DF050F">
        <w:rPr>
          <w:rFonts w:ascii="Arial" w:hAnsi="Arial" w:cs="Arial"/>
          <w:i/>
          <w:iCs/>
          <w:sz w:val="22"/>
          <w:szCs w:val="22"/>
        </w:rPr>
        <w:t>Interedil Srl v Fallimento Interedil Srl,</w:t>
      </w:r>
      <w:r w:rsidRPr="00DF050F">
        <w:rPr>
          <w:rStyle w:val="FootnoteReference"/>
          <w:rFonts w:ascii="Arial" w:hAnsi="Arial" w:cs="Arial"/>
          <w:i/>
          <w:iCs/>
          <w:sz w:val="22"/>
          <w:szCs w:val="22"/>
        </w:rPr>
        <w:footnoteReference w:id="40"/>
      </w:r>
      <w:r w:rsidRPr="00DF050F">
        <w:rPr>
          <w:rFonts w:ascii="Arial" w:hAnsi="Arial" w:cs="Arial"/>
          <w:sz w:val="22"/>
          <w:szCs w:val="22"/>
        </w:rPr>
        <w:t xml:space="preserve"> in which Interedil Srl was registered in the UK but the Italian Court accepted jurisdiction on the basis that the registered office presumption was rebutted given:</w:t>
      </w:r>
      <w:r w:rsidRPr="00DF050F">
        <w:rPr>
          <w:rStyle w:val="FootnoteReference"/>
          <w:rFonts w:ascii="Arial" w:hAnsi="Arial" w:cs="Arial"/>
          <w:sz w:val="22"/>
          <w:szCs w:val="22"/>
        </w:rPr>
        <w:footnoteReference w:id="41"/>
      </w:r>
    </w:p>
    <w:p w14:paraId="759FCE69" w14:textId="77777777" w:rsidR="00EB70FE" w:rsidRPr="00DF050F" w:rsidRDefault="00EB70FE" w:rsidP="00EB70FE">
      <w:pPr>
        <w:pStyle w:val="ListParagraph"/>
        <w:numPr>
          <w:ilvl w:val="0"/>
          <w:numId w:val="36"/>
        </w:numPr>
        <w:spacing w:before="120" w:after="120"/>
        <w:contextualSpacing w:val="0"/>
        <w:rPr>
          <w:rFonts w:ascii="Arial" w:hAnsi="Arial" w:cs="Arial"/>
          <w:sz w:val="22"/>
          <w:szCs w:val="22"/>
        </w:rPr>
      </w:pPr>
      <w:r w:rsidRPr="00DF050F">
        <w:rPr>
          <w:rFonts w:ascii="Arial" w:hAnsi="Arial" w:cs="Arial"/>
          <w:sz w:val="22"/>
          <w:szCs w:val="22"/>
        </w:rPr>
        <w:t>The presence of immovable property in Italy owned by Interedil Srl;</w:t>
      </w:r>
    </w:p>
    <w:p w14:paraId="0EBE79C6" w14:textId="77777777" w:rsidR="00EB70FE" w:rsidRPr="00DF050F" w:rsidRDefault="00EB70FE" w:rsidP="00EB70FE">
      <w:pPr>
        <w:pStyle w:val="ListParagraph"/>
        <w:numPr>
          <w:ilvl w:val="0"/>
          <w:numId w:val="36"/>
        </w:numPr>
        <w:spacing w:before="120" w:after="120"/>
        <w:contextualSpacing w:val="0"/>
        <w:rPr>
          <w:rFonts w:ascii="Arial" w:hAnsi="Arial" w:cs="Arial"/>
          <w:sz w:val="22"/>
          <w:szCs w:val="22"/>
        </w:rPr>
      </w:pPr>
      <w:r w:rsidRPr="00DF050F">
        <w:rPr>
          <w:rFonts w:ascii="Arial" w:hAnsi="Arial" w:cs="Arial"/>
          <w:sz w:val="22"/>
          <w:szCs w:val="22"/>
        </w:rPr>
        <w:t>The existence of a lease agreement in respect of two hotel complexes;</w:t>
      </w:r>
    </w:p>
    <w:p w14:paraId="3C525C80" w14:textId="77777777" w:rsidR="00EB70FE" w:rsidRPr="00DF050F" w:rsidRDefault="00EB70FE" w:rsidP="00EB70FE">
      <w:pPr>
        <w:pStyle w:val="ListParagraph"/>
        <w:numPr>
          <w:ilvl w:val="0"/>
          <w:numId w:val="36"/>
        </w:numPr>
        <w:spacing w:before="120" w:after="120"/>
        <w:contextualSpacing w:val="0"/>
        <w:rPr>
          <w:rFonts w:ascii="Arial" w:hAnsi="Arial" w:cs="Arial"/>
          <w:sz w:val="22"/>
          <w:szCs w:val="22"/>
        </w:rPr>
      </w:pPr>
      <w:r w:rsidRPr="00DF050F">
        <w:rPr>
          <w:rFonts w:ascii="Arial" w:hAnsi="Arial" w:cs="Arial"/>
          <w:sz w:val="22"/>
          <w:szCs w:val="22"/>
        </w:rPr>
        <w:t>A contract concluded with a banking institution;</w:t>
      </w:r>
    </w:p>
    <w:p w14:paraId="3EB35D7C" w14:textId="77777777" w:rsidR="00EB70FE" w:rsidRPr="00DF050F" w:rsidRDefault="00EB70FE" w:rsidP="00EB70FE">
      <w:pPr>
        <w:pStyle w:val="ListParagraph"/>
        <w:numPr>
          <w:ilvl w:val="0"/>
          <w:numId w:val="36"/>
        </w:numPr>
        <w:spacing w:before="120" w:after="120"/>
        <w:contextualSpacing w:val="0"/>
        <w:rPr>
          <w:rFonts w:ascii="Arial" w:hAnsi="Arial" w:cs="Arial"/>
          <w:sz w:val="22"/>
          <w:szCs w:val="22"/>
        </w:rPr>
      </w:pPr>
      <w:r w:rsidRPr="00DF050F">
        <w:rPr>
          <w:rFonts w:ascii="Arial" w:hAnsi="Arial" w:cs="Arial"/>
          <w:sz w:val="22"/>
          <w:szCs w:val="22"/>
        </w:rPr>
        <w:t xml:space="preserve">The Italian register of companies had not been notified of the transfer of </w:t>
      </w:r>
      <w:proofErr w:type="spellStart"/>
      <w:r w:rsidRPr="00DF050F">
        <w:rPr>
          <w:rFonts w:ascii="Arial" w:hAnsi="Arial" w:cs="Arial"/>
          <w:sz w:val="22"/>
          <w:szCs w:val="22"/>
        </w:rPr>
        <w:t>Interedil's</w:t>
      </w:r>
      <w:proofErr w:type="spellEnd"/>
      <w:r w:rsidRPr="00DF050F">
        <w:rPr>
          <w:rFonts w:ascii="Arial" w:hAnsi="Arial" w:cs="Arial"/>
          <w:sz w:val="22"/>
          <w:szCs w:val="22"/>
        </w:rPr>
        <w:t xml:space="preserve"> registered office (as it previously was registered in Italy). </w:t>
      </w:r>
    </w:p>
    <w:p w14:paraId="021646BA" w14:textId="4D331F05" w:rsidR="00EB70FE" w:rsidRPr="00DF050F" w:rsidRDefault="00EB70FE" w:rsidP="00EB70FE">
      <w:pPr>
        <w:rPr>
          <w:rFonts w:ascii="Arial" w:hAnsi="Arial" w:cs="Arial"/>
          <w:sz w:val="22"/>
          <w:szCs w:val="22"/>
        </w:rPr>
      </w:pPr>
      <w:r w:rsidRPr="00DF050F">
        <w:rPr>
          <w:rFonts w:ascii="Arial" w:hAnsi="Arial" w:cs="Arial"/>
          <w:sz w:val="22"/>
          <w:szCs w:val="22"/>
        </w:rPr>
        <w:t>Ultimately, the CJEU ruled that the registered office presumption can be rebutted when, from the viewpoint of third parties, the place in which the company's central administration (actual centre of management and supervision, and of the management of its interest) is located, does not coincide with the jurisdiction of its registered office.</w:t>
      </w:r>
      <w:r w:rsidRPr="00DF050F">
        <w:rPr>
          <w:rStyle w:val="FootnoteReference"/>
          <w:rFonts w:ascii="Arial" w:hAnsi="Arial" w:cs="Arial"/>
          <w:sz w:val="22"/>
          <w:szCs w:val="22"/>
        </w:rPr>
        <w:footnoteReference w:id="42"/>
      </w:r>
      <w:r w:rsidRPr="00DF050F">
        <w:rPr>
          <w:rFonts w:ascii="Arial" w:hAnsi="Arial" w:cs="Arial"/>
          <w:sz w:val="22"/>
          <w:szCs w:val="22"/>
        </w:rPr>
        <w:t xml:space="preserve"> Furthermore, a mere presence of some assets, such as bank accounts, moveable or immovable assets, is insufficient to rebut the registered office presumption.</w:t>
      </w:r>
      <w:r w:rsidRPr="00DF050F">
        <w:rPr>
          <w:rStyle w:val="FootnoteReference"/>
          <w:rFonts w:ascii="Arial" w:hAnsi="Arial" w:cs="Arial"/>
          <w:sz w:val="22"/>
          <w:szCs w:val="22"/>
        </w:rPr>
        <w:footnoteReference w:id="43"/>
      </w:r>
    </w:p>
    <w:p w14:paraId="3D39F276" w14:textId="77777777" w:rsidR="009C320F" w:rsidRPr="00DF050F" w:rsidRDefault="009C320F" w:rsidP="00EB70FE">
      <w:pPr>
        <w:rPr>
          <w:rFonts w:ascii="Arial" w:hAnsi="Arial" w:cs="Arial"/>
          <w:sz w:val="22"/>
          <w:szCs w:val="22"/>
        </w:rPr>
      </w:pPr>
    </w:p>
    <w:p w14:paraId="2BA3F788" w14:textId="73176511" w:rsidR="00EB70FE" w:rsidRPr="00DF050F" w:rsidRDefault="00EB70FE" w:rsidP="00EB70FE">
      <w:pPr>
        <w:rPr>
          <w:rFonts w:ascii="Arial" w:hAnsi="Arial" w:cs="Arial"/>
          <w:sz w:val="22"/>
          <w:szCs w:val="22"/>
        </w:rPr>
      </w:pPr>
      <w:r w:rsidRPr="00DF050F">
        <w:rPr>
          <w:rFonts w:ascii="Arial" w:hAnsi="Arial" w:cs="Arial"/>
          <w:sz w:val="22"/>
          <w:szCs w:val="22"/>
        </w:rPr>
        <w:t xml:space="preserve">Bella SARL is registered in France. Therefore, on the face of it, the Strasbourg High Court has jurisdiction as the COMI presumption under the EIR 2000 applies. </w:t>
      </w:r>
    </w:p>
    <w:p w14:paraId="638D32F6" w14:textId="77777777" w:rsidR="009C320F" w:rsidRPr="00DF050F" w:rsidRDefault="009C320F" w:rsidP="00EB70FE">
      <w:pPr>
        <w:rPr>
          <w:rFonts w:ascii="Arial" w:hAnsi="Arial" w:cs="Arial"/>
          <w:sz w:val="22"/>
          <w:szCs w:val="22"/>
        </w:rPr>
      </w:pPr>
    </w:p>
    <w:p w14:paraId="4C5BEB75" w14:textId="77777777" w:rsidR="00EB70FE" w:rsidRPr="00DF050F" w:rsidRDefault="00EB70FE" w:rsidP="00EB70FE">
      <w:pPr>
        <w:rPr>
          <w:rFonts w:ascii="Arial" w:hAnsi="Arial" w:cs="Arial"/>
          <w:sz w:val="22"/>
          <w:szCs w:val="22"/>
        </w:rPr>
      </w:pPr>
      <w:r w:rsidRPr="00DF050F">
        <w:rPr>
          <w:rFonts w:ascii="Arial" w:hAnsi="Arial" w:cs="Arial"/>
          <w:sz w:val="22"/>
          <w:szCs w:val="22"/>
        </w:rPr>
        <w:t>However, it is important to consider whether the presumption can here be rebutted.</w:t>
      </w:r>
    </w:p>
    <w:p w14:paraId="7D64CA2E"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Bella SARL opened its main store in Strasbourg. It is unclear from the facts provided whether this is the only store. </w:t>
      </w:r>
    </w:p>
    <w:p w14:paraId="1EAD4F62"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However, Bella SARL also has warehouses in Germany, Ireland, Italy, Spain and Portugal, with the main warehouse in Ireland. Furthermore, all employees are located in these countries, as well as most customers. As such, from a third party viewpoint, it could be argued that the place of Bella SARL's centre of management and supervision is not Strasbourg, France, but rather, one of the countries in which Bella SARL has warehouses, employees and customers. </w:t>
      </w:r>
    </w:p>
    <w:p w14:paraId="79CB2210" w14:textId="3AE8F5E3" w:rsidR="00EB70FE" w:rsidRPr="00DF050F" w:rsidRDefault="00EB70FE" w:rsidP="00EB70FE">
      <w:pPr>
        <w:rPr>
          <w:rFonts w:ascii="Arial" w:hAnsi="Arial" w:cs="Arial"/>
          <w:sz w:val="22"/>
          <w:szCs w:val="22"/>
        </w:rPr>
      </w:pPr>
      <w:r w:rsidRPr="00DF050F">
        <w:rPr>
          <w:rFonts w:ascii="Arial" w:hAnsi="Arial" w:cs="Arial"/>
          <w:sz w:val="22"/>
          <w:szCs w:val="22"/>
        </w:rPr>
        <w:t xml:space="preserve">Whilst the CJEU has clarified that a mere presence of assets, such as bank accounts, are insufficient to rebut the presumption, given the location of the main warehouse, employees and customers, it is likely that the COMI presumption is here rebutted. </w:t>
      </w:r>
    </w:p>
    <w:p w14:paraId="162DDC3C" w14:textId="77777777" w:rsidR="009C320F" w:rsidRPr="00DF050F" w:rsidRDefault="009C320F" w:rsidP="00EB70FE">
      <w:pPr>
        <w:rPr>
          <w:rFonts w:ascii="Arial" w:hAnsi="Arial" w:cs="Arial"/>
          <w:sz w:val="22"/>
          <w:szCs w:val="22"/>
        </w:rPr>
      </w:pPr>
    </w:p>
    <w:p w14:paraId="00E6BA40"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As such, the High Court of Strasbourg would be unlikely to be granted jurisdiction to open safeguard proceedings under the EIR 2000.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0FDAD8A0" w14:textId="7866AA4F" w:rsidR="00EB70FE" w:rsidRPr="00DF050F" w:rsidRDefault="00EB70FE" w:rsidP="00EB70FE">
      <w:pPr>
        <w:rPr>
          <w:rFonts w:ascii="Arial" w:hAnsi="Arial" w:cs="Arial"/>
          <w:sz w:val="22"/>
          <w:szCs w:val="22"/>
        </w:rPr>
      </w:pPr>
      <w:r w:rsidRPr="00DF050F">
        <w:rPr>
          <w:rFonts w:ascii="Arial" w:hAnsi="Arial" w:cs="Arial"/>
          <w:sz w:val="22"/>
          <w:szCs w:val="22"/>
        </w:rPr>
        <w:t>Determining whether the EIR Recast is applicable requires consideration of the following four steps:</w:t>
      </w:r>
    </w:p>
    <w:p w14:paraId="15A0819A" w14:textId="77777777" w:rsidR="009C320F" w:rsidRPr="00DF050F" w:rsidRDefault="009C320F" w:rsidP="00EB70FE">
      <w:pPr>
        <w:rPr>
          <w:rFonts w:ascii="Arial" w:hAnsi="Arial" w:cs="Arial"/>
          <w:sz w:val="22"/>
          <w:szCs w:val="22"/>
        </w:rPr>
      </w:pPr>
    </w:p>
    <w:p w14:paraId="59B526CC" w14:textId="4998AFCF" w:rsidR="00EB70FE" w:rsidRPr="00DF050F" w:rsidRDefault="00EB70FE" w:rsidP="00EB70FE">
      <w:pPr>
        <w:rPr>
          <w:rFonts w:ascii="Arial" w:hAnsi="Arial" w:cs="Arial"/>
          <w:sz w:val="22"/>
          <w:szCs w:val="22"/>
        </w:rPr>
      </w:pPr>
      <w:r w:rsidRPr="00DF050F">
        <w:rPr>
          <w:rFonts w:ascii="Arial" w:hAnsi="Arial" w:cs="Arial"/>
          <w:sz w:val="22"/>
          <w:szCs w:val="22"/>
        </w:rPr>
        <w:t>Step 1 – Territorial Scope</w:t>
      </w:r>
    </w:p>
    <w:p w14:paraId="019D8141" w14:textId="77777777" w:rsidR="009C320F" w:rsidRDefault="009C320F" w:rsidP="00EB70FE"/>
    <w:p w14:paraId="159E548D" w14:textId="7319EA75" w:rsidR="00EB70FE" w:rsidRPr="00DF050F" w:rsidRDefault="00EB70FE" w:rsidP="00EB70FE">
      <w:pPr>
        <w:rPr>
          <w:rFonts w:ascii="Arial" w:hAnsi="Arial" w:cs="Arial"/>
          <w:sz w:val="22"/>
          <w:szCs w:val="22"/>
        </w:rPr>
      </w:pPr>
      <w:r w:rsidRPr="00DF050F">
        <w:rPr>
          <w:rFonts w:ascii="Arial" w:hAnsi="Arial" w:cs="Arial"/>
          <w:sz w:val="22"/>
          <w:szCs w:val="22"/>
        </w:rPr>
        <w:t xml:space="preserve">What is Bella SARL's COMI? The EIR Recast will only apply if the COMI is located within the EU. </w:t>
      </w:r>
    </w:p>
    <w:p w14:paraId="444472EB" w14:textId="77777777" w:rsidR="009C320F" w:rsidRPr="00DF050F" w:rsidRDefault="009C320F" w:rsidP="00EB70FE">
      <w:pPr>
        <w:rPr>
          <w:rFonts w:ascii="Arial" w:hAnsi="Arial" w:cs="Arial"/>
          <w:sz w:val="22"/>
          <w:szCs w:val="22"/>
        </w:rPr>
      </w:pPr>
    </w:p>
    <w:p w14:paraId="761E6309" w14:textId="10F96C87" w:rsidR="00EB70FE" w:rsidRPr="00DF050F" w:rsidRDefault="00EB70FE" w:rsidP="00EB70FE">
      <w:pPr>
        <w:rPr>
          <w:rFonts w:ascii="Arial" w:hAnsi="Arial" w:cs="Arial"/>
          <w:sz w:val="22"/>
          <w:szCs w:val="22"/>
        </w:rPr>
      </w:pPr>
      <w:r w:rsidRPr="00DF050F">
        <w:rPr>
          <w:rFonts w:ascii="Arial" w:hAnsi="Arial" w:cs="Arial"/>
          <w:sz w:val="22"/>
          <w:szCs w:val="22"/>
        </w:rPr>
        <w:t xml:space="preserve">The question assumes that the French High Court has opened proceedings. As such, we can assume that Bella SARL's COMI has been confirmed to be France. Given France is in the EU, the EIR Recast applies. </w:t>
      </w:r>
    </w:p>
    <w:p w14:paraId="4BC531A3" w14:textId="77777777" w:rsidR="009C320F" w:rsidRPr="00DF050F" w:rsidRDefault="009C320F" w:rsidP="00EB70FE">
      <w:pPr>
        <w:rPr>
          <w:rFonts w:ascii="Arial" w:hAnsi="Arial" w:cs="Arial"/>
          <w:sz w:val="22"/>
          <w:szCs w:val="22"/>
        </w:rPr>
      </w:pPr>
    </w:p>
    <w:p w14:paraId="06CA4ADB" w14:textId="75A33196" w:rsidR="00EB70FE" w:rsidRPr="00DF050F" w:rsidRDefault="00EB70FE" w:rsidP="00EB70FE">
      <w:pPr>
        <w:rPr>
          <w:rFonts w:ascii="Arial" w:hAnsi="Arial" w:cs="Arial"/>
          <w:sz w:val="22"/>
          <w:szCs w:val="22"/>
        </w:rPr>
      </w:pPr>
      <w:r w:rsidRPr="00DF050F">
        <w:rPr>
          <w:rFonts w:ascii="Arial" w:hAnsi="Arial" w:cs="Arial"/>
          <w:sz w:val="22"/>
          <w:szCs w:val="22"/>
        </w:rPr>
        <w:t>In the alternative, and if the COMI had to be determined based on the facts: As discussed in my answer to question 4.1, whilst Bella SARL's registered office is in France, the relevant circumstances suggest that the registered office presumption is rebutted (noting that the COMI presumptions and rebuttals thereof are similar under both the EIR 2000 and the EIR Recast). Instead, it is likely that Bella SARL's COMI is Ireland, given it has its main warehouse there. Given Ireland is in the European Union, the EIR Recast w</w:t>
      </w:r>
      <w:r w:rsidR="00306C83">
        <w:rPr>
          <w:rFonts w:ascii="Arial" w:hAnsi="Arial" w:cs="Arial"/>
          <w:sz w:val="22"/>
          <w:szCs w:val="22"/>
        </w:rPr>
        <w:t xml:space="preserve">ould still </w:t>
      </w:r>
      <w:r w:rsidRPr="00DF050F">
        <w:rPr>
          <w:rFonts w:ascii="Arial" w:hAnsi="Arial" w:cs="Arial"/>
          <w:sz w:val="22"/>
          <w:szCs w:val="22"/>
        </w:rPr>
        <w:t xml:space="preserve">apply. </w:t>
      </w:r>
    </w:p>
    <w:p w14:paraId="10F07089" w14:textId="77777777" w:rsidR="009C320F" w:rsidRPr="00DF050F" w:rsidRDefault="009C320F" w:rsidP="00EB70FE">
      <w:pPr>
        <w:rPr>
          <w:rFonts w:ascii="Arial" w:hAnsi="Arial" w:cs="Arial"/>
          <w:sz w:val="22"/>
          <w:szCs w:val="22"/>
        </w:rPr>
      </w:pPr>
    </w:p>
    <w:p w14:paraId="19A66D55" w14:textId="670E15B3" w:rsidR="00EB70FE" w:rsidRPr="00DF050F" w:rsidRDefault="00EB70FE" w:rsidP="00EB70FE">
      <w:pPr>
        <w:rPr>
          <w:rFonts w:ascii="Arial" w:hAnsi="Arial" w:cs="Arial"/>
          <w:sz w:val="22"/>
          <w:szCs w:val="22"/>
        </w:rPr>
      </w:pPr>
      <w:r w:rsidRPr="00DF050F">
        <w:rPr>
          <w:rFonts w:ascii="Arial" w:hAnsi="Arial" w:cs="Arial"/>
          <w:sz w:val="22"/>
          <w:szCs w:val="22"/>
        </w:rPr>
        <w:t>Step 2 – Personal Scope</w:t>
      </w:r>
    </w:p>
    <w:p w14:paraId="22636BEA" w14:textId="77777777" w:rsidR="009C320F" w:rsidRPr="00DF050F" w:rsidRDefault="009C320F" w:rsidP="00EB70FE">
      <w:pPr>
        <w:rPr>
          <w:rFonts w:ascii="Arial" w:hAnsi="Arial" w:cs="Arial"/>
          <w:sz w:val="22"/>
          <w:szCs w:val="22"/>
        </w:rPr>
      </w:pPr>
    </w:p>
    <w:p w14:paraId="20BD0B15" w14:textId="77777777" w:rsidR="00EB70FE" w:rsidRPr="00DF050F" w:rsidRDefault="00EB70FE" w:rsidP="00EB70FE">
      <w:pPr>
        <w:rPr>
          <w:rFonts w:ascii="Arial" w:hAnsi="Arial" w:cs="Arial"/>
          <w:sz w:val="22"/>
          <w:szCs w:val="22"/>
        </w:rPr>
      </w:pPr>
      <w:r w:rsidRPr="00DF050F">
        <w:rPr>
          <w:rFonts w:ascii="Arial" w:hAnsi="Arial" w:cs="Arial"/>
          <w:sz w:val="22"/>
          <w:szCs w:val="22"/>
        </w:rPr>
        <w:t>Is the personal scope of the EIR Recast complied with? Article 1(2) sets out that the EIR Recast does not apply to:</w:t>
      </w:r>
    </w:p>
    <w:p w14:paraId="0F5ED6C2" w14:textId="10B2453A" w:rsidR="00EB70FE" w:rsidRPr="00DF050F" w:rsidRDefault="00EB70FE" w:rsidP="00EB70FE">
      <w:pPr>
        <w:pStyle w:val="ListParagraph"/>
        <w:numPr>
          <w:ilvl w:val="0"/>
          <w:numId w:val="37"/>
        </w:numPr>
        <w:spacing w:before="120" w:after="120"/>
        <w:contextualSpacing w:val="0"/>
        <w:rPr>
          <w:rFonts w:ascii="Arial" w:hAnsi="Arial" w:cs="Arial"/>
          <w:sz w:val="22"/>
          <w:szCs w:val="22"/>
        </w:rPr>
      </w:pPr>
      <w:r w:rsidRPr="00DF050F">
        <w:rPr>
          <w:rFonts w:ascii="Arial" w:hAnsi="Arial" w:cs="Arial"/>
          <w:sz w:val="22"/>
          <w:szCs w:val="22"/>
        </w:rPr>
        <w:t>insurance undertaking</w:t>
      </w:r>
      <w:r w:rsidR="00306C83">
        <w:rPr>
          <w:rFonts w:ascii="Arial" w:hAnsi="Arial" w:cs="Arial"/>
          <w:sz w:val="22"/>
          <w:szCs w:val="22"/>
        </w:rPr>
        <w:t>s</w:t>
      </w:r>
      <w:r w:rsidRPr="00DF050F">
        <w:rPr>
          <w:rFonts w:ascii="Arial" w:hAnsi="Arial" w:cs="Arial"/>
          <w:sz w:val="22"/>
          <w:szCs w:val="22"/>
        </w:rPr>
        <w:t>;</w:t>
      </w:r>
    </w:p>
    <w:p w14:paraId="446197CF" w14:textId="77777777" w:rsidR="00EB70FE" w:rsidRPr="00DF050F" w:rsidRDefault="00EB70FE" w:rsidP="00EB70FE">
      <w:pPr>
        <w:pStyle w:val="ListParagraph"/>
        <w:numPr>
          <w:ilvl w:val="0"/>
          <w:numId w:val="37"/>
        </w:numPr>
        <w:spacing w:before="120" w:after="120"/>
        <w:contextualSpacing w:val="0"/>
        <w:rPr>
          <w:rFonts w:ascii="Arial" w:hAnsi="Arial" w:cs="Arial"/>
          <w:sz w:val="22"/>
          <w:szCs w:val="22"/>
        </w:rPr>
      </w:pPr>
      <w:r w:rsidRPr="00DF050F">
        <w:rPr>
          <w:rFonts w:ascii="Arial" w:hAnsi="Arial" w:cs="Arial"/>
          <w:sz w:val="22"/>
          <w:szCs w:val="22"/>
        </w:rPr>
        <w:t>credit institutions;</w:t>
      </w:r>
    </w:p>
    <w:p w14:paraId="6F09B70A" w14:textId="77777777" w:rsidR="00EB70FE" w:rsidRPr="00DF050F" w:rsidRDefault="00EB70FE" w:rsidP="00EB70FE">
      <w:pPr>
        <w:pStyle w:val="ListParagraph"/>
        <w:numPr>
          <w:ilvl w:val="0"/>
          <w:numId w:val="37"/>
        </w:numPr>
        <w:spacing w:before="120" w:after="120"/>
        <w:contextualSpacing w:val="0"/>
        <w:rPr>
          <w:rFonts w:ascii="Arial" w:hAnsi="Arial" w:cs="Arial"/>
          <w:sz w:val="22"/>
          <w:szCs w:val="22"/>
        </w:rPr>
      </w:pPr>
      <w:r w:rsidRPr="00DF050F">
        <w:rPr>
          <w:rFonts w:ascii="Arial" w:hAnsi="Arial" w:cs="Arial"/>
          <w:sz w:val="22"/>
          <w:szCs w:val="22"/>
        </w:rPr>
        <w:t>investment firms; and</w:t>
      </w:r>
    </w:p>
    <w:p w14:paraId="62BFE87A" w14:textId="77777777" w:rsidR="00EB70FE" w:rsidRPr="00DF050F" w:rsidRDefault="00EB70FE" w:rsidP="00EB70FE">
      <w:pPr>
        <w:pStyle w:val="ListParagraph"/>
        <w:numPr>
          <w:ilvl w:val="0"/>
          <w:numId w:val="37"/>
        </w:numPr>
        <w:spacing w:before="120" w:after="120"/>
        <w:contextualSpacing w:val="0"/>
        <w:rPr>
          <w:rFonts w:ascii="Arial" w:hAnsi="Arial" w:cs="Arial"/>
          <w:sz w:val="22"/>
          <w:szCs w:val="22"/>
        </w:rPr>
      </w:pPr>
      <w:r w:rsidRPr="00DF050F">
        <w:rPr>
          <w:rFonts w:ascii="Arial" w:hAnsi="Arial" w:cs="Arial"/>
          <w:sz w:val="22"/>
          <w:szCs w:val="22"/>
        </w:rPr>
        <w:t>collective investment undertakings.</w:t>
      </w:r>
    </w:p>
    <w:p w14:paraId="7746753F" w14:textId="5B2FBB76" w:rsidR="00EB70FE" w:rsidRPr="00DF050F" w:rsidRDefault="00EB70FE" w:rsidP="00EB70FE">
      <w:pPr>
        <w:rPr>
          <w:rFonts w:ascii="Arial" w:hAnsi="Arial" w:cs="Arial"/>
          <w:sz w:val="22"/>
          <w:szCs w:val="22"/>
        </w:rPr>
      </w:pPr>
      <w:r w:rsidRPr="00DF050F">
        <w:rPr>
          <w:rFonts w:ascii="Arial" w:hAnsi="Arial" w:cs="Arial"/>
          <w:sz w:val="22"/>
          <w:szCs w:val="22"/>
        </w:rPr>
        <w:t xml:space="preserve">Given Bella SARL is a company selling cosmetic products, none of the exclusions apply, and it falls within the personal scope of the EIR Recast. </w:t>
      </w:r>
    </w:p>
    <w:p w14:paraId="51377455" w14:textId="77777777" w:rsidR="009C320F" w:rsidRPr="00DF050F" w:rsidRDefault="009C320F" w:rsidP="00EB70FE">
      <w:pPr>
        <w:rPr>
          <w:rFonts w:ascii="Arial" w:hAnsi="Arial" w:cs="Arial"/>
          <w:sz w:val="22"/>
          <w:szCs w:val="22"/>
        </w:rPr>
      </w:pPr>
    </w:p>
    <w:p w14:paraId="650CE56D" w14:textId="5776D23F" w:rsidR="00EB70FE" w:rsidRPr="00DF050F" w:rsidRDefault="00EB70FE" w:rsidP="00EB70FE">
      <w:pPr>
        <w:rPr>
          <w:rFonts w:ascii="Arial" w:hAnsi="Arial" w:cs="Arial"/>
          <w:sz w:val="22"/>
          <w:szCs w:val="22"/>
        </w:rPr>
      </w:pPr>
      <w:r w:rsidRPr="00DF050F">
        <w:rPr>
          <w:rFonts w:ascii="Arial" w:hAnsi="Arial" w:cs="Arial"/>
          <w:sz w:val="22"/>
          <w:szCs w:val="22"/>
        </w:rPr>
        <w:t>Step 3 – Material Scope</w:t>
      </w:r>
    </w:p>
    <w:p w14:paraId="046C8DE9" w14:textId="77777777" w:rsidR="009C320F" w:rsidRPr="00DF050F" w:rsidRDefault="009C320F" w:rsidP="00EB70FE">
      <w:pPr>
        <w:rPr>
          <w:rFonts w:ascii="Arial" w:hAnsi="Arial" w:cs="Arial"/>
          <w:sz w:val="22"/>
          <w:szCs w:val="22"/>
        </w:rPr>
      </w:pPr>
    </w:p>
    <w:p w14:paraId="3ACA6409" w14:textId="538CE103" w:rsidR="00EB70FE" w:rsidRPr="00DF050F" w:rsidRDefault="00EB70FE" w:rsidP="00EB70FE">
      <w:pPr>
        <w:rPr>
          <w:rFonts w:ascii="Arial" w:hAnsi="Arial" w:cs="Arial"/>
          <w:sz w:val="22"/>
          <w:szCs w:val="22"/>
        </w:rPr>
      </w:pPr>
      <w:r w:rsidRPr="00DF050F">
        <w:rPr>
          <w:rFonts w:ascii="Arial" w:hAnsi="Arial" w:cs="Arial"/>
          <w:sz w:val="22"/>
          <w:szCs w:val="22"/>
        </w:rPr>
        <w:t xml:space="preserve">In order to fall within the material scope of the EIR Recast, the insolvency proceeding must be listed in Annex A. Annex A mentions safeguard proceedings under 'France'. Therefore, Bella SARL falls within the material scope of the EIR Recast. </w:t>
      </w:r>
    </w:p>
    <w:p w14:paraId="5EA100DC" w14:textId="77777777" w:rsidR="009C320F" w:rsidRPr="00DF050F" w:rsidRDefault="009C320F" w:rsidP="00EB70FE">
      <w:pPr>
        <w:rPr>
          <w:rFonts w:ascii="Arial" w:hAnsi="Arial" w:cs="Arial"/>
          <w:sz w:val="22"/>
          <w:szCs w:val="22"/>
        </w:rPr>
      </w:pPr>
    </w:p>
    <w:p w14:paraId="016C7428" w14:textId="61AAF0C8" w:rsidR="00EB70FE" w:rsidRPr="00DF050F" w:rsidRDefault="00EB70FE" w:rsidP="00EB70FE">
      <w:pPr>
        <w:rPr>
          <w:rFonts w:ascii="Arial" w:hAnsi="Arial" w:cs="Arial"/>
          <w:sz w:val="22"/>
          <w:szCs w:val="22"/>
        </w:rPr>
      </w:pPr>
      <w:r w:rsidRPr="00DF050F">
        <w:rPr>
          <w:rFonts w:ascii="Arial" w:hAnsi="Arial" w:cs="Arial"/>
          <w:sz w:val="22"/>
          <w:szCs w:val="22"/>
        </w:rPr>
        <w:t>Step 4 – Temporal Scope</w:t>
      </w:r>
    </w:p>
    <w:p w14:paraId="75E401F8" w14:textId="77777777" w:rsidR="009C320F" w:rsidRPr="00DF050F" w:rsidRDefault="009C320F" w:rsidP="00EB70FE">
      <w:pPr>
        <w:rPr>
          <w:rFonts w:ascii="Arial" w:hAnsi="Arial" w:cs="Arial"/>
          <w:sz w:val="22"/>
          <w:szCs w:val="22"/>
        </w:rPr>
      </w:pPr>
    </w:p>
    <w:p w14:paraId="38B0CF90"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The temporal scope requires that insolvency proceedings be opened after 26 June 2017. This proceeding was opened on 30 June 2017 and therefore falls within the temporal scope of the EIR Recast. </w:t>
      </w:r>
    </w:p>
    <w:p w14:paraId="7217A785" w14:textId="77777777" w:rsidR="00EB70FE" w:rsidRDefault="00EB70FE" w:rsidP="00EB70FE">
      <w:r w:rsidRPr="00DF050F">
        <w:rPr>
          <w:rFonts w:ascii="Arial" w:hAnsi="Arial" w:cs="Arial"/>
          <w:sz w:val="22"/>
          <w:szCs w:val="22"/>
        </w:rPr>
        <w:t>Accordingly, the EIR Recast will be applicable to these proceedings.</w:t>
      </w:r>
      <w:r>
        <w:t xml:space="preserve">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EBA1B7B" w14:textId="472C74B7" w:rsidR="00EB70FE" w:rsidRPr="00DF050F" w:rsidRDefault="00EB70FE" w:rsidP="00EB70FE">
      <w:pPr>
        <w:rPr>
          <w:rFonts w:ascii="Arial" w:hAnsi="Arial" w:cs="Arial"/>
          <w:sz w:val="22"/>
          <w:szCs w:val="22"/>
        </w:rPr>
      </w:pPr>
      <w:r w:rsidRPr="00DF050F">
        <w:rPr>
          <w:rFonts w:ascii="Arial" w:hAnsi="Arial" w:cs="Arial"/>
          <w:sz w:val="22"/>
          <w:szCs w:val="22"/>
        </w:rPr>
        <w:lastRenderedPageBreak/>
        <w:t>In general, the EIR Recast by virtue of Article 3(2) allows for the opening of secondary insolvency proceedings against a debtor in any Member State where it possesses an establishment.</w:t>
      </w:r>
      <w:r w:rsidRPr="00DF050F">
        <w:rPr>
          <w:rStyle w:val="FootnoteReference"/>
          <w:rFonts w:ascii="Arial" w:hAnsi="Arial" w:cs="Arial"/>
          <w:sz w:val="22"/>
          <w:szCs w:val="22"/>
        </w:rPr>
        <w:footnoteReference w:id="44"/>
      </w:r>
      <w:r w:rsidRPr="00DF050F">
        <w:rPr>
          <w:rFonts w:ascii="Arial" w:hAnsi="Arial" w:cs="Arial"/>
          <w:sz w:val="22"/>
          <w:szCs w:val="22"/>
        </w:rPr>
        <w:t xml:space="preserve"> </w:t>
      </w:r>
    </w:p>
    <w:p w14:paraId="0F86606F" w14:textId="77777777" w:rsidR="009C320F" w:rsidRPr="00DF050F" w:rsidRDefault="009C320F" w:rsidP="00EB70FE">
      <w:pPr>
        <w:rPr>
          <w:rFonts w:ascii="Arial" w:hAnsi="Arial" w:cs="Arial"/>
          <w:sz w:val="22"/>
          <w:szCs w:val="22"/>
        </w:rPr>
      </w:pPr>
    </w:p>
    <w:p w14:paraId="44BD3053" w14:textId="312E2E88" w:rsidR="00EB70FE" w:rsidRPr="00DF050F" w:rsidRDefault="00EB70FE" w:rsidP="00EB70FE">
      <w:pPr>
        <w:rPr>
          <w:rFonts w:ascii="Arial" w:hAnsi="Arial" w:cs="Arial"/>
          <w:sz w:val="22"/>
          <w:szCs w:val="22"/>
        </w:rPr>
      </w:pPr>
      <w:r w:rsidRPr="00DF050F">
        <w:rPr>
          <w:rFonts w:ascii="Arial" w:hAnsi="Arial" w:cs="Arial"/>
          <w:sz w:val="22"/>
          <w:szCs w:val="22"/>
        </w:rPr>
        <w:t>Given an Italian Bank has filed a petition to open secondary proceedings in Italy, it must be established whether Bella SARL has an establishment in Italy.</w:t>
      </w:r>
    </w:p>
    <w:p w14:paraId="53BBF7B0" w14:textId="77777777" w:rsidR="009C320F" w:rsidRPr="00DF050F" w:rsidRDefault="009C320F" w:rsidP="00EB70FE">
      <w:pPr>
        <w:rPr>
          <w:rFonts w:ascii="Arial" w:hAnsi="Arial" w:cs="Arial"/>
          <w:sz w:val="22"/>
          <w:szCs w:val="22"/>
        </w:rPr>
      </w:pPr>
    </w:p>
    <w:p w14:paraId="28F3B6B2" w14:textId="6D1A046F" w:rsidR="00EB70FE" w:rsidRPr="00DF050F" w:rsidRDefault="00EB70FE" w:rsidP="00EB70FE">
      <w:pPr>
        <w:rPr>
          <w:rFonts w:ascii="Arial" w:hAnsi="Arial" w:cs="Arial"/>
          <w:sz w:val="22"/>
          <w:szCs w:val="22"/>
        </w:rPr>
      </w:pPr>
      <w:r w:rsidRPr="00DF050F">
        <w:rPr>
          <w:rFonts w:ascii="Arial" w:hAnsi="Arial" w:cs="Arial"/>
          <w:sz w:val="22"/>
          <w:szCs w:val="22"/>
        </w:rPr>
        <w:t>According to Article 2(10) of the EIR Recast, 'establishment' is defined as any place of operation where a debtor carries out or has carried out, in the three-month period prior to the request to open main insolvency proceedings, a non-transitory economic activity with human means and assets.</w:t>
      </w:r>
      <w:r w:rsidRPr="00DF050F">
        <w:rPr>
          <w:rStyle w:val="FootnoteReference"/>
          <w:rFonts w:ascii="Arial" w:hAnsi="Arial" w:cs="Arial"/>
          <w:sz w:val="22"/>
          <w:szCs w:val="22"/>
        </w:rPr>
        <w:footnoteReference w:id="45"/>
      </w:r>
    </w:p>
    <w:p w14:paraId="1A290CF0" w14:textId="77777777" w:rsidR="009C320F" w:rsidRPr="00DF050F" w:rsidRDefault="009C320F" w:rsidP="00EB70FE">
      <w:pPr>
        <w:rPr>
          <w:rFonts w:ascii="Arial" w:hAnsi="Arial" w:cs="Arial"/>
          <w:sz w:val="22"/>
          <w:szCs w:val="22"/>
        </w:rPr>
      </w:pPr>
    </w:p>
    <w:p w14:paraId="28B49CA3" w14:textId="33E21B58" w:rsidR="00EB70FE" w:rsidRPr="00DF050F" w:rsidRDefault="00EB70FE" w:rsidP="00EB70FE">
      <w:pPr>
        <w:rPr>
          <w:rFonts w:ascii="Arial" w:hAnsi="Arial" w:cs="Arial"/>
          <w:sz w:val="22"/>
          <w:szCs w:val="22"/>
        </w:rPr>
      </w:pPr>
      <w:r w:rsidRPr="00DF050F">
        <w:rPr>
          <w:rFonts w:ascii="Arial" w:hAnsi="Arial" w:cs="Arial"/>
          <w:sz w:val="22"/>
          <w:szCs w:val="22"/>
        </w:rPr>
        <w:t xml:space="preserve">The CJEU in </w:t>
      </w:r>
      <w:r w:rsidRPr="00DF050F">
        <w:rPr>
          <w:rFonts w:ascii="Arial" w:hAnsi="Arial" w:cs="Arial"/>
          <w:i/>
          <w:iCs/>
          <w:sz w:val="22"/>
          <w:szCs w:val="22"/>
        </w:rPr>
        <w:t>Interedil</w:t>
      </w:r>
      <w:r w:rsidRPr="00DF050F">
        <w:rPr>
          <w:rFonts w:ascii="Arial" w:hAnsi="Arial" w:cs="Arial"/>
          <w:sz w:val="22"/>
          <w:szCs w:val="22"/>
        </w:rPr>
        <w:t xml:space="preserve"> provided additional guidance on the concept of 'establishment' by concluding that a minimum level of organisation and degree of stability are required, and that the presence alone of goods in isolation or bank accounts does not, in principle, satisfy the requirements for the classification of an establishment.</w:t>
      </w:r>
      <w:r w:rsidRPr="00DF050F">
        <w:rPr>
          <w:rStyle w:val="FootnoteReference"/>
          <w:rFonts w:ascii="Arial" w:hAnsi="Arial" w:cs="Arial"/>
          <w:sz w:val="22"/>
          <w:szCs w:val="22"/>
        </w:rPr>
        <w:footnoteReference w:id="46"/>
      </w:r>
      <w:r w:rsidRPr="00DF050F">
        <w:rPr>
          <w:rFonts w:ascii="Arial" w:hAnsi="Arial" w:cs="Arial"/>
          <w:sz w:val="22"/>
          <w:szCs w:val="22"/>
        </w:rPr>
        <w:t xml:space="preserve"> </w:t>
      </w:r>
    </w:p>
    <w:p w14:paraId="043FD5BD" w14:textId="77777777" w:rsidR="009C320F" w:rsidRPr="00DF050F" w:rsidRDefault="009C320F" w:rsidP="00EB70FE">
      <w:pPr>
        <w:rPr>
          <w:rFonts w:ascii="Arial" w:hAnsi="Arial" w:cs="Arial"/>
          <w:sz w:val="22"/>
          <w:szCs w:val="22"/>
        </w:rPr>
      </w:pPr>
    </w:p>
    <w:p w14:paraId="33E9E81E" w14:textId="517D5AFB" w:rsidR="00EB70FE" w:rsidRPr="00DF050F" w:rsidRDefault="00EB70FE" w:rsidP="00EB70FE">
      <w:pPr>
        <w:rPr>
          <w:rFonts w:ascii="Arial" w:hAnsi="Arial" w:cs="Arial"/>
          <w:sz w:val="22"/>
          <w:szCs w:val="22"/>
        </w:rPr>
      </w:pPr>
      <w:r w:rsidRPr="00DF050F">
        <w:rPr>
          <w:rFonts w:ascii="Arial" w:hAnsi="Arial" w:cs="Arial"/>
          <w:sz w:val="22"/>
          <w:szCs w:val="22"/>
        </w:rPr>
        <w:t xml:space="preserve">The facts provided are unclear on how long Bella SARL has operated its warehouse in Italy. However, given it opened its first store in 2010, and a request for the opening of the safeguard proceedings was not made until 2017, it is likely safe to assume that the </w:t>
      </w:r>
      <w:r w:rsidR="00306C83" w:rsidRPr="00DF050F">
        <w:rPr>
          <w:rFonts w:ascii="Arial" w:hAnsi="Arial" w:cs="Arial"/>
          <w:sz w:val="22"/>
          <w:szCs w:val="22"/>
        </w:rPr>
        <w:t>three-month</w:t>
      </w:r>
      <w:r w:rsidRPr="00DF050F">
        <w:rPr>
          <w:rFonts w:ascii="Arial" w:hAnsi="Arial" w:cs="Arial"/>
          <w:sz w:val="22"/>
          <w:szCs w:val="22"/>
        </w:rPr>
        <w:t xml:space="preserve"> period referred to in article 2(10) is made out. </w:t>
      </w:r>
    </w:p>
    <w:p w14:paraId="7330A4E2" w14:textId="77777777" w:rsidR="009C320F" w:rsidRPr="00DF050F" w:rsidRDefault="009C320F" w:rsidP="00EB70FE">
      <w:pPr>
        <w:rPr>
          <w:rFonts w:ascii="Arial" w:hAnsi="Arial" w:cs="Arial"/>
          <w:sz w:val="22"/>
          <w:szCs w:val="22"/>
        </w:rPr>
      </w:pPr>
    </w:p>
    <w:p w14:paraId="2F7A84A4" w14:textId="77777777" w:rsidR="00EB70FE" w:rsidRPr="00DF050F" w:rsidRDefault="00EB70FE" w:rsidP="00EB70FE">
      <w:pPr>
        <w:rPr>
          <w:rFonts w:ascii="Arial" w:hAnsi="Arial" w:cs="Arial"/>
          <w:sz w:val="22"/>
          <w:szCs w:val="22"/>
        </w:rPr>
      </w:pPr>
      <w:r w:rsidRPr="00DF050F">
        <w:rPr>
          <w:rFonts w:ascii="Arial" w:hAnsi="Arial" w:cs="Arial"/>
          <w:sz w:val="22"/>
          <w:szCs w:val="22"/>
        </w:rPr>
        <w:t xml:space="preserve">Furthermore, given that Bella SARL also has employees in Italy (in addition to the warehouse) shows that it conducts its activities with the involvement of human resources and assets, which together demonstrate an organisational presence in Italy. As such, an 'establishment' in Italy is likely made out. This means secondary proceedings in Italy can be opened under the EIR Recast.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D793AA0" w:rsidR="00D509A5" w:rsidRPr="00E36039" w:rsidRDefault="00DF050F" w:rsidP="009B4976">
    <w:pPr>
      <w:pStyle w:val="Footer"/>
      <w:ind w:right="360"/>
      <w:rPr>
        <w:rFonts w:ascii="Avenir Next" w:hAnsi="Avenir Next" w:cs="Arial"/>
        <w:sz w:val="22"/>
        <w:szCs w:val="22"/>
        <w:lang w:val="en-GB"/>
      </w:rPr>
    </w:pPr>
    <w:r>
      <w:rPr>
        <w:rFonts w:ascii="Avenir Next" w:hAnsi="Avenir Next" w:cs="Arial"/>
        <w:sz w:val="22"/>
        <w:szCs w:val="22"/>
        <w:lang w:val="en-GB"/>
      </w:rPr>
      <w:t>202223-916</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 w:id="1">
    <w:p w14:paraId="1D4EA376"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Professor Bob Wessels and </w:t>
      </w:r>
      <w:proofErr w:type="spellStart"/>
      <w:r w:rsidRPr="009C320F">
        <w:rPr>
          <w:rFonts w:ascii="Arial" w:hAnsi="Arial" w:cs="Arial"/>
          <w:sz w:val="22"/>
          <w:szCs w:val="22"/>
        </w:rPr>
        <w:t>Mr</w:t>
      </w:r>
      <w:proofErr w:type="spellEnd"/>
      <w:r w:rsidRPr="009C320F">
        <w:rPr>
          <w:rFonts w:ascii="Arial" w:hAnsi="Arial" w:cs="Arial"/>
          <w:sz w:val="22"/>
          <w:szCs w:val="22"/>
        </w:rPr>
        <w:t xml:space="preserve"> Ilya Kokorin, </w:t>
      </w:r>
      <w:r w:rsidRPr="009C320F">
        <w:rPr>
          <w:rFonts w:ascii="Arial" w:hAnsi="Arial" w:cs="Arial"/>
          <w:i/>
          <w:iCs/>
          <w:sz w:val="22"/>
          <w:szCs w:val="22"/>
        </w:rPr>
        <w:t>Module 2B Guidance Text – The European Insolvency Regulation,</w:t>
      </w:r>
      <w:r w:rsidRPr="009C320F">
        <w:rPr>
          <w:rFonts w:ascii="Arial" w:hAnsi="Arial" w:cs="Arial"/>
          <w:sz w:val="22"/>
          <w:szCs w:val="22"/>
        </w:rPr>
        <w:t xml:space="preserve"> September 2022, p 17.</w:t>
      </w:r>
    </w:p>
  </w:footnote>
  <w:footnote w:id="2">
    <w:p w14:paraId="6CE19957"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Case C-396/09, ECLI:EU:C:2011:671 (Oct. 20, 2011), as cited in Professor Bob Wessels and </w:t>
      </w:r>
      <w:proofErr w:type="spellStart"/>
      <w:r w:rsidRPr="009C320F">
        <w:rPr>
          <w:rFonts w:ascii="Arial" w:hAnsi="Arial" w:cs="Arial"/>
          <w:sz w:val="22"/>
          <w:szCs w:val="22"/>
        </w:rPr>
        <w:t>Mr</w:t>
      </w:r>
      <w:proofErr w:type="spellEnd"/>
      <w:r w:rsidRPr="009C320F">
        <w:rPr>
          <w:rFonts w:ascii="Arial" w:hAnsi="Arial" w:cs="Arial"/>
          <w:sz w:val="22"/>
          <w:szCs w:val="22"/>
        </w:rPr>
        <w:t xml:space="preserve"> Ilya Kokorin, </w:t>
      </w:r>
      <w:r w:rsidRPr="009C320F">
        <w:rPr>
          <w:rFonts w:ascii="Arial" w:hAnsi="Arial" w:cs="Arial"/>
          <w:i/>
          <w:iCs/>
          <w:sz w:val="22"/>
          <w:szCs w:val="22"/>
        </w:rPr>
        <w:t>Module 2B Guidance Text – The European Insolvency Regulation,</w:t>
      </w:r>
      <w:r w:rsidRPr="009C320F">
        <w:rPr>
          <w:rFonts w:ascii="Arial" w:hAnsi="Arial" w:cs="Arial"/>
          <w:sz w:val="22"/>
          <w:szCs w:val="22"/>
        </w:rPr>
        <w:t xml:space="preserve"> September 2022, p 17.</w:t>
      </w:r>
    </w:p>
  </w:footnote>
  <w:footnote w:id="3">
    <w:p w14:paraId="25C496A4"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18.</w:t>
      </w:r>
    </w:p>
  </w:footnote>
  <w:footnote w:id="4">
    <w:p w14:paraId="01D3EB1F"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5">
    <w:p w14:paraId="14BB5823"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Regulation (EU) 2015/848 of the European Parliament and of the Council of 20 May 2015 on insolvency proceedings (recast), &lt;&lt;https://eur-lex.europa.eu/legal-content/EN/TXT/PDF/?uri=CELEX:32015R0848&amp;from=en&gt;&gt;, accessed 16 February 2023. </w:t>
      </w:r>
    </w:p>
  </w:footnote>
  <w:footnote w:id="6">
    <w:p w14:paraId="7230F0B5" w14:textId="77777777" w:rsidR="00DB6D3C" w:rsidRDefault="00DB6D3C" w:rsidP="00DB6D3C">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r w:rsidRPr="00DF5F56">
        <w:rPr>
          <w:i/>
          <w:iCs/>
        </w:rPr>
        <w:t xml:space="preserve"> </w:t>
      </w:r>
    </w:p>
  </w:footnote>
  <w:footnote w:id="7">
    <w:p w14:paraId="318C8D9B"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18.</w:t>
      </w:r>
    </w:p>
  </w:footnote>
  <w:footnote w:id="8">
    <w:p w14:paraId="78212E46"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Regulation (EU) 2015/848 of the European Parliament and of the Council of 20 May 2015 on insolvency proceedings (recast), &lt;&lt;https://eur-lex.europa.eu/legal-content/EN/TXT/PDF/?uri=CELEX:32015R0848&amp;from=en&gt;&gt;, accessed 20 February 2023.</w:t>
      </w:r>
    </w:p>
  </w:footnote>
  <w:footnote w:id="9">
    <w:p w14:paraId="2BF931C3"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32.</w:t>
      </w:r>
    </w:p>
  </w:footnote>
  <w:footnote w:id="10">
    <w:p w14:paraId="11F6C2E9"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Idem,</w:t>
      </w:r>
      <w:r w:rsidRPr="009C320F">
        <w:rPr>
          <w:rFonts w:ascii="Arial" w:hAnsi="Arial" w:cs="Arial"/>
          <w:sz w:val="22"/>
          <w:szCs w:val="22"/>
        </w:rPr>
        <w:t xml:space="preserve"> p 36.</w:t>
      </w:r>
    </w:p>
  </w:footnote>
  <w:footnote w:id="11">
    <w:p w14:paraId="1125DB54"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proofErr w:type="spellStart"/>
      <w:r w:rsidRPr="009C320F">
        <w:rPr>
          <w:rFonts w:ascii="Arial" w:hAnsi="Arial" w:cs="Arial"/>
          <w:i/>
          <w:iCs/>
          <w:sz w:val="22"/>
          <w:szCs w:val="22"/>
        </w:rPr>
        <w:t>Idem,</w:t>
      </w:r>
      <w:r w:rsidRPr="009C320F">
        <w:rPr>
          <w:rFonts w:ascii="Arial" w:hAnsi="Arial" w:cs="Arial"/>
          <w:sz w:val="22"/>
          <w:szCs w:val="22"/>
        </w:rPr>
        <w:t>p</w:t>
      </w:r>
      <w:proofErr w:type="spellEnd"/>
      <w:r w:rsidRPr="009C320F">
        <w:rPr>
          <w:rFonts w:ascii="Arial" w:hAnsi="Arial" w:cs="Arial"/>
          <w:sz w:val="22"/>
          <w:szCs w:val="22"/>
        </w:rPr>
        <w:t xml:space="preserve"> 44.</w:t>
      </w:r>
    </w:p>
  </w:footnote>
  <w:footnote w:id="12">
    <w:p w14:paraId="745BD70A"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proofErr w:type="spellStart"/>
      <w:r w:rsidRPr="009C320F">
        <w:rPr>
          <w:rFonts w:ascii="Arial" w:hAnsi="Arial" w:cs="Arial"/>
          <w:i/>
          <w:iCs/>
          <w:sz w:val="22"/>
          <w:szCs w:val="22"/>
        </w:rPr>
        <w:t>Idem,</w:t>
      </w:r>
      <w:r w:rsidRPr="009C320F">
        <w:rPr>
          <w:rFonts w:ascii="Arial" w:hAnsi="Arial" w:cs="Arial"/>
          <w:sz w:val="22"/>
          <w:szCs w:val="22"/>
        </w:rPr>
        <w:t>p</w:t>
      </w:r>
      <w:proofErr w:type="spellEnd"/>
      <w:r w:rsidRPr="009C320F">
        <w:rPr>
          <w:rFonts w:ascii="Arial" w:hAnsi="Arial" w:cs="Arial"/>
          <w:sz w:val="22"/>
          <w:szCs w:val="22"/>
        </w:rPr>
        <w:t xml:space="preserve"> 46.</w:t>
      </w:r>
    </w:p>
  </w:footnote>
  <w:footnote w:id="13">
    <w:p w14:paraId="02559D50"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Ibid.</w:t>
      </w:r>
    </w:p>
  </w:footnote>
  <w:footnote w:id="14">
    <w:p w14:paraId="2980B126" w14:textId="77777777" w:rsidR="00DB6D3C" w:rsidRDefault="00DB6D3C" w:rsidP="00DB6D3C">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w:t>
      </w:r>
      <w:proofErr w:type="spellStart"/>
      <w:r w:rsidRPr="009C320F">
        <w:rPr>
          <w:rFonts w:ascii="Arial" w:hAnsi="Arial" w:cs="Arial"/>
          <w:i/>
          <w:iCs/>
          <w:sz w:val="22"/>
          <w:szCs w:val="22"/>
        </w:rPr>
        <w:t>Idem,</w:t>
      </w:r>
      <w:r w:rsidRPr="009C320F">
        <w:rPr>
          <w:rFonts w:ascii="Arial" w:hAnsi="Arial" w:cs="Arial"/>
          <w:sz w:val="22"/>
          <w:szCs w:val="22"/>
        </w:rPr>
        <w:t>p</w:t>
      </w:r>
      <w:proofErr w:type="spellEnd"/>
      <w:r w:rsidRPr="009C320F">
        <w:rPr>
          <w:rFonts w:ascii="Arial" w:hAnsi="Arial" w:cs="Arial"/>
          <w:sz w:val="22"/>
          <w:szCs w:val="22"/>
        </w:rPr>
        <w:t xml:space="preserve"> 46 to 47.</w:t>
      </w:r>
    </w:p>
  </w:footnote>
  <w:footnote w:id="15">
    <w:p w14:paraId="35666DDC"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Regulation (EU) 2015/848 of the European Parliament and of the Council of 20 May 2015 on insolvency proceedings (recast), Article 36(1), &lt;&lt;https://eur-lex.europa.eu/legal-content/EN/TXT/PDF/?uri=CELEX:32015R0848&amp;from=en&gt;&gt;, accessed 20 February 2023.</w:t>
      </w:r>
    </w:p>
  </w:footnote>
  <w:footnote w:id="16">
    <w:p w14:paraId="35915DE0"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49, citing EIR Recast articles 36(3) to (5).</w:t>
      </w:r>
    </w:p>
  </w:footnote>
  <w:footnote w:id="17">
    <w:p w14:paraId="24CB22C2" w14:textId="7C8DDC46"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00511C12" w:rsidRPr="009C320F">
        <w:rPr>
          <w:rFonts w:ascii="Arial" w:hAnsi="Arial" w:cs="Arial"/>
          <w:i/>
          <w:iCs/>
          <w:sz w:val="22"/>
          <w:szCs w:val="22"/>
        </w:rPr>
        <w:t>Idem</w:t>
      </w:r>
      <w:r w:rsidRPr="009C320F">
        <w:rPr>
          <w:rFonts w:ascii="Arial" w:hAnsi="Arial" w:cs="Arial"/>
          <w:sz w:val="22"/>
          <w:szCs w:val="22"/>
        </w:rPr>
        <w:t>, p 50.</w:t>
      </w:r>
    </w:p>
  </w:footnote>
  <w:footnote w:id="18">
    <w:p w14:paraId="200131CA" w14:textId="77777777" w:rsidR="00DB6D3C" w:rsidRPr="009C320F" w:rsidRDefault="00DB6D3C" w:rsidP="00DB6D3C">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r w:rsidRPr="009C320F">
        <w:rPr>
          <w:rFonts w:ascii="Arial" w:hAnsi="Arial" w:cs="Arial"/>
          <w:sz w:val="22"/>
          <w:szCs w:val="22"/>
        </w:rPr>
        <w:t xml:space="preserve">, citing Recital 45. </w:t>
      </w:r>
    </w:p>
  </w:footnote>
  <w:footnote w:id="19">
    <w:p w14:paraId="68DFC688" w14:textId="53009B71" w:rsidR="00DB6D3C" w:rsidRDefault="00DB6D3C" w:rsidP="00DB6D3C">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w:t>
      </w:r>
      <w:r w:rsidR="00511C12" w:rsidRPr="009C320F">
        <w:rPr>
          <w:rFonts w:ascii="Arial" w:hAnsi="Arial" w:cs="Arial"/>
          <w:i/>
          <w:iCs/>
          <w:sz w:val="22"/>
          <w:szCs w:val="22"/>
        </w:rPr>
        <w:t>Ibid</w:t>
      </w:r>
      <w:r w:rsidR="00511C12">
        <w:rPr>
          <w:rFonts w:ascii="Arial" w:hAnsi="Arial" w:cs="Arial"/>
          <w:sz w:val="22"/>
          <w:szCs w:val="22"/>
        </w:rPr>
        <w:t>.</w:t>
      </w:r>
    </w:p>
  </w:footnote>
  <w:footnote w:id="20">
    <w:p w14:paraId="67E7FD43"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Idem,</w:t>
      </w:r>
      <w:r w:rsidRPr="009C320F">
        <w:rPr>
          <w:rFonts w:ascii="Arial" w:hAnsi="Arial" w:cs="Arial"/>
          <w:sz w:val="22"/>
          <w:szCs w:val="22"/>
        </w:rPr>
        <w:t xml:space="preserve"> p 9.</w:t>
      </w:r>
    </w:p>
  </w:footnote>
  <w:footnote w:id="21">
    <w:p w14:paraId="49EBE7A1"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22">
    <w:p w14:paraId="7A21E1BA" w14:textId="77777777" w:rsidR="00EB70FE" w:rsidRDefault="00EB70FE" w:rsidP="00EB70FE">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European Commission, Proposal for a Regulation of the European Parliament and of the Council, COM(2012) 744 final, &lt;&lt;</w:t>
      </w:r>
      <w:hyperlink r:id="rId1" w:history="1">
        <w:r w:rsidRPr="009C320F">
          <w:rPr>
            <w:rStyle w:val="Hyperlink"/>
            <w:rFonts w:ascii="Arial" w:hAnsi="Arial" w:cs="Arial"/>
            <w:color w:val="auto"/>
            <w:sz w:val="22"/>
            <w:szCs w:val="22"/>
            <w:u w:val="none"/>
          </w:rPr>
          <w:t>https://www.europarl.europa.eu/meetdocs/2009_2014/documents/com/com_com(2012)0744_/com_com(2012)0744_en.pdf</w:t>
        </w:r>
      </w:hyperlink>
      <w:r w:rsidRPr="009C320F">
        <w:rPr>
          <w:rFonts w:ascii="Arial" w:hAnsi="Arial" w:cs="Arial"/>
          <w:sz w:val="22"/>
          <w:szCs w:val="22"/>
        </w:rPr>
        <w:t>&gt;&gt;, accessed 16 February 2023.</w:t>
      </w:r>
    </w:p>
  </w:footnote>
  <w:footnote w:id="23">
    <w:p w14:paraId="00DD9F66"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r w:rsidRPr="009C320F">
        <w:rPr>
          <w:rFonts w:ascii="Arial" w:hAnsi="Arial" w:cs="Arial"/>
          <w:sz w:val="22"/>
          <w:szCs w:val="22"/>
        </w:rPr>
        <w:t xml:space="preserve"> </w:t>
      </w:r>
    </w:p>
  </w:footnote>
  <w:footnote w:id="24">
    <w:p w14:paraId="4E10B545"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54.</w:t>
      </w:r>
    </w:p>
  </w:footnote>
  <w:footnote w:id="25">
    <w:p w14:paraId="7206FBDE"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26">
    <w:p w14:paraId="10F971C2"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Idem,</w:t>
      </w:r>
      <w:r w:rsidRPr="009C320F">
        <w:rPr>
          <w:rFonts w:ascii="Arial" w:hAnsi="Arial" w:cs="Arial"/>
          <w:sz w:val="22"/>
          <w:szCs w:val="22"/>
        </w:rPr>
        <w:t xml:space="preserve"> p 55.</w:t>
      </w:r>
    </w:p>
  </w:footnote>
  <w:footnote w:id="27">
    <w:p w14:paraId="4C8DC790"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Idem,</w:t>
      </w:r>
      <w:r w:rsidRPr="009C320F">
        <w:rPr>
          <w:rFonts w:ascii="Arial" w:hAnsi="Arial" w:cs="Arial"/>
          <w:sz w:val="22"/>
          <w:szCs w:val="22"/>
        </w:rPr>
        <w:t xml:space="preserve"> p 57, citing EIR Recast Recital 54.</w:t>
      </w:r>
    </w:p>
  </w:footnote>
  <w:footnote w:id="28">
    <w:p w14:paraId="762DBFF8"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29">
    <w:p w14:paraId="542A7312" w14:textId="77777777" w:rsidR="00EB70FE" w:rsidRDefault="00EB70FE" w:rsidP="00EB70FE">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30">
    <w:p w14:paraId="35D9B658"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11.</w:t>
      </w:r>
    </w:p>
  </w:footnote>
  <w:footnote w:id="31">
    <w:p w14:paraId="7C3510E0"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Ibid.</w:t>
      </w:r>
    </w:p>
  </w:footnote>
  <w:footnote w:id="32">
    <w:p w14:paraId="1AD56973"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t>
      </w:r>
      <w:proofErr w:type="spellStart"/>
      <w:r w:rsidRPr="009C320F">
        <w:rPr>
          <w:rFonts w:ascii="Arial" w:hAnsi="Arial" w:cs="Arial"/>
          <w:sz w:val="22"/>
          <w:szCs w:val="22"/>
        </w:rPr>
        <w:t>Ponseck</w:t>
      </w:r>
      <w:proofErr w:type="spellEnd"/>
      <w:r w:rsidRPr="009C320F">
        <w:rPr>
          <w:rFonts w:ascii="Arial" w:hAnsi="Arial" w:cs="Arial"/>
          <w:sz w:val="22"/>
          <w:szCs w:val="22"/>
        </w:rPr>
        <w:t xml:space="preserve">, Joachim and </w:t>
      </w:r>
      <w:proofErr w:type="spellStart"/>
      <w:r w:rsidRPr="009C320F">
        <w:rPr>
          <w:rFonts w:ascii="Arial" w:hAnsi="Arial" w:cs="Arial"/>
          <w:sz w:val="22"/>
          <w:szCs w:val="22"/>
        </w:rPr>
        <w:t>Swierczok</w:t>
      </w:r>
      <w:proofErr w:type="spellEnd"/>
      <w:r w:rsidRPr="009C320F">
        <w:rPr>
          <w:rFonts w:ascii="Arial" w:hAnsi="Arial" w:cs="Arial"/>
          <w:sz w:val="22"/>
          <w:szCs w:val="22"/>
        </w:rPr>
        <w:t>, Artur, "The New European Restructuring Scheme – Update May 2022", &lt;&lt;</w:t>
      </w:r>
      <w:hyperlink r:id="rId2" w:anchor=":~:text=Through%20the%20EU%20Directive%20on,had%20been%2017%20July%202021" w:history="1">
        <w:r w:rsidRPr="009C320F">
          <w:rPr>
            <w:rStyle w:val="Hyperlink"/>
            <w:rFonts w:ascii="Arial" w:hAnsi="Arial" w:cs="Arial"/>
            <w:color w:val="auto"/>
            <w:sz w:val="22"/>
            <w:szCs w:val="22"/>
            <w:u w:val="none"/>
          </w:rPr>
          <w:t>https://www.bakermckenzie.com/en/insight/publications/2022/05/new-european-restructuring-schemes-update-may-2022#:~:text=Through%20the%20EU%20Directive%20on,had%20been%2017%20July%202021</w:t>
        </w:r>
      </w:hyperlink>
      <w:r w:rsidRPr="009C320F">
        <w:rPr>
          <w:rFonts w:ascii="Arial" w:hAnsi="Arial" w:cs="Arial"/>
          <w:sz w:val="22"/>
          <w:szCs w:val="22"/>
        </w:rPr>
        <w:t>&gt;&gt;,  accessed 16 February 2023.</w:t>
      </w:r>
    </w:p>
  </w:footnote>
  <w:footnote w:id="33">
    <w:p w14:paraId="083B0EDD" w14:textId="77777777" w:rsidR="00EB70FE" w:rsidRPr="009C320F" w:rsidRDefault="00EB70FE" w:rsidP="00EB70FE">
      <w:pPr>
        <w:pStyle w:val="FootnoteText"/>
        <w:rPr>
          <w:rFonts w:ascii="Arial" w:hAnsi="Arial" w:cs="Arial"/>
          <w:sz w:val="22"/>
          <w:szCs w:val="22"/>
        </w:rPr>
      </w:pPr>
      <w:r w:rsidRPr="009C320F">
        <w:rPr>
          <w:rStyle w:val="FootnoteReference"/>
          <w:rFonts w:ascii="Arial" w:hAnsi="Arial" w:cs="Arial"/>
          <w:sz w:val="22"/>
          <w:szCs w:val="22"/>
        </w:rPr>
        <w:footnoteRef/>
      </w:r>
      <w:r w:rsidRPr="009C320F">
        <w:rPr>
          <w:rFonts w:ascii="Arial" w:hAnsi="Arial" w:cs="Arial"/>
          <w:sz w:val="22"/>
          <w:szCs w:val="22"/>
        </w:rPr>
        <w:t xml:space="preserve"> Wessels and Kokorin, </w:t>
      </w:r>
      <w:r w:rsidRPr="009C320F">
        <w:rPr>
          <w:rFonts w:ascii="Arial" w:hAnsi="Arial" w:cs="Arial"/>
          <w:i/>
          <w:iCs/>
          <w:sz w:val="22"/>
          <w:szCs w:val="22"/>
        </w:rPr>
        <w:t>supra</w:t>
      </w:r>
      <w:r w:rsidRPr="009C320F">
        <w:rPr>
          <w:rFonts w:ascii="Arial" w:hAnsi="Arial" w:cs="Arial"/>
          <w:sz w:val="22"/>
          <w:szCs w:val="22"/>
        </w:rPr>
        <w:t xml:space="preserve"> note 1, p 10. </w:t>
      </w:r>
    </w:p>
  </w:footnote>
  <w:footnote w:id="34">
    <w:p w14:paraId="5CB5DC98" w14:textId="77777777" w:rsidR="00EB70FE" w:rsidRDefault="00EB70FE" w:rsidP="00EB70FE">
      <w:pPr>
        <w:pStyle w:val="FootnoteText"/>
      </w:pPr>
      <w:r w:rsidRPr="009C320F">
        <w:rPr>
          <w:rStyle w:val="FootnoteReference"/>
          <w:rFonts w:ascii="Arial" w:hAnsi="Arial" w:cs="Arial"/>
          <w:sz w:val="22"/>
          <w:szCs w:val="22"/>
        </w:rPr>
        <w:footnoteRef/>
      </w:r>
      <w:r w:rsidRPr="009C320F">
        <w:rPr>
          <w:rFonts w:ascii="Arial" w:hAnsi="Arial" w:cs="Arial"/>
          <w:sz w:val="22"/>
          <w:szCs w:val="22"/>
        </w:rPr>
        <w:t xml:space="preserve"> </w:t>
      </w:r>
      <w:r w:rsidRPr="009C320F">
        <w:rPr>
          <w:rFonts w:ascii="Arial" w:hAnsi="Arial" w:cs="Arial"/>
          <w:i/>
          <w:iCs/>
          <w:sz w:val="22"/>
          <w:szCs w:val="22"/>
        </w:rPr>
        <w:t>Idem,</w:t>
      </w:r>
      <w:r w:rsidRPr="009C320F">
        <w:rPr>
          <w:rFonts w:ascii="Arial" w:hAnsi="Arial" w:cs="Arial"/>
          <w:sz w:val="22"/>
          <w:szCs w:val="22"/>
        </w:rPr>
        <w:t xml:space="preserve"> p 11.</w:t>
      </w:r>
    </w:p>
  </w:footnote>
  <w:footnote w:id="35">
    <w:p w14:paraId="2E83D53C"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Regulation (EC) 1346/2000 of the European Parliament and of the Council of 29 May 2000 on insolvency proceedings, &lt;&lt;</w:t>
      </w:r>
      <w:hyperlink r:id="rId3" w:history="1">
        <w:r w:rsidRPr="00DF050F">
          <w:rPr>
            <w:rStyle w:val="Hyperlink"/>
            <w:rFonts w:ascii="Arial" w:hAnsi="Arial" w:cs="Arial"/>
            <w:color w:val="auto"/>
            <w:sz w:val="22"/>
            <w:szCs w:val="22"/>
            <w:u w:val="none"/>
          </w:rPr>
          <w:t>https://eur-lex.europa.eu/legal-content/EN/TXT/PDF/?uri=CELEX:32000R1346&amp;from=en</w:t>
        </w:r>
      </w:hyperlink>
      <w:r w:rsidRPr="00DF050F">
        <w:rPr>
          <w:rFonts w:ascii="Arial" w:hAnsi="Arial" w:cs="Arial"/>
          <w:sz w:val="22"/>
          <w:szCs w:val="22"/>
        </w:rPr>
        <w:t>&gt;&gt;, accessed 20 February 2023.</w:t>
      </w:r>
    </w:p>
  </w:footnote>
  <w:footnote w:id="36">
    <w:p w14:paraId="12982A2E"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Pr="00DF050F">
        <w:rPr>
          <w:rFonts w:ascii="Arial" w:hAnsi="Arial" w:cs="Arial"/>
          <w:i/>
          <w:iCs/>
          <w:sz w:val="22"/>
          <w:szCs w:val="22"/>
        </w:rPr>
        <w:t>Ibid.</w:t>
      </w:r>
    </w:p>
  </w:footnote>
  <w:footnote w:id="37">
    <w:p w14:paraId="7296DB58"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Pr="00DF050F">
        <w:rPr>
          <w:rFonts w:ascii="Arial" w:hAnsi="Arial" w:cs="Arial"/>
          <w:i/>
          <w:iCs/>
          <w:sz w:val="22"/>
          <w:szCs w:val="22"/>
        </w:rPr>
        <w:t>Ibid.</w:t>
      </w:r>
    </w:p>
  </w:footnote>
  <w:footnote w:id="38">
    <w:p w14:paraId="2069C31B"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Case C-341/04, ECLI:EU:C:2006:281 (May 2, 2006), as cited in Wessels and Kokorin, </w:t>
      </w:r>
      <w:r w:rsidRPr="00DF050F">
        <w:rPr>
          <w:rFonts w:ascii="Arial" w:hAnsi="Arial" w:cs="Arial"/>
          <w:i/>
          <w:iCs/>
          <w:sz w:val="22"/>
          <w:szCs w:val="22"/>
        </w:rPr>
        <w:t>supra</w:t>
      </w:r>
      <w:r w:rsidRPr="00DF050F">
        <w:rPr>
          <w:rFonts w:ascii="Arial" w:hAnsi="Arial" w:cs="Arial"/>
          <w:sz w:val="22"/>
          <w:szCs w:val="22"/>
        </w:rPr>
        <w:t xml:space="preserve"> note 1, p 16. </w:t>
      </w:r>
    </w:p>
  </w:footnote>
  <w:footnote w:id="39">
    <w:p w14:paraId="146EB5E8" w14:textId="77777777" w:rsidR="00EB70FE" w:rsidRDefault="00EB70FE" w:rsidP="00EB70FE">
      <w:pPr>
        <w:pStyle w:val="FootnoteText"/>
      </w:pPr>
      <w:r w:rsidRPr="00DF050F">
        <w:rPr>
          <w:rStyle w:val="FootnoteReference"/>
          <w:rFonts w:ascii="Arial" w:hAnsi="Arial" w:cs="Arial"/>
          <w:sz w:val="22"/>
          <w:szCs w:val="22"/>
        </w:rPr>
        <w:footnoteRef/>
      </w:r>
      <w:r w:rsidRPr="00DF050F">
        <w:rPr>
          <w:rFonts w:ascii="Arial" w:hAnsi="Arial" w:cs="Arial"/>
          <w:sz w:val="22"/>
          <w:szCs w:val="22"/>
        </w:rPr>
        <w:t xml:space="preserve"> Wessels and Kokorin, </w:t>
      </w:r>
      <w:r w:rsidRPr="00DF050F">
        <w:rPr>
          <w:rFonts w:ascii="Arial" w:hAnsi="Arial" w:cs="Arial"/>
          <w:i/>
          <w:iCs/>
          <w:sz w:val="22"/>
          <w:szCs w:val="22"/>
        </w:rPr>
        <w:t>supra</w:t>
      </w:r>
      <w:r w:rsidRPr="00DF050F">
        <w:rPr>
          <w:rFonts w:ascii="Arial" w:hAnsi="Arial" w:cs="Arial"/>
          <w:sz w:val="22"/>
          <w:szCs w:val="22"/>
        </w:rPr>
        <w:t xml:space="preserve"> note 1, p 16.</w:t>
      </w:r>
      <w:r>
        <w:t xml:space="preserve"> </w:t>
      </w:r>
    </w:p>
  </w:footnote>
  <w:footnote w:id="40">
    <w:p w14:paraId="7645499D" w14:textId="198EF72F"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Case C-396/09, ECLI:EU:C:2011:671 (Oct. 20, 2011), </w:t>
      </w:r>
      <w:r w:rsidR="00511C12" w:rsidRPr="00DF050F">
        <w:rPr>
          <w:rFonts w:ascii="Arial" w:hAnsi="Arial" w:cs="Arial"/>
          <w:sz w:val="22"/>
          <w:szCs w:val="22"/>
        </w:rPr>
        <w:t xml:space="preserve">as cited in Wessels and Kokorin, </w:t>
      </w:r>
      <w:r w:rsidR="00511C12" w:rsidRPr="00DF050F">
        <w:rPr>
          <w:rFonts w:ascii="Arial" w:hAnsi="Arial" w:cs="Arial"/>
          <w:i/>
          <w:iCs/>
          <w:sz w:val="22"/>
          <w:szCs w:val="22"/>
        </w:rPr>
        <w:t>supra</w:t>
      </w:r>
      <w:r w:rsidR="00511C12" w:rsidRPr="00DF050F">
        <w:rPr>
          <w:rFonts w:ascii="Arial" w:hAnsi="Arial" w:cs="Arial"/>
          <w:sz w:val="22"/>
          <w:szCs w:val="22"/>
        </w:rPr>
        <w:t xml:space="preserve"> note 1, </w:t>
      </w:r>
      <w:r w:rsidRPr="00DF050F">
        <w:rPr>
          <w:rFonts w:ascii="Arial" w:hAnsi="Arial" w:cs="Arial"/>
          <w:sz w:val="22"/>
          <w:szCs w:val="22"/>
        </w:rPr>
        <w:t>p 17.</w:t>
      </w:r>
    </w:p>
  </w:footnote>
  <w:footnote w:id="41">
    <w:p w14:paraId="5B25FF0C"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Wessels and Kokorin, </w:t>
      </w:r>
      <w:r w:rsidRPr="00DF050F">
        <w:rPr>
          <w:rFonts w:ascii="Arial" w:hAnsi="Arial" w:cs="Arial"/>
          <w:i/>
          <w:iCs/>
          <w:sz w:val="22"/>
          <w:szCs w:val="22"/>
        </w:rPr>
        <w:t>supra</w:t>
      </w:r>
      <w:r w:rsidRPr="00DF050F">
        <w:rPr>
          <w:rFonts w:ascii="Arial" w:hAnsi="Arial" w:cs="Arial"/>
          <w:sz w:val="22"/>
          <w:szCs w:val="22"/>
        </w:rPr>
        <w:t xml:space="preserve"> note 1, p 17.</w:t>
      </w:r>
    </w:p>
  </w:footnote>
  <w:footnote w:id="42">
    <w:p w14:paraId="5BB668AB"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Pr="00DF050F">
        <w:rPr>
          <w:rFonts w:ascii="Arial" w:hAnsi="Arial" w:cs="Arial"/>
          <w:i/>
          <w:iCs/>
          <w:sz w:val="22"/>
          <w:szCs w:val="22"/>
        </w:rPr>
        <w:t>Idem,</w:t>
      </w:r>
      <w:r w:rsidRPr="00DF050F">
        <w:rPr>
          <w:rFonts w:ascii="Arial" w:hAnsi="Arial" w:cs="Arial"/>
          <w:sz w:val="22"/>
          <w:szCs w:val="22"/>
        </w:rPr>
        <w:t xml:space="preserve"> p 18.</w:t>
      </w:r>
    </w:p>
  </w:footnote>
  <w:footnote w:id="43">
    <w:p w14:paraId="7FDA44E1" w14:textId="77777777" w:rsidR="00EB70FE" w:rsidRPr="000A53DF" w:rsidRDefault="00EB70FE" w:rsidP="00EB70FE">
      <w:pPr>
        <w:pStyle w:val="FootnoteText"/>
        <w:rPr>
          <w:i/>
          <w:iCs/>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Pr="00DF050F">
        <w:rPr>
          <w:rFonts w:ascii="Arial" w:hAnsi="Arial" w:cs="Arial"/>
          <w:i/>
          <w:iCs/>
          <w:sz w:val="22"/>
          <w:szCs w:val="22"/>
        </w:rPr>
        <w:t>Ibid,</w:t>
      </w:r>
      <w:r w:rsidRPr="00DF050F">
        <w:rPr>
          <w:rFonts w:ascii="Arial" w:hAnsi="Arial" w:cs="Arial"/>
          <w:sz w:val="22"/>
          <w:szCs w:val="22"/>
        </w:rPr>
        <w:t xml:space="preserve"> citing paragraph 53 of </w:t>
      </w:r>
      <w:r w:rsidRPr="00DF050F">
        <w:rPr>
          <w:rFonts w:ascii="Arial" w:hAnsi="Arial" w:cs="Arial"/>
          <w:i/>
          <w:iCs/>
          <w:sz w:val="22"/>
          <w:szCs w:val="22"/>
        </w:rPr>
        <w:t>Interedil Srl v Fallimento Interedil Srl.</w:t>
      </w:r>
      <w:r w:rsidRPr="000A53DF">
        <w:rPr>
          <w:i/>
          <w:iCs/>
        </w:rPr>
        <w:t xml:space="preserve"> </w:t>
      </w:r>
    </w:p>
  </w:footnote>
  <w:footnote w:id="44">
    <w:p w14:paraId="0A3F54D5" w14:textId="77777777"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Wessels and Kokorin, </w:t>
      </w:r>
      <w:r w:rsidRPr="00DF050F">
        <w:rPr>
          <w:rFonts w:ascii="Arial" w:hAnsi="Arial" w:cs="Arial"/>
          <w:i/>
          <w:iCs/>
          <w:sz w:val="22"/>
          <w:szCs w:val="22"/>
        </w:rPr>
        <w:t>supra</w:t>
      </w:r>
      <w:r w:rsidRPr="00DF050F">
        <w:rPr>
          <w:rFonts w:ascii="Arial" w:hAnsi="Arial" w:cs="Arial"/>
          <w:sz w:val="22"/>
          <w:szCs w:val="22"/>
        </w:rPr>
        <w:t xml:space="preserve"> note 1, p 18.</w:t>
      </w:r>
    </w:p>
  </w:footnote>
  <w:footnote w:id="45">
    <w:p w14:paraId="3AA62D45" w14:textId="2DE5470C" w:rsidR="00EB70FE" w:rsidRPr="00DF050F" w:rsidRDefault="00EB70FE" w:rsidP="00EB70FE">
      <w:pPr>
        <w:pStyle w:val="FootnoteText"/>
        <w:rPr>
          <w:rFonts w:ascii="Arial" w:hAnsi="Arial" w:cs="Arial"/>
          <w:sz w:val="22"/>
          <w:szCs w:val="22"/>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00511C12" w:rsidRPr="00511C12">
        <w:rPr>
          <w:rFonts w:ascii="Arial" w:hAnsi="Arial" w:cs="Arial"/>
          <w:i/>
          <w:iCs/>
          <w:sz w:val="22"/>
          <w:szCs w:val="22"/>
        </w:rPr>
        <w:t>Idem</w:t>
      </w:r>
      <w:r w:rsidRPr="00511C12">
        <w:rPr>
          <w:rFonts w:ascii="Arial" w:hAnsi="Arial" w:cs="Arial"/>
          <w:i/>
          <w:iCs/>
          <w:sz w:val="22"/>
          <w:szCs w:val="22"/>
        </w:rPr>
        <w:t>,</w:t>
      </w:r>
      <w:r w:rsidRPr="00DF050F">
        <w:rPr>
          <w:rFonts w:ascii="Arial" w:hAnsi="Arial" w:cs="Arial"/>
          <w:sz w:val="22"/>
          <w:szCs w:val="22"/>
        </w:rPr>
        <w:t xml:space="preserve"> p 19.</w:t>
      </w:r>
    </w:p>
  </w:footnote>
  <w:footnote w:id="46">
    <w:p w14:paraId="14238B42" w14:textId="77777777" w:rsidR="00EB70FE" w:rsidRPr="000A53DF" w:rsidRDefault="00EB70FE" w:rsidP="00EB70FE">
      <w:pPr>
        <w:pStyle w:val="FootnoteText"/>
        <w:rPr>
          <w:i/>
          <w:iCs/>
        </w:rPr>
      </w:pPr>
      <w:r w:rsidRPr="00DF050F">
        <w:rPr>
          <w:rStyle w:val="FootnoteReference"/>
          <w:rFonts w:ascii="Arial" w:hAnsi="Arial" w:cs="Arial"/>
          <w:sz w:val="22"/>
          <w:szCs w:val="22"/>
        </w:rPr>
        <w:footnoteRef/>
      </w:r>
      <w:r w:rsidRPr="00DF050F">
        <w:rPr>
          <w:rFonts w:ascii="Arial" w:hAnsi="Arial" w:cs="Arial"/>
          <w:sz w:val="22"/>
          <w:szCs w:val="22"/>
        </w:rPr>
        <w:t xml:space="preserve"> </w:t>
      </w:r>
      <w:r w:rsidRPr="00DF050F">
        <w:rPr>
          <w:rFonts w:ascii="Arial" w:hAnsi="Arial" w:cs="Arial"/>
          <w:i/>
          <w:iCs/>
          <w:sz w:val="22"/>
          <w:szCs w:val="22"/>
        </w:rPr>
        <w:t>Ibid,</w:t>
      </w:r>
      <w:r w:rsidRPr="00DF050F">
        <w:rPr>
          <w:rFonts w:ascii="Arial" w:hAnsi="Arial" w:cs="Arial"/>
          <w:sz w:val="22"/>
          <w:szCs w:val="22"/>
        </w:rPr>
        <w:t xml:space="preserve"> citing para 62 of </w:t>
      </w:r>
      <w:r w:rsidRPr="00DF050F">
        <w:rPr>
          <w:rFonts w:ascii="Arial" w:hAnsi="Arial" w:cs="Arial"/>
          <w:i/>
          <w:iCs/>
          <w:sz w:val="22"/>
          <w:szCs w:val="22"/>
        </w:rPr>
        <w:t>Interedil Srl v Fallimento Interedil Srl.</w:t>
      </w:r>
      <w:r w:rsidRPr="000A53DF">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A45215B"/>
    <w:multiLevelType w:val="hybridMultilevel"/>
    <w:tmpl w:val="D55CCFB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FC35931"/>
    <w:multiLevelType w:val="hybridMultilevel"/>
    <w:tmpl w:val="0D305A3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B0C5D74"/>
    <w:multiLevelType w:val="hybridMultilevel"/>
    <w:tmpl w:val="F3B4C6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6F41BD9"/>
    <w:multiLevelType w:val="hybridMultilevel"/>
    <w:tmpl w:val="2F26349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DB24DFF"/>
    <w:multiLevelType w:val="hybridMultilevel"/>
    <w:tmpl w:val="14D6993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3747C5B"/>
    <w:multiLevelType w:val="hybridMultilevel"/>
    <w:tmpl w:val="E52A0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A76601"/>
    <w:multiLevelType w:val="hybridMultilevel"/>
    <w:tmpl w:val="F29497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5"/>
  </w:num>
  <w:num w:numId="3">
    <w:abstractNumId w:val="17"/>
  </w:num>
  <w:num w:numId="4">
    <w:abstractNumId w:val="31"/>
  </w:num>
  <w:num w:numId="5">
    <w:abstractNumId w:val="24"/>
  </w:num>
  <w:num w:numId="6">
    <w:abstractNumId w:val="27"/>
  </w:num>
  <w:num w:numId="7">
    <w:abstractNumId w:val="8"/>
  </w:num>
  <w:num w:numId="8">
    <w:abstractNumId w:val="21"/>
  </w:num>
  <w:num w:numId="9">
    <w:abstractNumId w:val="19"/>
  </w:num>
  <w:num w:numId="10">
    <w:abstractNumId w:val="15"/>
  </w:num>
  <w:num w:numId="11">
    <w:abstractNumId w:val="22"/>
  </w:num>
  <w:num w:numId="12">
    <w:abstractNumId w:val="3"/>
  </w:num>
  <w:num w:numId="13">
    <w:abstractNumId w:val="12"/>
  </w:num>
  <w:num w:numId="14">
    <w:abstractNumId w:val="18"/>
  </w:num>
  <w:num w:numId="15">
    <w:abstractNumId w:val="16"/>
  </w:num>
  <w:num w:numId="16">
    <w:abstractNumId w:val="11"/>
  </w:num>
  <w:num w:numId="17">
    <w:abstractNumId w:val="14"/>
  </w:num>
  <w:num w:numId="18">
    <w:abstractNumId w:val="4"/>
  </w:num>
  <w:num w:numId="19">
    <w:abstractNumId w:val="0"/>
  </w:num>
  <w:num w:numId="20">
    <w:abstractNumId w:val="7"/>
  </w:num>
  <w:num w:numId="21">
    <w:abstractNumId w:val="0"/>
  </w:num>
  <w:num w:numId="22">
    <w:abstractNumId w:val="9"/>
  </w:num>
  <w:num w:numId="23">
    <w:abstractNumId w:val="26"/>
  </w:num>
  <w:num w:numId="24">
    <w:abstractNumId w:val="28"/>
  </w:num>
  <w:num w:numId="25">
    <w:abstractNumId w:val="6"/>
  </w:num>
  <w:num w:numId="26">
    <w:abstractNumId w:val="33"/>
  </w:num>
  <w:num w:numId="27">
    <w:abstractNumId w:val="10"/>
  </w:num>
  <w:num w:numId="28">
    <w:abstractNumId w:val="2"/>
  </w:num>
  <w:num w:numId="29">
    <w:abstractNumId w:val="13"/>
  </w:num>
  <w:num w:numId="30">
    <w:abstractNumId w:val="30"/>
  </w:num>
  <w:num w:numId="31">
    <w:abstractNumId w:val="34"/>
  </w:num>
  <w:num w:numId="32">
    <w:abstractNumId w:val="23"/>
  </w:num>
  <w:num w:numId="33">
    <w:abstractNumId w:val="1"/>
  </w:num>
  <w:num w:numId="34">
    <w:abstractNumId w:val="5"/>
  </w:num>
  <w:num w:numId="35">
    <w:abstractNumId w:val="29"/>
  </w:num>
  <w:num w:numId="36">
    <w:abstractNumId w:val="32"/>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06C83"/>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1C12"/>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3027"/>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320F"/>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D3C"/>
    <w:rsid w:val="00DB6EF5"/>
    <w:rsid w:val="00DC3089"/>
    <w:rsid w:val="00DC4420"/>
    <w:rsid w:val="00DD0802"/>
    <w:rsid w:val="00DD2E11"/>
    <w:rsid w:val="00DD47EF"/>
    <w:rsid w:val="00DE03AF"/>
    <w:rsid w:val="00DE121C"/>
    <w:rsid w:val="00DE6633"/>
    <w:rsid w:val="00DF050F"/>
    <w:rsid w:val="00DF0864"/>
    <w:rsid w:val="00DF75F8"/>
    <w:rsid w:val="00DF7A3A"/>
    <w:rsid w:val="00E00C00"/>
    <w:rsid w:val="00E03AF0"/>
    <w:rsid w:val="00E07153"/>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B70FE"/>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00R1346&amp;from=en" TargetMode="External"/><Relationship Id="rId2" Type="http://schemas.openxmlformats.org/officeDocument/2006/relationships/hyperlink" Target="https://www.bakermckenzie.com/en/insight/publications/2022/05/new-european-restructuring-schemes-update-may-2022" TargetMode="External"/><Relationship Id="rId1" Type="http://schemas.openxmlformats.org/officeDocument/2006/relationships/hyperlink" Target="https://www.europarl.europa.eu/meetdocs/2009_2014/documents/com/com_com(2012)0744_/com_com(2012)07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6217</Words>
  <Characters>32393</Characters>
  <Application>Microsoft Office Word</Application>
  <DocSecurity>0</DocSecurity>
  <Lines>719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Harper</cp:lastModifiedBy>
  <cp:revision>4</cp:revision>
  <cp:lastPrinted>2019-08-27T05:42:00Z</cp:lastPrinted>
  <dcterms:created xsi:type="dcterms:W3CDTF">2023-02-20T20:50:00Z</dcterms:created>
  <dcterms:modified xsi:type="dcterms:W3CDTF">2023-02-20T21:11:00Z</dcterms:modified>
</cp:coreProperties>
</file>