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8F3B11">
        <w:rPr>
          <w:rFonts w:ascii="Avenir Next" w:hAnsi="Avenir Next" w:cs="Arial"/>
          <w:sz w:val="22"/>
          <w:szCs w:val="22"/>
          <w:highlight w:val="yellow"/>
          <w:lang w:val="en-GB"/>
        </w:rPr>
        <w:t>w</w:t>
      </w:r>
      <w:r w:rsidR="00C91062" w:rsidRPr="008F3B11">
        <w:rPr>
          <w:rFonts w:ascii="Avenir Next" w:hAnsi="Avenir Next" w:cs="Arial"/>
          <w:sz w:val="22"/>
          <w:szCs w:val="22"/>
          <w:highlight w:val="yellow"/>
          <w:lang w:val="en-GB"/>
        </w:rPr>
        <w:t>ithin 8 weeks of the commencement of the administration</w:t>
      </w:r>
      <w:r w:rsidR="00763348" w:rsidRPr="008F3B11">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8F3B11" w:rsidRDefault="00E443D7" w:rsidP="00B04033">
      <w:pPr>
        <w:pStyle w:val="ListParagraph"/>
        <w:numPr>
          <w:ilvl w:val="0"/>
          <w:numId w:val="2"/>
        </w:numPr>
        <w:ind w:left="426"/>
        <w:jc w:val="both"/>
        <w:rPr>
          <w:rFonts w:ascii="Avenir Next" w:hAnsi="Avenir Next" w:cs="Arial"/>
          <w:sz w:val="22"/>
          <w:szCs w:val="22"/>
          <w:highlight w:val="yellow"/>
          <w:lang w:val="en-GB"/>
        </w:rPr>
      </w:pPr>
      <w:r w:rsidRPr="008F3B11">
        <w:rPr>
          <w:rFonts w:ascii="Avenir Next" w:hAnsi="Avenir Next" w:cs="Arial"/>
          <w:sz w:val="22"/>
          <w:szCs w:val="22"/>
          <w:highlight w:val="yellow"/>
          <w:lang w:val="en-GB"/>
        </w:rPr>
        <w:t>One year and 20 business days</w:t>
      </w:r>
      <w:r w:rsidR="00763348" w:rsidRPr="008F3B11">
        <w:rPr>
          <w:rFonts w:ascii="Avenir Next" w:hAnsi="Avenir Next" w:cs="Arial"/>
          <w:sz w:val="22"/>
          <w:szCs w:val="22"/>
          <w:highlight w:val="yellow"/>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AF0BB8" w:rsidRDefault="00AE5B6F" w:rsidP="00B04033">
      <w:pPr>
        <w:pStyle w:val="ListParagraph"/>
        <w:numPr>
          <w:ilvl w:val="0"/>
          <w:numId w:val="3"/>
        </w:numPr>
        <w:ind w:left="426"/>
        <w:jc w:val="both"/>
        <w:rPr>
          <w:rFonts w:ascii="Avenir Next" w:hAnsi="Avenir Next" w:cs="Arial"/>
          <w:sz w:val="22"/>
          <w:szCs w:val="22"/>
          <w:highlight w:val="yellow"/>
          <w:lang w:val="en-GB"/>
        </w:rPr>
      </w:pPr>
      <w:r w:rsidRPr="00AF0BB8">
        <w:rPr>
          <w:rFonts w:ascii="Avenir Next" w:hAnsi="Avenir Next" w:cs="Arial"/>
          <w:sz w:val="22"/>
          <w:szCs w:val="22"/>
          <w:highlight w:val="yellow"/>
          <w:lang w:val="en-GB"/>
        </w:rPr>
        <w:t>T</w:t>
      </w:r>
      <w:r w:rsidR="008D1616" w:rsidRPr="00AF0BB8">
        <w:rPr>
          <w:rFonts w:ascii="Avenir Next" w:hAnsi="Avenir Next" w:cs="Arial"/>
          <w:sz w:val="22"/>
          <w:szCs w:val="22"/>
          <w:highlight w:val="yellow"/>
          <w:lang w:val="en-GB"/>
        </w:rPr>
        <w:t>he company is, or is likely to become, unable to pay their debts, as defined under s</w:t>
      </w:r>
      <w:r w:rsidR="00E833F4" w:rsidRPr="00AF0BB8">
        <w:rPr>
          <w:rFonts w:ascii="Avenir Next" w:hAnsi="Avenir Next" w:cs="Arial"/>
          <w:sz w:val="22"/>
          <w:szCs w:val="22"/>
          <w:highlight w:val="yellow"/>
          <w:lang w:val="en-GB"/>
        </w:rPr>
        <w:t>ection</w:t>
      </w:r>
      <w:r w:rsidR="008D1616" w:rsidRPr="00AF0BB8">
        <w:rPr>
          <w:rFonts w:ascii="Avenir Next" w:hAnsi="Avenir Next" w:cs="Arial"/>
          <w:sz w:val="22"/>
          <w:szCs w:val="22"/>
          <w:highlight w:val="yellow"/>
          <w:lang w:val="en-GB"/>
        </w:rPr>
        <w:t xml:space="preserve"> 123 of the Insolvency Act 1986</w:t>
      </w:r>
      <w:r w:rsidR="00763348" w:rsidRPr="00AF0BB8">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AF0BB8" w:rsidRDefault="00C91062" w:rsidP="00B04033">
      <w:pPr>
        <w:pStyle w:val="ListParagraph"/>
        <w:numPr>
          <w:ilvl w:val="0"/>
          <w:numId w:val="4"/>
        </w:numPr>
        <w:ind w:left="426"/>
        <w:jc w:val="both"/>
        <w:rPr>
          <w:rFonts w:ascii="Avenir Next" w:hAnsi="Avenir Next" w:cs="Arial"/>
          <w:sz w:val="22"/>
          <w:szCs w:val="22"/>
          <w:highlight w:val="yellow"/>
          <w:lang w:val="en-GB"/>
        </w:rPr>
      </w:pPr>
      <w:r w:rsidRPr="00AF0BB8">
        <w:rPr>
          <w:rFonts w:ascii="Avenir Next" w:hAnsi="Avenir Next" w:cs="Arial"/>
          <w:sz w:val="22"/>
          <w:szCs w:val="22"/>
          <w:highlight w:val="yellow"/>
          <w:lang w:val="en-GB"/>
        </w:rPr>
        <w:t>The purchaser</w:t>
      </w:r>
      <w:r w:rsidR="00763348" w:rsidRPr="00AF0BB8">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AF0BB8" w:rsidRDefault="00BA1CFD" w:rsidP="00B04033">
      <w:pPr>
        <w:pStyle w:val="ListParagraph"/>
        <w:numPr>
          <w:ilvl w:val="0"/>
          <w:numId w:val="5"/>
        </w:numPr>
        <w:ind w:left="426"/>
        <w:jc w:val="both"/>
        <w:rPr>
          <w:rFonts w:ascii="Avenir Next" w:hAnsi="Avenir Next" w:cs="Arial"/>
          <w:sz w:val="22"/>
          <w:szCs w:val="22"/>
          <w:highlight w:val="yellow"/>
          <w:lang w:val="en-GB"/>
        </w:rPr>
      </w:pPr>
      <w:r w:rsidRPr="00AF0BB8">
        <w:rPr>
          <w:rFonts w:ascii="Avenir Next" w:hAnsi="Avenir Next" w:cs="Arial"/>
          <w:sz w:val="22"/>
          <w:szCs w:val="22"/>
          <w:highlight w:val="yellow"/>
          <w:lang w:val="en-GB"/>
        </w:rPr>
        <w:t>Administration</w:t>
      </w:r>
      <w:r w:rsidR="00763348" w:rsidRPr="00AF0BB8">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AF0BB8" w:rsidRDefault="001F3C98" w:rsidP="00B04033">
      <w:pPr>
        <w:pStyle w:val="ListParagraph"/>
        <w:numPr>
          <w:ilvl w:val="0"/>
          <w:numId w:val="6"/>
        </w:numPr>
        <w:ind w:left="426"/>
        <w:jc w:val="both"/>
        <w:rPr>
          <w:rFonts w:ascii="Avenir Next" w:hAnsi="Avenir Next" w:cs="Arial"/>
          <w:sz w:val="22"/>
          <w:szCs w:val="22"/>
          <w:highlight w:val="yellow"/>
          <w:lang w:val="en-GB"/>
        </w:rPr>
      </w:pPr>
      <w:r w:rsidRPr="00AF0BB8">
        <w:rPr>
          <w:rFonts w:ascii="Avenir Next" w:hAnsi="Avenir Next" w:cs="Arial"/>
          <w:sz w:val="22"/>
          <w:szCs w:val="22"/>
          <w:highlight w:val="yellow"/>
          <w:lang w:val="en-GB"/>
        </w:rPr>
        <w:t xml:space="preserve">GBP </w:t>
      </w:r>
      <w:r w:rsidR="00BA1CFD" w:rsidRPr="00AF0BB8">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30713255" w14:textId="77777777" w:rsidR="00AF0BB8" w:rsidRDefault="00AF0BB8" w:rsidP="00C55824">
      <w:pPr>
        <w:jc w:val="both"/>
        <w:rPr>
          <w:rFonts w:ascii="Avenir Next Demi Bold" w:hAnsi="Avenir Next Demi Bold" w:cs="Arial"/>
          <w:b/>
          <w:bCs/>
          <w:sz w:val="22"/>
          <w:szCs w:val="22"/>
        </w:rPr>
      </w:pPr>
    </w:p>
    <w:p w14:paraId="2A9B1C75" w14:textId="63362D35"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AF0BB8" w:rsidRDefault="00BA1CFD" w:rsidP="00B04033">
      <w:pPr>
        <w:pStyle w:val="ListParagraph"/>
        <w:numPr>
          <w:ilvl w:val="0"/>
          <w:numId w:val="7"/>
        </w:numPr>
        <w:ind w:left="426"/>
        <w:jc w:val="both"/>
        <w:rPr>
          <w:rFonts w:ascii="Avenir Next" w:hAnsi="Avenir Next" w:cs="Arial"/>
          <w:sz w:val="22"/>
          <w:szCs w:val="22"/>
          <w:highlight w:val="yellow"/>
          <w:lang w:val="en-GB"/>
        </w:rPr>
      </w:pPr>
      <w:r w:rsidRPr="00AF0BB8">
        <w:rPr>
          <w:rFonts w:ascii="Avenir Next" w:hAnsi="Avenir Next" w:cs="Arial"/>
          <w:sz w:val="22"/>
          <w:szCs w:val="22"/>
          <w:highlight w:val="yellow"/>
          <w:lang w:val="en-GB"/>
        </w:rPr>
        <w:lastRenderedPageBreak/>
        <w:t>Wrongful trading</w:t>
      </w:r>
      <w:r w:rsidR="00763348" w:rsidRPr="00AF0BB8">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5736B1" w:rsidRDefault="00876F56" w:rsidP="00B04033">
      <w:pPr>
        <w:pStyle w:val="ListParagraph"/>
        <w:numPr>
          <w:ilvl w:val="0"/>
          <w:numId w:val="8"/>
        </w:numPr>
        <w:ind w:left="426"/>
        <w:jc w:val="both"/>
        <w:rPr>
          <w:rFonts w:ascii="Avenir Next" w:hAnsi="Avenir Next" w:cs="Arial"/>
          <w:sz w:val="22"/>
          <w:szCs w:val="22"/>
          <w:highlight w:val="yellow"/>
          <w:lang w:val="en-GB"/>
        </w:rPr>
      </w:pPr>
      <w:r w:rsidRPr="005736B1">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5736B1" w:rsidRDefault="00E833F4" w:rsidP="00B04033">
      <w:pPr>
        <w:pStyle w:val="ListParagraph"/>
        <w:numPr>
          <w:ilvl w:val="0"/>
          <w:numId w:val="9"/>
        </w:numPr>
        <w:ind w:left="426"/>
        <w:jc w:val="both"/>
        <w:rPr>
          <w:rFonts w:ascii="Avenir Next" w:hAnsi="Avenir Next" w:cs="Arial"/>
          <w:sz w:val="22"/>
          <w:szCs w:val="22"/>
          <w:highlight w:val="yellow"/>
          <w:lang w:val="en-GB"/>
        </w:rPr>
      </w:pPr>
      <w:r w:rsidRPr="005736B1">
        <w:rPr>
          <w:rFonts w:ascii="Avenir Next" w:hAnsi="Avenir Next" w:cs="Arial"/>
          <w:sz w:val="22"/>
          <w:szCs w:val="22"/>
          <w:highlight w:val="yellow"/>
          <w:lang w:val="en-GB"/>
        </w:rPr>
        <w:t>A</w:t>
      </w:r>
      <w:r w:rsidR="000D10C6" w:rsidRPr="005736B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5736B1" w:rsidRDefault="0020204E" w:rsidP="00B04033">
      <w:pPr>
        <w:pStyle w:val="ListParagraph"/>
        <w:numPr>
          <w:ilvl w:val="0"/>
          <w:numId w:val="10"/>
        </w:numPr>
        <w:ind w:left="426"/>
        <w:jc w:val="both"/>
        <w:rPr>
          <w:rFonts w:ascii="Avenir Next" w:hAnsi="Avenir Next" w:cs="Arial"/>
          <w:sz w:val="22"/>
          <w:szCs w:val="22"/>
          <w:highlight w:val="yellow"/>
          <w:lang w:val="en-GB"/>
        </w:rPr>
      </w:pPr>
      <w:r w:rsidRPr="005736B1">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w:t>
      </w:r>
      <w:bookmarkStart w:id="0" w:name="_Hlk127806476"/>
      <w:r w:rsidRPr="006925C1">
        <w:rPr>
          <w:rFonts w:ascii="Avenir Next" w:hAnsi="Avenir Next" w:cs="Arial"/>
          <w:sz w:val="22"/>
          <w:szCs w:val="22"/>
          <w:lang w:val="en-GB"/>
        </w:rPr>
        <w:t>section 423 of the Insolvency Act 1986;</w:t>
      </w:r>
      <w:bookmarkEnd w:id="0"/>
      <w:r w:rsidRPr="006925C1">
        <w:rPr>
          <w:rFonts w:ascii="Avenir Next" w:hAnsi="Avenir Next" w:cs="Arial"/>
          <w:sz w:val="22"/>
          <w:szCs w:val="22"/>
          <w:lang w:val="en-GB"/>
        </w:rPr>
        <w:t xml:space="preserve"> (ii) section 6 of the Company Directors Disqualification Act 1986; and (iii) section 246ZB of the Insolvency Act 1986</w:t>
      </w:r>
      <w:r w:rsidR="0020090A" w:rsidRPr="006925C1">
        <w:rPr>
          <w:rFonts w:ascii="Avenir Next" w:hAnsi="Avenir Next" w:cs="Arial"/>
          <w:sz w:val="22"/>
          <w:szCs w:val="22"/>
          <w:lang w:val="en-GB"/>
        </w:rPr>
        <w:t>?</w:t>
      </w:r>
    </w:p>
    <w:p w14:paraId="7641CC21" w14:textId="77777777" w:rsidR="003228D9" w:rsidRDefault="003228D9" w:rsidP="006624AB">
      <w:pPr>
        <w:jc w:val="both"/>
        <w:rPr>
          <w:rFonts w:ascii="Avenir Next" w:hAnsi="Avenir Next" w:cs="Arial"/>
          <w:sz w:val="22"/>
          <w:szCs w:val="22"/>
          <w:lang w:val="en-GB"/>
        </w:rPr>
      </w:pPr>
    </w:p>
    <w:p w14:paraId="22C610C9" w14:textId="24C9A52B" w:rsidR="00DE03AF" w:rsidRDefault="003228D9" w:rsidP="002A37BB">
      <w:pPr>
        <w:jc w:val="both"/>
        <w:rPr>
          <w:rFonts w:ascii="Avenir Next" w:hAnsi="Avenir Next" w:cs="Arial"/>
          <w:sz w:val="22"/>
          <w:szCs w:val="22"/>
        </w:rPr>
      </w:pPr>
      <w:r>
        <w:rPr>
          <w:rFonts w:ascii="Avenir Next" w:hAnsi="Avenir Next" w:cs="Arial"/>
          <w:sz w:val="22"/>
          <w:szCs w:val="22"/>
        </w:rPr>
        <w:t>Sec.</w:t>
      </w:r>
      <w:proofErr w:type="gramStart"/>
      <w:r>
        <w:rPr>
          <w:rFonts w:ascii="Avenir Next" w:hAnsi="Avenir Next" w:cs="Arial"/>
          <w:sz w:val="22"/>
          <w:szCs w:val="22"/>
        </w:rPr>
        <w:t>423 :</w:t>
      </w:r>
      <w:proofErr w:type="gramEnd"/>
      <w:r>
        <w:rPr>
          <w:rFonts w:ascii="Avenir Next" w:hAnsi="Avenir Next" w:cs="Arial"/>
          <w:sz w:val="22"/>
          <w:szCs w:val="22"/>
        </w:rPr>
        <w:t xml:space="preserve"> Where the company is being wound up or in liquidation- The official receiver, the liquidator the administrator, the victim of the transaction.</w:t>
      </w:r>
    </w:p>
    <w:p w14:paraId="66D22A66" w14:textId="77777777" w:rsidR="003228D9" w:rsidRDefault="003228D9"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279EFDE" w14:textId="77777777" w:rsidR="003228D9" w:rsidRPr="00C249E0" w:rsidRDefault="003228D9" w:rsidP="00AB388D">
      <w:pPr>
        <w:pStyle w:val="ListParagraph"/>
        <w:numPr>
          <w:ilvl w:val="0"/>
          <w:numId w:val="18"/>
        </w:numPr>
        <w:jc w:val="both"/>
        <w:rPr>
          <w:rFonts w:ascii="Arial" w:hAnsi="Arial" w:cs="Arial"/>
          <w:bCs/>
          <w:sz w:val="22"/>
          <w:szCs w:val="22"/>
          <w:lang w:val="en-GB"/>
        </w:rPr>
      </w:pPr>
      <w:proofErr w:type="gramStart"/>
      <w:r w:rsidRPr="00C249E0">
        <w:rPr>
          <w:rFonts w:ascii="Arial" w:hAnsi="Arial" w:cs="Arial"/>
          <w:color w:val="808080" w:themeColor="background1" w:themeShade="80"/>
          <w:sz w:val="22"/>
          <w:szCs w:val="22"/>
        </w:rPr>
        <w:t>The  Monitor’s</w:t>
      </w:r>
      <w:proofErr w:type="gramEnd"/>
      <w:r w:rsidRPr="00C249E0">
        <w:rPr>
          <w:rFonts w:ascii="Arial" w:hAnsi="Arial" w:cs="Arial"/>
          <w:color w:val="808080" w:themeColor="background1" w:themeShade="80"/>
          <w:sz w:val="22"/>
          <w:szCs w:val="22"/>
        </w:rPr>
        <w:t xml:space="preserve"> expenses   </w:t>
      </w:r>
    </w:p>
    <w:p w14:paraId="572227E7" w14:textId="4432E79E" w:rsidR="0045683E" w:rsidRPr="00C249E0" w:rsidRDefault="003228D9" w:rsidP="00AB388D">
      <w:pPr>
        <w:pStyle w:val="ListParagraph"/>
        <w:numPr>
          <w:ilvl w:val="0"/>
          <w:numId w:val="18"/>
        </w:numPr>
        <w:jc w:val="both"/>
        <w:rPr>
          <w:rFonts w:ascii="Arial" w:hAnsi="Arial" w:cs="Arial"/>
          <w:bCs/>
          <w:sz w:val="22"/>
          <w:szCs w:val="22"/>
          <w:lang w:val="en-GB"/>
        </w:rPr>
      </w:pPr>
      <w:r w:rsidRPr="00C249E0">
        <w:rPr>
          <w:rFonts w:ascii="Arial" w:hAnsi="Arial" w:cs="Arial"/>
          <w:color w:val="808080" w:themeColor="background1" w:themeShade="80"/>
          <w:sz w:val="22"/>
          <w:szCs w:val="22"/>
        </w:rPr>
        <w:t xml:space="preserve">goods or services supplied during the moratorium </w:t>
      </w:r>
    </w:p>
    <w:p w14:paraId="791BF972" w14:textId="26D88E72" w:rsidR="003228D9" w:rsidRPr="00C249E0" w:rsidRDefault="003C015F" w:rsidP="00AB388D">
      <w:pPr>
        <w:pStyle w:val="ListParagraph"/>
        <w:numPr>
          <w:ilvl w:val="0"/>
          <w:numId w:val="18"/>
        </w:numPr>
        <w:jc w:val="both"/>
        <w:rPr>
          <w:rFonts w:ascii="Arial" w:hAnsi="Arial" w:cs="Arial"/>
          <w:bCs/>
          <w:sz w:val="22"/>
          <w:szCs w:val="22"/>
          <w:lang w:val="en-GB"/>
        </w:rPr>
      </w:pPr>
      <w:r w:rsidRPr="00C249E0">
        <w:rPr>
          <w:rFonts w:ascii="Arial" w:hAnsi="Arial" w:cs="Arial"/>
          <w:bCs/>
          <w:sz w:val="22"/>
          <w:szCs w:val="22"/>
          <w:lang w:val="en-GB"/>
        </w:rPr>
        <w:t>wages or salaries arising under a contract of employment</w:t>
      </w:r>
    </w:p>
    <w:p w14:paraId="5CDD7DAF" w14:textId="05FA8A29" w:rsidR="003C015F" w:rsidRPr="00C249E0" w:rsidRDefault="003C015F" w:rsidP="00AB388D">
      <w:pPr>
        <w:pStyle w:val="ListParagraph"/>
        <w:numPr>
          <w:ilvl w:val="0"/>
          <w:numId w:val="18"/>
        </w:numPr>
        <w:jc w:val="both"/>
        <w:rPr>
          <w:rFonts w:ascii="Arial" w:hAnsi="Arial" w:cs="Arial"/>
          <w:bCs/>
          <w:sz w:val="22"/>
          <w:szCs w:val="22"/>
          <w:lang w:val="en-GB"/>
        </w:rPr>
      </w:pPr>
      <w:r w:rsidRPr="00C249E0">
        <w:rPr>
          <w:rFonts w:ascii="Arial" w:hAnsi="Arial" w:cs="Arial"/>
          <w:bCs/>
          <w:sz w:val="22"/>
          <w:szCs w:val="22"/>
          <w:lang w:val="en-GB"/>
        </w:rPr>
        <w:t>rents in respect of moratorium period</w:t>
      </w:r>
    </w:p>
    <w:p w14:paraId="7793005D" w14:textId="2FDEF2FF" w:rsidR="003C015F" w:rsidRPr="00C249E0" w:rsidRDefault="003C015F" w:rsidP="00AB388D">
      <w:pPr>
        <w:pStyle w:val="ListParagraph"/>
        <w:numPr>
          <w:ilvl w:val="0"/>
          <w:numId w:val="18"/>
        </w:numPr>
        <w:jc w:val="both"/>
        <w:rPr>
          <w:rFonts w:ascii="Arial" w:hAnsi="Arial" w:cs="Arial"/>
          <w:bCs/>
          <w:sz w:val="22"/>
          <w:szCs w:val="22"/>
          <w:lang w:val="en-GB"/>
        </w:rPr>
      </w:pPr>
      <w:r w:rsidRPr="00C249E0">
        <w:rPr>
          <w:rFonts w:ascii="Arial" w:hAnsi="Arial" w:cs="Arial"/>
          <w:bCs/>
          <w:sz w:val="22"/>
          <w:szCs w:val="22"/>
          <w:lang w:val="en-GB"/>
        </w:rPr>
        <w:t xml:space="preserve">redundancy payment </w:t>
      </w:r>
    </w:p>
    <w:p w14:paraId="171CF65C" w14:textId="0B309115" w:rsidR="003C015F" w:rsidRPr="00C249E0" w:rsidRDefault="003C015F" w:rsidP="00AB388D">
      <w:pPr>
        <w:pStyle w:val="ListParagraph"/>
        <w:numPr>
          <w:ilvl w:val="0"/>
          <w:numId w:val="18"/>
        </w:numPr>
        <w:jc w:val="both"/>
        <w:rPr>
          <w:rFonts w:ascii="Arial" w:hAnsi="Arial" w:cs="Arial"/>
          <w:bCs/>
          <w:sz w:val="22"/>
          <w:szCs w:val="22"/>
          <w:lang w:val="en-GB"/>
        </w:rPr>
      </w:pPr>
      <w:r w:rsidRPr="00C249E0">
        <w:rPr>
          <w:rFonts w:ascii="Arial" w:hAnsi="Arial" w:cs="Arial"/>
          <w:bCs/>
          <w:sz w:val="22"/>
          <w:szCs w:val="22"/>
          <w:lang w:val="en-GB"/>
        </w:rPr>
        <w:t xml:space="preserve">liabilities for financial services </w:t>
      </w:r>
    </w:p>
    <w:p w14:paraId="613A8102" w14:textId="77777777" w:rsidR="003C015F" w:rsidRPr="003228D9" w:rsidRDefault="003C015F" w:rsidP="003C015F">
      <w:pPr>
        <w:pStyle w:val="ListParagraph"/>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5A1BBDBE" w14:textId="77777777" w:rsidR="003C015F" w:rsidRPr="00A24C99" w:rsidRDefault="003C015F" w:rsidP="003C015F">
      <w:p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 xml:space="preserve">Whether an </w:t>
      </w:r>
      <w:r w:rsidRPr="00A24C99">
        <w:rPr>
          <w:rFonts w:ascii="Arial" w:hAnsi="Arial" w:cs="Arial"/>
          <w:color w:val="333333"/>
          <w:sz w:val="22"/>
          <w:szCs w:val="22"/>
          <w:lang w:eastAsia="en-IN"/>
        </w:rPr>
        <w:t xml:space="preserve">administrator </w:t>
      </w:r>
      <w:r w:rsidRPr="003A6111">
        <w:rPr>
          <w:rFonts w:ascii="Arial" w:hAnsi="Arial" w:cs="Arial"/>
          <w:color w:val="333333"/>
          <w:sz w:val="22"/>
          <w:szCs w:val="22"/>
          <w:lang w:eastAsia="en-IN"/>
        </w:rPr>
        <w:t xml:space="preserve">is entitled to exercise these powers will depend on (among other things) </w:t>
      </w:r>
    </w:p>
    <w:p w14:paraId="754AFC16" w14:textId="77777777" w:rsidR="003C015F" w:rsidRPr="00A24C99" w:rsidRDefault="003C015F" w:rsidP="003C015F">
      <w:pPr>
        <w:pStyle w:val="ListParagraph"/>
        <w:numPr>
          <w:ilvl w:val="0"/>
          <w:numId w:val="21"/>
        </w:numPr>
        <w:spacing w:before="100" w:beforeAutospacing="1" w:after="100" w:afterAutospacing="1"/>
        <w:rPr>
          <w:rFonts w:ascii="Arial" w:hAnsi="Arial" w:cs="Arial"/>
          <w:color w:val="333333"/>
          <w:sz w:val="22"/>
          <w:szCs w:val="22"/>
          <w:lang w:eastAsia="en-IN"/>
        </w:rPr>
      </w:pPr>
      <w:r w:rsidRPr="00A24C99">
        <w:rPr>
          <w:rFonts w:ascii="Arial" w:hAnsi="Arial" w:cs="Arial"/>
          <w:color w:val="333333"/>
          <w:sz w:val="22"/>
          <w:szCs w:val="22"/>
          <w:lang w:eastAsia="en-IN"/>
        </w:rPr>
        <w:t xml:space="preserve">whether the supply falls within the scope of ‘essential supplies’ under section 233 IA; and </w:t>
      </w:r>
    </w:p>
    <w:p w14:paraId="58B5BE91" w14:textId="77777777" w:rsidR="003C015F" w:rsidRPr="00A24C99" w:rsidRDefault="003C015F" w:rsidP="003C015F">
      <w:pPr>
        <w:pStyle w:val="ListParagraph"/>
        <w:numPr>
          <w:ilvl w:val="0"/>
          <w:numId w:val="21"/>
        </w:numPr>
        <w:spacing w:before="100" w:beforeAutospacing="1" w:after="100" w:afterAutospacing="1"/>
        <w:rPr>
          <w:rFonts w:ascii="Arial" w:hAnsi="Arial" w:cs="Arial"/>
          <w:color w:val="333333"/>
          <w:sz w:val="22"/>
          <w:szCs w:val="22"/>
          <w:lang w:eastAsia="en-IN"/>
        </w:rPr>
      </w:pPr>
      <w:r w:rsidRPr="00A24C99">
        <w:rPr>
          <w:rFonts w:ascii="Arial" w:hAnsi="Arial" w:cs="Arial"/>
          <w:color w:val="333333"/>
          <w:sz w:val="22"/>
          <w:szCs w:val="22"/>
          <w:lang w:eastAsia="en-IN"/>
        </w:rPr>
        <w:t>(ii) the date the essential supply contract was entered into by the parties.</w:t>
      </w:r>
    </w:p>
    <w:p w14:paraId="4F5CB424" w14:textId="77777777" w:rsidR="003C015F" w:rsidRPr="003A6111" w:rsidRDefault="003C015F" w:rsidP="003C015F">
      <w:p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 xml:space="preserve">‘Essential supplies’ are listed in section 233(3) IA </w:t>
      </w:r>
      <w:proofErr w:type="gramStart"/>
      <w:r w:rsidRPr="00A24C99">
        <w:rPr>
          <w:rFonts w:ascii="Arial" w:hAnsi="Arial" w:cs="Arial"/>
          <w:color w:val="333333"/>
          <w:sz w:val="22"/>
          <w:szCs w:val="22"/>
          <w:lang w:eastAsia="en-IN"/>
        </w:rPr>
        <w:t xml:space="preserve">and </w:t>
      </w:r>
      <w:r w:rsidRPr="003A6111">
        <w:rPr>
          <w:rFonts w:ascii="Arial" w:hAnsi="Arial" w:cs="Arial"/>
          <w:color w:val="333333"/>
          <w:sz w:val="22"/>
          <w:szCs w:val="22"/>
          <w:lang w:eastAsia="en-IN"/>
        </w:rPr>
        <w:t xml:space="preserve"> broadly</w:t>
      </w:r>
      <w:proofErr w:type="gramEnd"/>
      <w:r w:rsidRPr="003A6111">
        <w:rPr>
          <w:rFonts w:ascii="Arial" w:hAnsi="Arial" w:cs="Arial"/>
          <w:color w:val="333333"/>
          <w:sz w:val="22"/>
          <w:szCs w:val="22"/>
          <w:lang w:eastAsia="en-IN"/>
        </w:rPr>
        <w:t xml:space="preserve"> cover the supply of:</w:t>
      </w:r>
    </w:p>
    <w:p w14:paraId="32779F66" w14:textId="77777777" w:rsidR="003C015F" w:rsidRPr="003A6111" w:rsidRDefault="003C015F" w:rsidP="003C015F">
      <w:pPr>
        <w:numPr>
          <w:ilvl w:val="0"/>
          <w:numId w:val="19"/>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Electricity</w:t>
      </w:r>
    </w:p>
    <w:p w14:paraId="322AC91F" w14:textId="77777777" w:rsidR="003C015F" w:rsidRPr="003A6111" w:rsidRDefault="003C015F" w:rsidP="003C015F">
      <w:pPr>
        <w:numPr>
          <w:ilvl w:val="0"/>
          <w:numId w:val="19"/>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Gas</w:t>
      </w:r>
    </w:p>
    <w:p w14:paraId="2E728587" w14:textId="77777777" w:rsidR="003C015F" w:rsidRPr="003A6111" w:rsidRDefault="003C015F" w:rsidP="003C015F">
      <w:pPr>
        <w:numPr>
          <w:ilvl w:val="0"/>
          <w:numId w:val="19"/>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Water</w:t>
      </w:r>
    </w:p>
    <w:p w14:paraId="7A7948A8" w14:textId="77777777" w:rsidR="003C015F" w:rsidRPr="003A6111" w:rsidRDefault="003C015F" w:rsidP="003C015F">
      <w:pPr>
        <w:numPr>
          <w:ilvl w:val="0"/>
          <w:numId w:val="19"/>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Communications services</w:t>
      </w:r>
    </w:p>
    <w:p w14:paraId="19E55337" w14:textId="77777777" w:rsidR="003C015F" w:rsidRPr="003A6111" w:rsidRDefault="003C015F" w:rsidP="003C015F">
      <w:pPr>
        <w:numPr>
          <w:ilvl w:val="0"/>
          <w:numId w:val="19"/>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Information Technology</w:t>
      </w:r>
    </w:p>
    <w:p w14:paraId="0DB613F7" w14:textId="77777777" w:rsidR="003C015F" w:rsidRPr="003A6111" w:rsidRDefault="003C015F" w:rsidP="003C015F">
      <w:p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lastRenderedPageBreak/>
        <w:t>The changes implemented by the Order widened the scope of utilities undertakings that are subject to section 233 IA to cover, in particular, “on-sellers” of utilities who are an intermediary between the supplier of gas, electricity etc. and the insolvent business (which would include, for example, a landlord supplying utilities to a tenant), and supplies for the purpose of enabling or facilitating anything to be done by electronic means (</w:t>
      </w:r>
      <w:proofErr w:type="gramStart"/>
      <w:r w:rsidRPr="003A6111">
        <w:rPr>
          <w:rFonts w:ascii="Arial" w:hAnsi="Arial" w:cs="Arial"/>
          <w:color w:val="333333"/>
          <w:sz w:val="22"/>
          <w:szCs w:val="22"/>
          <w:lang w:eastAsia="en-IN"/>
        </w:rPr>
        <w:t>i.e.</w:t>
      </w:r>
      <w:proofErr w:type="gramEnd"/>
      <w:r w:rsidRPr="003A6111">
        <w:rPr>
          <w:rFonts w:ascii="Arial" w:hAnsi="Arial" w:cs="Arial"/>
          <w:color w:val="333333"/>
          <w:sz w:val="22"/>
          <w:szCs w:val="22"/>
          <w:lang w:eastAsia="en-IN"/>
        </w:rPr>
        <w:t xml:space="preserve"> “information technology supplies”). This includes suppliers of:</w:t>
      </w:r>
    </w:p>
    <w:p w14:paraId="1D2899F0" w14:textId="77777777" w:rsidR="003C015F" w:rsidRPr="003A6111" w:rsidRDefault="003C015F" w:rsidP="003C015F">
      <w:pPr>
        <w:numPr>
          <w:ilvl w:val="0"/>
          <w:numId w:val="20"/>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point of sale terminals;</w:t>
      </w:r>
    </w:p>
    <w:p w14:paraId="39A6504C" w14:textId="77777777" w:rsidR="003C015F" w:rsidRPr="003A6111" w:rsidRDefault="003C015F" w:rsidP="003C015F">
      <w:pPr>
        <w:numPr>
          <w:ilvl w:val="0"/>
          <w:numId w:val="20"/>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computer hardware and software;</w:t>
      </w:r>
    </w:p>
    <w:p w14:paraId="3C6351B8" w14:textId="77777777" w:rsidR="003C015F" w:rsidRPr="003A6111" w:rsidRDefault="003C015F" w:rsidP="003C015F">
      <w:pPr>
        <w:numPr>
          <w:ilvl w:val="0"/>
          <w:numId w:val="20"/>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information, advice and technical assistance in connection with the use of information technology;</w:t>
      </w:r>
    </w:p>
    <w:p w14:paraId="4942DF14" w14:textId="77777777" w:rsidR="003C015F" w:rsidRPr="003A6111" w:rsidRDefault="003C015F" w:rsidP="003C015F">
      <w:pPr>
        <w:numPr>
          <w:ilvl w:val="0"/>
          <w:numId w:val="20"/>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data storage and processing; and</w:t>
      </w:r>
    </w:p>
    <w:p w14:paraId="2574D6F0" w14:textId="77777777" w:rsidR="003C015F" w:rsidRPr="003A6111" w:rsidRDefault="003C015F" w:rsidP="003C015F">
      <w:pPr>
        <w:numPr>
          <w:ilvl w:val="0"/>
          <w:numId w:val="20"/>
        </w:numPr>
        <w:spacing w:before="100" w:beforeAutospacing="1" w:after="100" w:afterAutospacing="1"/>
        <w:rPr>
          <w:rFonts w:ascii="Arial" w:hAnsi="Arial" w:cs="Arial"/>
          <w:color w:val="333333"/>
          <w:sz w:val="22"/>
          <w:szCs w:val="22"/>
          <w:lang w:eastAsia="en-IN"/>
        </w:rPr>
      </w:pPr>
      <w:r w:rsidRPr="003A6111">
        <w:rPr>
          <w:rFonts w:ascii="Arial" w:hAnsi="Arial" w:cs="Arial"/>
          <w:color w:val="333333"/>
          <w:sz w:val="22"/>
          <w:szCs w:val="22"/>
          <w:lang w:eastAsia="en-IN"/>
        </w:rPr>
        <w:t>website hosting.</w:t>
      </w:r>
    </w:p>
    <w:p w14:paraId="0770EFD5" w14:textId="0E667268" w:rsidR="00EA3B38" w:rsidRPr="00A24C99" w:rsidRDefault="003C015F" w:rsidP="003C015F">
      <w:pPr>
        <w:jc w:val="both"/>
        <w:rPr>
          <w:rFonts w:ascii="Arial" w:hAnsi="Arial" w:cs="Arial"/>
          <w:color w:val="808080" w:themeColor="background1" w:themeShade="80"/>
          <w:sz w:val="22"/>
          <w:szCs w:val="22"/>
        </w:rPr>
      </w:pPr>
      <w:r w:rsidRPr="003A6111">
        <w:rPr>
          <w:rFonts w:ascii="Arial" w:hAnsi="Arial" w:cs="Arial"/>
          <w:color w:val="333333"/>
          <w:sz w:val="22"/>
          <w:szCs w:val="22"/>
          <w:lang w:eastAsia="en-IN"/>
        </w:rPr>
        <w:t>Although not expressly referred to in section 233 IA, services for internet access, broadband or email will likely be caught as IT-related supplies (and, in any event, would fall within the supply of ‘communication services’ under section 233</w:t>
      </w:r>
      <w:r w:rsidRPr="00A24C99">
        <w:rPr>
          <w:rFonts w:ascii="Arial" w:hAnsi="Arial" w:cs="Arial"/>
          <w:color w:val="333333"/>
          <w:sz w:val="22"/>
          <w:szCs w:val="22"/>
          <w:lang w:eastAsia="en-IN"/>
        </w:rPr>
        <w:t>.</w:t>
      </w:r>
    </w:p>
    <w:p w14:paraId="70BECF44" w14:textId="77777777" w:rsidR="0063381C" w:rsidRPr="003C015F" w:rsidRDefault="0063381C" w:rsidP="002A37BB">
      <w:pPr>
        <w:jc w:val="both"/>
        <w:rPr>
          <w:rFonts w:ascii="Times New Roman" w:hAnsi="Times New Roman" w:cs="Times New Roman"/>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1C37B26" w14:textId="77777777" w:rsidR="003C015F" w:rsidRPr="00A011F9" w:rsidRDefault="003C015F" w:rsidP="003C015F">
      <w:pPr>
        <w:shd w:val="clear" w:color="auto" w:fill="FFFFFF"/>
        <w:spacing w:before="100" w:beforeAutospacing="1" w:after="100" w:afterAutospacing="1"/>
        <w:jc w:val="both"/>
        <w:rPr>
          <w:rFonts w:ascii="Arial" w:hAnsi="Arial" w:cs="Arial"/>
          <w:color w:val="666666"/>
          <w:sz w:val="22"/>
          <w:szCs w:val="22"/>
          <w:lang w:eastAsia="en-IN"/>
        </w:rPr>
      </w:pPr>
      <w:r w:rsidRPr="00A011F9">
        <w:rPr>
          <w:rFonts w:ascii="Arial" w:hAnsi="Arial" w:cs="Arial"/>
          <w:color w:val="666666"/>
          <w:sz w:val="22"/>
          <w:szCs w:val="22"/>
          <w:lang w:eastAsia="en-IN"/>
        </w:rPr>
        <w:t>Preferential creditor is a creditor who is granted preferential status during an insolvent liquidation by receiving the right to first payment, a hierarchy established by the Insolvency Act 1986.</w:t>
      </w:r>
    </w:p>
    <w:p w14:paraId="6358243D" w14:textId="77777777" w:rsidR="003C015F" w:rsidRPr="00A011F9" w:rsidRDefault="003C015F" w:rsidP="003C015F">
      <w:pPr>
        <w:shd w:val="clear" w:color="auto" w:fill="FFFFFF"/>
        <w:spacing w:before="100" w:beforeAutospacing="1" w:after="100" w:afterAutospacing="1"/>
        <w:jc w:val="both"/>
        <w:rPr>
          <w:rFonts w:ascii="Arial" w:hAnsi="Arial" w:cs="Arial"/>
          <w:color w:val="666666"/>
          <w:sz w:val="22"/>
          <w:szCs w:val="22"/>
          <w:lang w:eastAsia="en-IN"/>
        </w:rPr>
      </w:pPr>
      <w:r w:rsidRPr="00A011F9">
        <w:rPr>
          <w:rFonts w:ascii="Arial" w:hAnsi="Arial" w:cs="Arial"/>
          <w:color w:val="666666"/>
          <w:sz w:val="22"/>
          <w:szCs w:val="22"/>
          <w:lang w:eastAsia="en-IN"/>
        </w:rPr>
        <w:t>An official ‘hierarchy’ laid down by the Insolvency Act, 1986, determines which group of creditors is paid first during an insolvent liquidation. When a company enters liquidation, each class of creditors must be paid in full (the exception being ‘prescribed part’ secured creditors) before funds are allocated to the next.</w:t>
      </w:r>
    </w:p>
    <w:p w14:paraId="47732448" w14:textId="77777777" w:rsidR="003C015F" w:rsidRPr="00A011F9" w:rsidRDefault="003C015F" w:rsidP="003C015F">
      <w:pPr>
        <w:shd w:val="clear" w:color="auto" w:fill="FFFFFF"/>
        <w:spacing w:before="100" w:beforeAutospacing="1" w:after="100" w:afterAutospacing="1"/>
        <w:jc w:val="both"/>
        <w:rPr>
          <w:rFonts w:ascii="Arial" w:hAnsi="Arial" w:cs="Arial"/>
          <w:color w:val="666666"/>
          <w:sz w:val="22"/>
          <w:szCs w:val="22"/>
          <w:lang w:eastAsia="en-IN"/>
        </w:rPr>
      </w:pPr>
      <w:r w:rsidRPr="00A011F9">
        <w:rPr>
          <w:rFonts w:ascii="Arial" w:hAnsi="Arial" w:cs="Arial"/>
          <w:color w:val="666666"/>
          <w:sz w:val="22"/>
          <w:szCs w:val="22"/>
          <w:lang w:eastAsia="en-IN"/>
        </w:rPr>
        <w:t>Creditors are ranked as follows:</w:t>
      </w:r>
    </w:p>
    <w:p w14:paraId="2743BC1E" w14:textId="77777777" w:rsidR="003C015F" w:rsidRPr="00A011F9" w:rsidRDefault="003C015F" w:rsidP="003C015F">
      <w:pPr>
        <w:numPr>
          <w:ilvl w:val="0"/>
          <w:numId w:val="22"/>
        </w:numPr>
        <w:shd w:val="clear" w:color="auto" w:fill="FFFFFF"/>
        <w:spacing w:before="120" w:after="120"/>
        <w:jc w:val="both"/>
        <w:rPr>
          <w:rFonts w:ascii="Arial" w:hAnsi="Arial" w:cs="Arial"/>
          <w:color w:val="666666"/>
          <w:sz w:val="22"/>
          <w:szCs w:val="22"/>
          <w:lang w:eastAsia="en-IN"/>
        </w:rPr>
      </w:pPr>
      <w:r w:rsidRPr="00A011F9">
        <w:rPr>
          <w:rFonts w:ascii="Arial" w:hAnsi="Arial" w:cs="Arial"/>
          <w:color w:val="666666"/>
          <w:sz w:val="22"/>
          <w:szCs w:val="22"/>
          <w:lang w:eastAsia="en-IN"/>
        </w:rPr>
        <w:t>Secured creditors with a fixed charge</w:t>
      </w:r>
    </w:p>
    <w:p w14:paraId="6C949C31" w14:textId="77777777" w:rsidR="003C015F" w:rsidRPr="00A011F9" w:rsidRDefault="003C015F" w:rsidP="003C015F">
      <w:pPr>
        <w:numPr>
          <w:ilvl w:val="0"/>
          <w:numId w:val="22"/>
        </w:numPr>
        <w:shd w:val="clear" w:color="auto" w:fill="FFFFFF"/>
        <w:spacing w:after="120"/>
        <w:jc w:val="both"/>
        <w:rPr>
          <w:rFonts w:ascii="Arial" w:hAnsi="Arial" w:cs="Arial"/>
          <w:color w:val="666666"/>
          <w:sz w:val="22"/>
          <w:szCs w:val="22"/>
          <w:lang w:eastAsia="en-IN"/>
        </w:rPr>
      </w:pPr>
      <w:r w:rsidRPr="00A011F9">
        <w:rPr>
          <w:rFonts w:ascii="Arial" w:hAnsi="Arial" w:cs="Arial"/>
          <w:color w:val="666666"/>
          <w:sz w:val="22"/>
          <w:szCs w:val="22"/>
          <w:lang w:eastAsia="en-IN"/>
        </w:rPr>
        <w:t>Administrator/Liquidator fees</w:t>
      </w:r>
    </w:p>
    <w:p w14:paraId="1C390714" w14:textId="77777777" w:rsidR="003C015F" w:rsidRPr="00A011F9" w:rsidRDefault="003C015F" w:rsidP="003C015F">
      <w:pPr>
        <w:numPr>
          <w:ilvl w:val="0"/>
          <w:numId w:val="22"/>
        </w:numPr>
        <w:shd w:val="clear" w:color="auto" w:fill="FFFFFF"/>
        <w:spacing w:after="120"/>
        <w:jc w:val="both"/>
        <w:rPr>
          <w:rFonts w:ascii="Arial" w:hAnsi="Arial" w:cs="Arial"/>
          <w:color w:val="666666"/>
          <w:sz w:val="22"/>
          <w:szCs w:val="22"/>
          <w:lang w:eastAsia="en-IN"/>
        </w:rPr>
      </w:pPr>
      <w:r w:rsidRPr="00A011F9">
        <w:rPr>
          <w:rFonts w:ascii="Arial" w:hAnsi="Arial" w:cs="Arial"/>
          <w:color w:val="666666"/>
          <w:sz w:val="22"/>
          <w:szCs w:val="22"/>
          <w:lang w:eastAsia="en-IN"/>
        </w:rPr>
        <w:t>Preferential creditors</w:t>
      </w:r>
    </w:p>
    <w:p w14:paraId="52D146BB" w14:textId="77777777" w:rsidR="003C015F" w:rsidRPr="00A011F9" w:rsidRDefault="003C015F" w:rsidP="003C015F">
      <w:pPr>
        <w:numPr>
          <w:ilvl w:val="0"/>
          <w:numId w:val="22"/>
        </w:numPr>
        <w:shd w:val="clear" w:color="auto" w:fill="FFFFFF"/>
        <w:spacing w:after="120"/>
        <w:jc w:val="both"/>
        <w:rPr>
          <w:rFonts w:ascii="Arial" w:hAnsi="Arial" w:cs="Arial"/>
          <w:color w:val="666666"/>
          <w:sz w:val="22"/>
          <w:szCs w:val="22"/>
          <w:lang w:eastAsia="en-IN"/>
        </w:rPr>
      </w:pPr>
      <w:r w:rsidRPr="00A011F9">
        <w:rPr>
          <w:rFonts w:ascii="Arial" w:hAnsi="Arial" w:cs="Arial"/>
          <w:color w:val="666666"/>
          <w:sz w:val="22"/>
          <w:szCs w:val="22"/>
          <w:lang w:eastAsia="en-IN"/>
        </w:rPr>
        <w:t>Secondary preferential creditors (expanded to include HMRC for certain taxes)</w:t>
      </w:r>
    </w:p>
    <w:p w14:paraId="4193642D" w14:textId="77777777" w:rsidR="003C015F" w:rsidRPr="00A011F9" w:rsidRDefault="003C015F" w:rsidP="003C015F">
      <w:pPr>
        <w:numPr>
          <w:ilvl w:val="0"/>
          <w:numId w:val="22"/>
        </w:numPr>
        <w:shd w:val="clear" w:color="auto" w:fill="FFFFFF"/>
        <w:spacing w:after="120"/>
        <w:jc w:val="both"/>
        <w:rPr>
          <w:rFonts w:ascii="Arial" w:hAnsi="Arial" w:cs="Arial"/>
          <w:color w:val="666666"/>
          <w:sz w:val="22"/>
          <w:szCs w:val="22"/>
          <w:lang w:eastAsia="en-IN"/>
        </w:rPr>
      </w:pPr>
      <w:r w:rsidRPr="00A011F9">
        <w:rPr>
          <w:rFonts w:ascii="Arial" w:hAnsi="Arial" w:cs="Arial"/>
          <w:color w:val="666666"/>
          <w:sz w:val="22"/>
          <w:szCs w:val="22"/>
          <w:lang w:eastAsia="en-IN"/>
        </w:rPr>
        <w:t>Secured creditors with a floating charge</w:t>
      </w:r>
    </w:p>
    <w:p w14:paraId="4E76EFEF" w14:textId="77777777" w:rsidR="003C015F" w:rsidRPr="00A011F9" w:rsidRDefault="003C015F" w:rsidP="003C015F">
      <w:pPr>
        <w:numPr>
          <w:ilvl w:val="0"/>
          <w:numId w:val="22"/>
        </w:numPr>
        <w:shd w:val="clear" w:color="auto" w:fill="FFFFFF"/>
        <w:spacing w:after="120"/>
        <w:jc w:val="both"/>
        <w:rPr>
          <w:rFonts w:ascii="Arial" w:hAnsi="Arial" w:cs="Arial"/>
          <w:color w:val="666666"/>
          <w:sz w:val="22"/>
          <w:szCs w:val="22"/>
          <w:lang w:eastAsia="en-IN"/>
        </w:rPr>
      </w:pPr>
      <w:r w:rsidRPr="00A011F9">
        <w:rPr>
          <w:rFonts w:ascii="Arial" w:hAnsi="Arial" w:cs="Arial"/>
          <w:color w:val="666666"/>
          <w:sz w:val="22"/>
          <w:szCs w:val="22"/>
          <w:lang w:eastAsia="en-IN"/>
        </w:rPr>
        <w:t>Unsecured creditors </w:t>
      </w:r>
    </w:p>
    <w:p w14:paraId="43DF78A5" w14:textId="77777777" w:rsidR="003C015F" w:rsidRPr="00A011F9" w:rsidRDefault="003C015F" w:rsidP="003C015F">
      <w:pPr>
        <w:numPr>
          <w:ilvl w:val="0"/>
          <w:numId w:val="22"/>
        </w:numPr>
        <w:shd w:val="clear" w:color="auto" w:fill="FFFFFF"/>
        <w:spacing w:after="120"/>
        <w:jc w:val="both"/>
        <w:rPr>
          <w:rFonts w:ascii="Arial" w:hAnsi="Arial" w:cs="Arial"/>
          <w:color w:val="666666"/>
          <w:sz w:val="22"/>
          <w:szCs w:val="22"/>
          <w:lang w:eastAsia="en-IN"/>
        </w:rPr>
      </w:pPr>
      <w:r w:rsidRPr="00A011F9">
        <w:rPr>
          <w:rFonts w:ascii="Arial" w:hAnsi="Arial" w:cs="Arial"/>
          <w:color w:val="666666"/>
          <w:sz w:val="22"/>
          <w:szCs w:val="22"/>
          <w:lang w:eastAsia="en-IN"/>
        </w:rPr>
        <w:t>Shareholders</w:t>
      </w:r>
    </w:p>
    <w:p w14:paraId="6F241D18" w14:textId="77777777" w:rsidR="003C015F" w:rsidRPr="00A011F9" w:rsidRDefault="003C015F" w:rsidP="003C015F">
      <w:pPr>
        <w:shd w:val="clear" w:color="auto" w:fill="FFFFFF"/>
        <w:spacing w:before="100" w:beforeAutospacing="1" w:after="100" w:afterAutospacing="1"/>
        <w:jc w:val="both"/>
        <w:outlineLvl w:val="2"/>
        <w:rPr>
          <w:rFonts w:ascii="Arial" w:hAnsi="Arial" w:cs="Arial"/>
          <w:color w:val="666666"/>
          <w:sz w:val="22"/>
          <w:szCs w:val="22"/>
          <w:lang w:eastAsia="en-IN"/>
        </w:rPr>
      </w:pPr>
    </w:p>
    <w:p w14:paraId="577D02AD" w14:textId="77777777" w:rsidR="003C015F" w:rsidRPr="00A011F9" w:rsidRDefault="003C015F" w:rsidP="003C015F">
      <w:pPr>
        <w:shd w:val="clear" w:color="auto" w:fill="FFFFFF"/>
        <w:spacing w:before="100" w:beforeAutospacing="1" w:after="100" w:afterAutospacing="1"/>
        <w:jc w:val="both"/>
        <w:outlineLvl w:val="2"/>
        <w:rPr>
          <w:rFonts w:ascii="Arial" w:hAnsi="Arial" w:cs="Arial"/>
          <w:color w:val="666666"/>
          <w:sz w:val="22"/>
          <w:szCs w:val="22"/>
          <w:lang w:eastAsia="en-IN"/>
        </w:rPr>
      </w:pPr>
      <w:r w:rsidRPr="00A011F9">
        <w:rPr>
          <w:rFonts w:ascii="Arial" w:hAnsi="Arial" w:cs="Arial"/>
          <w:color w:val="000000"/>
          <w:sz w:val="22"/>
          <w:szCs w:val="22"/>
          <w:shd w:val="clear" w:color="auto" w:fill="FFFFFF"/>
        </w:rPr>
        <w:t>In the event that an insolvency event occurs within 12 weeks of the expiry of a moratorium, moratorium debts and priority pre-moratorium debts (being those debts for which the company doesn't have a payment holiday) have super-priority, save that debt which is accelerated during the moratorium does not enjoy such priority.</w:t>
      </w:r>
    </w:p>
    <w:p w14:paraId="71DC827B" w14:textId="77777777" w:rsidR="003C015F" w:rsidRDefault="003C015F" w:rsidP="003C015F"/>
    <w:p w14:paraId="1F067633" w14:textId="6057C23D" w:rsidR="00EA3B38" w:rsidRPr="00B84055" w:rsidRDefault="00EA3B38"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A24C99" w:rsidRDefault="007E2919" w:rsidP="007E2919">
      <w:pPr>
        <w:rPr>
          <w:rFonts w:ascii="Arial" w:hAnsi="Arial" w:cs="Arial"/>
          <w:sz w:val="22"/>
          <w:szCs w:val="22"/>
        </w:rPr>
      </w:pPr>
      <w:r w:rsidRPr="00A24C99">
        <w:rPr>
          <w:rFonts w:ascii="Arial" w:hAnsi="Arial" w:cs="Arial"/>
          <w:sz w:val="22"/>
          <w:szCs w:val="22"/>
        </w:rPr>
        <w:t xml:space="preserve">The floating charge in favour of </w:t>
      </w:r>
      <w:r w:rsidR="00F41146" w:rsidRPr="00A24C99">
        <w:rPr>
          <w:rFonts w:ascii="Arial" w:hAnsi="Arial" w:cs="Arial"/>
          <w:sz w:val="22"/>
          <w:szCs w:val="22"/>
        </w:rPr>
        <w:t>Fretus</w:t>
      </w:r>
      <w:r w:rsidRPr="00A24C99">
        <w:rPr>
          <w:rFonts w:ascii="Arial" w:hAnsi="Arial" w:cs="Arial"/>
          <w:sz w:val="22"/>
          <w:szCs w:val="22"/>
        </w:rPr>
        <w:t xml:space="preserve"> Bank plc;</w:t>
      </w:r>
    </w:p>
    <w:p w14:paraId="451B70BA" w14:textId="61081683" w:rsidR="007E2919" w:rsidRPr="00A24C99" w:rsidRDefault="007E2919" w:rsidP="007E2919">
      <w:pPr>
        <w:rPr>
          <w:rFonts w:ascii="Arial" w:hAnsi="Arial" w:cs="Arial"/>
          <w:b/>
          <w:sz w:val="22"/>
          <w:szCs w:val="22"/>
        </w:rPr>
      </w:pPr>
    </w:p>
    <w:p w14:paraId="74C366AC" w14:textId="0E2F0F90" w:rsidR="007E2919" w:rsidRPr="00A24C99" w:rsidRDefault="00DE15A3" w:rsidP="00DE15A3">
      <w:pPr>
        <w:jc w:val="both"/>
        <w:rPr>
          <w:rFonts w:ascii="Arial" w:hAnsi="Arial" w:cs="Arial"/>
          <w:b/>
          <w:sz w:val="22"/>
          <w:szCs w:val="22"/>
        </w:rPr>
      </w:pPr>
      <w:r w:rsidRPr="00A24C99">
        <w:rPr>
          <w:rFonts w:ascii="Arial" w:hAnsi="Arial" w:cs="Arial"/>
          <w:color w:val="808080" w:themeColor="background1" w:themeShade="80"/>
          <w:sz w:val="22"/>
          <w:szCs w:val="22"/>
        </w:rPr>
        <w:t xml:space="preserve">The liquidator may take action in relation to the floating charge in </w:t>
      </w:r>
      <w:proofErr w:type="spellStart"/>
      <w:r w:rsidRPr="00A24C99">
        <w:rPr>
          <w:rFonts w:ascii="Arial" w:hAnsi="Arial" w:cs="Arial"/>
          <w:color w:val="808080" w:themeColor="background1" w:themeShade="80"/>
          <w:sz w:val="22"/>
          <w:szCs w:val="22"/>
        </w:rPr>
        <w:t>favour</w:t>
      </w:r>
      <w:proofErr w:type="spellEnd"/>
      <w:r w:rsidRPr="00A24C99">
        <w:rPr>
          <w:rFonts w:ascii="Arial" w:hAnsi="Arial" w:cs="Arial"/>
          <w:color w:val="808080" w:themeColor="background1" w:themeShade="80"/>
          <w:sz w:val="22"/>
          <w:szCs w:val="22"/>
        </w:rPr>
        <w:t xml:space="preserve"> of </w:t>
      </w:r>
      <w:proofErr w:type="spellStart"/>
      <w:r w:rsidRPr="00A24C99">
        <w:rPr>
          <w:rFonts w:ascii="Arial" w:hAnsi="Arial" w:cs="Arial"/>
          <w:color w:val="808080" w:themeColor="background1" w:themeShade="80"/>
          <w:sz w:val="22"/>
          <w:szCs w:val="22"/>
        </w:rPr>
        <w:t>Fretus</w:t>
      </w:r>
      <w:proofErr w:type="spellEnd"/>
      <w:r w:rsidRPr="00A24C99">
        <w:rPr>
          <w:rFonts w:ascii="Arial" w:hAnsi="Arial" w:cs="Arial"/>
          <w:color w:val="808080" w:themeColor="background1" w:themeShade="80"/>
          <w:sz w:val="22"/>
          <w:szCs w:val="22"/>
        </w:rPr>
        <w:t xml:space="preserve"> Bank plc under sec 238 of the Insolvency Act, 1986.  The liquidator may attack this transaction as under value transaction entered prior to the company entering into liquidation as section 238 (2) provides for attacking transaction entered with another person on terms that provided for the company to receive no consideration. Here the Bank had already given the loan or any facility earlier and the floating charge was created only </w:t>
      </w:r>
      <w:proofErr w:type="gramStart"/>
      <w:r w:rsidRPr="00A24C99">
        <w:rPr>
          <w:rFonts w:ascii="Arial" w:hAnsi="Arial" w:cs="Arial"/>
          <w:color w:val="808080" w:themeColor="background1" w:themeShade="80"/>
          <w:sz w:val="22"/>
          <w:szCs w:val="22"/>
        </w:rPr>
        <w:t>to  prevent</w:t>
      </w:r>
      <w:proofErr w:type="gramEnd"/>
      <w:r w:rsidRPr="00A24C99">
        <w:rPr>
          <w:rFonts w:ascii="Arial" w:hAnsi="Arial" w:cs="Arial"/>
          <w:color w:val="808080" w:themeColor="background1" w:themeShade="80"/>
          <w:sz w:val="22"/>
          <w:szCs w:val="22"/>
        </w:rPr>
        <w:t xml:space="preserve"> the bank from demanding the earlier loans. </w:t>
      </w:r>
    </w:p>
    <w:p w14:paraId="49891F7F" w14:textId="77777777" w:rsidR="00A24C99" w:rsidRDefault="00A24C99" w:rsidP="007E2919">
      <w:pPr>
        <w:rPr>
          <w:rFonts w:ascii="Avenir Next Demi Bold" w:hAnsi="Avenir Next Demi Bold" w:cs="Arial"/>
          <w:b/>
          <w:bCs/>
          <w:sz w:val="22"/>
          <w:szCs w:val="22"/>
        </w:rPr>
      </w:pPr>
    </w:p>
    <w:p w14:paraId="0E549215" w14:textId="5AB0BE80"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1528D644" w14:textId="77777777" w:rsidR="00A24C99" w:rsidRDefault="00A24C99" w:rsidP="007E2919">
      <w:pPr>
        <w:rPr>
          <w:rFonts w:ascii="Avenir Next" w:hAnsi="Avenir Next" w:cs="Arial"/>
          <w:sz w:val="22"/>
          <w:szCs w:val="22"/>
        </w:rPr>
      </w:pPr>
    </w:p>
    <w:p w14:paraId="28B7B160" w14:textId="496725FA" w:rsidR="007E2919" w:rsidRPr="00A24C99" w:rsidRDefault="007E2919" w:rsidP="007E2919">
      <w:pPr>
        <w:rPr>
          <w:rFonts w:ascii="Arial" w:hAnsi="Arial" w:cs="Arial"/>
          <w:sz w:val="22"/>
          <w:szCs w:val="22"/>
        </w:rPr>
      </w:pPr>
      <w:r w:rsidRPr="00A24C99">
        <w:rPr>
          <w:rFonts w:ascii="Arial" w:hAnsi="Arial" w:cs="Arial"/>
          <w:sz w:val="22"/>
          <w:szCs w:val="22"/>
        </w:rPr>
        <w:t xml:space="preserve">The sale of the </w:t>
      </w:r>
      <w:r w:rsidR="00F41146" w:rsidRPr="00A24C99">
        <w:rPr>
          <w:rFonts w:ascii="Arial" w:hAnsi="Arial" w:cs="Arial"/>
          <w:sz w:val="22"/>
          <w:szCs w:val="22"/>
        </w:rPr>
        <w:t>marble cutting machines</w:t>
      </w:r>
      <w:r w:rsidRPr="00A24C99">
        <w:rPr>
          <w:rFonts w:ascii="Arial" w:hAnsi="Arial" w:cs="Arial"/>
          <w:sz w:val="22"/>
          <w:szCs w:val="22"/>
        </w:rPr>
        <w:t>; and</w:t>
      </w:r>
    </w:p>
    <w:p w14:paraId="78CA5A7B" w14:textId="7BC31BB4" w:rsidR="007E2919" w:rsidRPr="00A24C99" w:rsidRDefault="007E2919" w:rsidP="007E2919">
      <w:pPr>
        <w:rPr>
          <w:rFonts w:ascii="Arial" w:hAnsi="Arial" w:cs="Arial"/>
          <w:b/>
          <w:sz w:val="22"/>
          <w:szCs w:val="22"/>
        </w:rPr>
      </w:pPr>
    </w:p>
    <w:p w14:paraId="07962D63" w14:textId="35E0DCCF" w:rsidR="00EA3B38" w:rsidRPr="00A24C99" w:rsidRDefault="00DE15A3" w:rsidP="00EA3B38">
      <w:pPr>
        <w:jc w:val="both"/>
        <w:rPr>
          <w:rFonts w:ascii="Arial" w:hAnsi="Arial" w:cs="Arial"/>
          <w:color w:val="808080" w:themeColor="background1" w:themeShade="80"/>
          <w:sz w:val="22"/>
          <w:szCs w:val="22"/>
        </w:rPr>
      </w:pPr>
      <w:r w:rsidRPr="00A24C99">
        <w:rPr>
          <w:rFonts w:ascii="Arial" w:hAnsi="Arial" w:cs="Arial"/>
          <w:color w:val="808080" w:themeColor="background1" w:themeShade="80"/>
          <w:sz w:val="22"/>
          <w:szCs w:val="22"/>
        </w:rPr>
        <w:t xml:space="preserve">The liquidator can attack the transaction of the sale of </w:t>
      </w:r>
      <w:r w:rsidR="001B68B3" w:rsidRPr="00A24C99">
        <w:rPr>
          <w:rFonts w:ascii="Arial" w:hAnsi="Arial" w:cs="Arial"/>
          <w:color w:val="808080" w:themeColor="background1" w:themeShade="80"/>
          <w:sz w:val="22"/>
          <w:szCs w:val="22"/>
        </w:rPr>
        <w:t xml:space="preserve">the marble cutting machines to Rita Perkins </w:t>
      </w:r>
    </w:p>
    <w:p w14:paraId="0E83C127" w14:textId="0FCEC356" w:rsidR="001B68B3" w:rsidRPr="00A24C99" w:rsidRDefault="001B68B3" w:rsidP="00EA3B38">
      <w:pPr>
        <w:jc w:val="both"/>
        <w:rPr>
          <w:rFonts w:ascii="Arial" w:hAnsi="Arial" w:cs="Arial"/>
          <w:color w:val="808080" w:themeColor="background1" w:themeShade="80"/>
          <w:sz w:val="22"/>
          <w:szCs w:val="22"/>
        </w:rPr>
      </w:pPr>
      <w:r w:rsidRPr="00A24C99">
        <w:rPr>
          <w:rFonts w:ascii="Arial" w:hAnsi="Arial" w:cs="Arial"/>
          <w:color w:val="808080" w:themeColor="background1" w:themeShade="80"/>
          <w:sz w:val="22"/>
          <w:szCs w:val="22"/>
        </w:rPr>
        <w:t xml:space="preserve">Rita Perkins being a director of the company is also a related party to the company. This transaction also falls under section 238(3) of the Insolvency Act, 1986. Here it is clear that </w:t>
      </w:r>
    </w:p>
    <w:p w14:paraId="0A287B49" w14:textId="391D0CCC" w:rsidR="001B68B3" w:rsidRPr="00A24C99" w:rsidRDefault="001B68B3" w:rsidP="00EA3B38">
      <w:pPr>
        <w:jc w:val="both"/>
        <w:rPr>
          <w:rFonts w:ascii="Arial" w:hAnsi="Arial" w:cs="Arial"/>
          <w:color w:val="808080" w:themeColor="background1" w:themeShade="80"/>
          <w:sz w:val="22"/>
          <w:szCs w:val="22"/>
        </w:rPr>
      </w:pPr>
      <w:r w:rsidRPr="00A24C99">
        <w:rPr>
          <w:rFonts w:ascii="Arial" w:hAnsi="Arial" w:cs="Arial"/>
          <w:color w:val="808080" w:themeColor="background1" w:themeShade="80"/>
          <w:sz w:val="22"/>
          <w:szCs w:val="22"/>
        </w:rPr>
        <w:lastRenderedPageBreak/>
        <w:t xml:space="preserve">The company entered into a transaction with another person for a consideration which in money or money’s worth, was at the date of transaction, significantly less than the value, in money of money’s worth, of the consideration provided by the company. Here the company has sold the machine to one of the directors at GBP 10000 against the value of the machine which was GBP25000 minus only depreciation of one year. Hence the value consideration received was much less than the value of the machine.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A24C99" w:rsidRDefault="007E2919" w:rsidP="007E2919">
      <w:pPr>
        <w:rPr>
          <w:rFonts w:ascii="Arial" w:hAnsi="Arial" w:cs="Arial"/>
          <w:sz w:val="22"/>
          <w:szCs w:val="22"/>
        </w:rPr>
      </w:pPr>
      <w:r w:rsidRPr="00A24C99">
        <w:rPr>
          <w:rFonts w:ascii="Arial" w:hAnsi="Arial" w:cs="Arial"/>
          <w:sz w:val="22"/>
          <w:szCs w:val="22"/>
        </w:rPr>
        <w:t>The payment</w:t>
      </w:r>
      <w:r w:rsidR="0070524B" w:rsidRPr="00A24C99">
        <w:rPr>
          <w:rFonts w:ascii="Arial" w:hAnsi="Arial" w:cs="Arial"/>
          <w:sz w:val="22"/>
          <w:szCs w:val="22"/>
        </w:rPr>
        <w:t>s</w:t>
      </w:r>
      <w:r w:rsidRPr="00A24C99">
        <w:rPr>
          <w:rFonts w:ascii="Arial" w:hAnsi="Arial" w:cs="Arial"/>
          <w:sz w:val="22"/>
          <w:szCs w:val="22"/>
        </w:rPr>
        <w:t xml:space="preserve"> to </w:t>
      </w:r>
      <w:r w:rsidR="00F41146" w:rsidRPr="00A24C99">
        <w:rPr>
          <w:rFonts w:ascii="Arial" w:hAnsi="Arial" w:cs="Arial"/>
          <w:sz w:val="22"/>
          <w:szCs w:val="22"/>
        </w:rPr>
        <w:t>Hard and Fast</w:t>
      </w:r>
      <w:r w:rsidR="0070524B" w:rsidRPr="00A24C99">
        <w:rPr>
          <w:rFonts w:ascii="Arial" w:hAnsi="Arial" w:cs="Arial"/>
          <w:sz w:val="22"/>
          <w:szCs w:val="22"/>
        </w:rPr>
        <w:t xml:space="preserve"> Ltd</w:t>
      </w:r>
      <w:r w:rsidR="00B04033" w:rsidRPr="00A24C99">
        <w:rPr>
          <w:rFonts w:ascii="Arial" w:hAnsi="Arial" w:cs="Arial"/>
          <w:sz w:val="22"/>
          <w:szCs w:val="22"/>
        </w:rPr>
        <w:t>.</w:t>
      </w:r>
    </w:p>
    <w:p w14:paraId="72C79D7A" w14:textId="77777777" w:rsidR="00B04033" w:rsidRPr="00A24C99" w:rsidRDefault="007E2919" w:rsidP="00B04033">
      <w:pPr>
        <w:rPr>
          <w:rFonts w:ascii="Arial" w:hAnsi="Arial" w:cs="Arial"/>
          <w:b/>
          <w:sz w:val="22"/>
          <w:szCs w:val="22"/>
        </w:rPr>
      </w:pPr>
      <w:r w:rsidRPr="00A24C99">
        <w:rPr>
          <w:rFonts w:ascii="Arial" w:hAnsi="Arial" w:cs="Arial"/>
          <w:b/>
          <w:sz w:val="22"/>
          <w:szCs w:val="22"/>
        </w:rPr>
        <w:t xml:space="preserve"> </w:t>
      </w:r>
    </w:p>
    <w:p w14:paraId="6E20445D" w14:textId="77777777" w:rsidR="00C249E0" w:rsidRPr="00A24C99" w:rsidRDefault="001B68B3" w:rsidP="00C249E0">
      <w:pPr>
        <w:pStyle w:val="NormalWeb"/>
        <w:spacing w:before="0" w:beforeAutospacing="0" w:after="0" w:afterAutospacing="0"/>
        <w:jc w:val="both"/>
        <w:rPr>
          <w:rFonts w:ascii="Arial" w:hAnsi="Arial" w:cs="Arial"/>
          <w:sz w:val="22"/>
          <w:szCs w:val="22"/>
          <w:lang w:val="en-GB"/>
        </w:rPr>
      </w:pPr>
      <w:r w:rsidRPr="00A24C99">
        <w:rPr>
          <w:rFonts w:ascii="Arial" w:hAnsi="Arial" w:cs="Arial"/>
          <w:color w:val="808080" w:themeColor="background1" w:themeShade="80"/>
          <w:sz w:val="22"/>
          <w:szCs w:val="22"/>
        </w:rPr>
        <w:t xml:space="preserve">The payment to Hard and Fast Ltd </w:t>
      </w:r>
      <w:r w:rsidR="00C249E0" w:rsidRPr="00A24C99">
        <w:rPr>
          <w:rFonts w:ascii="Arial" w:hAnsi="Arial" w:cs="Arial"/>
          <w:color w:val="808080" w:themeColor="background1" w:themeShade="80"/>
          <w:sz w:val="22"/>
          <w:szCs w:val="22"/>
        </w:rPr>
        <w:t xml:space="preserve">was only made to them after they </w:t>
      </w:r>
      <w:r w:rsidR="00C249E0" w:rsidRPr="00A24C99">
        <w:rPr>
          <w:rFonts w:ascii="Arial" w:hAnsi="Arial" w:cs="Arial"/>
          <w:sz w:val="22"/>
          <w:szCs w:val="22"/>
          <w:lang w:val="en-GB"/>
        </w:rPr>
        <w:t xml:space="preserve">demanded immediate payment of all sums owing to it </w:t>
      </w:r>
      <w:r w:rsidR="00C249E0" w:rsidRPr="00A24C99">
        <w:rPr>
          <w:rFonts w:ascii="Arial" w:hAnsi="Arial" w:cs="Arial"/>
          <w:sz w:val="22"/>
          <w:szCs w:val="22"/>
          <w:lang w:val="en-GB"/>
        </w:rPr>
        <w:t xml:space="preserve">under the pretext </w:t>
      </w:r>
      <w:r w:rsidR="00C249E0" w:rsidRPr="00A24C99">
        <w:rPr>
          <w:rFonts w:ascii="Arial" w:hAnsi="Arial" w:cs="Arial"/>
          <w:sz w:val="22"/>
          <w:szCs w:val="22"/>
          <w:lang w:val="en-GB"/>
        </w:rPr>
        <w:t xml:space="preserve">that further supplies would only be made on a cash on delivery basis. </w:t>
      </w:r>
      <w:r w:rsidR="00C249E0" w:rsidRPr="00A24C99">
        <w:rPr>
          <w:rFonts w:ascii="Arial" w:hAnsi="Arial" w:cs="Arial"/>
          <w:sz w:val="22"/>
          <w:szCs w:val="22"/>
          <w:lang w:val="en-GB"/>
        </w:rPr>
        <w:t xml:space="preserve">Since </w:t>
      </w:r>
      <w:r w:rsidR="00C249E0" w:rsidRPr="00A24C99">
        <w:rPr>
          <w:rFonts w:ascii="Arial" w:hAnsi="Arial" w:cs="Arial"/>
          <w:sz w:val="22"/>
          <w:szCs w:val="22"/>
          <w:lang w:val="en-GB"/>
        </w:rPr>
        <w:t>the continued supply of marble was seen as essential by the Company, the board</w:t>
      </w:r>
      <w:r w:rsidR="00C249E0" w:rsidRPr="00A24C99">
        <w:rPr>
          <w:rFonts w:ascii="Arial" w:hAnsi="Arial" w:cs="Arial"/>
          <w:sz w:val="22"/>
          <w:szCs w:val="22"/>
          <w:lang w:val="en-GB"/>
        </w:rPr>
        <w:t xml:space="preserve"> had properly </w:t>
      </w:r>
      <w:r w:rsidR="00C249E0" w:rsidRPr="00A24C99">
        <w:rPr>
          <w:rFonts w:ascii="Arial" w:hAnsi="Arial" w:cs="Arial"/>
          <w:sz w:val="22"/>
          <w:szCs w:val="22"/>
          <w:lang w:val="en-GB"/>
        </w:rPr>
        <w:t xml:space="preserve"> authorised a payment of GBP 8,000 to cover existing liabilities and agreed to further payments, on a cash on delivery basis,</w:t>
      </w:r>
      <w:r w:rsidR="00C249E0" w:rsidRPr="00A24C99">
        <w:rPr>
          <w:rFonts w:ascii="Arial" w:hAnsi="Arial" w:cs="Arial"/>
          <w:sz w:val="22"/>
          <w:szCs w:val="22"/>
          <w:lang w:val="en-GB"/>
        </w:rPr>
        <w:t xml:space="preserve">. The </w:t>
      </w:r>
      <w:r w:rsidR="00C249E0" w:rsidRPr="00A24C99">
        <w:rPr>
          <w:rFonts w:ascii="Arial" w:hAnsi="Arial" w:cs="Arial"/>
          <w:sz w:val="22"/>
          <w:szCs w:val="22"/>
          <w:lang w:val="en-GB"/>
        </w:rPr>
        <w:t>further supplies amounted to further payment of GBP 3,000 up to the date of the winding up order.</w:t>
      </w:r>
      <w:r w:rsidR="00C249E0" w:rsidRPr="00A24C99">
        <w:rPr>
          <w:rFonts w:ascii="Arial" w:hAnsi="Arial" w:cs="Arial"/>
          <w:sz w:val="22"/>
          <w:szCs w:val="22"/>
          <w:lang w:val="en-GB"/>
        </w:rPr>
        <w:t xml:space="preserve"> </w:t>
      </w:r>
    </w:p>
    <w:p w14:paraId="77752472" w14:textId="77777777" w:rsidR="00C249E0" w:rsidRPr="00A24C99" w:rsidRDefault="00C249E0" w:rsidP="00C249E0">
      <w:pPr>
        <w:pStyle w:val="NormalWeb"/>
        <w:spacing w:before="0" w:beforeAutospacing="0" w:after="0" w:afterAutospacing="0"/>
        <w:jc w:val="both"/>
        <w:rPr>
          <w:rFonts w:ascii="Arial" w:hAnsi="Arial" w:cs="Arial"/>
          <w:sz w:val="22"/>
          <w:szCs w:val="22"/>
          <w:lang w:val="en-GB"/>
        </w:rPr>
      </w:pPr>
    </w:p>
    <w:p w14:paraId="166EA790" w14:textId="76E3043D" w:rsidR="00C249E0" w:rsidRPr="00A24C99" w:rsidRDefault="00C249E0" w:rsidP="00C249E0">
      <w:pPr>
        <w:pStyle w:val="NormalWeb"/>
        <w:spacing w:before="0" w:beforeAutospacing="0" w:after="0" w:afterAutospacing="0"/>
        <w:jc w:val="both"/>
        <w:rPr>
          <w:rFonts w:ascii="Arial" w:hAnsi="Arial" w:cs="Arial"/>
          <w:sz w:val="22"/>
          <w:szCs w:val="22"/>
          <w:lang w:val="en-GB"/>
        </w:rPr>
      </w:pPr>
      <w:r w:rsidRPr="00A24C99">
        <w:rPr>
          <w:rFonts w:ascii="Arial" w:hAnsi="Arial" w:cs="Arial"/>
          <w:sz w:val="22"/>
          <w:szCs w:val="22"/>
          <w:lang w:val="en-GB"/>
        </w:rPr>
        <w:t xml:space="preserve">Since this transaction was entered into by the company in good faith and for the purpose of carrying on its business, and at the time of carrying out the transaction it believed that this will benefit the company.  </w:t>
      </w:r>
      <w:r w:rsidRPr="00A24C99">
        <w:rPr>
          <w:rFonts w:ascii="Arial" w:hAnsi="Arial" w:cs="Arial"/>
          <w:sz w:val="22"/>
          <w:szCs w:val="22"/>
          <w:lang w:val="en-GB"/>
        </w:rPr>
        <w:t xml:space="preserve"> </w:t>
      </w:r>
    </w:p>
    <w:p w14:paraId="7E267D03" w14:textId="0D5F3710" w:rsidR="00C249E0" w:rsidRPr="00A24C99" w:rsidRDefault="00C249E0" w:rsidP="00C249E0">
      <w:pPr>
        <w:pStyle w:val="NormalWeb"/>
        <w:spacing w:before="0" w:beforeAutospacing="0" w:after="0" w:afterAutospacing="0"/>
        <w:jc w:val="both"/>
        <w:rPr>
          <w:rFonts w:ascii="Arial" w:hAnsi="Arial" w:cs="Arial"/>
          <w:sz w:val="22"/>
          <w:szCs w:val="22"/>
          <w:lang w:val="en-GB"/>
        </w:rPr>
      </w:pPr>
    </w:p>
    <w:p w14:paraId="18D0163D" w14:textId="40D79248" w:rsidR="00C249E0" w:rsidRPr="00A24C99" w:rsidRDefault="00C249E0" w:rsidP="00C249E0">
      <w:pPr>
        <w:pStyle w:val="NormalWeb"/>
        <w:spacing w:before="0" w:beforeAutospacing="0" w:after="0" w:afterAutospacing="0"/>
        <w:jc w:val="both"/>
        <w:rPr>
          <w:rFonts w:ascii="Arial" w:hAnsi="Arial" w:cs="Arial"/>
          <w:sz w:val="22"/>
          <w:szCs w:val="22"/>
          <w:lang w:val="en-GB"/>
        </w:rPr>
      </w:pPr>
      <w:proofErr w:type="gramStart"/>
      <w:r w:rsidRPr="00A24C99">
        <w:rPr>
          <w:rFonts w:ascii="Arial" w:hAnsi="Arial" w:cs="Arial"/>
          <w:sz w:val="22"/>
          <w:szCs w:val="22"/>
          <w:lang w:val="en-GB"/>
        </w:rPr>
        <w:t>So</w:t>
      </w:r>
      <w:proofErr w:type="gramEnd"/>
      <w:r w:rsidRPr="00A24C99">
        <w:rPr>
          <w:rFonts w:ascii="Arial" w:hAnsi="Arial" w:cs="Arial"/>
          <w:sz w:val="22"/>
          <w:szCs w:val="22"/>
          <w:lang w:val="en-GB"/>
        </w:rPr>
        <w:t xml:space="preserve"> if the company can satisfy these grounds then this payment to Hard and Fast Ltd can not be attacked by the liquidator. </w:t>
      </w:r>
    </w:p>
    <w:p w14:paraId="24A29C9F" w14:textId="77777777" w:rsidR="00C249E0" w:rsidRPr="00A24C99" w:rsidRDefault="00C249E0" w:rsidP="00C249E0">
      <w:pPr>
        <w:pStyle w:val="NormalWeb"/>
        <w:spacing w:before="0" w:beforeAutospacing="0" w:after="0" w:afterAutospacing="0"/>
        <w:jc w:val="both"/>
        <w:rPr>
          <w:rFonts w:ascii="Arial" w:hAnsi="Arial" w:cs="Arial"/>
          <w:sz w:val="22"/>
          <w:szCs w:val="22"/>
          <w:lang w:val="en-GB"/>
        </w:rPr>
      </w:pPr>
    </w:p>
    <w:p w14:paraId="2E1F0BBE" w14:textId="77777777" w:rsidR="00C249E0" w:rsidRPr="00A24C99" w:rsidRDefault="00C249E0" w:rsidP="00C249E0">
      <w:pPr>
        <w:pStyle w:val="NormalWeb"/>
        <w:spacing w:before="0" w:beforeAutospacing="0" w:after="0" w:afterAutospacing="0"/>
        <w:jc w:val="both"/>
        <w:rPr>
          <w:rFonts w:ascii="Arial" w:hAnsi="Arial" w:cs="Arial"/>
          <w:sz w:val="22"/>
          <w:szCs w:val="22"/>
          <w:lang w:val="en-GB"/>
        </w:rPr>
      </w:pPr>
    </w:p>
    <w:p w14:paraId="6F38B806" w14:textId="781235FC" w:rsidR="009452DF" w:rsidRPr="00B84055" w:rsidRDefault="009452DF"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5E4B" w14:textId="77777777" w:rsidR="006D51F7" w:rsidRDefault="006D51F7" w:rsidP="00241B44">
      <w:r>
        <w:separator/>
      </w:r>
    </w:p>
  </w:endnote>
  <w:endnote w:type="continuationSeparator" w:id="0">
    <w:p w14:paraId="5358ED84" w14:textId="77777777" w:rsidR="006D51F7" w:rsidRDefault="006D51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936CA7A" w:rsidR="00241FA3" w:rsidRPr="00A84235" w:rsidRDefault="00C249E0" w:rsidP="009B4976">
    <w:pPr>
      <w:pStyle w:val="Footer"/>
      <w:ind w:right="360"/>
      <w:rPr>
        <w:rFonts w:ascii="Avenir Next" w:hAnsi="Avenir Next" w:cs="Arial"/>
        <w:sz w:val="22"/>
        <w:szCs w:val="22"/>
        <w:lang w:val="en-GB"/>
      </w:rPr>
    </w:pPr>
    <w:r>
      <w:rPr>
        <w:rFonts w:ascii="Avenir Next" w:hAnsi="Avenir Next" w:cs="Arial"/>
        <w:sz w:val="22"/>
        <w:szCs w:val="22"/>
        <w:lang w:val="en-GB"/>
      </w:rPr>
      <w:t>202223-970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AD42" w14:textId="77777777" w:rsidR="006D51F7" w:rsidRDefault="006D51F7" w:rsidP="00241B44">
      <w:r>
        <w:separator/>
      </w:r>
    </w:p>
  </w:footnote>
  <w:footnote w:type="continuationSeparator" w:id="0">
    <w:p w14:paraId="75501AD0" w14:textId="77777777" w:rsidR="006D51F7" w:rsidRDefault="006D51F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2597B"/>
    <w:multiLevelType w:val="hybridMultilevel"/>
    <w:tmpl w:val="AEDCA2BE"/>
    <w:lvl w:ilvl="0" w:tplc="01EE4FE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D1C31"/>
    <w:multiLevelType w:val="multilevel"/>
    <w:tmpl w:val="5B5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03E8B"/>
    <w:multiLevelType w:val="multilevel"/>
    <w:tmpl w:val="4D42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A72A7"/>
    <w:multiLevelType w:val="multilevel"/>
    <w:tmpl w:val="9AF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44DAB"/>
    <w:multiLevelType w:val="hybridMultilevel"/>
    <w:tmpl w:val="5B0EACC6"/>
    <w:lvl w:ilvl="0" w:tplc="724406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2597337">
    <w:abstractNumId w:val="3"/>
  </w:num>
  <w:num w:numId="2" w16cid:durableId="1315330006">
    <w:abstractNumId w:val="1"/>
  </w:num>
  <w:num w:numId="3" w16cid:durableId="2132552183">
    <w:abstractNumId w:val="0"/>
  </w:num>
  <w:num w:numId="4" w16cid:durableId="1432817861">
    <w:abstractNumId w:val="10"/>
  </w:num>
  <w:num w:numId="5" w16cid:durableId="1739816891">
    <w:abstractNumId w:val="13"/>
  </w:num>
  <w:num w:numId="6" w16cid:durableId="1488327779">
    <w:abstractNumId w:val="2"/>
  </w:num>
  <w:num w:numId="7" w16cid:durableId="799609702">
    <w:abstractNumId w:val="15"/>
  </w:num>
  <w:num w:numId="8" w16cid:durableId="355808290">
    <w:abstractNumId w:val="19"/>
  </w:num>
  <w:num w:numId="9" w16cid:durableId="1215237457">
    <w:abstractNumId w:val="11"/>
  </w:num>
  <w:num w:numId="10" w16cid:durableId="417409941">
    <w:abstractNumId w:val="20"/>
  </w:num>
  <w:num w:numId="11" w16cid:durableId="567040034">
    <w:abstractNumId w:val="7"/>
  </w:num>
  <w:num w:numId="12" w16cid:durableId="209078477">
    <w:abstractNumId w:val="17"/>
  </w:num>
  <w:num w:numId="13" w16cid:durableId="781608403">
    <w:abstractNumId w:val="12"/>
  </w:num>
  <w:num w:numId="14" w16cid:durableId="1916359980">
    <w:abstractNumId w:val="5"/>
  </w:num>
  <w:num w:numId="15" w16cid:durableId="1662343061">
    <w:abstractNumId w:val="16"/>
  </w:num>
  <w:num w:numId="16" w16cid:durableId="2064526414">
    <w:abstractNumId w:val="18"/>
  </w:num>
  <w:num w:numId="17" w16cid:durableId="1788234710">
    <w:abstractNumId w:val="8"/>
  </w:num>
  <w:num w:numId="18" w16cid:durableId="224072047">
    <w:abstractNumId w:val="4"/>
  </w:num>
  <w:num w:numId="19" w16cid:durableId="1573588821">
    <w:abstractNumId w:val="6"/>
  </w:num>
  <w:num w:numId="20" w16cid:durableId="1375734445">
    <w:abstractNumId w:val="9"/>
  </w:num>
  <w:num w:numId="21" w16cid:durableId="1020544985">
    <w:abstractNumId w:val="21"/>
  </w:num>
  <w:num w:numId="22" w16cid:durableId="11568506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B68B3"/>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28D9"/>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01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36B1"/>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51F7"/>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3B11"/>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4C99"/>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0BB8"/>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249E0"/>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15A3"/>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929335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Kishor Pahuja</cp:lastModifiedBy>
  <cp:revision>2</cp:revision>
  <cp:lastPrinted>2019-08-27T05:42:00Z</cp:lastPrinted>
  <dcterms:created xsi:type="dcterms:W3CDTF">2023-02-20T13:11:00Z</dcterms:created>
  <dcterms:modified xsi:type="dcterms:W3CDTF">2023-02-20T13:11:00Z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