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212001">
        <w:rPr>
          <w:rFonts w:ascii="Avenir Next" w:hAnsi="Avenir Next" w:cs="Arial"/>
          <w:sz w:val="22"/>
          <w:szCs w:val="22"/>
          <w:lang w:val="en-GB"/>
        </w:rPr>
        <w:t>w</w:t>
      </w:r>
      <w:r w:rsidR="00C91062" w:rsidRPr="00212001">
        <w:rPr>
          <w:rFonts w:ascii="Avenir Next" w:hAnsi="Avenir Next" w:cs="Arial"/>
          <w:sz w:val="22"/>
          <w:szCs w:val="22"/>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9C405E" w:rsidRDefault="00AE5B6F" w:rsidP="00B04033">
      <w:pPr>
        <w:pStyle w:val="ListParagraph"/>
        <w:numPr>
          <w:ilvl w:val="0"/>
          <w:numId w:val="1"/>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o</w:t>
      </w:r>
      <w:r w:rsidR="00C91062" w:rsidRPr="009C405E">
        <w:rPr>
          <w:rFonts w:ascii="Avenir Next" w:hAnsi="Avenir Next" w:cs="Arial"/>
          <w:sz w:val="22"/>
          <w:szCs w:val="22"/>
          <w:highlight w:val="yellow"/>
          <w:lang w:val="en-GB"/>
        </w:rPr>
        <w:t>n the day the company enters administration</w:t>
      </w:r>
      <w:r w:rsidR="00763348" w:rsidRPr="009C405E">
        <w:rPr>
          <w:rFonts w:ascii="Avenir Next" w:hAnsi="Avenir Next" w:cs="Arial"/>
          <w:sz w:val="22"/>
          <w:szCs w:val="22"/>
          <w:highlight w:val="yellow"/>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9C405E" w:rsidRDefault="00E443D7" w:rsidP="00B04033">
      <w:pPr>
        <w:pStyle w:val="ListParagraph"/>
        <w:numPr>
          <w:ilvl w:val="0"/>
          <w:numId w:val="2"/>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One year and 20 business days</w:t>
      </w:r>
      <w:r w:rsidR="00763348" w:rsidRPr="009C405E">
        <w:rPr>
          <w:rFonts w:ascii="Avenir Next" w:hAnsi="Avenir Next" w:cs="Arial"/>
          <w:sz w:val="22"/>
          <w:szCs w:val="22"/>
          <w:highlight w:val="yellow"/>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9C405E" w:rsidRDefault="00AE5B6F" w:rsidP="00B04033">
      <w:pPr>
        <w:pStyle w:val="ListParagraph"/>
        <w:numPr>
          <w:ilvl w:val="0"/>
          <w:numId w:val="3"/>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T</w:t>
      </w:r>
      <w:r w:rsidR="008D1616" w:rsidRPr="009C405E">
        <w:rPr>
          <w:rFonts w:ascii="Avenir Next" w:hAnsi="Avenir Next" w:cs="Arial"/>
          <w:sz w:val="22"/>
          <w:szCs w:val="22"/>
          <w:highlight w:val="yellow"/>
          <w:lang w:val="en-GB"/>
        </w:rPr>
        <w:t>he company has encountered, or is likely to encounter, financial difficulties that are affecting, or will or may affect, its ability to carry on business as a going concern</w:t>
      </w:r>
      <w:r w:rsidR="00763348" w:rsidRPr="009C405E">
        <w:rPr>
          <w:rFonts w:ascii="Avenir Next" w:hAnsi="Avenir Next" w:cs="Arial"/>
          <w:sz w:val="22"/>
          <w:szCs w:val="22"/>
          <w:highlight w:val="yellow"/>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212001">
        <w:rPr>
          <w:rFonts w:ascii="Avenir Next" w:hAnsi="Avenir Next" w:cs="Arial"/>
          <w:sz w:val="22"/>
          <w:szCs w:val="22"/>
          <w:lang w:val="en-GB"/>
        </w:rPr>
        <w:t>T</w:t>
      </w:r>
      <w:r w:rsidR="008D1616" w:rsidRPr="00212001">
        <w:rPr>
          <w:rFonts w:ascii="Avenir Next" w:hAnsi="Avenir Next" w:cs="Arial"/>
          <w:sz w:val="22"/>
          <w:szCs w:val="22"/>
          <w:lang w:val="en-GB"/>
        </w:rPr>
        <w:t>he company is, or is likely to become, unable to pay their debts, as defined under s</w:t>
      </w:r>
      <w:r w:rsidR="00E833F4" w:rsidRPr="00212001">
        <w:rPr>
          <w:rFonts w:ascii="Avenir Next" w:hAnsi="Avenir Next" w:cs="Arial"/>
          <w:sz w:val="22"/>
          <w:szCs w:val="22"/>
          <w:lang w:val="en-GB"/>
        </w:rPr>
        <w:t>ection</w:t>
      </w:r>
      <w:r w:rsidR="008D1616" w:rsidRPr="00212001">
        <w:rPr>
          <w:rFonts w:ascii="Avenir Next" w:hAnsi="Avenir Next" w:cs="Arial"/>
          <w:sz w:val="22"/>
          <w:szCs w:val="22"/>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Default="008D1616" w:rsidP="00C55824">
      <w:pPr>
        <w:jc w:val="both"/>
        <w:rPr>
          <w:rFonts w:ascii="Avenir Next" w:hAnsi="Avenir Next" w:cs="Arial"/>
          <w:b/>
          <w:bCs/>
          <w:sz w:val="22"/>
          <w:szCs w:val="22"/>
        </w:rPr>
      </w:pPr>
    </w:p>
    <w:p w14:paraId="78881050" w14:textId="77777777" w:rsidR="00CD2D63" w:rsidRDefault="00CD2D63" w:rsidP="00C55824">
      <w:pPr>
        <w:jc w:val="both"/>
        <w:rPr>
          <w:rFonts w:ascii="Avenir Next" w:hAnsi="Avenir Next" w:cs="Arial"/>
          <w:b/>
          <w:bCs/>
          <w:sz w:val="22"/>
          <w:szCs w:val="22"/>
        </w:rPr>
      </w:pPr>
    </w:p>
    <w:p w14:paraId="16E6B763" w14:textId="77777777" w:rsidR="00CD2D63" w:rsidRPr="006925C1" w:rsidRDefault="00CD2D63"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9C405E" w:rsidRDefault="00C91062" w:rsidP="00B04033">
      <w:pPr>
        <w:pStyle w:val="ListParagraph"/>
        <w:numPr>
          <w:ilvl w:val="0"/>
          <w:numId w:val="4"/>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The purchaser</w:t>
      </w:r>
      <w:r w:rsidR="00763348" w:rsidRPr="009C405E">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337C7B" w:rsidRDefault="00BA1CFD" w:rsidP="00B04033">
      <w:pPr>
        <w:pStyle w:val="ListParagraph"/>
        <w:numPr>
          <w:ilvl w:val="0"/>
          <w:numId w:val="5"/>
        </w:numPr>
        <w:ind w:left="426"/>
        <w:jc w:val="both"/>
        <w:rPr>
          <w:rFonts w:ascii="Avenir Next" w:hAnsi="Avenir Next" w:cs="Arial"/>
          <w:sz w:val="22"/>
          <w:szCs w:val="22"/>
          <w:highlight w:val="yellow"/>
          <w:lang w:val="en-GB"/>
        </w:rPr>
      </w:pPr>
      <w:r w:rsidRPr="00337C7B">
        <w:rPr>
          <w:rFonts w:ascii="Avenir Next" w:hAnsi="Avenir Next" w:cs="Arial"/>
          <w:sz w:val="22"/>
          <w:szCs w:val="22"/>
          <w:highlight w:val="yellow"/>
          <w:lang w:val="en-GB"/>
        </w:rPr>
        <w:t>Administration</w:t>
      </w:r>
      <w:r w:rsidR="00763348" w:rsidRPr="00337C7B">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9C405E" w:rsidRDefault="001F3C98" w:rsidP="00B04033">
      <w:pPr>
        <w:pStyle w:val="ListParagraph"/>
        <w:numPr>
          <w:ilvl w:val="0"/>
          <w:numId w:val="6"/>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 xml:space="preserve">GBP </w:t>
      </w:r>
      <w:r w:rsidR="00BA1CFD" w:rsidRPr="009C405E">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9C405E" w:rsidRDefault="00BA1CFD" w:rsidP="00B04033">
      <w:pPr>
        <w:pStyle w:val="ListParagraph"/>
        <w:numPr>
          <w:ilvl w:val="0"/>
          <w:numId w:val="7"/>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Breach of fiduciary duty</w:t>
      </w:r>
      <w:r w:rsidR="00763348" w:rsidRPr="009C405E">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9C405E" w:rsidRDefault="00876F56" w:rsidP="00B04033">
      <w:pPr>
        <w:pStyle w:val="ListParagraph"/>
        <w:numPr>
          <w:ilvl w:val="0"/>
          <w:numId w:val="8"/>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9C405E" w:rsidRDefault="00E833F4" w:rsidP="00B04033">
      <w:pPr>
        <w:pStyle w:val="ListParagraph"/>
        <w:numPr>
          <w:ilvl w:val="0"/>
          <w:numId w:val="9"/>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A</w:t>
      </w:r>
      <w:r w:rsidR="000D10C6" w:rsidRPr="009C405E">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9C405E" w:rsidRDefault="0020204E" w:rsidP="00B04033">
      <w:pPr>
        <w:pStyle w:val="ListParagraph"/>
        <w:numPr>
          <w:ilvl w:val="0"/>
          <w:numId w:val="10"/>
        </w:numPr>
        <w:ind w:left="426"/>
        <w:jc w:val="both"/>
        <w:rPr>
          <w:rFonts w:ascii="Avenir Next" w:hAnsi="Avenir Next" w:cs="Arial"/>
          <w:sz w:val="22"/>
          <w:szCs w:val="22"/>
          <w:highlight w:val="yellow"/>
          <w:lang w:val="en-GB"/>
        </w:rPr>
      </w:pPr>
      <w:r w:rsidRPr="009C405E">
        <w:rPr>
          <w:rFonts w:ascii="Avenir Next" w:hAnsi="Avenir Next" w:cs="Arial"/>
          <w:sz w:val="22"/>
          <w:szCs w:val="22"/>
          <w:highlight w:val="yellow"/>
          <w:lang w:val="en-GB"/>
        </w:rPr>
        <w:t>12 months</w:t>
      </w:r>
      <w:r w:rsidR="00763348" w:rsidRPr="009C405E">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Default="005B79F4" w:rsidP="00C55824">
      <w:pPr>
        <w:jc w:val="both"/>
        <w:rPr>
          <w:rFonts w:ascii="Avenir Next" w:hAnsi="Avenir Next" w:cs="Arial"/>
          <w:b/>
          <w:sz w:val="22"/>
          <w:szCs w:val="22"/>
          <w:lang w:val="en-GB"/>
        </w:rPr>
      </w:pPr>
    </w:p>
    <w:p w14:paraId="2C162137" w14:textId="77777777" w:rsidR="00CD2D63" w:rsidRDefault="00CD2D63" w:rsidP="00C55824">
      <w:pPr>
        <w:jc w:val="both"/>
        <w:rPr>
          <w:rFonts w:ascii="Avenir Next" w:hAnsi="Avenir Next" w:cs="Arial"/>
          <w:b/>
          <w:sz w:val="22"/>
          <w:szCs w:val="22"/>
          <w:lang w:val="en-GB"/>
        </w:rPr>
      </w:pPr>
    </w:p>
    <w:p w14:paraId="6805030F" w14:textId="77777777" w:rsidR="00CD2D63" w:rsidRDefault="00CD2D63" w:rsidP="00C55824">
      <w:pPr>
        <w:jc w:val="both"/>
        <w:rPr>
          <w:rFonts w:ascii="Avenir Next" w:hAnsi="Avenir Next" w:cs="Arial"/>
          <w:b/>
          <w:sz w:val="22"/>
          <w:szCs w:val="22"/>
          <w:lang w:val="en-GB"/>
        </w:rPr>
      </w:pPr>
    </w:p>
    <w:p w14:paraId="23534C9D" w14:textId="77777777" w:rsidR="00CD2D63" w:rsidRDefault="00CD2D63" w:rsidP="00C55824">
      <w:pPr>
        <w:jc w:val="both"/>
        <w:rPr>
          <w:rFonts w:ascii="Avenir Next" w:hAnsi="Avenir Next" w:cs="Arial"/>
          <w:b/>
          <w:sz w:val="22"/>
          <w:szCs w:val="22"/>
          <w:lang w:val="en-GB"/>
        </w:rPr>
      </w:pPr>
    </w:p>
    <w:p w14:paraId="4DAEE7AB" w14:textId="77777777" w:rsidR="00CD2D63" w:rsidRPr="006925C1" w:rsidRDefault="00CD2D63"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2CA52D91" w:rsidR="00AE5B6F" w:rsidRDefault="00ED24C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423 of the Insolvency Act allows an official receiver, the liquidator, the administrator and with leave of the court any victim of the transaction, such as a creditor in a winding-up or administration to bring an action. In a Company Voluntary Arrangement the supervisor of the CVA can bring an action in terms of section 423 along with any victim of the transaction.</w:t>
      </w:r>
    </w:p>
    <w:p w14:paraId="417C1A0F" w14:textId="25756B54" w:rsidR="00ED24CB" w:rsidRDefault="00ED24CB" w:rsidP="006624AB">
      <w:pPr>
        <w:jc w:val="both"/>
        <w:rPr>
          <w:rFonts w:ascii="Avenir Next" w:hAnsi="Avenir Next" w:cs="Arial"/>
          <w:color w:val="808080" w:themeColor="background1" w:themeShade="80"/>
          <w:sz w:val="22"/>
          <w:szCs w:val="22"/>
          <w:lang w:val="en-GB"/>
        </w:rPr>
      </w:pPr>
    </w:p>
    <w:p w14:paraId="24A33CB3" w14:textId="2FAA0460" w:rsidR="00ED24CB" w:rsidRDefault="00ED24C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6 of the Company Directors Disqualification Act allows the Secretary of State an appointee of the Insolvency Service for Business, Energy and Industrial Strategy to bring the action.</w:t>
      </w:r>
    </w:p>
    <w:p w14:paraId="44EC1CCD" w14:textId="226505B3" w:rsidR="00ED24CB" w:rsidRDefault="00ED24CB" w:rsidP="006624AB">
      <w:pPr>
        <w:jc w:val="both"/>
        <w:rPr>
          <w:rFonts w:ascii="Avenir Next" w:hAnsi="Avenir Next" w:cs="Arial"/>
          <w:color w:val="808080" w:themeColor="background1" w:themeShade="80"/>
          <w:sz w:val="22"/>
          <w:szCs w:val="22"/>
          <w:lang w:val="en-GB"/>
        </w:rPr>
      </w:pPr>
    </w:p>
    <w:p w14:paraId="18986B36" w14:textId="730EFEB0" w:rsidR="00ED24CB" w:rsidRPr="00212001" w:rsidRDefault="00ED24C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246ZB of the Insolvency Act allows a liquidator or administrator to bring the action for fraudulent trading only. It must be brought for the benefit of all creditors, not just the victims of the transaction.</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53F50F7C" w:rsidR="00EA3B38" w:rsidRDefault="00A73B94" w:rsidP="00A73B94">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7B5FE4F4" w14:textId="430F6361" w:rsidR="00A73B94" w:rsidRDefault="00A73B94" w:rsidP="00A73B94">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Rent in </w:t>
      </w:r>
      <w:r w:rsidR="00046698">
        <w:rPr>
          <w:rFonts w:ascii="Avenir Next" w:hAnsi="Avenir Next" w:cs="Arial"/>
          <w:color w:val="808080" w:themeColor="background1" w:themeShade="80"/>
          <w:sz w:val="22"/>
          <w:szCs w:val="22"/>
        </w:rPr>
        <w:t>respect</w:t>
      </w:r>
      <w:r>
        <w:rPr>
          <w:rFonts w:ascii="Avenir Next" w:hAnsi="Avenir Next" w:cs="Arial"/>
          <w:color w:val="808080" w:themeColor="background1" w:themeShade="80"/>
          <w:sz w:val="22"/>
          <w:szCs w:val="22"/>
        </w:rPr>
        <w:t xml:space="preserve"> of a period during </w:t>
      </w:r>
      <w:r w:rsidR="00046698">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moratorium</w:t>
      </w:r>
    </w:p>
    <w:p w14:paraId="1A01ACF2" w14:textId="66965BEE" w:rsidR="00A73B94" w:rsidRDefault="00A73B94" w:rsidP="00A73B94">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or salaries arising under a contract of employment</w:t>
      </w:r>
    </w:p>
    <w:p w14:paraId="31519EEA" w14:textId="2DB23DCE" w:rsidR="00A73B94" w:rsidRDefault="00A73B94" w:rsidP="00A73B94">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Redundancy payments</w:t>
      </w:r>
    </w:p>
    <w:p w14:paraId="29F9C9D9" w14:textId="48500417" w:rsidR="00A73B94" w:rsidRPr="00A73B94" w:rsidRDefault="00A73B94" w:rsidP="00A73B94">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Debts or liabilities arising under a contract</w:t>
      </w:r>
      <w:r w:rsidR="00046698">
        <w:rPr>
          <w:rFonts w:ascii="Avenir Next" w:hAnsi="Avenir Next" w:cs="Arial"/>
          <w:color w:val="808080" w:themeColor="background1" w:themeShade="80"/>
          <w:sz w:val="22"/>
          <w:szCs w:val="22"/>
        </w:rPr>
        <w:t xml:space="preserve"> or other instruments involving “financial services”, which would include a contract consisting of lending, financial leasing or providing guarantees.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7680DDEE" w:rsidR="00EA3B38" w:rsidRPr="00B84055" w:rsidRDefault="007B652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Yes</w:t>
      </w:r>
      <w:r w:rsidR="00035A55">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 administrator can continue to operate the business. The appointment of an administrator doesn’t automatically terminate a company’s executory contracts. Contracts of supply which provide for automatic termination on administration are subject to statutory exceptions which make the </w:t>
      </w:r>
      <w:r w:rsidRPr="007B652F">
        <w:rPr>
          <w:rFonts w:ascii="Avenir Next" w:hAnsi="Avenir Next" w:cs="Arial"/>
          <w:i/>
          <w:color w:val="808080" w:themeColor="background1" w:themeShade="80"/>
          <w:sz w:val="22"/>
          <w:szCs w:val="22"/>
        </w:rPr>
        <w:t>ipso facto</w:t>
      </w:r>
      <w:r>
        <w:rPr>
          <w:rFonts w:ascii="Avenir Next" w:hAnsi="Avenir Next" w:cs="Arial"/>
          <w:color w:val="808080" w:themeColor="background1" w:themeShade="80"/>
          <w:sz w:val="22"/>
          <w:szCs w:val="22"/>
        </w:rPr>
        <w:t xml:space="preserve"> clauses void. </w:t>
      </w:r>
      <w:r w:rsidR="004B2EF8">
        <w:rPr>
          <w:rFonts w:ascii="Avenir Next" w:hAnsi="Avenir Next" w:cs="Arial"/>
          <w:color w:val="808080" w:themeColor="background1" w:themeShade="80"/>
          <w:sz w:val="22"/>
          <w:szCs w:val="22"/>
        </w:rPr>
        <w:t>Administrators will often need the continued supply of goods and services in order to operate. Section 2</w:t>
      </w:r>
      <w:r w:rsidR="00035A55">
        <w:rPr>
          <w:rFonts w:ascii="Avenir Next" w:hAnsi="Avenir Next" w:cs="Arial"/>
          <w:color w:val="808080" w:themeColor="background1" w:themeShade="80"/>
          <w:sz w:val="22"/>
          <w:szCs w:val="22"/>
        </w:rPr>
        <w:t>3</w:t>
      </w:r>
      <w:r w:rsidR="004B2EF8">
        <w:rPr>
          <w:rFonts w:ascii="Avenir Next" w:hAnsi="Avenir Next" w:cs="Arial"/>
          <w:color w:val="808080" w:themeColor="background1" w:themeShade="80"/>
          <w:sz w:val="22"/>
          <w:szCs w:val="22"/>
        </w:rPr>
        <w:t>3 of the Insolvency Act applies to the supply of gas, electricity, water and communication services. Communication services include point of sale terminals, data storage and web hosting. Suppliers are not permitted to require payment of outstanding debts in order to secure new or continued supply of services. Section 2</w:t>
      </w:r>
      <w:r w:rsidR="00035A55">
        <w:rPr>
          <w:rFonts w:ascii="Avenir Next" w:hAnsi="Avenir Next" w:cs="Arial"/>
          <w:color w:val="808080" w:themeColor="background1" w:themeShade="80"/>
          <w:sz w:val="22"/>
          <w:szCs w:val="22"/>
        </w:rPr>
        <w:t>3</w:t>
      </w:r>
      <w:r w:rsidR="004B2EF8">
        <w:rPr>
          <w:rFonts w:ascii="Avenir Next" w:hAnsi="Avenir Next" w:cs="Arial"/>
          <w:color w:val="808080" w:themeColor="background1" w:themeShade="80"/>
          <w:sz w:val="22"/>
          <w:szCs w:val="22"/>
        </w:rPr>
        <w:t xml:space="preserve">3 does allow the supplier to stipulate that the administrator personally guarantee payment of the accounts which are supplied. </w:t>
      </w:r>
      <w:r w:rsidR="00371A41">
        <w:rPr>
          <w:rFonts w:ascii="Avenir Next" w:hAnsi="Avenir Next" w:cs="Arial"/>
          <w:color w:val="808080" w:themeColor="background1" w:themeShade="80"/>
          <w:sz w:val="22"/>
          <w:szCs w:val="22"/>
        </w:rPr>
        <w:t>Section 2</w:t>
      </w:r>
      <w:r w:rsidR="00035A55">
        <w:rPr>
          <w:rFonts w:ascii="Avenir Next" w:hAnsi="Avenir Next" w:cs="Arial"/>
          <w:color w:val="808080" w:themeColor="background1" w:themeShade="80"/>
          <w:sz w:val="22"/>
          <w:szCs w:val="22"/>
        </w:rPr>
        <w:t>3</w:t>
      </w:r>
      <w:r w:rsidR="00371A41">
        <w:rPr>
          <w:rFonts w:ascii="Avenir Next" w:hAnsi="Avenir Next" w:cs="Arial"/>
          <w:color w:val="808080" w:themeColor="background1" w:themeShade="80"/>
          <w:sz w:val="22"/>
          <w:szCs w:val="22"/>
        </w:rPr>
        <w:t xml:space="preserve">3A prevents </w:t>
      </w:r>
      <w:r w:rsidR="00CA7F9E">
        <w:rPr>
          <w:rFonts w:ascii="Avenir Next" w:hAnsi="Avenir Next" w:cs="Arial"/>
          <w:color w:val="808080" w:themeColor="background1" w:themeShade="80"/>
          <w:sz w:val="22"/>
          <w:szCs w:val="22"/>
        </w:rPr>
        <w:t>a supplier</w:t>
      </w:r>
      <w:r w:rsidR="00371A41">
        <w:rPr>
          <w:rFonts w:ascii="Avenir Next" w:hAnsi="Avenir Next" w:cs="Arial"/>
          <w:color w:val="808080" w:themeColor="background1" w:themeShade="80"/>
          <w:sz w:val="22"/>
          <w:szCs w:val="22"/>
        </w:rPr>
        <w:t xml:space="preserve"> from generally relying on “insolvency related terms” in a contract which would entitle them to terminate the supply, alter the terms of supply or require higher payments for services. Section 2</w:t>
      </w:r>
      <w:r w:rsidR="00035A55">
        <w:rPr>
          <w:rFonts w:ascii="Avenir Next" w:hAnsi="Avenir Next" w:cs="Arial"/>
          <w:color w:val="808080" w:themeColor="background1" w:themeShade="80"/>
          <w:sz w:val="22"/>
          <w:szCs w:val="22"/>
        </w:rPr>
        <w:t>3</w:t>
      </w:r>
      <w:r w:rsidR="00371A41">
        <w:rPr>
          <w:rFonts w:ascii="Avenir Next" w:hAnsi="Avenir Next" w:cs="Arial"/>
          <w:color w:val="808080" w:themeColor="background1" w:themeShade="80"/>
          <w:sz w:val="22"/>
          <w:szCs w:val="22"/>
        </w:rPr>
        <w:t xml:space="preserve">3B goes further by prohibiting clauses which allow suppliers </w:t>
      </w:r>
      <w:r w:rsidR="00371A41">
        <w:rPr>
          <w:rFonts w:ascii="Avenir Next" w:hAnsi="Avenir Next" w:cs="Arial"/>
          <w:color w:val="808080" w:themeColor="background1" w:themeShade="80"/>
          <w:sz w:val="22"/>
          <w:szCs w:val="22"/>
        </w:rPr>
        <w:lastRenderedPageBreak/>
        <w:t xml:space="preserve">of goods and services to terminate or “do any other thing” in relation to the contract if the company enters a formal insolvency procedure. These </w:t>
      </w:r>
      <w:r w:rsidR="00CA7F9E">
        <w:rPr>
          <w:rFonts w:ascii="Avenir Next" w:hAnsi="Avenir Next" w:cs="Arial"/>
          <w:color w:val="808080" w:themeColor="background1" w:themeShade="80"/>
          <w:sz w:val="22"/>
          <w:szCs w:val="22"/>
        </w:rPr>
        <w:t>sections</w:t>
      </w:r>
      <w:r w:rsidR="00371A41">
        <w:rPr>
          <w:rFonts w:ascii="Avenir Next" w:hAnsi="Avenir Next" w:cs="Arial"/>
          <w:color w:val="808080" w:themeColor="background1" w:themeShade="80"/>
          <w:sz w:val="22"/>
          <w:szCs w:val="22"/>
        </w:rPr>
        <w:t xml:space="preserve"> also apply to companies under administration. </w:t>
      </w:r>
      <w:r w:rsidR="003265BD">
        <w:rPr>
          <w:rFonts w:ascii="Avenir Next" w:hAnsi="Avenir Next" w:cs="Arial"/>
          <w:color w:val="808080" w:themeColor="background1" w:themeShade="80"/>
          <w:sz w:val="22"/>
          <w:szCs w:val="22"/>
        </w:rPr>
        <w:t>Section 2</w:t>
      </w:r>
      <w:r w:rsidR="00035A55">
        <w:rPr>
          <w:rFonts w:ascii="Avenir Next" w:hAnsi="Avenir Next" w:cs="Arial"/>
          <w:color w:val="808080" w:themeColor="background1" w:themeShade="80"/>
          <w:sz w:val="22"/>
          <w:szCs w:val="22"/>
        </w:rPr>
        <w:t>3</w:t>
      </w:r>
      <w:r w:rsidR="003265BD">
        <w:rPr>
          <w:rFonts w:ascii="Avenir Next" w:hAnsi="Avenir Next" w:cs="Arial"/>
          <w:color w:val="808080" w:themeColor="background1" w:themeShade="80"/>
          <w:sz w:val="22"/>
          <w:szCs w:val="22"/>
        </w:rPr>
        <w:t xml:space="preserve">3B also prevents </w:t>
      </w:r>
      <w:r w:rsidR="00CA7F9E">
        <w:rPr>
          <w:rFonts w:ascii="Avenir Next" w:hAnsi="Avenir Next" w:cs="Arial"/>
          <w:color w:val="808080" w:themeColor="background1" w:themeShade="80"/>
          <w:sz w:val="22"/>
          <w:szCs w:val="22"/>
        </w:rPr>
        <w:t>a supplier</w:t>
      </w:r>
      <w:r w:rsidR="003265BD">
        <w:rPr>
          <w:rFonts w:ascii="Avenir Next" w:hAnsi="Avenir Next" w:cs="Arial"/>
          <w:color w:val="808080" w:themeColor="background1" w:themeShade="80"/>
          <w:sz w:val="22"/>
          <w:szCs w:val="22"/>
        </w:rPr>
        <w:t xml:space="preserve"> from insisting on a personal guarantee from the administrator, unlike section 2</w:t>
      </w:r>
      <w:r w:rsidR="00035A55">
        <w:rPr>
          <w:rFonts w:ascii="Avenir Next" w:hAnsi="Avenir Next" w:cs="Arial"/>
          <w:color w:val="808080" w:themeColor="background1" w:themeShade="80"/>
          <w:sz w:val="22"/>
          <w:szCs w:val="22"/>
        </w:rPr>
        <w:t>3</w:t>
      </w:r>
      <w:r w:rsidR="003265BD">
        <w:rPr>
          <w:rFonts w:ascii="Avenir Next" w:hAnsi="Avenir Next" w:cs="Arial"/>
          <w:color w:val="808080" w:themeColor="background1" w:themeShade="80"/>
          <w:sz w:val="22"/>
          <w:szCs w:val="22"/>
        </w:rPr>
        <w:t>3</w:t>
      </w:r>
      <w:r w:rsidR="00035A55">
        <w:rPr>
          <w:rFonts w:ascii="Avenir Next" w:hAnsi="Avenir Next" w:cs="Arial"/>
          <w:color w:val="808080" w:themeColor="background1" w:themeShade="80"/>
          <w:sz w:val="22"/>
          <w:szCs w:val="22"/>
        </w:rPr>
        <w:t>A</w:t>
      </w:r>
      <w:r w:rsidR="003265BD">
        <w:rPr>
          <w:rFonts w:ascii="Avenir Next" w:hAnsi="Avenir Next" w:cs="Arial"/>
          <w:color w:val="808080" w:themeColor="background1" w:themeShade="80"/>
          <w:sz w:val="22"/>
          <w:szCs w:val="22"/>
        </w:rPr>
        <w:t>. Under section 2</w:t>
      </w:r>
      <w:r w:rsidR="00035A55">
        <w:rPr>
          <w:rFonts w:ascii="Avenir Next" w:hAnsi="Avenir Next" w:cs="Arial"/>
          <w:color w:val="808080" w:themeColor="background1" w:themeShade="80"/>
          <w:sz w:val="22"/>
          <w:szCs w:val="22"/>
        </w:rPr>
        <w:t>3</w:t>
      </w:r>
      <w:r w:rsidR="003265BD">
        <w:rPr>
          <w:rFonts w:ascii="Avenir Next" w:hAnsi="Avenir Next" w:cs="Arial"/>
          <w:color w:val="808080" w:themeColor="background1" w:themeShade="80"/>
          <w:sz w:val="22"/>
          <w:szCs w:val="22"/>
        </w:rPr>
        <w:t xml:space="preserve">3B the supplier may terminate the contract under consent from the administrator or on application to court. In order for the court to grant the application it must be satisfied that the continued contract would cause hardship to the supplier. There are certain suppliers of services which are excluded from the section such as insurers, banks. Electronic money institutions, recognized investment exchanges, clearing houses, securitization companies and overseas companies with similar functions.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43665FF6" w:rsidR="00EA3B38" w:rsidRDefault="00CA7F9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first payments to be made are expenses incurred during the course of winding-up in terms of section 115 of the Insolvency Act. Certain expenses are given priority over preferent creditors, holders of floating charges and company unsecured creditors. These expenses are paid in the following order of priority:</w:t>
      </w:r>
    </w:p>
    <w:p w14:paraId="690AEE42" w14:textId="3D5BFA3B"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properly incurred by the liquidator in preserving, realizing or obtaining any of the assets of the company</w:t>
      </w:r>
    </w:p>
    <w:p w14:paraId="39F074BB" w14:textId="08F94744"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cost of any security provided by the liquidator</w:t>
      </w:r>
    </w:p>
    <w:p w14:paraId="5769A369" w14:textId="5DF320A3"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 payable to a person for their assistance in preparation of the statement of affairs or accounts</w:t>
      </w:r>
    </w:p>
    <w:p w14:paraId="651E7ECB" w14:textId="0CC20CE9"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Disbursements incurred by the liquidator during the winding-up process</w:t>
      </w:r>
    </w:p>
    <w:p w14:paraId="31B684D9" w14:textId="49149CE8"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by any person who was employed by the liquidator to perform any service to the company</w:t>
      </w:r>
    </w:p>
    <w:p w14:paraId="4EE45E61" w14:textId="446DB333"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the liquidator</w:t>
      </w:r>
    </w:p>
    <w:p w14:paraId="050A5C75" w14:textId="48CEFDDA"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Amounts of corporation tax and</w:t>
      </w:r>
      <w:r w:rsidR="00035A55">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or gains tax accruing from the sale of a company asset</w:t>
      </w:r>
    </w:p>
    <w:p w14:paraId="4BCE866B" w14:textId="3E4833DA" w:rsidR="00CA7F9E" w:rsidRDefault="00CA7F9E" w:rsidP="00CA7F9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other expenses properly charged by the liquidator while carrying out his duties in the winding-up</w:t>
      </w:r>
    </w:p>
    <w:p w14:paraId="740B584E" w14:textId="77777777" w:rsidR="00CA7F9E" w:rsidRDefault="00CA7F9E" w:rsidP="00041D18">
      <w:pPr>
        <w:jc w:val="both"/>
        <w:rPr>
          <w:rFonts w:ascii="Avenir Next" w:hAnsi="Avenir Next" w:cs="Arial"/>
          <w:color w:val="808080" w:themeColor="background1" w:themeShade="80"/>
          <w:sz w:val="22"/>
          <w:szCs w:val="22"/>
        </w:rPr>
      </w:pPr>
    </w:p>
    <w:p w14:paraId="0E751E5E" w14:textId="1F3008B3" w:rsidR="00041D18" w:rsidRDefault="00041D18" w:rsidP="00041D1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Preferential debts are paid next in terms of section 386, 387 and schedule 6: section 175. Preferential creditors are divided into two categories, ordinary and secondary. The ordinary preferential creditors are paid first followed by the secondary preferential creditors. In each group the preferential creditors are paid in equal portions. Schedule 6 lists the following ordinary preferential creditors:</w:t>
      </w:r>
    </w:p>
    <w:p w14:paraId="7FE56A68" w14:textId="5240D8BD" w:rsidR="00041D18" w:rsidRDefault="00041D18"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 owed in respect of an occupational pensions scheme being contributions deducted from earning of the company’s employees paid in for the period of fo</w:t>
      </w:r>
      <w:r w:rsidR="00464454">
        <w:rPr>
          <w:rFonts w:ascii="Avenir Next" w:hAnsi="Avenir Next" w:cs="Arial"/>
          <w:color w:val="808080" w:themeColor="background1" w:themeShade="80"/>
          <w:sz w:val="22"/>
          <w:szCs w:val="22"/>
        </w:rPr>
        <w:t>ur months prior to liquidation</w:t>
      </w:r>
    </w:p>
    <w:p w14:paraId="4FCE64C3" w14:textId="4CB4885B" w:rsidR="00041D18" w:rsidRDefault="00041D18"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 owed by the company for any employers contribution </w:t>
      </w:r>
      <w:r w:rsidR="00464454">
        <w:rPr>
          <w:rFonts w:ascii="Avenir Next" w:hAnsi="Avenir Next" w:cs="Arial"/>
          <w:color w:val="808080" w:themeColor="background1" w:themeShade="80"/>
          <w:sz w:val="22"/>
          <w:szCs w:val="22"/>
        </w:rPr>
        <w:t>to an occupational pension scheme in the period of 12 months before the relevant date</w:t>
      </w:r>
    </w:p>
    <w:p w14:paraId="1188EB38" w14:textId="2BF511FD" w:rsidR="00464454" w:rsidRDefault="009F7582"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owed by the company to a person who is or has been an employee of the debtor and is payable in respect of the whole or any part of the period of four months prior to the commencement of the winding-up, up to a maximum amount of </w:t>
      </w:r>
      <w:r>
        <w:rPr>
          <w:rFonts w:ascii="Corbel" w:hAnsi="Corbel" w:cs="Arial"/>
          <w:color w:val="808080" w:themeColor="background1" w:themeShade="80"/>
          <w:sz w:val="22"/>
          <w:szCs w:val="22"/>
        </w:rPr>
        <w:t xml:space="preserve">£ </w:t>
      </w:r>
      <w:r>
        <w:rPr>
          <w:rFonts w:ascii="Avenir Next" w:hAnsi="Avenir Next" w:cs="Arial"/>
          <w:color w:val="808080" w:themeColor="background1" w:themeShade="80"/>
          <w:sz w:val="22"/>
          <w:szCs w:val="22"/>
        </w:rPr>
        <w:t>800</w:t>
      </w:r>
    </w:p>
    <w:p w14:paraId="5E8DCFEF" w14:textId="0910C5B4" w:rsidR="009F7582" w:rsidRDefault="00ED3101"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amounts owed by the company by way of accrued holiday remuneration in respect of any period of employment before the winding-up</w:t>
      </w:r>
    </w:p>
    <w:p w14:paraId="5C5ACA97" w14:textId="77777777" w:rsidR="00ED3101" w:rsidRDefault="00ED3101"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Claims for monies advanced to pay wages or holiday remuneration will rank as preferential. </w:t>
      </w:r>
    </w:p>
    <w:p w14:paraId="54756857" w14:textId="397D6478" w:rsidR="00ED3101" w:rsidRDefault="00ED3101"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Levies on the production of coal and steel referred to in article 49 and 50 of the European Coal and Steel Community Treaty</w:t>
      </w:r>
    </w:p>
    <w:p w14:paraId="7107E4B5" w14:textId="4150707C" w:rsidR="00ED3101" w:rsidRDefault="00E91EC5"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Claims which are ordered to be paid by the company in terms of the Reserve Forces Act of 1985</w:t>
      </w:r>
    </w:p>
    <w:p w14:paraId="047DD2CD" w14:textId="445FBF60" w:rsidR="00EE52CB" w:rsidRDefault="00EE52CB"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 owed by the company in respect of an eligible deposit as does not exceed the compensation that would be payable in respect of the deposit under the Financial Services Compensation Scheme to the person to whom the amount is owed</w:t>
      </w:r>
    </w:p>
    <w:p w14:paraId="55B60EB9" w14:textId="39A9DF4E" w:rsidR="00EE52CB" w:rsidRDefault="00EE52CB"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 owed by the company to one or more persons in respect of an eligible deposit as exceed compensation that would be payable in respect of an eligible deposit under a Financial Services Compensation Scheme to that person.</w:t>
      </w:r>
    </w:p>
    <w:p w14:paraId="44E87772" w14:textId="201CB4DA" w:rsidR="00EE52CB" w:rsidRDefault="00EE52CB" w:rsidP="00041D18">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 amount owed by the company to one or more eligible persons in respect of a deposit that:</w:t>
      </w:r>
    </w:p>
    <w:p w14:paraId="4E11E8CC" w14:textId="04E1C85C" w:rsidR="00EE52CB" w:rsidRDefault="00EE52CB" w:rsidP="00EE52CB">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Was made through a non-UK branch of a credit institution</w:t>
      </w:r>
    </w:p>
    <w:p w14:paraId="05D9538E" w14:textId="4EA3B93C" w:rsidR="00EE52CB" w:rsidRDefault="00EE52CB" w:rsidP="00EE52CB">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Would have been an eligible deposit if it had been made through a UK branch of the credit </w:t>
      </w:r>
      <w:r w:rsidR="00E40183">
        <w:rPr>
          <w:rFonts w:ascii="Avenir Next" w:hAnsi="Avenir Next" w:cs="Arial"/>
          <w:color w:val="808080" w:themeColor="background1" w:themeShade="80"/>
          <w:sz w:val="22"/>
          <w:szCs w:val="22"/>
        </w:rPr>
        <w:t>institution</w:t>
      </w:r>
      <w:r>
        <w:rPr>
          <w:rFonts w:ascii="Avenir Next" w:hAnsi="Avenir Next" w:cs="Arial"/>
          <w:color w:val="808080" w:themeColor="background1" w:themeShade="80"/>
          <w:sz w:val="22"/>
          <w:szCs w:val="22"/>
        </w:rPr>
        <w:t>.</w:t>
      </w:r>
    </w:p>
    <w:p w14:paraId="76032EF8" w14:textId="4AC95CAE" w:rsidR="00EE52CB" w:rsidRPr="00EE52CB" w:rsidRDefault="00EE52CB" w:rsidP="00EE52CB">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PAYE income tax deductions, national insurance deductions, VAT payments, Construction Industry Scheme deductions and student loan repayments</w:t>
      </w:r>
    </w:p>
    <w:p w14:paraId="3E1AA1FD" w14:textId="77777777" w:rsidR="00041D18" w:rsidRDefault="00041D18" w:rsidP="00041D18">
      <w:pPr>
        <w:jc w:val="both"/>
        <w:rPr>
          <w:rFonts w:ascii="Avenir Next" w:hAnsi="Avenir Next" w:cs="Arial"/>
          <w:color w:val="808080" w:themeColor="background1" w:themeShade="80"/>
          <w:sz w:val="22"/>
          <w:szCs w:val="22"/>
        </w:rPr>
      </w:pPr>
    </w:p>
    <w:p w14:paraId="77979D29" w14:textId="49530752" w:rsidR="00041D18" w:rsidRPr="00041D18" w:rsidRDefault="00F35D7E" w:rsidP="00041D1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had been under a moratorium prior to liquidation the following would occur to priority. Section 174A provides that if the company is placed in liquidation within 12 weeks of the end of the moratorium, the priority of debts in the subsequent liquidation may be different. Certain pre-moratorium debts and moratorium debts which were not part of the payment holiday are paid in the subsequent liquidation in priority to the liquidator’s fees and expenses. These debts are given a “super priority”. These debts would include secured and unsecured debts. The only exception to the rule is where the debt is accelerated debt.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17163853"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 xml:space="preserve">order was </w:t>
      </w:r>
      <w:r w:rsidR="00CA7F9E" w:rsidRPr="006E0D3B">
        <w:rPr>
          <w:rFonts w:ascii="Avenir Next" w:hAnsi="Avenir Next" w:cs="Arial"/>
          <w:sz w:val="22"/>
          <w:szCs w:val="22"/>
          <w:lang w:val="en-GB"/>
        </w:rPr>
        <w:t>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4943A44D" w:rsidR="00EA3B38" w:rsidRDefault="0024400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245 of the Insolvency Act applies to existing floating charges when a company is placed in liquidation. The purpose of the section is to prevent pre-existing unsecured creditors from obtaining security in the form of a floating charge shortly before the company goes into liquidation. It doesn’t apply to new lenders who take a floating charge but existing lenders who had existing loans which weren’t secured with a floating charge. The section renders the floating charge invalid if given to the company at a relevant time, except to the extent, that “new” consideration is provided for the charge. Where the person in whose favour the floating charge is connected to the company the relevant time is two years prior to the onset of insolvency. Were the person is unconnected the period is twelve months prior to insolvency. </w:t>
      </w:r>
      <w:r w:rsidR="0099600A">
        <w:rPr>
          <w:rFonts w:ascii="Avenir Next" w:hAnsi="Avenir Next" w:cs="Arial"/>
          <w:color w:val="808080" w:themeColor="background1" w:themeShade="80"/>
          <w:sz w:val="22"/>
          <w:szCs w:val="22"/>
        </w:rPr>
        <w:t xml:space="preserve">The liquidator must prove that at the time the transaction was entered into, either the company was unable to pay its debts as they fell due within the meaning of section 123 or became unable to pay its debts within the meaning of that section as a result of the transaction. Consideration as set out in section 245 would include </w:t>
      </w:r>
      <w:r w:rsidR="00966241">
        <w:rPr>
          <w:rFonts w:ascii="Avenir Next" w:hAnsi="Avenir Next" w:cs="Arial"/>
          <w:color w:val="808080" w:themeColor="background1" w:themeShade="80"/>
          <w:sz w:val="22"/>
          <w:szCs w:val="22"/>
        </w:rPr>
        <w:t>monies</w:t>
      </w:r>
      <w:r w:rsidR="0099600A">
        <w:rPr>
          <w:rFonts w:ascii="Avenir Next" w:hAnsi="Avenir Next" w:cs="Arial"/>
          <w:color w:val="808080" w:themeColor="background1" w:themeShade="80"/>
          <w:sz w:val="22"/>
          <w:szCs w:val="22"/>
        </w:rPr>
        <w:t xml:space="preserve"> paid or services supplied; the discharge or reduction of nay debt of the company and any interest that is payable on the loan. </w:t>
      </w:r>
    </w:p>
    <w:p w14:paraId="0E281CD9" w14:textId="77777777" w:rsidR="0099600A" w:rsidRDefault="0099600A" w:rsidP="00EA3B38">
      <w:pPr>
        <w:jc w:val="both"/>
        <w:rPr>
          <w:rFonts w:ascii="Avenir Next" w:hAnsi="Avenir Next" w:cs="Arial"/>
          <w:color w:val="808080" w:themeColor="background1" w:themeShade="80"/>
          <w:sz w:val="22"/>
          <w:szCs w:val="22"/>
        </w:rPr>
      </w:pPr>
    </w:p>
    <w:p w14:paraId="4D2E5152" w14:textId="7D778059" w:rsidR="0099600A" w:rsidRPr="00B84055" w:rsidRDefault="0099600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Applying the facts I believe that the floating charge would still be secured. The floating charge was created in February 2022, which is within the twelve month period required in terms of section 245. At the time of the creation of the floating charge, being February 2022</w:t>
      </w:r>
      <w:r w:rsidR="00035A55">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there was indication that </w:t>
      </w:r>
      <w:proofErr w:type="spellStart"/>
      <w:r>
        <w:rPr>
          <w:rFonts w:ascii="Avenir Next" w:hAnsi="Avenir Next" w:cs="Arial"/>
          <w:color w:val="808080" w:themeColor="background1" w:themeShade="80"/>
          <w:sz w:val="22"/>
          <w:szCs w:val="22"/>
        </w:rPr>
        <w:t>Marbley</w:t>
      </w:r>
      <w:proofErr w:type="spellEnd"/>
      <w:r>
        <w:rPr>
          <w:rFonts w:ascii="Avenir Next" w:hAnsi="Avenir Next" w:cs="Arial"/>
          <w:color w:val="808080" w:themeColor="background1" w:themeShade="80"/>
          <w:sz w:val="22"/>
          <w:szCs w:val="22"/>
        </w:rPr>
        <w:t xml:space="preserve"> Ltd was having trouble paying its debts as they fell due within the meaning of section 123 because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required some security on their loans. </w:t>
      </w:r>
      <w:r w:rsidR="00966241">
        <w:rPr>
          <w:rFonts w:ascii="Avenir Next" w:hAnsi="Avenir Next" w:cs="Arial"/>
          <w:color w:val="808080" w:themeColor="background1" w:themeShade="80"/>
          <w:sz w:val="22"/>
          <w:szCs w:val="22"/>
        </w:rPr>
        <w:t xml:space="preserve">Thus the second requirement is met. The reason I don’t believe the floating charge will be invalidated is because </w:t>
      </w:r>
      <w:r w:rsidR="00404C73">
        <w:rPr>
          <w:rFonts w:ascii="Avenir Next" w:hAnsi="Avenir Next" w:cs="Arial"/>
          <w:color w:val="808080" w:themeColor="background1" w:themeShade="80"/>
          <w:sz w:val="22"/>
          <w:szCs w:val="22"/>
        </w:rPr>
        <w:t xml:space="preserve">of </w:t>
      </w:r>
      <w:r w:rsidR="00966241">
        <w:rPr>
          <w:rFonts w:ascii="Avenir Next" w:hAnsi="Avenir Next" w:cs="Arial"/>
          <w:color w:val="808080" w:themeColor="background1" w:themeShade="80"/>
          <w:sz w:val="22"/>
          <w:szCs w:val="22"/>
        </w:rPr>
        <w:t xml:space="preserve">the final </w:t>
      </w:r>
      <w:r w:rsidR="00404C73">
        <w:rPr>
          <w:rFonts w:ascii="Avenir Next" w:hAnsi="Avenir Next" w:cs="Arial"/>
          <w:color w:val="808080" w:themeColor="background1" w:themeShade="80"/>
          <w:sz w:val="22"/>
          <w:szCs w:val="22"/>
        </w:rPr>
        <w:t>requirement which was</w:t>
      </w:r>
      <w:r w:rsidR="00966241">
        <w:rPr>
          <w:rFonts w:ascii="Avenir Next" w:hAnsi="Avenir Next" w:cs="Arial"/>
          <w:color w:val="808080" w:themeColor="background1" w:themeShade="80"/>
          <w:sz w:val="22"/>
          <w:szCs w:val="22"/>
        </w:rPr>
        <w:t xml:space="preserve"> not met</w:t>
      </w:r>
      <w:r w:rsidR="00404C73">
        <w:rPr>
          <w:rFonts w:ascii="Avenir Next" w:hAnsi="Avenir Next" w:cs="Arial"/>
          <w:color w:val="808080" w:themeColor="background1" w:themeShade="80"/>
          <w:sz w:val="22"/>
          <w:szCs w:val="22"/>
        </w:rPr>
        <w:t>;</w:t>
      </w:r>
      <w:r w:rsidR="00966241">
        <w:rPr>
          <w:rFonts w:ascii="Avenir Next" w:hAnsi="Avenir Next" w:cs="Arial"/>
          <w:color w:val="808080" w:themeColor="background1" w:themeShade="80"/>
          <w:sz w:val="22"/>
          <w:szCs w:val="22"/>
        </w:rPr>
        <w:t xml:space="preserve"> that of consideration. There is no indication that once the floating charge was created Marbley Ltd failed to pay the debt</w:t>
      </w:r>
      <w:r w:rsidR="00404C73">
        <w:rPr>
          <w:rFonts w:ascii="Avenir Next" w:hAnsi="Avenir Next" w:cs="Arial"/>
          <w:color w:val="808080" w:themeColor="background1" w:themeShade="80"/>
          <w:sz w:val="22"/>
          <w:szCs w:val="22"/>
        </w:rPr>
        <w:t xml:space="preserve"> to </w:t>
      </w:r>
      <w:proofErr w:type="spellStart"/>
      <w:r w:rsidR="00404C73">
        <w:rPr>
          <w:rFonts w:ascii="Avenir Next" w:hAnsi="Avenir Next" w:cs="Arial"/>
          <w:color w:val="808080" w:themeColor="background1" w:themeShade="80"/>
          <w:sz w:val="22"/>
          <w:szCs w:val="22"/>
        </w:rPr>
        <w:t>Fretus</w:t>
      </w:r>
      <w:proofErr w:type="spellEnd"/>
      <w:r w:rsidR="00404C73">
        <w:rPr>
          <w:rFonts w:ascii="Avenir Next" w:hAnsi="Avenir Next" w:cs="Arial"/>
          <w:color w:val="808080" w:themeColor="background1" w:themeShade="80"/>
          <w:sz w:val="22"/>
          <w:szCs w:val="22"/>
        </w:rPr>
        <w:t xml:space="preserve"> Bank</w:t>
      </w:r>
      <w:r w:rsidR="00966241">
        <w:rPr>
          <w:rFonts w:ascii="Avenir Next" w:hAnsi="Avenir Next" w:cs="Arial"/>
          <w:color w:val="808080" w:themeColor="background1" w:themeShade="80"/>
          <w:sz w:val="22"/>
          <w:szCs w:val="22"/>
        </w:rPr>
        <w:t xml:space="preserve">. So if Marbley Ltd continued to meet the debt obligations with Fretus </w:t>
      </w:r>
      <w:r w:rsidR="00404C73">
        <w:rPr>
          <w:rFonts w:ascii="Avenir Next" w:hAnsi="Avenir Next" w:cs="Arial"/>
          <w:color w:val="808080" w:themeColor="background1" w:themeShade="80"/>
          <w:sz w:val="22"/>
          <w:szCs w:val="22"/>
        </w:rPr>
        <w:t>B</w:t>
      </w:r>
      <w:r w:rsidR="00966241">
        <w:rPr>
          <w:rFonts w:ascii="Avenir Next" w:hAnsi="Avenir Next" w:cs="Arial"/>
          <w:color w:val="808080" w:themeColor="background1" w:themeShade="80"/>
          <w:sz w:val="22"/>
          <w:szCs w:val="22"/>
        </w:rPr>
        <w:t xml:space="preserve">ank directly after the creation of the floating charge, the floating charge would not be invalidated.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8B594AA" w:rsidR="00EA3B38" w:rsidRDefault="00204C9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238 of the Insolvency Act allows a liquidator to attach certain transactions which were entered into prior to liquidation, where the transaction was for undervalue. The reasoning for this section is to treat all unsecured creditors equally. In order for the transaction to be set aside the liquidator must show that:</w:t>
      </w:r>
    </w:p>
    <w:p w14:paraId="4B6AF9B1" w14:textId="5DC266C6" w:rsidR="00204C96" w:rsidRDefault="00204C96" w:rsidP="00204C96">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 was a gift to another person</w:t>
      </w:r>
    </w:p>
    <w:p w14:paraId="5F45B45B" w14:textId="6F5E079A" w:rsidR="00204C96" w:rsidRDefault="00204C96" w:rsidP="00204C96">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entered into a transaction with another person on terms that provided for the company to receive no consideration</w:t>
      </w:r>
    </w:p>
    <w:p w14:paraId="58B51745" w14:textId="2B079A97" w:rsidR="00204C96" w:rsidRDefault="00204C96" w:rsidP="00204C96">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entered into a transaction with another person for consideration, which in money or money’s worth, was at the date of the transaction, significantly less than the value, in money or money’s worth, of the consideration provide by that company</w:t>
      </w:r>
    </w:p>
    <w:p w14:paraId="1BCF26F4" w14:textId="77777777" w:rsidR="00204C96" w:rsidRDefault="00204C96" w:rsidP="00204C96">
      <w:pPr>
        <w:jc w:val="both"/>
        <w:rPr>
          <w:rFonts w:ascii="Avenir Next" w:hAnsi="Avenir Next" w:cs="Arial"/>
          <w:color w:val="808080" w:themeColor="background1" w:themeShade="80"/>
          <w:sz w:val="22"/>
          <w:szCs w:val="22"/>
        </w:rPr>
      </w:pPr>
    </w:p>
    <w:p w14:paraId="2132F981" w14:textId="18515CF3" w:rsidR="00204C96" w:rsidRPr="00204C96" w:rsidRDefault="00204C96" w:rsidP="00204C9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order for the transaction to be attached, the transaction must have taken place at the “relevant time” which is two years prior to </w:t>
      </w:r>
      <w:r w:rsidR="008C6B87">
        <w:rPr>
          <w:rFonts w:ascii="Avenir Next" w:hAnsi="Avenir Next" w:cs="Arial"/>
          <w:color w:val="808080" w:themeColor="background1" w:themeShade="80"/>
          <w:sz w:val="22"/>
          <w:szCs w:val="22"/>
        </w:rPr>
        <w:t>liquidation. The</w:t>
      </w:r>
      <w:r>
        <w:rPr>
          <w:rFonts w:ascii="Avenir Next" w:hAnsi="Avenir Next" w:cs="Arial"/>
          <w:color w:val="808080" w:themeColor="background1" w:themeShade="80"/>
          <w:sz w:val="22"/>
          <w:szCs w:val="22"/>
        </w:rPr>
        <w:t xml:space="preserve"> idea of “transaction” is defined widely to include any gifts or agreements. Where consideration was received for the sale of assets the liquidator must prove that at the time the transaction was </w:t>
      </w:r>
      <w:r w:rsidR="008C6B87">
        <w:rPr>
          <w:rFonts w:ascii="Avenir Next" w:hAnsi="Avenir Next" w:cs="Arial"/>
          <w:color w:val="808080" w:themeColor="background1" w:themeShade="80"/>
          <w:sz w:val="22"/>
          <w:szCs w:val="22"/>
        </w:rPr>
        <w:t>entered</w:t>
      </w:r>
      <w:r>
        <w:rPr>
          <w:rFonts w:ascii="Avenir Next" w:hAnsi="Avenir Next" w:cs="Arial"/>
          <w:color w:val="808080" w:themeColor="background1" w:themeShade="80"/>
          <w:sz w:val="22"/>
          <w:szCs w:val="22"/>
        </w:rPr>
        <w:t xml:space="preserve"> into, either the company was unable to pay its debts as they fell due </w:t>
      </w:r>
      <w:r w:rsidR="008C6B87">
        <w:rPr>
          <w:rFonts w:ascii="Avenir Next" w:hAnsi="Avenir Next" w:cs="Arial"/>
          <w:color w:val="808080" w:themeColor="background1" w:themeShade="80"/>
          <w:sz w:val="22"/>
          <w:szCs w:val="22"/>
        </w:rPr>
        <w:t xml:space="preserve">within the meaning of section 123 or became unable to pay its debts within the meaning of that section as a result of the transaction. </w:t>
      </w:r>
      <w:r w:rsidR="0011283E">
        <w:rPr>
          <w:rFonts w:ascii="Avenir Next" w:hAnsi="Avenir Next" w:cs="Arial"/>
          <w:color w:val="808080" w:themeColor="background1" w:themeShade="80"/>
          <w:sz w:val="22"/>
          <w:szCs w:val="22"/>
        </w:rPr>
        <w:t xml:space="preserve">In the case were transactions took place </w:t>
      </w:r>
      <w:r w:rsidR="0011283E">
        <w:rPr>
          <w:rFonts w:ascii="Avenir Next" w:hAnsi="Avenir Next" w:cs="Arial"/>
          <w:color w:val="808080" w:themeColor="background1" w:themeShade="80"/>
          <w:sz w:val="22"/>
          <w:szCs w:val="22"/>
        </w:rPr>
        <w:lastRenderedPageBreak/>
        <w:t xml:space="preserve">between connected persons, the company is presumed to have been insolvent or to have become insolvent as a result of the transaction, unless a contrary is proved. The respondent must satisfy the court that the transaction was entered into in good faith. </w:t>
      </w:r>
      <w:r w:rsidR="0017456B">
        <w:rPr>
          <w:rFonts w:ascii="Avenir Next" w:hAnsi="Avenir Next" w:cs="Arial"/>
          <w:color w:val="808080" w:themeColor="background1" w:themeShade="80"/>
          <w:sz w:val="22"/>
          <w:szCs w:val="22"/>
        </w:rPr>
        <w:t xml:space="preserve">As the sale of the machines took place in July 2022  for a value of less than half that had been paid just a year prior, I believe that a case could be made to attack the transaction. Marbley Q Ltd approved a transaction within the two year period prior to liquidation for half the assets value. </w:t>
      </w:r>
      <w:r w:rsidR="00AB03BD">
        <w:rPr>
          <w:rFonts w:ascii="Avenir Next" w:hAnsi="Avenir Next" w:cs="Arial"/>
          <w:color w:val="808080" w:themeColor="background1" w:themeShade="80"/>
          <w:sz w:val="22"/>
          <w:szCs w:val="22"/>
        </w:rPr>
        <w:t xml:space="preserve">One of the prerequisites for being successful in attacking transactions is to prove that at the time of the transaction, either the company was unable to pay its debts as the fell due or it .became unable to pay its debts. One could see that Marbley Q Ltd was having trouble paying its debts as far back as February 2022 because Fretus Bank was making constant demands for repayment, which shows that Marbley Q Ltd wasn’t making regular payments to creditors. </w:t>
      </w:r>
      <w:r w:rsidR="0017456B">
        <w:rPr>
          <w:rFonts w:ascii="Avenir Next" w:hAnsi="Avenir Next" w:cs="Arial"/>
          <w:color w:val="808080" w:themeColor="background1" w:themeShade="80"/>
          <w:sz w:val="22"/>
          <w:szCs w:val="22"/>
        </w:rPr>
        <w:t xml:space="preserve">Furthermore the assets were sold to the director of the Marbley Q Ltd. This would be considered a connected sale so there would be a presumption that the company was insolvent or became insolvent due to the transaction.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46B66FFD" w:rsidR="009452DF" w:rsidRDefault="00CA0565"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239 of the Insolvency Act allows the avoidance of preferent payments on application by the liquidator. </w:t>
      </w:r>
      <w:r w:rsidR="00D62925">
        <w:rPr>
          <w:rFonts w:ascii="Avenir Next" w:hAnsi="Avenir Next" w:cs="Arial"/>
          <w:color w:val="808080" w:themeColor="background1" w:themeShade="80"/>
          <w:sz w:val="22"/>
          <w:szCs w:val="22"/>
        </w:rPr>
        <w:t>The defined terms share commonality with those of section 238. The purpose of the section is to prevent a company, shortly before going insolvent from preferring one creditor above another, thus placing that creditor in a better position than the other creditors. It prevents a creditor receiving a higher payment whereas they should have only received a dividend. In order for the application to succeed the liquidator must prove the following:</w:t>
      </w:r>
    </w:p>
    <w:p w14:paraId="03D9998E" w14:textId="77777777" w:rsidR="0057398B" w:rsidRDefault="0057398B" w:rsidP="009452DF">
      <w:pPr>
        <w:jc w:val="both"/>
        <w:rPr>
          <w:rFonts w:ascii="Avenir Next" w:hAnsi="Avenir Next" w:cs="Arial"/>
          <w:color w:val="808080" w:themeColor="background1" w:themeShade="80"/>
          <w:sz w:val="22"/>
          <w:szCs w:val="22"/>
        </w:rPr>
      </w:pPr>
    </w:p>
    <w:p w14:paraId="4D65064B" w14:textId="2E79FA4F" w:rsidR="00D62925" w:rsidRDefault="00D62925" w:rsidP="00D6292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person who was alleged to have been preferred, was at the time of the transaction a creator of the company (surety or guarantor of the company’s debts);</w:t>
      </w:r>
    </w:p>
    <w:p w14:paraId="79667782" w14:textId="306E5AED" w:rsidR="00D62925" w:rsidRDefault="00D62925" w:rsidP="00D6292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Something was done, or suffered to be done, by the company which had the effect of putting that person in a better position, in the event of the company going insolvent, than the position he or she would have been if that something, had not been done;</w:t>
      </w:r>
    </w:p>
    <w:p w14:paraId="23D7FF6A" w14:textId="1765D958" w:rsidR="00D62925" w:rsidRDefault="00D62925" w:rsidP="00D6292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 going the preference, influenced by a desire to produce the effect referred to in point (2) above, in relation to the person preferred;</w:t>
      </w:r>
    </w:p>
    <w:p w14:paraId="14A312A3" w14:textId="279AF477" w:rsidR="00D62925" w:rsidRDefault="00D62925" w:rsidP="00D6292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given at the relevant time</w:t>
      </w:r>
    </w:p>
    <w:p w14:paraId="4DE4A112" w14:textId="77777777" w:rsidR="0057398B" w:rsidRDefault="0057398B" w:rsidP="0057398B">
      <w:pPr>
        <w:pStyle w:val="ListParagraph"/>
        <w:jc w:val="both"/>
        <w:rPr>
          <w:rFonts w:ascii="Avenir Next" w:hAnsi="Avenir Next" w:cs="Arial"/>
          <w:color w:val="808080" w:themeColor="background1" w:themeShade="80"/>
          <w:sz w:val="22"/>
          <w:szCs w:val="22"/>
        </w:rPr>
      </w:pPr>
    </w:p>
    <w:p w14:paraId="68553339" w14:textId="3A731BD9" w:rsidR="00D62925" w:rsidRDefault="00D62925" w:rsidP="00D6292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57398B">
        <w:rPr>
          <w:rFonts w:ascii="Avenir Next" w:hAnsi="Avenir Next" w:cs="Arial"/>
          <w:color w:val="808080" w:themeColor="background1" w:themeShade="80"/>
          <w:sz w:val="22"/>
          <w:szCs w:val="22"/>
        </w:rPr>
        <w:t>burden</w:t>
      </w:r>
      <w:r>
        <w:rPr>
          <w:rFonts w:ascii="Avenir Next" w:hAnsi="Avenir Next" w:cs="Arial"/>
          <w:color w:val="808080" w:themeColor="background1" w:themeShade="80"/>
          <w:sz w:val="22"/>
          <w:szCs w:val="22"/>
        </w:rPr>
        <w:t xml:space="preserve"> of proof is on the liquidator however if preference was given to somebody connected to the </w:t>
      </w:r>
      <w:r w:rsidR="0057398B">
        <w:rPr>
          <w:rFonts w:ascii="Avenir Next" w:hAnsi="Avenir Next" w:cs="Arial"/>
          <w:color w:val="808080" w:themeColor="background1" w:themeShade="80"/>
          <w:sz w:val="22"/>
          <w:szCs w:val="22"/>
        </w:rPr>
        <w:t>company;</w:t>
      </w:r>
      <w:r>
        <w:rPr>
          <w:rFonts w:ascii="Avenir Next" w:hAnsi="Avenir Next" w:cs="Arial"/>
          <w:color w:val="808080" w:themeColor="background1" w:themeShade="80"/>
          <w:sz w:val="22"/>
          <w:szCs w:val="22"/>
        </w:rPr>
        <w:t xml:space="preserve"> there is a </w:t>
      </w:r>
      <w:r w:rsidR="0057398B">
        <w:rPr>
          <w:rFonts w:ascii="Avenir Next" w:hAnsi="Avenir Next" w:cs="Arial"/>
          <w:color w:val="808080" w:themeColor="background1" w:themeShade="80"/>
          <w:sz w:val="22"/>
          <w:szCs w:val="22"/>
        </w:rPr>
        <w:t>presumption</w:t>
      </w:r>
      <w:r>
        <w:rPr>
          <w:rFonts w:ascii="Avenir Next" w:hAnsi="Avenir Next" w:cs="Arial"/>
          <w:color w:val="808080" w:themeColor="background1" w:themeShade="80"/>
          <w:sz w:val="22"/>
          <w:szCs w:val="22"/>
        </w:rPr>
        <w:t xml:space="preserve"> that the company was influenced by a desire to prefer that person. </w:t>
      </w:r>
      <w:r w:rsidR="0057398B">
        <w:rPr>
          <w:rFonts w:ascii="Avenir Next" w:hAnsi="Avenir Next" w:cs="Arial"/>
          <w:color w:val="808080" w:themeColor="background1" w:themeShade="80"/>
          <w:sz w:val="22"/>
          <w:szCs w:val="22"/>
        </w:rPr>
        <w:t xml:space="preserve">Pressure for payment by the creditor is not considered a defense. The relevant time referred to in point (4) above is two years prior to liquidation for a connected preferred  person or six months prior to liquidation for an unconnected preferred  person. As with section 239, the liquidator must prove that where the consideration was received for the sale of assets the liquidator must prove that at the time the transaction was entered into, either the company was unable to pay its debts as they fell due within the meaning of section 123 or became unable to pay its debts within the meaning of that section as a result of the transaction. There is also a presumption that the company had the desire to prefer a creditor if that creditor was connected to the company. Based on the facts I do not </w:t>
      </w:r>
      <w:r w:rsidR="00864125">
        <w:rPr>
          <w:rFonts w:ascii="Avenir Next" w:hAnsi="Avenir Next" w:cs="Arial"/>
          <w:color w:val="808080" w:themeColor="background1" w:themeShade="80"/>
          <w:sz w:val="22"/>
          <w:szCs w:val="22"/>
        </w:rPr>
        <w:t>believe</w:t>
      </w:r>
      <w:r w:rsidR="0057398B">
        <w:rPr>
          <w:rFonts w:ascii="Avenir Next" w:hAnsi="Avenir Next" w:cs="Arial"/>
          <w:color w:val="808080" w:themeColor="background1" w:themeShade="80"/>
          <w:sz w:val="22"/>
          <w:szCs w:val="22"/>
        </w:rPr>
        <w:t xml:space="preserve"> that the liquidator would be successful in proving that the payment made by the Marbley Q Ltd to Hard and Fast Ltd a month before Marbley Q </w:t>
      </w:r>
      <w:r w:rsidR="00864125">
        <w:rPr>
          <w:rFonts w:ascii="Avenir Next" w:hAnsi="Avenir Next" w:cs="Arial"/>
          <w:color w:val="808080" w:themeColor="background1" w:themeShade="80"/>
          <w:sz w:val="22"/>
          <w:szCs w:val="22"/>
        </w:rPr>
        <w:t>Ltd.’s</w:t>
      </w:r>
      <w:r w:rsidR="0057398B">
        <w:rPr>
          <w:rFonts w:ascii="Avenir Next" w:hAnsi="Avenir Next" w:cs="Arial"/>
          <w:color w:val="808080" w:themeColor="background1" w:themeShade="80"/>
          <w:sz w:val="22"/>
          <w:szCs w:val="22"/>
        </w:rPr>
        <w:t xml:space="preserve"> liquidation because not all the elements in </w:t>
      </w:r>
      <w:r w:rsidR="00864125">
        <w:rPr>
          <w:rFonts w:ascii="Avenir Next" w:hAnsi="Avenir Next" w:cs="Arial"/>
          <w:color w:val="808080" w:themeColor="background1" w:themeShade="80"/>
          <w:sz w:val="22"/>
          <w:szCs w:val="22"/>
        </w:rPr>
        <w:t>terms</w:t>
      </w:r>
      <w:r w:rsidR="0057398B">
        <w:rPr>
          <w:rFonts w:ascii="Avenir Next" w:hAnsi="Avenir Next" w:cs="Arial"/>
          <w:color w:val="808080" w:themeColor="background1" w:themeShade="80"/>
          <w:sz w:val="22"/>
          <w:szCs w:val="22"/>
        </w:rPr>
        <w:t xml:space="preserve"> of section 239 can be proved.</w:t>
      </w:r>
    </w:p>
    <w:p w14:paraId="51055E9E" w14:textId="77777777" w:rsidR="0057398B" w:rsidRDefault="0057398B" w:rsidP="00D62925">
      <w:pPr>
        <w:jc w:val="both"/>
        <w:rPr>
          <w:rFonts w:ascii="Avenir Next" w:hAnsi="Avenir Next" w:cs="Arial"/>
          <w:color w:val="808080" w:themeColor="background1" w:themeShade="80"/>
          <w:sz w:val="22"/>
          <w:szCs w:val="22"/>
        </w:rPr>
      </w:pPr>
    </w:p>
    <w:p w14:paraId="18835486" w14:textId="4B601970" w:rsidR="0057398B" w:rsidRDefault="0057398B" w:rsidP="00D6292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first requirement would be proved </w:t>
      </w:r>
      <w:r w:rsidR="00864125">
        <w:rPr>
          <w:rFonts w:ascii="Avenir Next" w:hAnsi="Avenir Next" w:cs="Arial"/>
          <w:color w:val="808080" w:themeColor="background1" w:themeShade="80"/>
          <w:sz w:val="22"/>
          <w:szCs w:val="22"/>
        </w:rPr>
        <w:t>i.e.</w:t>
      </w:r>
      <w:r>
        <w:rPr>
          <w:rFonts w:ascii="Avenir Next" w:hAnsi="Avenir Next" w:cs="Arial"/>
          <w:color w:val="808080" w:themeColor="background1" w:themeShade="80"/>
          <w:sz w:val="22"/>
          <w:szCs w:val="22"/>
        </w:rPr>
        <w:t xml:space="preserve"> that Hard and Fast Ltd was a creditor of Marbley Q Ltd</w:t>
      </w:r>
    </w:p>
    <w:p w14:paraId="2576A3D5" w14:textId="4B8516DF" w:rsidR="0028772D" w:rsidRDefault="0057398B" w:rsidP="00D6292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second </w:t>
      </w:r>
      <w:r w:rsidR="00864125">
        <w:rPr>
          <w:rFonts w:ascii="Avenir Next" w:hAnsi="Avenir Next" w:cs="Arial"/>
          <w:color w:val="808080" w:themeColor="background1" w:themeShade="80"/>
          <w:sz w:val="22"/>
          <w:szCs w:val="22"/>
        </w:rPr>
        <w:t>requirement</w:t>
      </w:r>
      <w:r>
        <w:rPr>
          <w:rFonts w:ascii="Avenir Next" w:hAnsi="Avenir Next" w:cs="Arial"/>
          <w:color w:val="808080" w:themeColor="background1" w:themeShade="80"/>
          <w:sz w:val="22"/>
          <w:szCs w:val="22"/>
        </w:rPr>
        <w:t xml:space="preserve"> would also be me</w:t>
      </w:r>
      <w:r w:rsidR="00864125">
        <w:rPr>
          <w:rFonts w:ascii="Avenir Next" w:hAnsi="Avenir Next" w:cs="Arial"/>
          <w:color w:val="808080" w:themeColor="background1" w:themeShade="80"/>
          <w:sz w:val="22"/>
          <w:szCs w:val="22"/>
        </w:rPr>
        <w:t xml:space="preserve">t i.e. payment in the amount of </w:t>
      </w:r>
      <w:r w:rsidR="00864125">
        <w:rPr>
          <w:rFonts w:ascii="Corbel" w:hAnsi="Corbel" w:cs="Arial"/>
          <w:color w:val="808080" w:themeColor="background1" w:themeShade="80"/>
          <w:sz w:val="22"/>
          <w:szCs w:val="22"/>
        </w:rPr>
        <w:t>£</w:t>
      </w:r>
      <w:r w:rsidR="00864125">
        <w:rPr>
          <w:rFonts w:ascii="Avenir Next" w:hAnsi="Avenir Next" w:cs="Arial"/>
          <w:color w:val="808080" w:themeColor="background1" w:themeShade="80"/>
          <w:sz w:val="22"/>
          <w:szCs w:val="22"/>
        </w:rPr>
        <w:t xml:space="preserve"> 8 000 from Marbley Q Ltd to Hard and Fast Ltd. The third requirement would not be able to be proved by the liquidator. Firstly there would be no presumptions in this scenario because the preference was not made to a </w:t>
      </w:r>
      <w:r w:rsidR="00864125">
        <w:rPr>
          <w:rFonts w:ascii="Avenir Next" w:hAnsi="Avenir Next" w:cs="Arial"/>
          <w:color w:val="808080" w:themeColor="background1" w:themeShade="80"/>
          <w:sz w:val="22"/>
          <w:szCs w:val="22"/>
        </w:rPr>
        <w:lastRenderedPageBreak/>
        <w:t xml:space="preserve">connected person. Secondly the liquidator would have to prove that there as a desire to prefer. In </w:t>
      </w:r>
      <w:r w:rsidR="00864125" w:rsidRPr="00864125">
        <w:rPr>
          <w:rFonts w:ascii="Avenir Next" w:hAnsi="Avenir Next" w:cs="Arial"/>
          <w:i/>
          <w:color w:val="808080" w:themeColor="background1" w:themeShade="80"/>
          <w:sz w:val="22"/>
          <w:szCs w:val="22"/>
        </w:rPr>
        <w:t>MC Bacon Ltd</w:t>
      </w:r>
      <w:r w:rsidR="00864125">
        <w:rPr>
          <w:rFonts w:ascii="Avenir Next" w:hAnsi="Avenir Next" w:cs="Arial"/>
          <w:color w:val="808080" w:themeColor="background1" w:themeShade="80"/>
          <w:sz w:val="22"/>
          <w:szCs w:val="22"/>
        </w:rPr>
        <w:t xml:space="preserve"> [1990] BCC 78 the court distinguished between intention (which is objective) and desire (which is subjective). The court in that case </w:t>
      </w:r>
      <w:r w:rsidR="0028772D">
        <w:rPr>
          <w:rFonts w:ascii="Avenir Next" w:hAnsi="Avenir Next" w:cs="Arial"/>
          <w:color w:val="808080" w:themeColor="background1" w:themeShade="80"/>
          <w:sz w:val="22"/>
          <w:szCs w:val="22"/>
        </w:rPr>
        <w:t>decided</w:t>
      </w:r>
      <w:r w:rsidR="00864125">
        <w:rPr>
          <w:rFonts w:ascii="Avenir Next" w:hAnsi="Avenir Next" w:cs="Arial"/>
          <w:color w:val="808080" w:themeColor="background1" w:themeShade="80"/>
          <w:sz w:val="22"/>
          <w:szCs w:val="22"/>
        </w:rPr>
        <w:t xml:space="preserve"> that granting security involves the </w:t>
      </w:r>
      <w:r w:rsidR="0028772D">
        <w:rPr>
          <w:rFonts w:ascii="Avenir Next" w:hAnsi="Avenir Next" w:cs="Arial"/>
          <w:color w:val="808080" w:themeColor="background1" w:themeShade="80"/>
          <w:sz w:val="22"/>
          <w:szCs w:val="22"/>
        </w:rPr>
        <w:t>intention</w:t>
      </w:r>
      <w:r w:rsidR="00864125">
        <w:rPr>
          <w:rFonts w:ascii="Avenir Next" w:hAnsi="Avenir Next" w:cs="Arial"/>
          <w:color w:val="808080" w:themeColor="background1" w:themeShade="80"/>
          <w:sz w:val="22"/>
          <w:szCs w:val="22"/>
        </w:rPr>
        <w:t xml:space="preserve"> to prefer but not </w:t>
      </w:r>
      <w:r w:rsidR="0028772D">
        <w:rPr>
          <w:rFonts w:ascii="Avenir Next" w:hAnsi="Avenir Next" w:cs="Arial"/>
          <w:color w:val="808080" w:themeColor="background1" w:themeShade="80"/>
          <w:sz w:val="22"/>
          <w:szCs w:val="22"/>
        </w:rPr>
        <w:t>necessarily</w:t>
      </w:r>
      <w:r w:rsidR="00864125">
        <w:rPr>
          <w:rFonts w:ascii="Avenir Next" w:hAnsi="Avenir Next" w:cs="Arial"/>
          <w:color w:val="808080" w:themeColor="background1" w:themeShade="80"/>
          <w:sz w:val="22"/>
          <w:szCs w:val="22"/>
        </w:rPr>
        <w:t xml:space="preserve"> a desire to prefer. The court also found that where the company was entirely </w:t>
      </w:r>
      <w:r w:rsidR="0028772D">
        <w:rPr>
          <w:rFonts w:ascii="Avenir Next" w:hAnsi="Avenir Next" w:cs="Arial"/>
          <w:color w:val="808080" w:themeColor="background1" w:themeShade="80"/>
          <w:sz w:val="22"/>
          <w:szCs w:val="22"/>
        </w:rPr>
        <w:t>dependent</w:t>
      </w:r>
      <w:r w:rsidR="00864125">
        <w:rPr>
          <w:rFonts w:ascii="Avenir Next" w:hAnsi="Avenir Next" w:cs="Arial"/>
          <w:color w:val="808080" w:themeColor="background1" w:themeShade="80"/>
          <w:sz w:val="22"/>
          <w:szCs w:val="22"/>
        </w:rPr>
        <w:t xml:space="preserve"> upon the banks support for continued trading, the payments were made out of intention not desire to continue trading. I believe in this case Marbley Q Ltd paid the </w:t>
      </w:r>
      <w:r w:rsidR="00864125">
        <w:rPr>
          <w:rFonts w:ascii="Corbel" w:hAnsi="Corbel" w:cs="Arial"/>
          <w:color w:val="808080" w:themeColor="background1" w:themeShade="80"/>
          <w:sz w:val="22"/>
          <w:szCs w:val="22"/>
        </w:rPr>
        <w:t>£</w:t>
      </w:r>
      <w:r w:rsidR="00864125">
        <w:rPr>
          <w:rFonts w:ascii="Avenir Next" w:hAnsi="Avenir Next" w:cs="Arial"/>
          <w:color w:val="808080" w:themeColor="background1" w:themeShade="80"/>
          <w:sz w:val="22"/>
          <w:szCs w:val="22"/>
        </w:rPr>
        <w:t xml:space="preserve"> 8000 out of intention to continue to </w:t>
      </w:r>
      <w:r w:rsidR="0028772D">
        <w:rPr>
          <w:rFonts w:ascii="Avenir Next" w:hAnsi="Avenir Next" w:cs="Arial"/>
          <w:color w:val="808080" w:themeColor="background1" w:themeShade="80"/>
          <w:sz w:val="22"/>
          <w:szCs w:val="22"/>
        </w:rPr>
        <w:t xml:space="preserve">receive stock which was essential for them to continue to trade. </w:t>
      </w:r>
      <w:r w:rsidR="00035A55">
        <w:rPr>
          <w:rFonts w:ascii="Avenir Next" w:hAnsi="Avenir Next" w:cs="Arial"/>
          <w:color w:val="808080" w:themeColor="background1" w:themeShade="80"/>
          <w:sz w:val="22"/>
          <w:szCs w:val="22"/>
        </w:rPr>
        <w:t xml:space="preserve">Thus they would have intent to trade not desire and the requirement would not be met. </w:t>
      </w:r>
      <w:bookmarkStart w:id="1" w:name="_GoBack"/>
      <w:bookmarkEnd w:id="1"/>
      <w:r w:rsidR="0028772D">
        <w:rPr>
          <w:rFonts w:ascii="Avenir Next" w:hAnsi="Avenir Next" w:cs="Arial"/>
          <w:color w:val="808080" w:themeColor="background1" w:themeShade="80"/>
          <w:sz w:val="22"/>
          <w:szCs w:val="22"/>
        </w:rPr>
        <w:t>The preference was given within the six month time however point (3) would not have been proved.</w:t>
      </w:r>
    </w:p>
    <w:p w14:paraId="0FB71B4D" w14:textId="77777777" w:rsidR="00D62925" w:rsidRPr="00D62925" w:rsidRDefault="00D62925" w:rsidP="00D62925">
      <w:pPr>
        <w:jc w:val="both"/>
        <w:rPr>
          <w:rFonts w:ascii="Avenir Next" w:hAnsi="Avenir Next" w:cs="Arial"/>
          <w:color w:val="808080" w:themeColor="background1" w:themeShade="80"/>
          <w:sz w:val="22"/>
          <w:szCs w:val="22"/>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32D8B349"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035A55">
          <w:rPr>
            <w:rStyle w:val="PageNumber"/>
            <w:rFonts w:ascii="Avenir Next" w:hAnsi="Avenir Next" w:cs="Arial"/>
            <w:noProof/>
            <w:sz w:val="22"/>
            <w:szCs w:val="22"/>
          </w:rPr>
          <w:t>11</w:t>
        </w:r>
        <w:r w:rsidRPr="00A84235">
          <w:rPr>
            <w:rStyle w:val="PageNumber"/>
            <w:rFonts w:ascii="Avenir Next" w:hAnsi="Avenir Next" w:cs="Arial"/>
            <w:sz w:val="22"/>
            <w:szCs w:val="22"/>
          </w:rPr>
          <w:fldChar w:fldCharType="end"/>
        </w:r>
      </w:p>
    </w:sdtContent>
  </w:sdt>
  <w:p w14:paraId="30F05E79" w14:textId="1A02D7D2" w:rsidR="00241FA3" w:rsidRPr="00A84235" w:rsidRDefault="00302CEF" w:rsidP="009B4976">
    <w:pPr>
      <w:pStyle w:val="Footer"/>
      <w:ind w:right="360"/>
      <w:rPr>
        <w:rFonts w:ascii="Avenir Next" w:hAnsi="Avenir Next" w:cs="Arial"/>
        <w:sz w:val="22"/>
        <w:szCs w:val="22"/>
        <w:lang w:val="en-GB"/>
      </w:rPr>
    </w:pPr>
    <w:r>
      <w:rPr>
        <w:rFonts w:ascii="Avenir Next" w:hAnsi="Avenir Next" w:cs="Arial"/>
        <w:sz w:val="22"/>
        <w:szCs w:val="22"/>
        <w:lang w:val="en-GB"/>
      </w:rPr>
      <w:t>202223-960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A4536"/>
    <w:multiLevelType w:val="hybridMultilevel"/>
    <w:tmpl w:val="8F40FA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B96959"/>
    <w:multiLevelType w:val="hybridMultilevel"/>
    <w:tmpl w:val="81B0A00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A8223B"/>
    <w:multiLevelType w:val="hybridMultilevel"/>
    <w:tmpl w:val="97784A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D0E8C"/>
    <w:multiLevelType w:val="hybridMultilevel"/>
    <w:tmpl w:val="98B4A0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F62AA2"/>
    <w:multiLevelType w:val="hybridMultilevel"/>
    <w:tmpl w:val="9B2EBA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F46459"/>
    <w:multiLevelType w:val="hybridMultilevel"/>
    <w:tmpl w:val="04185F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C94B9E"/>
    <w:multiLevelType w:val="hybridMultilevel"/>
    <w:tmpl w:val="797E32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2"/>
  </w:num>
  <w:num w:numId="5">
    <w:abstractNumId w:val="16"/>
  </w:num>
  <w:num w:numId="6">
    <w:abstractNumId w:val="2"/>
  </w:num>
  <w:num w:numId="7">
    <w:abstractNumId w:val="17"/>
  </w:num>
  <w:num w:numId="8">
    <w:abstractNumId w:val="21"/>
  </w:num>
  <w:num w:numId="9">
    <w:abstractNumId w:val="13"/>
  </w:num>
  <w:num w:numId="10">
    <w:abstractNumId w:val="23"/>
  </w:num>
  <w:num w:numId="11">
    <w:abstractNumId w:val="9"/>
  </w:num>
  <w:num w:numId="12">
    <w:abstractNumId w:val="19"/>
  </w:num>
  <w:num w:numId="13">
    <w:abstractNumId w:val="14"/>
  </w:num>
  <w:num w:numId="14">
    <w:abstractNumId w:val="7"/>
  </w:num>
  <w:num w:numId="15">
    <w:abstractNumId w:val="18"/>
  </w:num>
  <w:num w:numId="16">
    <w:abstractNumId w:val="20"/>
  </w:num>
  <w:num w:numId="17">
    <w:abstractNumId w:val="11"/>
  </w:num>
  <w:num w:numId="18">
    <w:abstractNumId w:val="8"/>
  </w:num>
  <w:num w:numId="19">
    <w:abstractNumId w:val="22"/>
  </w:num>
  <w:num w:numId="20">
    <w:abstractNumId w:val="3"/>
  </w:num>
  <w:num w:numId="21">
    <w:abstractNumId w:val="10"/>
  </w:num>
  <w:num w:numId="22">
    <w:abstractNumId w:val="6"/>
  </w:num>
  <w:num w:numId="23">
    <w:abstractNumId w:val="4"/>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0557"/>
    <w:rsid w:val="00021FC2"/>
    <w:rsid w:val="000250C7"/>
    <w:rsid w:val="00026F16"/>
    <w:rsid w:val="00035A55"/>
    <w:rsid w:val="00037621"/>
    <w:rsid w:val="00041D18"/>
    <w:rsid w:val="00044D46"/>
    <w:rsid w:val="00045088"/>
    <w:rsid w:val="00045904"/>
    <w:rsid w:val="00046698"/>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283E"/>
    <w:rsid w:val="0011473D"/>
    <w:rsid w:val="00115C85"/>
    <w:rsid w:val="00123855"/>
    <w:rsid w:val="00126A4D"/>
    <w:rsid w:val="0014171F"/>
    <w:rsid w:val="0014622C"/>
    <w:rsid w:val="00152348"/>
    <w:rsid w:val="0015456D"/>
    <w:rsid w:val="00155FA2"/>
    <w:rsid w:val="00161F1B"/>
    <w:rsid w:val="00162829"/>
    <w:rsid w:val="0017456B"/>
    <w:rsid w:val="00180548"/>
    <w:rsid w:val="00180AC4"/>
    <w:rsid w:val="00180CCE"/>
    <w:rsid w:val="0018267A"/>
    <w:rsid w:val="00182779"/>
    <w:rsid w:val="00182788"/>
    <w:rsid w:val="001830DF"/>
    <w:rsid w:val="001966D9"/>
    <w:rsid w:val="001A007A"/>
    <w:rsid w:val="001A4A19"/>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4C96"/>
    <w:rsid w:val="0020725B"/>
    <w:rsid w:val="002110F1"/>
    <w:rsid w:val="00212001"/>
    <w:rsid w:val="002356EA"/>
    <w:rsid w:val="0024116D"/>
    <w:rsid w:val="00241B44"/>
    <w:rsid w:val="00241FA3"/>
    <w:rsid w:val="00244004"/>
    <w:rsid w:val="00245EFB"/>
    <w:rsid w:val="0025386E"/>
    <w:rsid w:val="002638B0"/>
    <w:rsid w:val="0026647A"/>
    <w:rsid w:val="002668D3"/>
    <w:rsid w:val="0027299F"/>
    <w:rsid w:val="00284EBE"/>
    <w:rsid w:val="0028772D"/>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2CEF"/>
    <w:rsid w:val="00303C2F"/>
    <w:rsid w:val="00311816"/>
    <w:rsid w:val="003144EF"/>
    <w:rsid w:val="00314F32"/>
    <w:rsid w:val="00326292"/>
    <w:rsid w:val="00326415"/>
    <w:rsid w:val="003265BD"/>
    <w:rsid w:val="00330937"/>
    <w:rsid w:val="00330F31"/>
    <w:rsid w:val="00334648"/>
    <w:rsid w:val="0033768C"/>
    <w:rsid w:val="00337938"/>
    <w:rsid w:val="00337C7B"/>
    <w:rsid w:val="00340769"/>
    <w:rsid w:val="00341AA6"/>
    <w:rsid w:val="00361A0A"/>
    <w:rsid w:val="00364836"/>
    <w:rsid w:val="0036565C"/>
    <w:rsid w:val="0036625E"/>
    <w:rsid w:val="00371A41"/>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4C73"/>
    <w:rsid w:val="00405DC1"/>
    <w:rsid w:val="00415F1F"/>
    <w:rsid w:val="0042108F"/>
    <w:rsid w:val="00430FED"/>
    <w:rsid w:val="00434A8C"/>
    <w:rsid w:val="00435114"/>
    <w:rsid w:val="00437297"/>
    <w:rsid w:val="00444284"/>
    <w:rsid w:val="00445CE6"/>
    <w:rsid w:val="004534C2"/>
    <w:rsid w:val="0045446F"/>
    <w:rsid w:val="0045683E"/>
    <w:rsid w:val="00461F95"/>
    <w:rsid w:val="00464454"/>
    <w:rsid w:val="00474C2B"/>
    <w:rsid w:val="00477C72"/>
    <w:rsid w:val="00491675"/>
    <w:rsid w:val="00493855"/>
    <w:rsid w:val="00495E79"/>
    <w:rsid w:val="004A2D83"/>
    <w:rsid w:val="004A57DD"/>
    <w:rsid w:val="004A7B51"/>
    <w:rsid w:val="004A7D71"/>
    <w:rsid w:val="004A7EF3"/>
    <w:rsid w:val="004B11FD"/>
    <w:rsid w:val="004B23A2"/>
    <w:rsid w:val="004B2EF8"/>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398B"/>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73A"/>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B652F"/>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4125"/>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C6B87"/>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66241"/>
    <w:rsid w:val="00980E61"/>
    <w:rsid w:val="00991428"/>
    <w:rsid w:val="00992676"/>
    <w:rsid w:val="009954B2"/>
    <w:rsid w:val="0099600A"/>
    <w:rsid w:val="00996691"/>
    <w:rsid w:val="00996891"/>
    <w:rsid w:val="009A3AB7"/>
    <w:rsid w:val="009B0723"/>
    <w:rsid w:val="009B07AD"/>
    <w:rsid w:val="009B0883"/>
    <w:rsid w:val="009B15E2"/>
    <w:rsid w:val="009B4976"/>
    <w:rsid w:val="009C0B8E"/>
    <w:rsid w:val="009C1BC8"/>
    <w:rsid w:val="009C2442"/>
    <w:rsid w:val="009C405E"/>
    <w:rsid w:val="009D0811"/>
    <w:rsid w:val="009D0EE1"/>
    <w:rsid w:val="009D3AF0"/>
    <w:rsid w:val="009E2AEB"/>
    <w:rsid w:val="009E2E27"/>
    <w:rsid w:val="009E45DF"/>
    <w:rsid w:val="009E4DE3"/>
    <w:rsid w:val="009F275E"/>
    <w:rsid w:val="009F7582"/>
    <w:rsid w:val="00A047EE"/>
    <w:rsid w:val="00A2274A"/>
    <w:rsid w:val="00A235B7"/>
    <w:rsid w:val="00A27A7A"/>
    <w:rsid w:val="00A34ABE"/>
    <w:rsid w:val="00A407EF"/>
    <w:rsid w:val="00A46B4C"/>
    <w:rsid w:val="00A5117B"/>
    <w:rsid w:val="00A56D34"/>
    <w:rsid w:val="00A60074"/>
    <w:rsid w:val="00A6627C"/>
    <w:rsid w:val="00A71019"/>
    <w:rsid w:val="00A73B94"/>
    <w:rsid w:val="00A81029"/>
    <w:rsid w:val="00A84235"/>
    <w:rsid w:val="00A845F5"/>
    <w:rsid w:val="00A96489"/>
    <w:rsid w:val="00AA2435"/>
    <w:rsid w:val="00AB03BD"/>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0565"/>
    <w:rsid w:val="00CA7F9E"/>
    <w:rsid w:val="00CB1983"/>
    <w:rsid w:val="00CB2CBB"/>
    <w:rsid w:val="00CB7CAC"/>
    <w:rsid w:val="00CC5335"/>
    <w:rsid w:val="00CC5BA4"/>
    <w:rsid w:val="00CD2D63"/>
    <w:rsid w:val="00CD4998"/>
    <w:rsid w:val="00CE1035"/>
    <w:rsid w:val="00CE6E50"/>
    <w:rsid w:val="00CF2819"/>
    <w:rsid w:val="00CF4F9D"/>
    <w:rsid w:val="00CF70DC"/>
    <w:rsid w:val="00D01697"/>
    <w:rsid w:val="00D148DC"/>
    <w:rsid w:val="00D17FDC"/>
    <w:rsid w:val="00D21D8C"/>
    <w:rsid w:val="00D53719"/>
    <w:rsid w:val="00D62925"/>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018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1EC5"/>
    <w:rsid w:val="00E93993"/>
    <w:rsid w:val="00E94797"/>
    <w:rsid w:val="00E9597C"/>
    <w:rsid w:val="00EA0913"/>
    <w:rsid w:val="00EA3B38"/>
    <w:rsid w:val="00EA5B00"/>
    <w:rsid w:val="00EB146B"/>
    <w:rsid w:val="00EB45AC"/>
    <w:rsid w:val="00EC441F"/>
    <w:rsid w:val="00EC4755"/>
    <w:rsid w:val="00ED0BC4"/>
    <w:rsid w:val="00ED24CB"/>
    <w:rsid w:val="00ED3101"/>
    <w:rsid w:val="00ED447D"/>
    <w:rsid w:val="00EE4971"/>
    <w:rsid w:val="00EE52CB"/>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35D7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8A4B9-8C0E-4B4F-8A58-78C20B623A4E}">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aa83e3e4-888c-4ce0-bc3e-c79df2587106"/>
    <ds:schemaRef ds:uri="http://schemas.microsoft.com/office/infopath/2007/PartnerControls"/>
    <ds:schemaRef ds:uri="http://www.w3.org/XML/1998/namespace"/>
    <ds:schemaRef ds:uri="http://schemas.openxmlformats.org/package/2006/metadata/core-properties"/>
    <ds:schemaRef ds:uri="ee216d15-0d94-4154-823d-f705f9e225b9"/>
  </ds:schemaRefs>
</ds:datastoreItem>
</file>

<file path=customXml/itemProps4.xml><?xml version="1.0" encoding="utf-8"?>
<ds:datastoreItem xmlns:ds="http://schemas.openxmlformats.org/officeDocument/2006/customXml" ds:itemID="{9089B311-CB03-4313-9943-EC761D5E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Bouwer Henri</cp:lastModifiedBy>
  <cp:revision>30</cp:revision>
  <cp:lastPrinted>2019-08-27T05:42:00Z</cp:lastPrinted>
  <dcterms:created xsi:type="dcterms:W3CDTF">2022-09-01T07:29:00Z</dcterms:created>
  <dcterms:modified xsi:type="dcterms:W3CDTF">2023-02-20T12:11:00Z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