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a3"/>
        <w:ind w:left="426"/>
        <w:jc w:val="both"/>
        <w:rPr>
          <w:rFonts w:ascii="Avenir Next" w:hAnsi="Avenir Next" w:cs="Arial"/>
          <w:sz w:val="22"/>
          <w:szCs w:val="22"/>
          <w:lang w:val="en-GB"/>
        </w:rPr>
      </w:pPr>
    </w:p>
    <w:p w14:paraId="327576EE" w14:textId="4AC8B157"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a3"/>
        <w:ind w:left="426"/>
        <w:jc w:val="both"/>
        <w:rPr>
          <w:rFonts w:ascii="Avenir Next" w:hAnsi="Avenir Next" w:cs="Arial"/>
          <w:sz w:val="22"/>
          <w:szCs w:val="22"/>
          <w:lang w:val="en-GB"/>
        </w:rPr>
      </w:pPr>
    </w:p>
    <w:p w14:paraId="5F606333" w14:textId="3F76D48E"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a3"/>
        <w:ind w:left="426"/>
        <w:jc w:val="both"/>
        <w:rPr>
          <w:rFonts w:ascii="Avenir Next" w:hAnsi="Avenir Next" w:cs="Arial"/>
          <w:sz w:val="22"/>
          <w:szCs w:val="22"/>
          <w:lang w:val="en-GB"/>
        </w:rPr>
      </w:pPr>
    </w:p>
    <w:p w14:paraId="0FCA7419" w14:textId="77777777" w:rsidR="00D66F96" w:rsidRPr="009179EF" w:rsidRDefault="00D66F96" w:rsidP="005B7C95">
      <w:pPr>
        <w:pStyle w:val="a3"/>
        <w:numPr>
          <w:ilvl w:val="0"/>
          <w:numId w:val="26"/>
        </w:numPr>
        <w:ind w:left="426"/>
        <w:jc w:val="both"/>
        <w:rPr>
          <w:rFonts w:ascii="Avenir Next" w:hAnsi="Avenir Next" w:cs="Arial"/>
          <w:sz w:val="22"/>
          <w:szCs w:val="22"/>
          <w:highlight w:val="yellow"/>
          <w:lang w:val="en-GB"/>
        </w:rPr>
      </w:pPr>
      <w:r w:rsidRPr="009179EF">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9179EF" w:rsidRDefault="00A26868" w:rsidP="003922EE">
      <w:pPr>
        <w:pStyle w:val="a3"/>
        <w:numPr>
          <w:ilvl w:val="0"/>
          <w:numId w:val="3"/>
        </w:numPr>
        <w:ind w:left="426"/>
        <w:jc w:val="both"/>
        <w:rPr>
          <w:rFonts w:ascii="Avenir Next" w:hAnsi="Avenir Next" w:cs="Arial"/>
          <w:iCs/>
          <w:sz w:val="22"/>
          <w:szCs w:val="22"/>
          <w:highlight w:val="yellow"/>
          <w:lang w:val="en-GB"/>
        </w:rPr>
      </w:pPr>
      <w:r w:rsidRPr="009179EF">
        <w:rPr>
          <w:rFonts w:ascii="Avenir Next" w:hAnsi="Avenir Next" w:cs="Arial"/>
          <w:iCs/>
          <w:sz w:val="22"/>
          <w:szCs w:val="22"/>
          <w:highlight w:val="yellow"/>
          <w:lang w:val="en-GB"/>
        </w:rPr>
        <w:t>t</w:t>
      </w:r>
      <w:r w:rsidR="00302D76" w:rsidRPr="009179EF">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a3"/>
        <w:ind w:left="426"/>
        <w:jc w:val="both"/>
        <w:rPr>
          <w:rFonts w:ascii="Avenir Next" w:hAnsi="Avenir Next" w:cs="Arial"/>
          <w:iCs/>
          <w:sz w:val="22"/>
          <w:szCs w:val="22"/>
          <w:lang w:val="en-GB"/>
        </w:rPr>
      </w:pPr>
    </w:p>
    <w:p w14:paraId="74C0E9B6" w14:textId="32988A54" w:rsidR="005B79F4" w:rsidRPr="008E3C96" w:rsidRDefault="00A26868" w:rsidP="00D21F62">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a3"/>
        <w:ind w:left="426"/>
        <w:jc w:val="both"/>
        <w:rPr>
          <w:rFonts w:ascii="Avenir Next" w:hAnsi="Avenir Next" w:cs="Arial"/>
          <w:iCs/>
          <w:sz w:val="22"/>
          <w:szCs w:val="22"/>
          <w:lang w:val="en-GB"/>
        </w:rPr>
      </w:pPr>
    </w:p>
    <w:p w14:paraId="5447959C" w14:textId="5271DBEE" w:rsidR="00302D76" w:rsidRPr="008E3C96" w:rsidRDefault="00A26868" w:rsidP="00302D76">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a3"/>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9179EF" w:rsidRDefault="00302D76" w:rsidP="005B7C95">
      <w:pPr>
        <w:pStyle w:val="a3"/>
        <w:numPr>
          <w:ilvl w:val="0"/>
          <w:numId w:val="27"/>
        </w:numPr>
        <w:ind w:left="426"/>
        <w:jc w:val="both"/>
        <w:rPr>
          <w:rFonts w:ascii="Avenir Next" w:hAnsi="Avenir Next" w:cs="Arial"/>
          <w:iCs/>
          <w:sz w:val="22"/>
          <w:szCs w:val="22"/>
          <w:highlight w:val="yellow"/>
          <w:lang w:val="en-GB"/>
        </w:rPr>
      </w:pPr>
      <w:r w:rsidRPr="009179EF">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a3"/>
        <w:ind w:left="426"/>
        <w:jc w:val="both"/>
        <w:rPr>
          <w:rFonts w:ascii="Avenir Next" w:hAnsi="Avenir Next" w:cs="Arial"/>
          <w:iCs/>
          <w:sz w:val="22"/>
          <w:szCs w:val="22"/>
          <w:lang w:val="en-GB"/>
        </w:rPr>
      </w:pPr>
    </w:p>
    <w:p w14:paraId="2E108863" w14:textId="6CFAAD40"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a3"/>
        <w:ind w:left="426"/>
        <w:jc w:val="both"/>
        <w:rPr>
          <w:rFonts w:ascii="Avenir Next" w:hAnsi="Avenir Next" w:cs="Arial"/>
          <w:iCs/>
          <w:sz w:val="22"/>
          <w:szCs w:val="22"/>
          <w:lang w:val="en-GB"/>
        </w:rPr>
      </w:pPr>
    </w:p>
    <w:p w14:paraId="4B4D02E6" w14:textId="77777777"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F66A26" w:rsidRDefault="00971896" w:rsidP="003C4BCB">
      <w:pPr>
        <w:pStyle w:val="a3"/>
        <w:numPr>
          <w:ilvl w:val="0"/>
          <w:numId w:val="5"/>
        </w:numPr>
        <w:ind w:left="426"/>
        <w:jc w:val="both"/>
        <w:rPr>
          <w:rFonts w:ascii="Avenir Next" w:hAnsi="Avenir Next" w:cs="Arial"/>
          <w:sz w:val="22"/>
          <w:szCs w:val="22"/>
          <w:highlight w:val="yellow"/>
          <w:lang w:val="en-GB"/>
        </w:rPr>
      </w:pPr>
      <w:r w:rsidRPr="00F66A26">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F66A26">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6408DA" w:rsidRDefault="00302D76" w:rsidP="008E3C96">
      <w:pPr>
        <w:pStyle w:val="a3"/>
        <w:numPr>
          <w:ilvl w:val="0"/>
          <w:numId w:val="28"/>
        </w:numPr>
        <w:ind w:left="426"/>
        <w:jc w:val="both"/>
        <w:rPr>
          <w:rFonts w:ascii="Avenir Next" w:hAnsi="Avenir Next" w:cs="Arial"/>
          <w:sz w:val="22"/>
          <w:szCs w:val="22"/>
          <w:lang w:val="en-GB"/>
        </w:rPr>
      </w:pPr>
      <w:r w:rsidRPr="006408DA">
        <w:rPr>
          <w:rFonts w:ascii="Avenir Next" w:hAnsi="Avenir Next" w:cs="Arial"/>
          <w:sz w:val="22"/>
          <w:szCs w:val="22"/>
          <w:lang w:val="en-GB"/>
        </w:rPr>
        <w:t>Article 18 EIR Recast (“</w:t>
      </w:r>
      <w:r w:rsidRPr="006408DA">
        <w:rPr>
          <w:rFonts w:ascii="Avenir Next" w:hAnsi="Avenir Next" w:cs="Arial"/>
          <w:bCs/>
          <w:sz w:val="22"/>
          <w:szCs w:val="22"/>
          <w:lang w:val="en-GB"/>
        </w:rPr>
        <w:t>Effects of insolvency proceedings on pending lawsuits or arbitral proceedings”</w:t>
      </w:r>
      <w:r w:rsidRPr="006408DA">
        <w:rPr>
          <w:rFonts w:ascii="Avenir Next" w:hAnsi="Avenir Next" w:cs="Arial"/>
          <w:sz w:val="22"/>
          <w:szCs w:val="22"/>
          <w:lang w:val="en-GB"/>
        </w:rPr>
        <w:t>).</w:t>
      </w:r>
    </w:p>
    <w:p w14:paraId="75C2D544" w14:textId="77777777" w:rsidR="00302D76" w:rsidRPr="008E3C96" w:rsidRDefault="00302D76" w:rsidP="008E3C96">
      <w:pPr>
        <w:pStyle w:val="a3"/>
        <w:ind w:left="426"/>
        <w:jc w:val="both"/>
        <w:rPr>
          <w:rFonts w:ascii="Avenir Next" w:hAnsi="Avenir Next" w:cs="Arial"/>
          <w:sz w:val="22"/>
          <w:szCs w:val="22"/>
          <w:lang w:val="en-GB"/>
        </w:rPr>
      </w:pPr>
    </w:p>
    <w:p w14:paraId="26A80627" w14:textId="6CEDA8AC"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a3"/>
        <w:ind w:left="426"/>
        <w:jc w:val="both"/>
        <w:rPr>
          <w:rFonts w:ascii="Avenir Next" w:hAnsi="Avenir Next" w:cs="Arial"/>
          <w:sz w:val="22"/>
          <w:szCs w:val="22"/>
          <w:lang w:val="en-GB"/>
        </w:rPr>
      </w:pPr>
    </w:p>
    <w:p w14:paraId="1700C230" w14:textId="7924230F" w:rsidR="00302D76" w:rsidRPr="006408DA" w:rsidRDefault="00302D76" w:rsidP="008E3C96">
      <w:pPr>
        <w:pStyle w:val="a3"/>
        <w:numPr>
          <w:ilvl w:val="0"/>
          <w:numId w:val="28"/>
        </w:numPr>
        <w:ind w:left="426"/>
        <w:jc w:val="both"/>
        <w:rPr>
          <w:rFonts w:ascii="Avenir Next" w:hAnsi="Avenir Next" w:cs="Arial"/>
          <w:sz w:val="22"/>
          <w:szCs w:val="22"/>
          <w:highlight w:val="yellow"/>
          <w:lang w:val="en-GB"/>
        </w:rPr>
      </w:pPr>
      <w:r w:rsidRPr="006408DA">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a3"/>
        <w:ind w:left="426"/>
        <w:jc w:val="both"/>
        <w:rPr>
          <w:rFonts w:ascii="Avenir Next" w:hAnsi="Avenir Next" w:cs="Arial"/>
          <w:sz w:val="22"/>
          <w:szCs w:val="22"/>
          <w:lang w:val="en-GB"/>
        </w:rPr>
      </w:pPr>
    </w:p>
    <w:p w14:paraId="448D3B2E" w14:textId="77777777" w:rsidR="00CA7069" w:rsidRPr="008E3C96" w:rsidRDefault="00CA7069"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a3"/>
        <w:ind w:left="426"/>
        <w:jc w:val="both"/>
        <w:rPr>
          <w:rFonts w:ascii="Avenir Next" w:hAnsi="Avenir Next" w:cs="Arial"/>
          <w:sz w:val="22"/>
          <w:szCs w:val="22"/>
          <w:lang w:val="en-GB"/>
        </w:rPr>
      </w:pPr>
    </w:p>
    <w:p w14:paraId="59E5541F" w14:textId="24AE7A7F" w:rsidR="00113E29" w:rsidRPr="008E3C96" w:rsidRDefault="00CA7069" w:rsidP="00CA7069">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481744" w:rsidRDefault="00CA7069" w:rsidP="003C4BCB">
      <w:pPr>
        <w:pStyle w:val="a3"/>
        <w:numPr>
          <w:ilvl w:val="0"/>
          <w:numId w:val="7"/>
        </w:numPr>
        <w:ind w:left="426"/>
        <w:jc w:val="both"/>
        <w:rPr>
          <w:rFonts w:ascii="Avenir Next" w:hAnsi="Avenir Next" w:cs="Arial"/>
          <w:sz w:val="22"/>
          <w:szCs w:val="22"/>
          <w:highlight w:val="yellow"/>
          <w:lang w:val="en-GB"/>
        </w:rPr>
      </w:pPr>
      <w:r w:rsidRPr="00481744">
        <w:rPr>
          <w:rFonts w:ascii="Avenir Next" w:hAnsi="Avenir Next" w:cs="Arial"/>
          <w:sz w:val="22"/>
          <w:szCs w:val="22"/>
          <w:highlight w:val="yellow"/>
          <w:lang w:val="en-GB"/>
        </w:rPr>
        <w:t xml:space="preserve">Each Member State will define </w:t>
      </w:r>
      <w:r w:rsidR="001A68CC" w:rsidRPr="00481744">
        <w:rPr>
          <w:rFonts w:ascii="Avenir Next" w:hAnsi="Avenir Next" w:cs="Arial"/>
          <w:sz w:val="22"/>
          <w:szCs w:val="22"/>
          <w:highlight w:val="yellow"/>
          <w:lang w:val="en-GB"/>
        </w:rPr>
        <w:t>“</w:t>
      </w:r>
      <w:r w:rsidRPr="00481744">
        <w:rPr>
          <w:rFonts w:ascii="Avenir Next" w:hAnsi="Avenir Next" w:cs="Arial"/>
          <w:sz w:val="22"/>
          <w:szCs w:val="22"/>
          <w:highlight w:val="yellow"/>
          <w:lang w:val="en-GB"/>
        </w:rPr>
        <w:t>insolvency</w:t>
      </w:r>
      <w:r w:rsidR="001A68CC" w:rsidRPr="00481744">
        <w:rPr>
          <w:rFonts w:ascii="Avenir Next" w:hAnsi="Avenir Next" w:cs="Arial"/>
          <w:sz w:val="22"/>
          <w:szCs w:val="22"/>
          <w:highlight w:val="yellow"/>
          <w:lang w:val="en-GB"/>
        </w:rPr>
        <w:t>”</w:t>
      </w:r>
      <w:r w:rsidRPr="00481744">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023F9F" w:rsidRDefault="00CA7069" w:rsidP="00CA7069">
      <w:pPr>
        <w:pStyle w:val="a3"/>
        <w:numPr>
          <w:ilvl w:val="0"/>
          <w:numId w:val="8"/>
        </w:numPr>
        <w:ind w:left="426"/>
        <w:jc w:val="both"/>
        <w:rPr>
          <w:rFonts w:ascii="Avenir Next" w:hAnsi="Avenir Next" w:cs="Arial"/>
          <w:sz w:val="22"/>
          <w:szCs w:val="22"/>
          <w:highlight w:val="yellow"/>
          <w:lang w:val="en-GB"/>
        </w:rPr>
      </w:pPr>
      <w:r w:rsidRPr="00023F9F">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a3"/>
        <w:ind w:left="426"/>
        <w:jc w:val="both"/>
        <w:rPr>
          <w:rFonts w:ascii="Avenir Next" w:hAnsi="Avenir Next" w:cs="Arial"/>
          <w:sz w:val="22"/>
          <w:szCs w:val="22"/>
          <w:lang w:val="en-GB"/>
        </w:rPr>
      </w:pPr>
    </w:p>
    <w:p w14:paraId="757169A8" w14:textId="47F05D2D" w:rsidR="00113E2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023F9F" w:rsidRDefault="0034705B" w:rsidP="003C4BCB">
      <w:pPr>
        <w:pStyle w:val="a3"/>
        <w:numPr>
          <w:ilvl w:val="0"/>
          <w:numId w:val="8"/>
        </w:numPr>
        <w:ind w:left="426"/>
        <w:jc w:val="both"/>
        <w:rPr>
          <w:rFonts w:ascii="Avenir Next" w:hAnsi="Avenir Next" w:cs="Arial"/>
          <w:sz w:val="22"/>
          <w:szCs w:val="22"/>
          <w:lang w:val="en-GB"/>
        </w:rPr>
      </w:pPr>
      <w:r w:rsidRPr="00023F9F">
        <w:rPr>
          <w:rFonts w:ascii="Avenir Next" w:hAnsi="Avenir Next" w:cs="Arial"/>
          <w:sz w:val="22"/>
          <w:szCs w:val="22"/>
          <w:lang w:val="en-GB"/>
        </w:rPr>
        <w:t>“</w:t>
      </w:r>
      <w:r w:rsidR="00F814B4" w:rsidRPr="00023F9F">
        <w:rPr>
          <w:rFonts w:ascii="Avenir Next" w:hAnsi="Avenir Next" w:cs="Arial"/>
          <w:sz w:val="22"/>
          <w:szCs w:val="22"/>
          <w:lang w:val="en-GB"/>
        </w:rPr>
        <w:t>Synthetic proceedings</w:t>
      </w:r>
      <w:r w:rsidRPr="00023F9F">
        <w:rPr>
          <w:rFonts w:ascii="Avenir Next" w:hAnsi="Avenir Next" w:cs="Arial"/>
          <w:sz w:val="22"/>
          <w:szCs w:val="22"/>
          <w:lang w:val="en-GB"/>
        </w:rPr>
        <w:t>”</w:t>
      </w:r>
      <w:r w:rsidR="00F814B4" w:rsidRPr="00023F9F">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a3"/>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a3"/>
        <w:ind w:left="426"/>
        <w:jc w:val="both"/>
        <w:rPr>
          <w:rFonts w:ascii="Avenir Next" w:hAnsi="Avenir Next" w:cs="Arial"/>
          <w:sz w:val="22"/>
          <w:szCs w:val="22"/>
          <w:lang w:val="en-GB"/>
        </w:rPr>
      </w:pPr>
    </w:p>
    <w:p w14:paraId="02DEF131" w14:textId="169791F5" w:rsidR="00C15FA2" w:rsidRPr="009179EF" w:rsidRDefault="00C15FA2" w:rsidP="008E3C96">
      <w:pPr>
        <w:pStyle w:val="a3"/>
        <w:numPr>
          <w:ilvl w:val="0"/>
          <w:numId w:val="29"/>
        </w:numPr>
        <w:ind w:left="426"/>
        <w:jc w:val="both"/>
        <w:rPr>
          <w:rFonts w:ascii="Avenir Next" w:hAnsi="Avenir Next" w:cs="Arial"/>
          <w:sz w:val="22"/>
          <w:szCs w:val="22"/>
          <w:highlight w:val="yellow"/>
          <w:lang w:val="en-GB"/>
        </w:rPr>
      </w:pPr>
      <w:r w:rsidRPr="009179EF">
        <w:rPr>
          <w:rFonts w:ascii="Avenir Next" w:hAnsi="Avenir Next"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a3"/>
        <w:ind w:left="426"/>
        <w:jc w:val="both"/>
        <w:rPr>
          <w:rFonts w:ascii="Avenir Next" w:hAnsi="Avenir Next" w:cs="Arial"/>
          <w:sz w:val="22"/>
          <w:szCs w:val="22"/>
          <w:lang w:val="en-GB"/>
        </w:rPr>
      </w:pPr>
    </w:p>
    <w:p w14:paraId="3DD7A10B" w14:textId="18EC073B"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a3"/>
        <w:ind w:left="426"/>
        <w:jc w:val="both"/>
        <w:rPr>
          <w:rFonts w:ascii="Avenir Next" w:hAnsi="Avenir Next" w:cs="Arial"/>
          <w:sz w:val="22"/>
          <w:szCs w:val="22"/>
          <w:lang w:val="en-GB"/>
        </w:rPr>
      </w:pPr>
    </w:p>
    <w:p w14:paraId="1449FE57" w14:textId="77777777"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a3"/>
        <w:ind w:left="426"/>
        <w:jc w:val="both"/>
        <w:rPr>
          <w:rFonts w:ascii="Avenir Next" w:hAnsi="Avenir Next" w:cs="Arial"/>
          <w:sz w:val="22"/>
          <w:szCs w:val="22"/>
          <w:lang w:val="en-GB"/>
        </w:rPr>
      </w:pPr>
    </w:p>
    <w:p w14:paraId="145983AE"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The judgment, subject to recognition, was passed with incorrect application of the applicable substantive law.</w:t>
      </w:r>
    </w:p>
    <w:p w14:paraId="491D603C" w14:textId="77777777" w:rsidR="00EC242E" w:rsidRPr="008E3C96" w:rsidRDefault="00EC242E" w:rsidP="008E3C96">
      <w:pPr>
        <w:pStyle w:val="a3"/>
        <w:ind w:left="426"/>
        <w:jc w:val="both"/>
        <w:rPr>
          <w:rFonts w:ascii="Avenir Next" w:hAnsi="Avenir Next" w:cs="Arial"/>
          <w:sz w:val="22"/>
          <w:szCs w:val="22"/>
          <w:lang w:val="en-GB"/>
        </w:rPr>
      </w:pPr>
    </w:p>
    <w:p w14:paraId="0701B637" w14:textId="77777777" w:rsidR="00EC242E" w:rsidRPr="00023F9F" w:rsidRDefault="00EC242E" w:rsidP="008E3C96">
      <w:pPr>
        <w:pStyle w:val="a3"/>
        <w:numPr>
          <w:ilvl w:val="0"/>
          <w:numId w:val="30"/>
        </w:numPr>
        <w:ind w:left="426"/>
        <w:jc w:val="both"/>
        <w:rPr>
          <w:rFonts w:ascii="Avenir Next" w:hAnsi="Avenir Next" w:cs="Arial"/>
          <w:sz w:val="22"/>
          <w:szCs w:val="22"/>
          <w:highlight w:val="yellow"/>
          <w:lang w:val="en-GB"/>
        </w:rPr>
      </w:pPr>
      <w:r w:rsidRPr="00023F9F">
        <w:rPr>
          <w:rFonts w:ascii="Avenir Next" w:hAnsi="Avenir Next" w:cs="Arial"/>
          <w:sz w:val="22"/>
          <w:szCs w:val="22"/>
          <w:highlight w:val="yellow"/>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a3"/>
        <w:ind w:left="426"/>
        <w:jc w:val="both"/>
        <w:rPr>
          <w:rFonts w:ascii="Avenir Next" w:hAnsi="Avenir Next" w:cs="Arial"/>
          <w:sz w:val="22"/>
          <w:szCs w:val="22"/>
          <w:lang w:val="en-GB"/>
        </w:rPr>
      </w:pPr>
    </w:p>
    <w:p w14:paraId="1D2436EF" w14:textId="2009EE5E"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310D57" w:rsidRDefault="00EC242E" w:rsidP="00EC242E">
      <w:pPr>
        <w:pStyle w:val="a3"/>
        <w:numPr>
          <w:ilvl w:val="0"/>
          <w:numId w:val="9"/>
        </w:numPr>
        <w:ind w:left="426"/>
        <w:jc w:val="both"/>
        <w:rPr>
          <w:rFonts w:ascii="Avenir Next" w:hAnsi="Avenir Next" w:cs="Arial"/>
          <w:sz w:val="22"/>
          <w:szCs w:val="22"/>
          <w:highlight w:val="yellow"/>
          <w:lang w:val="en-GB"/>
        </w:rPr>
      </w:pPr>
      <w:r w:rsidRPr="00310D57">
        <w:rPr>
          <w:rFonts w:ascii="Avenir Next" w:hAnsi="Avenir Next" w:cs="Arial"/>
          <w:sz w:val="22"/>
          <w:szCs w:val="22"/>
          <w:highlight w:val="yellow"/>
          <w:lang w:val="en-GB"/>
        </w:rPr>
        <w:t xml:space="preserve">The contested transactions cannot be avoided if </w:t>
      </w:r>
      <w:proofErr w:type="spellStart"/>
      <w:r w:rsidRPr="00310D57">
        <w:rPr>
          <w:rFonts w:ascii="Avenir Next" w:hAnsi="Avenir Next" w:cs="Arial"/>
          <w:sz w:val="22"/>
          <w:szCs w:val="22"/>
          <w:highlight w:val="yellow"/>
          <w:lang w:val="en-GB"/>
        </w:rPr>
        <w:t>Canetier</w:t>
      </w:r>
      <w:proofErr w:type="spellEnd"/>
      <w:r w:rsidRPr="00310D57">
        <w:rPr>
          <w:rFonts w:ascii="Avenir Next" w:hAnsi="Avenir Next" w:cs="Arial"/>
          <w:sz w:val="22"/>
          <w:szCs w:val="22"/>
          <w:highlight w:val="yellow"/>
          <w:lang w:val="en-GB"/>
        </w:rPr>
        <w:t xml:space="preserve"> SARL can prove that the </w:t>
      </w:r>
      <w:r w:rsidRPr="00310D57">
        <w:rPr>
          <w:rFonts w:ascii="Avenir Next" w:hAnsi="Avenir Next" w:cs="Arial"/>
          <w:i/>
          <w:sz w:val="22"/>
          <w:szCs w:val="22"/>
          <w:highlight w:val="yellow"/>
          <w:lang w:val="en-GB"/>
        </w:rPr>
        <w:t xml:space="preserve">lex </w:t>
      </w:r>
      <w:proofErr w:type="spellStart"/>
      <w:r w:rsidRPr="00310D57">
        <w:rPr>
          <w:rFonts w:ascii="Avenir Next" w:hAnsi="Avenir Next" w:cs="Arial"/>
          <w:i/>
          <w:sz w:val="22"/>
          <w:szCs w:val="22"/>
          <w:highlight w:val="yellow"/>
          <w:lang w:val="en-GB"/>
        </w:rPr>
        <w:t>causae</w:t>
      </w:r>
      <w:proofErr w:type="spellEnd"/>
      <w:r w:rsidRPr="00310D57">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a3"/>
        <w:ind w:left="426"/>
        <w:jc w:val="both"/>
        <w:rPr>
          <w:rFonts w:ascii="Avenir Next" w:hAnsi="Avenir Next" w:cs="Arial"/>
          <w:sz w:val="22"/>
          <w:szCs w:val="22"/>
          <w:lang w:val="en-GB"/>
        </w:rPr>
      </w:pPr>
    </w:p>
    <w:p w14:paraId="22DD9FEF" w14:textId="18795AB2" w:rsidR="00054E15" w:rsidRPr="008E3C96" w:rsidRDefault="00054E15" w:rsidP="00054E15">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a3"/>
        <w:ind w:left="426"/>
        <w:jc w:val="both"/>
        <w:rPr>
          <w:rFonts w:ascii="Avenir Next" w:hAnsi="Avenir Next" w:cs="Arial"/>
          <w:sz w:val="22"/>
          <w:szCs w:val="22"/>
          <w:lang w:val="en-GB"/>
        </w:rPr>
      </w:pPr>
    </w:p>
    <w:p w14:paraId="2DD3E669"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a3"/>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239093E8" w:rsidR="00636C15" w:rsidRDefault="005B5994"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Answer</w:t>
      </w:r>
    </w:p>
    <w:p w14:paraId="7C86E20D" w14:textId="36FA1476" w:rsidR="005B5994" w:rsidRDefault="007D4DDF" w:rsidP="007D4DDF">
      <w:pPr>
        <w:jc w:val="both"/>
        <w:rPr>
          <w:rFonts w:ascii="Avenir Next" w:eastAsiaTheme="minorEastAsia" w:hAnsi="Avenir Next" w:cs="Arial"/>
          <w:sz w:val="22"/>
          <w:szCs w:val="22"/>
          <w:lang w:eastAsia="zh-TW"/>
        </w:rPr>
      </w:pPr>
      <w:r w:rsidRPr="007D4DDF">
        <w:rPr>
          <w:rFonts w:ascii="Avenir Next" w:eastAsiaTheme="minorEastAsia" w:hAnsi="Avenir Next" w:cs="Arial" w:hint="eastAsia"/>
          <w:sz w:val="22"/>
          <w:szCs w:val="22"/>
          <w:lang w:eastAsia="zh-TW"/>
        </w:rPr>
        <w:t>S</w:t>
      </w:r>
      <w:r w:rsidRPr="007D4DDF">
        <w:rPr>
          <w:rFonts w:ascii="Avenir Next" w:eastAsiaTheme="minorEastAsia" w:hAnsi="Avenir Next" w:cs="Arial"/>
          <w:sz w:val="22"/>
          <w:szCs w:val="22"/>
          <w:lang w:eastAsia="zh-TW"/>
        </w:rPr>
        <w:t xml:space="preserve">tatement 1 is about the presumption of the place of </w:t>
      </w:r>
      <w:proofErr w:type="spellStart"/>
      <w:r w:rsidRPr="007D4DDF">
        <w:rPr>
          <w:rFonts w:ascii="Avenir Next" w:eastAsiaTheme="minorEastAsia" w:hAnsi="Avenir Next" w:cs="Arial"/>
          <w:sz w:val="22"/>
          <w:szCs w:val="22"/>
          <w:lang w:eastAsia="zh-TW"/>
        </w:rPr>
        <w:t>centre</w:t>
      </w:r>
      <w:proofErr w:type="spellEnd"/>
      <w:r w:rsidRPr="007D4DDF">
        <w:rPr>
          <w:rFonts w:ascii="Avenir Next" w:eastAsiaTheme="minorEastAsia" w:hAnsi="Avenir Next" w:cs="Arial"/>
          <w:sz w:val="22"/>
          <w:szCs w:val="22"/>
          <w:lang w:eastAsia="zh-TW"/>
        </w:rPr>
        <w:t xml:space="preserve"> of main interests as addressed under Article 3(1) of EIR Recast.</w:t>
      </w:r>
    </w:p>
    <w:p w14:paraId="32EFC55D" w14:textId="33735A1A" w:rsidR="007D4DDF" w:rsidRDefault="007D4DDF" w:rsidP="007D4DDF">
      <w:pPr>
        <w:jc w:val="both"/>
        <w:rPr>
          <w:rFonts w:ascii="Avenir Next" w:eastAsiaTheme="minorEastAsia" w:hAnsi="Avenir Next" w:cs="Arial"/>
          <w:sz w:val="22"/>
          <w:szCs w:val="22"/>
          <w:lang w:eastAsia="zh-TW"/>
        </w:rPr>
      </w:pPr>
    </w:p>
    <w:p w14:paraId="6B545EB3" w14:textId="756AA915" w:rsidR="007D4DDF" w:rsidRPr="007D4DDF" w:rsidRDefault="007D4DDF" w:rsidP="007D4DDF">
      <w:pPr>
        <w:jc w:val="both"/>
        <w:rPr>
          <w:rFonts w:ascii="Avenir Next" w:eastAsiaTheme="minorEastAsia" w:hAnsi="Avenir Next" w:cs="Arial" w:hint="eastAsia"/>
          <w:sz w:val="22"/>
          <w:szCs w:val="22"/>
          <w:lang w:eastAsia="zh-TW"/>
        </w:rPr>
      </w:pPr>
      <w:r>
        <w:rPr>
          <w:rFonts w:ascii="Avenir Next" w:eastAsiaTheme="minorEastAsia" w:hAnsi="Avenir Next" w:cs="Arial" w:hint="eastAsia"/>
          <w:sz w:val="22"/>
          <w:szCs w:val="22"/>
          <w:lang w:eastAsia="zh-TW"/>
        </w:rPr>
        <w:t>S</w:t>
      </w:r>
      <w:r>
        <w:rPr>
          <w:rFonts w:ascii="Avenir Next" w:eastAsiaTheme="minorEastAsia" w:hAnsi="Avenir Next" w:cs="Arial"/>
          <w:sz w:val="22"/>
          <w:szCs w:val="22"/>
          <w:lang w:eastAsia="zh-TW"/>
        </w:rPr>
        <w:t>tatement 2 is about the public collective proceedings as addressed under Article 1 of EIR Recast.</w:t>
      </w:r>
    </w:p>
    <w:p w14:paraId="1F06E089" w14:textId="77777777" w:rsidR="005B5994" w:rsidRPr="008E3C96" w:rsidRDefault="005B5994" w:rsidP="00636C15">
      <w:pPr>
        <w:ind w:left="720" w:hanging="720"/>
        <w:jc w:val="both"/>
        <w:rPr>
          <w:rFonts w:ascii="Avenir Next" w:hAnsi="Avenir Next" w:cs="Arial"/>
          <w:sz w:val="22"/>
          <w:szCs w:val="22"/>
        </w:rPr>
      </w:pP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A3C8FC1" w14:textId="77777777" w:rsidR="005B5994" w:rsidRDefault="005B5994" w:rsidP="005B5994">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Answer</w:t>
      </w:r>
    </w:p>
    <w:p w14:paraId="20638BFF" w14:textId="5C208227" w:rsidR="005B5994" w:rsidRDefault="00932538" w:rsidP="00DC320A">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 xml:space="preserve">Under the pure universalism, the insolvency proceedings would be decided by one court, applying one set of procedural and substantive rules.  </w:t>
      </w:r>
      <w:r w:rsidR="00023C81" w:rsidRPr="007741A9">
        <w:rPr>
          <w:rFonts w:ascii="Avenir Next" w:eastAsiaTheme="minorEastAsia" w:hAnsi="Avenir Next" w:cs="Arial"/>
          <w:sz w:val="22"/>
          <w:szCs w:val="22"/>
          <w:lang w:eastAsia="zh-TW"/>
        </w:rPr>
        <w:t>The following provisions of EIR Recast show the concept of modified universalism</w:t>
      </w:r>
      <w:r>
        <w:rPr>
          <w:rFonts w:ascii="Avenir Next" w:eastAsiaTheme="minorEastAsia" w:hAnsi="Avenir Next" w:cs="Arial"/>
          <w:sz w:val="22"/>
          <w:szCs w:val="22"/>
          <w:lang w:eastAsia="zh-TW"/>
        </w:rPr>
        <w:t xml:space="preserve">, </w:t>
      </w:r>
      <w:r w:rsidR="00DC320A">
        <w:rPr>
          <w:rFonts w:ascii="Avenir Next" w:eastAsiaTheme="minorEastAsia" w:hAnsi="Avenir Next" w:cs="Arial"/>
          <w:sz w:val="22"/>
          <w:szCs w:val="22"/>
          <w:lang w:eastAsia="zh-TW"/>
        </w:rPr>
        <w:t>creating a harmonized framework towards laws of Member States</w:t>
      </w:r>
      <w:r w:rsidR="00023C81" w:rsidRPr="007741A9">
        <w:rPr>
          <w:rFonts w:ascii="Avenir Next" w:eastAsiaTheme="minorEastAsia" w:hAnsi="Avenir Next" w:cs="Arial"/>
          <w:sz w:val="22"/>
          <w:szCs w:val="22"/>
          <w:lang w:eastAsia="zh-TW"/>
        </w:rPr>
        <w:t>:</w:t>
      </w:r>
    </w:p>
    <w:p w14:paraId="662DF213" w14:textId="77777777" w:rsidR="00DC320A" w:rsidRPr="00DC320A" w:rsidRDefault="00DC320A" w:rsidP="00DC320A">
      <w:pPr>
        <w:jc w:val="both"/>
        <w:rPr>
          <w:rFonts w:ascii="Avenir Next" w:eastAsiaTheme="minorEastAsia" w:hAnsi="Avenir Next" w:cs="Arial" w:hint="eastAsia"/>
          <w:sz w:val="22"/>
          <w:szCs w:val="22"/>
          <w:lang w:eastAsia="zh-TW"/>
        </w:rPr>
      </w:pPr>
    </w:p>
    <w:p w14:paraId="25FE87E9" w14:textId="191B6C3E" w:rsidR="005B5994" w:rsidRDefault="00023C81" w:rsidP="00023C81">
      <w:pPr>
        <w:pStyle w:val="a3"/>
        <w:numPr>
          <w:ilvl w:val="0"/>
          <w:numId w:val="31"/>
        </w:num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A</w:t>
      </w:r>
      <w:r>
        <w:rPr>
          <w:rFonts w:ascii="Avenir Next" w:eastAsiaTheme="minorEastAsia" w:hAnsi="Avenir Next" w:cs="Arial"/>
          <w:sz w:val="22"/>
          <w:szCs w:val="22"/>
          <w:lang w:eastAsia="zh-TW"/>
        </w:rPr>
        <w:t xml:space="preserve">rticle 3 of EIR Recast states that the courts of the Member State within the territory of which the </w:t>
      </w:r>
      <w:proofErr w:type="spellStart"/>
      <w:r>
        <w:rPr>
          <w:rFonts w:ascii="Avenir Next" w:eastAsiaTheme="minorEastAsia" w:hAnsi="Avenir Next" w:cs="Arial"/>
          <w:sz w:val="22"/>
          <w:szCs w:val="22"/>
          <w:lang w:eastAsia="zh-TW"/>
        </w:rPr>
        <w:t>centre</w:t>
      </w:r>
      <w:proofErr w:type="spellEnd"/>
      <w:r>
        <w:rPr>
          <w:rFonts w:ascii="Avenir Next" w:eastAsiaTheme="minorEastAsia" w:hAnsi="Avenir Next" w:cs="Arial"/>
          <w:sz w:val="22"/>
          <w:szCs w:val="22"/>
          <w:lang w:eastAsia="zh-TW"/>
        </w:rPr>
        <w:t xml:space="preserve"> of debtor’s main interests is situated</w:t>
      </w:r>
      <w:r w:rsidR="006D2450">
        <w:rPr>
          <w:rFonts w:ascii="Avenir Next" w:eastAsiaTheme="minorEastAsia" w:hAnsi="Avenir Next" w:cs="Arial"/>
          <w:sz w:val="22"/>
          <w:szCs w:val="22"/>
          <w:lang w:eastAsia="zh-TW"/>
        </w:rPr>
        <w:t xml:space="preserve"> (</w:t>
      </w:r>
      <w:r w:rsidR="006D2450" w:rsidRPr="006D2450">
        <w:rPr>
          <w:rFonts w:ascii="Avenir Next" w:eastAsiaTheme="minorEastAsia" w:hAnsi="Avenir Next" w:cs="Arial"/>
          <w:i/>
          <w:iCs/>
          <w:sz w:val="22"/>
          <w:szCs w:val="22"/>
          <w:lang w:eastAsia="zh-TW"/>
        </w:rPr>
        <w:t>lex concursus</w:t>
      </w:r>
      <w:r w:rsidR="006D2450">
        <w:rPr>
          <w:rFonts w:ascii="Avenir Next" w:eastAsiaTheme="minorEastAsia" w:hAnsi="Avenir Next" w:cs="Arial"/>
          <w:sz w:val="22"/>
          <w:szCs w:val="22"/>
          <w:lang w:eastAsia="zh-TW"/>
        </w:rPr>
        <w:t>)</w:t>
      </w:r>
      <w:r>
        <w:rPr>
          <w:rFonts w:ascii="Avenir Next" w:eastAsiaTheme="minorEastAsia" w:hAnsi="Avenir Next" w:cs="Arial"/>
          <w:sz w:val="22"/>
          <w:szCs w:val="22"/>
          <w:lang w:eastAsia="zh-TW"/>
        </w:rPr>
        <w:t xml:space="preserve">, shall have the jurisdiction to open the main insolvency proceeding.  At the same time, opening of secondary proceedings </w:t>
      </w:r>
      <w:r w:rsidR="007741A9">
        <w:rPr>
          <w:rFonts w:ascii="Avenir Next" w:eastAsiaTheme="minorEastAsia" w:hAnsi="Avenir Next" w:cs="Arial"/>
          <w:sz w:val="22"/>
          <w:szCs w:val="22"/>
          <w:lang w:eastAsia="zh-TW"/>
        </w:rPr>
        <w:t>is allowed where the debtor has an establishment</w:t>
      </w:r>
      <w:r w:rsidR="006D2450">
        <w:rPr>
          <w:rFonts w:ascii="Avenir Next" w:eastAsiaTheme="minorEastAsia" w:hAnsi="Avenir Next" w:cs="Arial"/>
          <w:sz w:val="22"/>
          <w:szCs w:val="22"/>
          <w:lang w:eastAsia="zh-TW"/>
        </w:rPr>
        <w:t xml:space="preserve"> (</w:t>
      </w:r>
      <w:r w:rsidR="006D2450" w:rsidRPr="006D2450">
        <w:rPr>
          <w:rFonts w:ascii="Avenir Next" w:eastAsiaTheme="minorEastAsia" w:hAnsi="Avenir Next" w:cs="Arial" w:hint="eastAsia"/>
          <w:i/>
          <w:iCs/>
          <w:sz w:val="22"/>
          <w:szCs w:val="22"/>
          <w:lang w:eastAsia="zh-TW"/>
        </w:rPr>
        <w:t>l</w:t>
      </w:r>
      <w:r w:rsidR="006D2450" w:rsidRPr="006D2450">
        <w:rPr>
          <w:rFonts w:ascii="Avenir Next" w:eastAsiaTheme="minorEastAsia" w:hAnsi="Avenir Next" w:cs="Arial"/>
          <w:i/>
          <w:iCs/>
          <w:sz w:val="22"/>
          <w:szCs w:val="22"/>
          <w:lang w:eastAsia="zh-TW"/>
        </w:rPr>
        <w:t xml:space="preserve">ex concursus </w:t>
      </w:r>
      <w:proofErr w:type="spellStart"/>
      <w:r w:rsidR="006D2450" w:rsidRPr="006D2450">
        <w:rPr>
          <w:rFonts w:ascii="Avenir Next" w:eastAsiaTheme="minorEastAsia" w:hAnsi="Avenir Next" w:cs="Arial"/>
          <w:i/>
          <w:iCs/>
          <w:sz w:val="22"/>
          <w:szCs w:val="22"/>
          <w:lang w:eastAsia="zh-TW"/>
        </w:rPr>
        <w:t>secundarii</w:t>
      </w:r>
      <w:proofErr w:type="spellEnd"/>
      <w:r w:rsidR="006D2450">
        <w:rPr>
          <w:rFonts w:ascii="Avenir Next" w:eastAsiaTheme="minorEastAsia" w:hAnsi="Avenir Next" w:cs="Arial"/>
          <w:sz w:val="22"/>
          <w:szCs w:val="22"/>
          <w:lang w:eastAsia="zh-TW"/>
        </w:rPr>
        <w:t>)</w:t>
      </w:r>
      <w:r w:rsidR="007741A9">
        <w:rPr>
          <w:rFonts w:ascii="Avenir Next" w:eastAsiaTheme="minorEastAsia" w:hAnsi="Avenir Next" w:cs="Arial"/>
          <w:sz w:val="22"/>
          <w:szCs w:val="22"/>
          <w:lang w:eastAsia="zh-TW"/>
        </w:rPr>
        <w:t>, which run in parallel to main insolvency proceedings and produce effects only on assets situated within a state of secondary proceedings.  The complex system with one main proceeding dominating the course of the debtor’s insolvency and a number of secondary proceedings demonstrates the modified universalism.</w:t>
      </w:r>
    </w:p>
    <w:p w14:paraId="4500B3D7" w14:textId="7F741BF4" w:rsidR="007741A9" w:rsidRDefault="004E1740" w:rsidP="00023C81">
      <w:pPr>
        <w:pStyle w:val="a3"/>
        <w:numPr>
          <w:ilvl w:val="0"/>
          <w:numId w:val="31"/>
        </w:num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A</w:t>
      </w:r>
      <w:r>
        <w:rPr>
          <w:rFonts w:ascii="Avenir Next" w:eastAsiaTheme="minorEastAsia" w:hAnsi="Avenir Next" w:cs="Arial"/>
          <w:sz w:val="22"/>
          <w:szCs w:val="22"/>
          <w:lang w:eastAsia="zh-TW"/>
        </w:rPr>
        <w:t>rticle 8 of EIR Recast states that the opening of insolvency proceedings shall not affect the rights in rem of creditors or third parties in respect of tangible or intangible, movable or immovable assets, both specific assets and collections of indefinite assets as a whole, belonging to the debtor and which are situated within the territory of another Member State at the time of opening of proceedings, insulating from the effect of the opening of main proceeding.</w:t>
      </w:r>
    </w:p>
    <w:p w14:paraId="2461544E" w14:textId="1A2FD930" w:rsidR="004E1740" w:rsidRPr="00023C81" w:rsidRDefault="00932538" w:rsidP="00023C81">
      <w:pPr>
        <w:pStyle w:val="a3"/>
        <w:numPr>
          <w:ilvl w:val="0"/>
          <w:numId w:val="31"/>
        </w:numPr>
        <w:jc w:val="both"/>
        <w:rPr>
          <w:rFonts w:ascii="Avenir Next" w:eastAsiaTheme="minorEastAsia" w:hAnsi="Avenir Next" w:cs="Arial" w:hint="eastAsia"/>
          <w:sz w:val="22"/>
          <w:szCs w:val="22"/>
          <w:lang w:eastAsia="zh-TW"/>
        </w:rPr>
      </w:pPr>
      <w:r>
        <w:rPr>
          <w:rFonts w:ascii="Avenir Next" w:eastAsiaTheme="minorEastAsia" w:hAnsi="Avenir Next" w:cs="Arial" w:hint="eastAsia"/>
          <w:sz w:val="22"/>
          <w:szCs w:val="22"/>
          <w:lang w:eastAsia="zh-TW"/>
        </w:rPr>
        <w:t>A</w:t>
      </w:r>
      <w:r>
        <w:rPr>
          <w:rFonts w:ascii="Avenir Next" w:eastAsiaTheme="minorEastAsia" w:hAnsi="Avenir Next" w:cs="Arial"/>
          <w:sz w:val="22"/>
          <w:szCs w:val="22"/>
          <w:lang w:eastAsia="zh-TW"/>
        </w:rPr>
        <w:t xml:space="preserve">rticle 16 of EIR Recast introduces an exemption to the applicable </w:t>
      </w:r>
      <w:r w:rsidRPr="00932538">
        <w:rPr>
          <w:rFonts w:ascii="Avenir Next" w:eastAsiaTheme="minorEastAsia" w:hAnsi="Avenir Next" w:cs="Arial"/>
          <w:i/>
          <w:iCs/>
          <w:sz w:val="22"/>
          <w:szCs w:val="22"/>
          <w:lang w:eastAsia="zh-TW"/>
        </w:rPr>
        <w:t>lex concursus</w:t>
      </w:r>
      <w:r>
        <w:rPr>
          <w:rFonts w:ascii="Avenir Next" w:eastAsiaTheme="minorEastAsia" w:hAnsi="Avenir Next" w:cs="Arial"/>
          <w:sz w:val="22"/>
          <w:szCs w:val="22"/>
          <w:lang w:eastAsia="zh-TW"/>
        </w:rPr>
        <w:t xml:space="preserve"> under Article 7.  The law of the state of opening of main proceeding relating to the voidness, voidability or unenforceability of legal act detrimental to the creditors shall not apply if the creditor can prove that the act is subject to the law of a Member S</w:t>
      </w:r>
      <w:r>
        <w:rPr>
          <w:rFonts w:ascii="Avenir Next" w:eastAsiaTheme="minorEastAsia" w:hAnsi="Avenir Next" w:cs="Arial" w:hint="eastAsia"/>
          <w:sz w:val="22"/>
          <w:szCs w:val="22"/>
          <w:lang w:eastAsia="zh-TW"/>
        </w:rPr>
        <w:t>t</w:t>
      </w:r>
      <w:r>
        <w:rPr>
          <w:rFonts w:ascii="Avenir Next" w:eastAsiaTheme="minorEastAsia" w:hAnsi="Avenir Next" w:cs="Arial"/>
          <w:sz w:val="22"/>
          <w:szCs w:val="22"/>
          <w:lang w:eastAsia="zh-TW"/>
        </w:rPr>
        <w:t>ate and the law of that Member State does not allow any means of challenging that act in the relevant case.</w:t>
      </w:r>
    </w:p>
    <w:p w14:paraId="6948B395" w14:textId="0BACAFED" w:rsidR="00E90991" w:rsidRDefault="00E90991" w:rsidP="002A37BB">
      <w:pPr>
        <w:ind w:left="720" w:hanging="720"/>
        <w:jc w:val="both"/>
        <w:rPr>
          <w:rFonts w:ascii="Avenir Next" w:hAnsi="Avenir Next" w:cs="Arial"/>
          <w:sz w:val="22"/>
          <w:szCs w:val="22"/>
          <w:lang w:val="en-GB"/>
        </w:rPr>
      </w:pPr>
    </w:p>
    <w:p w14:paraId="7AE5D596" w14:textId="77777777" w:rsidR="00DC320A" w:rsidRPr="008E3C96" w:rsidRDefault="00DC320A"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30B0BA0E" w14:textId="77777777" w:rsidR="005B5994" w:rsidRDefault="005B5994" w:rsidP="005B5994">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Answer</w:t>
      </w:r>
    </w:p>
    <w:p w14:paraId="06DE7EB6" w14:textId="1DD118EF" w:rsidR="005B5994" w:rsidRDefault="00DC320A" w:rsidP="00DC320A">
      <w:pPr>
        <w:jc w:val="both"/>
        <w:rPr>
          <w:rFonts w:ascii="Avenir Next" w:eastAsiaTheme="minorEastAsia" w:hAnsi="Avenir Next" w:cs="Arial"/>
          <w:sz w:val="22"/>
          <w:szCs w:val="22"/>
          <w:lang w:eastAsia="zh-TW"/>
        </w:rPr>
      </w:pPr>
      <w:r w:rsidRPr="00DC320A">
        <w:rPr>
          <w:rFonts w:ascii="Avenir Next" w:eastAsiaTheme="minorEastAsia" w:hAnsi="Avenir Next" w:cs="Arial" w:hint="eastAsia"/>
          <w:sz w:val="22"/>
          <w:szCs w:val="22"/>
          <w:lang w:eastAsia="zh-TW"/>
        </w:rPr>
        <w:t>U</w:t>
      </w:r>
      <w:r w:rsidRPr="00DC320A">
        <w:rPr>
          <w:rFonts w:ascii="Avenir Next" w:eastAsiaTheme="minorEastAsia" w:hAnsi="Avenir Next" w:cs="Arial"/>
          <w:sz w:val="22"/>
          <w:szCs w:val="22"/>
          <w:lang w:eastAsia="zh-TW"/>
        </w:rPr>
        <w:t>nder Article 41, the insolvency practitioner in main insolvency proceeding and that in secondary proceedings concerning the same debtor shall co-operate with each other.</w:t>
      </w:r>
    </w:p>
    <w:p w14:paraId="79B63C4C" w14:textId="38232863" w:rsidR="00DC320A" w:rsidRDefault="00DC320A" w:rsidP="00DC320A">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U</w:t>
      </w:r>
      <w:r>
        <w:rPr>
          <w:rFonts w:ascii="Avenir Next" w:eastAsiaTheme="minorEastAsia" w:hAnsi="Avenir Next" w:cs="Arial"/>
          <w:sz w:val="22"/>
          <w:szCs w:val="22"/>
          <w:lang w:eastAsia="zh-TW"/>
        </w:rPr>
        <w:t xml:space="preserve">nder Article 42, the court before </w:t>
      </w:r>
      <w:r w:rsidR="0055404A">
        <w:rPr>
          <w:rFonts w:ascii="Avenir Next" w:eastAsiaTheme="minorEastAsia" w:hAnsi="Avenir Next" w:cs="Arial"/>
          <w:sz w:val="22"/>
          <w:szCs w:val="22"/>
          <w:lang w:eastAsia="zh-TW"/>
        </w:rPr>
        <w:t>a request to open insolvency proceedings is pending or which has opened such proceedings shall co-operate with any other court faced with the same.</w:t>
      </w:r>
    </w:p>
    <w:p w14:paraId="37D127EB" w14:textId="5D597AEA" w:rsidR="0055404A" w:rsidRPr="00DC320A" w:rsidRDefault="0055404A" w:rsidP="00DC320A">
      <w:pPr>
        <w:jc w:val="both"/>
        <w:rPr>
          <w:rFonts w:ascii="Avenir Next" w:eastAsiaTheme="minorEastAsia" w:hAnsi="Avenir Next" w:cs="Arial" w:hint="eastAsia"/>
          <w:sz w:val="22"/>
          <w:szCs w:val="22"/>
          <w:lang w:eastAsia="zh-TW"/>
        </w:rPr>
      </w:pPr>
      <w:r>
        <w:rPr>
          <w:rFonts w:ascii="Avenir Next" w:eastAsiaTheme="minorEastAsia" w:hAnsi="Avenir Next" w:cs="Arial" w:hint="eastAsia"/>
          <w:sz w:val="22"/>
          <w:szCs w:val="22"/>
          <w:lang w:eastAsia="zh-TW"/>
        </w:rPr>
        <w:t>U</w:t>
      </w:r>
      <w:r>
        <w:rPr>
          <w:rFonts w:ascii="Avenir Next" w:eastAsiaTheme="minorEastAsia" w:hAnsi="Avenir Next" w:cs="Arial"/>
          <w:sz w:val="22"/>
          <w:szCs w:val="22"/>
          <w:lang w:eastAsia="zh-TW"/>
        </w:rPr>
        <w:t>nder Article 43, an insolvency practitioner in main insolvency proceedings must co-operate and communicate with any court before which a request to open secondary proceedings is pending or which has opened such proceedings; an insolvency practitioner in secondary proceedings must co-operate and communicate with the court before which a request to open main or other secondary insolvency proceedings is pending or which has opened such proceedings.</w:t>
      </w:r>
    </w:p>
    <w:p w14:paraId="20AFB481" w14:textId="77777777" w:rsidR="005B5994" w:rsidRPr="00DC320A" w:rsidRDefault="005B5994" w:rsidP="005B5994">
      <w:pPr>
        <w:ind w:left="720" w:hanging="720"/>
        <w:jc w:val="both"/>
        <w:rPr>
          <w:rFonts w:ascii="Avenir Next" w:hAnsi="Avenir Next" w:cs="Arial"/>
          <w:sz w:val="22"/>
          <w:szCs w:val="22"/>
        </w:rPr>
      </w:pP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0FAC8F09" w14:textId="6CA516EF" w:rsidR="005B5994" w:rsidRDefault="005B5994" w:rsidP="005B5994">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Answer</w:t>
      </w:r>
    </w:p>
    <w:p w14:paraId="146DBA0D" w14:textId="6EE2FA49" w:rsidR="00EF1456" w:rsidRPr="00EF1456" w:rsidRDefault="00EF1456" w:rsidP="00EF1456">
      <w:pPr>
        <w:pStyle w:val="a3"/>
        <w:numPr>
          <w:ilvl w:val="0"/>
          <w:numId w:val="32"/>
        </w:numPr>
        <w:jc w:val="both"/>
        <w:rPr>
          <w:rFonts w:ascii="Avenir Next" w:eastAsiaTheme="minorEastAsia" w:hAnsi="Avenir Next" w:cs="Arial" w:hint="eastAsia"/>
          <w:sz w:val="22"/>
          <w:szCs w:val="22"/>
          <w:u w:val="single"/>
          <w:lang w:eastAsia="zh-TW"/>
        </w:rPr>
      </w:pPr>
      <w:r w:rsidRPr="00EF1456">
        <w:rPr>
          <w:rFonts w:ascii="Avenir Next" w:eastAsiaTheme="minorEastAsia" w:hAnsi="Avenir Next" w:cs="Arial"/>
          <w:sz w:val="22"/>
          <w:szCs w:val="22"/>
          <w:u w:val="single"/>
          <w:lang w:eastAsia="zh-TW"/>
        </w:rPr>
        <w:t xml:space="preserve">Right to give an undertaking </w:t>
      </w:r>
      <w:proofErr w:type="gramStart"/>
      <w:r w:rsidRPr="00EF1456">
        <w:rPr>
          <w:rFonts w:ascii="Avenir Next" w:eastAsiaTheme="minorEastAsia" w:hAnsi="Avenir Next" w:cs="Arial"/>
          <w:sz w:val="22"/>
          <w:szCs w:val="22"/>
          <w:u w:val="single"/>
          <w:lang w:eastAsia="zh-TW"/>
        </w:rPr>
        <w:t>“synthetic” secondary proceedings</w:t>
      </w:r>
      <w:proofErr w:type="gramEnd"/>
    </w:p>
    <w:p w14:paraId="69F7FB66" w14:textId="240B055A" w:rsidR="005B5994" w:rsidRDefault="0055404A" w:rsidP="0055404A">
      <w:pPr>
        <w:jc w:val="both"/>
        <w:rPr>
          <w:rFonts w:ascii="Avenir Next" w:eastAsiaTheme="minorEastAsia" w:hAnsi="Avenir Next" w:cs="Arial"/>
          <w:sz w:val="22"/>
          <w:szCs w:val="22"/>
          <w:lang w:eastAsia="zh-TW"/>
        </w:rPr>
      </w:pPr>
      <w:r w:rsidRPr="0055404A">
        <w:rPr>
          <w:rFonts w:ascii="Avenir Next" w:eastAsiaTheme="minorEastAsia" w:hAnsi="Avenir Next" w:cs="Arial"/>
          <w:sz w:val="22"/>
          <w:szCs w:val="22"/>
          <w:lang w:eastAsia="zh-TW"/>
        </w:rPr>
        <w:t>According to Article 38, where the insolvency practitioner in the main insolvency proceedings has given an undertaking in accordance with Article 36, the court asked to open secondary proceedings should not open them if it is satisfied that the undertaking adequately protects the general interest of local creditors.</w:t>
      </w:r>
      <w:r w:rsidR="00EF1456">
        <w:rPr>
          <w:rFonts w:ascii="Avenir Next" w:eastAsiaTheme="minorEastAsia" w:hAnsi="Avenir Next" w:cs="Arial"/>
          <w:sz w:val="22"/>
          <w:szCs w:val="22"/>
          <w:lang w:eastAsia="zh-TW"/>
        </w:rPr>
        <w:t xml:space="preserve">  Such undertaking covers the assets located in the Member State where secondary proceedings may be requested and guarantees treatment as if secondary proceedings have been opened, such as complying with the distribution and priority rights under the national law that creditors would enjoy if secondary proceedings had been opened in that Member State.</w:t>
      </w:r>
    </w:p>
    <w:p w14:paraId="55D90331" w14:textId="015C632B" w:rsidR="00EF1456" w:rsidRDefault="00EF1456" w:rsidP="0055404A">
      <w:pPr>
        <w:jc w:val="both"/>
        <w:rPr>
          <w:rFonts w:ascii="Avenir Next" w:eastAsiaTheme="minorEastAsia" w:hAnsi="Avenir Next" w:cs="Arial"/>
          <w:sz w:val="22"/>
          <w:szCs w:val="22"/>
          <w:lang w:eastAsia="zh-TW"/>
        </w:rPr>
      </w:pPr>
    </w:p>
    <w:p w14:paraId="50551F78" w14:textId="49821012" w:rsidR="00EF1456" w:rsidRPr="00EF1456" w:rsidRDefault="00EF1456" w:rsidP="00EF1456">
      <w:pPr>
        <w:pStyle w:val="a3"/>
        <w:numPr>
          <w:ilvl w:val="0"/>
          <w:numId w:val="32"/>
        </w:numPr>
        <w:jc w:val="both"/>
        <w:rPr>
          <w:rFonts w:ascii="Avenir Next" w:eastAsiaTheme="minorEastAsia" w:hAnsi="Avenir Next" w:cs="Arial"/>
          <w:sz w:val="22"/>
          <w:szCs w:val="22"/>
          <w:u w:val="single"/>
          <w:lang w:eastAsia="zh-TW"/>
        </w:rPr>
      </w:pPr>
      <w:r w:rsidRPr="00EF1456">
        <w:rPr>
          <w:rFonts w:ascii="Avenir Next" w:eastAsiaTheme="minorEastAsia" w:hAnsi="Avenir Next" w:cs="Arial"/>
          <w:sz w:val="22"/>
          <w:szCs w:val="22"/>
          <w:u w:val="single"/>
          <w:lang w:eastAsia="zh-TW"/>
        </w:rPr>
        <w:t>Stay of the opening of secondary insolvency proceedings</w:t>
      </w:r>
    </w:p>
    <w:p w14:paraId="1DAF6C1E" w14:textId="107B4EA9" w:rsidR="00EF1456" w:rsidRPr="00EF1456" w:rsidRDefault="00EF1456" w:rsidP="00EF1456">
      <w:pPr>
        <w:jc w:val="both"/>
        <w:rPr>
          <w:rFonts w:ascii="Avenir Next" w:eastAsiaTheme="minorEastAsia" w:hAnsi="Avenir Next" w:cs="Arial" w:hint="eastAsia"/>
          <w:sz w:val="22"/>
          <w:szCs w:val="22"/>
          <w:lang w:eastAsia="zh-TW"/>
        </w:rPr>
      </w:pPr>
      <w:r>
        <w:rPr>
          <w:rFonts w:ascii="Avenir Next" w:eastAsiaTheme="minorEastAsia" w:hAnsi="Avenir Next" w:cs="Arial"/>
          <w:sz w:val="22"/>
          <w:szCs w:val="22"/>
          <w:lang w:eastAsia="zh-TW"/>
        </w:rPr>
        <w:t xml:space="preserve">The EIR Recast </w:t>
      </w:r>
      <w:r>
        <w:rPr>
          <w:rFonts w:ascii="Avenir Next" w:eastAsiaTheme="minorEastAsia" w:hAnsi="Avenir Next" w:cs="Arial" w:hint="eastAsia"/>
          <w:sz w:val="22"/>
          <w:szCs w:val="22"/>
          <w:lang w:eastAsia="zh-TW"/>
        </w:rPr>
        <w:t>a</w:t>
      </w:r>
      <w:r>
        <w:rPr>
          <w:rFonts w:ascii="Avenir Next" w:eastAsiaTheme="minorEastAsia" w:hAnsi="Avenir Next" w:cs="Arial"/>
          <w:sz w:val="22"/>
          <w:szCs w:val="22"/>
          <w:lang w:eastAsia="zh-TW"/>
        </w:rPr>
        <w:t>llows the court to temporarily stay the opening of secondary proceedings when a temporary stay of individual enforcement proceedings has been granted in the main insolvency proceedings, upon a request from the insolvency practitioner.</w:t>
      </w:r>
      <w:r w:rsidR="00433E64">
        <w:rPr>
          <w:rFonts w:ascii="Avenir Next" w:eastAsiaTheme="minorEastAsia" w:hAnsi="Avenir Next" w:cs="Arial"/>
          <w:sz w:val="22"/>
          <w:szCs w:val="22"/>
          <w:lang w:eastAsia="zh-TW"/>
        </w:rPr>
        <w:t xml:space="preserve">  T</w:t>
      </w:r>
      <w:r w:rsidR="00433E64">
        <w:rPr>
          <w:rFonts w:ascii="Avenir Next" w:eastAsiaTheme="minorEastAsia" w:hAnsi="Avenir Next" w:cs="Arial" w:hint="eastAsia"/>
          <w:sz w:val="22"/>
          <w:szCs w:val="22"/>
          <w:lang w:eastAsia="zh-TW"/>
        </w:rPr>
        <w:t>h</w:t>
      </w:r>
      <w:r w:rsidR="00433E64">
        <w:rPr>
          <w:rFonts w:ascii="Avenir Next" w:eastAsiaTheme="minorEastAsia" w:hAnsi="Avenir Next" w:cs="Arial"/>
          <w:sz w:val="22"/>
          <w:szCs w:val="22"/>
          <w:lang w:eastAsia="zh-TW"/>
        </w:rPr>
        <w:t>e court may decide to order protective measures such as not to remove or dispose of assets situated at that Member State except for ordinary course of business.</w:t>
      </w:r>
    </w:p>
    <w:p w14:paraId="69745B8F" w14:textId="77777777" w:rsidR="005B5994" w:rsidRPr="0055404A" w:rsidRDefault="005B5994" w:rsidP="005B5994">
      <w:pPr>
        <w:ind w:left="720" w:hanging="720"/>
        <w:jc w:val="both"/>
        <w:rPr>
          <w:rFonts w:ascii="Avenir Next" w:hAnsi="Avenir Next" w:cs="Arial"/>
          <w:sz w:val="22"/>
          <w:szCs w:val="22"/>
        </w:rPr>
      </w:pP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274B4DB" w:rsidR="00241FA3" w:rsidRDefault="00241FA3" w:rsidP="002A37BB">
      <w:pPr>
        <w:jc w:val="both"/>
        <w:rPr>
          <w:rFonts w:ascii="Avenir Next" w:hAnsi="Avenir Next" w:cs="Arial"/>
          <w:sz w:val="22"/>
          <w:szCs w:val="22"/>
          <w:lang w:val="en-GB"/>
        </w:rPr>
      </w:pPr>
    </w:p>
    <w:p w14:paraId="024B20A3" w14:textId="172FB00F" w:rsidR="00C32984" w:rsidRDefault="00C32984" w:rsidP="002A37BB">
      <w:pPr>
        <w:jc w:val="both"/>
        <w:rPr>
          <w:rFonts w:ascii="Avenir Next" w:hAnsi="Avenir Next" w:cs="Arial"/>
          <w:sz w:val="22"/>
          <w:szCs w:val="22"/>
          <w:lang w:val="en-GB"/>
        </w:rPr>
      </w:pPr>
    </w:p>
    <w:p w14:paraId="1B81F4B0" w14:textId="77777777" w:rsidR="00C32984" w:rsidRPr="008E3C96" w:rsidRDefault="00C32984" w:rsidP="002A37BB">
      <w:pPr>
        <w:jc w:val="both"/>
        <w:rPr>
          <w:rFonts w:ascii="Avenir Next" w:hAnsi="Avenir Next" w:cs="Arial"/>
          <w:sz w:val="22"/>
          <w:szCs w:val="22"/>
          <w:lang w:val="en-GB"/>
        </w:rPr>
      </w:pPr>
    </w:p>
    <w:p w14:paraId="1116938E" w14:textId="6351ED90" w:rsidR="00310D38" w:rsidRPr="00223908" w:rsidRDefault="005B5994" w:rsidP="00223908">
      <w:pPr>
        <w:ind w:left="720" w:hanging="720"/>
        <w:jc w:val="both"/>
        <w:rPr>
          <w:rFonts w:ascii="Avenir Next" w:hAnsi="Avenir Next" w:cs="Arial" w:hint="eastAsia"/>
          <w:color w:val="7B7B7B" w:themeColor="accent3" w:themeShade="BF"/>
          <w:sz w:val="22"/>
          <w:szCs w:val="22"/>
        </w:rPr>
      </w:pPr>
      <w:r>
        <w:rPr>
          <w:rFonts w:ascii="Avenir Next" w:hAnsi="Avenir Next" w:cs="Arial"/>
          <w:color w:val="7B7B7B" w:themeColor="accent3" w:themeShade="BF"/>
          <w:sz w:val="22"/>
          <w:szCs w:val="22"/>
        </w:rPr>
        <w:lastRenderedPageBreak/>
        <w:t>Answer</w:t>
      </w:r>
    </w:p>
    <w:p w14:paraId="4A637290" w14:textId="2E3BE6CF" w:rsidR="00544127" w:rsidRDefault="00310D38" w:rsidP="00310D38">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D</w:t>
      </w:r>
      <w:r>
        <w:rPr>
          <w:rFonts w:ascii="Avenir Next" w:eastAsiaTheme="minorEastAsia" w:hAnsi="Avenir Next" w:cs="Arial"/>
          <w:sz w:val="22"/>
          <w:szCs w:val="22"/>
          <w:lang w:eastAsia="zh-TW"/>
        </w:rPr>
        <w:t>uring the reform process of the EIR 2000, the European Commission identified the following elements that were considered desirable for a harmonized approach:</w:t>
      </w:r>
    </w:p>
    <w:p w14:paraId="4B126851" w14:textId="09BD4095" w:rsidR="00310D38" w:rsidRDefault="00310D38" w:rsidP="00310D38">
      <w:pPr>
        <w:pStyle w:val="a3"/>
        <w:numPr>
          <w:ilvl w:val="0"/>
          <w:numId w:val="33"/>
        </w:num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To introduce flexibility in national preventive restructuring procedures by limiting the need for court formalities to where they are necessary and proportionate;</w:t>
      </w:r>
    </w:p>
    <w:p w14:paraId="5CCB9919" w14:textId="1CFACF5E" w:rsidR="00310D38" w:rsidRDefault="00310D38" w:rsidP="00310D38">
      <w:pPr>
        <w:pStyle w:val="a3"/>
        <w:numPr>
          <w:ilvl w:val="0"/>
          <w:numId w:val="33"/>
        </w:num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To provide for a stay of individual enforcement actions;</w:t>
      </w:r>
    </w:p>
    <w:p w14:paraId="5CF21280" w14:textId="10C07AC4" w:rsidR="00310D38" w:rsidRDefault="00310D38" w:rsidP="00310D38">
      <w:pPr>
        <w:pStyle w:val="a3"/>
        <w:numPr>
          <w:ilvl w:val="0"/>
          <w:numId w:val="33"/>
        </w:num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To protect the interests of dissenting creditors where the court should reject any restructuring plan that would likely reduce the rights of dissenting creditors below what they could reasonably expect to receive when the debtor’s business is not restructured;</w:t>
      </w:r>
    </w:p>
    <w:p w14:paraId="43325AF0" w14:textId="6A7CD6E7" w:rsidR="00310D38" w:rsidRDefault="00310D38" w:rsidP="00310D38">
      <w:pPr>
        <w:pStyle w:val="a3"/>
        <w:numPr>
          <w:ilvl w:val="0"/>
          <w:numId w:val="33"/>
        </w:num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To ensure that the preventive restructuring process be on a debtor-in-possession model;</w:t>
      </w:r>
    </w:p>
    <w:p w14:paraId="524D3ADA" w14:textId="64C70A8F" w:rsidR="00310D38" w:rsidRDefault="00310D38" w:rsidP="00310D38">
      <w:pPr>
        <w:pStyle w:val="a3"/>
        <w:numPr>
          <w:ilvl w:val="0"/>
          <w:numId w:val="33"/>
        </w:num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To include the possibility of cross-class cram-down provisions; and</w:t>
      </w:r>
    </w:p>
    <w:p w14:paraId="3DE3DF1B" w14:textId="1B8642AA" w:rsidR="00310D38" w:rsidRPr="00310D38" w:rsidRDefault="00310D38" w:rsidP="00310D38">
      <w:pPr>
        <w:pStyle w:val="a3"/>
        <w:numPr>
          <w:ilvl w:val="0"/>
          <w:numId w:val="33"/>
        </w:numPr>
        <w:jc w:val="both"/>
        <w:rPr>
          <w:rFonts w:ascii="Avenir Next" w:eastAsiaTheme="minorEastAsia" w:hAnsi="Avenir Next" w:cs="Arial" w:hint="eastAsia"/>
          <w:sz w:val="22"/>
          <w:szCs w:val="22"/>
          <w:lang w:eastAsia="zh-TW"/>
        </w:rPr>
      </w:pPr>
      <w:r>
        <w:rPr>
          <w:rFonts w:ascii="Avenir Next" w:eastAsiaTheme="minorEastAsia" w:hAnsi="Avenir Next" w:cs="Arial"/>
          <w:sz w:val="22"/>
          <w:szCs w:val="22"/>
          <w:lang w:eastAsia="zh-TW"/>
        </w:rPr>
        <w:t>To protect new and interim financing.</w:t>
      </w:r>
    </w:p>
    <w:p w14:paraId="469312D6" w14:textId="13466387" w:rsidR="00310D38" w:rsidRDefault="00310D38" w:rsidP="002A37BB">
      <w:pPr>
        <w:ind w:left="720" w:hanging="720"/>
        <w:jc w:val="both"/>
        <w:rPr>
          <w:rFonts w:ascii="Avenir Next" w:hAnsi="Avenir Next" w:cs="Arial"/>
          <w:sz w:val="22"/>
          <w:szCs w:val="22"/>
        </w:rPr>
      </w:pPr>
    </w:p>
    <w:p w14:paraId="0E64E5F9" w14:textId="77777777" w:rsidR="00310D38" w:rsidRPr="008E3C96" w:rsidRDefault="00310D38"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223908">
        <w:rPr>
          <w:rFonts w:ascii="Avenir Next" w:hAnsi="Avenir Next" w:cs="Arial"/>
          <w:sz w:val="22"/>
          <w:szCs w:val="22"/>
          <w:lang w:val="en-GB"/>
        </w:rPr>
        <w:t xml:space="preserve">While the EIR Recast was welcomed by most stakeholders, it was also criticised by some as a “missed opportunity” and “modest”. List </w:t>
      </w:r>
      <w:r w:rsidRPr="00223908">
        <w:rPr>
          <w:rFonts w:ascii="Avenir Next Demi Bold" w:hAnsi="Avenir Next Demi Bold" w:cs="Arial"/>
          <w:b/>
          <w:bCs/>
          <w:sz w:val="22"/>
          <w:szCs w:val="22"/>
          <w:u w:val="single"/>
          <w:lang w:val="en-GB"/>
        </w:rPr>
        <w:t>two (2) flaws</w:t>
      </w:r>
      <w:r w:rsidRPr="00223908">
        <w:rPr>
          <w:rFonts w:ascii="Avenir Next" w:hAnsi="Avenir Next" w:cs="Arial"/>
          <w:sz w:val="22"/>
          <w:szCs w:val="22"/>
          <w:lang w:val="en-GB"/>
        </w:rPr>
        <w:t xml:space="preserve"> or shortcomings of the EIR Recast and explain how you consider they could be corrected.</w:t>
      </w:r>
      <w:r w:rsidRPr="008E3C96">
        <w:rPr>
          <w:rFonts w:ascii="Avenir Next" w:hAnsi="Avenir Next" w:cs="Arial"/>
          <w:sz w:val="22"/>
          <w:szCs w:val="22"/>
          <w:lang w:val="en-GB"/>
        </w:rPr>
        <w:t xml:space="preserve"> </w:t>
      </w:r>
    </w:p>
    <w:p w14:paraId="55B2B266" w14:textId="77777777" w:rsidR="003D4A79" w:rsidRPr="008E3C96" w:rsidRDefault="003D4A79" w:rsidP="003D4A79">
      <w:pPr>
        <w:jc w:val="both"/>
        <w:rPr>
          <w:rFonts w:ascii="Avenir Next" w:hAnsi="Avenir Next" w:cs="Arial"/>
          <w:sz w:val="22"/>
          <w:szCs w:val="22"/>
          <w:lang w:val="en-GB"/>
        </w:rPr>
      </w:pPr>
    </w:p>
    <w:p w14:paraId="48DFA940" w14:textId="3B8E7602" w:rsidR="00C12489" w:rsidRPr="00223908" w:rsidRDefault="005B5994" w:rsidP="00223908">
      <w:pPr>
        <w:ind w:left="720" w:hanging="720"/>
        <w:jc w:val="both"/>
        <w:rPr>
          <w:rFonts w:ascii="Avenir Next" w:hAnsi="Avenir Next" w:cs="Arial" w:hint="eastAsia"/>
          <w:color w:val="7B7B7B" w:themeColor="accent3" w:themeShade="BF"/>
          <w:sz w:val="22"/>
          <w:szCs w:val="22"/>
        </w:rPr>
      </w:pPr>
      <w:r>
        <w:rPr>
          <w:rFonts w:ascii="Avenir Next" w:hAnsi="Avenir Next" w:cs="Arial"/>
          <w:color w:val="7B7B7B" w:themeColor="accent3" w:themeShade="BF"/>
          <w:sz w:val="22"/>
          <w:szCs w:val="22"/>
        </w:rPr>
        <w:t>Answer</w:t>
      </w:r>
    </w:p>
    <w:p w14:paraId="244E00F1" w14:textId="5056D9F6" w:rsidR="00C12489" w:rsidRPr="00C12489" w:rsidRDefault="00C12489" w:rsidP="005B5994">
      <w:pPr>
        <w:ind w:left="720" w:hanging="720"/>
        <w:jc w:val="both"/>
        <w:rPr>
          <w:rFonts w:ascii="Avenir Next" w:eastAsiaTheme="minorEastAsia" w:hAnsi="Avenir Next" w:cs="Arial" w:hint="eastAsia"/>
          <w:sz w:val="22"/>
          <w:szCs w:val="22"/>
          <w:u w:val="single"/>
          <w:lang w:eastAsia="zh-TW"/>
        </w:rPr>
      </w:pPr>
      <w:r w:rsidRPr="00C12489">
        <w:rPr>
          <w:rFonts w:ascii="Avenir Next" w:eastAsiaTheme="minorEastAsia" w:hAnsi="Avenir Next" w:cs="Arial" w:hint="eastAsia"/>
          <w:sz w:val="22"/>
          <w:szCs w:val="22"/>
          <w:u w:val="single"/>
          <w:lang w:eastAsia="zh-TW"/>
        </w:rPr>
        <w:t>I</w:t>
      </w:r>
      <w:r w:rsidRPr="00C12489">
        <w:rPr>
          <w:rFonts w:ascii="Avenir Next" w:eastAsiaTheme="minorEastAsia" w:hAnsi="Avenir Next" w:cs="Arial"/>
          <w:sz w:val="22"/>
          <w:szCs w:val="22"/>
          <w:u w:val="single"/>
          <w:lang w:eastAsia="zh-TW"/>
        </w:rPr>
        <w:t>nsolvency of corporate groups under EIR Recast</w:t>
      </w:r>
    </w:p>
    <w:p w14:paraId="0826EB8A" w14:textId="33FB1009" w:rsidR="005B5994" w:rsidRPr="00DD3E85" w:rsidRDefault="00DD3E85" w:rsidP="00DD3E85">
      <w:pPr>
        <w:jc w:val="both"/>
        <w:rPr>
          <w:rFonts w:ascii="Avenir Next" w:eastAsiaTheme="minorEastAsia" w:hAnsi="Avenir Next" w:cs="Arial" w:hint="eastAsia"/>
          <w:sz w:val="22"/>
          <w:szCs w:val="22"/>
          <w:lang w:eastAsia="zh-TW"/>
        </w:rPr>
      </w:pPr>
      <w:r>
        <w:rPr>
          <w:rFonts w:ascii="Avenir Next" w:eastAsiaTheme="minorEastAsia" w:hAnsi="Avenir Next" w:cs="Arial" w:hint="eastAsia"/>
          <w:sz w:val="22"/>
          <w:szCs w:val="22"/>
          <w:lang w:eastAsia="zh-TW"/>
        </w:rPr>
        <w:t>T</w:t>
      </w:r>
      <w:r>
        <w:rPr>
          <w:rFonts w:ascii="Avenir Next" w:eastAsiaTheme="minorEastAsia" w:hAnsi="Avenir Next" w:cs="Arial"/>
          <w:sz w:val="22"/>
          <w:szCs w:val="22"/>
          <w:lang w:eastAsia="zh-TW"/>
        </w:rPr>
        <w:t xml:space="preserve">he voluntary nature of group co-ordination proceedings under Recital 56 of EIR Recast and the possibility of an easy opt-out without explanation or good cause (Article 64 of EIR Recast) make group co-ordination proceedings a toothless instrument.  Even if such proceedings have been instituted, the insolvency practitioners are not obliged to follow the </w:t>
      </w:r>
      <w:proofErr w:type="spellStart"/>
      <w:r>
        <w:rPr>
          <w:rFonts w:ascii="Avenir Next" w:eastAsiaTheme="minorEastAsia" w:hAnsi="Avenir Next" w:cs="Arial"/>
          <w:sz w:val="22"/>
          <w:szCs w:val="22"/>
          <w:lang w:eastAsia="zh-TW"/>
        </w:rPr>
        <w:t>co-ordinator’s</w:t>
      </w:r>
      <w:proofErr w:type="spellEnd"/>
      <w:r>
        <w:rPr>
          <w:rFonts w:ascii="Avenir Next" w:eastAsiaTheme="minorEastAsia" w:hAnsi="Avenir Next" w:cs="Arial"/>
          <w:sz w:val="22"/>
          <w:szCs w:val="22"/>
          <w:lang w:eastAsia="zh-TW"/>
        </w:rPr>
        <w:t xml:space="preserve"> recommendations or the group co-ordination plan in whole or in part (Article 70 of EIR Recast).  The system is non-committal.</w:t>
      </w:r>
    </w:p>
    <w:p w14:paraId="3DAA6780" w14:textId="588ED614" w:rsidR="00962045" w:rsidRDefault="00962045" w:rsidP="002A37BB">
      <w:pPr>
        <w:jc w:val="both"/>
        <w:rPr>
          <w:rFonts w:ascii="Avenir Next" w:hAnsi="Avenir Next" w:cs="Arial"/>
          <w:sz w:val="22"/>
          <w:szCs w:val="22"/>
          <w:shd w:val="clear" w:color="auto" w:fill="FFFFFF"/>
        </w:rPr>
      </w:pPr>
    </w:p>
    <w:p w14:paraId="1F8B27C2" w14:textId="11FA17D7" w:rsidR="00DD3E85" w:rsidRDefault="00C12489" w:rsidP="002A37BB">
      <w:pPr>
        <w:jc w:val="both"/>
        <w:rPr>
          <w:rFonts w:ascii="Avenir Next" w:eastAsiaTheme="minorEastAsia" w:hAnsi="Avenir Next" w:cs="Arial"/>
          <w:sz w:val="22"/>
          <w:szCs w:val="22"/>
          <w:shd w:val="clear" w:color="auto" w:fill="FFFFFF"/>
          <w:lang w:eastAsia="zh-TW"/>
        </w:rPr>
      </w:pPr>
      <w:r>
        <w:rPr>
          <w:rFonts w:ascii="Avenir Next" w:eastAsiaTheme="minorEastAsia" w:hAnsi="Avenir Next" w:cs="Arial" w:hint="eastAsia"/>
          <w:sz w:val="22"/>
          <w:szCs w:val="22"/>
          <w:shd w:val="clear" w:color="auto" w:fill="FFFFFF"/>
          <w:lang w:eastAsia="zh-TW"/>
        </w:rPr>
        <w:t>O</w:t>
      </w:r>
      <w:r>
        <w:rPr>
          <w:rFonts w:ascii="Avenir Next" w:eastAsiaTheme="minorEastAsia" w:hAnsi="Avenir Next" w:cs="Arial"/>
          <w:sz w:val="22"/>
          <w:szCs w:val="22"/>
          <w:shd w:val="clear" w:color="auto" w:fill="FFFFFF"/>
          <w:lang w:eastAsia="zh-TW"/>
        </w:rPr>
        <w:t xml:space="preserve">n the other hand, the EIR Recast only applies to cross-border insolvency cases in EU. </w:t>
      </w:r>
      <w:r>
        <w:rPr>
          <w:rFonts w:ascii="Avenir Next" w:eastAsiaTheme="minorEastAsia" w:hAnsi="Avenir Next" w:cs="Arial" w:hint="eastAsia"/>
          <w:sz w:val="22"/>
          <w:szCs w:val="22"/>
          <w:shd w:val="clear" w:color="auto" w:fill="FFFFFF"/>
          <w:lang w:eastAsia="zh-TW"/>
        </w:rPr>
        <w:t xml:space="preserve"> </w:t>
      </w:r>
      <w:r w:rsidR="00DD3E85">
        <w:rPr>
          <w:rFonts w:ascii="Avenir Next" w:eastAsiaTheme="minorEastAsia" w:hAnsi="Avenir Next" w:cs="Arial" w:hint="eastAsia"/>
          <w:sz w:val="22"/>
          <w:szCs w:val="22"/>
          <w:shd w:val="clear" w:color="auto" w:fill="FFFFFF"/>
          <w:lang w:eastAsia="zh-TW"/>
        </w:rPr>
        <w:t>I</w:t>
      </w:r>
      <w:r w:rsidR="00DD3E85">
        <w:rPr>
          <w:rFonts w:ascii="Avenir Next" w:eastAsiaTheme="minorEastAsia" w:hAnsi="Avenir Next" w:cs="Arial"/>
          <w:sz w:val="22"/>
          <w:szCs w:val="22"/>
          <w:shd w:val="clear" w:color="auto" w:fill="FFFFFF"/>
          <w:lang w:eastAsia="zh-TW"/>
        </w:rPr>
        <w:t>f the corporate group has members located in non-Member States, meaning that the EIR Recast will not bind courts and insolvency practitioners in such non-Member State proceedings, and that the latter will not form part of the group co-ordination proceedings.  Their exclusion from the group proceeding may significantly limit the effectiveness and usability of the group provisions in the EIR Recast.</w:t>
      </w:r>
    </w:p>
    <w:p w14:paraId="08B051B2" w14:textId="39B10F3C" w:rsidR="00DD3E85" w:rsidRDefault="00DD3E85" w:rsidP="002A37BB">
      <w:pPr>
        <w:jc w:val="both"/>
        <w:rPr>
          <w:rFonts w:ascii="Avenir Next" w:eastAsiaTheme="minorEastAsia" w:hAnsi="Avenir Next" w:cs="Arial"/>
          <w:sz w:val="22"/>
          <w:szCs w:val="22"/>
          <w:shd w:val="clear" w:color="auto" w:fill="FFFFFF"/>
          <w:lang w:eastAsia="zh-TW"/>
        </w:rPr>
      </w:pPr>
    </w:p>
    <w:p w14:paraId="58A24DDB" w14:textId="0E41FCA3" w:rsidR="00C12489" w:rsidRDefault="00C12489" w:rsidP="002A37BB">
      <w:pPr>
        <w:jc w:val="both"/>
        <w:rPr>
          <w:rFonts w:ascii="Avenir Next" w:eastAsiaTheme="minorEastAsia" w:hAnsi="Avenir Next" w:cs="Arial"/>
          <w:sz w:val="22"/>
          <w:szCs w:val="22"/>
          <w:shd w:val="clear" w:color="auto" w:fill="FFFFFF"/>
          <w:lang w:eastAsia="zh-TW"/>
        </w:rPr>
      </w:pPr>
      <w:r>
        <w:rPr>
          <w:rFonts w:ascii="Avenir Next" w:eastAsiaTheme="minorEastAsia" w:hAnsi="Avenir Next" w:cs="Arial" w:hint="eastAsia"/>
          <w:sz w:val="22"/>
          <w:szCs w:val="22"/>
          <w:shd w:val="clear" w:color="auto" w:fill="FFFFFF"/>
          <w:lang w:eastAsia="zh-TW"/>
        </w:rPr>
        <w:t>C</w:t>
      </w:r>
      <w:r>
        <w:rPr>
          <w:rFonts w:ascii="Avenir Next" w:eastAsiaTheme="minorEastAsia" w:hAnsi="Avenir Next" w:cs="Arial"/>
          <w:sz w:val="22"/>
          <w:szCs w:val="22"/>
          <w:shd w:val="clear" w:color="auto" w:fill="FFFFFF"/>
          <w:lang w:eastAsia="zh-TW"/>
        </w:rPr>
        <w:t>o-operation</w:t>
      </w:r>
      <w:r w:rsidR="00AF566C">
        <w:rPr>
          <w:rFonts w:ascii="Avenir Next" w:eastAsiaTheme="minorEastAsia" w:hAnsi="Avenir Next" w:cs="Arial"/>
          <w:sz w:val="22"/>
          <w:szCs w:val="22"/>
          <w:shd w:val="clear" w:color="auto" w:fill="FFFFFF"/>
          <w:lang w:eastAsia="zh-TW"/>
        </w:rPr>
        <w:t xml:space="preserve"> obligation</w:t>
      </w:r>
      <w:r>
        <w:rPr>
          <w:rFonts w:ascii="Avenir Next" w:eastAsiaTheme="minorEastAsia" w:hAnsi="Avenir Next" w:cs="Arial"/>
          <w:sz w:val="22"/>
          <w:szCs w:val="22"/>
          <w:shd w:val="clear" w:color="auto" w:fill="FFFFFF"/>
          <w:lang w:eastAsia="zh-TW"/>
        </w:rPr>
        <w:t xml:space="preserve"> among Member States and non-EU jurisdiction should be comprehensively considered</w:t>
      </w:r>
      <w:r w:rsidR="00AF566C">
        <w:rPr>
          <w:rFonts w:ascii="Avenir Next" w:eastAsiaTheme="minorEastAsia" w:hAnsi="Avenir Next" w:cs="Arial"/>
          <w:sz w:val="22"/>
          <w:szCs w:val="22"/>
          <w:shd w:val="clear" w:color="auto" w:fill="FFFFFF"/>
          <w:lang w:eastAsia="zh-TW"/>
        </w:rPr>
        <w:t xml:space="preserve"> in order to harmonize insolvency case.  For example, the domestic court may be allowed to recognize the insolvency case of main proceeding and open an examination of secondary insolvency practitioner by that of main proceeding and make a direction if it thinks fit as another way of co-ordination.</w:t>
      </w:r>
    </w:p>
    <w:p w14:paraId="22CC4728" w14:textId="77777777" w:rsidR="00C12489" w:rsidRDefault="00C12489" w:rsidP="002A37BB">
      <w:pPr>
        <w:jc w:val="both"/>
        <w:rPr>
          <w:rFonts w:ascii="Avenir Next" w:eastAsiaTheme="minorEastAsia" w:hAnsi="Avenir Next" w:cs="Arial" w:hint="eastAsia"/>
          <w:sz w:val="22"/>
          <w:szCs w:val="22"/>
          <w:shd w:val="clear" w:color="auto" w:fill="FFFFFF"/>
          <w:lang w:eastAsia="zh-TW"/>
        </w:rPr>
      </w:pPr>
    </w:p>
    <w:p w14:paraId="7737D8F9" w14:textId="7C93CDCB" w:rsidR="00C12489" w:rsidRPr="00C12489" w:rsidRDefault="00C12489" w:rsidP="002A37BB">
      <w:pPr>
        <w:jc w:val="both"/>
        <w:rPr>
          <w:rFonts w:ascii="Avenir Next" w:eastAsiaTheme="minorEastAsia" w:hAnsi="Avenir Next" w:cs="Arial"/>
          <w:sz w:val="22"/>
          <w:szCs w:val="22"/>
          <w:u w:val="single"/>
          <w:shd w:val="clear" w:color="auto" w:fill="FFFFFF"/>
          <w:lang w:eastAsia="zh-TW"/>
        </w:rPr>
      </w:pPr>
      <w:r w:rsidRPr="00C12489">
        <w:rPr>
          <w:rFonts w:ascii="Avenir Next" w:eastAsiaTheme="minorEastAsia" w:hAnsi="Avenir Next" w:cs="Arial" w:hint="eastAsia"/>
          <w:sz w:val="22"/>
          <w:szCs w:val="22"/>
          <w:u w:val="single"/>
          <w:shd w:val="clear" w:color="auto" w:fill="FFFFFF"/>
          <w:lang w:eastAsia="zh-TW"/>
        </w:rPr>
        <w:t>L</w:t>
      </w:r>
      <w:r w:rsidRPr="00C12489">
        <w:rPr>
          <w:rFonts w:ascii="Avenir Next" w:eastAsiaTheme="minorEastAsia" w:hAnsi="Avenir Next" w:cs="Arial"/>
          <w:sz w:val="22"/>
          <w:szCs w:val="22"/>
          <w:u w:val="single"/>
          <w:shd w:val="clear" w:color="auto" w:fill="FFFFFF"/>
          <w:lang w:eastAsia="zh-TW"/>
        </w:rPr>
        <w:t>ack of a comprehensive preventive restructuring framework</w:t>
      </w:r>
    </w:p>
    <w:p w14:paraId="71E2CA09" w14:textId="22EB588E" w:rsidR="00C12489" w:rsidRPr="00DD3E85" w:rsidRDefault="00C12489" w:rsidP="002A37BB">
      <w:pPr>
        <w:jc w:val="both"/>
        <w:rPr>
          <w:rFonts w:ascii="Avenir Next" w:eastAsiaTheme="minorEastAsia" w:hAnsi="Avenir Next" w:cs="Arial" w:hint="eastAsia"/>
          <w:sz w:val="22"/>
          <w:szCs w:val="22"/>
          <w:shd w:val="clear" w:color="auto" w:fill="FFFFFF"/>
          <w:lang w:eastAsia="zh-TW"/>
        </w:rPr>
      </w:pPr>
      <w:r>
        <w:rPr>
          <w:rFonts w:ascii="Avenir Next" w:eastAsiaTheme="minorEastAsia" w:hAnsi="Avenir Next" w:cs="Arial"/>
          <w:sz w:val="22"/>
          <w:szCs w:val="22"/>
          <w:shd w:val="clear" w:color="auto" w:fill="FFFFFF"/>
          <w:lang w:eastAsia="zh-TW"/>
        </w:rPr>
        <w:t>The EIR Recast primarily focuses on the handling of cross-border insolvency cases.  It does not provide a comprehensive framework regarding preventive restructuring for the rescue of viable companies.</w:t>
      </w:r>
    </w:p>
    <w:p w14:paraId="46328C1B" w14:textId="24B487CC" w:rsidR="00DD3E85" w:rsidRPr="00AF566C" w:rsidRDefault="00AF566C" w:rsidP="002A37BB">
      <w:pPr>
        <w:jc w:val="both"/>
        <w:rPr>
          <w:rFonts w:ascii="Avenir Next" w:eastAsiaTheme="minorEastAsia" w:hAnsi="Avenir Next" w:cs="Arial" w:hint="eastAsia"/>
          <w:sz w:val="22"/>
          <w:szCs w:val="22"/>
          <w:shd w:val="clear" w:color="auto" w:fill="FFFFFF"/>
          <w:lang w:eastAsia="zh-TW"/>
        </w:rPr>
      </w:pPr>
      <w:r>
        <w:rPr>
          <w:rFonts w:ascii="Avenir Next" w:eastAsiaTheme="minorEastAsia" w:hAnsi="Avenir Next" w:cs="Arial"/>
          <w:sz w:val="22"/>
          <w:szCs w:val="22"/>
          <w:shd w:val="clear" w:color="auto" w:fill="FFFFFF"/>
          <w:lang w:eastAsia="zh-TW"/>
        </w:rPr>
        <w:t xml:space="preserve">Directive on Preventive Restructuring Frameworks 2019 </w:t>
      </w:r>
      <w:r w:rsidR="00223908">
        <w:rPr>
          <w:rFonts w:ascii="Avenir Next" w:eastAsiaTheme="minorEastAsia" w:hAnsi="Avenir Next" w:cs="Arial"/>
          <w:sz w:val="22"/>
          <w:szCs w:val="22"/>
          <w:shd w:val="clear" w:color="auto" w:fill="FFFFFF"/>
          <w:lang w:eastAsia="zh-TW"/>
        </w:rPr>
        <w:t>is therefore raised.</w:t>
      </w:r>
    </w:p>
    <w:p w14:paraId="69723A9F" w14:textId="6394C81F" w:rsidR="00AF566C" w:rsidRDefault="00AF566C" w:rsidP="002A37BB">
      <w:pPr>
        <w:jc w:val="both"/>
        <w:rPr>
          <w:rFonts w:ascii="Avenir Next" w:hAnsi="Avenir Next" w:cs="Arial"/>
          <w:sz w:val="22"/>
          <w:szCs w:val="22"/>
          <w:shd w:val="clear" w:color="auto" w:fill="FFFFFF"/>
        </w:rPr>
      </w:pPr>
    </w:p>
    <w:p w14:paraId="5DCE3257" w14:textId="77777777" w:rsidR="00C32984" w:rsidRDefault="00C32984"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w:t>
      </w:r>
      <w:r w:rsidRPr="008E3C96">
        <w:rPr>
          <w:rFonts w:ascii="Avenir Next" w:hAnsi="Avenir Next" w:cs="Arial"/>
          <w:sz w:val="22"/>
          <w:szCs w:val="22"/>
          <w:lang w:val="en-GB"/>
        </w:rPr>
        <w:lastRenderedPageBreak/>
        <w:t xml:space="preserve">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5FB8495D" w14:textId="680BF861" w:rsidR="005B5994" w:rsidRPr="00F47684" w:rsidRDefault="005B5994" w:rsidP="00F47684">
      <w:pPr>
        <w:ind w:left="720" w:hanging="720"/>
        <w:jc w:val="both"/>
        <w:rPr>
          <w:rFonts w:ascii="Avenir Next" w:hAnsi="Avenir Next" w:cs="Arial" w:hint="eastAsia"/>
          <w:color w:val="7B7B7B" w:themeColor="accent3" w:themeShade="BF"/>
          <w:sz w:val="22"/>
          <w:szCs w:val="22"/>
        </w:rPr>
      </w:pPr>
      <w:r>
        <w:rPr>
          <w:rFonts w:ascii="Avenir Next" w:hAnsi="Avenir Next" w:cs="Arial"/>
          <w:color w:val="7B7B7B" w:themeColor="accent3" w:themeShade="BF"/>
          <w:sz w:val="22"/>
          <w:szCs w:val="22"/>
        </w:rPr>
        <w:t>Answer</w:t>
      </w:r>
    </w:p>
    <w:p w14:paraId="7F0DAD06" w14:textId="77777777" w:rsidR="00F47684" w:rsidRDefault="00F47684" w:rsidP="00F47684">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T</w:t>
      </w:r>
      <w:r>
        <w:rPr>
          <w:rFonts w:ascii="Avenir Next" w:eastAsiaTheme="minorEastAsia" w:hAnsi="Avenir Next" w:cs="Arial"/>
          <w:sz w:val="22"/>
          <w:szCs w:val="22"/>
          <w:lang w:eastAsia="zh-TW"/>
        </w:rPr>
        <w:t>he Directive emphasizes the involvement of stakeholders in restructuring process, requiring the debtor to engage with creditors and other stakeholders in developing a restructuring plan.  Whilst, the EIR Recast does not address the stakeholder involvement in the same way.</w:t>
      </w:r>
    </w:p>
    <w:p w14:paraId="6E29341B" w14:textId="77777777" w:rsidR="00F47684" w:rsidRDefault="00F47684" w:rsidP="00F47684">
      <w:pPr>
        <w:jc w:val="both"/>
        <w:rPr>
          <w:rFonts w:ascii="Avenir Next" w:eastAsiaTheme="minorEastAsia" w:hAnsi="Avenir Next" w:cs="Arial"/>
          <w:sz w:val="22"/>
          <w:szCs w:val="22"/>
          <w:lang w:eastAsia="zh-TW"/>
        </w:rPr>
      </w:pPr>
    </w:p>
    <w:p w14:paraId="3BE352D2" w14:textId="26F05501" w:rsidR="005B5994" w:rsidRPr="00F47684" w:rsidRDefault="00AC2AB7" w:rsidP="00F47684">
      <w:pPr>
        <w:jc w:val="both"/>
        <w:rPr>
          <w:rFonts w:ascii="Avenir Next" w:eastAsiaTheme="minorEastAsia" w:hAnsi="Avenir Next" w:cs="Arial" w:hint="eastAsia"/>
          <w:sz w:val="22"/>
          <w:szCs w:val="22"/>
          <w:lang w:eastAsia="zh-TW"/>
        </w:rPr>
      </w:pPr>
      <w:r>
        <w:rPr>
          <w:rFonts w:ascii="Avenir Next" w:eastAsiaTheme="minorEastAsia" w:hAnsi="Avenir Next" w:cs="Arial"/>
          <w:sz w:val="22"/>
          <w:szCs w:val="22"/>
          <w:lang w:eastAsia="zh-TW"/>
        </w:rPr>
        <w:t xml:space="preserve">The policy and technical choices of Member States in the implementation of the Directive will likely result in different restructuring models, leading to the different systems that are located at different points of the spectrum.  The introduction of minimum standards means that the scope of the Directive caters to a jurisdiction’s status quo, the national law of Member States </w:t>
      </w:r>
      <w:r w:rsidR="007F4D4F">
        <w:rPr>
          <w:rFonts w:ascii="Avenir Next" w:eastAsiaTheme="minorEastAsia" w:hAnsi="Avenir Next" w:cs="Arial"/>
          <w:sz w:val="22"/>
          <w:szCs w:val="22"/>
          <w:lang w:eastAsia="zh-TW"/>
        </w:rPr>
        <w:t>will</w:t>
      </w:r>
      <w:r>
        <w:rPr>
          <w:rFonts w:ascii="Avenir Next" w:eastAsiaTheme="minorEastAsia" w:hAnsi="Avenir Next" w:cs="Arial"/>
          <w:sz w:val="22"/>
          <w:szCs w:val="22"/>
          <w:lang w:eastAsia="zh-TW"/>
        </w:rPr>
        <w:t xml:space="preserve"> be implemented.</w:t>
      </w:r>
      <w:r w:rsidR="007F4D4F">
        <w:rPr>
          <w:rFonts w:ascii="Avenir Next" w:eastAsiaTheme="minorEastAsia" w:hAnsi="Avenir Next" w:cs="Arial"/>
          <w:sz w:val="22"/>
          <w:szCs w:val="22"/>
          <w:lang w:eastAsia="zh-TW"/>
        </w:rPr>
        <w:t xml:space="preserve">  Compared to EIR Recast, Article 7 lays down the general rule and Article 18 provides for automatic recognition of certain insolvency proceedings across EU.</w:t>
      </w:r>
    </w:p>
    <w:p w14:paraId="4AE7EA78" w14:textId="6CF9DAE8" w:rsidR="007D7C92" w:rsidRDefault="007D7C92" w:rsidP="002A37BB">
      <w:pPr>
        <w:ind w:left="720" w:hanging="720"/>
        <w:jc w:val="both"/>
        <w:rPr>
          <w:rFonts w:ascii="Avenir Next" w:hAnsi="Avenir Next" w:cs="Arial"/>
          <w:sz w:val="22"/>
          <w:szCs w:val="22"/>
          <w:lang w:val="en-GB"/>
        </w:rPr>
      </w:pPr>
    </w:p>
    <w:p w14:paraId="484FE46D" w14:textId="77777777" w:rsidR="007F4D4F" w:rsidRPr="008E3C96" w:rsidRDefault="007F4D4F"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1AED1A8F" w14:textId="77777777" w:rsidR="005B5994" w:rsidRDefault="005B5994" w:rsidP="005B5994">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Answer</w:t>
      </w:r>
    </w:p>
    <w:p w14:paraId="6D2A504D" w14:textId="62007A9E" w:rsidR="00C34C61" w:rsidRDefault="00223908" w:rsidP="005D3106">
      <w:pPr>
        <w:jc w:val="both"/>
        <w:rPr>
          <w:rFonts w:ascii="Avenir Next" w:eastAsiaTheme="minorEastAsia" w:hAnsi="Avenir Next" w:cs="Arial"/>
          <w:sz w:val="22"/>
          <w:szCs w:val="22"/>
          <w:lang w:eastAsia="zh-TW"/>
        </w:rPr>
      </w:pPr>
      <w:r w:rsidRPr="005D3106">
        <w:rPr>
          <w:rFonts w:ascii="Avenir Next" w:eastAsiaTheme="minorEastAsia" w:hAnsi="Avenir Next" w:cs="Arial"/>
          <w:sz w:val="22"/>
          <w:szCs w:val="22"/>
          <w:lang w:eastAsia="zh-TW"/>
        </w:rPr>
        <w:t xml:space="preserve">Under EIR 2000, the court in which the insolvency proceedings are opened has the jurisdiction under the </w:t>
      </w:r>
      <w:r w:rsidR="005D3106" w:rsidRPr="005D3106">
        <w:rPr>
          <w:rFonts w:ascii="Avenir Next" w:eastAsiaTheme="minorEastAsia" w:hAnsi="Avenir Next" w:cs="Arial"/>
          <w:sz w:val="22"/>
          <w:szCs w:val="22"/>
          <w:lang w:eastAsia="zh-TW"/>
        </w:rPr>
        <w:t xml:space="preserve">nation law of the Member State where proceedings opened.  The court of which Bella SARL’s </w:t>
      </w:r>
      <w:proofErr w:type="spellStart"/>
      <w:r w:rsidR="005D3106" w:rsidRPr="005D3106">
        <w:rPr>
          <w:rFonts w:ascii="Avenir Next" w:eastAsiaTheme="minorEastAsia" w:hAnsi="Avenir Next" w:cs="Arial"/>
          <w:sz w:val="22"/>
          <w:szCs w:val="22"/>
          <w:lang w:eastAsia="zh-TW"/>
        </w:rPr>
        <w:lastRenderedPageBreak/>
        <w:t>centre</w:t>
      </w:r>
      <w:proofErr w:type="spellEnd"/>
      <w:r w:rsidR="005D3106" w:rsidRPr="005D3106">
        <w:rPr>
          <w:rFonts w:ascii="Avenir Next" w:eastAsiaTheme="minorEastAsia" w:hAnsi="Avenir Next" w:cs="Arial"/>
          <w:sz w:val="22"/>
          <w:szCs w:val="22"/>
          <w:lang w:eastAsia="zh-TW"/>
        </w:rPr>
        <w:t xml:space="preserve"> of main interest </w:t>
      </w:r>
      <w:r w:rsidR="00C34C61">
        <w:rPr>
          <w:rFonts w:ascii="Avenir Next" w:eastAsiaTheme="minorEastAsia" w:hAnsi="Avenir Next" w:cs="Arial"/>
          <w:sz w:val="22"/>
          <w:szCs w:val="22"/>
          <w:lang w:eastAsia="zh-TW"/>
        </w:rPr>
        <w:t xml:space="preserve">(“COMI”) </w:t>
      </w:r>
      <w:r w:rsidR="005D3106" w:rsidRPr="005D3106">
        <w:rPr>
          <w:rFonts w:ascii="Avenir Next" w:eastAsiaTheme="minorEastAsia" w:hAnsi="Avenir Next" w:cs="Arial"/>
          <w:sz w:val="22"/>
          <w:szCs w:val="22"/>
          <w:lang w:eastAsia="zh-TW"/>
        </w:rPr>
        <w:t>located has the jurisdiction to open insolvency proceedings</w:t>
      </w:r>
      <w:r w:rsidR="00C34C61">
        <w:rPr>
          <w:rFonts w:ascii="Avenir Next" w:eastAsiaTheme="minorEastAsia" w:hAnsi="Avenir Next" w:cs="Arial"/>
          <w:sz w:val="22"/>
          <w:szCs w:val="22"/>
          <w:lang w:eastAsia="zh-TW"/>
        </w:rPr>
        <w:t xml:space="preserve"> (Recital 13 of EIR 2000)</w:t>
      </w:r>
      <w:r w:rsidR="005D3106" w:rsidRPr="005D3106">
        <w:rPr>
          <w:rFonts w:ascii="Avenir Next" w:eastAsiaTheme="minorEastAsia" w:hAnsi="Avenir Next" w:cs="Arial"/>
          <w:sz w:val="22"/>
          <w:szCs w:val="22"/>
          <w:lang w:eastAsia="zh-TW"/>
        </w:rPr>
        <w:t>.  Since Bella SARL is a French-registered company</w:t>
      </w:r>
      <w:r w:rsidR="005D3106">
        <w:rPr>
          <w:rFonts w:ascii="Avenir Next" w:eastAsiaTheme="minorEastAsia" w:hAnsi="Avenir Next" w:cs="Arial"/>
          <w:sz w:val="22"/>
          <w:szCs w:val="22"/>
          <w:lang w:eastAsia="zh-TW"/>
        </w:rPr>
        <w:t>, it also has operation (stores,</w:t>
      </w:r>
      <w:r w:rsidR="00287639">
        <w:rPr>
          <w:rFonts w:ascii="Avenir Next" w:eastAsiaTheme="minorEastAsia" w:hAnsi="Avenir Next" w:cs="Arial"/>
          <w:sz w:val="22"/>
          <w:szCs w:val="22"/>
          <w:lang w:eastAsia="zh-TW"/>
        </w:rPr>
        <w:t xml:space="preserve"> </w:t>
      </w:r>
      <w:proofErr w:type="spellStart"/>
      <w:r w:rsidR="00287639">
        <w:rPr>
          <w:rFonts w:ascii="Avenir Next" w:eastAsiaTheme="minorEastAsia" w:hAnsi="Avenir Next" w:cs="Arial"/>
          <w:sz w:val="22"/>
          <w:szCs w:val="22"/>
          <w:lang w:eastAsia="zh-TW"/>
        </w:rPr>
        <w:t>custmoers</w:t>
      </w:r>
      <w:proofErr w:type="spellEnd"/>
      <w:r w:rsidR="00287639">
        <w:rPr>
          <w:rFonts w:ascii="Avenir Next" w:eastAsiaTheme="minorEastAsia" w:hAnsi="Avenir Next" w:cs="Arial"/>
          <w:sz w:val="22"/>
          <w:szCs w:val="22"/>
          <w:lang w:eastAsia="zh-TW"/>
        </w:rPr>
        <w:t>,</w:t>
      </w:r>
      <w:r w:rsidR="005D3106">
        <w:rPr>
          <w:rFonts w:ascii="Avenir Next" w:eastAsiaTheme="minorEastAsia" w:hAnsi="Avenir Next" w:cs="Arial"/>
          <w:sz w:val="22"/>
          <w:szCs w:val="22"/>
          <w:lang w:eastAsia="zh-TW"/>
        </w:rPr>
        <w:t xml:space="preserve"> employees, </w:t>
      </w:r>
      <w:proofErr w:type="spellStart"/>
      <w:r w:rsidR="005D3106">
        <w:rPr>
          <w:rFonts w:ascii="Avenir Next" w:eastAsiaTheme="minorEastAsia" w:hAnsi="Avenir Next" w:cs="Arial"/>
          <w:sz w:val="22"/>
          <w:szCs w:val="22"/>
          <w:lang w:eastAsia="zh-TW"/>
        </w:rPr>
        <w:t>etc</w:t>
      </w:r>
      <w:proofErr w:type="spellEnd"/>
      <w:r w:rsidR="005D3106">
        <w:rPr>
          <w:rFonts w:ascii="Avenir Next" w:eastAsiaTheme="minorEastAsia" w:hAnsi="Avenir Next" w:cs="Arial"/>
          <w:sz w:val="22"/>
          <w:szCs w:val="22"/>
          <w:lang w:eastAsia="zh-TW"/>
        </w:rPr>
        <w:t xml:space="preserve">) in France, it is considered that France should be its </w:t>
      </w:r>
      <w:r w:rsidR="00C34C61">
        <w:rPr>
          <w:rFonts w:ascii="Avenir Next" w:eastAsiaTheme="minorEastAsia" w:hAnsi="Avenir Next" w:cs="Arial"/>
          <w:sz w:val="22"/>
          <w:szCs w:val="22"/>
          <w:lang w:eastAsia="zh-TW"/>
        </w:rPr>
        <w:t>COMI</w:t>
      </w:r>
      <w:r w:rsidR="005D3106">
        <w:rPr>
          <w:rFonts w:ascii="Avenir Next" w:eastAsiaTheme="minorEastAsia" w:hAnsi="Avenir Next" w:cs="Arial"/>
          <w:sz w:val="22"/>
          <w:szCs w:val="22"/>
          <w:lang w:eastAsia="zh-TW"/>
        </w:rPr>
        <w:t xml:space="preserve">.  </w:t>
      </w:r>
    </w:p>
    <w:p w14:paraId="3A274914" w14:textId="77777777" w:rsidR="00C34C61" w:rsidRDefault="00C34C61" w:rsidP="005D3106">
      <w:pPr>
        <w:jc w:val="both"/>
        <w:rPr>
          <w:rFonts w:ascii="Avenir Next" w:eastAsiaTheme="minorEastAsia" w:hAnsi="Avenir Next" w:cs="Arial"/>
          <w:sz w:val="22"/>
          <w:szCs w:val="22"/>
          <w:lang w:eastAsia="zh-TW"/>
        </w:rPr>
      </w:pPr>
    </w:p>
    <w:p w14:paraId="15209261" w14:textId="1F3A9524" w:rsidR="005B5994" w:rsidRDefault="00C34C61" w:rsidP="005D3106">
      <w:pPr>
        <w:jc w:val="both"/>
        <w:rPr>
          <w:rFonts w:ascii="Avenir Next" w:eastAsiaTheme="minorEastAsia" w:hAnsi="Avenir Next" w:cs="Arial"/>
          <w:sz w:val="22"/>
          <w:szCs w:val="22"/>
          <w:lang w:eastAsia="zh-TW"/>
        </w:rPr>
      </w:pPr>
      <w:r>
        <w:rPr>
          <w:rFonts w:ascii="Avenir Next" w:eastAsiaTheme="minorEastAsia" w:hAnsi="Avenir Next" w:cs="Arial"/>
          <w:sz w:val="22"/>
          <w:szCs w:val="22"/>
          <w:lang w:eastAsia="zh-TW"/>
        </w:rPr>
        <w:t>In the case</w:t>
      </w:r>
      <w:r w:rsidR="005D3106">
        <w:rPr>
          <w:rFonts w:ascii="Avenir Next" w:eastAsiaTheme="minorEastAsia" w:hAnsi="Avenir Next" w:cs="Arial"/>
          <w:sz w:val="22"/>
          <w:szCs w:val="22"/>
          <w:lang w:eastAsia="zh-TW"/>
        </w:rPr>
        <w:t xml:space="preserve"> </w:t>
      </w:r>
      <w:proofErr w:type="spellStart"/>
      <w:r w:rsidR="005D3106" w:rsidRPr="005D3106">
        <w:rPr>
          <w:rFonts w:ascii="Avenir Next" w:eastAsiaTheme="minorEastAsia" w:hAnsi="Avenir Next" w:cs="Arial"/>
          <w:i/>
          <w:iCs/>
          <w:sz w:val="22"/>
          <w:szCs w:val="22"/>
          <w:lang w:eastAsia="zh-TW"/>
        </w:rPr>
        <w:t>Eurofood</w:t>
      </w:r>
      <w:proofErr w:type="spellEnd"/>
      <w:r w:rsidR="005D3106" w:rsidRPr="005D3106">
        <w:rPr>
          <w:rFonts w:ascii="Avenir Next" w:eastAsiaTheme="minorEastAsia" w:hAnsi="Avenir Next" w:cs="Arial"/>
          <w:i/>
          <w:iCs/>
          <w:sz w:val="22"/>
          <w:szCs w:val="22"/>
          <w:lang w:eastAsia="zh-TW"/>
        </w:rPr>
        <w:t xml:space="preserve"> IFSC Ltd</w:t>
      </w:r>
      <w:r w:rsidR="005D3106">
        <w:rPr>
          <w:rFonts w:ascii="Avenir Next" w:eastAsiaTheme="minorEastAsia" w:hAnsi="Avenir Next" w:cs="Arial"/>
          <w:sz w:val="22"/>
          <w:szCs w:val="22"/>
          <w:lang w:eastAsia="zh-TW"/>
        </w:rPr>
        <w:t xml:space="preserve">, the </w:t>
      </w:r>
      <w:r>
        <w:rPr>
          <w:rFonts w:ascii="Avenir Next" w:eastAsiaTheme="minorEastAsia" w:hAnsi="Avenir Next" w:cs="Arial"/>
          <w:sz w:val="22"/>
          <w:szCs w:val="22"/>
          <w:lang w:eastAsia="zh-TW"/>
        </w:rPr>
        <w:t xml:space="preserve">CJEU </w:t>
      </w:r>
      <w:r>
        <w:rPr>
          <w:rFonts w:ascii="Avenir Next" w:eastAsiaTheme="minorEastAsia" w:hAnsi="Avenir Next" w:cs="Arial" w:hint="eastAsia"/>
          <w:sz w:val="22"/>
          <w:szCs w:val="22"/>
          <w:lang w:eastAsia="zh-TW"/>
        </w:rPr>
        <w:t>s</w:t>
      </w:r>
      <w:r>
        <w:rPr>
          <w:rFonts w:ascii="Avenir Next" w:eastAsiaTheme="minorEastAsia" w:hAnsi="Avenir Next" w:cs="Arial"/>
          <w:sz w:val="22"/>
          <w:szCs w:val="22"/>
          <w:lang w:eastAsia="zh-TW"/>
        </w:rPr>
        <w:t xml:space="preserve">tates that the autonomous meaning of COMI facilitates legal certainty across the EU, its application must be uniform in all Member States.  Legal certainty and foreseeability for all stakeholders dealing with the debtor, if it goes insolvent, is further encouraged by the objectivity and </w:t>
      </w:r>
      <w:proofErr w:type="spellStart"/>
      <w:r>
        <w:rPr>
          <w:rFonts w:ascii="Avenir Next" w:eastAsiaTheme="minorEastAsia" w:hAnsi="Avenir Next" w:cs="Arial"/>
          <w:sz w:val="22"/>
          <w:szCs w:val="22"/>
          <w:lang w:eastAsia="zh-TW"/>
        </w:rPr>
        <w:t>ascertainability</w:t>
      </w:r>
      <w:proofErr w:type="spellEnd"/>
      <w:r>
        <w:rPr>
          <w:rFonts w:ascii="Avenir Next" w:eastAsiaTheme="minorEastAsia" w:hAnsi="Avenir Next" w:cs="Arial"/>
          <w:sz w:val="22"/>
          <w:szCs w:val="22"/>
          <w:lang w:eastAsia="zh-TW"/>
        </w:rPr>
        <w:t xml:space="preserve"> of the place of COMI.  W</w:t>
      </w:r>
      <w:r>
        <w:rPr>
          <w:rFonts w:ascii="Avenir Next" w:eastAsiaTheme="minorEastAsia" w:hAnsi="Avenir Next" w:cs="Arial" w:hint="eastAsia"/>
          <w:sz w:val="22"/>
          <w:szCs w:val="22"/>
          <w:lang w:eastAsia="zh-TW"/>
        </w:rPr>
        <w:t>h</w:t>
      </w:r>
      <w:r>
        <w:rPr>
          <w:rFonts w:ascii="Avenir Next" w:eastAsiaTheme="minorEastAsia" w:hAnsi="Avenir Next" w:cs="Arial"/>
          <w:sz w:val="22"/>
          <w:szCs w:val="22"/>
          <w:lang w:eastAsia="zh-TW"/>
        </w:rPr>
        <w:t xml:space="preserve">ere the </w:t>
      </w:r>
      <w:proofErr w:type="spellStart"/>
      <w:r>
        <w:rPr>
          <w:rFonts w:ascii="Avenir Next" w:eastAsiaTheme="minorEastAsia" w:hAnsi="Avenir Next" w:cs="Arial"/>
          <w:sz w:val="22"/>
          <w:szCs w:val="22"/>
          <w:lang w:eastAsia="zh-TW"/>
        </w:rPr>
        <w:t>ascertainability</w:t>
      </w:r>
      <w:proofErr w:type="spellEnd"/>
      <w:r>
        <w:rPr>
          <w:rFonts w:ascii="Avenir Next" w:eastAsiaTheme="minorEastAsia" w:hAnsi="Avenir Next" w:cs="Arial"/>
          <w:sz w:val="22"/>
          <w:szCs w:val="22"/>
          <w:lang w:eastAsia="zh-TW"/>
        </w:rPr>
        <w:t xml:space="preserve"> or visibility by creditors is closely related to the time factor.  In this sense, the COMI of Bella SARL should be considered in France due to its </w:t>
      </w:r>
      <w:proofErr w:type="gramStart"/>
      <w:r>
        <w:rPr>
          <w:rFonts w:ascii="Avenir Next" w:eastAsiaTheme="minorEastAsia" w:hAnsi="Avenir Next" w:cs="Arial"/>
          <w:sz w:val="22"/>
          <w:szCs w:val="22"/>
          <w:lang w:eastAsia="zh-TW"/>
        </w:rPr>
        <w:t>long lasting</w:t>
      </w:r>
      <w:proofErr w:type="gramEnd"/>
      <w:r>
        <w:rPr>
          <w:rFonts w:ascii="Avenir Next" w:eastAsiaTheme="minorEastAsia" w:hAnsi="Avenir Next" w:cs="Arial"/>
          <w:sz w:val="22"/>
          <w:szCs w:val="22"/>
          <w:lang w:eastAsia="zh-TW"/>
        </w:rPr>
        <w:t xml:space="preserve"> regular activity.</w:t>
      </w:r>
    </w:p>
    <w:p w14:paraId="25784BEA" w14:textId="13050E93" w:rsidR="00C34C61" w:rsidRDefault="00C34C61" w:rsidP="005D3106">
      <w:pPr>
        <w:jc w:val="both"/>
        <w:rPr>
          <w:rFonts w:ascii="Avenir Next" w:eastAsiaTheme="minorEastAsia" w:hAnsi="Avenir Next" w:cs="Arial"/>
          <w:sz w:val="22"/>
          <w:szCs w:val="22"/>
          <w:lang w:eastAsia="zh-TW"/>
        </w:rPr>
      </w:pPr>
    </w:p>
    <w:p w14:paraId="440CEA94" w14:textId="4CEC3E15" w:rsidR="00C34C61" w:rsidRPr="005D3106" w:rsidRDefault="00C34C61" w:rsidP="005D3106">
      <w:pPr>
        <w:jc w:val="both"/>
        <w:rPr>
          <w:rFonts w:ascii="Avenir Next" w:eastAsiaTheme="minorEastAsia" w:hAnsi="Avenir Next" w:cs="Arial" w:hint="eastAsia"/>
          <w:sz w:val="22"/>
          <w:szCs w:val="22"/>
          <w:lang w:eastAsia="zh-TW"/>
        </w:rPr>
      </w:pPr>
      <w:r>
        <w:rPr>
          <w:rFonts w:ascii="Avenir Next" w:eastAsiaTheme="minorEastAsia" w:hAnsi="Avenir Next" w:cs="Arial" w:hint="eastAsia"/>
          <w:sz w:val="22"/>
          <w:szCs w:val="22"/>
          <w:lang w:eastAsia="zh-TW"/>
        </w:rPr>
        <w:t>T</w:t>
      </w:r>
      <w:r>
        <w:rPr>
          <w:rFonts w:ascii="Avenir Next" w:eastAsiaTheme="minorEastAsia" w:hAnsi="Avenir Next" w:cs="Arial"/>
          <w:sz w:val="22"/>
          <w:szCs w:val="22"/>
          <w:lang w:eastAsia="zh-TW"/>
        </w:rPr>
        <w:t>herefore, Strasbourg High Court has the jurisdiction to open the requested safeguard proceedings under EIR 2000.</w:t>
      </w:r>
    </w:p>
    <w:p w14:paraId="1D9C5015" w14:textId="77777777" w:rsidR="005B5994" w:rsidRPr="008E3C96" w:rsidRDefault="005B5994" w:rsidP="005B5994">
      <w:pPr>
        <w:ind w:left="720" w:hanging="720"/>
        <w:jc w:val="both"/>
        <w:rPr>
          <w:rFonts w:ascii="Avenir Next" w:hAnsi="Avenir Next" w:cs="Arial"/>
          <w:sz w:val="22"/>
          <w:szCs w:val="22"/>
        </w:rPr>
      </w:pP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10B8FBFD" w14:textId="77777777" w:rsidR="005B5994" w:rsidRDefault="005B5994" w:rsidP="005B5994">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Answer</w:t>
      </w:r>
    </w:p>
    <w:p w14:paraId="79CA2A25" w14:textId="2BCB8692" w:rsidR="002A20AE" w:rsidRDefault="002A20AE" w:rsidP="002A20AE">
      <w:pPr>
        <w:jc w:val="both"/>
        <w:rPr>
          <w:rFonts w:ascii="Avenir Next" w:eastAsiaTheme="minorEastAsia" w:hAnsi="Avenir Next" w:cs="Arial"/>
          <w:sz w:val="22"/>
          <w:szCs w:val="22"/>
          <w:lang w:eastAsia="zh-TW"/>
        </w:rPr>
      </w:pPr>
      <w:r w:rsidRPr="002A20AE">
        <w:rPr>
          <w:rFonts w:ascii="Avenir Next" w:eastAsiaTheme="minorEastAsia" w:hAnsi="Avenir Next" w:cs="Arial" w:hint="eastAsia"/>
          <w:sz w:val="22"/>
          <w:szCs w:val="22"/>
          <w:lang w:eastAsia="zh-TW"/>
        </w:rPr>
        <w:t>D</w:t>
      </w:r>
      <w:r w:rsidRPr="002A20AE">
        <w:rPr>
          <w:rFonts w:ascii="Avenir Next" w:eastAsiaTheme="minorEastAsia" w:hAnsi="Avenir Next" w:cs="Arial"/>
          <w:sz w:val="22"/>
          <w:szCs w:val="22"/>
          <w:lang w:eastAsia="zh-TW"/>
        </w:rPr>
        <w:t xml:space="preserve">etermination of the EIR Recast’s scope requires considering 1. </w:t>
      </w:r>
      <w:r>
        <w:rPr>
          <w:rFonts w:ascii="Avenir Next" w:eastAsiaTheme="minorEastAsia" w:hAnsi="Avenir Next" w:cs="Arial"/>
          <w:sz w:val="22"/>
          <w:szCs w:val="22"/>
          <w:lang w:eastAsia="zh-TW"/>
        </w:rPr>
        <w:t>w</w:t>
      </w:r>
      <w:r w:rsidRPr="002A20AE">
        <w:rPr>
          <w:rFonts w:ascii="Avenir Next" w:eastAsiaTheme="minorEastAsia" w:hAnsi="Avenir Next" w:cs="Arial"/>
          <w:sz w:val="22"/>
          <w:szCs w:val="22"/>
          <w:lang w:eastAsia="zh-TW"/>
        </w:rPr>
        <w:t>hen does it apply in time</w:t>
      </w:r>
      <w:r>
        <w:rPr>
          <w:rFonts w:ascii="Avenir Next" w:eastAsiaTheme="minorEastAsia" w:hAnsi="Avenir Next" w:cs="Arial"/>
          <w:sz w:val="22"/>
          <w:szCs w:val="22"/>
          <w:lang w:eastAsia="zh-TW"/>
        </w:rPr>
        <w:t xml:space="preserve"> (temporal scope)</w:t>
      </w:r>
      <w:r w:rsidRPr="002A20AE">
        <w:rPr>
          <w:rFonts w:ascii="Avenir Next" w:eastAsiaTheme="minorEastAsia" w:hAnsi="Avenir Next" w:cs="Arial"/>
          <w:sz w:val="22"/>
          <w:szCs w:val="22"/>
          <w:lang w:eastAsia="zh-TW"/>
        </w:rPr>
        <w:t xml:space="preserve">, </w:t>
      </w:r>
      <w:r>
        <w:rPr>
          <w:rFonts w:ascii="Avenir Next" w:eastAsiaTheme="minorEastAsia" w:hAnsi="Avenir Next" w:cs="Arial"/>
          <w:sz w:val="22"/>
          <w:szCs w:val="22"/>
          <w:lang w:eastAsia="zh-TW"/>
        </w:rPr>
        <w:t xml:space="preserve">2. </w:t>
      </w:r>
      <w:r w:rsidRPr="002A20AE">
        <w:rPr>
          <w:rFonts w:ascii="Avenir Next" w:eastAsiaTheme="minorEastAsia" w:hAnsi="Avenir Next" w:cs="Arial"/>
          <w:sz w:val="22"/>
          <w:szCs w:val="22"/>
          <w:lang w:eastAsia="zh-TW"/>
        </w:rPr>
        <w:t>to whom does it apply</w:t>
      </w:r>
      <w:r>
        <w:rPr>
          <w:rFonts w:ascii="Avenir Next" w:eastAsiaTheme="minorEastAsia" w:hAnsi="Avenir Next" w:cs="Arial"/>
          <w:sz w:val="22"/>
          <w:szCs w:val="22"/>
          <w:lang w:eastAsia="zh-TW"/>
        </w:rPr>
        <w:t xml:space="preserve"> (personal scope)</w:t>
      </w:r>
      <w:r w:rsidRPr="002A20AE">
        <w:rPr>
          <w:rFonts w:ascii="Avenir Next" w:eastAsiaTheme="minorEastAsia" w:hAnsi="Avenir Next" w:cs="Arial"/>
          <w:sz w:val="22"/>
          <w:szCs w:val="22"/>
          <w:lang w:eastAsia="zh-TW"/>
        </w:rPr>
        <w:t xml:space="preserve">, </w:t>
      </w:r>
      <w:r>
        <w:rPr>
          <w:rFonts w:ascii="Avenir Next" w:eastAsiaTheme="minorEastAsia" w:hAnsi="Avenir Next" w:cs="Arial"/>
          <w:sz w:val="22"/>
          <w:szCs w:val="22"/>
          <w:lang w:eastAsia="zh-TW"/>
        </w:rPr>
        <w:t xml:space="preserve">3. </w:t>
      </w:r>
      <w:r w:rsidRPr="002A20AE">
        <w:rPr>
          <w:rFonts w:ascii="Avenir Next" w:eastAsiaTheme="minorEastAsia" w:hAnsi="Avenir Next" w:cs="Arial"/>
          <w:sz w:val="22"/>
          <w:szCs w:val="22"/>
          <w:lang w:eastAsia="zh-TW"/>
        </w:rPr>
        <w:t xml:space="preserve">which proceedings are covered by it </w:t>
      </w:r>
      <w:r>
        <w:rPr>
          <w:rFonts w:ascii="Avenir Next" w:eastAsiaTheme="minorEastAsia" w:hAnsi="Avenir Next" w:cs="Arial"/>
          <w:sz w:val="22"/>
          <w:szCs w:val="22"/>
          <w:lang w:eastAsia="zh-TW"/>
        </w:rPr>
        <w:t xml:space="preserve">(material scope) </w:t>
      </w:r>
      <w:r w:rsidRPr="002A20AE">
        <w:rPr>
          <w:rFonts w:ascii="Avenir Next" w:eastAsiaTheme="minorEastAsia" w:hAnsi="Avenir Next" w:cs="Arial"/>
          <w:sz w:val="22"/>
          <w:szCs w:val="22"/>
          <w:lang w:eastAsia="zh-TW"/>
        </w:rPr>
        <w:t xml:space="preserve">and </w:t>
      </w:r>
      <w:r>
        <w:rPr>
          <w:rFonts w:ascii="Avenir Next" w:eastAsiaTheme="minorEastAsia" w:hAnsi="Avenir Next" w:cs="Arial"/>
          <w:sz w:val="22"/>
          <w:szCs w:val="22"/>
          <w:lang w:eastAsia="zh-TW"/>
        </w:rPr>
        <w:t xml:space="preserve">4. </w:t>
      </w:r>
      <w:r w:rsidRPr="002A20AE">
        <w:rPr>
          <w:rFonts w:ascii="Avenir Next" w:eastAsiaTheme="minorEastAsia" w:hAnsi="Avenir Next" w:cs="Arial"/>
          <w:sz w:val="22"/>
          <w:szCs w:val="22"/>
          <w:lang w:eastAsia="zh-TW"/>
        </w:rPr>
        <w:t>what are its geographical limitations</w:t>
      </w:r>
      <w:r>
        <w:rPr>
          <w:rFonts w:ascii="Avenir Next" w:eastAsiaTheme="minorEastAsia" w:hAnsi="Avenir Next" w:cs="Arial"/>
          <w:sz w:val="22"/>
          <w:szCs w:val="22"/>
          <w:lang w:eastAsia="zh-TW"/>
        </w:rPr>
        <w:t xml:space="preserve"> (geographical scope).</w:t>
      </w:r>
    </w:p>
    <w:p w14:paraId="39F648E2" w14:textId="3856E8A2" w:rsidR="002A20AE" w:rsidRDefault="002A20AE" w:rsidP="002A20AE">
      <w:pPr>
        <w:jc w:val="both"/>
        <w:rPr>
          <w:rFonts w:ascii="Avenir Next" w:eastAsiaTheme="minorEastAsia" w:hAnsi="Avenir Next" w:cs="Arial"/>
          <w:sz w:val="22"/>
          <w:szCs w:val="22"/>
          <w:lang w:eastAsia="zh-TW"/>
        </w:rPr>
      </w:pPr>
    </w:p>
    <w:p w14:paraId="79276338" w14:textId="5557AE57" w:rsidR="002A20AE" w:rsidRPr="00287639" w:rsidRDefault="002A20AE" w:rsidP="002A20AE">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I</w:t>
      </w:r>
      <w:r>
        <w:rPr>
          <w:rFonts w:ascii="Avenir Next" w:eastAsiaTheme="minorEastAsia" w:hAnsi="Avenir Next" w:cs="Arial"/>
          <w:sz w:val="22"/>
          <w:szCs w:val="22"/>
          <w:lang w:eastAsia="zh-TW"/>
        </w:rPr>
        <w:t xml:space="preserve">n this case, </w:t>
      </w:r>
      <w:r>
        <w:rPr>
          <w:rFonts w:ascii="Avenir Next" w:hAnsi="Avenir Next" w:cs="Arial"/>
          <w:sz w:val="22"/>
          <w:szCs w:val="22"/>
          <w:lang w:val="en-GB"/>
        </w:rPr>
        <w:t>the proceeding is opened after 26 June 2017 (</w:t>
      </w:r>
      <w:proofErr w:type="gramStart"/>
      <w:r>
        <w:rPr>
          <w:rFonts w:ascii="Avenir Next" w:hAnsi="Avenir Next" w:cs="Arial"/>
          <w:sz w:val="22"/>
          <w:szCs w:val="22"/>
          <w:lang w:val="en-GB"/>
        </w:rPr>
        <w:t>i.e.</w:t>
      </w:r>
      <w:proofErr w:type="gramEnd"/>
      <w:r>
        <w:rPr>
          <w:rFonts w:ascii="Avenir Next" w:hAnsi="Avenir Next" w:cs="Arial"/>
          <w:sz w:val="22"/>
          <w:szCs w:val="22"/>
          <w:lang w:val="en-GB"/>
        </w:rPr>
        <w:t xml:space="preserve"> 30 June 2017)</w:t>
      </w:r>
      <w:r>
        <w:rPr>
          <w:rFonts w:ascii="Avenir Next" w:hAnsi="Avenir Next" w:cs="Arial"/>
          <w:sz w:val="22"/>
          <w:szCs w:val="22"/>
          <w:lang w:val="en-GB"/>
        </w:rPr>
        <w:t xml:space="preserve">; </w:t>
      </w:r>
      <w:r>
        <w:rPr>
          <w:rFonts w:ascii="Avenir Next" w:eastAsiaTheme="minorEastAsia" w:hAnsi="Avenir Next" w:cs="Arial"/>
          <w:sz w:val="22"/>
          <w:szCs w:val="22"/>
          <w:lang w:eastAsia="zh-TW"/>
        </w:rPr>
        <w:t>Bella SARL is a cosmetic product retailer but not a bank, insurance company or another “excluded” undertaking</w:t>
      </w:r>
      <w:r>
        <w:rPr>
          <w:rFonts w:ascii="Avenir Next" w:eastAsiaTheme="minorEastAsia" w:hAnsi="Avenir Next" w:cs="Arial"/>
          <w:sz w:val="22"/>
          <w:szCs w:val="22"/>
          <w:lang w:eastAsia="zh-TW"/>
        </w:rPr>
        <w:t xml:space="preserve">; </w:t>
      </w:r>
      <w:r w:rsidR="00287639">
        <w:rPr>
          <w:rFonts w:ascii="Avenir Next" w:eastAsiaTheme="minorEastAsia" w:hAnsi="Avenir Next" w:cs="Arial"/>
          <w:sz w:val="22"/>
          <w:szCs w:val="22"/>
          <w:lang w:eastAsia="zh-TW"/>
        </w:rPr>
        <w:t xml:space="preserve">the proceeding opened is </w:t>
      </w:r>
      <w:r w:rsidR="00287639" w:rsidRPr="008E3C96">
        <w:rPr>
          <w:rFonts w:ascii="Avenir Next" w:hAnsi="Avenir Next" w:cs="Arial"/>
          <w:sz w:val="22"/>
          <w:szCs w:val="22"/>
          <w:lang w:val="en-GB"/>
        </w:rPr>
        <w:t>safeguard proceedings in the Strasbourg High Court in France</w:t>
      </w:r>
      <w:r w:rsidR="00287639">
        <w:rPr>
          <w:rFonts w:ascii="Avenir Next" w:hAnsi="Avenir Next" w:cs="Arial"/>
          <w:sz w:val="22"/>
          <w:szCs w:val="22"/>
          <w:lang w:val="en-GB"/>
        </w:rPr>
        <w:t xml:space="preserve"> which is listed in Annex A to the EIR Recast</w:t>
      </w:r>
      <w:r w:rsidR="00287639">
        <w:rPr>
          <w:rFonts w:ascii="Avenir Next" w:hAnsi="Avenir Next" w:cs="Arial"/>
          <w:sz w:val="22"/>
          <w:szCs w:val="22"/>
          <w:lang w:val="en-GB"/>
        </w:rPr>
        <w:t>;</w:t>
      </w:r>
      <w:r w:rsidR="00287639">
        <w:rPr>
          <w:rFonts w:ascii="Avenir Next" w:eastAsiaTheme="minorEastAsia" w:hAnsi="Avenir Next" w:cs="Arial" w:hint="eastAsia"/>
          <w:sz w:val="22"/>
          <w:szCs w:val="22"/>
          <w:lang w:eastAsia="zh-TW"/>
        </w:rPr>
        <w:t xml:space="preserve"> </w:t>
      </w:r>
      <w:r w:rsidR="00287639">
        <w:rPr>
          <w:rFonts w:ascii="Avenir Next" w:eastAsiaTheme="minorEastAsia" w:hAnsi="Avenir Next" w:cs="Arial"/>
          <w:sz w:val="22"/>
          <w:szCs w:val="22"/>
          <w:lang w:eastAsia="zh-TW"/>
        </w:rPr>
        <w:t xml:space="preserve">and </w:t>
      </w:r>
      <w:r>
        <w:rPr>
          <w:rFonts w:ascii="Avenir Next" w:eastAsiaTheme="minorEastAsia" w:hAnsi="Avenir Next" w:cs="Arial"/>
          <w:sz w:val="22"/>
          <w:szCs w:val="22"/>
          <w:lang w:eastAsia="zh-TW"/>
        </w:rPr>
        <w:t xml:space="preserve">it has COMI in a Member State of </w:t>
      </w:r>
      <w:r>
        <w:rPr>
          <w:rFonts w:ascii="Avenir Next" w:eastAsiaTheme="minorEastAsia" w:hAnsi="Avenir Next" w:cs="Arial" w:hint="eastAsia"/>
          <w:sz w:val="22"/>
          <w:szCs w:val="22"/>
          <w:lang w:eastAsia="zh-TW"/>
        </w:rPr>
        <w:t>t</w:t>
      </w:r>
      <w:r>
        <w:rPr>
          <w:rFonts w:ascii="Avenir Next" w:eastAsiaTheme="minorEastAsia" w:hAnsi="Avenir Next" w:cs="Arial"/>
          <w:sz w:val="22"/>
          <w:szCs w:val="22"/>
          <w:lang w:eastAsia="zh-TW"/>
        </w:rPr>
        <w:t>he EU (i.e. France)</w:t>
      </w:r>
      <w:r w:rsidR="00287639">
        <w:rPr>
          <w:rFonts w:ascii="Avenir Next" w:eastAsiaTheme="minorEastAsia" w:hAnsi="Avenir Next" w:cs="Arial"/>
          <w:sz w:val="22"/>
          <w:szCs w:val="22"/>
          <w:lang w:eastAsia="zh-TW"/>
        </w:rPr>
        <w:t>.</w:t>
      </w:r>
    </w:p>
    <w:p w14:paraId="012DA4EA" w14:textId="4F1C4527" w:rsidR="002A20AE" w:rsidRDefault="002A20AE" w:rsidP="002A20AE">
      <w:pPr>
        <w:jc w:val="both"/>
        <w:rPr>
          <w:rFonts w:ascii="Avenir Next" w:hAnsi="Avenir Next" w:cs="Arial"/>
          <w:sz w:val="22"/>
          <w:szCs w:val="22"/>
          <w:lang w:val="en-GB"/>
        </w:rPr>
      </w:pPr>
    </w:p>
    <w:p w14:paraId="0A95C017" w14:textId="106F9A05" w:rsidR="002A20AE" w:rsidRPr="002A20AE" w:rsidRDefault="00287639" w:rsidP="002A20AE">
      <w:pPr>
        <w:jc w:val="both"/>
        <w:rPr>
          <w:rFonts w:ascii="Avenir Next" w:eastAsiaTheme="minorEastAsia" w:hAnsi="Avenir Next" w:cs="Arial" w:hint="eastAsia"/>
          <w:sz w:val="22"/>
          <w:szCs w:val="22"/>
          <w:lang w:eastAsia="zh-TW"/>
        </w:rPr>
      </w:pPr>
      <w:r>
        <w:rPr>
          <w:rFonts w:ascii="Avenir Next" w:eastAsiaTheme="minorEastAsia" w:hAnsi="Avenir Next" w:cs="Arial" w:hint="eastAsia"/>
          <w:sz w:val="22"/>
          <w:szCs w:val="22"/>
          <w:lang w:eastAsia="zh-TW"/>
        </w:rPr>
        <w:t>E</w:t>
      </w:r>
      <w:r>
        <w:rPr>
          <w:rFonts w:ascii="Avenir Next" w:eastAsiaTheme="minorEastAsia" w:hAnsi="Avenir Next" w:cs="Arial"/>
          <w:sz w:val="22"/>
          <w:szCs w:val="22"/>
          <w:lang w:eastAsia="zh-TW"/>
        </w:rPr>
        <w:t>IR Recase should be applicable to the proceedings.</w:t>
      </w:r>
    </w:p>
    <w:p w14:paraId="1B5E2F08" w14:textId="4A6E0EB8" w:rsidR="002D3473" w:rsidRDefault="002D3473" w:rsidP="002A37BB">
      <w:pPr>
        <w:autoSpaceDE w:val="0"/>
        <w:autoSpaceDN w:val="0"/>
        <w:adjustRightInd w:val="0"/>
        <w:jc w:val="both"/>
        <w:rPr>
          <w:rFonts w:ascii="Avenir Next" w:hAnsi="Avenir Next" w:cs="Arial"/>
          <w:sz w:val="22"/>
          <w:szCs w:val="22"/>
          <w:lang w:val="en-GB"/>
        </w:rPr>
      </w:pPr>
    </w:p>
    <w:p w14:paraId="7B377DE2" w14:textId="77777777" w:rsidR="00C32984" w:rsidRPr="002A20AE" w:rsidRDefault="00C32984"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487BBA" w14:textId="2F91B029" w:rsidR="005B5994" w:rsidRDefault="005B5994" w:rsidP="00287639">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Answer</w:t>
      </w:r>
    </w:p>
    <w:p w14:paraId="33BF736D" w14:textId="54BEB31C" w:rsidR="005B5994" w:rsidRDefault="00287639" w:rsidP="00287639">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U</w:t>
      </w:r>
      <w:r>
        <w:rPr>
          <w:rFonts w:ascii="Avenir Next" w:eastAsiaTheme="minorEastAsia" w:hAnsi="Avenir Next" w:cs="Arial"/>
          <w:sz w:val="22"/>
          <w:szCs w:val="22"/>
          <w:lang w:eastAsia="zh-TW"/>
        </w:rPr>
        <w:t>nder EIR Recast, the creditor may also file for secondary insolvency proceedings in another Member State where the debtor has an establishment</w:t>
      </w:r>
      <w:r w:rsidR="009520E9">
        <w:rPr>
          <w:rFonts w:ascii="Avenir Next" w:eastAsiaTheme="minorEastAsia" w:hAnsi="Avenir Next" w:cs="Arial"/>
          <w:sz w:val="22"/>
          <w:szCs w:val="22"/>
          <w:lang w:eastAsia="zh-TW"/>
        </w:rPr>
        <w:t xml:space="preserve"> (Article 3(2)). </w:t>
      </w:r>
      <w:r>
        <w:rPr>
          <w:rFonts w:ascii="Avenir Next" w:eastAsiaTheme="minorEastAsia" w:hAnsi="Avenir Next" w:cs="Arial"/>
          <w:sz w:val="22"/>
          <w:szCs w:val="22"/>
          <w:lang w:eastAsia="zh-TW"/>
        </w:rPr>
        <w:t xml:space="preserve"> </w:t>
      </w:r>
      <w:r w:rsidR="009520E9">
        <w:rPr>
          <w:rFonts w:ascii="Avenir Next" w:eastAsiaTheme="minorEastAsia" w:hAnsi="Avenir Next" w:cs="Arial"/>
          <w:sz w:val="22"/>
          <w:szCs w:val="22"/>
          <w:lang w:eastAsia="zh-TW"/>
        </w:rPr>
        <w:t>Establishment is defined as the “place pf operations where a debtor carries out or has carried out a non-transitory economic activity with human means and assets” (Article 2(10)).</w:t>
      </w:r>
      <w:r w:rsidR="009520E9">
        <w:rPr>
          <w:rFonts w:ascii="Avenir Next" w:eastAsiaTheme="minorEastAsia" w:hAnsi="Avenir Next" w:cs="Arial" w:hint="eastAsia"/>
          <w:sz w:val="22"/>
          <w:szCs w:val="22"/>
          <w:lang w:eastAsia="zh-TW"/>
        </w:rPr>
        <w:t xml:space="preserve"> </w:t>
      </w:r>
      <w:r w:rsidR="009520E9">
        <w:rPr>
          <w:rFonts w:ascii="Avenir Next" w:eastAsiaTheme="minorEastAsia" w:hAnsi="Avenir Next" w:cs="Arial"/>
          <w:sz w:val="22"/>
          <w:szCs w:val="22"/>
          <w:lang w:eastAsia="zh-TW"/>
        </w:rPr>
        <w:t>The purpose of secondary insolvency proceedings is to protect local interests and improve the administration of the insolvency estate (Recital 40).  Its</w:t>
      </w:r>
      <w:r>
        <w:rPr>
          <w:rFonts w:ascii="Avenir Next" w:eastAsiaTheme="minorEastAsia" w:hAnsi="Avenir Next" w:cs="Arial"/>
          <w:sz w:val="22"/>
          <w:szCs w:val="22"/>
          <w:lang w:eastAsia="zh-TW"/>
        </w:rPr>
        <w:t xml:space="preserve"> effects </w:t>
      </w:r>
      <w:r>
        <w:rPr>
          <w:rFonts w:ascii="Avenir Next" w:eastAsiaTheme="minorEastAsia" w:hAnsi="Avenir Next" w:cs="Arial"/>
          <w:sz w:val="22"/>
          <w:szCs w:val="22"/>
          <w:lang w:eastAsia="zh-TW"/>
        </w:rPr>
        <w:lastRenderedPageBreak/>
        <w:t>limited to the assets located in th</w:t>
      </w:r>
      <w:r>
        <w:rPr>
          <w:rFonts w:ascii="Avenir Next" w:eastAsiaTheme="minorEastAsia" w:hAnsi="Avenir Next" w:cs="Arial" w:hint="eastAsia"/>
          <w:sz w:val="22"/>
          <w:szCs w:val="22"/>
          <w:lang w:eastAsia="zh-TW"/>
        </w:rPr>
        <w:t>a</w:t>
      </w:r>
      <w:r>
        <w:rPr>
          <w:rFonts w:ascii="Avenir Next" w:eastAsiaTheme="minorEastAsia" w:hAnsi="Avenir Next" w:cs="Arial"/>
          <w:sz w:val="22"/>
          <w:szCs w:val="22"/>
          <w:lang w:eastAsia="zh-TW"/>
        </w:rPr>
        <w:t xml:space="preserve">t Member State </w:t>
      </w:r>
      <w:r w:rsidR="009520E9">
        <w:rPr>
          <w:rFonts w:ascii="Avenir Next" w:eastAsiaTheme="minorEastAsia" w:hAnsi="Avenir Next" w:cs="Arial"/>
          <w:sz w:val="22"/>
          <w:szCs w:val="22"/>
          <w:lang w:eastAsia="zh-TW"/>
        </w:rPr>
        <w:t>where the secondary proceedings opened (Recital 23)</w:t>
      </w:r>
      <w:r>
        <w:rPr>
          <w:rFonts w:ascii="Avenir Next" w:eastAsiaTheme="minorEastAsia" w:hAnsi="Avenir Next" w:cs="Arial"/>
          <w:sz w:val="22"/>
          <w:szCs w:val="22"/>
          <w:lang w:eastAsia="zh-TW"/>
        </w:rPr>
        <w:t xml:space="preserve">.  </w:t>
      </w:r>
    </w:p>
    <w:p w14:paraId="32EA12DD" w14:textId="58E26C05" w:rsidR="009520E9" w:rsidRDefault="009520E9" w:rsidP="00287639">
      <w:pPr>
        <w:jc w:val="both"/>
        <w:rPr>
          <w:rFonts w:ascii="Avenir Next" w:eastAsiaTheme="minorEastAsia" w:hAnsi="Avenir Next" w:cs="Arial"/>
          <w:sz w:val="22"/>
          <w:szCs w:val="22"/>
          <w:lang w:eastAsia="zh-TW"/>
        </w:rPr>
      </w:pPr>
    </w:p>
    <w:p w14:paraId="0156DD74" w14:textId="2F1210A0" w:rsidR="009520E9" w:rsidRDefault="009520E9" w:rsidP="00287639">
      <w:pPr>
        <w:jc w:val="both"/>
        <w:rPr>
          <w:rFonts w:ascii="Avenir Next" w:eastAsiaTheme="minorEastAsia" w:hAnsi="Avenir Next" w:cs="Arial" w:hint="eastAsia"/>
          <w:sz w:val="22"/>
          <w:szCs w:val="22"/>
          <w:lang w:eastAsia="zh-TW"/>
        </w:rPr>
      </w:pPr>
      <w:r>
        <w:rPr>
          <w:rFonts w:ascii="Avenir Next" w:eastAsiaTheme="minorEastAsia" w:hAnsi="Avenir Next" w:cs="Arial" w:hint="eastAsia"/>
          <w:sz w:val="22"/>
          <w:szCs w:val="22"/>
          <w:lang w:eastAsia="zh-TW"/>
        </w:rPr>
        <w:t>I</w:t>
      </w:r>
      <w:r>
        <w:rPr>
          <w:rFonts w:ascii="Avenir Next" w:eastAsiaTheme="minorEastAsia" w:hAnsi="Avenir Next" w:cs="Arial"/>
          <w:sz w:val="22"/>
          <w:szCs w:val="22"/>
          <w:lang w:eastAsia="zh-TW"/>
        </w:rPr>
        <w:t xml:space="preserve">n </w:t>
      </w:r>
      <w:proofErr w:type="spellStart"/>
      <w:r w:rsidRPr="006E7B1E">
        <w:rPr>
          <w:rFonts w:ascii="Avenir Next" w:eastAsiaTheme="minorEastAsia" w:hAnsi="Avenir Next" w:cs="Arial"/>
          <w:i/>
          <w:iCs/>
          <w:sz w:val="22"/>
          <w:szCs w:val="22"/>
          <w:lang w:eastAsia="zh-TW"/>
        </w:rPr>
        <w:t>Interedil</w:t>
      </w:r>
      <w:proofErr w:type="spellEnd"/>
      <w:r>
        <w:rPr>
          <w:rFonts w:ascii="Avenir Next" w:eastAsiaTheme="minorEastAsia" w:hAnsi="Avenir Next" w:cs="Arial"/>
          <w:sz w:val="22"/>
          <w:szCs w:val="22"/>
          <w:lang w:eastAsia="zh-TW"/>
        </w:rPr>
        <w:t xml:space="preserve">, the CJEU examined and concluded that </w:t>
      </w:r>
      <w:r w:rsidR="006E7B1E">
        <w:rPr>
          <w:rFonts w:ascii="Avenir Next" w:eastAsiaTheme="minorEastAsia" w:hAnsi="Avenir Next" w:cs="Arial"/>
          <w:sz w:val="22"/>
          <w:szCs w:val="22"/>
          <w:lang w:eastAsia="zh-TW"/>
        </w:rPr>
        <w:t>the definition of establishment connects the pursuit of an economic activity to the presence of human resources.  Non-transitory economic activity with human means and assets are assumed to be ascertainable by third parties before the concerning court authorized to open the secondary insolvency proceedings.</w:t>
      </w:r>
    </w:p>
    <w:p w14:paraId="0AC8A59A" w14:textId="4E85BD84" w:rsidR="00287639" w:rsidRDefault="00287639" w:rsidP="00287639">
      <w:pPr>
        <w:jc w:val="both"/>
        <w:rPr>
          <w:rFonts w:ascii="Avenir Next" w:eastAsiaTheme="minorEastAsia" w:hAnsi="Avenir Next" w:cs="Arial"/>
          <w:sz w:val="22"/>
          <w:szCs w:val="22"/>
          <w:lang w:eastAsia="zh-TW"/>
        </w:rPr>
      </w:pPr>
    </w:p>
    <w:p w14:paraId="35D8F287" w14:textId="1AE54D87" w:rsidR="0077498C" w:rsidRDefault="00287639" w:rsidP="002A37BB">
      <w:pPr>
        <w:jc w:val="both"/>
        <w:rPr>
          <w:rFonts w:ascii="Avenir Next" w:eastAsiaTheme="minorEastAsia" w:hAnsi="Avenir Next" w:cs="Arial"/>
          <w:sz w:val="22"/>
          <w:szCs w:val="22"/>
          <w:lang w:eastAsia="zh-TW"/>
        </w:rPr>
      </w:pPr>
      <w:r>
        <w:rPr>
          <w:rFonts w:ascii="Avenir Next" w:eastAsiaTheme="minorEastAsia" w:hAnsi="Avenir Next" w:cs="Arial" w:hint="eastAsia"/>
          <w:sz w:val="22"/>
          <w:szCs w:val="22"/>
          <w:lang w:eastAsia="zh-TW"/>
        </w:rPr>
        <w:t>I</w:t>
      </w:r>
      <w:r>
        <w:rPr>
          <w:rFonts w:ascii="Avenir Next" w:eastAsiaTheme="minorEastAsia" w:hAnsi="Avenir Next" w:cs="Arial"/>
          <w:sz w:val="22"/>
          <w:szCs w:val="22"/>
          <w:lang w:eastAsia="zh-TW"/>
        </w:rPr>
        <w:t>n this case, Bella SARL has customers, employees and warehouse(s) in Italy.  It appears that Bella SARL</w:t>
      </w:r>
      <w:r w:rsidR="006E7B1E">
        <w:rPr>
          <w:rFonts w:ascii="Avenir Next" w:eastAsiaTheme="minorEastAsia" w:hAnsi="Avenir Next" w:cs="Arial"/>
          <w:sz w:val="22"/>
          <w:szCs w:val="22"/>
          <w:lang w:eastAsia="zh-TW"/>
        </w:rPr>
        <w:t xml:space="preserve"> has an establishment in Italy.  Italian court therefore has a jurisdiction to open a secondary insolvency proceeding.</w:t>
      </w:r>
    </w:p>
    <w:p w14:paraId="69DBE26C" w14:textId="338A33C9" w:rsidR="00C32984" w:rsidRDefault="00C32984" w:rsidP="002A37BB">
      <w:pPr>
        <w:jc w:val="both"/>
        <w:rPr>
          <w:rFonts w:ascii="Avenir Next" w:eastAsiaTheme="minorEastAsia" w:hAnsi="Avenir Next" w:cs="Arial"/>
          <w:sz w:val="22"/>
          <w:szCs w:val="22"/>
          <w:lang w:eastAsia="zh-TW"/>
        </w:rPr>
      </w:pPr>
    </w:p>
    <w:p w14:paraId="57F164BC" w14:textId="77777777" w:rsidR="00C32984" w:rsidRPr="006E7B1E" w:rsidRDefault="00C32984" w:rsidP="002A37BB">
      <w:pPr>
        <w:jc w:val="both"/>
        <w:rPr>
          <w:rFonts w:ascii="Avenir Next" w:eastAsiaTheme="minorEastAsia" w:hAnsi="Avenir Next" w:cs="Arial" w:hint="eastAsia"/>
          <w:sz w:val="22"/>
          <w:szCs w:val="22"/>
          <w:lang w:eastAsia="zh-TW"/>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1FDF" w14:textId="77777777" w:rsidR="002A189E" w:rsidRDefault="002A189E" w:rsidP="00241B44">
      <w:r>
        <w:separator/>
      </w:r>
    </w:p>
  </w:endnote>
  <w:endnote w:type="continuationSeparator" w:id="0">
    <w:p w14:paraId="5013D585" w14:textId="77777777" w:rsidR="002A189E" w:rsidRDefault="002A18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D509A5" w:rsidRPr="00FC7B47" w:rsidRDefault="00D509A5"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D509A5" w:rsidRPr="00FC7B47" w:rsidRDefault="00D509A5"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w:hAnsi="Avenir Next" w:cs="Arial"/>
        <w:sz w:val="22"/>
        <w:szCs w:val="22"/>
      </w:rPr>
      <w:id w:val="-1409602822"/>
      <w:docPartObj>
        <w:docPartGallery w:val="Page Numbers (Bottom of Page)"/>
        <w:docPartUnique/>
      </w:docPartObj>
    </w:sdtPr>
    <w:sdtEndPr>
      <w:rPr>
        <w:rStyle w:val="af1"/>
        <w:rFonts w:ascii="Arial" w:hAnsi="Arial"/>
        <w:sz w:val="18"/>
        <w:szCs w:val="18"/>
      </w:rPr>
    </w:sdtEndPr>
    <w:sdtContent>
      <w:p w14:paraId="0A05F8FD" w14:textId="25250B7C" w:rsidR="00D509A5" w:rsidRPr="009B4976" w:rsidRDefault="00D509A5" w:rsidP="00D509A5">
        <w:pPr>
          <w:pStyle w:val="af"/>
          <w:framePr w:wrap="none" w:vAnchor="text" w:hAnchor="margin" w:xAlign="right" w:y="1"/>
          <w:rPr>
            <w:rStyle w:val="af1"/>
            <w:rFonts w:ascii="Arial" w:hAnsi="Arial" w:cs="Arial"/>
            <w:sz w:val="18"/>
            <w:szCs w:val="18"/>
          </w:rPr>
        </w:pPr>
        <w:r w:rsidRPr="00E36039">
          <w:rPr>
            <w:rStyle w:val="af1"/>
            <w:rFonts w:ascii="Avenir Next" w:hAnsi="Avenir Next" w:cs="Arial"/>
            <w:sz w:val="22"/>
            <w:szCs w:val="22"/>
          </w:rPr>
          <w:t xml:space="preserve">Page </w:t>
        </w:r>
        <w:r w:rsidRPr="00E36039">
          <w:rPr>
            <w:rStyle w:val="af1"/>
            <w:rFonts w:ascii="Avenir Next" w:hAnsi="Avenir Next" w:cs="Arial"/>
            <w:sz w:val="22"/>
            <w:szCs w:val="22"/>
          </w:rPr>
          <w:fldChar w:fldCharType="begin"/>
        </w:r>
        <w:r w:rsidRPr="00E36039">
          <w:rPr>
            <w:rStyle w:val="af1"/>
            <w:rFonts w:ascii="Avenir Next" w:hAnsi="Avenir Next" w:cs="Arial"/>
            <w:sz w:val="22"/>
            <w:szCs w:val="22"/>
          </w:rPr>
          <w:instrText xml:space="preserve"> PAGE </w:instrText>
        </w:r>
        <w:r w:rsidRPr="00E36039">
          <w:rPr>
            <w:rStyle w:val="af1"/>
            <w:rFonts w:ascii="Avenir Next" w:hAnsi="Avenir Next" w:cs="Arial"/>
            <w:sz w:val="22"/>
            <w:szCs w:val="22"/>
          </w:rPr>
          <w:fldChar w:fldCharType="separate"/>
        </w:r>
        <w:r w:rsidR="00BA543A" w:rsidRPr="00E36039">
          <w:rPr>
            <w:rStyle w:val="af1"/>
            <w:rFonts w:ascii="Avenir Next" w:hAnsi="Avenir Next" w:cs="Arial"/>
            <w:noProof/>
            <w:sz w:val="22"/>
            <w:szCs w:val="22"/>
          </w:rPr>
          <w:t>9</w:t>
        </w:r>
        <w:r w:rsidRPr="00E36039">
          <w:rPr>
            <w:rStyle w:val="af1"/>
            <w:rFonts w:ascii="Avenir Next" w:hAnsi="Avenir Next" w:cs="Arial"/>
            <w:sz w:val="22"/>
            <w:szCs w:val="22"/>
          </w:rPr>
          <w:fldChar w:fldCharType="end"/>
        </w:r>
      </w:p>
    </w:sdtContent>
  </w:sdt>
  <w:p w14:paraId="30F05E79" w14:textId="4A125C55" w:rsidR="00D509A5" w:rsidRPr="00E36039" w:rsidRDefault="009179EF" w:rsidP="009B4976">
    <w:pPr>
      <w:pStyle w:val="af"/>
      <w:ind w:right="360"/>
      <w:rPr>
        <w:rFonts w:ascii="Avenir Next" w:hAnsi="Avenir Next" w:cs="Arial"/>
        <w:sz w:val="22"/>
        <w:szCs w:val="22"/>
        <w:lang w:val="en-GB"/>
      </w:rPr>
    </w:pPr>
    <w:r w:rsidRPr="009179EF">
      <w:rPr>
        <w:rFonts w:ascii="Avenir Next" w:hAnsi="Avenir Next" w:cs="Arial"/>
        <w:sz w:val="22"/>
        <w:szCs w:val="22"/>
        <w:lang w:val="en-GB"/>
      </w:rPr>
      <w:t>202122-355.assessment2</w:t>
    </w:r>
    <w:r>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BDE6" w14:textId="77777777" w:rsidR="002A189E" w:rsidRDefault="002A189E" w:rsidP="00241B44">
      <w:r>
        <w:separator/>
      </w:r>
    </w:p>
  </w:footnote>
  <w:footnote w:type="continuationSeparator" w:id="0">
    <w:p w14:paraId="7DE33424" w14:textId="77777777" w:rsidR="002A189E" w:rsidRDefault="002A189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0C3268"/>
    <w:multiLevelType w:val="hybridMultilevel"/>
    <w:tmpl w:val="18A4CCE0"/>
    <w:lvl w:ilvl="0" w:tplc="1DE67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EF520F0"/>
    <w:multiLevelType w:val="hybridMultilevel"/>
    <w:tmpl w:val="05FE60D0"/>
    <w:lvl w:ilvl="0" w:tplc="FB8A9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533A48"/>
    <w:multiLevelType w:val="hybridMultilevel"/>
    <w:tmpl w:val="DC72A682"/>
    <w:lvl w:ilvl="0" w:tplc="8FF8A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59750831">
    <w:abstractNumId w:val="13"/>
  </w:num>
  <w:num w:numId="2" w16cid:durableId="404030175">
    <w:abstractNumId w:val="22"/>
  </w:num>
  <w:num w:numId="3" w16cid:durableId="541747276">
    <w:abstractNumId w:val="16"/>
  </w:num>
  <w:num w:numId="4" w16cid:durableId="1436290339">
    <w:abstractNumId w:val="29"/>
  </w:num>
  <w:num w:numId="5" w16cid:durableId="1190412839">
    <w:abstractNumId w:val="21"/>
  </w:num>
  <w:num w:numId="6" w16cid:durableId="955327027">
    <w:abstractNumId w:val="24"/>
  </w:num>
  <w:num w:numId="7" w16cid:durableId="601914098">
    <w:abstractNumId w:val="7"/>
  </w:num>
  <w:num w:numId="8" w16cid:durableId="1309744571">
    <w:abstractNumId w:val="19"/>
  </w:num>
  <w:num w:numId="9" w16cid:durableId="1347949444">
    <w:abstractNumId w:val="18"/>
  </w:num>
  <w:num w:numId="10" w16cid:durableId="1585263050">
    <w:abstractNumId w:val="14"/>
  </w:num>
  <w:num w:numId="11" w16cid:durableId="1266885379">
    <w:abstractNumId w:val="20"/>
  </w:num>
  <w:num w:numId="12" w16cid:durableId="929778291">
    <w:abstractNumId w:val="2"/>
  </w:num>
  <w:num w:numId="13" w16cid:durableId="897519360">
    <w:abstractNumId w:val="11"/>
  </w:num>
  <w:num w:numId="14" w16cid:durableId="1422600605">
    <w:abstractNumId w:val="17"/>
  </w:num>
  <w:num w:numId="15" w16cid:durableId="178397128">
    <w:abstractNumId w:val="15"/>
  </w:num>
  <w:num w:numId="16" w16cid:durableId="1265113384">
    <w:abstractNumId w:val="10"/>
  </w:num>
  <w:num w:numId="17" w16cid:durableId="1859654518">
    <w:abstractNumId w:val="13"/>
  </w:num>
  <w:num w:numId="18" w16cid:durableId="1696615119">
    <w:abstractNumId w:val="3"/>
  </w:num>
  <w:num w:numId="19" w16cid:durableId="1179779956">
    <w:abstractNumId w:val="0"/>
  </w:num>
  <w:num w:numId="20" w16cid:durableId="1760566758">
    <w:abstractNumId w:val="5"/>
  </w:num>
  <w:num w:numId="21" w16cid:durableId="121507422">
    <w:abstractNumId w:val="0"/>
  </w:num>
  <w:num w:numId="22" w16cid:durableId="328825382">
    <w:abstractNumId w:val="8"/>
  </w:num>
  <w:num w:numId="23" w16cid:durableId="1082482384">
    <w:abstractNumId w:val="23"/>
  </w:num>
  <w:num w:numId="24" w16cid:durableId="678779424">
    <w:abstractNumId w:val="25"/>
  </w:num>
  <w:num w:numId="25" w16cid:durableId="1647709388">
    <w:abstractNumId w:val="4"/>
  </w:num>
  <w:num w:numId="26" w16cid:durableId="991447687">
    <w:abstractNumId w:val="30"/>
  </w:num>
  <w:num w:numId="27" w16cid:durableId="149366197">
    <w:abstractNumId w:val="9"/>
  </w:num>
  <w:num w:numId="28" w16cid:durableId="819999108">
    <w:abstractNumId w:val="1"/>
  </w:num>
  <w:num w:numId="29" w16cid:durableId="1945071976">
    <w:abstractNumId w:val="12"/>
  </w:num>
  <w:num w:numId="30" w16cid:durableId="2032604472">
    <w:abstractNumId w:val="28"/>
  </w:num>
  <w:num w:numId="31" w16cid:durableId="1458259782">
    <w:abstractNumId w:val="6"/>
  </w:num>
  <w:num w:numId="32" w16cid:durableId="1218855985">
    <w:abstractNumId w:val="27"/>
  </w:num>
  <w:num w:numId="33" w16cid:durableId="202775397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C81"/>
    <w:rsid w:val="00023F9F"/>
    <w:rsid w:val="000250C7"/>
    <w:rsid w:val="00026F16"/>
    <w:rsid w:val="00037621"/>
    <w:rsid w:val="00041B32"/>
    <w:rsid w:val="00044D46"/>
    <w:rsid w:val="00045088"/>
    <w:rsid w:val="00045904"/>
    <w:rsid w:val="00054E15"/>
    <w:rsid w:val="00065166"/>
    <w:rsid w:val="00082609"/>
    <w:rsid w:val="000851CC"/>
    <w:rsid w:val="00087CD6"/>
    <w:rsid w:val="00093BE8"/>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23908"/>
    <w:rsid w:val="0024116D"/>
    <w:rsid w:val="00241B44"/>
    <w:rsid w:val="00241FA3"/>
    <w:rsid w:val="00244C44"/>
    <w:rsid w:val="00245EFB"/>
    <w:rsid w:val="0025386E"/>
    <w:rsid w:val="002638B0"/>
    <w:rsid w:val="0026647A"/>
    <w:rsid w:val="002668D3"/>
    <w:rsid w:val="0027299F"/>
    <w:rsid w:val="002729AB"/>
    <w:rsid w:val="00284EBE"/>
    <w:rsid w:val="00287639"/>
    <w:rsid w:val="0029433F"/>
    <w:rsid w:val="00294829"/>
    <w:rsid w:val="0029690F"/>
    <w:rsid w:val="00297C8A"/>
    <w:rsid w:val="002A10A2"/>
    <w:rsid w:val="002A189E"/>
    <w:rsid w:val="002A20AE"/>
    <w:rsid w:val="002A2A60"/>
    <w:rsid w:val="002A37BB"/>
    <w:rsid w:val="002B1C45"/>
    <w:rsid w:val="002C13C8"/>
    <w:rsid w:val="002C3547"/>
    <w:rsid w:val="002D0021"/>
    <w:rsid w:val="002D3473"/>
    <w:rsid w:val="002E4CF1"/>
    <w:rsid w:val="002F1956"/>
    <w:rsid w:val="002F3440"/>
    <w:rsid w:val="002F75A3"/>
    <w:rsid w:val="00302D76"/>
    <w:rsid w:val="00303C2F"/>
    <w:rsid w:val="00310D38"/>
    <w:rsid w:val="00310D57"/>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3E64"/>
    <w:rsid w:val="00434A8C"/>
    <w:rsid w:val="00437297"/>
    <w:rsid w:val="00444284"/>
    <w:rsid w:val="0044574C"/>
    <w:rsid w:val="00445CE6"/>
    <w:rsid w:val="004534C2"/>
    <w:rsid w:val="0045446F"/>
    <w:rsid w:val="0045683E"/>
    <w:rsid w:val="00457CA3"/>
    <w:rsid w:val="00465BFF"/>
    <w:rsid w:val="00470681"/>
    <w:rsid w:val="00477C72"/>
    <w:rsid w:val="00481744"/>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1740"/>
    <w:rsid w:val="004E3A6B"/>
    <w:rsid w:val="004E622C"/>
    <w:rsid w:val="004F4245"/>
    <w:rsid w:val="004F4AF9"/>
    <w:rsid w:val="004F5FDF"/>
    <w:rsid w:val="005177FE"/>
    <w:rsid w:val="0052263B"/>
    <w:rsid w:val="00524728"/>
    <w:rsid w:val="005331CA"/>
    <w:rsid w:val="00537970"/>
    <w:rsid w:val="00540E3A"/>
    <w:rsid w:val="00544127"/>
    <w:rsid w:val="00544F6E"/>
    <w:rsid w:val="005463A9"/>
    <w:rsid w:val="00553EB2"/>
    <w:rsid w:val="0055404A"/>
    <w:rsid w:val="00560534"/>
    <w:rsid w:val="0056391B"/>
    <w:rsid w:val="005650E2"/>
    <w:rsid w:val="00567AD7"/>
    <w:rsid w:val="00575B2D"/>
    <w:rsid w:val="005833D0"/>
    <w:rsid w:val="005846F3"/>
    <w:rsid w:val="0058622F"/>
    <w:rsid w:val="00591280"/>
    <w:rsid w:val="00592F82"/>
    <w:rsid w:val="005A0CCA"/>
    <w:rsid w:val="005A726D"/>
    <w:rsid w:val="005B5994"/>
    <w:rsid w:val="005B67AC"/>
    <w:rsid w:val="005B79F4"/>
    <w:rsid w:val="005B7C95"/>
    <w:rsid w:val="005D2CD6"/>
    <w:rsid w:val="005D310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08DA"/>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2450"/>
    <w:rsid w:val="006D6BD5"/>
    <w:rsid w:val="006E481A"/>
    <w:rsid w:val="006E5287"/>
    <w:rsid w:val="006E5298"/>
    <w:rsid w:val="006E7B1E"/>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603F5"/>
    <w:rsid w:val="00764DB0"/>
    <w:rsid w:val="0076764D"/>
    <w:rsid w:val="007741A9"/>
    <w:rsid w:val="0077498C"/>
    <w:rsid w:val="007772BD"/>
    <w:rsid w:val="007809BC"/>
    <w:rsid w:val="00782DF0"/>
    <w:rsid w:val="00782EE1"/>
    <w:rsid w:val="00784128"/>
    <w:rsid w:val="00793173"/>
    <w:rsid w:val="007A107A"/>
    <w:rsid w:val="007A2A33"/>
    <w:rsid w:val="007A6B8D"/>
    <w:rsid w:val="007A7B20"/>
    <w:rsid w:val="007C1FCC"/>
    <w:rsid w:val="007C50AA"/>
    <w:rsid w:val="007C6201"/>
    <w:rsid w:val="007D4DDF"/>
    <w:rsid w:val="007D7C92"/>
    <w:rsid w:val="007E1154"/>
    <w:rsid w:val="007E1C46"/>
    <w:rsid w:val="007E39B3"/>
    <w:rsid w:val="007E44C4"/>
    <w:rsid w:val="007E6BA4"/>
    <w:rsid w:val="007F41F8"/>
    <w:rsid w:val="007F4D4F"/>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179EF"/>
    <w:rsid w:val="00932538"/>
    <w:rsid w:val="00935A21"/>
    <w:rsid w:val="00942123"/>
    <w:rsid w:val="0095207B"/>
    <w:rsid w:val="009520E9"/>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55B5"/>
    <w:rsid w:val="00AB685C"/>
    <w:rsid w:val="00AB6C2D"/>
    <w:rsid w:val="00AC08F7"/>
    <w:rsid w:val="00AC2AB7"/>
    <w:rsid w:val="00AC3839"/>
    <w:rsid w:val="00AC4C4F"/>
    <w:rsid w:val="00AC7082"/>
    <w:rsid w:val="00AD2931"/>
    <w:rsid w:val="00AD32B6"/>
    <w:rsid w:val="00AD513F"/>
    <w:rsid w:val="00AD6870"/>
    <w:rsid w:val="00AE2316"/>
    <w:rsid w:val="00AE74BA"/>
    <w:rsid w:val="00AF228E"/>
    <w:rsid w:val="00AF566C"/>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659"/>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0E77"/>
    <w:rsid w:val="00C02F29"/>
    <w:rsid w:val="00C12489"/>
    <w:rsid w:val="00C15FA2"/>
    <w:rsid w:val="00C20AFE"/>
    <w:rsid w:val="00C22A25"/>
    <w:rsid w:val="00C32984"/>
    <w:rsid w:val="00C34C61"/>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0635"/>
    <w:rsid w:val="00CB1983"/>
    <w:rsid w:val="00CB2CBB"/>
    <w:rsid w:val="00CB7CAC"/>
    <w:rsid w:val="00CC5335"/>
    <w:rsid w:val="00CC5BA4"/>
    <w:rsid w:val="00CD4998"/>
    <w:rsid w:val="00CE1035"/>
    <w:rsid w:val="00CE4206"/>
    <w:rsid w:val="00CE6E50"/>
    <w:rsid w:val="00CF2819"/>
    <w:rsid w:val="00CF4F9D"/>
    <w:rsid w:val="00CF70DC"/>
    <w:rsid w:val="00D148DC"/>
    <w:rsid w:val="00D15367"/>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320A"/>
    <w:rsid w:val="00DC4420"/>
    <w:rsid w:val="00DD0802"/>
    <w:rsid w:val="00DD2E11"/>
    <w:rsid w:val="00DD3E85"/>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EF1456"/>
    <w:rsid w:val="00F033DA"/>
    <w:rsid w:val="00F13FB1"/>
    <w:rsid w:val="00F27CD8"/>
    <w:rsid w:val="00F30351"/>
    <w:rsid w:val="00F3323E"/>
    <w:rsid w:val="00F341F4"/>
    <w:rsid w:val="00F34F9D"/>
    <w:rsid w:val="00F35CCE"/>
    <w:rsid w:val="00F47684"/>
    <w:rsid w:val="00F5524B"/>
    <w:rsid w:val="00F60538"/>
    <w:rsid w:val="00F61DD2"/>
    <w:rsid w:val="00F66A26"/>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4450</TotalTime>
  <Pages>12</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Ting Ting Chan</cp:lastModifiedBy>
  <cp:revision>20</cp:revision>
  <cp:lastPrinted>2019-08-27T05:42:00Z</cp:lastPrinted>
  <dcterms:created xsi:type="dcterms:W3CDTF">2022-06-13T14:47:00Z</dcterms:created>
  <dcterms:modified xsi:type="dcterms:W3CDTF">2023-02-16T04:38:00Z</dcterms:modified>
</cp:coreProperties>
</file>