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2B3B6C73" w:rsidR="00397D3A" w:rsidRDefault="00397D3A" w:rsidP="007C6201">
      <w:pPr>
        <w:jc w:val="both"/>
        <w:rPr>
          <w:rFonts w:ascii="Arial" w:hAnsi="Arial" w:cs="Arial"/>
          <w:b/>
          <w:sz w:val="22"/>
          <w:szCs w:val="22"/>
          <w:lang w:val="en-GB"/>
        </w:rPr>
      </w:pPr>
    </w:p>
    <w:p w14:paraId="21BC48ED" w14:textId="4F467B12" w:rsidR="00A12902" w:rsidRDefault="00A12902" w:rsidP="007C6201">
      <w:pPr>
        <w:jc w:val="both"/>
        <w:rPr>
          <w:rFonts w:ascii="Arial" w:hAnsi="Arial" w:cs="Arial"/>
          <w:b/>
          <w:sz w:val="22"/>
          <w:szCs w:val="22"/>
          <w:lang w:val="en-GB"/>
        </w:rPr>
      </w:pPr>
    </w:p>
    <w:p w14:paraId="5DEC4C9C" w14:textId="77777777" w:rsidR="00A12902" w:rsidRDefault="00A12902"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enabsatz"/>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enabsatz"/>
        <w:ind w:left="426"/>
        <w:jc w:val="both"/>
        <w:rPr>
          <w:rFonts w:ascii="Avenir Next" w:hAnsi="Avenir Next" w:cs="Arial"/>
          <w:sz w:val="22"/>
          <w:szCs w:val="22"/>
          <w:lang w:val="en-GB"/>
        </w:rPr>
      </w:pPr>
    </w:p>
    <w:p w14:paraId="327576EE" w14:textId="4AC8B157" w:rsidR="00D66F96" w:rsidRPr="008E3C96" w:rsidRDefault="00D66F96" w:rsidP="005B7C95">
      <w:pPr>
        <w:pStyle w:val="Listenabsatz"/>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enabsatz"/>
        <w:ind w:left="426"/>
        <w:jc w:val="both"/>
        <w:rPr>
          <w:rFonts w:ascii="Avenir Next" w:hAnsi="Avenir Next" w:cs="Arial"/>
          <w:sz w:val="22"/>
          <w:szCs w:val="22"/>
          <w:lang w:val="en-GB"/>
        </w:rPr>
      </w:pPr>
    </w:p>
    <w:p w14:paraId="5F606333" w14:textId="3F76D48E" w:rsidR="00D66F96" w:rsidRPr="008E3C96" w:rsidRDefault="00D66F96" w:rsidP="005B7C95">
      <w:pPr>
        <w:pStyle w:val="Listenabsatz"/>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enabsatz"/>
        <w:ind w:left="426"/>
        <w:jc w:val="both"/>
        <w:rPr>
          <w:rFonts w:ascii="Avenir Next" w:hAnsi="Avenir Next" w:cs="Arial"/>
          <w:sz w:val="22"/>
          <w:szCs w:val="22"/>
          <w:lang w:val="en-GB"/>
        </w:rPr>
      </w:pPr>
    </w:p>
    <w:p w14:paraId="0FCA7419" w14:textId="77777777" w:rsidR="00D66F96" w:rsidRPr="00E630EE" w:rsidRDefault="00D66F96" w:rsidP="005B7C95">
      <w:pPr>
        <w:pStyle w:val="Listenabsatz"/>
        <w:numPr>
          <w:ilvl w:val="0"/>
          <w:numId w:val="26"/>
        </w:numPr>
        <w:ind w:left="426"/>
        <w:jc w:val="both"/>
        <w:rPr>
          <w:rFonts w:ascii="Avenir Next" w:hAnsi="Avenir Next" w:cs="Arial"/>
          <w:sz w:val="22"/>
          <w:szCs w:val="22"/>
          <w:highlight w:val="yellow"/>
          <w:lang w:val="en-GB"/>
        </w:rPr>
      </w:pPr>
      <w:r w:rsidRPr="00E630E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070DE" w:rsidRDefault="00A26868" w:rsidP="003922EE">
      <w:pPr>
        <w:pStyle w:val="Listenabsatz"/>
        <w:numPr>
          <w:ilvl w:val="0"/>
          <w:numId w:val="3"/>
        </w:numPr>
        <w:ind w:left="426"/>
        <w:jc w:val="both"/>
        <w:rPr>
          <w:rFonts w:ascii="Avenir Next" w:hAnsi="Avenir Next" w:cs="Arial"/>
          <w:iCs/>
          <w:sz w:val="22"/>
          <w:szCs w:val="22"/>
          <w:highlight w:val="yellow"/>
          <w:lang w:val="en-GB"/>
        </w:rPr>
      </w:pPr>
      <w:r w:rsidRPr="008070DE">
        <w:rPr>
          <w:rFonts w:ascii="Avenir Next" w:hAnsi="Avenir Next" w:cs="Arial"/>
          <w:iCs/>
          <w:sz w:val="22"/>
          <w:szCs w:val="22"/>
          <w:highlight w:val="yellow"/>
          <w:lang w:val="en-GB"/>
        </w:rPr>
        <w:t>t</w:t>
      </w:r>
      <w:r w:rsidR="00302D76" w:rsidRPr="008070DE">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enabsatz"/>
        <w:ind w:left="426"/>
        <w:jc w:val="both"/>
        <w:rPr>
          <w:rFonts w:ascii="Avenir Next" w:hAnsi="Avenir Next" w:cs="Arial"/>
          <w:iCs/>
          <w:sz w:val="22"/>
          <w:szCs w:val="22"/>
          <w:lang w:val="en-GB"/>
        </w:rPr>
      </w:pPr>
    </w:p>
    <w:p w14:paraId="74C0E9B6" w14:textId="32988A54" w:rsidR="005B79F4" w:rsidRPr="008E3C96" w:rsidRDefault="00A26868" w:rsidP="00D21F62">
      <w:pPr>
        <w:pStyle w:val="Listenabsatz"/>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enabsatz"/>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enabsatz"/>
        <w:ind w:left="426"/>
        <w:jc w:val="both"/>
        <w:rPr>
          <w:rFonts w:ascii="Avenir Next" w:hAnsi="Avenir Next" w:cs="Arial"/>
          <w:iCs/>
          <w:sz w:val="22"/>
          <w:szCs w:val="22"/>
          <w:lang w:val="en-GB"/>
        </w:rPr>
      </w:pPr>
    </w:p>
    <w:p w14:paraId="5447959C" w14:textId="5271DBEE" w:rsidR="00302D76" w:rsidRPr="008E3C96" w:rsidRDefault="00A26868" w:rsidP="00302D76">
      <w:pPr>
        <w:pStyle w:val="Listenabsatz"/>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enabsatz"/>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enabsatz"/>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402CF5" w:rsidRDefault="00302D76" w:rsidP="005B7C95">
      <w:pPr>
        <w:pStyle w:val="Listenabsatz"/>
        <w:numPr>
          <w:ilvl w:val="0"/>
          <w:numId w:val="27"/>
        </w:numPr>
        <w:ind w:left="426"/>
        <w:jc w:val="both"/>
        <w:rPr>
          <w:rFonts w:ascii="Avenir Next" w:hAnsi="Avenir Next" w:cs="Arial"/>
          <w:iCs/>
          <w:sz w:val="22"/>
          <w:szCs w:val="22"/>
          <w:highlight w:val="yellow"/>
          <w:lang w:val="en-GB"/>
        </w:rPr>
      </w:pPr>
      <w:r w:rsidRPr="00402CF5">
        <w:rPr>
          <w:rFonts w:ascii="Avenir Next" w:hAnsi="Avenir Next" w:cs="Arial"/>
          <w:iCs/>
          <w:sz w:val="22"/>
          <w:szCs w:val="22"/>
          <w:highlight w:val="yellow"/>
          <w:lang w:val="en-GB"/>
        </w:rPr>
        <w:t xml:space="preserve">The EIR 2000 was generally regarded as a successful instrument </w:t>
      </w:r>
      <w:proofErr w:type="gramStart"/>
      <w:r w:rsidRPr="00402CF5">
        <w:rPr>
          <w:rFonts w:ascii="Avenir Next" w:hAnsi="Avenir Next" w:cs="Arial"/>
          <w:iCs/>
          <w:sz w:val="22"/>
          <w:szCs w:val="22"/>
          <w:highlight w:val="yellow"/>
          <w:lang w:val="en-GB"/>
        </w:rPr>
        <w:t>in the area of</w:t>
      </w:r>
      <w:proofErr w:type="gramEnd"/>
      <w:r w:rsidRPr="00402CF5">
        <w:rPr>
          <w:rFonts w:ascii="Avenir Next" w:hAnsi="Avenir Next" w:cs="Arial"/>
          <w:iCs/>
          <w:sz w:val="22"/>
          <w:szCs w:val="22"/>
          <w:highlight w:val="yellow"/>
          <w:lang w:val="en-GB"/>
        </w:rPr>
        <w:t xml:space="preserve"> European insolvency law by the EU institutions, practitioners and academics. However, </w:t>
      </w:r>
      <w:proofErr w:type="gramStart"/>
      <w:r w:rsidRPr="00402CF5">
        <w:rPr>
          <w:rFonts w:ascii="Avenir Next" w:hAnsi="Avenir Next" w:cs="Arial"/>
          <w:iCs/>
          <w:sz w:val="22"/>
          <w:szCs w:val="22"/>
          <w:highlight w:val="yellow"/>
          <w:lang w:val="en-GB"/>
        </w:rPr>
        <w:t>a number of</w:t>
      </w:r>
      <w:proofErr w:type="gramEnd"/>
      <w:r w:rsidRPr="00402CF5">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enabsatz"/>
        <w:ind w:left="426"/>
        <w:jc w:val="both"/>
        <w:rPr>
          <w:rFonts w:ascii="Avenir Next" w:hAnsi="Avenir Next" w:cs="Arial"/>
          <w:iCs/>
          <w:sz w:val="22"/>
          <w:szCs w:val="22"/>
          <w:lang w:val="en-GB"/>
        </w:rPr>
      </w:pPr>
    </w:p>
    <w:p w14:paraId="2E108863" w14:textId="6CFAAD40" w:rsidR="00302D76" w:rsidRPr="008E3C96" w:rsidRDefault="00302D76" w:rsidP="005B7C95">
      <w:pPr>
        <w:pStyle w:val="Listenabsatz"/>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enabsatz"/>
        <w:ind w:left="426"/>
        <w:jc w:val="both"/>
        <w:rPr>
          <w:rFonts w:ascii="Avenir Next" w:hAnsi="Avenir Next" w:cs="Arial"/>
          <w:iCs/>
          <w:sz w:val="22"/>
          <w:szCs w:val="22"/>
          <w:lang w:val="en-GB"/>
        </w:rPr>
      </w:pPr>
    </w:p>
    <w:p w14:paraId="4B4D02E6" w14:textId="77777777" w:rsidR="00302D76" w:rsidRPr="008E3C96" w:rsidRDefault="00302D76" w:rsidP="005B7C95">
      <w:pPr>
        <w:pStyle w:val="Listenabsatz"/>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enabsatz"/>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793D96" w:rsidRDefault="00971896" w:rsidP="003C4BCB">
      <w:pPr>
        <w:pStyle w:val="Listenabsatz"/>
        <w:numPr>
          <w:ilvl w:val="0"/>
          <w:numId w:val="5"/>
        </w:numPr>
        <w:ind w:left="426"/>
        <w:jc w:val="both"/>
        <w:rPr>
          <w:rFonts w:ascii="Avenir Next" w:hAnsi="Avenir Next" w:cs="Arial"/>
          <w:sz w:val="22"/>
          <w:szCs w:val="22"/>
          <w:highlight w:val="yellow"/>
          <w:lang w:val="en-GB"/>
        </w:rPr>
      </w:pPr>
      <w:r w:rsidRPr="00793D96">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793D96">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enabsatz"/>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enabsatz"/>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enabsatz"/>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enabsatz"/>
        <w:ind w:left="426"/>
        <w:jc w:val="both"/>
        <w:rPr>
          <w:rFonts w:ascii="Avenir Next" w:hAnsi="Avenir Next" w:cs="Arial"/>
          <w:sz w:val="22"/>
          <w:szCs w:val="22"/>
          <w:lang w:val="en-GB"/>
        </w:rPr>
      </w:pPr>
    </w:p>
    <w:p w14:paraId="26A80627" w14:textId="6CEDA8AC" w:rsidR="00302D76" w:rsidRPr="008E3C96" w:rsidRDefault="00302D76" w:rsidP="008E3C96">
      <w:pPr>
        <w:pStyle w:val="Listenabsatz"/>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enabsatz"/>
        <w:ind w:left="426"/>
        <w:jc w:val="both"/>
        <w:rPr>
          <w:rFonts w:ascii="Avenir Next" w:hAnsi="Avenir Next" w:cs="Arial"/>
          <w:sz w:val="22"/>
          <w:szCs w:val="22"/>
          <w:lang w:val="en-GB"/>
        </w:rPr>
      </w:pPr>
    </w:p>
    <w:p w14:paraId="1700C230" w14:textId="7924230F" w:rsidR="00302D76" w:rsidRPr="008E3C96" w:rsidRDefault="00302D76" w:rsidP="008E3C96">
      <w:pPr>
        <w:pStyle w:val="Listenabsatz"/>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enabsatz"/>
        <w:ind w:left="426"/>
        <w:jc w:val="both"/>
        <w:rPr>
          <w:rFonts w:ascii="Avenir Next" w:hAnsi="Avenir Next" w:cs="Arial"/>
          <w:sz w:val="22"/>
          <w:szCs w:val="22"/>
          <w:lang w:val="en-GB"/>
        </w:rPr>
      </w:pPr>
    </w:p>
    <w:p w14:paraId="448D3B2E" w14:textId="77777777" w:rsidR="00CA7069" w:rsidRPr="003D4CDB" w:rsidRDefault="00CA7069" w:rsidP="008E3C96">
      <w:pPr>
        <w:pStyle w:val="Listenabsatz"/>
        <w:numPr>
          <w:ilvl w:val="0"/>
          <w:numId w:val="28"/>
        </w:numPr>
        <w:ind w:left="426"/>
        <w:jc w:val="both"/>
        <w:rPr>
          <w:rFonts w:ascii="Avenir Next" w:hAnsi="Avenir Next" w:cs="Arial"/>
          <w:sz w:val="22"/>
          <w:szCs w:val="22"/>
          <w:highlight w:val="yellow"/>
          <w:lang w:val="en-GB"/>
        </w:rPr>
      </w:pPr>
      <w:r w:rsidRPr="003D4CDB">
        <w:rPr>
          <w:rFonts w:ascii="Avenir Next" w:hAnsi="Avenir Next" w:cs="Arial"/>
          <w:sz w:val="22"/>
          <w:szCs w:val="22"/>
          <w:highlight w:val="yellow"/>
          <w:lang w:val="en-GB"/>
        </w:rPr>
        <w:t>Article 31 EIR Recast (“</w:t>
      </w:r>
      <w:r w:rsidRPr="003D4CDB">
        <w:rPr>
          <w:rFonts w:ascii="Avenir Next" w:hAnsi="Avenir Next" w:cs="Arial"/>
          <w:bCs/>
          <w:sz w:val="22"/>
          <w:szCs w:val="22"/>
          <w:highlight w:val="yellow"/>
          <w:lang w:val="en-GB"/>
        </w:rPr>
        <w:t>Honouring of an obligation to a debtor”</w:t>
      </w:r>
      <w:r w:rsidRPr="003D4CDB">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enabsatz"/>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enabsatz"/>
        <w:ind w:left="426"/>
        <w:jc w:val="both"/>
        <w:rPr>
          <w:rFonts w:ascii="Avenir Next" w:hAnsi="Avenir Next" w:cs="Arial"/>
          <w:sz w:val="22"/>
          <w:szCs w:val="22"/>
          <w:lang w:val="en-GB"/>
        </w:rPr>
      </w:pPr>
    </w:p>
    <w:p w14:paraId="59E5541F" w14:textId="24AE7A7F" w:rsidR="00113E29" w:rsidRPr="008E3C96" w:rsidRDefault="00CA7069" w:rsidP="00CA7069">
      <w:pPr>
        <w:pStyle w:val="Listenabsatz"/>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7036BC" w:rsidRDefault="00CA7069" w:rsidP="003C4BCB">
      <w:pPr>
        <w:pStyle w:val="Listenabsatz"/>
        <w:numPr>
          <w:ilvl w:val="0"/>
          <w:numId w:val="7"/>
        </w:numPr>
        <w:ind w:left="426"/>
        <w:jc w:val="both"/>
        <w:rPr>
          <w:rFonts w:ascii="Avenir Next" w:hAnsi="Avenir Next" w:cs="Arial"/>
          <w:sz w:val="22"/>
          <w:szCs w:val="22"/>
          <w:highlight w:val="yellow"/>
          <w:lang w:val="en-GB"/>
        </w:rPr>
      </w:pPr>
      <w:r w:rsidRPr="007036BC">
        <w:rPr>
          <w:rFonts w:ascii="Avenir Next" w:hAnsi="Avenir Next" w:cs="Arial"/>
          <w:sz w:val="22"/>
          <w:szCs w:val="22"/>
          <w:highlight w:val="yellow"/>
          <w:lang w:val="en-GB"/>
        </w:rPr>
        <w:t xml:space="preserve">Each Member State will define </w:t>
      </w:r>
      <w:r w:rsidR="001A68CC" w:rsidRPr="007036BC">
        <w:rPr>
          <w:rFonts w:ascii="Avenir Next" w:hAnsi="Avenir Next" w:cs="Arial"/>
          <w:sz w:val="22"/>
          <w:szCs w:val="22"/>
          <w:highlight w:val="yellow"/>
          <w:lang w:val="en-GB"/>
        </w:rPr>
        <w:t>“</w:t>
      </w:r>
      <w:r w:rsidRPr="007036BC">
        <w:rPr>
          <w:rFonts w:ascii="Avenir Next" w:hAnsi="Avenir Next" w:cs="Arial"/>
          <w:sz w:val="22"/>
          <w:szCs w:val="22"/>
          <w:highlight w:val="yellow"/>
          <w:lang w:val="en-GB"/>
        </w:rPr>
        <w:t>insolvency</w:t>
      </w:r>
      <w:r w:rsidR="001A68CC" w:rsidRPr="007036BC">
        <w:rPr>
          <w:rFonts w:ascii="Avenir Next" w:hAnsi="Avenir Next" w:cs="Arial"/>
          <w:sz w:val="22"/>
          <w:szCs w:val="22"/>
          <w:highlight w:val="yellow"/>
          <w:lang w:val="en-GB"/>
        </w:rPr>
        <w:t>”</w:t>
      </w:r>
      <w:r w:rsidRPr="007036BC">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enabsatz"/>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AA03A6" w:rsidRDefault="00CA7069" w:rsidP="00CA7069">
      <w:pPr>
        <w:pStyle w:val="Listenabsatz"/>
        <w:numPr>
          <w:ilvl w:val="0"/>
          <w:numId w:val="8"/>
        </w:numPr>
        <w:ind w:left="426"/>
        <w:jc w:val="both"/>
        <w:rPr>
          <w:rFonts w:ascii="Avenir Next" w:hAnsi="Avenir Next" w:cs="Arial"/>
          <w:sz w:val="22"/>
          <w:szCs w:val="22"/>
          <w:highlight w:val="yellow"/>
          <w:lang w:val="en-GB"/>
        </w:rPr>
      </w:pPr>
      <w:r w:rsidRPr="00AA03A6">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enabsatz"/>
        <w:ind w:left="426"/>
        <w:jc w:val="both"/>
        <w:rPr>
          <w:rFonts w:ascii="Avenir Next" w:hAnsi="Avenir Next" w:cs="Arial"/>
          <w:sz w:val="22"/>
          <w:szCs w:val="22"/>
          <w:lang w:val="en-GB"/>
        </w:rPr>
      </w:pPr>
    </w:p>
    <w:p w14:paraId="757169A8" w14:textId="47F05D2D" w:rsidR="00113E29" w:rsidRPr="008E3C96" w:rsidRDefault="0034705B" w:rsidP="003C4BCB">
      <w:pPr>
        <w:pStyle w:val="Listenabsatz"/>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enabsatz"/>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enabsatz"/>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enabsatz"/>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52286F" w:rsidRDefault="00C15FA2" w:rsidP="008E3C96">
      <w:pPr>
        <w:pStyle w:val="Listenabsatz"/>
        <w:numPr>
          <w:ilvl w:val="0"/>
          <w:numId w:val="29"/>
        </w:numPr>
        <w:ind w:left="426"/>
        <w:jc w:val="both"/>
        <w:rPr>
          <w:rFonts w:ascii="Avenir Next" w:hAnsi="Avenir Next" w:cs="Arial"/>
          <w:sz w:val="22"/>
          <w:szCs w:val="22"/>
          <w:lang w:val="en-GB"/>
        </w:rPr>
      </w:pPr>
      <w:r w:rsidRPr="0052286F">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enabsatz"/>
        <w:ind w:left="426"/>
        <w:jc w:val="both"/>
        <w:rPr>
          <w:rFonts w:ascii="Avenir Next" w:hAnsi="Avenir Next" w:cs="Arial"/>
          <w:sz w:val="22"/>
          <w:szCs w:val="22"/>
          <w:lang w:val="en-GB"/>
        </w:rPr>
      </w:pPr>
    </w:p>
    <w:p w14:paraId="02DEF131" w14:textId="169791F5" w:rsidR="00C15FA2" w:rsidRPr="008E3C96" w:rsidRDefault="00C15FA2" w:rsidP="008E3C96">
      <w:pPr>
        <w:pStyle w:val="Listenabsatz"/>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enabsatz"/>
        <w:ind w:left="426"/>
        <w:jc w:val="both"/>
        <w:rPr>
          <w:rFonts w:ascii="Avenir Next" w:hAnsi="Avenir Next" w:cs="Arial"/>
          <w:sz w:val="22"/>
          <w:szCs w:val="22"/>
          <w:lang w:val="en-GB"/>
        </w:rPr>
      </w:pPr>
    </w:p>
    <w:p w14:paraId="3DD7A10B" w14:textId="18EC073B" w:rsidR="00C15FA2" w:rsidRPr="008E3C96" w:rsidRDefault="00C15FA2" w:rsidP="008E3C96">
      <w:pPr>
        <w:pStyle w:val="Listenabsatz"/>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enabsatz"/>
        <w:ind w:left="426"/>
        <w:jc w:val="both"/>
        <w:rPr>
          <w:rFonts w:ascii="Avenir Next" w:hAnsi="Avenir Next" w:cs="Arial"/>
          <w:sz w:val="22"/>
          <w:szCs w:val="22"/>
          <w:lang w:val="en-GB"/>
        </w:rPr>
      </w:pPr>
    </w:p>
    <w:p w14:paraId="1449FE57" w14:textId="77777777" w:rsidR="00C15FA2" w:rsidRPr="0052286F" w:rsidRDefault="00C15FA2" w:rsidP="008E3C96">
      <w:pPr>
        <w:pStyle w:val="Listenabsatz"/>
        <w:numPr>
          <w:ilvl w:val="0"/>
          <w:numId w:val="29"/>
        </w:numPr>
        <w:ind w:left="426"/>
        <w:jc w:val="both"/>
        <w:rPr>
          <w:rFonts w:ascii="Avenir Next" w:hAnsi="Avenir Next" w:cs="Arial"/>
          <w:sz w:val="22"/>
          <w:szCs w:val="22"/>
          <w:highlight w:val="yellow"/>
          <w:lang w:val="en-GB"/>
        </w:rPr>
      </w:pPr>
      <w:r w:rsidRPr="0052286F">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43524E" w:rsidRDefault="00EC242E" w:rsidP="008E3C96">
      <w:pPr>
        <w:pStyle w:val="Listenabsatz"/>
        <w:numPr>
          <w:ilvl w:val="0"/>
          <w:numId w:val="30"/>
        </w:numPr>
        <w:ind w:left="426"/>
        <w:jc w:val="both"/>
        <w:rPr>
          <w:rFonts w:ascii="Avenir Next" w:hAnsi="Avenir Next" w:cs="Arial"/>
          <w:sz w:val="22"/>
          <w:szCs w:val="22"/>
          <w:highlight w:val="yellow"/>
          <w:lang w:val="en-GB"/>
        </w:rPr>
      </w:pPr>
      <w:r w:rsidRPr="0043524E">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enabsatz"/>
        <w:ind w:left="426"/>
        <w:jc w:val="both"/>
        <w:rPr>
          <w:rFonts w:ascii="Avenir Next" w:hAnsi="Avenir Next" w:cs="Arial"/>
          <w:sz w:val="22"/>
          <w:szCs w:val="22"/>
          <w:lang w:val="en-GB"/>
        </w:rPr>
      </w:pPr>
    </w:p>
    <w:p w14:paraId="145983AE" w14:textId="77777777" w:rsidR="00EC242E" w:rsidRPr="008E3C96" w:rsidRDefault="00EC242E" w:rsidP="008E3C96">
      <w:pPr>
        <w:pStyle w:val="Listenabsatz"/>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enabsatz"/>
        <w:ind w:left="426"/>
        <w:jc w:val="both"/>
        <w:rPr>
          <w:rFonts w:ascii="Avenir Next" w:hAnsi="Avenir Next" w:cs="Arial"/>
          <w:sz w:val="22"/>
          <w:szCs w:val="22"/>
          <w:lang w:val="en-GB"/>
        </w:rPr>
      </w:pPr>
    </w:p>
    <w:p w14:paraId="0701B637" w14:textId="77777777" w:rsidR="00EC242E" w:rsidRPr="008E3C96" w:rsidRDefault="00EC242E" w:rsidP="008E3C96">
      <w:pPr>
        <w:pStyle w:val="Listenabsatz"/>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enabsatz"/>
        <w:ind w:left="426"/>
        <w:jc w:val="both"/>
        <w:rPr>
          <w:rFonts w:ascii="Avenir Next" w:hAnsi="Avenir Next" w:cs="Arial"/>
          <w:sz w:val="22"/>
          <w:szCs w:val="22"/>
          <w:lang w:val="en-GB"/>
        </w:rPr>
      </w:pPr>
    </w:p>
    <w:p w14:paraId="1D2436EF" w14:textId="2009EE5E" w:rsidR="00EC242E" w:rsidRPr="008E3C96" w:rsidRDefault="00EC242E" w:rsidP="008E3C96">
      <w:pPr>
        <w:pStyle w:val="Listenabsatz"/>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enabsatz"/>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FD106F" w:rsidRDefault="00EC242E" w:rsidP="00EC242E">
      <w:pPr>
        <w:pStyle w:val="Listenabsatz"/>
        <w:numPr>
          <w:ilvl w:val="0"/>
          <w:numId w:val="9"/>
        </w:numPr>
        <w:ind w:left="426"/>
        <w:jc w:val="both"/>
        <w:rPr>
          <w:rFonts w:ascii="Avenir Next" w:hAnsi="Avenir Next" w:cs="Arial"/>
          <w:sz w:val="22"/>
          <w:szCs w:val="22"/>
          <w:highlight w:val="yellow"/>
          <w:lang w:val="en-GB"/>
        </w:rPr>
      </w:pPr>
      <w:r w:rsidRPr="00FD106F">
        <w:rPr>
          <w:rFonts w:ascii="Avenir Next" w:hAnsi="Avenir Next" w:cs="Arial"/>
          <w:sz w:val="22"/>
          <w:szCs w:val="22"/>
          <w:highlight w:val="yellow"/>
          <w:lang w:val="en-GB"/>
        </w:rPr>
        <w:t xml:space="preserve">The contested transactions cannot be avoided if Canetier SARL can prove that the </w:t>
      </w:r>
      <w:r w:rsidRPr="00FD106F">
        <w:rPr>
          <w:rFonts w:ascii="Avenir Next" w:hAnsi="Avenir Next" w:cs="Arial"/>
          <w:i/>
          <w:sz w:val="22"/>
          <w:szCs w:val="22"/>
          <w:highlight w:val="yellow"/>
          <w:lang w:val="en-GB"/>
        </w:rPr>
        <w:t>lex causae</w:t>
      </w:r>
      <w:r w:rsidRPr="00FD106F">
        <w:rPr>
          <w:rFonts w:ascii="Avenir Next" w:hAnsi="Avenir Next" w:cs="Arial"/>
          <w:sz w:val="22"/>
          <w:szCs w:val="22"/>
          <w:highlight w:val="yellow"/>
          <w:lang w:val="en-GB"/>
        </w:rPr>
        <w:t xml:space="preserve"> (including its general provisions and insolvency rules) does not allow any means of challenging the contested </w:t>
      </w:r>
      <w:proofErr w:type="gramStart"/>
      <w:r w:rsidRPr="00FD106F">
        <w:rPr>
          <w:rFonts w:ascii="Avenir Next" w:hAnsi="Avenir Next" w:cs="Arial"/>
          <w:sz w:val="22"/>
          <w:szCs w:val="22"/>
          <w:highlight w:val="yellow"/>
          <w:lang w:val="en-GB"/>
        </w:rPr>
        <w:t>transactions, and</w:t>
      </w:r>
      <w:proofErr w:type="gramEnd"/>
      <w:r w:rsidRPr="00FD106F">
        <w:rPr>
          <w:rFonts w:ascii="Avenir Next" w:hAnsi="Avenir Next" w:cs="Arial"/>
          <w:sz w:val="22"/>
          <w:szCs w:val="22"/>
          <w:highlight w:val="yellow"/>
          <w:lang w:val="en-GB"/>
        </w:rPr>
        <w:t xml:space="preserve"> provided that the parties did not choose that law for abusive or fraudulent ends.</w:t>
      </w:r>
    </w:p>
    <w:p w14:paraId="2DC65C69" w14:textId="77777777" w:rsidR="00EC242E" w:rsidRPr="008E3C96" w:rsidRDefault="00EC242E" w:rsidP="00EC242E">
      <w:pPr>
        <w:pStyle w:val="Listenabsatz"/>
        <w:ind w:left="426"/>
        <w:jc w:val="both"/>
        <w:rPr>
          <w:rFonts w:ascii="Avenir Next" w:hAnsi="Avenir Next" w:cs="Arial"/>
          <w:sz w:val="22"/>
          <w:szCs w:val="22"/>
          <w:lang w:val="en-GB"/>
        </w:rPr>
      </w:pPr>
    </w:p>
    <w:p w14:paraId="22DD9FEF" w14:textId="18795AB2" w:rsidR="00054E15" w:rsidRPr="008E3C96" w:rsidRDefault="00054E15" w:rsidP="00054E15">
      <w:pPr>
        <w:pStyle w:val="Listenabsatz"/>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Listenabsatz"/>
        <w:ind w:left="426"/>
        <w:jc w:val="both"/>
        <w:rPr>
          <w:rFonts w:ascii="Avenir Next" w:hAnsi="Avenir Next" w:cs="Arial"/>
          <w:sz w:val="22"/>
          <w:szCs w:val="22"/>
          <w:lang w:val="en-GB"/>
        </w:rPr>
      </w:pPr>
    </w:p>
    <w:p w14:paraId="2DD3E669" w14:textId="77777777" w:rsidR="00EC242E" w:rsidRPr="008E3C96" w:rsidRDefault="00EC242E" w:rsidP="00EC242E">
      <w:pPr>
        <w:pStyle w:val="Listenabsatz"/>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enabsatz"/>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08642E65" w14:textId="7A65136D" w:rsidR="00CC49F4" w:rsidRDefault="00CC49F4" w:rsidP="00CC49F4">
      <w:pPr>
        <w:jc w:val="both"/>
        <w:rPr>
          <w:rFonts w:ascii="Avenir Next" w:hAnsi="Avenir Next" w:cs="Arial"/>
          <w:color w:val="7B7B7B" w:themeColor="accent3" w:themeShade="BF"/>
          <w:sz w:val="22"/>
          <w:szCs w:val="22"/>
        </w:rPr>
      </w:pPr>
      <w:r w:rsidRPr="00CC49F4">
        <w:rPr>
          <w:rFonts w:ascii="Avenir Next" w:hAnsi="Avenir Next" w:cs="Arial"/>
          <w:color w:val="7B7B7B" w:themeColor="accent3" w:themeShade="BF"/>
          <w:sz w:val="22"/>
          <w:szCs w:val="22"/>
        </w:rPr>
        <w:t xml:space="preserve">To statement 1:This is the presumption of the </w:t>
      </w:r>
      <w:r w:rsidR="00715DD2" w:rsidRPr="00CC49F4">
        <w:rPr>
          <w:rFonts w:ascii="Avenir Next" w:hAnsi="Avenir Next" w:cs="Arial"/>
          <w:color w:val="7B7B7B" w:themeColor="accent3" w:themeShade="BF"/>
          <w:sz w:val="22"/>
          <w:szCs w:val="22"/>
        </w:rPr>
        <w:t>center</w:t>
      </w:r>
      <w:r w:rsidRPr="00CC49F4">
        <w:rPr>
          <w:rFonts w:ascii="Avenir Next" w:hAnsi="Avenir Next" w:cs="Arial"/>
          <w:color w:val="7B7B7B" w:themeColor="accent3" w:themeShade="BF"/>
          <w:sz w:val="22"/>
          <w:szCs w:val="22"/>
        </w:rPr>
        <w:t xml:space="preserve"> of main interest ("COMI"). The EIR Recast stipulates in Art. 3(1) that COMI is the place where the debtor's interest is regularly located in relation to the interests of third parties. The EIR </w:t>
      </w:r>
      <w:r w:rsidR="00F47251">
        <w:rPr>
          <w:rFonts w:ascii="Avenir Next" w:hAnsi="Avenir Next" w:cs="Arial"/>
          <w:color w:val="7B7B7B" w:themeColor="accent3" w:themeShade="BF"/>
          <w:sz w:val="22"/>
          <w:szCs w:val="22"/>
        </w:rPr>
        <w:t>R</w:t>
      </w:r>
      <w:r w:rsidRPr="00CC49F4">
        <w:rPr>
          <w:rFonts w:ascii="Avenir Next" w:hAnsi="Avenir Next" w:cs="Arial"/>
          <w:color w:val="7B7B7B" w:themeColor="accent3" w:themeShade="BF"/>
          <w:sz w:val="22"/>
          <w:szCs w:val="22"/>
        </w:rPr>
        <w:t xml:space="preserve">ecast has established the determination of the COMI by </w:t>
      </w:r>
      <w:r w:rsidR="00AF1C25">
        <w:rPr>
          <w:rFonts w:ascii="Avenir Next" w:hAnsi="Avenir Next" w:cs="Arial"/>
          <w:color w:val="7B7B7B" w:themeColor="accent3" w:themeShade="BF"/>
          <w:sz w:val="22"/>
          <w:szCs w:val="22"/>
        </w:rPr>
        <w:t xml:space="preserve">various </w:t>
      </w:r>
      <w:r w:rsidRPr="00CC49F4">
        <w:rPr>
          <w:rFonts w:ascii="Avenir Next" w:hAnsi="Avenir Next" w:cs="Arial"/>
          <w:color w:val="7B7B7B" w:themeColor="accent3" w:themeShade="BF"/>
          <w:sz w:val="22"/>
          <w:szCs w:val="22"/>
        </w:rPr>
        <w:t xml:space="preserve">presumption. </w:t>
      </w:r>
      <w:r w:rsidR="003D78C9" w:rsidRPr="003D78C9">
        <w:rPr>
          <w:rFonts w:ascii="Avenir Next" w:hAnsi="Avenir Next" w:cs="Arial"/>
          <w:color w:val="7B7B7B" w:themeColor="accent3" w:themeShade="BF"/>
          <w:sz w:val="22"/>
          <w:szCs w:val="22"/>
        </w:rPr>
        <w:t>The definition of COMI is made less strict in order to make the determination of COMI more predictable and flexible in practice.</w:t>
      </w:r>
      <w:r w:rsidR="003D78C9">
        <w:rPr>
          <w:rFonts w:ascii="Avenir Next" w:hAnsi="Avenir Next" w:cs="Arial"/>
          <w:color w:val="7B7B7B" w:themeColor="accent3" w:themeShade="BF"/>
          <w:sz w:val="22"/>
          <w:szCs w:val="22"/>
        </w:rPr>
        <w:t xml:space="preserve"> </w:t>
      </w:r>
      <w:r w:rsidRPr="00CC49F4">
        <w:rPr>
          <w:rFonts w:ascii="Avenir Next" w:hAnsi="Avenir Next" w:cs="Arial"/>
          <w:color w:val="7B7B7B" w:themeColor="accent3" w:themeShade="BF"/>
          <w:sz w:val="22"/>
          <w:szCs w:val="22"/>
        </w:rPr>
        <w:t xml:space="preserve">The </w:t>
      </w:r>
      <w:r w:rsidR="00AF1C25">
        <w:rPr>
          <w:rFonts w:ascii="Avenir Next" w:hAnsi="Avenir Next" w:cs="Arial"/>
          <w:color w:val="7B7B7B" w:themeColor="accent3" w:themeShade="BF"/>
          <w:sz w:val="22"/>
          <w:szCs w:val="22"/>
        </w:rPr>
        <w:t>main</w:t>
      </w:r>
      <w:r w:rsidRPr="00CC49F4">
        <w:rPr>
          <w:rFonts w:ascii="Avenir Next" w:hAnsi="Avenir Next" w:cs="Arial"/>
          <w:color w:val="7B7B7B" w:themeColor="accent3" w:themeShade="BF"/>
          <w:sz w:val="22"/>
          <w:szCs w:val="22"/>
        </w:rPr>
        <w:t xml:space="preserve"> presumption regarding the COMI is its determination by the place of the registered office in the case of companies or legal persons. The presumption can only be rebutted if the objective evidence indicates that the administration of the debtor's interests is carried out in a state other than the state in which the registered office is located (</w:t>
      </w:r>
      <w:r w:rsidR="00715DD2" w:rsidRPr="00CC49F4">
        <w:rPr>
          <w:rFonts w:ascii="Avenir Next" w:hAnsi="Avenir Next" w:cs="Arial"/>
          <w:color w:val="7B7B7B" w:themeColor="accent3" w:themeShade="BF"/>
          <w:sz w:val="22"/>
          <w:szCs w:val="22"/>
        </w:rPr>
        <w:t>e.g.,</w:t>
      </w:r>
      <w:r w:rsidRPr="00CC49F4">
        <w:rPr>
          <w:rFonts w:ascii="Avenir Next" w:hAnsi="Avenir Next" w:cs="Arial"/>
          <w:color w:val="7B7B7B" w:themeColor="accent3" w:themeShade="BF"/>
          <w:sz w:val="22"/>
          <w:szCs w:val="22"/>
        </w:rPr>
        <w:t xml:space="preserve"> in the case of a "letterbox" company). For example, if it appears from a third party's perspective that the place where the company's head office is located does not coincide with the jurisdiction of its seat, the presumption may be rebutted. This principle from the ECJ case law is also reflected in recital 30 of the EIR </w:t>
      </w:r>
      <w:r w:rsidR="00F47251">
        <w:rPr>
          <w:rFonts w:ascii="Avenir Next" w:hAnsi="Avenir Next" w:cs="Arial"/>
          <w:color w:val="7B7B7B" w:themeColor="accent3" w:themeShade="BF"/>
          <w:sz w:val="22"/>
          <w:szCs w:val="22"/>
        </w:rPr>
        <w:t>R</w:t>
      </w:r>
      <w:r w:rsidRPr="00CC49F4">
        <w:rPr>
          <w:rFonts w:ascii="Avenir Next" w:hAnsi="Avenir Next" w:cs="Arial"/>
          <w:color w:val="7B7B7B" w:themeColor="accent3" w:themeShade="BF"/>
          <w:sz w:val="22"/>
          <w:szCs w:val="22"/>
        </w:rPr>
        <w:t xml:space="preserve">ecast. </w:t>
      </w:r>
    </w:p>
    <w:p w14:paraId="63AA8A41" w14:textId="2086D3E8" w:rsidR="00CC49F4" w:rsidRDefault="00CC49F4" w:rsidP="00CC49F4">
      <w:pPr>
        <w:jc w:val="both"/>
        <w:rPr>
          <w:rFonts w:ascii="Avenir Next" w:hAnsi="Avenir Next" w:cs="Arial"/>
          <w:color w:val="7B7B7B" w:themeColor="accent3" w:themeShade="BF"/>
          <w:sz w:val="22"/>
          <w:szCs w:val="22"/>
        </w:rPr>
      </w:pPr>
    </w:p>
    <w:p w14:paraId="6F7C269F" w14:textId="6834A6DD" w:rsidR="00CC49F4" w:rsidRPr="00CC49F4" w:rsidRDefault="00F47251" w:rsidP="00B9157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w:t>
      </w:r>
      <w:r w:rsidR="00715DD2" w:rsidRPr="00715DD2">
        <w:rPr>
          <w:rFonts w:ascii="Avenir Next" w:hAnsi="Avenir Next" w:cs="Arial"/>
          <w:color w:val="7B7B7B" w:themeColor="accent3" w:themeShade="BF"/>
          <w:sz w:val="22"/>
          <w:szCs w:val="22"/>
        </w:rPr>
        <w:t xml:space="preserve"> statement 2: This statement is an expression of the material scope of the EIR </w:t>
      </w:r>
      <w:r>
        <w:rPr>
          <w:rFonts w:ascii="Avenir Next" w:hAnsi="Avenir Next" w:cs="Arial"/>
          <w:color w:val="7B7B7B" w:themeColor="accent3" w:themeShade="BF"/>
          <w:sz w:val="22"/>
          <w:szCs w:val="22"/>
        </w:rPr>
        <w:t>R</w:t>
      </w:r>
      <w:r w:rsidR="00715DD2" w:rsidRPr="00715DD2">
        <w:rPr>
          <w:rFonts w:ascii="Avenir Next" w:hAnsi="Avenir Next" w:cs="Arial"/>
          <w:color w:val="7B7B7B" w:themeColor="accent3" w:themeShade="BF"/>
          <w:sz w:val="22"/>
          <w:szCs w:val="22"/>
        </w:rPr>
        <w:t xml:space="preserve">ecast, as it already follows from Art. 1. It follows from this that the </w:t>
      </w:r>
      <w:r>
        <w:rPr>
          <w:rFonts w:ascii="Avenir Next" w:hAnsi="Avenir Next" w:cs="Arial"/>
          <w:color w:val="7B7B7B" w:themeColor="accent3" w:themeShade="BF"/>
          <w:sz w:val="22"/>
          <w:szCs w:val="22"/>
        </w:rPr>
        <w:t>R</w:t>
      </w:r>
      <w:r w:rsidR="00715DD2" w:rsidRPr="00715DD2">
        <w:rPr>
          <w:rFonts w:ascii="Avenir Next" w:hAnsi="Avenir Next" w:cs="Arial"/>
          <w:color w:val="7B7B7B" w:themeColor="accent3" w:themeShade="BF"/>
          <w:sz w:val="22"/>
          <w:szCs w:val="22"/>
        </w:rPr>
        <w:t xml:space="preserve">ecast is not only geared towards liquidation but focuses in particular on procedures for rescuing economically viable but financially distressed companies. This precisely concerns those debtors who are at a stage where only the probability of insolvency is given. This principle also follows from recital 10 of the EIR </w:t>
      </w:r>
      <w:r>
        <w:rPr>
          <w:rFonts w:ascii="Avenir Next" w:hAnsi="Avenir Next" w:cs="Arial"/>
          <w:color w:val="7B7B7B" w:themeColor="accent3" w:themeShade="BF"/>
          <w:sz w:val="22"/>
          <w:szCs w:val="22"/>
        </w:rPr>
        <w:t>R</w:t>
      </w:r>
      <w:r w:rsidR="00715DD2" w:rsidRPr="00715DD2">
        <w:rPr>
          <w:rFonts w:ascii="Avenir Next" w:hAnsi="Avenir Next" w:cs="Arial"/>
          <w:color w:val="7B7B7B" w:themeColor="accent3" w:themeShade="BF"/>
          <w:sz w:val="22"/>
          <w:szCs w:val="22"/>
        </w:rPr>
        <w:t>ecast.</w:t>
      </w:r>
      <w:r w:rsidR="00B91572">
        <w:rPr>
          <w:rFonts w:ascii="Avenir Next" w:hAnsi="Avenir Next" w:cs="Arial"/>
          <w:color w:val="7B7B7B" w:themeColor="accent3" w:themeShade="BF"/>
          <w:sz w:val="22"/>
          <w:szCs w:val="22"/>
        </w:rPr>
        <w:t xml:space="preserve"> </w:t>
      </w:r>
      <w:r w:rsidR="00B91572" w:rsidRPr="00B91572">
        <w:rPr>
          <w:rFonts w:ascii="Avenir Next" w:hAnsi="Avenir Next" w:cs="Arial"/>
          <w:color w:val="7B7B7B" w:themeColor="accent3" w:themeShade="BF"/>
          <w:sz w:val="22"/>
          <w:szCs w:val="22"/>
        </w:rPr>
        <w:t>This orientation is an innovation compared to the EIR 2000, which in such cases provided only for the partial or complete sale of a debtor and the appointment of an insolvency administrator ( Art. 1 EIR 2000). The EIR Recast follows a European trend to promote restructuring proceedings.</w:t>
      </w:r>
      <w:r w:rsidR="00AF1C25">
        <w:rPr>
          <w:rFonts w:ascii="Avenir Next" w:hAnsi="Avenir Next" w:cs="Arial"/>
          <w:color w:val="7B7B7B" w:themeColor="accent3" w:themeShade="BF"/>
          <w:sz w:val="22"/>
          <w:szCs w:val="22"/>
        </w:rPr>
        <w:t xml:space="preserve"> </w:t>
      </w:r>
    </w:p>
    <w:p w14:paraId="5820E579" w14:textId="77777777" w:rsidR="00CC49F4" w:rsidRDefault="00CC49F4" w:rsidP="002A37BB">
      <w:pPr>
        <w:ind w:left="720" w:hanging="720"/>
        <w:jc w:val="both"/>
        <w:rPr>
          <w:rFonts w:ascii="Avenir Next" w:hAnsi="Avenir Next" w:cs="Arial"/>
          <w:color w:val="7B7B7B" w:themeColor="accent3" w:themeShade="BF"/>
          <w:sz w:val="22"/>
          <w:szCs w:val="22"/>
        </w:rPr>
      </w:pPr>
    </w:p>
    <w:p w14:paraId="10614297" w14:textId="5A32562D"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EA39060" w14:textId="57BE6FF5" w:rsidR="00256FB6" w:rsidRDefault="00256FB6" w:rsidP="00256FB6">
      <w:pPr>
        <w:ind w:left="720" w:hanging="720"/>
        <w:jc w:val="both"/>
        <w:rPr>
          <w:rFonts w:ascii="Avenir Next" w:hAnsi="Avenir Next" w:cs="Arial"/>
          <w:color w:val="7B7B7B" w:themeColor="accent3" w:themeShade="BF"/>
          <w:sz w:val="22"/>
          <w:szCs w:val="22"/>
          <w:lang w:val="en-GB"/>
        </w:rPr>
      </w:pPr>
      <w:r w:rsidRPr="00256FB6">
        <w:rPr>
          <w:rFonts w:ascii="Avenir Next" w:hAnsi="Avenir Next" w:cs="Arial"/>
          <w:color w:val="7B7B7B" w:themeColor="accent3" w:themeShade="BF"/>
          <w:sz w:val="22"/>
          <w:szCs w:val="22"/>
          <w:lang w:val="en-GB"/>
        </w:rPr>
        <w:t xml:space="preserve">Example 1: </w:t>
      </w:r>
      <w:r w:rsidR="00410D6F">
        <w:rPr>
          <w:rFonts w:ascii="Avenir Next" w:hAnsi="Avenir Next" w:cs="Arial"/>
          <w:color w:val="7B7B7B" w:themeColor="accent3" w:themeShade="BF"/>
          <w:sz w:val="22"/>
          <w:szCs w:val="22"/>
          <w:lang w:val="en-GB"/>
        </w:rPr>
        <w:t>Article 3 sec. 2 EIR Recast</w:t>
      </w:r>
    </w:p>
    <w:p w14:paraId="3FD9E1D2" w14:textId="24B90AA2" w:rsidR="00410D6F" w:rsidRDefault="00410D6F" w:rsidP="00256FB6">
      <w:pPr>
        <w:ind w:left="720" w:hanging="720"/>
        <w:jc w:val="both"/>
        <w:rPr>
          <w:rFonts w:ascii="Avenir Next" w:hAnsi="Avenir Next" w:cs="Arial"/>
          <w:color w:val="7B7B7B" w:themeColor="accent3" w:themeShade="BF"/>
          <w:sz w:val="22"/>
          <w:szCs w:val="22"/>
          <w:lang w:val="en-GB"/>
        </w:rPr>
      </w:pPr>
    </w:p>
    <w:p w14:paraId="69D9BE6B" w14:textId="419CEB2A" w:rsidR="00410D6F" w:rsidRDefault="00E12EDB" w:rsidP="00E12EDB">
      <w:pPr>
        <w:jc w:val="both"/>
        <w:rPr>
          <w:rFonts w:ascii="Avenir Next" w:hAnsi="Avenir Next" w:cs="Arial"/>
          <w:color w:val="7B7B7B" w:themeColor="accent3" w:themeShade="BF"/>
          <w:sz w:val="22"/>
          <w:szCs w:val="22"/>
          <w:lang w:val="en-GB"/>
        </w:rPr>
      </w:pPr>
      <w:r w:rsidRPr="00E12EDB">
        <w:rPr>
          <w:rFonts w:ascii="Avenir Next" w:hAnsi="Avenir Next" w:cs="Arial"/>
          <w:color w:val="7B7B7B" w:themeColor="accent3" w:themeShade="BF"/>
          <w:sz w:val="22"/>
          <w:szCs w:val="22"/>
          <w:lang w:val="en-GB"/>
        </w:rPr>
        <w:t>Article 3(2) of the EIR Recast states that even if the debtor's COMI is established, courts of another Member State may open insolvency proceedings against the debtor, provided that the debtor has an establishment in the said Member State. However, the effects of these proceedings shall be limited to the debtor's assets located in the territory of that Member State. The possibility of being able to conduct such secondary proceedings alongside the main proceedings according to Art. 3 (1) of the EIR Recast is an expression of modified universalism.</w:t>
      </w:r>
    </w:p>
    <w:p w14:paraId="3BF67AF5" w14:textId="79D7D487" w:rsidR="00957D7C" w:rsidRDefault="00957D7C" w:rsidP="00E12EDB">
      <w:pPr>
        <w:jc w:val="both"/>
        <w:rPr>
          <w:rFonts w:ascii="Avenir Next" w:hAnsi="Avenir Next" w:cs="Arial"/>
          <w:color w:val="7B7B7B" w:themeColor="accent3" w:themeShade="BF"/>
          <w:sz w:val="22"/>
          <w:szCs w:val="22"/>
          <w:lang w:val="en-GB"/>
        </w:rPr>
      </w:pPr>
    </w:p>
    <w:p w14:paraId="680142D7" w14:textId="32EFCA7F" w:rsidR="00957D7C" w:rsidRDefault="00957D7C" w:rsidP="00E12E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Example 2: </w:t>
      </w:r>
      <w:r w:rsidR="005A0FFC">
        <w:rPr>
          <w:rFonts w:ascii="Avenir Next" w:hAnsi="Avenir Next" w:cs="Arial"/>
          <w:color w:val="7B7B7B" w:themeColor="accent3" w:themeShade="BF"/>
          <w:sz w:val="22"/>
          <w:szCs w:val="22"/>
          <w:lang w:val="en-GB"/>
        </w:rPr>
        <w:t>Article 19 sec. 2 EIR Recast</w:t>
      </w:r>
    </w:p>
    <w:p w14:paraId="34384361" w14:textId="6D7DA086" w:rsidR="005A0FFC" w:rsidRDefault="005A0FFC" w:rsidP="00E12EDB">
      <w:pPr>
        <w:jc w:val="both"/>
        <w:rPr>
          <w:rFonts w:ascii="Avenir Next" w:hAnsi="Avenir Next" w:cs="Arial"/>
          <w:color w:val="7B7B7B" w:themeColor="accent3" w:themeShade="BF"/>
          <w:sz w:val="22"/>
          <w:szCs w:val="22"/>
          <w:lang w:val="en-GB"/>
        </w:rPr>
      </w:pPr>
    </w:p>
    <w:p w14:paraId="07842F0B" w14:textId="2C31892D" w:rsidR="005A0FFC" w:rsidRDefault="005A0FFC" w:rsidP="00E12EDB">
      <w:pPr>
        <w:jc w:val="both"/>
        <w:rPr>
          <w:rFonts w:ascii="Avenir Next" w:hAnsi="Avenir Next" w:cs="Arial"/>
          <w:color w:val="7B7B7B" w:themeColor="accent3" w:themeShade="BF"/>
          <w:sz w:val="22"/>
          <w:szCs w:val="22"/>
          <w:lang w:val="en-GB"/>
        </w:rPr>
      </w:pPr>
      <w:r w:rsidRPr="005A0FFC">
        <w:rPr>
          <w:rFonts w:ascii="Avenir Next" w:hAnsi="Avenir Next" w:cs="Arial"/>
          <w:color w:val="7B7B7B" w:themeColor="accent3" w:themeShade="BF"/>
          <w:sz w:val="22"/>
          <w:szCs w:val="22"/>
          <w:lang w:val="en-GB"/>
        </w:rPr>
        <w:t>Pursuant to Art. 19 (1) of the EIR Recast, any judicial decision opening insolvency proceedings shall be recognised by all other Member States of the European Union. Art. 19 (2) of the EIR Recast states in this context that the recognition of main proceedings under Art. 3 (1) of the EIR Recast does not preclude the opening of secondary proceedings under Art. 3 (2) of the EIR Recast. The possibility of parallel main and secondary proceedings is an expression of modified universalism, as the EIR Recast provides for the possibility of main insolvency proceedings in a multitude of secondary proceedings.</w:t>
      </w:r>
    </w:p>
    <w:p w14:paraId="0368521A" w14:textId="1434A45E" w:rsidR="005A0FFC" w:rsidRDefault="005A0FFC" w:rsidP="00E12EDB">
      <w:pPr>
        <w:jc w:val="both"/>
        <w:rPr>
          <w:rFonts w:ascii="Avenir Next" w:hAnsi="Avenir Next" w:cs="Arial"/>
          <w:color w:val="7B7B7B" w:themeColor="accent3" w:themeShade="BF"/>
          <w:sz w:val="22"/>
          <w:szCs w:val="22"/>
          <w:lang w:val="en-GB"/>
        </w:rPr>
      </w:pPr>
    </w:p>
    <w:p w14:paraId="42925DED" w14:textId="77777777" w:rsidR="00D17DDE" w:rsidRDefault="00D17DDE" w:rsidP="00E12EDB">
      <w:pPr>
        <w:jc w:val="both"/>
        <w:rPr>
          <w:rFonts w:ascii="Avenir Next" w:hAnsi="Avenir Next" w:cs="Arial"/>
          <w:color w:val="7B7B7B" w:themeColor="accent3" w:themeShade="BF"/>
          <w:sz w:val="22"/>
          <w:szCs w:val="22"/>
          <w:lang w:val="en-GB"/>
        </w:rPr>
      </w:pPr>
    </w:p>
    <w:p w14:paraId="45ACEFBE" w14:textId="042A1449" w:rsidR="005A0FFC" w:rsidRDefault="005A0FFC" w:rsidP="00E12E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Example 3: </w:t>
      </w:r>
      <w:r w:rsidR="00917606">
        <w:rPr>
          <w:rFonts w:ascii="Avenir Next" w:hAnsi="Avenir Next" w:cs="Arial"/>
          <w:color w:val="7B7B7B" w:themeColor="accent3" w:themeShade="BF"/>
          <w:sz w:val="22"/>
          <w:szCs w:val="22"/>
          <w:lang w:val="en-GB"/>
        </w:rPr>
        <w:t>Chapter V EIR Recast, Art. 56 – 77 EIR Recast</w:t>
      </w:r>
    </w:p>
    <w:p w14:paraId="5D58D70F" w14:textId="77777777" w:rsidR="00D17DDE" w:rsidRDefault="00D17DDE" w:rsidP="00E12EDB">
      <w:pPr>
        <w:jc w:val="both"/>
        <w:rPr>
          <w:rFonts w:ascii="Avenir Next" w:hAnsi="Avenir Next" w:cs="Arial"/>
          <w:color w:val="7B7B7B" w:themeColor="accent3" w:themeShade="BF"/>
          <w:sz w:val="22"/>
          <w:szCs w:val="22"/>
          <w:lang w:val="en-GB"/>
        </w:rPr>
      </w:pPr>
    </w:p>
    <w:p w14:paraId="19518BCD" w14:textId="4871B4F8" w:rsidR="00917606" w:rsidRPr="00256FB6" w:rsidRDefault="00920A5A" w:rsidP="00E12EDB">
      <w:pPr>
        <w:jc w:val="both"/>
        <w:rPr>
          <w:rFonts w:ascii="Avenir Next" w:hAnsi="Avenir Next" w:cs="Arial"/>
          <w:color w:val="7B7B7B" w:themeColor="accent3" w:themeShade="BF"/>
          <w:sz w:val="22"/>
          <w:szCs w:val="22"/>
          <w:lang w:val="en-GB"/>
        </w:rPr>
      </w:pPr>
      <w:r w:rsidRPr="00920A5A">
        <w:rPr>
          <w:rFonts w:ascii="Avenir Next" w:hAnsi="Avenir Next" w:cs="Arial"/>
          <w:color w:val="7B7B7B" w:themeColor="accent3" w:themeShade="BF"/>
          <w:sz w:val="22"/>
          <w:szCs w:val="22"/>
          <w:lang w:val="en-GB"/>
        </w:rPr>
        <w:t xml:space="preserve">While the </w:t>
      </w:r>
      <w:r w:rsidR="006D210D" w:rsidRPr="00920A5A">
        <w:rPr>
          <w:rFonts w:ascii="Avenir Next" w:hAnsi="Avenir Next" w:cs="Arial"/>
          <w:color w:val="7B7B7B" w:themeColor="accent3" w:themeShade="BF"/>
          <w:sz w:val="22"/>
          <w:szCs w:val="22"/>
          <w:lang w:val="en-GB"/>
        </w:rPr>
        <w:t xml:space="preserve">EIR </w:t>
      </w:r>
      <w:r w:rsidRPr="00920A5A">
        <w:rPr>
          <w:rFonts w:ascii="Avenir Next" w:hAnsi="Avenir Next" w:cs="Arial"/>
          <w:color w:val="7B7B7B" w:themeColor="accent3" w:themeShade="BF"/>
          <w:sz w:val="22"/>
          <w:szCs w:val="22"/>
          <w:lang w:val="en-GB"/>
        </w:rPr>
        <w:t>2000 did not contain provisions for dealing with the insolvency of multinational groups and the consequence of the insolvency of cross-border groups was always a fragmentation of the company into its constituent parts, the EIR Recast contains an entire section, Chapter V, for the regulation of group insolvencies. Articles 56-77 of the EIR Recast provide for the possibility of consolidation of responsibilities, according to the newly added recital 53. The EIR Recast reserves the possibility for a court to open insolvency proceedings for several companies of the same group of a single jurisdiction. Against this background, it should also be possible to appoint one insolvency practitioner for all proceedings concerned, provided this is compatible with the applicable rules. Thus, it should be possible to create a single procedure while respecting local territorial procedures, so that this section is also an expression of modified universalism.</w:t>
      </w:r>
    </w:p>
    <w:p w14:paraId="03E664C8" w14:textId="77777777" w:rsidR="00256FB6" w:rsidRPr="00256FB6" w:rsidRDefault="00256FB6" w:rsidP="00256FB6">
      <w:pPr>
        <w:ind w:left="720" w:hanging="720"/>
        <w:jc w:val="both"/>
        <w:rPr>
          <w:rFonts w:ascii="Avenir Next" w:hAnsi="Avenir Next" w:cs="Arial"/>
          <w:color w:val="7B7B7B" w:themeColor="accent3" w:themeShade="BF"/>
          <w:sz w:val="22"/>
          <w:szCs w:val="22"/>
          <w:lang w:val="en-GB"/>
        </w:rPr>
      </w:pPr>
    </w:p>
    <w:p w14:paraId="14E1E478" w14:textId="77777777" w:rsidR="00256FB6" w:rsidRPr="008E3C96" w:rsidRDefault="00256FB6" w:rsidP="00256FB6">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1384B73E" w:rsidR="00C72848" w:rsidRDefault="00EB1CF2"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 Provision, Article 56 EIR Recast</w:t>
      </w:r>
    </w:p>
    <w:p w14:paraId="7C01E7F2" w14:textId="6576880F" w:rsidR="00EB1CF2" w:rsidRDefault="00EB1CF2" w:rsidP="002A37BB">
      <w:pPr>
        <w:ind w:left="720" w:hanging="720"/>
        <w:jc w:val="both"/>
        <w:rPr>
          <w:rFonts w:ascii="Avenir Next" w:hAnsi="Avenir Next" w:cs="Arial"/>
          <w:color w:val="7B7B7B" w:themeColor="accent3" w:themeShade="BF"/>
          <w:sz w:val="22"/>
          <w:szCs w:val="22"/>
          <w:lang w:val="en-GB"/>
        </w:rPr>
      </w:pPr>
    </w:p>
    <w:p w14:paraId="0F4EA3AF" w14:textId="0D47411E" w:rsidR="00EB1CF2" w:rsidRDefault="00EB1CF2" w:rsidP="00EB1CF2">
      <w:pPr>
        <w:jc w:val="both"/>
        <w:rPr>
          <w:rFonts w:ascii="Avenir Next" w:hAnsi="Avenir Next" w:cs="Arial"/>
          <w:color w:val="7B7B7B" w:themeColor="accent3" w:themeShade="BF"/>
          <w:sz w:val="22"/>
          <w:szCs w:val="22"/>
          <w:lang w:val="en-GB"/>
        </w:rPr>
      </w:pPr>
      <w:r w:rsidRPr="00EB1CF2">
        <w:rPr>
          <w:rFonts w:ascii="Avenir Next" w:hAnsi="Avenir Next" w:cs="Arial"/>
          <w:color w:val="7B7B7B" w:themeColor="accent3" w:themeShade="BF"/>
          <w:sz w:val="22"/>
          <w:szCs w:val="22"/>
          <w:lang w:val="en-GB"/>
        </w:rPr>
        <w:t>Art. 56 of the EIR Recast obliges insolvency practitioners of different companies belonging to a group of companies to cooperate to facilitate the effective administration of the group insolvency, provided that the cooperation is compatible with applicable rules and does not lead to a conflict of interest.</w:t>
      </w:r>
    </w:p>
    <w:p w14:paraId="1D9EC164" w14:textId="6E6DE12F" w:rsidR="00EB1CF2" w:rsidRDefault="00EB1CF2" w:rsidP="00EB1CF2">
      <w:pPr>
        <w:jc w:val="both"/>
        <w:rPr>
          <w:rFonts w:ascii="Avenir Next" w:hAnsi="Avenir Next" w:cs="Arial"/>
          <w:color w:val="7B7B7B" w:themeColor="accent3" w:themeShade="BF"/>
          <w:sz w:val="22"/>
          <w:szCs w:val="22"/>
          <w:lang w:val="en-GB"/>
        </w:rPr>
      </w:pPr>
    </w:p>
    <w:p w14:paraId="0864A956" w14:textId="4EDF1452" w:rsidR="00EB1CF2" w:rsidRDefault="00EB1CF2" w:rsidP="00EB1C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 Provision, Article 57 EIR Recast</w:t>
      </w:r>
    </w:p>
    <w:p w14:paraId="5F1B7843" w14:textId="3BE18073" w:rsidR="00EB1CF2" w:rsidRDefault="00EB1CF2" w:rsidP="00EB1CF2">
      <w:pPr>
        <w:jc w:val="both"/>
        <w:rPr>
          <w:rFonts w:ascii="Avenir Next" w:hAnsi="Avenir Next" w:cs="Arial"/>
          <w:color w:val="7B7B7B" w:themeColor="accent3" w:themeShade="BF"/>
          <w:sz w:val="22"/>
          <w:szCs w:val="22"/>
          <w:lang w:val="en-GB"/>
        </w:rPr>
      </w:pPr>
    </w:p>
    <w:p w14:paraId="55099B03" w14:textId="0525F0D2" w:rsidR="00EB1CF2" w:rsidRDefault="00260A00" w:rsidP="00EB1CF2">
      <w:pPr>
        <w:jc w:val="both"/>
        <w:rPr>
          <w:rFonts w:ascii="Avenir Next" w:hAnsi="Avenir Next" w:cs="Arial"/>
          <w:color w:val="7B7B7B" w:themeColor="accent3" w:themeShade="BF"/>
          <w:sz w:val="22"/>
          <w:szCs w:val="22"/>
          <w:lang w:val="en-GB"/>
        </w:rPr>
      </w:pPr>
      <w:r w:rsidRPr="00260A00">
        <w:rPr>
          <w:rFonts w:ascii="Avenir Next" w:hAnsi="Avenir Next" w:cs="Arial"/>
          <w:color w:val="7B7B7B" w:themeColor="accent3" w:themeShade="BF"/>
          <w:sz w:val="22"/>
          <w:szCs w:val="22"/>
          <w:lang w:val="en-GB"/>
        </w:rPr>
        <w:t>Art. 57 of the EIR Recast also obliges the different courts involved in a group insolvency to cooperate to ensure effective administration of the insolvency. In this context, Art. 57 of the EIR Recast lists cases in which cooperation is considered desirable, such as coordination in the appointment of insolvency practitioners or also coordination in the approval of protocols.</w:t>
      </w:r>
    </w:p>
    <w:p w14:paraId="1B94698E" w14:textId="27A22815" w:rsidR="00260A00" w:rsidRDefault="00260A00" w:rsidP="00EB1CF2">
      <w:pPr>
        <w:jc w:val="both"/>
        <w:rPr>
          <w:rFonts w:ascii="Avenir Next" w:hAnsi="Avenir Next" w:cs="Arial"/>
          <w:color w:val="7B7B7B" w:themeColor="accent3" w:themeShade="BF"/>
          <w:sz w:val="22"/>
          <w:szCs w:val="22"/>
          <w:lang w:val="en-GB"/>
        </w:rPr>
      </w:pPr>
    </w:p>
    <w:p w14:paraId="12E869A6" w14:textId="61795873" w:rsidR="00260A00" w:rsidRDefault="00260A00" w:rsidP="00EB1C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Provision, Article 58 EIR Recast</w:t>
      </w:r>
    </w:p>
    <w:p w14:paraId="07431FE7" w14:textId="352B9884" w:rsidR="00260A00" w:rsidRDefault="00260A00" w:rsidP="00EB1CF2">
      <w:pPr>
        <w:jc w:val="both"/>
        <w:rPr>
          <w:rFonts w:ascii="Avenir Next" w:hAnsi="Avenir Next" w:cs="Arial"/>
          <w:color w:val="7B7B7B" w:themeColor="accent3" w:themeShade="BF"/>
          <w:sz w:val="22"/>
          <w:szCs w:val="22"/>
          <w:lang w:val="en-GB"/>
        </w:rPr>
      </w:pPr>
    </w:p>
    <w:p w14:paraId="6486D140" w14:textId="559C2884" w:rsidR="00260A00" w:rsidRDefault="00DE7514" w:rsidP="00EB1CF2">
      <w:pPr>
        <w:jc w:val="both"/>
        <w:rPr>
          <w:rFonts w:ascii="Avenir Next" w:hAnsi="Avenir Next" w:cs="Arial"/>
          <w:color w:val="7B7B7B" w:themeColor="accent3" w:themeShade="BF"/>
          <w:sz w:val="22"/>
          <w:szCs w:val="22"/>
          <w:lang w:val="en-GB"/>
        </w:rPr>
      </w:pPr>
      <w:r w:rsidRPr="00DE7514">
        <w:rPr>
          <w:rFonts w:ascii="Avenir Next" w:hAnsi="Avenir Next" w:cs="Arial"/>
          <w:color w:val="7B7B7B" w:themeColor="accent3" w:themeShade="BF"/>
          <w:sz w:val="22"/>
          <w:szCs w:val="22"/>
          <w:lang w:val="en-GB"/>
        </w:rPr>
        <w:t>Art. 58 of the EIR Recast concludes the communication duties by lastly determining the duty of communication cooperation between insolvency practitioners and the court. Thus, insolvency practitioners shall cooperate and communicate with any court where insolvency proceedings are conducted in relation to the assets of another member of the group. Again, this duty to cooperate as well as to communicate is intended to serve the effectiveness of the administration of the proceedings.</w:t>
      </w:r>
    </w:p>
    <w:p w14:paraId="6A6BBFD1" w14:textId="77777777" w:rsidR="00EB1CF2" w:rsidRPr="008E3C96" w:rsidRDefault="00EB1CF2" w:rsidP="002A37BB">
      <w:pPr>
        <w:ind w:left="720" w:hanging="720"/>
        <w:jc w:val="both"/>
        <w:rPr>
          <w:rFonts w:ascii="Avenir Next" w:hAnsi="Avenir Next" w:cs="Arial"/>
          <w:sz w:val="22"/>
          <w:szCs w:val="22"/>
          <w:lang w:val="en-GB"/>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w:t>
      </w:r>
      <w:r w:rsidRPr="008E3C96">
        <w:rPr>
          <w:rFonts w:ascii="Avenir Next" w:hAnsi="Avenir Next" w:cs="Arial"/>
          <w:sz w:val="22"/>
          <w:szCs w:val="22"/>
          <w:lang w:val="en-GB"/>
        </w:rPr>
        <w:lastRenderedPageBreak/>
        <w:t xml:space="preserve">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2D8DC446" w:rsidR="009954B2" w:rsidRDefault="00ED11D0"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Example 1: </w:t>
      </w:r>
      <w:r w:rsidRPr="00ED11D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w:t>
      </w:r>
      <w:r w:rsidRPr="00ED11D0">
        <w:rPr>
          <w:rFonts w:ascii="Avenir Next" w:hAnsi="Avenir Next" w:cs="Arial"/>
          <w:color w:val="7B7B7B" w:themeColor="accent3" w:themeShade="BF"/>
          <w:sz w:val="22"/>
          <w:szCs w:val="22"/>
          <w:lang w:val="en-GB"/>
        </w:rPr>
        <w:t xml:space="preserve">ynthetic” </w:t>
      </w:r>
      <w:r>
        <w:rPr>
          <w:rFonts w:ascii="Avenir Next" w:hAnsi="Avenir Next" w:cs="Arial"/>
          <w:color w:val="7B7B7B" w:themeColor="accent3" w:themeShade="BF"/>
          <w:sz w:val="22"/>
          <w:szCs w:val="22"/>
          <w:lang w:val="en-GB"/>
        </w:rPr>
        <w:t>S</w:t>
      </w:r>
      <w:r w:rsidRPr="00ED11D0">
        <w:rPr>
          <w:rFonts w:ascii="Avenir Next" w:hAnsi="Avenir Next" w:cs="Arial"/>
          <w:color w:val="7B7B7B" w:themeColor="accent3" w:themeShade="BF"/>
          <w:sz w:val="22"/>
          <w:szCs w:val="22"/>
          <w:lang w:val="en-GB"/>
        </w:rPr>
        <w:t xml:space="preserve">econdary </w:t>
      </w:r>
      <w:r>
        <w:rPr>
          <w:rFonts w:ascii="Avenir Next" w:hAnsi="Avenir Next" w:cs="Arial"/>
          <w:color w:val="7B7B7B" w:themeColor="accent3" w:themeShade="BF"/>
          <w:sz w:val="22"/>
          <w:szCs w:val="22"/>
          <w:lang w:val="en-GB"/>
        </w:rPr>
        <w:t>P</w:t>
      </w:r>
      <w:r w:rsidRPr="00ED11D0">
        <w:rPr>
          <w:rFonts w:ascii="Avenir Next" w:hAnsi="Avenir Next" w:cs="Arial"/>
          <w:color w:val="7B7B7B" w:themeColor="accent3" w:themeShade="BF"/>
          <w:sz w:val="22"/>
          <w:szCs w:val="22"/>
          <w:lang w:val="en-GB"/>
        </w:rPr>
        <w:t>roceedings</w:t>
      </w:r>
    </w:p>
    <w:p w14:paraId="32AF834F" w14:textId="124D3D80" w:rsidR="002C581D" w:rsidRDefault="002C581D" w:rsidP="002A37BB">
      <w:pPr>
        <w:ind w:left="720" w:hanging="720"/>
        <w:jc w:val="both"/>
        <w:rPr>
          <w:rFonts w:ascii="Avenir Next" w:hAnsi="Avenir Next" w:cs="Arial"/>
          <w:color w:val="7B7B7B" w:themeColor="accent3" w:themeShade="BF"/>
          <w:sz w:val="22"/>
          <w:szCs w:val="22"/>
          <w:lang w:val="en-GB"/>
        </w:rPr>
      </w:pPr>
    </w:p>
    <w:p w14:paraId="383D1C23" w14:textId="4EEEABD6" w:rsidR="002C581D" w:rsidRDefault="002C581D" w:rsidP="002C581D">
      <w:pPr>
        <w:jc w:val="both"/>
        <w:rPr>
          <w:rFonts w:ascii="Avenir Next" w:hAnsi="Avenir Next" w:cs="Arial"/>
          <w:color w:val="7B7B7B" w:themeColor="accent3" w:themeShade="BF"/>
          <w:sz w:val="22"/>
          <w:szCs w:val="22"/>
          <w:lang w:val="en-GB"/>
        </w:rPr>
      </w:pPr>
      <w:r w:rsidRPr="002C581D">
        <w:rPr>
          <w:rFonts w:ascii="Avenir Next" w:hAnsi="Avenir Next" w:cs="Arial"/>
          <w:color w:val="7B7B7B" w:themeColor="accent3" w:themeShade="BF"/>
          <w:sz w:val="22"/>
          <w:szCs w:val="22"/>
          <w:lang w:val="en-GB"/>
        </w:rPr>
        <w:t>Pursuant to Art. 36 of the EIR Recast, the insolvency practitioner in the main insolvency proceedings may, for the purpose of avoiding the opening of secondary insolvency proceedings in another Member State, enter a unilateral commitment whereby he declares, with respect to the assets located in the other Member State, to consider the requirements of the respective national law when precisely distributing these assets or the proceeds resulting from a realisation. Via Art. 36 of the EIR Recast, a "virtual" or "synthetic" secondary procedure is thus carried out. At the same time, control remains with the insofar administrator of the main proceedings and "real" secondary proceedings are avoided.</w:t>
      </w:r>
    </w:p>
    <w:p w14:paraId="36F57BF8" w14:textId="35431898" w:rsidR="00ED11D0" w:rsidRDefault="00ED11D0" w:rsidP="002A37BB">
      <w:pPr>
        <w:ind w:left="720" w:hanging="720"/>
        <w:jc w:val="both"/>
        <w:rPr>
          <w:rFonts w:ascii="Avenir Next" w:hAnsi="Avenir Next" w:cs="Arial"/>
          <w:color w:val="7B7B7B" w:themeColor="accent3" w:themeShade="BF"/>
          <w:sz w:val="22"/>
          <w:szCs w:val="22"/>
          <w:lang w:val="en-GB"/>
        </w:rPr>
      </w:pPr>
    </w:p>
    <w:p w14:paraId="6A135D7A" w14:textId="2BD8A95E" w:rsidR="002C581D" w:rsidRDefault="002C581D"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Example 2: </w:t>
      </w:r>
      <w:r w:rsidR="00595510">
        <w:rPr>
          <w:rFonts w:ascii="Avenir Next" w:hAnsi="Avenir Next" w:cs="Arial"/>
          <w:color w:val="7B7B7B" w:themeColor="accent3" w:themeShade="BF"/>
          <w:sz w:val="22"/>
          <w:szCs w:val="22"/>
          <w:lang w:val="en-GB"/>
        </w:rPr>
        <w:t>T</w:t>
      </w:r>
      <w:r w:rsidR="00595510" w:rsidRPr="00595510">
        <w:rPr>
          <w:rFonts w:ascii="Avenir Next" w:hAnsi="Avenir Next" w:cs="Arial"/>
          <w:color w:val="7B7B7B" w:themeColor="accent3" w:themeShade="BF"/>
          <w:sz w:val="22"/>
          <w:szCs w:val="22"/>
          <w:lang w:val="en-GB"/>
        </w:rPr>
        <w:t xml:space="preserve">emporary </w:t>
      </w:r>
      <w:r w:rsidR="00595510">
        <w:rPr>
          <w:rFonts w:ascii="Avenir Next" w:hAnsi="Avenir Next" w:cs="Arial"/>
          <w:color w:val="7B7B7B" w:themeColor="accent3" w:themeShade="BF"/>
          <w:sz w:val="22"/>
          <w:szCs w:val="22"/>
          <w:lang w:val="en-GB"/>
        </w:rPr>
        <w:t>S</w:t>
      </w:r>
      <w:r w:rsidR="00595510" w:rsidRPr="00595510">
        <w:rPr>
          <w:rFonts w:ascii="Avenir Next" w:hAnsi="Avenir Next" w:cs="Arial"/>
          <w:color w:val="7B7B7B" w:themeColor="accent3" w:themeShade="BF"/>
          <w:sz w:val="22"/>
          <w:szCs w:val="22"/>
          <w:lang w:val="en-GB"/>
        </w:rPr>
        <w:t xml:space="preserve">tay of </w:t>
      </w:r>
      <w:r w:rsidR="00595510">
        <w:rPr>
          <w:rFonts w:ascii="Avenir Next" w:hAnsi="Avenir Next" w:cs="Arial"/>
          <w:color w:val="7B7B7B" w:themeColor="accent3" w:themeShade="BF"/>
          <w:sz w:val="22"/>
          <w:szCs w:val="22"/>
          <w:lang w:val="en-GB"/>
        </w:rPr>
        <w:t>I</w:t>
      </w:r>
      <w:r w:rsidR="00595510" w:rsidRPr="00595510">
        <w:rPr>
          <w:rFonts w:ascii="Avenir Next" w:hAnsi="Avenir Next" w:cs="Arial"/>
          <w:color w:val="7B7B7B" w:themeColor="accent3" w:themeShade="BF"/>
          <w:sz w:val="22"/>
          <w:szCs w:val="22"/>
          <w:lang w:val="en-GB"/>
        </w:rPr>
        <w:t xml:space="preserve">ndividual </w:t>
      </w:r>
      <w:r w:rsidR="00595510">
        <w:rPr>
          <w:rFonts w:ascii="Avenir Next" w:hAnsi="Avenir Next" w:cs="Arial"/>
          <w:color w:val="7B7B7B" w:themeColor="accent3" w:themeShade="BF"/>
          <w:sz w:val="22"/>
          <w:szCs w:val="22"/>
          <w:lang w:val="en-GB"/>
        </w:rPr>
        <w:t>E</w:t>
      </w:r>
      <w:r w:rsidR="00595510" w:rsidRPr="00595510">
        <w:rPr>
          <w:rFonts w:ascii="Avenir Next" w:hAnsi="Avenir Next" w:cs="Arial"/>
          <w:color w:val="7B7B7B" w:themeColor="accent3" w:themeShade="BF"/>
          <w:sz w:val="22"/>
          <w:szCs w:val="22"/>
          <w:lang w:val="en-GB"/>
        </w:rPr>
        <w:t xml:space="preserve">nforcement </w:t>
      </w:r>
      <w:r w:rsidR="00595510">
        <w:rPr>
          <w:rFonts w:ascii="Avenir Next" w:hAnsi="Avenir Next" w:cs="Arial"/>
          <w:color w:val="7B7B7B" w:themeColor="accent3" w:themeShade="BF"/>
          <w:sz w:val="22"/>
          <w:szCs w:val="22"/>
          <w:lang w:val="en-GB"/>
        </w:rPr>
        <w:t>P</w:t>
      </w:r>
      <w:r w:rsidR="00595510" w:rsidRPr="00595510">
        <w:rPr>
          <w:rFonts w:ascii="Avenir Next" w:hAnsi="Avenir Next" w:cs="Arial"/>
          <w:color w:val="7B7B7B" w:themeColor="accent3" w:themeShade="BF"/>
          <w:sz w:val="22"/>
          <w:szCs w:val="22"/>
          <w:lang w:val="en-GB"/>
        </w:rPr>
        <w:t>roceedings</w:t>
      </w:r>
    </w:p>
    <w:p w14:paraId="31E633B8" w14:textId="675AF900" w:rsidR="00595510" w:rsidRDefault="00595510" w:rsidP="002A37BB">
      <w:pPr>
        <w:ind w:left="720" w:hanging="720"/>
        <w:jc w:val="both"/>
        <w:rPr>
          <w:rFonts w:ascii="Avenir Next" w:hAnsi="Avenir Next" w:cs="Arial"/>
          <w:color w:val="7B7B7B" w:themeColor="accent3" w:themeShade="BF"/>
          <w:sz w:val="22"/>
          <w:szCs w:val="22"/>
          <w:lang w:val="en-GB"/>
        </w:rPr>
      </w:pPr>
    </w:p>
    <w:p w14:paraId="280F6911" w14:textId="42785B21" w:rsidR="00595510" w:rsidRDefault="00595510" w:rsidP="00595510">
      <w:pPr>
        <w:jc w:val="both"/>
        <w:rPr>
          <w:rFonts w:ascii="Avenir Next" w:hAnsi="Avenir Next" w:cs="Arial"/>
          <w:color w:val="7B7B7B" w:themeColor="accent3" w:themeShade="BF"/>
          <w:sz w:val="22"/>
          <w:szCs w:val="22"/>
          <w:lang w:val="en-GB"/>
        </w:rPr>
      </w:pPr>
      <w:r w:rsidRPr="00595510">
        <w:rPr>
          <w:rFonts w:ascii="Avenir Next" w:hAnsi="Avenir Next" w:cs="Arial"/>
          <w:color w:val="7B7B7B" w:themeColor="accent3" w:themeShade="BF"/>
          <w:sz w:val="22"/>
          <w:szCs w:val="22"/>
          <w:lang w:val="en-GB"/>
        </w:rPr>
        <w:t xml:space="preserve">Pursuant to Art. 38 (3) of the EIR Recast, the insolvency administrator or the debtor in own administration of the main insolvency proceedings may file a request for a stay of the opening of the secondary insolvency proceedings. Such a request may be considered if the stay of individual enforcement measures has been decided in the context of the main proceedings. Allowing the secondary insolvency proceedings to be opened nonetheless could frustrate the negotiation process and possibly undermine the rescue of the company. </w:t>
      </w:r>
    </w:p>
    <w:p w14:paraId="11CFFBB0" w14:textId="77777777" w:rsidR="00ED11D0" w:rsidRPr="008E3C96" w:rsidRDefault="00ED11D0" w:rsidP="002A37BB">
      <w:pPr>
        <w:ind w:left="720" w:hanging="720"/>
        <w:jc w:val="both"/>
        <w:rPr>
          <w:rFonts w:ascii="Avenir Next" w:hAnsi="Avenir Next" w:cs="Arial"/>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5835A0D9" w14:textId="193C830F" w:rsidR="00C65E49" w:rsidRPr="00C65E49" w:rsidRDefault="00C65E49" w:rsidP="00C65E49">
      <w:pPr>
        <w:jc w:val="both"/>
        <w:rPr>
          <w:rFonts w:ascii="Avenir Next" w:hAnsi="Avenir Next" w:cs="Arial"/>
          <w:color w:val="7B7B7B" w:themeColor="accent3" w:themeShade="BF"/>
          <w:sz w:val="22"/>
          <w:szCs w:val="22"/>
          <w:lang w:val="en-GB"/>
        </w:rPr>
      </w:pPr>
      <w:r w:rsidRPr="00C65E49">
        <w:rPr>
          <w:rFonts w:ascii="Avenir Next" w:hAnsi="Avenir Next" w:cs="Arial"/>
          <w:color w:val="7B7B7B" w:themeColor="accent3" w:themeShade="BF"/>
          <w:sz w:val="22"/>
          <w:szCs w:val="22"/>
          <w:lang w:val="en-GB"/>
        </w:rPr>
        <w:t>Based on Art. 46 of the EIR 2000, the European Commission was required by 1 July 2012 at the latest, on the one hand, to draw up a report on the application of the First EIR, which entered into force in 2002, and in this context to submit proposals on what could be improved and how the improvement and adaptation should take place. With the EIR 2015, after 15 years of testing the first EIR, an adaptation to the needs of insolvency practice could take place. The adjustment was largely made via the ECJ's law-breaking and its interpretation of the EIR.</w:t>
      </w:r>
    </w:p>
    <w:p w14:paraId="1C68852F" w14:textId="77777777" w:rsidR="00C65E49" w:rsidRPr="00C65E49" w:rsidRDefault="00C65E49" w:rsidP="00C65E49">
      <w:pPr>
        <w:ind w:left="720" w:hanging="720"/>
        <w:jc w:val="both"/>
        <w:rPr>
          <w:rFonts w:ascii="Avenir Next" w:hAnsi="Avenir Next" w:cs="Arial"/>
          <w:color w:val="7B7B7B" w:themeColor="accent3" w:themeShade="BF"/>
          <w:sz w:val="22"/>
          <w:szCs w:val="22"/>
          <w:lang w:val="en-GB"/>
        </w:rPr>
      </w:pPr>
    </w:p>
    <w:p w14:paraId="4A637290" w14:textId="6784D1BC" w:rsidR="00544127" w:rsidRDefault="00C65E49" w:rsidP="00C65E49">
      <w:pPr>
        <w:jc w:val="both"/>
        <w:rPr>
          <w:rFonts w:ascii="Avenir Next" w:hAnsi="Avenir Next" w:cs="Arial"/>
          <w:color w:val="7B7B7B" w:themeColor="accent3" w:themeShade="BF"/>
          <w:sz w:val="22"/>
          <w:szCs w:val="22"/>
          <w:lang w:val="en-GB"/>
        </w:rPr>
      </w:pPr>
      <w:r w:rsidRPr="00C65E49">
        <w:rPr>
          <w:rFonts w:ascii="Avenir Next" w:hAnsi="Avenir Next" w:cs="Arial"/>
          <w:color w:val="7B7B7B" w:themeColor="accent3" w:themeShade="BF"/>
          <w:sz w:val="22"/>
          <w:szCs w:val="22"/>
          <w:lang w:val="en-GB"/>
        </w:rPr>
        <w:t>Initially, the focus of the EIR 2000 on classic liquidation-oriented proceedings was seen as essentially in need of revision. This focus on the liquidation of companies was no longer in line with the trend that was emerging in the Member States of the European Union, namely, to place more emphasis on the aspects of restructuring and reorganisation. According to Art. 1 of the EIR Recast, the review also extends to the restructuring of companies in distress but still viable.</w:t>
      </w:r>
    </w:p>
    <w:p w14:paraId="6D6EFCA6" w14:textId="55DF66F6" w:rsidR="00CC49BF" w:rsidRDefault="00CC49BF" w:rsidP="00C65E49">
      <w:pPr>
        <w:jc w:val="both"/>
        <w:rPr>
          <w:rFonts w:ascii="Avenir Next" w:hAnsi="Avenir Next" w:cs="Arial"/>
          <w:color w:val="7B7B7B" w:themeColor="accent3" w:themeShade="BF"/>
          <w:sz w:val="22"/>
          <w:szCs w:val="22"/>
          <w:lang w:val="en-GB"/>
        </w:rPr>
      </w:pPr>
    </w:p>
    <w:p w14:paraId="603863F4" w14:textId="77777777" w:rsidR="0055422B" w:rsidRDefault="00CC49BF" w:rsidP="00C65E49">
      <w:pPr>
        <w:jc w:val="both"/>
      </w:pPr>
      <w:r w:rsidRPr="00CC49BF">
        <w:rPr>
          <w:rFonts w:ascii="Avenir Next" w:hAnsi="Avenir Next" w:cs="Arial"/>
          <w:color w:val="7B7B7B" w:themeColor="accent3" w:themeShade="BF"/>
          <w:sz w:val="22"/>
          <w:szCs w:val="22"/>
          <w:lang w:val="en-GB"/>
        </w:rPr>
        <w:t xml:space="preserve">The definition of COMI was also considered to </w:t>
      </w:r>
      <w:proofErr w:type="gramStart"/>
      <w:r w:rsidRPr="00CC49BF">
        <w:rPr>
          <w:rFonts w:ascii="Avenir Next" w:hAnsi="Avenir Next" w:cs="Arial"/>
          <w:color w:val="7B7B7B" w:themeColor="accent3" w:themeShade="BF"/>
          <w:sz w:val="22"/>
          <w:szCs w:val="22"/>
          <w:lang w:val="en-GB"/>
        </w:rPr>
        <w:t>be in need of</w:t>
      </w:r>
      <w:proofErr w:type="gramEnd"/>
      <w:r w:rsidRPr="00CC49BF">
        <w:rPr>
          <w:rFonts w:ascii="Avenir Next" w:hAnsi="Avenir Next" w:cs="Arial"/>
          <w:color w:val="7B7B7B" w:themeColor="accent3" w:themeShade="BF"/>
          <w:sz w:val="22"/>
          <w:szCs w:val="22"/>
          <w:lang w:val="en-GB"/>
        </w:rPr>
        <w:t xml:space="preserve"> revision. Even under the EIR 2000, a main insolvency could only be opened where the centre of the debtor's main interests was located (COMI). However, the EIR 2000 did not define COMI, but only gave indications for the determination via recital 13. However, this framework could not be enforced due to its lack of codification. This has now been </w:t>
      </w:r>
      <w:r w:rsidRPr="00CC49BF">
        <w:rPr>
          <w:rFonts w:ascii="Avenir Next" w:hAnsi="Avenir Next" w:cs="Arial"/>
          <w:color w:val="7B7B7B" w:themeColor="accent3" w:themeShade="BF"/>
          <w:sz w:val="22"/>
          <w:szCs w:val="22"/>
          <w:lang w:val="en-GB"/>
        </w:rPr>
        <w:lastRenderedPageBreak/>
        <w:t xml:space="preserve">made more binding in the EIR Recast by implementing a binding definition in Art. 3 (1) of the EIR Recast. The definition found there follows the case law of the ECJ </w:t>
      </w:r>
      <w:r w:rsidR="00E5761C">
        <w:rPr>
          <w:rFonts w:ascii="Avenir Next" w:hAnsi="Avenir Next" w:cs="Arial"/>
          <w:color w:val="7B7B7B" w:themeColor="accent3" w:themeShade="BF"/>
          <w:sz w:val="22"/>
          <w:szCs w:val="22"/>
          <w:lang w:val="en-GB"/>
        </w:rPr>
        <w:t>(</w:t>
      </w:r>
      <w:r w:rsidR="001B53FF">
        <w:rPr>
          <w:rFonts w:ascii="Avenir Next" w:hAnsi="Avenir Next" w:cs="Arial"/>
          <w:color w:val="7B7B7B" w:themeColor="accent3" w:themeShade="BF"/>
          <w:sz w:val="22"/>
          <w:szCs w:val="22"/>
          <w:lang w:val="en-GB"/>
        </w:rPr>
        <w:t>esp.:</w:t>
      </w:r>
      <w:r w:rsidR="00E5761C">
        <w:rPr>
          <w:rFonts w:ascii="Avenir Next" w:hAnsi="Avenir Next" w:cs="Arial"/>
          <w:color w:val="7B7B7B" w:themeColor="accent3" w:themeShade="BF"/>
          <w:sz w:val="22"/>
          <w:szCs w:val="22"/>
          <w:lang w:val="en-GB"/>
        </w:rPr>
        <w:t xml:space="preserve"> </w:t>
      </w:r>
      <w:r w:rsidR="00E5761C" w:rsidRPr="00E5761C">
        <w:rPr>
          <w:rFonts w:ascii="Avenir Next" w:hAnsi="Avenir Next" w:cs="Arial"/>
          <w:color w:val="7B7B7B" w:themeColor="accent3" w:themeShade="BF"/>
          <w:sz w:val="22"/>
          <w:szCs w:val="22"/>
          <w:lang w:val="en-GB"/>
        </w:rPr>
        <w:t>C-341/04, ECLI:EU:C:2006:281</w:t>
      </w:r>
      <w:r w:rsidR="00E5761C">
        <w:rPr>
          <w:rFonts w:ascii="Avenir Next" w:hAnsi="Avenir Next" w:cs="Arial"/>
          <w:color w:val="7B7B7B" w:themeColor="accent3" w:themeShade="BF"/>
          <w:sz w:val="22"/>
          <w:szCs w:val="22"/>
          <w:lang w:val="en-GB"/>
        </w:rPr>
        <w:t xml:space="preserve">) </w:t>
      </w:r>
      <w:r w:rsidRPr="00CC49BF">
        <w:rPr>
          <w:rFonts w:ascii="Avenir Next" w:hAnsi="Avenir Next" w:cs="Arial"/>
          <w:color w:val="7B7B7B" w:themeColor="accent3" w:themeShade="BF"/>
          <w:sz w:val="22"/>
          <w:szCs w:val="22"/>
          <w:lang w:val="en-GB"/>
        </w:rPr>
        <w:t>and creates legal certainty in the determination of the COMI.</w:t>
      </w:r>
      <w:r w:rsidR="0055422B" w:rsidRPr="0055422B">
        <w:t xml:space="preserve"> </w:t>
      </w:r>
    </w:p>
    <w:p w14:paraId="60D7478E" w14:textId="77777777" w:rsidR="0055422B" w:rsidRDefault="0055422B" w:rsidP="00C65E49">
      <w:pPr>
        <w:jc w:val="both"/>
      </w:pPr>
    </w:p>
    <w:p w14:paraId="767DD28A" w14:textId="6733901C" w:rsidR="00CC49BF" w:rsidRDefault="0055422B" w:rsidP="00C65E49">
      <w:pPr>
        <w:jc w:val="both"/>
        <w:rPr>
          <w:rFonts w:ascii="Avenir Next" w:hAnsi="Avenir Next" w:cs="Arial"/>
          <w:color w:val="7B7B7B" w:themeColor="accent3" w:themeShade="BF"/>
          <w:sz w:val="22"/>
          <w:szCs w:val="22"/>
          <w:lang w:val="en-GB"/>
        </w:rPr>
      </w:pPr>
      <w:r w:rsidRPr="0055422B">
        <w:rPr>
          <w:rFonts w:ascii="Avenir Next" w:hAnsi="Avenir Next" w:cs="Arial"/>
          <w:color w:val="7B7B7B" w:themeColor="accent3" w:themeShade="BF"/>
          <w:sz w:val="22"/>
          <w:szCs w:val="22"/>
          <w:lang w:val="en-GB"/>
        </w:rPr>
        <w:t xml:space="preserve">A refinement of the EIR 2000 was made in the EIR Recast </w:t>
      </w:r>
      <w:r w:rsidR="00B3412B" w:rsidRPr="0055422B">
        <w:rPr>
          <w:rFonts w:ascii="Avenir Next" w:hAnsi="Avenir Next" w:cs="Arial"/>
          <w:color w:val="7B7B7B" w:themeColor="accent3" w:themeShade="BF"/>
          <w:sz w:val="22"/>
          <w:szCs w:val="22"/>
          <w:lang w:val="en-GB"/>
        </w:rPr>
        <w:t>regarding</w:t>
      </w:r>
      <w:r w:rsidRPr="0055422B">
        <w:rPr>
          <w:rFonts w:ascii="Avenir Next" w:hAnsi="Avenir Next" w:cs="Arial"/>
          <w:color w:val="7B7B7B" w:themeColor="accent3" w:themeShade="BF"/>
          <w:sz w:val="22"/>
          <w:szCs w:val="22"/>
          <w:lang w:val="en-GB"/>
        </w:rPr>
        <w:t xml:space="preserve"> the enforceability of decisions in other Member States. Article 32(1) of the EIR Recast provides that insolvency-related judgments must be enforced in accordance with the provisions of the Brussels I Regulation, which means that, in principle, no further declaration of enforceability is required.</w:t>
      </w:r>
    </w:p>
    <w:p w14:paraId="01D192A4" w14:textId="6B869391" w:rsidR="00C65E49" w:rsidRDefault="00C65E49" w:rsidP="00C65E49">
      <w:pPr>
        <w:jc w:val="both"/>
        <w:rPr>
          <w:rFonts w:ascii="Avenir Next" w:hAnsi="Avenir Next" w:cs="Arial"/>
          <w:color w:val="7B7B7B" w:themeColor="accent3" w:themeShade="BF"/>
          <w:sz w:val="22"/>
          <w:szCs w:val="22"/>
          <w:lang w:val="en-GB"/>
        </w:rPr>
      </w:pPr>
    </w:p>
    <w:p w14:paraId="24D80A3C" w14:textId="29B00F43" w:rsidR="00490535" w:rsidRDefault="00490535" w:rsidP="00C65E49">
      <w:pPr>
        <w:jc w:val="both"/>
        <w:rPr>
          <w:rFonts w:ascii="Avenir Next" w:hAnsi="Avenir Next" w:cs="Arial"/>
          <w:color w:val="7B7B7B" w:themeColor="accent3" w:themeShade="BF"/>
          <w:sz w:val="22"/>
          <w:szCs w:val="22"/>
          <w:lang w:val="en-GB"/>
        </w:rPr>
      </w:pPr>
      <w:r w:rsidRPr="00490535">
        <w:rPr>
          <w:rFonts w:ascii="Avenir Next" w:hAnsi="Avenir Next" w:cs="Arial"/>
          <w:color w:val="7B7B7B" w:themeColor="accent3" w:themeShade="BF"/>
          <w:sz w:val="22"/>
          <w:szCs w:val="22"/>
          <w:lang w:val="en-GB"/>
        </w:rPr>
        <w:t>A significant advance on the EIR 2000 also lies in the creation of binding regulations on the notification of creditors and the establishment of insolvency registers in the EIR Recast. Whereas the EIR 2000 left it up to the insolvency administrator to provide information on the opening of proceedings in other Member States to the public, Art. 28 (1) of the EIR Recast now obliges the insolvency administrator to apply for publication procedures under local law at the debtor's place of establishment. In addition, the EIR Recast moves away from the concept of tolerating the maintenance of separate insolvency register systems in individual countries and, under Art. 24 of the EIR Recast, now obliges Member States to establish and maintain registers within their territory.</w:t>
      </w:r>
    </w:p>
    <w:p w14:paraId="624643C5" w14:textId="3CA2D2E1" w:rsidR="008F44A8" w:rsidRDefault="008F44A8" w:rsidP="00C65E49">
      <w:pPr>
        <w:jc w:val="both"/>
        <w:rPr>
          <w:rFonts w:ascii="Avenir Next" w:hAnsi="Avenir Next" w:cs="Arial"/>
          <w:color w:val="7B7B7B" w:themeColor="accent3" w:themeShade="BF"/>
          <w:sz w:val="22"/>
          <w:szCs w:val="22"/>
          <w:lang w:val="en-GB"/>
        </w:rPr>
      </w:pPr>
    </w:p>
    <w:p w14:paraId="4D80D44F" w14:textId="48561D05" w:rsidR="008F44A8" w:rsidRDefault="008F44A8" w:rsidP="00C65E4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Pr="008F44A8">
        <w:rPr>
          <w:rFonts w:ascii="Avenir Next" w:hAnsi="Avenir Next" w:cs="Arial"/>
          <w:color w:val="7B7B7B" w:themeColor="accent3" w:themeShade="BF"/>
          <w:sz w:val="22"/>
          <w:szCs w:val="22"/>
          <w:lang w:val="en-GB"/>
        </w:rPr>
        <w:t>inally, significant progress should also be made regarding the regulation on cooperation and communication in connection with main and secondary insolvency proceedings. In addition, for the first time, instruments were comprehensively implemented in the regulatory framework of the EIR Recast, which should contribute to avoiding the opening of secondary insolvency proceedings in favour of effectiveness.</w:t>
      </w:r>
    </w:p>
    <w:p w14:paraId="11AAB818" w14:textId="77777777" w:rsidR="00C65E49" w:rsidRPr="008E3C96" w:rsidRDefault="00C65E49" w:rsidP="00C65E49">
      <w:pPr>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3DAA6780" w14:textId="6367B0E0" w:rsidR="00962045" w:rsidRDefault="004B2DD6" w:rsidP="002A37BB">
      <w:pPr>
        <w:jc w:val="both"/>
        <w:rPr>
          <w:rFonts w:ascii="Avenir Next" w:hAnsi="Avenir Next" w:cs="Arial"/>
          <w:color w:val="7B7B7B" w:themeColor="accent3" w:themeShade="BF"/>
          <w:sz w:val="22"/>
          <w:szCs w:val="22"/>
          <w:lang w:val="en-GB"/>
        </w:rPr>
      </w:pPr>
      <w:r w:rsidRPr="004B2DD6">
        <w:rPr>
          <w:rFonts w:ascii="Avenir Next" w:hAnsi="Avenir Next" w:cs="Arial"/>
          <w:color w:val="7B7B7B" w:themeColor="accent3" w:themeShade="BF"/>
          <w:sz w:val="22"/>
          <w:szCs w:val="22"/>
          <w:lang w:val="en-GB"/>
        </w:rPr>
        <w:t>In contrast to the EIR 2000, the EIR Recast was intended to find a regulation for improving the coordination of insolvency proceedings in the case of companies consisting of many individual companies where a fragmentation of the individual proceedings typically occurs in connection with cross-border proceedings. Although the EIR Recast was intended to create efficiency, the result is sometimes described as "modest".</w:t>
      </w:r>
    </w:p>
    <w:p w14:paraId="1BF95B4B" w14:textId="482FFE86" w:rsidR="00F643CA" w:rsidRDefault="00F643CA" w:rsidP="002A37BB">
      <w:pPr>
        <w:jc w:val="both"/>
        <w:rPr>
          <w:rFonts w:ascii="Avenir Next" w:hAnsi="Avenir Next" w:cs="Arial"/>
          <w:color w:val="7B7B7B" w:themeColor="accent3" w:themeShade="BF"/>
          <w:sz w:val="22"/>
          <w:szCs w:val="22"/>
          <w:lang w:val="en-GB"/>
        </w:rPr>
      </w:pPr>
    </w:p>
    <w:p w14:paraId="74442FF2" w14:textId="4EA8371E" w:rsidR="00F643CA" w:rsidRDefault="00F643CA" w:rsidP="002A37BB">
      <w:pPr>
        <w:jc w:val="both"/>
        <w:rPr>
          <w:rFonts w:ascii="Avenir Next" w:hAnsi="Avenir Next" w:cs="Arial"/>
          <w:color w:val="7B7B7B" w:themeColor="accent3" w:themeShade="BF"/>
          <w:sz w:val="22"/>
          <w:szCs w:val="22"/>
          <w:lang w:val="en-GB"/>
        </w:rPr>
      </w:pPr>
      <w:r w:rsidRPr="00F643CA">
        <w:rPr>
          <w:rFonts w:ascii="Avenir Next" w:hAnsi="Avenir Next" w:cs="Arial"/>
          <w:color w:val="7B7B7B" w:themeColor="accent3" w:themeShade="BF"/>
          <w:sz w:val="22"/>
          <w:szCs w:val="22"/>
          <w:lang w:val="en-GB"/>
        </w:rPr>
        <w:t xml:space="preserve">Particularly criticised is the overall very open and broad wording of the regulations on the so-called "group coordination procedure". According to the EIR Recast, the coordination procedures are of a voluntary nature and the measures formulated are merely recommendations, in particular the designation of a group coordinator. The practical value is consequently partly denied. It is also considered problematic that members in non-member states are not included in these procedures. In the criticism of the group coordination procedure, the weakest aspect of the regulation is said to be the fact that the individual insolvency </w:t>
      </w:r>
      <w:r>
        <w:rPr>
          <w:rFonts w:ascii="Avenir Next" w:hAnsi="Avenir Next" w:cs="Arial"/>
          <w:color w:val="7B7B7B" w:themeColor="accent3" w:themeShade="BF"/>
          <w:sz w:val="22"/>
          <w:szCs w:val="22"/>
          <w:lang w:val="en-GB"/>
        </w:rPr>
        <w:t>practitioner</w:t>
      </w:r>
      <w:r w:rsidRPr="00F643CA">
        <w:rPr>
          <w:rFonts w:ascii="Avenir Next" w:hAnsi="Avenir Next" w:cs="Arial"/>
          <w:color w:val="7B7B7B" w:themeColor="accent3" w:themeShade="BF"/>
          <w:sz w:val="22"/>
          <w:szCs w:val="22"/>
          <w:lang w:val="en-GB"/>
        </w:rPr>
        <w:t xml:space="preserve"> has the right to object to the inclusion of his insolvency proceedings in the group coordination. According to Art. 64 (1) of the EIR Recast, this objection does not have to be justified, which means that this procedure is "only" an opt-out procedure</w:t>
      </w:r>
      <w:r w:rsidRPr="00F643CA">
        <w:t xml:space="preserve"> </w:t>
      </w:r>
      <w:r w:rsidRPr="00F643CA">
        <w:rPr>
          <w:rFonts w:ascii="Avenir Next" w:hAnsi="Avenir Next" w:cs="Arial"/>
          <w:color w:val="7B7B7B" w:themeColor="accent3" w:themeShade="BF"/>
          <w:sz w:val="22"/>
          <w:szCs w:val="22"/>
          <w:lang w:val="en-GB"/>
        </w:rPr>
        <w:t>and is thus partly regarded as a "toothless tiger".</w:t>
      </w:r>
    </w:p>
    <w:p w14:paraId="2657516B" w14:textId="7EDB2F56" w:rsidR="00813A64" w:rsidRDefault="00813A64" w:rsidP="002A37BB">
      <w:pPr>
        <w:jc w:val="both"/>
        <w:rPr>
          <w:rFonts w:ascii="Avenir Next" w:hAnsi="Avenir Next" w:cs="Arial"/>
          <w:color w:val="7B7B7B" w:themeColor="accent3" w:themeShade="BF"/>
          <w:sz w:val="22"/>
          <w:szCs w:val="22"/>
          <w:lang w:val="en-GB"/>
        </w:rPr>
      </w:pPr>
    </w:p>
    <w:p w14:paraId="39B402A9" w14:textId="6DD460ED" w:rsidR="00813A64" w:rsidRDefault="00813A64" w:rsidP="002A37BB">
      <w:pPr>
        <w:jc w:val="both"/>
        <w:rPr>
          <w:rFonts w:ascii="Avenir Next" w:hAnsi="Avenir Next" w:cs="Arial"/>
          <w:color w:val="7B7B7B" w:themeColor="accent3" w:themeShade="BF"/>
          <w:sz w:val="22"/>
          <w:szCs w:val="22"/>
          <w:lang w:val="en-GB"/>
        </w:rPr>
      </w:pPr>
      <w:r w:rsidRPr="00813A64">
        <w:rPr>
          <w:rFonts w:ascii="Avenir Next" w:hAnsi="Avenir Next" w:cs="Arial"/>
          <w:color w:val="7B7B7B" w:themeColor="accent3" w:themeShade="BF"/>
          <w:sz w:val="22"/>
          <w:szCs w:val="22"/>
          <w:lang w:val="en-GB"/>
        </w:rPr>
        <w:t xml:space="preserve">While there is a clear need to create binding rules to find a particularly uniform solution for groups of companies that fall into cross-border insolvency, this has not been achieved with the EIR Recast. A solution for a set of rules that can lead to more clarity, legal certainty and effectiveness </w:t>
      </w:r>
      <w:r w:rsidR="00F44A58" w:rsidRPr="00813A64">
        <w:rPr>
          <w:rFonts w:ascii="Avenir Next" w:hAnsi="Avenir Next" w:cs="Arial"/>
          <w:color w:val="7B7B7B" w:themeColor="accent3" w:themeShade="BF"/>
          <w:sz w:val="22"/>
          <w:szCs w:val="22"/>
          <w:lang w:val="en-GB"/>
        </w:rPr>
        <w:t>during</w:t>
      </w:r>
      <w:r w:rsidRPr="00813A64">
        <w:rPr>
          <w:rFonts w:ascii="Avenir Next" w:hAnsi="Avenir Next" w:cs="Arial"/>
          <w:color w:val="7B7B7B" w:themeColor="accent3" w:themeShade="BF"/>
          <w:sz w:val="22"/>
          <w:szCs w:val="22"/>
          <w:lang w:val="en-GB"/>
        </w:rPr>
        <w:t xml:space="preserve"> proceedings requires binding rules that offer little room for interpretation, also </w:t>
      </w:r>
      <w:proofErr w:type="gramStart"/>
      <w:r w:rsidRPr="00813A64">
        <w:rPr>
          <w:rFonts w:ascii="Avenir Next" w:hAnsi="Avenir Next" w:cs="Arial"/>
          <w:color w:val="7B7B7B" w:themeColor="accent3" w:themeShade="BF"/>
          <w:sz w:val="22"/>
          <w:szCs w:val="22"/>
          <w:lang w:val="en-GB"/>
        </w:rPr>
        <w:t>taking into account</w:t>
      </w:r>
      <w:proofErr w:type="gramEnd"/>
      <w:r w:rsidRPr="00813A64">
        <w:rPr>
          <w:rFonts w:ascii="Avenir Next" w:hAnsi="Avenir Next" w:cs="Arial"/>
          <w:color w:val="7B7B7B" w:themeColor="accent3" w:themeShade="BF"/>
          <w:sz w:val="22"/>
          <w:szCs w:val="22"/>
          <w:lang w:val="en-GB"/>
        </w:rPr>
        <w:t xml:space="preserve"> third countries. </w:t>
      </w:r>
      <w:r w:rsidR="00951274" w:rsidRPr="00951274">
        <w:rPr>
          <w:rFonts w:ascii="Avenir Next" w:hAnsi="Avenir Next" w:cs="Arial"/>
          <w:color w:val="7B7B7B" w:themeColor="accent3" w:themeShade="BF"/>
          <w:sz w:val="22"/>
          <w:szCs w:val="22"/>
          <w:lang w:val="en-GB"/>
        </w:rPr>
        <w:t xml:space="preserve">This is confirmed by the option to bring action against companies based in third </w:t>
      </w:r>
      <w:r w:rsidR="00951274" w:rsidRPr="00951274">
        <w:rPr>
          <w:rFonts w:ascii="Avenir Next" w:hAnsi="Avenir Next" w:cs="Arial"/>
          <w:color w:val="7B7B7B" w:themeColor="accent3" w:themeShade="BF"/>
          <w:sz w:val="22"/>
          <w:szCs w:val="22"/>
          <w:lang w:val="en-GB"/>
        </w:rPr>
        <w:lastRenderedPageBreak/>
        <w:t>countries.</w:t>
      </w:r>
      <w:r w:rsidR="00951274">
        <w:rPr>
          <w:rFonts w:ascii="Avenir Next" w:hAnsi="Avenir Next" w:cs="Arial"/>
          <w:color w:val="7B7B7B" w:themeColor="accent3" w:themeShade="BF"/>
          <w:sz w:val="22"/>
          <w:szCs w:val="22"/>
          <w:lang w:val="en-GB"/>
        </w:rPr>
        <w:t xml:space="preserve"> </w:t>
      </w:r>
      <w:r w:rsidRPr="00813A64">
        <w:rPr>
          <w:rFonts w:ascii="Avenir Next" w:hAnsi="Avenir Next" w:cs="Arial"/>
          <w:color w:val="7B7B7B" w:themeColor="accent3" w:themeShade="BF"/>
          <w:sz w:val="22"/>
          <w:szCs w:val="22"/>
          <w:lang w:val="en-GB"/>
        </w:rPr>
        <w:t>It must not be possible to opt out. Although this is an advance towards universalism, it still preserves a modified aspect as a possibility.</w:t>
      </w:r>
    </w:p>
    <w:p w14:paraId="56DF985E" w14:textId="5AE52D88" w:rsidR="00813A64" w:rsidRDefault="00813A64" w:rsidP="002A37BB">
      <w:pPr>
        <w:jc w:val="both"/>
        <w:rPr>
          <w:rFonts w:ascii="Avenir Next" w:hAnsi="Avenir Next" w:cs="Arial"/>
          <w:color w:val="7B7B7B" w:themeColor="accent3" w:themeShade="BF"/>
          <w:sz w:val="22"/>
          <w:szCs w:val="22"/>
          <w:lang w:val="en-GB"/>
        </w:rPr>
      </w:pPr>
    </w:p>
    <w:p w14:paraId="5DDEE35D" w14:textId="77777777" w:rsidR="004B2DD6" w:rsidRDefault="004B2DD6"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AE7EA78" w14:textId="77E9BB85" w:rsidR="007D7C92" w:rsidRDefault="00DA0E0C" w:rsidP="00DA0E0C">
      <w:pPr>
        <w:jc w:val="both"/>
        <w:rPr>
          <w:rFonts w:ascii="Avenir Next" w:hAnsi="Avenir Next" w:cs="Arial"/>
          <w:color w:val="7B7B7B" w:themeColor="accent3" w:themeShade="BF"/>
          <w:sz w:val="22"/>
          <w:szCs w:val="22"/>
          <w:lang w:val="en-GB"/>
        </w:rPr>
      </w:pPr>
      <w:r w:rsidRPr="00DA0E0C">
        <w:rPr>
          <w:rFonts w:ascii="Avenir Next" w:hAnsi="Avenir Next" w:cs="Arial"/>
          <w:color w:val="7B7B7B" w:themeColor="accent3" w:themeShade="BF"/>
          <w:sz w:val="22"/>
          <w:szCs w:val="22"/>
          <w:lang w:val="en-GB"/>
        </w:rPr>
        <w:t>First, one difference between the European Insolvency Regulation and the European Restructuring Directive lies in the quality of the different legal acts of the European Union. A "regulation" has the effect of being directly binding on the member states, which applies to the European Insolvency Regulation. A "directive", on the other hand, gives states the scope to develop and implement regulatory structures in their own legal systems, which in turn applies to the restructuring directive.</w:t>
      </w:r>
    </w:p>
    <w:p w14:paraId="28A60ECE" w14:textId="5CCBD50D" w:rsidR="00DA0E0C" w:rsidRDefault="00DA0E0C" w:rsidP="00DA0E0C">
      <w:pPr>
        <w:jc w:val="both"/>
        <w:rPr>
          <w:rFonts w:ascii="Avenir Next" w:hAnsi="Avenir Next" w:cs="Arial"/>
          <w:color w:val="7B7B7B" w:themeColor="accent3" w:themeShade="BF"/>
          <w:sz w:val="22"/>
          <w:szCs w:val="22"/>
          <w:lang w:val="en-GB"/>
        </w:rPr>
      </w:pPr>
    </w:p>
    <w:p w14:paraId="202BB283" w14:textId="0D9C650E" w:rsidR="00B73284" w:rsidRPr="00B73284" w:rsidRDefault="00B73284" w:rsidP="00B73284">
      <w:pPr>
        <w:jc w:val="both"/>
        <w:rPr>
          <w:rFonts w:ascii="Avenir Next" w:hAnsi="Avenir Next" w:cs="Arial"/>
          <w:color w:val="7B7B7B" w:themeColor="accent3" w:themeShade="BF"/>
          <w:sz w:val="22"/>
          <w:szCs w:val="22"/>
          <w:lang w:val="en-GB"/>
        </w:rPr>
      </w:pPr>
      <w:r w:rsidRPr="00B73284">
        <w:rPr>
          <w:rFonts w:ascii="Avenir Next" w:hAnsi="Avenir Next" w:cs="Arial"/>
          <w:color w:val="7B7B7B" w:themeColor="accent3" w:themeShade="BF"/>
          <w:sz w:val="22"/>
          <w:szCs w:val="22"/>
          <w:lang w:val="en-GB"/>
        </w:rPr>
        <w:t>In terms of content, moreover, the European Insolvency Regulation and the Restructuring Directive are geared towards different subjects of regulation, also regarding the time perspective. The idea of creating an insolvency regulation at the European level arose from the realisation of the glaring disadvantages of a Europe divided into many different fragmented insolvency regulations. Unification through a common regulation was intended to bring about harmonisation in that common regulatory structures were to be created for dealing with cross-border insolvency matters. The European Insolvency Regulation thus intervenes much more deeply in the fundamental substantive structures of insolvency law.</w:t>
      </w:r>
    </w:p>
    <w:p w14:paraId="476C0D27" w14:textId="77777777" w:rsidR="00B73284" w:rsidRPr="00B73284" w:rsidRDefault="00B73284" w:rsidP="00B73284">
      <w:pPr>
        <w:jc w:val="both"/>
        <w:rPr>
          <w:rFonts w:ascii="Avenir Next" w:hAnsi="Avenir Next" w:cs="Arial"/>
          <w:color w:val="7B7B7B" w:themeColor="accent3" w:themeShade="BF"/>
          <w:sz w:val="22"/>
          <w:szCs w:val="22"/>
          <w:lang w:val="en-GB"/>
        </w:rPr>
      </w:pPr>
    </w:p>
    <w:p w14:paraId="12B937C1" w14:textId="184E481C" w:rsidR="00DA0E0C" w:rsidRDefault="00B73284" w:rsidP="00B73284">
      <w:pPr>
        <w:jc w:val="both"/>
        <w:rPr>
          <w:rFonts w:ascii="Avenir Next" w:hAnsi="Avenir Next" w:cs="Arial"/>
          <w:color w:val="7B7B7B" w:themeColor="accent3" w:themeShade="BF"/>
          <w:sz w:val="22"/>
          <w:szCs w:val="22"/>
          <w:lang w:val="en-GB"/>
        </w:rPr>
      </w:pPr>
      <w:r w:rsidRPr="00B73284">
        <w:rPr>
          <w:rFonts w:ascii="Avenir Next" w:hAnsi="Avenir Next" w:cs="Arial"/>
          <w:color w:val="7B7B7B" w:themeColor="accent3" w:themeShade="BF"/>
          <w:sz w:val="22"/>
          <w:szCs w:val="22"/>
          <w:lang w:val="en-GB"/>
        </w:rPr>
        <w:t>The Restructuring Directive, on the other hand, intervenes at an earlier stage, as it is intended to prevent insolvency. Thus, it is precisely in restructuring that early warning systems are implemented, which should enable debtors to recognise the deterioration of the business and avoid insolvency through appropriate measures.</w:t>
      </w:r>
    </w:p>
    <w:p w14:paraId="0E31215B" w14:textId="0DD968F8" w:rsidR="00B73284" w:rsidRDefault="00B73284" w:rsidP="00B73284">
      <w:pPr>
        <w:jc w:val="both"/>
        <w:rPr>
          <w:rFonts w:ascii="Avenir Next" w:hAnsi="Avenir Next" w:cs="Arial"/>
          <w:color w:val="7B7B7B" w:themeColor="accent3" w:themeShade="BF"/>
          <w:sz w:val="22"/>
          <w:szCs w:val="22"/>
          <w:lang w:val="en-GB"/>
        </w:rPr>
      </w:pPr>
    </w:p>
    <w:p w14:paraId="689C9B74" w14:textId="76A8D9E3" w:rsidR="00B73284" w:rsidRDefault="00B73284" w:rsidP="00B7328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B73284">
        <w:rPr>
          <w:rFonts w:ascii="Avenir Next" w:hAnsi="Avenir Next" w:cs="Arial"/>
          <w:color w:val="7B7B7B" w:themeColor="accent3" w:themeShade="BF"/>
          <w:sz w:val="22"/>
          <w:szCs w:val="22"/>
          <w:lang w:val="en-GB"/>
        </w:rPr>
        <w:t>ince the topic taken up by the Restructuring Directive is predominantly new to the European Union and, as a directive, encourages the states of the European Union to develop their own restructuring concepts, the harmonising effect is less than with the optical Insolvency Regulation. What both legal acts have in common is that in the European Insolvency Regulation, too, the rescue of still lovable but economically distressed companies is an essential aspect to be considered in the assessment of an insolvency situation. The only difference is that based on the European Insolvency Regulation one is already in an insolvency case.</w:t>
      </w:r>
    </w:p>
    <w:p w14:paraId="6A855657" w14:textId="77777777" w:rsidR="00B73284" w:rsidRDefault="00B73284" w:rsidP="00B73284">
      <w:pPr>
        <w:jc w:val="both"/>
        <w:rPr>
          <w:rFonts w:ascii="Avenir Next" w:hAnsi="Avenir Next" w:cs="Arial"/>
          <w:color w:val="7B7B7B" w:themeColor="accent3" w:themeShade="BF"/>
          <w:sz w:val="22"/>
          <w:szCs w:val="22"/>
          <w:lang w:val="en-GB"/>
        </w:rPr>
      </w:pPr>
    </w:p>
    <w:p w14:paraId="6A3549DB" w14:textId="77777777" w:rsidR="00DA0E0C" w:rsidRPr="008E3C96" w:rsidRDefault="00DA0E0C" w:rsidP="00DA0E0C">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55F8988" w14:textId="320168D6" w:rsidR="00D95496" w:rsidRDefault="0070176A" w:rsidP="002A37BB">
      <w:pPr>
        <w:jc w:val="both"/>
        <w:rPr>
          <w:rFonts w:ascii="Avenir Next" w:hAnsi="Avenir Next" w:cs="Arial"/>
          <w:color w:val="7B7B7B" w:themeColor="accent3" w:themeShade="BF"/>
          <w:sz w:val="22"/>
          <w:szCs w:val="22"/>
          <w:lang w:val="en-GB"/>
        </w:rPr>
      </w:pPr>
      <w:r w:rsidRPr="0070176A">
        <w:rPr>
          <w:rFonts w:ascii="Avenir Next" w:hAnsi="Avenir Next" w:cs="Arial"/>
          <w:color w:val="7B7B7B" w:themeColor="accent3" w:themeShade="BF"/>
          <w:sz w:val="22"/>
          <w:szCs w:val="22"/>
          <w:lang w:val="en-GB"/>
        </w:rPr>
        <w:t xml:space="preserve">A very important difference between the EIR 2000 and the EIR Recast is the more recent focus on the restructuring of companies and thus also on safeguard proceedings. The EIR 2000 did not contain any provisions on safeguard proceedings, so that the EIR 2000 did not contain any provisions on the jurisdiction of a court for such proceedings. </w:t>
      </w:r>
    </w:p>
    <w:p w14:paraId="7B1FB5FA" w14:textId="0A9528AA" w:rsidR="00AE50B7" w:rsidRDefault="00AE50B7" w:rsidP="002A37BB">
      <w:pPr>
        <w:jc w:val="both"/>
        <w:rPr>
          <w:rFonts w:ascii="Avenir Next" w:hAnsi="Avenir Next" w:cs="Arial"/>
          <w:color w:val="7B7B7B" w:themeColor="accent3" w:themeShade="BF"/>
          <w:sz w:val="22"/>
          <w:szCs w:val="22"/>
          <w:lang w:val="en-GB"/>
        </w:rPr>
      </w:pPr>
    </w:p>
    <w:p w14:paraId="1745CA84" w14:textId="31717A21" w:rsidR="00AE50B7" w:rsidRDefault="003742B6" w:rsidP="002A37BB">
      <w:pPr>
        <w:jc w:val="both"/>
        <w:rPr>
          <w:rFonts w:ascii="Avenir Next" w:hAnsi="Avenir Next" w:cs="Arial"/>
          <w:color w:val="7B7B7B" w:themeColor="accent3" w:themeShade="BF"/>
          <w:sz w:val="22"/>
          <w:szCs w:val="22"/>
          <w:lang w:val="en-GB"/>
        </w:rPr>
      </w:pPr>
      <w:r w:rsidRPr="003742B6">
        <w:rPr>
          <w:rFonts w:ascii="Avenir Next" w:hAnsi="Avenir Next" w:cs="Arial"/>
          <w:color w:val="7B7B7B" w:themeColor="accent3" w:themeShade="BF"/>
          <w:sz w:val="22"/>
          <w:szCs w:val="22"/>
          <w:lang w:val="en-GB"/>
        </w:rPr>
        <w:t>According to Art. 3(1) of the EIR 2000, the courts of the Member State within the territory of which the debtor has the COMI have jurisdiction to open insolvency proceedings. According to Art. 3(1</w:t>
      </w:r>
      <w:r w:rsidR="00E91BBA">
        <w:rPr>
          <w:rFonts w:ascii="Avenir Next" w:hAnsi="Avenir Next" w:cs="Arial"/>
          <w:color w:val="7B7B7B" w:themeColor="accent3" w:themeShade="BF"/>
          <w:sz w:val="22"/>
          <w:szCs w:val="22"/>
          <w:lang w:val="en-GB"/>
        </w:rPr>
        <w:t>) S. 2</w:t>
      </w:r>
      <w:r w:rsidRPr="003742B6">
        <w:rPr>
          <w:rFonts w:ascii="Avenir Next" w:hAnsi="Avenir Next" w:cs="Arial"/>
          <w:color w:val="7B7B7B" w:themeColor="accent3" w:themeShade="BF"/>
          <w:sz w:val="22"/>
          <w:szCs w:val="22"/>
          <w:lang w:val="en-GB"/>
        </w:rPr>
        <w:t xml:space="preserve"> it is presumed, to prove the contrary, that the centre of main interests of legal persons is the place of the statutory seat. When resolving the jurisdictional conundrum of the case Eurofood IFSC Ltd (C-341/04, ECLI:EU:C:2006:281), the CJEU first highlighted the autonomous meaning of the term COMI and then emphasised that it must be identified by reference to criteria that are both objective and ascertainable by third parties.</w:t>
      </w:r>
    </w:p>
    <w:p w14:paraId="5528DE38" w14:textId="1BE1FF76" w:rsidR="003742B6" w:rsidRDefault="003742B6" w:rsidP="002A37BB">
      <w:pPr>
        <w:jc w:val="both"/>
        <w:rPr>
          <w:rFonts w:ascii="Avenir Next" w:hAnsi="Avenir Next" w:cs="Arial"/>
          <w:color w:val="7B7B7B" w:themeColor="accent3" w:themeShade="BF"/>
          <w:sz w:val="22"/>
          <w:szCs w:val="22"/>
          <w:lang w:val="en-GB"/>
        </w:rPr>
      </w:pPr>
    </w:p>
    <w:p w14:paraId="481201AC" w14:textId="3898A4E0" w:rsidR="003742B6" w:rsidRDefault="003742B6" w:rsidP="002A37BB">
      <w:pPr>
        <w:jc w:val="both"/>
        <w:rPr>
          <w:rFonts w:ascii="Avenir Next" w:hAnsi="Avenir Next" w:cs="Arial"/>
          <w:color w:val="7B7B7B" w:themeColor="accent3" w:themeShade="BF"/>
          <w:sz w:val="22"/>
          <w:szCs w:val="22"/>
          <w:lang w:val="en-GB"/>
        </w:rPr>
      </w:pPr>
      <w:r w:rsidRPr="003742B6">
        <w:rPr>
          <w:rFonts w:ascii="Avenir Next" w:hAnsi="Avenir Next" w:cs="Arial"/>
          <w:color w:val="7B7B7B" w:themeColor="accent3" w:themeShade="BF"/>
          <w:sz w:val="22"/>
          <w:szCs w:val="22"/>
          <w:lang w:val="en-GB"/>
        </w:rPr>
        <w:t xml:space="preserve">In the CJEU's interpretation of the EIR 2000, the recognisability of the COMI for third parties was implementable </w:t>
      </w:r>
      <w:r w:rsidR="00E91BBA" w:rsidRPr="003742B6">
        <w:rPr>
          <w:rFonts w:ascii="Avenir Next" w:hAnsi="Avenir Next" w:cs="Arial"/>
          <w:color w:val="7B7B7B" w:themeColor="accent3" w:themeShade="BF"/>
          <w:sz w:val="22"/>
          <w:szCs w:val="22"/>
          <w:lang w:val="en-GB"/>
        </w:rPr>
        <w:t>if</w:t>
      </w:r>
      <w:r w:rsidRPr="003742B6">
        <w:rPr>
          <w:rFonts w:ascii="Avenir Next" w:hAnsi="Avenir Next" w:cs="Arial"/>
          <w:color w:val="7B7B7B" w:themeColor="accent3" w:themeShade="BF"/>
          <w:sz w:val="22"/>
          <w:szCs w:val="22"/>
          <w:lang w:val="en-GB"/>
        </w:rPr>
        <w:t xml:space="preserve"> the COMI could be determined </w:t>
      </w:r>
      <w:r w:rsidR="00E91BBA" w:rsidRPr="003742B6">
        <w:rPr>
          <w:rFonts w:ascii="Avenir Next" w:hAnsi="Avenir Next" w:cs="Arial"/>
          <w:color w:val="7B7B7B" w:themeColor="accent3" w:themeShade="BF"/>
          <w:sz w:val="22"/>
          <w:szCs w:val="22"/>
          <w:lang w:val="en-GB"/>
        </w:rPr>
        <w:t>based on</w:t>
      </w:r>
      <w:r w:rsidRPr="003742B6">
        <w:rPr>
          <w:rFonts w:ascii="Avenir Next" w:hAnsi="Avenir Next" w:cs="Arial"/>
          <w:color w:val="7B7B7B" w:themeColor="accent3" w:themeShade="BF"/>
          <w:sz w:val="22"/>
          <w:szCs w:val="22"/>
          <w:lang w:val="en-GB"/>
        </w:rPr>
        <w:t xml:space="preserve"> visible criteria such as the registration by a member state. The EIR Recast also adopted this and established a presumption of COMI with the registration of the company. Against this background, it could be assumed that the High Court in Strasbourg would also have jurisdiction under the EIR 2000 </w:t>
      </w:r>
      <w:r w:rsidR="00E91BBA" w:rsidRPr="003742B6">
        <w:rPr>
          <w:rFonts w:ascii="Avenir Next" w:hAnsi="Avenir Next" w:cs="Arial"/>
          <w:color w:val="7B7B7B" w:themeColor="accent3" w:themeShade="BF"/>
          <w:sz w:val="22"/>
          <w:szCs w:val="22"/>
          <w:lang w:val="en-GB"/>
        </w:rPr>
        <w:t>based on</w:t>
      </w:r>
      <w:r w:rsidRPr="003742B6">
        <w:rPr>
          <w:rFonts w:ascii="Avenir Next" w:hAnsi="Avenir Next" w:cs="Arial"/>
          <w:color w:val="7B7B7B" w:themeColor="accent3" w:themeShade="BF"/>
          <w:sz w:val="22"/>
          <w:szCs w:val="22"/>
          <w:lang w:val="en-GB"/>
        </w:rPr>
        <w:t xml:space="preserve"> Art. 3 (1) of the EIR 2000 due to the registration of BELLA SARL in France.</w:t>
      </w:r>
    </w:p>
    <w:p w14:paraId="302A7A1D" w14:textId="689B6880" w:rsidR="0070176A" w:rsidRDefault="0070176A" w:rsidP="002A37BB">
      <w:pPr>
        <w:jc w:val="both"/>
        <w:rPr>
          <w:rFonts w:ascii="Avenir Next" w:hAnsi="Avenir Next" w:cs="Arial"/>
          <w:color w:val="7B7B7B" w:themeColor="accent3" w:themeShade="BF"/>
          <w:sz w:val="22"/>
          <w:szCs w:val="22"/>
          <w:lang w:val="en-GB"/>
        </w:rPr>
      </w:pPr>
    </w:p>
    <w:p w14:paraId="2D04D8A8" w14:textId="77777777" w:rsidR="0070176A" w:rsidRPr="008E3C96" w:rsidRDefault="0070176A"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1B5E2F08" w14:textId="0D91EF60" w:rsidR="002D3473" w:rsidRDefault="00712E91" w:rsidP="002A37BB">
      <w:pPr>
        <w:autoSpaceDE w:val="0"/>
        <w:autoSpaceDN w:val="0"/>
        <w:adjustRightInd w:val="0"/>
        <w:jc w:val="both"/>
        <w:rPr>
          <w:rFonts w:ascii="Avenir Next" w:hAnsi="Avenir Next" w:cs="Arial"/>
          <w:color w:val="7B7B7B" w:themeColor="accent3" w:themeShade="BF"/>
          <w:sz w:val="22"/>
          <w:szCs w:val="22"/>
          <w:lang w:val="en-GB"/>
        </w:rPr>
      </w:pPr>
      <w:r w:rsidRPr="00712E91">
        <w:rPr>
          <w:rFonts w:ascii="Avenir Next" w:hAnsi="Avenir Next" w:cs="Arial"/>
          <w:color w:val="7B7B7B" w:themeColor="accent3" w:themeShade="BF"/>
          <w:sz w:val="22"/>
          <w:szCs w:val="22"/>
          <w:lang w:val="en-GB"/>
        </w:rPr>
        <w:lastRenderedPageBreak/>
        <w:t>For the applicability of the EIR Recast, Art. 1 of the EIR Recast provides that this set of rules shall initially apply only (1) to public collective proceedings, including provisional orders, based on insolvency law provisions and in which, for the purpose of rescue, debt settlement, reorganisation or liquidation, (2) a debtor is expropriated and an insolvency administrator is appointed, (3) the assets and business of the debtor are subjected to judicial control or supervision and, finally, (3) a stay of enforcement proceedings is granted by the court or by operation of law.</w:t>
      </w:r>
    </w:p>
    <w:p w14:paraId="3298F44B" w14:textId="30E0A07D" w:rsidR="00DA7941" w:rsidRDefault="00DA7941" w:rsidP="002A37BB">
      <w:pPr>
        <w:autoSpaceDE w:val="0"/>
        <w:autoSpaceDN w:val="0"/>
        <w:adjustRightInd w:val="0"/>
        <w:jc w:val="both"/>
        <w:rPr>
          <w:rFonts w:ascii="Avenir Next" w:hAnsi="Avenir Next" w:cs="Arial"/>
          <w:color w:val="7B7B7B" w:themeColor="accent3" w:themeShade="BF"/>
          <w:sz w:val="22"/>
          <w:szCs w:val="22"/>
          <w:lang w:val="en-GB"/>
        </w:rPr>
      </w:pPr>
    </w:p>
    <w:p w14:paraId="34799A93" w14:textId="7F52295E" w:rsidR="00DA7941" w:rsidRDefault="00DA7941" w:rsidP="002A37BB">
      <w:pPr>
        <w:autoSpaceDE w:val="0"/>
        <w:autoSpaceDN w:val="0"/>
        <w:adjustRightInd w:val="0"/>
        <w:jc w:val="both"/>
        <w:rPr>
          <w:rFonts w:ascii="Avenir Next" w:hAnsi="Avenir Next" w:cs="Arial"/>
          <w:color w:val="7B7B7B" w:themeColor="accent3" w:themeShade="BF"/>
          <w:sz w:val="22"/>
          <w:szCs w:val="22"/>
          <w:lang w:val="en-GB"/>
        </w:rPr>
      </w:pPr>
      <w:r w:rsidRPr="00DA7941">
        <w:rPr>
          <w:rFonts w:ascii="Avenir Next" w:hAnsi="Avenir Next" w:cs="Arial"/>
          <w:color w:val="7B7B7B" w:themeColor="accent3" w:themeShade="BF"/>
          <w:sz w:val="22"/>
          <w:szCs w:val="22"/>
          <w:lang w:val="en-GB"/>
        </w:rPr>
        <w:t>By way of subsumption with the facts of this case, it must be determined that the EIR Recast is applicable. The safeguard proceedings are, first, public collective proceedings, which are also listed in Annex A. The EIR Recast is a public collective procedure. It must be considered that the EIR Recast lists the procedures permitted under Art. 1 for the application of the EIR Recast in Annex A, so that the identification of the procedure is simplified in this way. According to Annex A, the safeguard procedure in French is the "Procedure Sauvegarde", which is listed among the French procedures.</w:t>
      </w:r>
    </w:p>
    <w:p w14:paraId="351412C6" w14:textId="5E21056D" w:rsidR="00DA7941" w:rsidRDefault="00DA7941" w:rsidP="002A37BB">
      <w:pPr>
        <w:autoSpaceDE w:val="0"/>
        <w:autoSpaceDN w:val="0"/>
        <w:adjustRightInd w:val="0"/>
        <w:jc w:val="both"/>
        <w:rPr>
          <w:rFonts w:ascii="Avenir Next" w:hAnsi="Avenir Next" w:cs="Arial"/>
          <w:color w:val="7B7B7B" w:themeColor="accent3" w:themeShade="BF"/>
          <w:sz w:val="22"/>
          <w:szCs w:val="22"/>
          <w:lang w:val="en-GB"/>
        </w:rPr>
      </w:pPr>
    </w:p>
    <w:p w14:paraId="33DA1C16" w14:textId="65E4B15E" w:rsidR="00DA7941" w:rsidRDefault="00521746" w:rsidP="002A37BB">
      <w:pPr>
        <w:autoSpaceDE w:val="0"/>
        <w:autoSpaceDN w:val="0"/>
        <w:adjustRightInd w:val="0"/>
        <w:jc w:val="both"/>
        <w:rPr>
          <w:rFonts w:ascii="Avenir Next" w:hAnsi="Avenir Next" w:cs="Arial"/>
          <w:color w:val="7B7B7B" w:themeColor="accent3" w:themeShade="BF"/>
          <w:sz w:val="22"/>
          <w:szCs w:val="22"/>
          <w:lang w:val="en-GB"/>
        </w:rPr>
      </w:pPr>
      <w:r w:rsidRPr="00521746">
        <w:rPr>
          <w:rFonts w:ascii="Avenir Next" w:hAnsi="Avenir Next" w:cs="Arial"/>
          <w:color w:val="7B7B7B" w:themeColor="accent3" w:themeShade="BF"/>
          <w:sz w:val="22"/>
          <w:szCs w:val="22"/>
          <w:lang w:val="en-GB"/>
        </w:rPr>
        <w:t>Since the debtor is typically deprived of the power to manage and dispose of his company by means of these safeguarding proceedings and an administrator is appointed to manage the company, the requirement under paragraphs 2 and 3 is also fulfilled. This corresponds to an interpretation of the French procedure. As these are French safeguard proceedings, the provision would need to be examined under French law to verify this interpretation. Typically, enforcement measures are also suspended in safeguard proceedings, as otherwise the goods and other assets would be at risk of no longer being available because of the enforcement. Against this background, it can be assumed that the requirements for the applicability of the EIR Recast are met.</w:t>
      </w:r>
    </w:p>
    <w:p w14:paraId="61DC320E" w14:textId="5315DDAA" w:rsidR="00712E91" w:rsidRDefault="00712E91" w:rsidP="002A37BB">
      <w:pPr>
        <w:autoSpaceDE w:val="0"/>
        <w:autoSpaceDN w:val="0"/>
        <w:adjustRightInd w:val="0"/>
        <w:jc w:val="both"/>
        <w:rPr>
          <w:rFonts w:ascii="Avenir Next" w:hAnsi="Avenir Next" w:cs="Arial"/>
          <w:color w:val="7B7B7B" w:themeColor="accent3" w:themeShade="BF"/>
          <w:sz w:val="22"/>
          <w:szCs w:val="22"/>
          <w:lang w:val="en-GB"/>
        </w:rPr>
      </w:pPr>
    </w:p>
    <w:p w14:paraId="5E03CE80" w14:textId="77777777" w:rsidR="00712E91" w:rsidRPr="008E3C96" w:rsidRDefault="00712E91"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2EF3F1E" w14:textId="77777777" w:rsidR="00B611D8" w:rsidRDefault="00D50334" w:rsidP="00B611D8">
      <w:pPr>
        <w:jc w:val="both"/>
        <w:rPr>
          <w:rFonts w:ascii="Avenir Next" w:hAnsi="Avenir Next" w:cs="Arial"/>
          <w:color w:val="7B7B7B" w:themeColor="accent3" w:themeShade="BF"/>
          <w:sz w:val="22"/>
          <w:szCs w:val="22"/>
          <w:lang w:val="en-GB"/>
        </w:rPr>
      </w:pPr>
      <w:r w:rsidRPr="00D50334">
        <w:rPr>
          <w:rFonts w:ascii="Avenir Next" w:hAnsi="Avenir Next" w:cs="Arial"/>
          <w:color w:val="7B7B7B" w:themeColor="accent3" w:themeShade="BF"/>
          <w:sz w:val="22"/>
          <w:szCs w:val="22"/>
          <w:lang w:val="en-GB"/>
        </w:rPr>
        <w:t>According to Art. 3(2) of the EIR Recast, courts of another Member State have the jurisdiction to open insolvency proceedings if the debtor has an establishment within the territory of that Member State. As secondary insolvency proceedings, the effects of these procedures are limited to the assets located in that Member State.</w:t>
      </w:r>
    </w:p>
    <w:p w14:paraId="694B1512" w14:textId="77777777" w:rsidR="00B611D8" w:rsidRDefault="00B611D8" w:rsidP="00B611D8">
      <w:pPr>
        <w:jc w:val="both"/>
        <w:rPr>
          <w:rFonts w:ascii="Avenir Next" w:hAnsi="Avenir Next" w:cs="Arial"/>
          <w:color w:val="7B7B7B" w:themeColor="accent3" w:themeShade="BF"/>
          <w:sz w:val="22"/>
          <w:szCs w:val="22"/>
          <w:lang w:val="en-GB"/>
        </w:rPr>
      </w:pPr>
    </w:p>
    <w:p w14:paraId="60C2CB91" w14:textId="39D5D3C7" w:rsidR="00B611D8" w:rsidRPr="00B611D8" w:rsidRDefault="00B611D8" w:rsidP="00B611D8">
      <w:pPr>
        <w:jc w:val="both"/>
        <w:rPr>
          <w:rFonts w:ascii="Avenir Next" w:hAnsi="Avenir Next" w:cs="Arial"/>
          <w:color w:val="7B7B7B" w:themeColor="accent3" w:themeShade="BF"/>
          <w:sz w:val="22"/>
          <w:szCs w:val="22"/>
          <w:lang w:val="en-GB"/>
        </w:rPr>
      </w:pPr>
      <w:r w:rsidRPr="00B611D8">
        <w:rPr>
          <w:rFonts w:ascii="Avenir Next" w:hAnsi="Avenir Next" w:cs="Arial"/>
          <w:color w:val="7B7B7B" w:themeColor="accent3" w:themeShade="BF"/>
          <w:sz w:val="22"/>
          <w:szCs w:val="22"/>
          <w:lang w:val="en-GB"/>
        </w:rPr>
        <w:t>The term "establishment" is defined in Art. 2(10) of the EIR Recast. According to this definition, establishment means any place of business where the debtor carries out an economic activity of a non-transitory nature, involving the use of personnel and assets.</w:t>
      </w:r>
      <w:r w:rsidR="007D5E5E">
        <w:rPr>
          <w:rFonts w:ascii="Avenir Next" w:hAnsi="Avenir Next" w:cs="Arial"/>
          <w:color w:val="7B7B7B" w:themeColor="accent3" w:themeShade="BF"/>
          <w:sz w:val="22"/>
          <w:szCs w:val="22"/>
          <w:lang w:val="en-GB"/>
        </w:rPr>
        <w:t xml:space="preserve"> </w:t>
      </w:r>
      <w:r w:rsidR="00225DB8" w:rsidRPr="00225DB8">
        <w:rPr>
          <w:rFonts w:ascii="Avenir Next" w:hAnsi="Avenir Next" w:cs="Arial"/>
          <w:color w:val="7B7B7B" w:themeColor="accent3" w:themeShade="BF"/>
          <w:sz w:val="22"/>
          <w:szCs w:val="22"/>
          <w:lang w:val="en-GB"/>
        </w:rPr>
        <w:t>In the "</w:t>
      </w:r>
      <w:proofErr w:type="spellStart"/>
      <w:r w:rsidR="00225DB8" w:rsidRPr="00225DB8">
        <w:rPr>
          <w:rFonts w:ascii="Avenir Next" w:hAnsi="Avenir Next" w:cs="Arial"/>
          <w:color w:val="7B7B7B" w:themeColor="accent3" w:themeShade="BF"/>
          <w:sz w:val="22"/>
          <w:szCs w:val="22"/>
          <w:lang w:val="en-GB"/>
        </w:rPr>
        <w:t>Interedil</w:t>
      </w:r>
      <w:proofErr w:type="spellEnd"/>
      <w:r w:rsidR="00225DB8" w:rsidRPr="00225DB8">
        <w:rPr>
          <w:rFonts w:ascii="Avenir Next" w:hAnsi="Avenir Next" w:cs="Arial"/>
          <w:color w:val="7B7B7B" w:themeColor="accent3" w:themeShade="BF"/>
          <w:sz w:val="22"/>
          <w:szCs w:val="22"/>
          <w:lang w:val="en-GB"/>
        </w:rPr>
        <w:t>" case, the ECJ confirmed that the definition of the exercise of an economic activity is linked precisely to the existence of human resources, which must arise from a minimum level of organisation and a certain degree of stability. The mere existence of goods or bank accounts does not meet the requirements for the definition of establishment (C-396/09, ECLI:EU:C:2011:671).</w:t>
      </w:r>
      <w:r w:rsidR="00225DB8">
        <w:rPr>
          <w:rFonts w:ascii="Avenir Next" w:hAnsi="Avenir Next" w:cs="Arial"/>
          <w:color w:val="7B7B7B" w:themeColor="accent3" w:themeShade="BF"/>
          <w:sz w:val="22"/>
          <w:szCs w:val="22"/>
          <w:lang w:val="en-GB"/>
        </w:rPr>
        <w:t xml:space="preserve"> </w:t>
      </w:r>
      <w:r w:rsidR="007D5E5E" w:rsidRPr="007D5E5E">
        <w:rPr>
          <w:rFonts w:ascii="Avenir Next" w:hAnsi="Avenir Next" w:cs="Arial"/>
          <w:color w:val="7B7B7B" w:themeColor="accent3" w:themeShade="BF"/>
          <w:sz w:val="22"/>
          <w:szCs w:val="22"/>
          <w:lang w:val="en-GB"/>
        </w:rPr>
        <w:t xml:space="preserve">The activity in the other member state may not only be of a temporary nature. The decisive factor is how the activity appears to third parties (paragraph 71 </w:t>
      </w:r>
      <w:proofErr w:type="spellStart"/>
      <w:r w:rsidR="007D5E5E" w:rsidRPr="007D5E5E">
        <w:rPr>
          <w:rFonts w:ascii="Avenir Next" w:hAnsi="Avenir Next" w:cs="Arial"/>
          <w:color w:val="7B7B7B" w:themeColor="accent3" w:themeShade="BF"/>
          <w:sz w:val="22"/>
          <w:szCs w:val="22"/>
          <w:lang w:val="en-GB"/>
        </w:rPr>
        <w:t>Virgós-Schmit</w:t>
      </w:r>
      <w:proofErr w:type="spellEnd"/>
      <w:r w:rsidR="007D5E5E" w:rsidRPr="007D5E5E">
        <w:rPr>
          <w:rFonts w:ascii="Avenir Next" w:hAnsi="Avenir Next" w:cs="Arial"/>
          <w:color w:val="7B7B7B" w:themeColor="accent3" w:themeShade="BF"/>
          <w:sz w:val="22"/>
          <w:szCs w:val="22"/>
          <w:lang w:val="en-GB"/>
        </w:rPr>
        <w:t xml:space="preserve"> Report).</w:t>
      </w:r>
      <w:r w:rsidR="00DB398D">
        <w:rPr>
          <w:rFonts w:ascii="Avenir Next" w:hAnsi="Avenir Next" w:cs="Arial"/>
          <w:color w:val="7B7B7B" w:themeColor="accent3" w:themeShade="BF"/>
          <w:sz w:val="22"/>
          <w:szCs w:val="22"/>
          <w:lang w:val="en-GB"/>
        </w:rPr>
        <w:t xml:space="preserve"> </w:t>
      </w:r>
    </w:p>
    <w:p w14:paraId="2C085AC9" w14:textId="77777777" w:rsidR="00B611D8" w:rsidRPr="00B611D8" w:rsidRDefault="00B611D8" w:rsidP="00B611D8">
      <w:pPr>
        <w:jc w:val="both"/>
        <w:rPr>
          <w:rFonts w:ascii="Avenir Next" w:hAnsi="Avenir Next" w:cs="Arial"/>
          <w:color w:val="7B7B7B" w:themeColor="accent3" w:themeShade="BF"/>
          <w:sz w:val="22"/>
          <w:szCs w:val="22"/>
          <w:lang w:val="en-GB"/>
        </w:rPr>
      </w:pPr>
    </w:p>
    <w:p w14:paraId="78CDA1C3" w14:textId="2D097DDC" w:rsidR="00B611D8" w:rsidRDefault="00B611D8" w:rsidP="00B611D8">
      <w:pPr>
        <w:jc w:val="both"/>
        <w:rPr>
          <w:rFonts w:ascii="Avenir Next" w:hAnsi="Avenir Next" w:cs="Arial"/>
          <w:color w:val="7B7B7B" w:themeColor="accent3" w:themeShade="BF"/>
          <w:sz w:val="22"/>
          <w:szCs w:val="22"/>
          <w:lang w:val="en-GB"/>
        </w:rPr>
      </w:pPr>
      <w:r w:rsidRPr="00B611D8">
        <w:rPr>
          <w:rFonts w:ascii="Avenir Next" w:hAnsi="Avenir Next" w:cs="Arial"/>
          <w:color w:val="7B7B7B" w:themeColor="accent3" w:themeShade="BF"/>
          <w:sz w:val="22"/>
          <w:szCs w:val="22"/>
          <w:lang w:val="en-GB"/>
        </w:rPr>
        <w:t xml:space="preserve">The activity of Bella SARL in Italy must therefore be an establishment </w:t>
      </w:r>
      <w:r w:rsidRPr="00B611D8">
        <w:rPr>
          <w:rFonts w:ascii="Avenir Next" w:hAnsi="Avenir Next" w:cs="Arial"/>
          <w:color w:val="7B7B7B" w:themeColor="accent3" w:themeShade="BF"/>
          <w:sz w:val="22"/>
          <w:szCs w:val="22"/>
          <w:lang w:val="en-GB"/>
        </w:rPr>
        <w:t>for</w:t>
      </w:r>
      <w:r w:rsidRPr="00B611D8">
        <w:rPr>
          <w:rFonts w:ascii="Avenir Next" w:hAnsi="Avenir Next" w:cs="Arial"/>
          <w:color w:val="7B7B7B" w:themeColor="accent3" w:themeShade="BF"/>
          <w:sz w:val="22"/>
          <w:szCs w:val="22"/>
          <w:lang w:val="en-GB"/>
        </w:rPr>
        <w:t xml:space="preserve"> the scope of application under Article 3(2) of the EIR Recast for the opening of secondary insolvency proceedings to be opened at all.</w:t>
      </w:r>
    </w:p>
    <w:p w14:paraId="602E2D7F" w14:textId="66945366" w:rsidR="00291D31" w:rsidRDefault="00291D31" w:rsidP="00B611D8">
      <w:pPr>
        <w:jc w:val="both"/>
        <w:rPr>
          <w:rFonts w:ascii="Avenir Next" w:hAnsi="Avenir Next" w:cs="Arial"/>
          <w:color w:val="7B7B7B" w:themeColor="accent3" w:themeShade="BF"/>
          <w:sz w:val="22"/>
          <w:szCs w:val="22"/>
          <w:lang w:val="en-GB"/>
        </w:rPr>
      </w:pPr>
    </w:p>
    <w:p w14:paraId="4DEE5D9F" w14:textId="7FCC7D7A" w:rsidR="00291D31" w:rsidRPr="00291D31" w:rsidRDefault="00291D31" w:rsidP="00291D31">
      <w:pPr>
        <w:jc w:val="both"/>
        <w:rPr>
          <w:rFonts w:ascii="Avenir Next" w:hAnsi="Avenir Next" w:cs="Arial"/>
          <w:color w:val="7B7B7B" w:themeColor="accent3" w:themeShade="BF"/>
          <w:sz w:val="22"/>
          <w:szCs w:val="22"/>
          <w:lang w:val="en-GB"/>
        </w:rPr>
      </w:pPr>
      <w:r w:rsidRPr="00291D31">
        <w:rPr>
          <w:rFonts w:ascii="Avenir Next" w:hAnsi="Avenir Next" w:cs="Arial"/>
          <w:color w:val="7B7B7B" w:themeColor="accent3" w:themeShade="BF"/>
          <w:sz w:val="22"/>
          <w:szCs w:val="22"/>
          <w:lang w:val="en-GB"/>
        </w:rPr>
        <w:t xml:space="preserve">Bella SARL has warehouses in Germany, </w:t>
      </w:r>
      <w:r w:rsidR="00AF490D">
        <w:rPr>
          <w:rFonts w:ascii="Avenir Next" w:hAnsi="Avenir Next" w:cs="Arial"/>
          <w:color w:val="7B7B7B" w:themeColor="accent3" w:themeShade="BF"/>
          <w:sz w:val="22"/>
          <w:szCs w:val="22"/>
          <w:lang w:val="en-GB"/>
        </w:rPr>
        <w:t>P</w:t>
      </w:r>
      <w:r w:rsidRPr="00291D31">
        <w:rPr>
          <w:rFonts w:ascii="Avenir Next" w:hAnsi="Avenir Next" w:cs="Arial"/>
          <w:color w:val="7B7B7B" w:themeColor="accent3" w:themeShade="BF"/>
          <w:sz w:val="22"/>
          <w:szCs w:val="22"/>
          <w:lang w:val="en-GB"/>
        </w:rPr>
        <w:t xml:space="preserve">oland Spain, Portugal </w:t>
      </w:r>
      <w:r w:rsidR="00AF490D" w:rsidRPr="00291D31">
        <w:rPr>
          <w:rFonts w:ascii="Avenir Next" w:hAnsi="Avenir Next" w:cs="Arial"/>
          <w:color w:val="7B7B7B" w:themeColor="accent3" w:themeShade="BF"/>
          <w:sz w:val="22"/>
          <w:szCs w:val="22"/>
          <w:lang w:val="en-GB"/>
        </w:rPr>
        <w:t>and</w:t>
      </w:r>
      <w:r w:rsidRPr="00291D31">
        <w:rPr>
          <w:rFonts w:ascii="Avenir Next" w:hAnsi="Avenir Next" w:cs="Arial"/>
          <w:color w:val="7B7B7B" w:themeColor="accent3" w:themeShade="BF"/>
          <w:sz w:val="22"/>
          <w:szCs w:val="22"/>
          <w:lang w:val="en-GB"/>
        </w:rPr>
        <w:t xml:space="preserve"> in Italy, among others. All employees of this company work outside France, where the company is registered and operates its first shop in Strasbourg.</w:t>
      </w:r>
    </w:p>
    <w:p w14:paraId="4C8A7195" w14:textId="77777777" w:rsidR="00291D31" w:rsidRPr="00291D31" w:rsidRDefault="00291D31" w:rsidP="00291D31">
      <w:pPr>
        <w:jc w:val="both"/>
        <w:rPr>
          <w:rFonts w:ascii="Avenir Next" w:hAnsi="Avenir Next" w:cs="Arial"/>
          <w:color w:val="7B7B7B" w:themeColor="accent3" w:themeShade="BF"/>
          <w:sz w:val="22"/>
          <w:szCs w:val="22"/>
          <w:lang w:val="en-GB"/>
        </w:rPr>
      </w:pPr>
    </w:p>
    <w:p w14:paraId="76342C47" w14:textId="2A6771A3" w:rsidR="00291D31" w:rsidRPr="00291D31" w:rsidRDefault="00291D31" w:rsidP="00291D31">
      <w:pPr>
        <w:jc w:val="both"/>
        <w:rPr>
          <w:rFonts w:ascii="Avenir Next" w:hAnsi="Avenir Next" w:cs="Arial"/>
          <w:color w:val="7B7B7B" w:themeColor="accent3" w:themeShade="BF"/>
          <w:sz w:val="22"/>
          <w:szCs w:val="22"/>
          <w:lang w:val="en-GB"/>
        </w:rPr>
      </w:pPr>
      <w:r w:rsidRPr="00291D31">
        <w:rPr>
          <w:rFonts w:ascii="Avenir Next" w:hAnsi="Avenir Next" w:cs="Arial"/>
          <w:color w:val="7B7B7B" w:themeColor="accent3" w:themeShade="BF"/>
          <w:sz w:val="22"/>
          <w:szCs w:val="22"/>
          <w:lang w:val="en-GB"/>
        </w:rPr>
        <w:t xml:space="preserve">The warehouse set up in Italy, like the warehouses in other countries, has not been created on a temporary basis, but serves as a starting point for the distribution of cosmetic products in the country of Italy. The Company's assets </w:t>
      </w:r>
      <w:r w:rsidR="00AF490D" w:rsidRPr="00291D31">
        <w:rPr>
          <w:rFonts w:ascii="Avenir Next" w:hAnsi="Avenir Next" w:cs="Arial"/>
          <w:color w:val="7B7B7B" w:themeColor="accent3" w:themeShade="BF"/>
          <w:sz w:val="22"/>
          <w:szCs w:val="22"/>
          <w:lang w:val="en-GB"/>
        </w:rPr>
        <w:t>are in</w:t>
      </w:r>
      <w:r w:rsidRPr="00291D31">
        <w:rPr>
          <w:rFonts w:ascii="Avenir Next" w:hAnsi="Avenir Next" w:cs="Arial"/>
          <w:color w:val="7B7B7B" w:themeColor="accent3" w:themeShade="BF"/>
          <w:sz w:val="22"/>
          <w:szCs w:val="22"/>
          <w:lang w:val="en-GB"/>
        </w:rPr>
        <w:t xml:space="preserve"> this warehouse and the Company's personnel are employed there as well as at the locations of the other warehouses.</w:t>
      </w:r>
    </w:p>
    <w:p w14:paraId="4A93A71D" w14:textId="77777777" w:rsidR="00291D31" w:rsidRPr="00291D31" w:rsidRDefault="00291D31" w:rsidP="00291D31">
      <w:pPr>
        <w:jc w:val="both"/>
        <w:rPr>
          <w:rFonts w:ascii="Avenir Next" w:hAnsi="Avenir Next" w:cs="Arial"/>
          <w:color w:val="7B7B7B" w:themeColor="accent3" w:themeShade="BF"/>
          <w:sz w:val="22"/>
          <w:szCs w:val="22"/>
          <w:lang w:val="en-GB"/>
        </w:rPr>
      </w:pPr>
    </w:p>
    <w:p w14:paraId="63507055" w14:textId="038D2D54" w:rsidR="00291D31" w:rsidRDefault="00291D31" w:rsidP="00291D31">
      <w:pPr>
        <w:jc w:val="both"/>
        <w:rPr>
          <w:rFonts w:ascii="Avenir Next" w:hAnsi="Avenir Next" w:cs="Arial"/>
          <w:color w:val="7B7B7B" w:themeColor="accent3" w:themeShade="BF"/>
          <w:sz w:val="22"/>
          <w:szCs w:val="22"/>
          <w:lang w:val="en-GB"/>
        </w:rPr>
      </w:pPr>
      <w:r w:rsidRPr="00291D31">
        <w:rPr>
          <w:rFonts w:ascii="Avenir Next" w:hAnsi="Avenir Next" w:cs="Arial"/>
          <w:color w:val="7B7B7B" w:themeColor="accent3" w:themeShade="BF"/>
          <w:sz w:val="22"/>
          <w:szCs w:val="22"/>
          <w:lang w:val="en-GB"/>
        </w:rPr>
        <w:t>Due to the economic activity conducted by Bella SARL from this location in Italy, it can be assumed that it is an establishment within the meaning of Art. 2 (10) of the EIR Recast.</w:t>
      </w:r>
    </w:p>
    <w:p w14:paraId="5A10B041" w14:textId="4D46850E" w:rsidR="00D6086F" w:rsidRDefault="00D6086F" w:rsidP="00291D31">
      <w:pPr>
        <w:jc w:val="both"/>
        <w:rPr>
          <w:rFonts w:ascii="Avenir Next" w:hAnsi="Avenir Next" w:cs="Arial"/>
          <w:color w:val="7B7B7B" w:themeColor="accent3" w:themeShade="BF"/>
          <w:sz w:val="22"/>
          <w:szCs w:val="22"/>
          <w:lang w:val="en-GB"/>
        </w:rPr>
      </w:pPr>
    </w:p>
    <w:p w14:paraId="5A858CFD" w14:textId="2810349C" w:rsidR="00D50334" w:rsidRDefault="00D6086F" w:rsidP="002A37BB">
      <w:pPr>
        <w:jc w:val="both"/>
        <w:rPr>
          <w:rFonts w:ascii="Avenir Next" w:hAnsi="Avenir Next" w:cs="Arial"/>
          <w:color w:val="7B7B7B" w:themeColor="accent3" w:themeShade="BF"/>
          <w:sz w:val="22"/>
          <w:szCs w:val="22"/>
          <w:lang w:val="en-GB"/>
        </w:rPr>
      </w:pPr>
      <w:r w:rsidRPr="00D6086F">
        <w:rPr>
          <w:rFonts w:ascii="Avenir Next" w:hAnsi="Avenir Next" w:cs="Arial"/>
          <w:color w:val="7B7B7B" w:themeColor="accent3" w:themeShade="BF"/>
          <w:sz w:val="22"/>
          <w:szCs w:val="22"/>
          <w:lang w:val="en-GB"/>
        </w:rPr>
        <w:t xml:space="preserve">Since, according to Art. 3 (2) of the EIR Recast, the establishment </w:t>
      </w:r>
      <w:r w:rsidR="00A22A00" w:rsidRPr="00D6086F">
        <w:rPr>
          <w:rFonts w:ascii="Avenir Next" w:hAnsi="Avenir Next" w:cs="Arial"/>
          <w:color w:val="7B7B7B" w:themeColor="accent3" w:themeShade="BF"/>
          <w:sz w:val="22"/>
          <w:szCs w:val="22"/>
          <w:lang w:val="en-GB"/>
        </w:rPr>
        <w:t>is in</w:t>
      </w:r>
      <w:r w:rsidRPr="00D6086F">
        <w:rPr>
          <w:rFonts w:ascii="Avenir Next" w:hAnsi="Avenir Next" w:cs="Arial"/>
          <w:color w:val="7B7B7B" w:themeColor="accent3" w:themeShade="BF"/>
          <w:sz w:val="22"/>
          <w:szCs w:val="22"/>
          <w:lang w:val="en-GB"/>
        </w:rPr>
        <w:t xml:space="preserve"> a Member State other than the one in which the COMI of the company is located, the conditions for opening secondary insolvency proceedings in Italy are met.</w:t>
      </w:r>
    </w:p>
    <w:p w14:paraId="10BF0018" w14:textId="0A734DC6" w:rsidR="00B31746" w:rsidRDefault="00B31746" w:rsidP="002A37BB">
      <w:pPr>
        <w:jc w:val="both"/>
        <w:rPr>
          <w:rFonts w:ascii="Avenir Next" w:hAnsi="Avenir Next" w:cs="Arial"/>
          <w:color w:val="7B7B7B" w:themeColor="accent3" w:themeShade="BF"/>
          <w:sz w:val="22"/>
          <w:szCs w:val="22"/>
          <w:lang w:val="en-GB"/>
        </w:rPr>
      </w:pPr>
    </w:p>
    <w:p w14:paraId="047B4920" w14:textId="668F4C44" w:rsidR="00B31746" w:rsidRDefault="00B31746" w:rsidP="002A37BB">
      <w:pPr>
        <w:jc w:val="both"/>
        <w:rPr>
          <w:rFonts w:ascii="Avenir Next" w:hAnsi="Avenir Next" w:cs="Arial"/>
          <w:color w:val="7B7B7B" w:themeColor="accent3" w:themeShade="BF"/>
          <w:sz w:val="22"/>
          <w:szCs w:val="22"/>
          <w:lang w:val="en-GB"/>
        </w:rPr>
      </w:pPr>
      <w:r w:rsidRPr="00B31746">
        <w:rPr>
          <w:rFonts w:ascii="Avenir Next" w:hAnsi="Avenir Next" w:cs="Arial"/>
          <w:color w:val="7B7B7B" w:themeColor="accent3" w:themeShade="BF"/>
          <w:sz w:val="22"/>
          <w:szCs w:val="22"/>
          <w:lang w:val="en-GB"/>
        </w:rPr>
        <w:t xml:space="preserve">Insofar as the Italian bank wishes to secure interests as a creditor by opening such secondary insolvency proceedings </w:t>
      </w:r>
      <w:proofErr w:type="gramStart"/>
      <w:r w:rsidRPr="00B31746">
        <w:rPr>
          <w:rFonts w:ascii="Avenir Next" w:hAnsi="Avenir Next" w:cs="Arial"/>
          <w:color w:val="7B7B7B" w:themeColor="accent3" w:themeShade="BF"/>
          <w:sz w:val="22"/>
          <w:szCs w:val="22"/>
          <w:lang w:val="en-GB"/>
        </w:rPr>
        <w:t>and also</w:t>
      </w:r>
      <w:proofErr w:type="gramEnd"/>
      <w:r w:rsidRPr="00B31746">
        <w:rPr>
          <w:rFonts w:ascii="Avenir Next" w:hAnsi="Avenir Next" w:cs="Arial"/>
          <w:color w:val="7B7B7B" w:themeColor="accent3" w:themeShade="BF"/>
          <w:sz w:val="22"/>
          <w:szCs w:val="22"/>
          <w:lang w:val="en-GB"/>
        </w:rPr>
        <w:t xml:space="preserve"> a corresponding ranking of its claims, the secondary insolvency proceedings are the means created for this purpose. Thus, the secondary insolvency proceedings are designed precisely to preserve local interests of creditors.</w:t>
      </w:r>
    </w:p>
    <w:p w14:paraId="28A8CD8C" w14:textId="77777777" w:rsidR="00D50334" w:rsidRPr="008E3C96" w:rsidRDefault="00D50334"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A393" w14:textId="77777777" w:rsidR="006609A8" w:rsidRDefault="006609A8" w:rsidP="00241B44">
      <w:r>
        <w:separator/>
      </w:r>
    </w:p>
  </w:endnote>
  <w:endnote w:type="continuationSeparator" w:id="0">
    <w:p w14:paraId="2CB6F682" w14:textId="77777777" w:rsidR="006609A8" w:rsidRDefault="006609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0AAD6B61" w14:textId="77777777" w:rsidR="00D509A5" w:rsidRPr="00FC7B47" w:rsidRDefault="00D509A5" w:rsidP="009B4976">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39FD1B0B" w14:textId="3A981440" w:rsidR="00D509A5" w:rsidRPr="00FC7B47" w:rsidRDefault="00D509A5" w:rsidP="00FC7B47">
    <w:pPr>
      <w:pStyle w:val="Fuzeile"/>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w:hAnsi="Avenir Next" w:cs="Arial"/>
        <w:sz w:val="22"/>
        <w:szCs w:val="22"/>
      </w:rPr>
      <w:id w:val="-1409602822"/>
      <w:docPartObj>
        <w:docPartGallery w:val="Page Numbers (Bottom of Page)"/>
        <w:docPartUnique/>
      </w:docPartObj>
    </w:sdtPr>
    <w:sdtEndPr>
      <w:rPr>
        <w:rStyle w:val="Seitenzahl"/>
        <w:rFonts w:ascii="Arial" w:hAnsi="Arial"/>
        <w:sz w:val="18"/>
        <w:szCs w:val="18"/>
      </w:rPr>
    </w:sdtEndPr>
    <w:sdtContent>
      <w:p w14:paraId="0A05F8FD" w14:textId="25250B7C" w:rsidR="00D509A5" w:rsidRPr="009B4976" w:rsidRDefault="00D509A5" w:rsidP="00D509A5">
        <w:pPr>
          <w:pStyle w:val="Fuzeile"/>
          <w:framePr w:wrap="none" w:vAnchor="text" w:hAnchor="margin" w:xAlign="right" w:y="1"/>
          <w:rPr>
            <w:rStyle w:val="Seitenzahl"/>
            <w:rFonts w:ascii="Arial" w:hAnsi="Arial" w:cs="Arial"/>
            <w:sz w:val="18"/>
            <w:szCs w:val="18"/>
          </w:rPr>
        </w:pPr>
        <w:r w:rsidRPr="00E36039">
          <w:rPr>
            <w:rStyle w:val="Seitenzahl"/>
            <w:rFonts w:ascii="Avenir Next" w:hAnsi="Avenir Next" w:cs="Arial"/>
            <w:sz w:val="22"/>
            <w:szCs w:val="22"/>
          </w:rPr>
          <w:t xml:space="preserve">Page </w:t>
        </w:r>
        <w:r w:rsidRPr="00E36039">
          <w:rPr>
            <w:rStyle w:val="Seitenzahl"/>
            <w:rFonts w:ascii="Avenir Next" w:hAnsi="Avenir Next" w:cs="Arial"/>
            <w:sz w:val="22"/>
            <w:szCs w:val="22"/>
          </w:rPr>
          <w:fldChar w:fldCharType="begin"/>
        </w:r>
        <w:r w:rsidRPr="00E36039">
          <w:rPr>
            <w:rStyle w:val="Seitenzahl"/>
            <w:rFonts w:ascii="Avenir Next" w:hAnsi="Avenir Next" w:cs="Arial"/>
            <w:sz w:val="22"/>
            <w:szCs w:val="22"/>
          </w:rPr>
          <w:instrText xml:space="preserve"> PAGE </w:instrText>
        </w:r>
        <w:r w:rsidRPr="00E36039">
          <w:rPr>
            <w:rStyle w:val="Seitenzahl"/>
            <w:rFonts w:ascii="Avenir Next" w:hAnsi="Avenir Next" w:cs="Arial"/>
            <w:sz w:val="22"/>
            <w:szCs w:val="22"/>
          </w:rPr>
          <w:fldChar w:fldCharType="separate"/>
        </w:r>
        <w:r w:rsidR="00BA543A" w:rsidRPr="00E36039">
          <w:rPr>
            <w:rStyle w:val="Seitenzahl"/>
            <w:rFonts w:ascii="Avenir Next" w:hAnsi="Avenir Next" w:cs="Arial"/>
            <w:noProof/>
            <w:sz w:val="22"/>
            <w:szCs w:val="22"/>
          </w:rPr>
          <w:t>9</w:t>
        </w:r>
        <w:r w:rsidRPr="00E36039">
          <w:rPr>
            <w:rStyle w:val="Seitenzahl"/>
            <w:rFonts w:ascii="Avenir Next" w:hAnsi="Avenir Next" w:cs="Arial"/>
            <w:sz w:val="22"/>
            <w:szCs w:val="22"/>
          </w:rPr>
          <w:fldChar w:fldCharType="end"/>
        </w:r>
      </w:p>
    </w:sdtContent>
  </w:sdt>
  <w:p w14:paraId="30F05E79" w14:textId="343F66D4" w:rsidR="00D509A5" w:rsidRPr="00E36039" w:rsidRDefault="003B004B" w:rsidP="003B004B">
    <w:pPr>
      <w:pStyle w:val="Fuzeile"/>
      <w:ind w:left="4513" w:right="360" w:hanging="4513"/>
      <w:rPr>
        <w:rFonts w:ascii="Avenir Next" w:hAnsi="Avenir Next" w:cs="Arial"/>
        <w:sz w:val="22"/>
        <w:szCs w:val="22"/>
        <w:lang w:val="en-GB"/>
      </w:rPr>
    </w:pPr>
    <w:r w:rsidRPr="003B004B">
      <w:rPr>
        <w:rFonts w:ascii="Avenir Next" w:hAnsi="Avenir Next" w:cs="Arial"/>
        <w:sz w:val="22"/>
        <w:szCs w:val="22"/>
        <w:lang w:val="en-GB"/>
      </w:rPr>
      <w:t>202223-984.assessment2B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68DB" w14:textId="77777777" w:rsidR="006609A8" w:rsidRDefault="006609A8" w:rsidP="00241B44">
      <w:r>
        <w:separator/>
      </w:r>
    </w:p>
  </w:footnote>
  <w:footnote w:type="continuationSeparator" w:id="0">
    <w:p w14:paraId="1883FA81" w14:textId="77777777" w:rsidR="006609A8" w:rsidRDefault="006609A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1617417">
    <w:abstractNumId w:val="12"/>
  </w:num>
  <w:num w:numId="2" w16cid:durableId="2037390390">
    <w:abstractNumId w:val="21"/>
  </w:num>
  <w:num w:numId="3" w16cid:durableId="1365016285">
    <w:abstractNumId w:val="15"/>
  </w:num>
  <w:num w:numId="4" w16cid:durableId="1869025226">
    <w:abstractNumId w:val="26"/>
  </w:num>
  <w:num w:numId="5" w16cid:durableId="539172283">
    <w:abstractNumId w:val="20"/>
  </w:num>
  <w:num w:numId="6" w16cid:durableId="830024768">
    <w:abstractNumId w:val="23"/>
  </w:num>
  <w:num w:numId="7" w16cid:durableId="1898320449">
    <w:abstractNumId w:val="6"/>
  </w:num>
  <w:num w:numId="8" w16cid:durableId="1457063582">
    <w:abstractNumId w:val="18"/>
  </w:num>
  <w:num w:numId="9" w16cid:durableId="80414593">
    <w:abstractNumId w:val="17"/>
  </w:num>
  <w:num w:numId="10" w16cid:durableId="800028308">
    <w:abstractNumId w:val="13"/>
  </w:num>
  <w:num w:numId="11" w16cid:durableId="1045258750">
    <w:abstractNumId w:val="19"/>
  </w:num>
  <w:num w:numId="12" w16cid:durableId="958803424">
    <w:abstractNumId w:val="2"/>
  </w:num>
  <w:num w:numId="13" w16cid:durableId="1479610010">
    <w:abstractNumId w:val="10"/>
  </w:num>
  <w:num w:numId="14" w16cid:durableId="1381324097">
    <w:abstractNumId w:val="16"/>
  </w:num>
  <w:num w:numId="15" w16cid:durableId="330107872">
    <w:abstractNumId w:val="14"/>
  </w:num>
  <w:num w:numId="16" w16cid:durableId="660280834">
    <w:abstractNumId w:val="9"/>
  </w:num>
  <w:num w:numId="17" w16cid:durableId="395589849">
    <w:abstractNumId w:val="12"/>
  </w:num>
  <w:num w:numId="18" w16cid:durableId="1530534817">
    <w:abstractNumId w:val="3"/>
  </w:num>
  <w:num w:numId="19" w16cid:durableId="2010987142">
    <w:abstractNumId w:val="0"/>
  </w:num>
  <w:num w:numId="20" w16cid:durableId="1168056878">
    <w:abstractNumId w:val="5"/>
  </w:num>
  <w:num w:numId="21" w16cid:durableId="1357737320">
    <w:abstractNumId w:val="0"/>
  </w:num>
  <w:num w:numId="22" w16cid:durableId="681784359">
    <w:abstractNumId w:val="7"/>
  </w:num>
  <w:num w:numId="23" w16cid:durableId="996692839">
    <w:abstractNumId w:val="22"/>
  </w:num>
  <w:num w:numId="24" w16cid:durableId="450251070">
    <w:abstractNumId w:val="24"/>
  </w:num>
  <w:num w:numId="25" w16cid:durableId="1314530651">
    <w:abstractNumId w:val="4"/>
  </w:num>
  <w:num w:numId="26" w16cid:durableId="894702171">
    <w:abstractNumId w:val="27"/>
  </w:num>
  <w:num w:numId="27" w16cid:durableId="1984921264">
    <w:abstractNumId w:val="8"/>
  </w:num>
  <w:num w:numId="28" w16cid:durableId="662121002">
    <w:abstractNumId w:val="1"/>
  </w:num>
  <w:num w:numId="29" w16cid:durableId="1841314755">
    <w:abstractNumId w:val="11"/>
  </w:num>
  <w:num w:numId="30" w16cid:durableId="194630249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B68447-A3CA-49DA-A8F8-1BCAF45A17CD}"/>
    <w:docVar w:name="dgnword-eventsink" w:val="387383368"/>
  </w:docVars>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68ED"/>
    <w:rsid w:val="000A7BF9"/>
    <w:rsid w:val="000B40EF"/>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5FDA"/>
    <w:rsid w:val="001966D9"/>
    <w:rsid w:val="001A68CC"/>
    <w:rsid w:val="001A7E9A"/>
    <w:rsid w:val="001B0F70"/>
    <w:rsid w:val="001B5016"/>
    <w:rsid w:val="001B53FF"/>
    <w:rsid w:val="001B6DDC"/>
    <w:rsid w:val="001C45FC"/>
    <w:rsid w:val="001D0469"/>
    <w:rsid w:val="001D4862"/>
    <w:rsid w:val="001D6BD6"/>
    <w:rsid w:val="001D6E1C"/>
    <w:rsid w:val="001E25B9"/>
    <w:rsid w:val="001E49E0"/>
    <w:rsid w:val="001E5F8A"/>
    <w:rsid w:val="001E7B5A"/>
    <w:rsid w:val="001F7412"/>
    <w:rsid w:val="00202DFE"/>
    <w:rsid w:val="00203720"/>
    <w:rsid w:val="0020725B"/>
    <w:rsid w:val="002110F1"/>
    <w:rsid w:val="00222FB5"/>
    <w:rsid w:val="00225DB8"/>
    <w:rsid w:val="0023559C"/>
    <w:rsid w:val="0024116D"/>
    <w:rsid w:val="00241B44"/>
    <w:rsid w:val="00241FA3"/>
    <w:rsid w:val="00244C44"/>
    <w:rsid w:val="00245EFB"/>
    <w:rsid w:val="0025386E"/>
    <w:rsid w:val="00256FB6"/>
    <w:rsid w:val="00260A00"/>
    <w:rsid w:val="002638B0"/>
    <w:rsid w:val="0026647A"/>
    <w:rsid w:val="002668D3"/>
    <w:rsid w:val="0027299F"/>
    <w:rsid w:val="002729AB"/>
    <w:rsid w:val="00284EBE"/>
    <w:rsid w:val="00291D31"/>
    <w:rsid w:val="0029433F"/>
    <w:rsid w:val="00294829"/>
    <w:rsid w:val="0029690F"/>
    <w:rsid w:val="00297C8A"/>
    <w:rsid w:val="002A10A2"/>
    <w:rsid w:val="002A2A60"/>
    <w:rsid w:val="002A37BB"/>
    <w:rsid w:val="002B1C45"/>
    <w:rsid w:val="002B429E"/>
    <w:rsid w:val="002C13C8"/>
    <w:rsid w:val="002C3547"/>
    <w:rsid w:val="002C581D"/>
    <w:rsid w:val="002C706F"/>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5D13"/>
    <w:rsid w:val="0033768C"/>
    <w:rsid w:val="00337938"/>
    <w:rsid w:val="00340769"/>
    <w:rsid w:val="00341AA6"/>
    <w:rsid w:val="0034705B"/>
    <w:rsid w:val="003525B6"/>
    <w:rsid w:val="00361A0A"/>
    <w:rsid w:val="00364836"/>
    <w:rsid w:val="003650E5"/>
    <w:rsid w:val="0036565C"/>
    <w:rsid w:val="0036625E"/>
    <w:rsid w:val="00366415"/>
    <w:rsid w:val="003742B6"/>
    <w:rsid w:val="0037465A"/>
    <w:rsid w:val="00375D11"/>
    <w:rsid w:val="00382C98"/>
    <w:rsid w:val="0038533C"/>
    <w:rsid w:val="00386568"/>
    <w:rsid w:val="00390B57"/>
    <w:rsid w:val="003912CF"/>
    <w:rsid w:val="003948D5"/>
    <w:rsid w:val="00396821"/>
    <w:rsid w:val="00397D3A"/>
    <w:rsid w:val="003A051E"/>
    <w:rsid w:val="003B004B"/>
    <w:rsid w:val="003B0A27"/>
    <w:rsid w:val="003B170F"/>
    <w:rsid w:val="003B3C5F"/>
    <w:rsid w:val="003C4342"/>
    <w:rsid w:val="003C4471"/>
    <w:rsid w:val="003C4BCB"/>
    <w:rsid w:val="003D0A6D"/>
    <w:rsid w:val="003D17A2"/>
    <w:rsid w:val="003D1974"/>
    <w:rsid w:val="003D4A79"/>
    <w:rsid w:val="003D4CDB"/>
    <w:rsid w:val="003D78C9"/>
    <w:rsid w:val="003E0B16"/>
    <w:rsid w:val="003E3CCF"/>
    <w:rsid w:val="003E4DB0"/>
    <w:rsid w:val="003E67D1"/>
    <w:rsid w:val="003F6638"/>
    <w:rsid w:val="00402CF5"/>
    <w:rsid w:val="00404329"/>
    <w:rsid w:val="00405DC1"/>
    <w:rsid w:val="00410D6F"/>
    <w:rsid w:val="00415F1F"/>
    <w:rsid w:val="004202D2"/>
    <w:rsid w:val="0042108F"/>
    <w:rsid w:val="00430FED"/>
    <w:rsid w:val="00434A8C"/>
    <w:rsid w:val="0043524E"/>
    <w:rsid w:val="00437297"/>
    <w:rsid w:val="00444284"/>
    <w:rsid w:val="0044574C"/>
    <w:rsid w:val="00445CE6"/>
    <w:rsid w:val="004534C2"/>
    <w:rsid w:val="0045446F"/>
    <w:rsid w:val="0045683E"/>
    <w:rsid w:val="00457CA3"/>
    <w:rsid w:val="00465BFF"/>
    <w:rsid w:val="00470681"/>
    <w:rsid w:val="00477C72"/>
    <w:rsid w:val="00490535"/>
    <w:rsid w:val="00491675"/>
    <w:rsid w:val="00493855"/>
    <w:rsid w:val="00495E79"/>
    <w:rsid w:val="0049649C"/>
    <w:rsid w:val="004A0692"/>
    <w:rsid w:val="004A57DD"/>
    <w:rsid w:val="004A7B51"/>
    <w:rsid w:val="004A7D71"/>
    <w:rsid w:val="004A7EF3"/>
    <w:rsid w:val="004B11FD"/>
    <w:rsid w:val="004B23A2"/>
    <w:rsid w:val="004B2DD6"/>
    <w:rsid w:val="004C0D03"/>
    <w:rsid w:val="004C0D33"/>
    <w:rsid w:val="004D1A5A"/>
    <w:rsid w:val="004D2FFF"/>
    <w:rsid w:val="004D3721"/>
    <w:rsid w:val="004D64F9"/>
    <w:rsid w:val="004E3A6B"/>
    <w:rsid w:val="004E622C"/>
    <w:rsid w:val="004F4245"/>
    <w:rsid w:val="004F4AF9"/>
    <w:rsid w:val="004F5FDF"/>
    <w:rsid w:val="005177FE"/>
    <w:rsid w:val="00521746"/>
    <w:rsid w:val="0052263B"/>
    <w:rsid w:val="0052286F"/>
    <w:rsid w:val="00524728"/>
    <w:rsid w:val="005331CA"/>
    <w:rsid w:val="00537970"/>
    <w:rsid w:val="00540E3A"/>
    <w:rsid w:val="00544127"/>
    <w:rsid w:val="00544F6E"/>
    <w:rsid w:val="005463A9"/>
    <w:rsid w:val="00553EB2"/>
    <w:rsid w:val="0055422B"/>
    <w:rsid w:val="00560534"/>
    <w:rsid w:val="0056391B"/>
    <w:rsid w:val="005650E2"/>
    <w:rsid w:val="00567AD7"/>
    <w:rsid w:val="00575B2D"/>
    <w:rsid w:val="005833D0"/>
    <w:rsid w:val="005846F3"/>
    <w:rsid w:val="0058622F"/>
    <w:rsid w:val="00591280"/>
    <w:rsid w:val="00592F82"/>
    <w:rsid w:val="00595510"/>
    <w:rsid w:val="005A0CCA"/>
    <w:rsid w:val="005A0FFC"/>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09A8"/>
    <w:rsid w:val="0066270A"/>
    <w:rsid w:val="006639DB"/>
    <w:rsid w:val="006661EF"/>
    <w:rsid w:val="006723E9"/>
    <w:rsid w:val="00677AEB"/>
    <w:rsid w:val="00680EF2"/>
    <w:rsid w:val="00687A1D"/>
    <w:rsid w:val="00696ED8"/>
    <w:rsid w:val="00697EA1"/>
    <w:rsid w:val="006A2646"/>
    <w:rsid w:val="006A6530"/>
    <w:rsid w:val="006B435A"/>
    <w:rsid w:val="006B4C64"/>
    <w:rsid w:val="006C4FAA"/>
    <w:rsid w:val="006C62B2"/>
    <w:rsid w:val="006D210D"/>
    <w:rsid w:val="006D217A"/>
    <w:rsid w:val="006D6BD5"/>
    <w:rsid w:val="006E481A"/>
    <w:rsid w:val="006E5287"/>
    <w:rsid w:val="006E5298"/>
    <w:rsid w:val="006F0106"/>
    <w:rsid w:val="006F2B12"/>
    <w:rsid w:val="006F4A78"/>
    <w:rsid w:val="006F734A"/>
    <w:rsid w:val="00700D83"/>
    <w:rsid w:val="0070176A"/>
    <w:rsid w:val="00702EB6"/>
    <w:rsid w:val="007036BC"/>
    <w:rsid w:val="00704852"/>
    <w:rsid w:val="007074E9"/>
    <w:rsid w:val="00712E91"/>
    <w:rsid w:val="00713DA4"/>
    <w:rsid w:val="00714BF1"/>
    <w:rsid w:val="00715DD2"/>
    <w:rsid w:val="00721383"/>
    <w:rsid w:val="0073158B"/>
    <w:rsid w:val="007333CC"/>
    <w:rsid w:val="0073399A"/>
    <w:rsid w:val="00745D6F"/>
    <w:rsid w:val="00750C02"/>
    <w:rsid w:val="007603F5"/>
    <w:rsid w:val="00764DB0"/>
    <w:rsid w:val="0076764D"/>
    <w:rsid w:val="0077498C"/>
    <w:rsid w:val="007772BD"/>
    <w:rsid w:val="007809BC"/>
    <w:rsid w:val="00782DF0"/>
    <w:rsid w:val="00782EE1"/>
    <w:rsid w:val="00784128"/>
    <w:rsid w:val="00793173"/>
    <w:rsid w:val="00793D96"/>
    <w:rsid w:val="007A0467"/>
    <w:rsid w:val="007A107A"/>
    <w:rsid w:val="007A2A33"/>
    <w:rsid w:val="007A6B8D"/>
    <w:rsid w:val="007A7B20"/>
    <w:rsid w:val="007C1FCC"/>
    <w:rsid w:val="007C50AA"/>
    <w:rsid w:val="007C6201"/>
    <w:rsid w:val="007D5E5E"/>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0DE"/>
    <w:rsid w:val="00807119"/>
    <w:rsid w:val="00813A64"/>
    <w:rsid w:val="0082424D"/>
    <w:rsid w:val="0082483F"/>
    <w:rsid w:val="008279C0"/>
    <w:rsid w:val="00835422"/>
    <w:rsid w:val="00841051"/>
    <w:rsid w:val="008412FD"/>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44A8"/>
    <w:rsid w:val="008F5FFE"/>
    <w:rsid w:val="00905A43"/>
    <w:rsid w:val="00912C79"/>
    <w:rsid w:val="00914A23"/>
    <w:rsid w:val="0091673F"/>
    <w:rsid w:val="00917606"/>
    <w:rsid w:val="00920A5A"/>
    <w:rsid w:val="00935A21"/>
    <w:rsid w:val="00942123"/>
    <w:rsid w:val="00951274"/>
    <w:rsid w:val="0095207B"/>
    <w:rsid w:val="00957D7C"/>
    <w:rsid w:val="00962045"/>
    <w:rsid w:val="00967219"/>
    <w:rsid w:val="00971896"/>
    <w:rsid w:val="00980E61"/>
    <w:rsid w:val="00991428"/>
    <w:rsid w:val="00992676"/>
    <w:rsid w:val="009954B2"/>
    <w:rsid w:val="00996691"/>
    <w:rsid w:val="009B0723"/>
    <w:rsid w:val="009B07AD"/>
    <w:rsid w:val="009B0883"/>
    <w:rsid w:val="009B15E2"/>
    <w:rsid w:val="009B3652"/>
    <w:rsid w:val="009B4976"/>
    <w:rsid w:val="009C0B8E"/>
    <w:rsid w:val="009C1BC8"/>
    <w:rsid w:val="009C2442"/>
    <w:rsid w:val="009C5E52"/>
    <w:rsid w:val="009D0811"/>
    <w:rsid w:val="009D0EE1"/>
    <w:rsid w:val="009D6BF8"/>
    <w:rsid w:val="009E2AEB"/>
    <w:rsid w:val="009E2E27"/>
    <w:rsid w:val="009E39B2"/>
    <w:rsid w:val="009E4DE3"/>
    <w:rsid w:val="009F275E"/>
    <w:rsid w:val="00A001D8"/>
    <w:rsid w:val="00A047EE"/>
    <w:rsid w:val="00A07E6F"/>
    <w:rsid w:val="00A11E80"/>
    <w:rsid w:val="00A12104"/>
    <w:rsid w:val="00A12902"/>
    <w:rsid w:val="00A16616"/>
    <w:rsid w:val="00A17858"/>
    <w:rsid w:val="00A2274A"/>
    <w:rsid w:val="00A22A00"/>
    <w:rsid w:val="00A235B7"/>
    <w:rsid w:val="00A26868"/>
    <w:rsid w:val="00A27A7A"/>
    <w:rsid w:val="00A33FA6"/>
    <w:rsid w:val="00A407EF"/>
    <w:rsid w:val="00A40CA7"/>
    <w:rsid w:val="00A46B4C"/>
    <w:rsid w:val="00A50055"/>
    <w:rsid w:val="00A5117B"/>
    <w:rsid w:val="00A54CB5"/>
    <w:rsid w:val="00A60074"/>
    <w:rsid w:val="00A620A6"/>
    <w:rsid w:val="00A62FDA"/>
    <w:rsid w:val="00A6627C"/>
    <w:rsid w:val="00A71019"/>
    <w:rsid w:val="00A7140E"/>
    <w:rsid w:val="00A76523"/>
    <w:rsid w:val="00A7758E"/>
    <w:rsid w:val="00A81029"/>
    <w:rsid w:val="00A83E9F"/>
    <w:rsid w:val="00A96489"/>
    <w:rsid w:val="00AA03A6"/>
    <w:rsid w:val="00AA55B5"/>
    <w:rsid w:val="00AB685C"/>
    <w:rsid w:val="00AB6C2D"/>
    <w:rsid w:val="00AC08F7"/>
    <w:rsid w:val="00AC3839"/>
    <w:rsid w:val="00AC4C4F"/>
    <w:rsid w:val="00AC7082"/>
    <w:rsid w:val="00AD2931"/>
    <w:rsid w:val="00AD513F"/>
    <w:rsid w:val="00AD6870"/>
    <w:rsid w:val="00AE2316"/>
    <w:rsid w:val="00AE50B7"/>
    <w:rsid w:val="00AE74BA"/>
    <w:rsid w:val="00AF1C25"/>
    <w:rsid w:val="00AF228E"/>
    <w:rsid w:val="00AF490D"/>
    <w:rsid w:val="00B016A8"/>
    <w:rsid w:val="00B070D2"/>
    <w:rsid w:val="00B12499"/>
    <w:rsid w:val="00B12EF7"/>
    <w:rsid w:val="00B14819"/>
    <w:rsid w:val="00B15E2F"/>
    <w:rsid w:val="00B17AA9"/>
    <w:rsid w:val="00B30D9A"/>
    <w:rsid w:val="00B31746"/>
    <w:rsid w:val="00B3412B"/>
    <w:rsid w:val="00B360AD"/>
    <w:rsid w:val="00B44713"/>
    <w:rsid w:val="00B56103"/>
    <w:rsid w:val="00B611D8"/>
    <w:rsid w:val="00B64929"/>
    <w:rsid w:val="00B70CB2"/>
    <w:rsid w:val="00B73284"/>
    <w:rsid w:val="00B736DF"/>
    <w:rsid w:val="00B743D6"/>
    <w:rsid w:val="00B74FBD"/>
    <w:rsid w:val="00B77F46"/>
    <w:rsid w:val="00B82586"/>
    <w:rsid w:val="00B829A3"/>
    <w:rsid w:val="00B83AB7"/>
    <w:rsid w:val="00B86DB1"/>
    <w:rsid w:val="00B87869"/>
    <w:rsid w:val="00B91572"/>
    <w:rsid w:val="00B96CE3"/>
    <w:rsid w:val="00BA543A"/>
    <w:rsid w:val="00BB0F2B"/>
    <w:rsid w:val="00BB38D1"/>
    <w:rsid w:val="00BD73DA"/>
    <w:rsid w:val="00BE4FF3"/>
    <w:rsid w:val="00BF50F7"/>
    <w:rsid w:val="00C00003"/>
    <w:rsid w:val="00C00B20"/>
    <w:rsid w:val="00C00E77"/>
    <w:rsid w:val="00C02F29"/>
    <w:rsid w:val="00C15FA2"/>
    <w:rsid w:val="00C20AFE"/>
    <w:rsid w:val="00C22A25"/>
    <w:rsid w:val="00C35671"/>
    <w:rsid w:val="00C35B77"/>
    <w:rsid w:val="00C35F52"/>
    <w:rsid w:val="00C376EB"/>
    <w:rsid w:val="00C46A92"/>
    <w:rsid w:val="00C46DF7"/>
    <w:rsid w:val="00C46EC1"/>
    <w:rsid w:val="00C50AFA"/>
    <w:rsid w:val="00C522DC"/>
    <w:rsid w:val="00C52796"/>
    <w:rsid w:val="00C53E2C"/>
    <w:rsid w:val="00C550C8"/>
    <w:rsid w:val="00C56B61"/>
    <w:rsid w:val="00C606C3"/>
    <w:rsid w:val="00C60B85"/>
    <w:rsid w:val="00C61BA9"/>
    <w:rsid w:val="00C620F4"/>
    <w:rsid w:val="00C63E03"/>
    <w:rsid w:val="00C65E49"/>
    <w:rsid w:val="00C72848"/>
    <w:rsid w:val="00C7729F"/>
    <w:rsid w:val="00C7736C"/>
    <w:rsid w:val="00C82D87"/>
    <w:rsid w:val="00C8712A"/>
    <w:rsid w:val="00C90501"/>
    <w:rsid w:val="00C9221B"/>
    <w:rsid w:val="00C963D3"/>
    <w:rsid w:val="00CA7069"/>
    <w:rsid w:val="00CB1983"/>
    <w:rsid w:val="00CB2CBB"/>
    <w:rsid w:val="00CB7CAC"/>
    <w:rsid w:val="00CC4737"/>
    <w:rsid w:val="00CC49BF"/>
    <w:rsid w:val="00CC49F4"/>
    <w:rsid w:val="00CC5335"/>
    <w:rsid w:val="00CC5BA4"/>
    <w:rsid w:val="00CD4998"/>
    <w:rsid w:val="00CE1035"/>
    <w:rsid w:val="00CE4206"/>
    <w:rsid w:val="00CE6E50"/>
    <w:rsid w:val="00CF2819"/>
    <w:rsid w:val="00CF4F9D"/>
    <w:rsid w:val="00CF70DC"/>
    <w:rsid w:val="00D036BF"/>
    <w:rsid w:val="00D148DC"/>
    <w:rsid w:val="00D17DDE"/>
    <w:rsid w:val="00D17FDC"/>
    <w:rsid w:val="00D21F62"/>
    <w:rsid w:val="00D26E26"/>
    <w:rsid w:val="00D43B3A"/>
    <w:rsid w:val="00D50334"/>
    <w:rsid w:val="00D509A5"/>
    <w:rsid w:val="00D56B4E"/>
    <w:rsid w:val="00D6086F"/>
    <w:rsid w:val="00D608A4"/>
    <w:rsid w:val="00D60E46"/>
    <w:rsid w:val="00D63EFD"/>
    <w:rsid w:val="00D642CB"/>
    <w:rsid w:val="00D651FD"/>
    <w:rsid w:val="00D66F96"/>
    <w:rsid w:val="00D75351"/>
    <w:rsid w:val="00D84752"/>
    <w:rsid w:val="00D86B3B"/>
    <w:rsid w:val="00D8748A"/>
    <w:rsid w:val="00D9187D"/>
    <w:rsid w:val="00D93196"/>
    <w:rsid w:val="00D95496"/>
    <w:rsid w:val="00DA0DC0"/>
    <w:rsid w:val="00DA0E0C"/>
    <w:rsid w:val="00DA7941"/>
    <w:rsid w:val="00DA7EDA"/>
    <w:rsid w:val="00DB1D76"/>
    <w:rsid w:val="00DB243C"/>
    <w:rsid w:val="00DB398D"/>
    <w:rsid w:val="00DB45F4"/>
    <w:rsid w:val="00DB482A"/>
    <w:rsid w:val="00DB56F2"/>
    <w:rsid w:val="00DB6EF5"/>
    <w:rsid w:val="00DC3089"/>
    <w:rsid w:val="00DC4420"/>
    <w:rsid w:val="00DD0802"/>
    <w:rsid w:val="00DD2E11"/>
    <w:rsid w:val="00DD47EF"/>
    <w:rsid w:val="00DE03AF"/>
    <w:rsid w:val="00DE121C"/>
    <w:rsid w:val="00DE6633"/>
    <w:rsid w:val="00DE7514"/>
    <w:rsid w:val="00DF0864"/>
    <w:rsid w:val="00DF75F8"/>
    <w:rsid w:val="00DF7A3A"/>
    <w:rsid w:val="00E00C00"/>
    <w:rsid w:val="00E03AF0"/>
    <w:rsid w:val="00E07C5A"/>
    <w:rsid w:val="00E12EDB"/>
    <w:rsid w:val="00E154A6"/>
    <w:rsid w:val="00E15BA9"/>
    <w:rsid w:val="00E17B68"/>
    <w:rsid w:val="00E26E19"/>
    <w:rsid w:val="00E30C8A"/>
    <w:rsid w:val="00E31DF3"/>
    <w:rsid w:val="00E36039"/>
    <w:rsid w:val="00E450A4"/>
    <w:rsid w:val="00E506BE"/>
    <w:rsid w:val="00E55547"/>
    <w:rsid w:val="00E5761C"/>
    <w:rsid w:val="00E604A1"/>
    <w:rsid w:val="00E6302B"/>
    <w:rsid w:val="00E630EE"/>
    <w:rsid w:val="00E6452F"/>
    <w:rsid w:val="00E64F45"/>
    <w:rsid w:val="00E6742D"/>
    <w:rsid w:val="00E71CB0"/>
    <w:rsid w:val="00E77C3D"/>
    <w:rsid w:val="00E81160"/>
    <w:rsid w:val="00E83CE8"/>
    <w:rsid w:val="00E90991"/>
    <w:rsid w:val="00E909F0"/>
    <w:rsid w:val="00E90D47"/>
    <w:rsid w:val="00E91BBA"/>
    <w:rsid w:val="00E93993"/>
    <w:rsid w:val="00E9597C"/>
    <w:rsid w:val="00EA0913"/>
    <w:rsid w:val="00EA5B00"/>
    <w:rsid w:val="00EB146B"/>
    <w:rsid w:val="00EB1CF2"/>
    <w:rsid w:val="00EB45AC"/>
    <w:rsid w:val="00EB5CA4"/>
    <w:rsid w:val="00EC00F9"/>
    <w:rsid w:val="00EC242E"/>
    <w:rsid w:val="00ED0BC4"/>
    <w:rsid w:val="00ED11D0"/>
    <w:rsid w:val="00ED20E8"/>
    <w:rsid w:val="00ED472A"/>
    <w:rsid w:val="00ED54B6"/>
    <w:rsid w:val="00EE4971"/>
    <w:rsid w:val="00EF090E"/>
    <w:rsid w:val="00F033DA"/>
    <w:rsid w:val="00F043E4"/>
    <w:rsid w:val="00F13FB1"/>
    <w:rsid w:val="00F27CD8"/>
    <w:rsid w:val="00F30351"/>
    <w:rsid w:val="00F3323E"/>
    <w:rsid w:val="00F341F4"/>
    <w:rsid w:val="00F34F9D"/>
    <w:rsid w:val="00F35CCE"/>
    <w:rsid w:val="00F44A58"/>
    <w:rsid w:val="00F47251"/>
    <w:rsid w:val="00F51BC7"/>
    <w:rsid w:val="00F5524B"/>
    <w:rsid w:val="00F60538"/>
    <w:rsid w:val="00F61DD2"/>
    <w:rsid w:val="00F643CA"/>
    <w:rsid w:val="00F66AFF"/>
    <w:rsid w:val="00F71433"/>
    <w:rsid w:val="00F76CD4"/>
    <w:rsid w:val="00F814B4"/>
    <w:rsid w:val="00F83464"/>
    <w:rsid w:val="00F93237"/>
    <w:rsid w:val="00F93BE7"/>
    <w:rsid w:val="00F97C5B"/>
    <w:rsid w:val="00FA2655"/>
    <w:rsid w:val="00FA3D50"/>
    <w:rsid w:val="00FB6122"/>
    <w:rsid w:val="00FB7FBD"/>
    <w:rsid w:val="00FC235E"/>
    <w:rsid w:val="00FC374A"/>
    <w:rsid w:val="00FC48D8"/>
    <w:rsid w:val="00FC7B47"/>
    <w:rsid w:val="00FD035C"/>
    <w:rsid w:val="00FD106F"/>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iPriority w:val="99"/>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uiPriority w:val="99"/>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iPriority w:val="99"/>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5358</Words>
  <Characters>33756</Characters>
  <Application>Microsoft Office Word</Application>
  <DocSecurity>0</DocSecurity>
  <Lines>281</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ATL</cp:lastModifiedBy>
  <cp:revision>126</cp:revision>
  <cp:lastPrinted>2019-08-27T05:42:00Z</cp:lastPrinted>
  <dcterms:created xsi:type="dcterms:W3CDTF">2023-01-16T14:08:00Z</dcterms:created>
  <dcterms:modified xsi:type="dcterms:W3CDTF">2023-02-13T16:52:00Z</dcterms:modified>
</cp:coreProperties>
</file>