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D9377C" w:rsidRDefault="00436884">
      <w:pPr>
        <w:pStyle w:val="ListParagraph"/>
        <w:numPr>
          <w:ilvl w:val="0"/>
          <w:numId w:val="1"/>
        </w:numPr>
        <w:ind w:left="426"/>
        <w:jc w:val="both"/>
        <w:rPr>
          <w:rFonts w:ascii="Avenir Next" w:hAnsi="Avenir Next" w:cs="Arial"/>
          <w:sz w:val="22"/>
          <w:szCs w:val="22"/>
          <w:highlight w:val="yellow"/>
          <w:lang w:val="en-GB"/>
        </w:rPr>
      </w:pPr>
      <w:r w:rsidRPr="00D9377C">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D9377C" w:rsidRDefault="00436884">
      <w:pPr>
        <w:pStyle w:val="ListParagraph"/>
        <w:numPr>
          <w:ilvl w:val="0"/>
          <w:numId w:val="2"/>
        </w:numPr>
        <w:ind w:left="426"/>
        <w:jc w:val="both"/>
        <w:rPr>
          <w:rFonts w:ascii="Avenir Next" w:hAnsi="Avenir Next" w:cs="Arial"/>
          <w:sz w:val="22"/>
          <w:szCs w:val="22"/>
          <w:highlight w:val="yellow"/>
          <w:lang w:val="en-GB"/>
        </w:rPr>
      </w:pPr>
      <w:r w:rsidRPr="00D9377C">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pPr>
        <w:pStyle w:val="ListParagraph"/>
        <w:numPr>
          <w:ilvl w:val="0"/>
          <w:numId w:val="3"/>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pPr>
        <w:pStyle w:val="ListParagraph"/>
        <w:numPr>
          <w:ilvl w:val="0"/>
          <w:numId w:val="3"/>
        </w:numPr>
        <w:ind w:left="426"/>
        <w:jc w:val="both"/>
        <w:rPr>
          <w:rFonts w:ascii="Avenir Next" w:hAnsi="Avenir Next" w:cs="Arial"/>
          <w:sz w:val="22"/>
          <w:szCs w:val="22"/>
          <w:lang w:val="en-GB"/>
        </w:rPr>
      </w:pPr>
      <w:r w:rsidRPr="00D9377C">
        <w:rPr>
          <w:rFonts w:ascii="Avenir Next" w:hAnsi="Avenir Next" w:cs="Arial"/>
          <w:sz w:val="22"/>
          <w:szCs w:val="22"/>
          <w:highlight w:val="yellow"/>
          <w:lang w:val="en-GB"/>
        </w:rPr>
        <w:t>The debtor has neither its COMI nor an establishment in the jurisdiction of the enacting State</w:t>
      </w:r>
      <w:r w:rsidRPr="00E2622D">
        <w:rPr>
          <w:rFonts w:ascii="Avenir Next" w:hAnsi="Avenir Next" w:cs="Arial"/>
          <w:sz w:val="22"/>
          <w:szCs w:val="22"/>
          <w:lang w:val="en-GB"/>
        </w:rPr>
        <w:t xml:space="preserv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pPr>
        <w:pStyle w:val="ListParagraph"/>
        <w:numPr>
          <w:ilvl w:val="0"/>
          <w:numId w:val="4"/>
        </w:numPr>
        <w:ind w:left="426"/>
        <w:jc w:val="both"/>
        <w:rPr>
          <w:rFonts w:ascii="Avenir Next" w:hAnsi="Avenir Next" w:cs="Arial"/>
          <w:sz w:val="22"/>
          <w:szCs w:val="22"/>
          <w:lang w:val="en-GB"/>
        </w:rPr>
      </w:pPr>
      <w:r w:rsidRPr="00B77352">
        <w:rPr>
          <w:rFonts w:ascii="Avenir Next" w:hAnsi="Avenir Next" w:cs="Arial"/>
          <w:sz w:val="22"/>
          <w:szCs w:val="22"/>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D9377C" w:rsidRDefault="00436884">
      <w:pPr>
        <w:pStyle w:val="ListParagraph"/>
        <w:numPr>
          <w:ilvl w:val="0"/>
          <w:numId w:val="4"/>
        </w:numPr>
        <w:ind w:left="426"/>
        <w:jc w:val="both"/>
        <w:rPr>
          <w:rFonts w:ascii="Avenir Next" w:hAnsi="Avenir Next" w:cs="Arial"/>
          <w:sz w:val="22"/>
          <w:szCs w:val="22"/>
          <w:highlight w:val="yellow"/>
          <w:lang w:val="en-GB"/>
        </w:rPr>
      </w:pPr>
      <w:r w:rsidRPr="00D9377C">
        <w:rPr>
          <w:rFonts w:ascii="Avenir Next" w:hAnsi="Avenir Next" w:cs="Arial"/>
          <w:sz w:val="22"/>
          <w:szCs w:val="22"/>
          <w:highlight w:val="yellow"/>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D9377C" w:rsidRDefault="00C504E5">
      <w:pPr>
        <w:pStyle w:val="ListParagraph"/>
        <w:numPr>
          <w:ilvl w:val="0"/>
          <w:numId w:val="5"/>
        </w:numPr>
        <w:ind w:left="426"/>
        <w:jc w:val="both"/>
        <w:rPr>
          <w:rFonts w:ascii="Avenir Next" w:hAnsi="Avenir Next" w:cs="Arial"/>
          <w:sz w:val="22"/>
          <w:szCs w:val="22"/>
          <w:highlight w:val="yellow"/>
          <w:lang w:val="en-GB"/>
        </w:rPr>
      </w:pPr>
      <w:r w:rsidRPr="00D9377C">
        <w:rPr>
          <w:rFonts w:ascii="Avenir Next" w:hAnsi="Avenir Next" w:cs="Arial"/>
          <w:sz w:val="22"/>
          <w:szCs w:val="22"/>
          <w:highlight w:val="yellow"/>
          <w:lang w:val="en-GB"/>
        </w:rPr>
        <w:t xml:space="preserve">Both the foreign main proceedings in South Africa and the foreign non-main proceedings in </w:t>
      </w:r>
      <w:r w:rsidR="004137C3" w:rsidRPr="00D9377C">
        <w:rPr>
          <w:rFonts w:ascii="Avenir Next" w:hAnsi="Avenir Next" w:cs="Arial"/>
          <w:sz w:val="22"/>
          <w:szCs w:val="22"/>
          <w:highlight w:val="yellow"/>
          <w:lang w:val="en-GB"/>
        </w:rPr>
        <w:t xml:space="preserve">Argentina </w:t>
      </w:r>
      <w:r w:rsidRPr="00D9377C">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D9377C" w:rsidRDefault="00B72F5F">
      <w:pPr>
        <w:pStyle w:val="ListParagraph"/>
        <w:numPr>
          <w:ilvl w:val="0"/>
          <w:numId w:val="6"/>
        </w:numPr>
        <w:ind w:left="426"/>
        <w:jc w:val="both"/>
        <w:rPr>
          <w:rFonts w:ascii="Avenir Next" w:hAnsi="Avenir Next" w:cs="Arial"/>
          <w:sz w:val="22"/>
          <w:szCs w:val="22"/>
          <w:highlight w:val="yellow"/>
          <w:lang w:val="en-GB"/>
        </w:rPr>
      </w:pPr>
      <w:r w:rsidRPr="00D9377C">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D9377C">
        <w:rPr>
          <w:rFonts w:ascii="Avenir Next" w:hAnsi="Avenir Next" w:cs="Arial"/>
          <w:sz w:val="22"/>
          <w:szCs w:val="22"/>
          <w:highlight w:val="yellow"/>
          <w:lang w:val="en-GB"/>
        </w:rPr>
        <w:t>will</w:t>
      </w:r>
      <w:r w:rsidRPr="00D9377C">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D9377C" w:rsidRDefault="00436884">
      <w:pPr>
        <w:pStyle w:val="ListParagraph"/>
        <w:numPr>
          <w:ilvl w:val="0"/>
          <w:numId w:val="7"/>
        </w:numPr>
        <w:ind w:left="426"/>
        <w:jc w:val="both"/>
        <w:rPr>
          <w:rFonts w:ascii="Avenir Next" w:hAnsi="Avenir Next" w:cs="Arial"/>
          <w:sz w:val="22"/>
          <w:szCs w:val="22"/>
          <w:highlight w:val="yellow"/>
          <w:lang w:val="en-GB"/>
        </w:rPr>
      </w:pPr>
      <w:r w:rsidRPr="00D9377C">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D9377C" w:rsidRDefault="00436884">
      <w:pPr>
        <w:pStyle w:val="ListParagraph"/>
        <w:numPr>
          <w:ilvl w:val="0"/>
          <w:numId w:val="8"/>
        </w:numPr>
        <w:ind w:left="426"/>
        <w:jc w:val="both"/>
        <w:rPr>
          <w:rFonts w:ascii="Avenir Next" w:hAnsi="Avenir Next" w:cs="Arial"/>
          <w:sz w:val="22"/>
          <w:szCs w:val="22"/>
          <w:highlight w:val="yellow"/>
          <w:lang w:val="en-GB"/>
        </w:rPr>
      </w:pPr>
      <w:r w:rsidRPr="00D9377C">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D9377C" w:rsidRDefault="00436884">
      <w:pPr>
        <w:pStyle w:val="ListParagraph"/>
        <w:numPr>
          <w:ilvl w:val="0"/>
          <w:numId w:val="9"/>
        </w:numPr>
        <w:ind w:left="426"/>
        <w:jc w:val="both"/>
        <w:rPr>
          <w:rFonts w:ascii="Avenir Next" w:hAnsi="Avenir Next" w:cs="Arial"/>
          <w:sz w:val="22"/>
          <w:szCs w:val="22"/>
          <w:highlight w:val="yellow"/>
          <w:lang w:val="en-GB"/>
        </w:rPr>
      </w:pPr>
      <w:r w:rsidRPr="00D9377C">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D9377C" w:rsidRDefault="00436884">
      <w:pPr>
        <w:pStyle w:val="ListParagraph"/>
        <w:numPr>
          <w:ilvl w:val="0"/>
          <w:numId w:val="10"/>
        </w:numPr>
        <w:ind w:left="426"/>
        <w:jc w:val="both"/>
        <w:rPr>
          <w:rFonts w:ascii="Avenir Next" w:hAnsi="Avenir Next" w:cs="Arial"/>
          <w:sz w:val="22"/>
          <w:szCs w:val="22"/>
          <w:highlight w:val="yellow"/>
          <w:lang w:val="en-GB"/>
        </w:rPr>
      </w:pPr>
      <w:r w:rsidRPr="00D9377C">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D9377C">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74021E63" w:rsidR="00CB56CE" w:rsidRPr="00B77352" w:rsidRDefault="004076A4"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MLCBI states that the appropriate date for determining the COMI of a debtor is the date of the commencement of the foreign proceedings. However, in practice the COMI may change. If the COMI does change, the proximity in time to the instigation of the foreign proceedings will require careful scrutiny to avoid an attempted abuse of the rules and/or an attempt of ‘forum shopping’. Officeholders have a duty of full and frank disclosure in this regard and the COMI must make sense to third parties affected by the change such as creditors. The US judgment of Morning Mist Holdings demonstrates the compromise a court may apply in balancing the established rules around selecting the date and the realities of potential manipulation of COMI.</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03379CD4" w14:textId="77777777" w:rsidR="004076A4"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r w:rsidR="004076A4">
        <w:rPr>
          <w:rFonts w:ascii="Avenir Next" w:hAnsi="Avenir Next" w:cs="Arial"/>
          <w:sz w:val="22"/>
          <w:szCs w:val="22"/>
          <w:lang w:val="en-GB"/>
        </w:rPr>
        <w:t xml:space="preserve"> </w:t>
      </w:r>
    </w:p>
    <w:p w14:paraId="645664AC" w14:textId="783D2119" w:rsidR="00436884" w:rsidRPr="004076A4" w:rsidRDefault="004076A4" w:rsidP="00436884">
      <w:pPr>
        <w:ind w:left="1440" w:hanging="1440"/>
        <w:jc w:val="both"/>
        <w:rPr>
          <w:rFonts w:ascii="Avenir Next" w:hAnsi="Avenir Next" w:cs="Arial"/>
          <w:color w:val="808080" w:themeColor="background1" w:themeShade="80"/>
          <w:sz w:val="22"/>
          <w:szCs w:val="22"/>
          <w:lang w:val="en-GB"/>
        </w:rPr>
      </w:pPr>
      <w:r w:rsidRPr="004076A4">
        <w:rPr>
          <w:rFonts w:ascii="Avenir Next" w:hAnsi="Avenir Next" w:cs="Arial"/>
          <w:color w:val="808080" w:themeColor="background1" w:themeShade="80"/>
          <w:sz w:val="22"/>
          <w:szCs w:val="22"/>
          <w:lang w:val="en-GB"/>
        </w:rPr>
        <w:t>Article 14</w:t>
      </w:r>
      <w:r>
        <w:rPr>
          <w:rFonts w:ascii="Avenir Next" w:hAnsi="Avenir Next" w:cs="Arial"/>
          <w:color w:val="808080" w:themeColor="background1" w:themeShade="80"/>
          <w:sz w:val="22"/>
          <w:szCs w:val="22"/>
          <w:lang w:val="en-GB"/>
        </w:rPr>
        <w:t xml:space="preserve"> – Timely Notice</w:t>
      </w:r>
      <w:r w:rsidR="00182124">
        <w:rPr>
          <w:rFonts w:ascii="Avenir Next" w:hAnsi="Avenir Next" w:cs="Arial"/>
          <w:color w:val="808080" w:themeColor="background1" w:themeShade="80"/>
          <w:sz w:val="22"/>
          <w:szCs w:val="22"/>
          <w:lang w:val="en-GB"/>
        </w:rPr>
        <w:t xml:space="preserve"> – exemplified by the equal treatment principle so that foreign creditors are entitled to notifications at the same time as domestic creditors without undue delay or formality.</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5F1F26E" w:rsidR="00436884" w:rsidRDefault="00436884" w:rsidP="00436884">
      <w:pPr>
        <w:ind w:left="1440" w:hanging="1440"/>
        <w:jc w:val="both"/>
        <w:rPr>
          <w:rFonts w:ascii="Avenir Next" w:hAnsi="Avenir Next" w:cs="Arial"/>
          <w:i/>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DEE1709" w14:textId="1D24E2CD" w:rsidR="004076A4" w:rsidRPr="004076A4" w:rsidRDefault="004076A4" w:rsidP="00436884">
      <w:pPr>
        <w:ind w:left="1440" w:hanging="1440"/>
        <w:jc w:val="both"/>
      </w:pPr>
      <w:r w:rsidRPr="004076A4">
        <w:rPr>
          <w:rFonts w:ascii="Avenir Next" w:hAnsi="Avenir Next" w:cs="Arial"/>
          <w:color w:val="808080" w:themeColor="background1" w:themeShade="80"/>
          <w:sz w:val="22"/>
          <w:szCs w:val="22"/>
          <w:lang w:val="en-GB"/>
        </w:rPr>
        <w:lastRenderedPageBreak/>
        <w:t xml:space="preserve">Article 10 </w:t>
      </w:r>
      <w:r>
        <w:rPr>
          <w:rFonts w:ascii="Avenir Next" w:hAnsi="Avenir Next" w:cs="Arial"/>
          <w:color w:val="808080" w:themeColor="background1" w:themeShade="80"/>
          <w:sz w:val="22"/>
          <w:szCs w:val="22"/>
          <w:lang w:val="en-GB"/>
        </w:rPr>
        <w:t>– Deals with concerns about an ‘all-embracing’ jurisdiction.</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2B1D9622" w:rsidR="00436884"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29157104" w14:textId="3D5841F2" w:rsidR="004076A4" w:rsidRPr="00182124" w:rsidRDefault="00182124" w:rsidP="00436884">
      <w:pPr>
        <w:ind w:left="1440" w:hanging="1440"/>
        <w:jc w:val="both"/>
        <w:rPr>
          <w:rFonts w:ascii="Avenir Next" w:hAnsi="Avenir Next" w:cs="Arial"/>
          <w:color w:val="808080" w:themeColor="background1" w:themeShade="80"/>
          <w:sz w:val="22"/>
          <w:szCs w:val="22"/>
          <w:lang w:val="en-GB"/>
        </w:rPr>
      </w:pPr>
      <w:r w:rsidRPr="00182124">
        <w:rPr>
          <w:rFonts w:ascii="Avenir Next" w:hAnsi="Avenir Next" w:cs="Arial"/>
          <w:color w:val="808080" w:themeColor="background1" w:themeShade="80"/>
          <w:sz w:val="22"/>
          <w:szCs w:val="22"/>
          <w:lang w:val="en-GB"/>
        </w:rPr>
        <w:t xml:space="preserve">Article 16 </w:t>
      </w:r>
      <w:r>
        <w:rPr>
          <w:rFonts w:ascii="Avenir Next" w:hAnsi="Avenir Next" w:cs="Arial"/>
          <w:color w:val="808080" w:themeColor="background1" w:themeShade="80"/>
          <w:sz w:val="22"/>
          <w:szCs w:val="22"/>
          <w:lang w:val="en-GB"/>
        </w:rPr>
        <w:t>–</w:t>
      </w:r>
      <w:r w:rsidRPr="0018212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‘in the absence of proof to the contrary, the debtor’s registered office, or habitual residence is presumed to be the debtor’s COMI. This presumption is rebuttable upon receipt of proper evidence.</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3A528B41" w14:textId="532C3167" w:rsidR="00CB56CE" w:rsidRDefault="00CB56CE" w:rsidP="00182124">
      <w:pPr>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30CAABB7" w:rsidR="00867A8F" w:rsidRPr="00B77352" w:rsidRDefault="0018212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English Court of Appeal confirmed that the indefinite Moratorium Continuation should not be granted because</w:t>
      </w:r>
      <w:r w:rsidR="003A116D">
        <w:rPr>
          <w:rFonts w:ascii="Avenir Next" w:hAnsi="Avenir Next" w:cs="Arial"/>
          <w:color w:val="808080" w:themeColor="background1" w:themeShade="80"/>
          <w:sz w:val="22"/>
          <w:szCs w:val="22"/>
          <w:lang w:val="en-GB"/>
        </w:rPr>
        <w:t xml:space="preserve"> the risk of the English creditors successfully enforcing their claims jeopardising the restructuring plan was “far too indirect and imponderable a consideration” to satisfy the test of necessity in Article 21(1) of the Model Law. The Court further noted that the debtor could have attempted to implement a parallel scheme of arrangement in the UK. It can be inferred that the Court was of the view that the creditors of IBA as a whole already had sufficient protection without needing to permanently frustrate the English creditors in any attempt to enforce their claims.</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44E21798" w:rsidR="00867A8F" w:rsidRDefault="003A116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in this scenario needs to </w:t>
      </w:r>
      <w:r w:rsidR="00F934BA">
        <w:rPr>
          <w:rFonts w:ascii="Avenir Next" w:hAnsi="Avenir Next" w:cs="Arial"/>
          <w:color w:val="808080" w:themeColor="background1" w:themeShade="80"/>
          <w:sz w:val="22"/>
          <w:szCs w:val="22"/>
          <w:lang w:val="en-GB"/>
        </w:rPr>
        <w:t>instigate the mandatory relief prescribed in Article 20. The recognition of foreign main proceedings triggers a stay of execution against the debtor’s assets, a suspension of the right to encumber, dispose or transfer the debtor’s assets and grants a stay on the continuation of any individual proceedings against the debtor. These mandatory reliefs will all impact the pre-existing domestic proceedings.</w:t>
      </w:r>
    </w:p>
    <w:p w14:paraId="30B00C78" w14:textId="6CDB20CC" w:rsidR="00F934BA" w:rsidRDefault="00F934BA" w:rsidP="00867A8F">
      <w:pPr>
        <w:ind w:left="720" w:hanging="720"/>
        <w:jc w:val="both"/>
        <w:rPr>
          <w:rFonts w:ascii="Avenir Next" w:hAnsi="Avenir Next" w:cs="Arial"/>
          <w:color w:val="808080" w:themeColor="background1" w:themeShade="80"/>
          <w:sz w:val="22"/>
          <w:szCs w:val="22"/>
          <w:lang w:val="en-GB"/>
        </w:rPr>
      </w:pPr>
    </w:p>
    <w:p w14:paraId="2D861DB5" w14:textId="619734B6" w:rsidR="00F934BA" w:rsidRPr="00B77352" w:rsidRDefault="00F934BA"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the duty of the foreign officeholder, Article18 imposes a positive obligation on that person to promptly inform the Court in the enacting state of any substantial change in the status of the recognised foreign main proceeding or their appointment. They must also notify the Court of any other foreign proceedings of which they are or become aware of.</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467FC038" w:rsidR="00867A8F" w:rsidRDefault="00F934BA"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Model Law’s purpose is to facilitate a uniform approach to insolvency in the cross-border scenario. A </w:t>
      </w:r>
      <w:r w:rsidR="0090004A">
        <w:rPr>
          <w:rFonts w:ascii="Avenir Next" w:hAnsi="Avenir Next" w:cs="Arial"/>
          <w:color w:val="808080" w:themeColor="background1" w:themeShade="80"/>
          <w:sz w:val="22"/>
          <w:szCs w:val="22"/>
          <w:lang w:val="en-GB"/>
        </w:rPr>
        <w:t>k</w:t>
      </w:r>
      <w:r>
        <w:rPr>
          <w:rFonts w:ascii="Avenir Next" w:hAnsi="Avenir Next" w:cs="Arial"/>
          <w:color w:val="808080" w:themeColor="background1" w:themeShade="80"/>
          <w:sz w:val="22"/>
          <w:szCs w:val="22"/>
          <w:lang w:val="en-GB"/>
        </w:rPr>
        <w:t>ey cornerstone of this is that a foreign representative needs to have access to a domestic State’s relevant courts and their co-operation where appropriate to achieve his or he</w:t>
      </w:r>
      <w:r w:rsidR="0090004A">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 xml:space="preserve"> goals of maximising the debtor’s estate for the benefit of creditors globally. </w:t>
      </w:r>
    </w:p>
    <w:p w14:paraId="129DCA47" w14:textId="4A65B3F3" w:rsidR="00F934BA" w:rsidRDefault="00F934BA" w:rsidP="00867A8F">
      <w:pPr>
        <w:ind w:left="720" w:hanging="720"/>
        <w:jc w:val="both"/>
        <w:rPr>
          <w:rFonts w:ascii="Avenir Next" w:hAnsi="Avenir Next" w:cs="Arial"/>
          <w:color w:val="808080" w:themeColor="background1" w:themeShade="80"/>
          <w:sz w:val="22"/>
          <w:szCs w:val="22"/>
          <w:lang w:val="en-GB"/>
        </w:rPr>
      </w:pPr>
    </w:p>
    <w:p w14:paraId="3AB546EC" w14:textId="3EB9C86C" w:rsidR="00F934BA" w:rsidRDefault="00F934BA"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 A has implemented the Model Law without a reciprocity provision. Therefore the foreign representative can rely on the </w:t>
      </w:r>
      <w:r w:rsidR="0090004A">
        <w:rPr>
          <w:rFonts w:ascii="Avenir Next" w:hAnsi="Avenir Next" w:cs="Arial"/>
          <w:color w:val="808080" w:themeColor="background1" w:themeShade="80"/>
          <w:sz w:val="22"/>
          <w:szCs w:val="22"/>
          <w:lang w:val="en-GB"/>
        </w:rPr>
        <w:t>provisions available in the Model Law regardless of whether State B has implemented the Model Law.</w:t>
      </w:r>
    </w:p>
    <w:p w14:paraId="784AAED3" w14:textId="6421BB74" w:rsidR="0090004A" w:rsidRDefault="0090004A" w:rsidP="00867A8F">
      <w:pPr>
        <w:ind w:left="720" w:hanging="720"/>
        <w:jc w:val="both"/>
        <w:rPr>
          <w:rFonts w:ascii="Avenir Next" w:hAnsi="Avenir Next" w:cs="Arial"/>
          <w:color w:val="808080" w:themeColor="background1" w:themeShade="80"/>
          <w:sz w:val="22"/>
          <w:szCs w:val="22"/>
          <w:lang w:val="en-GB"/>
        </w:rPr>
      </w:pPr>
    </w:p>
    <w:p w14:paraId="54B53365" w14:textId="77777777" w:rsidR="0050211D" w:rsidRDefault="0090004A"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9 allows for the foreign representative to have direct access or ‘standing’ in the domestic courts in State A without the need for formal recognition.</w:t>
      </w:r>
      <w:r w:rsidR="0050211D">
        <w:rPr>
          <w:rFonts w:ascii="Avenir Next" w:hAnsi="Avenir Next" w:cs="Arial"/>
          <w:color w:val="808080" w:themeColor="background1" w:themeShade="80"/>
          <w:sz w:val="22"/>
          <w:szCs w:val="22"/>
          <w:lang w:val="en-GB"/>
        </w:rPr>
        <w:t xml:space="preserve"> This will be of benefit to the foreign representative because he will have a right of standing without undue formality or cost.</w:t>
      </w:r>
      <w:r>
        <w:rPr>
          <w:rFonts w:ascii="Avenir Next" w:hAnsi="Avenir Next" w:cs="Arial"/>
          <w:color w:val="808080" w:themeColor="background1" w:themeShade="80"/>
          <w:sz w:val="22"/>
          <w:szCs w:val="22"/>
          <w:lang w:val="en-GB"/>
        </w:rPr>
        <w:t xml:space="preserve"> </w:t>
      </w:r>
    </w:p>
    <w:p w14:paraId="73B67205" w14:textId="77777777" w:rsidR="0050211D" w:rsidRDefault="0050211D" w:rsidP="00867A8F">
      <w:pPr>
        <w:ind w:left="720" w:hanging="720"/>
        <w:jc w:val="both"/>
        <w:rPr>
          <w:rFonts w:ascii="Avenir Next" w:hAnsi="Avenir Next" w:cs="Arial"/>
          <w:color w:val="808080" w:themeColor="background1" w:themeShade="80"/>
          <w:sz w:val="22"/>
          <w:szCs w:val="22"/>
          <w:lang w:val="en-GB"/>
        </w:rPr>
      </w:pPr>
    </w:p>
    <w:p w14:paraId="7D213312" w14:textId="46819178" w:rsidR="0090004A" w:rsidRDefault="0090004A"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10 allows the foreign representative access without concern that the court in State A will assume jurisdiction over all the debtor’s assets – the so-called ‘safe conduct rule’. Both of these rights will give the foreign representative the ‘breathing-space’ required to assess the debtor’s assets in State A and to decide if pursuing formal recognition is needed in the circumstances.</w:t>
      </w:r>
    </w:p>
    <w:p w14:paraId="7C0589AF" w14:textId="7B800225" w:rsidR="0050211D" w:rsidRDefault="0050211D" w:rsidP="00867A8F">
      <w:pPr>
        <w:ind w:left="720" w:hanging="720"/>
        <w:jc w:val="both"/>
        <w:rPr>
          <w:rFonts w:ascii="Avenir Next" w:hAnsi="Avenir Next" w:cs="Arial"/>
          <w:color w:val="808080" w:themeColor="background1" w:themeShade="80"/>
          <w:sz w:val="22"/>
          <w:szCs w:val="22"/>
          <w:lang w:val="en-GB"/>
        </w:rPr>
      </w:pPr>
    </w:p>
    <w:p w14:paraId="1401530D" w14:textId="77777777" w:rsidR="0050211D" w:rsidRDefault="0050211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25 ensures that the Court in State A co-operates with the foreign representative to the ‘maximum extent possible’ and this right is available on the presence of assets rather than foreign main or non-main proceedings. </w:t>
      </w:r>
    </w:p>
    <w:p w14:paraId="36DDA067" w14:textId="77777777" w:rsidR="0050211D" w:rsidRDefault="0050211D" w:rsidP="00867A8F">
      <w:pPr>
        <w:ind w:left="720" w:hanging="720"/>
        <w:jc w:val="both"/>
        <w:rPr>
          <w:rFonts w:ascii="Avenir Next" w:hAnsi="Avenir Next" w:cs="Arial"/>
          <w:color w:val="808080" w:themeColor="background1" w:themeShade="80"/>
          <w:sz w:val="22"/>
          <w:szCs w:val="22"/>
          <w:lang w:val="en-GB"/>
        </w:rPr>
      </w:pPr>
    </w:p>
    <w:p w14:paraId="78DF4424" w14:textId="584C5240" w:rsidR="0050211D" w:rsidRPr="00B77352" w:rsidRDefault="0050211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 the foreign representative will benefit from the provisions set out in Article 27 which defines very broadly the means of the co-operation from open communication between courts to supervision of the debtor’s assets. The list is deliberately non-exhaustive and this will be of benefit to the foreign representative because he will be able to petition for relief appropriate to the debtor with the Court’s approval.</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11744EF0" w14:textId="360507DB" w:rsidR="00F91AD6" w:rsidRDefault="00F91AD6" w:rsidP="00F91AD6">
      <w:pPr>
        <w:jc w:val="both"/>
        <w:rPr>
          <w:rFonts w:ascii="Avenir Next" w:hAnsi="Avenir Next" w:cs="Arial"/>
          <w:color w:val="808080" w:themeColor="background1" w:themeShade="80"/>
          <w:sz w:val="22"/>
          <w:szCs w:val="22"/>
          <w:lang w:val="en-GB"/>
        </w:rPr>
      </w:pPr>
    </w:p>
    <w:p w14:paraId="7A0B3F03" w14:textId="1335EB15" w:rsidR="00F91AD6" w:rsidRDefault="00F91AD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various restrictions, other evidence for consideration, exclusions and limitations that must be considered before recognition will be granted are as follows:</w:t>
      </w:r>
    </w:p>
    <w:p w14:paraId="168841A0" w14:textId="044A450F" w:rsidR="00F91AD6" w:rsidRDefault="00F91AD6" w:rsidP="00867A8F">
      <w:pPr>
        <w:ind w:left="720" w:hanging="720"/>
        <w:jc w:val="both"/>
        <w:rPr>
          <w:rFonts w:ascii="Avenir Next" w:hAnsi="Avenir Next" w:cs="Arial"/>
          <w:color w:val="808080" w:themeColor="background1" w:themeShade="80"/>
          <w:sz w:val="22"/>
          <w:szCs w:val="22"/>
          <w:lang w:val="en-GB"/>
        </w:rPr>
      </w:pPr>
    </w:p>
    <w:p w14:paraId="30481130" w14:textId="0F4C77D8" w:rsidR="00F91AD6" w:rsidRDefault="00293A7C">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Reciprocity – consideration must be given to the enacting State’s provisions vis a vis reciprocity. In this example State A has not enacted a reciprocity provision. But if it ha</w:t>
      </w:r>
      <w:r w:rsidR="007D6DFA">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such as the provision enacted in South Africa, recognition would be refused if State B had not adopted the Model Law notwithstanding the fact that the foreign proceeding and foreign representative requirements were properly met.</w:t>
      </w:r>
    </w:p>
    <w:p w14:paraId="13BFBFE4" w14:textId="7A568ED0" w:rsidR="00293A7C" w:rsidRDefault="005E5029">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Exclusions – Article 1(2) allows State A to exclude certain proceedings from the application of the Model Law. For example, an insolvency of a bank or an insurance company that would have far reaching implications on the economy of State A can be excluded from general recognition as a foreign proceeding and State A can enforce the implementation of domestic regulatory proceedings under domestic laws instead to minimise the impact. This would also apply to companies of public interest such as utility companies etc.</w:t>
      </w:r>
    </w:p>
    <w:p w14:paraId="65B1C090" w14:textId="5F05DC9D" w:rsidR="005E5029" w:rsidRDefault="005E5029">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3 requires that the implementation of the Model Law does not interfere or breach any international obligations which must remain supreme. Therefore recognition may be refused on the grounds that the relevant proceedings are governed by international treaties such as the insolvency of an airline or shipping company.</w:t>
      </w:r>
    </w:p>
    <w:p w14:paraId="7EED6A05" w14:textId="1E8BE5DD" w:rsidR="005E5029" w:rsidRDefault="005E5029">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6 builds on the exclusions permitted under Article 1(2) by allowing for public policy exceptions. As a safeguard to State A’s sovereignty, recognition may be refused if it would ‘manifestly’ break public policy concerns. ‘Manifestly’ is an incredibly high test as demonstrated in the Agrokor case. Here the court determined that provisions simply being ‘contrary’ to established UK public policy did not meet the threshold of ‘</w:t>
      </w:r>
      <w:r w:rsidR="0084069A">
        <w:rPr>
          <w:rFonts w:ascii="Avenir Next" w:hAnsi="Avenir Next" w:cs="Arial"/>
          <w:color w:val="808080" w:themeColor="background1" w:themeShade="80"/>
          <w:sz w:val="22"/>
          <w:szCs w:val="22"/>
          <w:lang w:val="en-GB"/>
        </w:rPr>
        <w:t>manifestly</w:t>
      </w:r>
      <w:r>
        <w:rPr>
          <w:rFonts w:ascii="Avenir Next" w:hAnsi="Avenir Next" w:cs="Arial"/>
          <w:color w:val="808080" w:themeColor="background1" w:themeShade="80"/>
          <w:sz w:val="22"/>
          <w:szCs w:val="22"/>
          <w:lang w:val="en-GB"/>
        </w:rPr>
        <w:t>’ and as such recognition was allowed.</w:t>
      </w:r>
    </w:p>
    <w:p w14:paraId="77FE0A7A" w14:textId="441BE702" w:rsidR="0084069A" w:rsidRPr="00F91AD6" w:rsidRDefault="0084069A">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 Article 18 places a positive obligation on the foreign representative, both at the time of filing and after the granting of the recognition, to maintain full and frank disclosure with the Court in State A. Should there be any changes to the foreign proceeding, its status or the representative’s authority they must make the court aware without delay. Misleading the Court in this regard could lead to recognition being withdrawn.</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09E129B5" w:rsidR="00867A8F" w:rsidRDefault="0084069A"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Pre-Recognition Relief</w:t>
      </w:r>
    </w:p>
    <w:p w14:paraId="59156019" w14:textId="7C42E42F" w:rsidR="003D18BF" w:rsidRDefault="0084069A" w:rsidP="003D18B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Model Law allows for pre-recognition relief to be granted under Article 19 – also known as ‘Interim Relief’. Interim Relief is granted where urgently required to protect the assets of the debtor or the interests of creditors in the enacting state.</w:t>
      </w:r>
      <w:r w:rsidR="003D18BF">
        <w:rPr>
          <w:rFonts w:ascii="Avenir Next" w:hAnsi="Avenir Next" w:cs="Arial"/>
          <w:color w:val="808080" w:themeColor="background1" w:themeShade="80"/>
          <w:sz w:val="22"/>
          <w:szCs w:val="22"/>
          <w:lang w:val="en-GB"/>
        </w:rPr>
        <w:t xml:space="preserve"> Relief is available in this regard from the time of filing the application for recognition until it has been determined. Relief includes a stay of execution against the debtor’s assets amongst others. Article 19 paragraph 4 allows a court to refuse to grant interim relief where it would interfere with the administration of a foreign main proceeding.</w:t>
      </w:r>
    </w:p>
    <w:p w14:paraId="2D38E9B1" w14:textId="7B6A06A3" w:rsidR="003D18BF" w:rsidRDefault="003D18BF" w:rsidP="003D18BF">
      <w:pPr>
        <w:ind w:left="720" w:hanging="720"/>
        <w:jc w:val="both"/>
        <w:rPr>
          <w:rFonts w:ascii="Avenir Next" w:hAnsi="Avenir Next" w:cs="Arial"/>
          <w:color w:val="808080" w:themeColor="background1" w:themeShade="80"/>
          <w:sz w:val="22"/>
          <w:szCs w:val="22"/>
          <w:lang w:val="en-GB"/>
        </w:rPr>
      </w:pPr>
    </w:p>
    <w:p w14:paraId="065D13FE" w14:textId="706F3528" w:rsidR="003D18BF" w:rsidRDefault="003D18BF" w:rsidP="003D18B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Model Law allows for </w:t>
      </w:r>
      <w:r w:rsidR="00D82010">
        <w:rPr>
          <w:rFonts w:ascii="Avenir Next" w:hAnsi="Avenir Next" w:cs="Arial"/>
          <w:color w:val="808080" w:themeColor="background1" w:themeShade="80"/>
          <w:sz w:val="22"/>
          <w:szCs w:val="22"/>
          <w:lang w:val="en-GB"/>
        </w:rPr>
        <w:t xml:space="preserve">both pre and </w:t>
      </w:r>
      <w:r>
        <w:rPr>
          <w:rFonts w:ascii="Avenir Next" w:hAnsi="Avenir Next" w:cs="Arial"/>
          <w:color w:val="808080" w:themeColor="background1" w:themeShade="80"/>
          <w:sz w:val="22"/>
          <w:szCs w:val="22"/>
          <w:lang w:val="en-GB"/>
        </w:rPr>
        <w:t xml:space="preserve">post-recognition relief to be granted </w:t>
      </w:r>
      <w:r w:rsidR="00D82010">
        <w:rPr>
          <w:rFonts w:ascii="Avenir Next" w:hAnsi="Avenir Next" w:cs="Arial"/>
          <w:color w:val="808080" w:themeColor="background1" w:themeShade="80"/>
          <w:sz w:val="22"/>
          <w:szCs w:val="22"/>
          <w:lang w:val="en-GB"/>
        </w:rPr>
        <w:t xml:space="preserve">by the enacting State providing an appropriate balance is struck between the relief sought and the interests of stakeholders who may be affected by the relief (Article 22). Article 22 specifically lists the interests of creditors and the debtor as examples of those whose interests must be taken into consideration. </w:t>
      </w:r>
      <w:r w:rsidR="00B4733C">
        <w:rPr>
          <w:rFonts w:ascii="Avenir Next" w:hAnsi="Avenir Next" w:cs="Arial"/>
          <w:color w:val="808080" w:themeColor="background1" w:themeShade="80"/>
          <w:sz w:val="22"/>
          <w:szCs w:val="22"/>
          <w:lang w:val="en-GB"/>
        </w:rPr>
        <w:t>Article 22(3) allows for relief previously granted to be terminated or modified if no longer appropriate.</w:t>
      </w:r>
    </w:p>
    <w:p w14:paraId="7557256E" w14:textId="2B43EE5D" w:rsidR="00B4733C" w:rsidRDefault="00B4733C" w:rsidP="003D18BF">
      <w:pPr>
        <w:ind w:left="720" w:hanging="720"/>
        <w:jc w:val="both"/>
        <w:rPr>
          <w:rFonts w:ascii="Avenir Next" w:hAnsi="Avenir Next" w:cs="Arial"/>
          <w:color w:val="808080" w:themeColor="background1" w:themeShade="80"/>
          <w:sz w:val="22"/>
          <w:szCs w:val="22"/>
          <w:lang w:val="en-GB"/>
        </w:rPr>
      </w:pPr>
    </w:p>
    <w:p w14:paraId="681C33EF" w14:textId="2CA9D29B" w:rsidR="00B4733C" w:rsidRDefault="00B4733C" w:rsidP="003D18B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Post-Recognition Relief</w:t>
      </w:r>
    </w:p>
    <w:p w14:paraId="0A013EE8" w14:textId="2CF08C68" w:rsidR="00B4733C" w:rsidRDefault="00B4733C" w:rsidP="003D18B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Post-Recognition relief may be granted on either a discretionary or mandatory basis depending on the recognition granted.</w:t>
      </w:r>
    </w:p>
    <w:p w14:paraId="23473AFD" w14:textId="7EAEC124" w:rsidR="00B4733C" w:rsidRDefault="00B4733C" w:rsidP="003D18BF">
      <w:pPr>
        <w:ind w:left="720" w:hanging="720"/>
        <w:jc w:val="both"/>
        <w:rPr>
          <w:rFonts w:ascii="Avenir Next" w:hAnsi="Avenir Next" w:cs="Arial"/>
          <w:color w:val="808080" w:themeColor="background1" w:themeShade="80"/>
          <w:sz w:val="22"/>
          <w:szCs w:val="22"/>
          <w:lang w:val="en-GB"/>
        </w:rPr>
      </w:pPr>
    </w:p>
    <w:p w14:paraId="11347BFD" w14:textId="7DCFB75F" w:rsidR="00B4733C" w:rsidRDefault="00B4733C" w:rsidP="003D18B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Mandatory automatic relief is granted upon the recognition of a foreign main proceeding under Article 20. The relief available is:</w:t>
      </w:r>
    </w:p>
    <w:p w14:paraId="24BAB672" w14:textId="788D7309" w:rsidR="00B4733C" w:rsidRDefault="00B4733C">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stay of commencement or continuation of individual actions or individual proceedings concerning the debtor’s assets, rights, obligations or liabilities;</w:t>
      </w:r>
    </w:p>
    <w:p w14:paraId="65831FDF" w14:textId="08FF4F08" w:rsidR="00B4733C" w:rsidRDefault="00B4733C">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stay of execution against the debtor’s assets; and</w:t>
      </w:r>
    </w:p>
    <w:p w14:paraId="4587AA2A" w14:textId="58F36172" w:rsidR="00B4733C" w:rsidRDefault="00B4733C">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suspension of the right to transfer, encumber or otherwise dispose of any assets of the debtor.</w:t>
      </w:r>
    </w:p>
    <w:p w14:paraId="0BEE34A6" w14:textId="7CE33BE4" w:rsidR="00B4733C" w:rsidRDefault="00B4733C" w:rsidP="00B4733C">
      <w:pPr>
        <w:jc w:val="both"/>
        <w:rPr>
          <w:rFonts w:ascii="Avenir Next" w:hAnsi="Avenir Next" w:cs="Arial"/>
          <w:color w:val="808080" w:themeColor="background1" w:themeShade="80"/>
          <w:sz w:val="22"/>
          <w:szCs w:val="22"/>
          <w:lang w:val="en-GB"/>
        </w:rPr>
      </w:pPr>
    </w:p>
    <w:p w14:paraId="347D8520" w14:textId="66461FC1" w:rsidR="00B4733C" w:rsidRDefault="00B4733C" w:rsidP="00B4733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20(2) allows for the limitation or restriction of the mandatory relief where its imposition would be contrary to the legitimate interests of the parties (including the debtor). By way of example, the relief automatically granted under Article 20 would</w:t>
      </w:r>
      <w:r w:rsidR="007D6DFA">
        <w:rPr>
          <w:rFonts w:ascii="Avenir Next" w:hAnsi="Avenir Next" w:cs="Arial"/>
          <w:color w:val="808080" w:themeColor="background1" w:themeShade="80"/>
          <w:sz w:val="22"/>
          <w:szCs w:val="22"/>
          <w:lang w:val="en-GB"/>
        </w:rPr>
        <w:t xml:space="preserve"> ordinarily</w:t>
      </w:r>
      <w:r>
        <w:rPr>
          <w:rFonts w:ascii="Avenir Next" w:hAnsi="Avenir Next" w:cs="Arial"/>
          <w:color w:val="808080" w:themeColor="background1" w:themeShade="80"/>
          <w:sz w:val="22"/>
          <w:szCs w:val="22"/>
          <w:lang w:val="en-GB"/>
        </w:rPr>
        <w:t xml:space="preserve"> render an arbitration clause difficult to impose. However, on the facts it may be that an arbitration is in the interests of the parties and as such the Court may allow it to proceed. Article 20(3) further states that </w:t>
      </w:r>
      <w:r w:rsidR="00317904">
        <w:rPr>
          <w:rFonts w:ascii="Avenir Next" w:hAnsi="Avenir Next" w:cs="Arial"/>
          <w:color w:val="808080" w:themeColor="background1" w:themeShade="80"/>
          <w:sz w:val="22"/>
          <w:szCs w:val="22"/>
          <w:lang w:val="en-GB"/>
        </w:rPr>
        <w:t>the automatic stay granted under 20(1) does not prevent individual actions in so far as they are required to preserve a creditor’s claim against the debtor. Other exceptions that may exist in the law of the enacting state may allow for the enforcement of secured claims or claims that arise after the commencement of the insolvency proceedings.</w:t>
      </w:r>
    </w:p>
    <w:p w14:paraId="55369AF9" w14:textId="2AE42B95" w:rsidR="00317904" w:rsidRDefault="00317904" w:rsidP="00B4733C">
      <w:pPr>
        <w:jc w:val="both"/>
        <w:rPr>
          <w:rFonts w:ascii="Avenir Next" w:hAnsi="Avenir Next" w:cs="Arial"/>
          <w:color w:val="808080" w:themeColor="background1" w:themeShade="80"/>
          <w:sz w:val="22"/>
          <w:szCs w:val="22"/>
          <w:lang w:val="en-GB"/>
        </w:rPr>
      </w:pPr>
    </w:p>
    <w:p w14:paraId="0E68C6E7" w14:textId="3DCFC5B6" w:rsidR="00317904" w:rsidRDefault="00317904" w:rsidP="00B4733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Discretionary relief is available at the Court’s discretion following the recognition of both foreign main proceedings and foreign non-main proceedings under Article 21. Discretionary relief is awarded providing it is appropriate</w:t>
      </w:r>
      <w:r w:rsidR="00DC7F0F">
        <w:rPr>
          <w:rFonts w:ascii="Avenir Next" w:hAnsi="Avenir Next" w:cs="Arial"/>
          <w:color w:val="808080" w:themeColor="background1" w:themeShade="80"/>
          <w:sz w:val="22"/>
          <w:szCs w:val="22"/>
          <w:lang w:val="en-GB"/>
        </w:rPr>
        <w:t xml:space="preserve"> – it is therefore not automatic and will be assess</w:t>
      </w:r>
      <w:r w:rsidR="007D6DFA">
        <w:rPr>
          <w:rFonts w:ascii="Avenir Next" w:hAnsi="Avenir Next" w:cs="Arial"/>
          <w:color w:val="808080" w:themeColor="background1" w:themeShade="80"/>
          <w:sz w:val="22"/>
          <w:szCs w:val="22"/>
          <w:lang w:val="en-GB"/>
        </w:rPr>
        <w:t>ed</w:t>
      </w:r>
      <w:r w:rsidR="00DC7F0F">
        <w:rPr>
          <w:rFonts w:ascii="Avenir Next" w:hAnsi="Avenir Next" w:cs="Arial"/>
          <w:color w:val="808080" w:themeColor="background1" w:themeShade="80"/>
          <w:sz w:val="22"/>
          <w:szCs w:val="22"/>
          <w:lang w:val="en-GB"/>
        </w:rPr>
        <w:t xml:space="preserve"> on a case by case basis and only granted where the Court is satisfied that the rights of local creditors are sufficiently protected. </w:t>
      </w:r>
      <w:r w:rsidR="007D6DFA">
        <w:rPr>
          <w:rFonts w:ascii="Avenir Next" w:hAnsi="Avenir Next" w:cs="Arial"/>
          <w:color w:val="808080" w:themeColor="background1" w:themeShade="80"/>
          <w:sz w:val="22"/>
          <w:szCs w:val="22"/>
          <w:lang w:val="en-GB"/>
        </w:rPr>
        <w:t xml:space="preserve">In addition, where discretionary relief is granted following the recognition of a foreign non-main proceeding, Article 21(4) requires that the relief granted is appropriate and does not interfere with the administration of any other relevant insolvency proceedings – particularly the main foreign proceedings. </w:t>
      </w:r>
      <w:r w:rsidR="00DC7F0F">
        <w:rPr>
          <w:rFonts w:ascii="Avenir Next" w:hAnsi="Avenir Next" w:cs="Arial"/>
          <w:color w:val="808080" w:themeColor="background1" w:themeShade="80"/>
          <w:sz w:val="22"/>
          <w:szCs w:val="22"/>
          <w:lang w:val="en-GB"/>
        </w:rPr>
        <w:t>Examples of discretionary relief are:</w:t>
      </w:r>
    </w:p>
    <w:p w14:paraId="2FBF1113" w14:textId="4FFEC6B7" w:rsidR="00DC7F0F" w:rsidRDefault="00DC7F0F" w:rsidP="00B4733C">
      <w:pPr>
        <w:jc w:val="both"/>
        <w:rPr>
          <w:rFonts w:ascii="Avenir Next" w:hAnsi="Avenir Next" w:cs="Arial"/>
          <w:color w:val="808080" w:themeColor="background1" w:themeShade="80"/>
          <w:sz w:val="22"/>
          <w:szCs w:val="22"/>
          <w:lang w:val="en-GB"/>
        </w:rPr>
      </w:pPr>
    </w:p>
    <w:p w14:paraId="7C1A38E3" w14:textId="15BB7A8A" w:rsidR="00DC7F0F" w:rsidRDefault="007D6DFA">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Staying execution against the debtor’s assets to the extent it has not already been stayed automatically under Article 20;</w:t>
      </w:r>
    </w:p>
    <w:p w14:paraId="5458BC26" w14:textId="42890F10" w:rsidR="007D6DFA" w:rsidRDefault="007D6DFA">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Providing for the examination of witnesses, the taking of evidence or the delivery of information concerning the debtor’s assets, affairs, rights, obligations or liabilities;</w:t>
      </w:r>
    </w:p>
    <w:p w14:paraId="125EA89B" w14:textId="07A3BFC9" w:rsidR="007D6DFA" w:rsidRDefault="007D6DFA">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Extending any interim relief granted previously; and</w:t>
      </w:r>
    </w:p>
    <w:p w14:paraId="30012ADB" w14:textId="21431008" w:rsidR="007D6DFA" w:rsidRPr="007D6DFA" w:rsidRDefault="007D6DFA">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Granting any additional relief that may be available to a domestic </w:t>
      </w:r>
      <w:r w:rsidR="00F34116">
        <w:rPr>
          <w:rFonts w:ascii="Avenir Next" w:hAnsi="Avenir Next" w:cs="Arial"/>
          <w:color w:val="808080" w:themeColor="background1" w:themeShade="80"/>
          <w:sz w:val="22"/>
          <w:szCs w:val="22"/>
          <w:lang w:val="en-GB"/>
        </w:rPr>
        <w:t>office holder under the enacting State’s laws.</w:t>
      </w:r>
    </w:p>
    <w:p w14:paraId="4A0E319B" w14:textId="1D91EF76" w:rsidR="00867A8F" w:rsidRDefault="00867A8F" w:rsidP="00F34116">
      <w:pPr>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67B7FEDB" w:rsidR="00867A8F" w:rsidRPr="00B77352" w:rsidRDefault="00F3411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worldwide freezing order granted as pre-recognition relief under Article 19 is unlikely to be allowed to continue post-recognition because principally, interim relief is required in urgent circumstances for the preservation of assets. However Article 22 requires that any relief granted either pre or post-recognition is balanced between the needs of the foreign representative and those affected. Applying a balanced view it is unlikely that a Court would </w:t>
      </w:r>
      <w:r>
        <w:rPr>
          <w:rFonts w:ascii="Avenir Next" w:hAnsi="Avenir Next" w:cs="Arial"/>
          <w:color w:val="808080" w:themeColor="background1" w:themeShade="80"/>
          <w:sz w:val="22"/>
          <w:szCs w:val="22"/>
          <w:lang w:val="en-GB"/>
        </w:rPr>
        <w:lastRenderedPageBreak/>
        <w:t>agree that such an extreme measure such as a worldwide freezing order is proportionate once the foreign representative has received recognition and taken the immediate steps to deal with the assets concerned. As demonstrated by the English case Protasov v Derev, the judge ruled that post-recognition the foreign representative could make use of various tools under English law to accomplish his goals without the need for the severe worldwide freezing order.</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71FDE47B" w14:textId="18B915E4" w:rsidR="00867A8F"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46F904CD" w:rsidR="0077498C" w:rsidRDefault="00514C31" w:rsidP="00707FC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application for recognition in the UK proceedings requires that the proceedings in Country A be classified as ‘foreign proceedings’ pursuant to Article 2(a) of the MLCBI and that those making the application can be defined as ‘foreign representatives’ pursuant to Article 2(d).</w:t>
      </w:r>
    </w:p>
    <w:p w14:paraId="5A3A0E07" w14:textId="00390F6B" w:rsidR="00CD2C43" w:rsidRDefault="00CD2C43" w:rsidP="00707FC8">
      <w:pPr>
        <w:jc w:val="both"/>
        <w:rPr>
          <w:rFonts w:ascii="Avenir Next" w:hAnsi="Avenir Next" w:cs="Arial"/>
          <w:color w:val="000000" w:themeColor="text1"/>
          <w:sz w:val="22"/>
          <w:szCs w:val="22"/>
          <w:lang w:val="en-GB"/>
        </w:rPr>
      </w:pPr>
    </w:p>
    <w:p w14:paraId="28112C6D" w14:textId="0C8CDF01" w:rsidR="00CD2C43" w:rsidRDefault="00CD2C43" w:rsidP="00707FC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It should be noted that from the outset, Mrs G has standing in the English Court pursuant to Article 9 MLCBI because no recognition is required at this stage.</w:t>
      </w:r>
    </w:p>
    <w:p w14:paraId="3096DA95" w14:textId="264C5422" w:rsidR="00514C31" w:rsidRDefault="00514C31" w:rsidP="00707FC8">
      <w:pPr>
        <w:jc w:val="both"/>
        <w:rPr>
          <w:rFonts w:ascii="Avenir Next" w:hAnsi="Avenir Next" w:cs="Arial"/>
          <w:color w:val="000000" w:themeColor="text1"/>
          <w:sz w:val="22"/>
          <w:szCs w:val="22"/>
          <w:lang w:val="en-GB"/>
        </w:rPr>
      </w:pPr>
    </w:p>
    <w:p w14:paraId="59445333" w14:textId="26CA174A" w:rsidR="00514C31" w:rsidRDefault="00F34BD7" w:rsidP="00707FC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Defining a proceeding as a ‘foreign proceeding’ capable of recognition under Article 17 requires consideration of the following elements:</w:t>
      </w:r>
    </w:p>
    <w:p w14:paraId="31EC3073" w14:textId="4D0B78F4" w:rsidR="00F34BD7" w:rsidRDefault="00F34BD7" w:rsidP="00707FC8">
      <w:pPr>
        <w:jc w:val="both"/>
        <w:rPr>
          <w:rFonts w:ascii="Avenir Next" w:hAnsi="Avenir Next" w:cs="Arial"/>
          <w:color w:val="000000" w:themeColor="text1"/>
          <w:sz w:val="22"/>
          <w:szCs w:val="22"/>
          <w:lang w:val="en-GB"/>
        </w:rPr>
      </w:pPr>
    </w:p>
    <w:p w14:paraId="4C2C05ED" w14:textId="78758760" w:rsidR="00F34BD7" w:rsidRDefault="00F34BD7" w:rsidP="00F34BD7">
      <w:pPr>
        <w:pStyle w:val="ListParagraph"/>
        <w:numPr>
          <w:ilvl w:val="0"/>
          <w:numId w:val="15"/>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w:t>
      </w:r>
      <w:r w:rsidR="002C7CFA">
        <w:rPr>
          <w:rFonts w:ascii="Avenir Next" w:hAnsi="Avenir Next" w:cs="Arial"/>
          <w:color w:val="000000" w:themeColor="text1"/>
          <w:sz w:val="22"/>
          <w:szCs w:val="22"/>
          <w:lang w:val="en-GB"/>
        </w:rPr>
        <w:t>subject of the application must be a proceeding. This can include interim proceedings – the matter of the Bank is clearly a proceeding under the LBBA.</w:t>
      </w:r>
    </w:p>
    <w:p w14:paraId="4FD75ABF" w14:textId="51C0CC15" w:rsidR="002C7CFA" w:rsidRDefault="002C7CFA" w:rsidP="00F34BD7">
      <w:pPr>
        <w:pStyle w:val="ListParagraph"/>
        <w:numPr>
          <w:ilvl w:val="0"/>
          <w:numId w:val="15"/>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proceeding my either be judicial or administrative. Given the powers imposed on the DGF and Mrs G, the proceeding is clearly administrative in nature. For example Articles 35(5) and 36(1) of the DGF Law states that the DGF acting via its authorised officer shall have full and exclusive rights to manage the bank.</w:t>
      </w:r>
    </w:p>
    <w:p w14:paraId="6C6223A2" w14:textId="2D7A5B94" w:rsidR="002C7CFA" w:rsidRDefault="002C7CFA" w:rsidP="00F34BD7">
      <w:pPr>
        <w:pStyle w:val="ListParagraph"/>
        <w:numPr>
          <w:ilvl w:val="0"/>
          <w:numId w:val="15"/>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proceeding must be collective in nature. The requirement in this regard is that substantially all of the assets and liabilities of the Bank are dealt with in the proceeding. </w:t>
      </w:r>
      <w:r w:rsidR="000118A0">
        <w:rPr>
          <w:rFonts w:ascii="Avenir Next" w:hAnsi="Avenir Next" w:cs="Arial"/>
          <w:color w:val="000000" w:themeColor="text1"/>
          <w:sz w:val="22"/>
          <w:szCs w:val="22"/>
          <w:lang w:val="en-GB"/>
        </w:rPr>
        <w:t>The proceeding with regards to the Bank qualifies because the DGF as liquidator has the power to ‘take steps to find, identify and recover property belonging to the bank’ and to ‘compile a register of creditor claims and seek to satisfy those claims’.</w:t>
      </w:r>
    </w:p>
    <w:p w14:paraId="4A180658" w14:textId="135A98E3" w:rsidR="000118A0" w:rsidRDefault="000118A0" w:rsidP="00F34BD7">
      <w:pPr>
        <w:pStyle w:val="ListParagraph"/>
        <w:numPr>
          <w:ilvl w:val="0"/>
          <w:numId w:val="15"/>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proceeding must be in a foreign state. This requirement is clearly satisfied.</w:t>
      </w:r>
    </w:p>
    <w:p w14:paraId="15A7ED52" w14:textId="167A6D07" w:rsidR="000118A0" w:rsidRDefault="000118A0" w:rsidP="00F34BD7">
      <w:pPr>
        <w:pStyle w:val="ListParagraph"/>
        <w:numPr>
          <w:ilvl w:val="0"/>
          <w:numId w:val="15"/>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proceeding must be </w:t>
      </w:r>
      <w:r w:rsidR="00DC441C">
        <w:rPr>
          <w:rFonts w:ascii="Avenir Next" w:hAnsi="Avenir Next" w:cs="Arial"/>
          <w:color w:val="000000" w:themeColor="text1"/>
          <w:sz w:val="22"/>
          <w:szCs w:val="22"/>
          <w:lang w:val="en-GB"/>
        </w:rPr>
        <w:t xml:space="preserve">authorised or conducted under a law relating to insolvency. In practice the requirement in this regard has been drafted sufficiently broadly to encompass a broad range of laws. The relevant law need not exclusively relate to insolvency nor be called an ‘insolvency law’. The LBBA, whilst not being called an ‘insolvency law’ and whilst dealing with other matters does make specific provision for the insolvency of banks in Country A. As such this element is clearly satisfied. Moreover, the </w:t>
      </w:r>
      <w:r w:rsidR="00CD2C43">
        <w:rPr>
          <w:rFonts w:ascii="Avenir Next" w:hAnsi="Avenir Next" w:cs="Arial"/>
          <w:color w:val="000000" w:themeColor="text1"/>
          <w:sz w:val="22"/>
          <w:szCs w:val="22"/>
          <w:lang w:val="en-GB"/>
        </w:rPr>
        <w:t>English</w:t>
      </w:r>
      <w:r w:rsidR="00DC441C">
        <w:rPr>
          <w:rFonts w:ascii="Avenir Next" w:hAnsi="Avenir Next" w:cs="Arial"/>
          <w:color w:val="000000" w:themeColor="text1"/>
          <w:sz w:val="22"/>
          <w:szCs w:val="22"/>
          <w:lang w:val="en-GB"/>
        </w:rPr>
        <w:t xml:space="preserve"> Court has been clear on its interpretation of this rule in the Sturgeon Central Asia case where it was determined that actual ‘insolvency’ was required and a solvent wind down was not capable of satisfying this provision. Given the Bank is clearly insolvent with an estimated deficiency of over $832m this requirement is met.</w:t>
      </w:r>
    </w:p>
    <w:p w14:paraId="515D1DDE" w14:textId="25FFCEBB" w:rsidR="00DC441C" w:rsidRDefault="00717CC6" w:rsidP="00F34BD7">
      <w:pPr>
        <w:pStyle w:val="ListParagraph"/>
        <w:numPr>
          <w:ilvl w:val="0"/>
          <w:numId w:val="15"/>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proceeding must also be subject to a foreign court. This provision has been clarified to include both actual and potential supervision. The proceeding with respect to the Bank is not directly under the Court’s supervision in State A but the representative does have the power to file property and non-property claims with the Court. </w:t>
      </w:r>
    </w:p>
    <w:p w14:paraId="61AA928E" w14:textId="26CB1D5E" w:rsidR="00E64A2B" w:rsidRDefault="00E64A2B" w:rsidP="00F34BD7">
      <w:pPr>
        <w:pStyle w:val="ListParagraph"/>
        <w:numPr>
          <w:ilvl w:val="0"/>
          <w:numId w:val="15"/>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Finally, the proceeding must be for the purpose of reorganisation or liquidation. This final requirement is clearly satisfied by the fact that the LBBA provides the NB the ability to classify the bank as ‘troubled’ per Article 75, impose restrictions and declare the Bank insolvent if appropriate. The English court </w:t>
      </w:r>
      <w:r w:rsidR="00CD2C43">
        <w:rPr>
          <w:rFonts w:ascii="Avenir Next" w:hAnsi="Avenir Next" w:cs="Arial"/>
          <w:color w:val="000000" w:themeColor="text1"/>
          <w:sz w:val="22"/>
          <w:szCs w:val="22"/>
          <w:lang w:val="en-GB"/>
        </w:rPr>
        <w:t xml:space="preserve">has previously adjudicated that this provision focuses on the </w:t>
      </w:r>
      <w:r w:rsidR="00CD2C43">
        <w:rPr>
          <w:rFonts w:ascii="Avenir Next" w:hAnsi="Avenir Next" w:cs="Arial"/>
          <w:color w:val="000000" w:themeColor="text1"/>
          <w:sz w:val="22"/>
          <w:szCs w:val="22"/>
          <w:lang w:val="en-GB"/>
        </w:rPr>
        <w:lastRenderedPageBreak/>
        <w:t>‘purpose’ of the foreign law. If it is to deal with insolvency or dealing with financial distress then the provision is satisfied.</w:t>
      </w:r>
    </w:p>
    <w:p w14:paraId="3115A5E1" w14:textId="77777777" w:rsidR="00CD2C43" w:rsidRDefault="00CD2C43" w:rsidP="00CD2C43">
      <w:pPr>
        <w:jc w:val="both"/>
        <w:rPr>
          <w:rFonts w:ascii="Avenir Next" w:hAnsi="Avenir Next" w:cs="Arial"/>
          <w:color w:val="000000" w:themeColor="text1"/>
          <w:sz w:val="22"/>
          <w:szCs w:val="22"/>
          <w:lang w:val="en-GB"/>
        </w:rPr>
      </w:pPr>
    </w:p>
    <w:p w14:paraId="593273AB" w14:textId="0D0D0156" w:rsidR="00CD2C43" w:rsidRPr="00CD2C43" w:rsidRDefault="00CD2C43" w:rsidP="00CD2C43">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On the facts, it is clear that the proceedings being undertaken with regards to the Bank do satisfy the requirements under Article 2 of the MLCBI.</w:t>
      </w:r>
    </w:p>
    <w:p w14:paraId="70F35B67" w14:textId="430683DE" w:rsidR="00514C31" w:rsidRDefault="00514C31" w:rsidP="00707FC8">
      <w:pPr>
        <w:jc w:val="both"/>
        <w:rPr>
          <w:rFonts w:ascii="Avenir Next" w:hAnsi="Avenir Next" w:cs="Arial"/>
          <w:color w:val="000000" w:themeColor="text1"/>
          <w:sz w:val="22"/>
          <w:szCs w:val="22"/>
          <w:lang w:val="en-GB"/>
        </w:rPr>
      </w:pPr>
    </w:p>
    <w:p w14:paraId="6BFDA274" w14:textId="63C028DB" w:rsidR="00514C31" w:rsidRDefault="00CD2C43" w:rsidP="00707FC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Per Article 15 MLCBI, Mrs G needs to provide the English court with the following in support of the recognition application:</w:t>
      </w:r>
    </w:p>
    <w:p w14:paraId="5DEC4408" w14:textId="4BFAC504" w:rsidR="00CD2C43" w:rsidRDefault="00CD2C43" w:rsidP="00707FC8">
      <w:pPr>
        <w:jc w:val="both"/>
        <w:rPr>
          <w:rFonts w:ascii="Avenir Next" w:hAnsi="Avenir Next" w:cs="Arial"/>
          <w:color w:val="000000" w:themeColor="text1"/>
          <w:sz w:val="22"/>
          <w:szCs w:val="22"/>
          <w:lang w:val="en-GB"/>
        </w:rPr>
      </w:pPr>
    </w:p>
    <w:p w14:paraId="3B08BFC0" w14:textId="3DCE2699" w:rsidR="00CD2C43" w:rsidRDefault="00CD2C43" w:rsidP="00707FC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a certified copy of the decision commencing the foreign proceeding and her appointment; or</w:t>
      </w:r>
    </w:p>
    <w:p w14:paraId="28AB8563" w14:textId="2620265A" w:rsidR="00CD2C43" w:rsidRDefault="00E06DC0" w:rsidP="00707FC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 </w:t>
      </w:r>
      <w:r w:rsidR="00CD2C43">
        <w:rPr>
          <w:rFonts w:ascii="Avenir Next" w:hAnsi="Avenir Next" w:cs="Arial"/>
          <w:color w:val="000000" w:themeColor="text1"/>
          <w:sz w:val="22"/>
          <w:szCs w:val="22"/>
          <w:lang w:val="en-GB"/>
        </w:rPr>
        <w:t>A certificate from the foreign court affirming the existence of the foreign proceeding and her appointment; or</w:t>
      </w:r>
    </w:p>
    <w:p w14:paraId="59DBECA1" w14:textId="2C2D3E89" w:rsidR="00CD2C43" w:rsidRDefault="00E06DC0" w:rsidP="00707FC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 Any other evidence acceptable to the court of the existence of the foreign proceeding. </w:t>
      </w:r>
    </w:p>
    <w:p w14:paraId="5EC4D83F" w14:textId="40A8D7DB" w:rsidR="00E06DC0" w:rsidRDefault="00E06DC0" w:rsidP="00707FC8">
      <w:pPr>
        <w:jc w:val="both"/>
        <w:rPr>
          <w:rFonts w:ascii="Avenir Next" w:hAnsi="Avenir Next" w:cs="Arial"/>
          <w:color w:val="000000" w:themeColor="text1"/>
          <w:sz w:val="22"/>
          <w:szCs w:val="22"/>
          <w:lang w:val="en-GB"/>
        </w:rPr>
      </w:pPr>
    </w:p>
    <w:p w14:paraId="286DC6C6" w14:textId="24BD9377" w:rsidR="00E06DC0" w:rsidRDefault="00E06DC0" w:rsidP="00707FC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In the circumstances, a certified copy of the NB’s decision classifying the Bank as insolvent per Article 76 of the LBBA and a copy of the DGF’s resolution of 17 September 2015 appointing Mrs C as interim Administrator, and the subsequent appointment of Mrs G should suffice. </w:t>
      </w:r>
    </w:p>
    <w:p w14:paraId="17CF0C7B" w14:textId="7D1E92C3" w:rsidR="00E06DC0" w:rsidRDefault="00E06DC0" w:rsidP="00707FC8">
      <w:pPr>
        <w:jc w:val="both"/>
        <w:rPr>
          <w:rFonts w:ascii="Avenir Next" w:hAnsi="Avenir Next" w:cs="Arial"/>
          <w:color w:val="000000" w:themeColor="text1"/>
          <w:sz w:val="22"/>
          <w:szCs w:val="22"/>
          <w:lang w:val="en-GB"/>
        </w:rPr>
      </w:pPr>
    </w:p>
    <w:p w14:paraId="18F13901" w14:textId="4C4C76E5" w:rsidR="00E06DC0" w:rsidRDefault="00E06DC0" w:rsidP="00707FC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Therefore the English court should have no issue with classifying the proceedings re the Bank as ‘foreign proceedings’. The court will have to determine if the proceedings are main foreign proceedings or non-main foreign proceedings by reference to the Bank’s COMI. This classification will determine the type of relief Mrs G can request and whether it will be automatically given or at the English court’s discretion. Whilst COMI is not defined in the MLCBI, and on review of the different requirements, the fact that the Bank operated as a ‘bank’ in Country A means it is likely that the Court will determine the foreign proceedings as ‘main’ proceedings. The English proceedings centre around the alleged fraudulent activities but this may not be enough to move the COMI to England given the Bank’s customers and registered office are in Country A.</w:t>
      </w:r>
    </w:p>
    <w:p w14:paraId="2C7A1552" w14:textId="6290B45E" w:rsidR="00E06DC0" w:rsidRDefault="00E06DC0" w:rsidP="00707FC8">
      <w:pPr>
        <w:jc w:val="both"/>
        <w:rPr>
          <w:rFonts w:ascii="Avenir Next" w:hAnsi="Avenir Next" w:cs="Arial"/>
          <w:color w:val="000000" w:themeColor="text1"/>
          <w:sz w:val="22"/>
          <w:szCs w:val="22"/>
          <w:lang w:val="en-GB"/>
        </w:rPr>
      </w:pPr>
    </w:p>
    <w:p w14:paraId="64646239" w14:textId="639E0EBD" w:rsidR="00E06DC0" w:rsidRDefault="00E06DC0" w:rsidP="00707FC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With regards to Mrs G and the DGF, in order for the recognition to be granted one or both need to be classified as ‘foreign representatives’. The criteria in this regard are:</w:t>
      </w:r>
    </w:p>
    <w:p w14:paraId="41A8541C" w14:textId="71AF7BC7" w:rsidR="00E06DC0" w:rsidRDefault="00E06DC0" w:rsidP="00707FC8">
      <w:pPr>
        <w:jc w:val="both"/>
        <w:rPr>
          <w:rFonts w:ascii="Avenir Next" w:hAnsi="Avenir Next" w:cs="Arial"/>
          <w:color w:val="000000" w:themeColor="text1"/>
          <w:sz w:val="22"/>
          <w:szCs w:val="22"/>
          <w:lang w:val="en-GB"/>
        </w:rPr>
      </w:pPr>
    </w:p>
    <w:p w14:paraId="742C77AD" w14:textId="205841EA" w:rsidR="00E06DC0" w:rsidRDefault="009C7165" w:rsidP="00E06DC0">
      <w:pPr>
        <w:pStyle w:val="ListParagraph"/>
        <w:numPr>
          <w:ilvl w:val="0"/>
          <w:numId w:val="15"/>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Mrs G and/or the DGF must be ‘a person or body, including one appointed on an interim basis’;</w:t>
      </w:r>
    </w:p>
    <w:p w14:paraId="74E58359" w14:textId="7140919B" w:rsidR="009C7165" w:rsidRDefault="009C7165" w:rsidP="00E06DC0">
      <w:pPr>
        <w:pStyle w:val="ListParagraph"/>
        <w:numPr>
          <w:ilvl w:val="0"/>
          <w:numId w:val="15"/>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They must be authorised in the foreign proceeding; and</w:t>
      </w:r>
    </w:p>
    <w:p w14:paraId="551EEDA7" w14:textId="76D9F486" w:rsidR="009C7165" w:rsidRDefault="009C7165" w:rsidP="00E06DC0">
      <w:pPr>
        <w:pStyle w:val="ListParagraph"/>
        <w:numPr>
          <w:ilvl w:val="0"/>
          <w:numId w:val="15"/>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Their appointment must be to administer the reorganisation or liquidation of the Bank’s assets or affairs or to act as representative of the foreign proceeding.</w:t>
      </w:r>
    </w:p>
    <w:p w14:paraId="2286B9C9" w14:textId="224264F8" w:rsidR="009C7165" w:rsidRDefault="009C7165" w:rsidP="009C7165">
      <w:pPr>
        <w:jc w:val="both"/>
        <w:rPr>
          <w:rFonts w:ascii="Avenir Next" w:hAnsi="Avenir Next" w:cs="Arial"/>
          <w:color w:val="000000" w:themeColor="text1"/>
          <w:sz w:val="22"/>
          <w:szCs w:val="22"/>
          <w:lang w:val="en-GB"/>
        </w:rPr>
      </w:pPr>
    </w:p>
    <w:p w14:paraId="68284161" w14:textId="385CC6A6" w:rsidR="009C7165" w:rsidRDefault="009C7165" w:rsidP="009C7165">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Provisions 1 and 2 are clearly met by both Mrs G and the DGF. DGF clearly satisfies the first limb of provision 3 as the ‘liquidator’ and Mrs G satisfies the second limb of this test as the DGF’s appointed representative.</w:t>
      </w:r>
    </w:p>
    <w:p w14:paraId="5A3DB1A9" w14:textId="0BD574B1" w:rsidR="009C7165" w:rsidRDefault="009C7165" w:rsidP="009C7165">
      <w:pPr>
        <w:jc w:val="both"/>
        <w:rPr>
          <w:rFonts w:ascii="Avenir Next" w:hAnsi="Avenir Next" w:cs="Arial"/>
          <w:color w:val="000000" w:themeColor="text1"/>
          <w:sz w:val="22"/>
          <w:szCs w:val="22"/>
          <w:lang w:val="en-GB"/>
        </w:rPr>
      </w:pPr>
    </w:p>
    <w:p w14:paraId="16EA6B0B" w14:textId="4E1C462C" w:rsidR="009C7165" w:rsidRDefault="009C7165" w:rsidP="009C7165">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Per Article 2(e) MLCBI the DGF and Mrs G need not be appointed by a foreign court. Therefore their appointment under the LBBA is sufficient.</w:t>
      </w:r>
    </w:p>
    <w:p w14:paraId="2DBCE871" w14:textId="432E0474" w:rsidR="009C7165" w:rsidRDefault="009C7165" w:rsidP="009C7165">
      <w:pPr>
        <w:jc w:val="both"/>
        <w:rPr>
          <w:rFonts w:ascii="Avenir Next" w:hAnsi="Avenir Next" w:cs="Arial"/>
          <w:color w:val="000000" w:themeColor="text1"/>
          <w:sz w:val="22"/>
          <w:szCs w:val="22"/>
          <w:lang w:val="en-GB"/>
        </w:rPr>
      </w:pPr>
    </w:p>
    <w:p w14:paraId="576DA1F8" w14:textId="066D65D5" w:rsidR="009C7165" w:rsidRDefault="009C7165" w:rsidP="009C7165">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It should be noted that following the making of their application Article 18 MLCBI requires ongoing full and frank disclosure to the English court in respect of any other foreign proceedings Mrs G or the DGF are aware of and any changes in their authorisation.</w:t>
      </w:r>
    </w:p>
    <w:p w14:paraId="2DE84537" w14:textId="42B42898" w:rsidR="009C7165" w:rsidRDefault="009C7165" w:rsidP="009C7165">
      <w:pPr>
        <w:jc w:val="both"/>
        <w:rPr>
          <w:rFonts w:ascii="Avenir Next" w:hAnsi="Avenir Next" w:cs="Arial"/>
          <w:color w:val="000000" w:themeColor="text1"/>
          <w:sz w:val="22"/>
          <w:szCs w:val="22"/>
          <w:lang w:val="en-GB"/>
        </w:rPr>
      </w:pPr>
    </w:p>
    <w:p w14:paraId="1486325A" w14:textId="230AC383" w:rsidR="009C7165" w:rsidRPr="009C7165" w:rsidRDefault="009C7165" w:rsidP="009C7165">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On balance and as clearly exemplified on the facts, the recognition should be granted, potentially as a foreign main proceeding.</w:t>
      </w:r>
    </w:p>
    <w:p w14:paraId="0FE94221" w14:textId="029AB0A0" w:rsidR="00E06DC0" w:rsidRDefault="00E06DC0" w:rsidP="00707FC8">
      <w:pPr>
        <w:jc w:val="both"/>
        <w:rPr>
          <w:rFonts w:ascii="Avenir Next" w:hAnsi="Avenir Next" w:cs="Arial"/>
          <w:color w:val="000000" w:themeColor="text1"/>
          <w:sz w:val="22"/>
          <w:szCs w:val="22"/>
          <w:lang w:val="en-GB"/>
        </w:rPr>
      </w:pPr>
    </w:p>
    <w:p w14:paraId="0376AC4A" w14:textId="77777777" w:rsidR="00E06DC0" w:rsidRPr="00E2622D" w:rsidRDefault="00E06DC0"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lastRenderedPageBreak/>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8356" w14:textId="77777777" w:rsidR="00544818" w:rsidRDefault="00544818" w:rsidP="00241B44">
      <w:r>
        <w:separator/>
      </w:r>
    </w:p>
  </w:endnote>
  <w:endnote w:type="continuationSeparator" w:id="0">
    <w:p w14:paraId="03B0B1E6" w14:textId="77777777" w:rsidR="00544818" w:rsidRDefault="0054481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06A46009"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4116">
          <w:rPr>
            <w:rStyle w:val="PageNumber"/>
            <w:noProof/>
          </w:rPr>
          <w:t>14</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0B722C08" w:rsidR="000300E0" w:rsidRPr="00B46CE2" w:rsidRDefault="00F34116" w:rsidP="000300E0">
    <w:pPr>
      <w:pStyle w:val="Footer"/>
      <w:ind w:right="360"/>
      <w:rPr>
        <w:rFonts w:ascii="Avenir Next" w:hAnsi="Avenir Next"/>
        <w:sz w:val="22"/>
        <w:szCs w:val="22"/>
      </w:rPr>
    </w:pPr>
    <w:r>
      <w:rPr>
        <w:rFonts w:ascii="Avenir Next" w:hAnsi="Avenir Next"/>
        <w:sz w:val="22"/>
        <w:szCs w:val="22"/>
      </w:rPr>
      <w:t>202223-709</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C15D4" w14:textId="77777777" w:rsidR="00544818" w:rsidRDefault="00544818" w:rsidP="00241B44">
      <w:r>
        <w:separator/>
      </w:r>
    </w:p>
  </w:footnote>
  <w:footnote w:type="continuationSeparator" w:id="0">
    <w:p w14:paraId="00247795" w14:textId="77777777" w:rsidR="00544818" w:rsidRDefault="0054481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B97536"/>
    <w:multiLevelType w:val="hybridMultilevel"/>
    <w:tmpl w:val="6E38C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0281F0E"/>
    <w:multiLevelType w:val="hybridMultilevel"/>
    <w:tmpl w:val="A7665FA0"/>
    <w:lvl w:ilvl="0" w:tplc="633A0148">
      <w:start w:val="25"/>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8746208">
    <w:abstractNumId w:val="12"/>
  </w:num>
  <w:num w:numId="2" w16cid:durableId="1512715686">
    <w:abstractNumId w:val="10"/>
  </w:num>
  <w:num w:numId="3" w16cid:durableId="1980259720">
    <w:abstractNumId w:val="6"/>
  </w:num>
  <w:num w:numId="4" w16cid:durableId="2012027281">
    <w:abstractNumId w:val="2"/>
  </w:num>
  <w:num w:numId="5" w16cid:durableId="1066415638">
    <w:abstractNumId w:val="15"/>
  </w:num>
  <w:num w:numId="6" w16cid:durableId="1551379374">
    <w:abstractNumId w:val="14"/>
  </w:num>
  <w:num w:numId="7" w16cid:durableId="1579442828">
    <w:abstractNumId w:val="13"/>
  </w:num>
  <w:num w:numId="8" w16cid:durableId="629895970">
    <w:abstractNumId w:val="4"/>
  </w:num>
  <w:num w:numId="9" w16cid:durableId="1659847996">
    <w:abstractNumId w:val="5"/>
  </w:num>
  <w:num w:numId="10" w16cid:durableId="1764253491">
    <w:abstractNumId w:val="9"/>
  </w:num>
  <w:num w:numId="11" w16cid:durableId="966201707">
    <w:abstractNumId w:val="0"/>
  </w:num>
  <w:num w:numId="12" w16cid:durableId="2121141391">
    <w:abstractNumId w:val="7"/>
  </w:num>
  <w:num w:numId="13" w16cid:durableId="668288072">
    <w:abstractNumId w:val="8"/>
  </w:num>
  <w:num w:numId="14" w16cid:durableId="715203346">
    <w:abstractNumId w:val="1"/>
  </w:num>
  <w:num w:numId="15" w16cid:durableId="1473404171">
    <w:abstractNumId w:val="11"/>
  </w:num>
  <w:num w:numId="16" w16cid:durableId="147961356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18A0"/>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124"/>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85174"/>
    <w:rsid w:val="00293A7C"/>
    <w:rsid w:val="0029433F"/>
    <w:rsid w:val="00294829"/>
    <w:rsid w:val="00294F3B"/>
    <w:rsid w:val="0029690F"/>
    <w:rsid w:val="002A1EEC"/>
    <w:rsid w:val="002A2A60"/>
    <w:rsid w:val="002B1C45"/>
    <w:rsid w:val="002C13C8"/>
    <w:rsid w:val="002C3547"/>
    <w:rsid w:val="002C7CFA"/>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17904"/>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116D"/>
    <w:rsid w:val="003A2FEE"/>
    <w:rsid w:val="003B1310"/>
    <w:rsid w:val="003B170F"/>
    <w:rsid w:val="003B3C5F"/>
    <w:rsid w:val="003C089D"/>
    <w:rsid w:val="003C4471"/>
    <w:rsid w:val="003C66B1"/>
    <w:rsid w:val="003D0A6D"/>
    <w:rsid w:val="003D18BF"/>
    <w:rsid w:val="003E0B16"/>
    <w:rsid w:val="003E67D1"/>
    <w:rsid w:val="00405DC1"/>
    <w:rsid w:val="0040710D"/>
    <w:rsid w:val="004076A4"/>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211D"/>
    <w:rsid w:val="00506803"/>
    <w:rsid w:val="0050682B"/>
    <w:rsid w:val="00507AAC"/>
    <w:rsid w:val="00514C31"/>
    <w:rsid w:val="005177FE"/>
    <w:rsid w:val="0052263B"/>
    <w:rsid w:val="00524728"/>
    <w:rsid w:val="00530003"/>
    <w:rsid w:val="00530E88"/>
    <w:rsid w:val="005331CA"/>
    <w:rsid w:val="0053353F"/>
    <w:rsid w:val="00533739"/>
    <w:rsid w:val="00537970"/>
    <w:rsid w:val="00540B44"/>
    <w:rsid w:val="00540E3A"/>
    <w:rsid w:val="00544127"/>
    <w:rsid w:val="00544273"/>
    <w:rsid w:val="00544818"/>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02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17CC6"/>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6DFA"/>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069A"/>
    <w:rsid w:val="0084683C"/>
    <w:rsid w:val="008512FA"/>
    <w:rsid w:val="00853A74"/>
    <w:rsid w:val="00857763"/>
    <w:rsid w:val="00860E61"/>
    <w:rsid w:val="00862319"/>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004A"/>
    <w:rsid w:val="0090421A"/>
    <w:rsid w:val="00905A43"/>
    <w:rsid w:val="00907DC2"/>
    <w:rsid w:val="00912C79"/>
    <w:rsid w:val="009260A2"/>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C7165"/>
    <w:rsid w:val="009D0811"/>
    <w:rsid w:val="009D0EE1"/>
    <w:rsid w:val="009D30BB"/>
    <w:rsid w:val="009E2AEB"/>
    <w:rsid w:val="009E2E27"/>
    <w:rsid w:val="009E4DE3"/>
    <w:rsid w:val="00A047EE"/>
    <w:rsid w:val="00A10078"/>
    <w:rsid w:val="00A114EA"/>
    <w:rsid w:val="00A153F7"/>
    <w:rsid w:val="00A2274A"/>
    <w:rsid w:val="00A235B7"/>
    <w:rsid w:val="00A27A7A"/>
    <w:rsid w:val="00A407EF"/>
    <w:rsid w:val="00A46B4C"/>
    <w:rsid w:val="00A5117B"/>
    <w:rsid w:val="00A54000"/>
    <w:rsid w:val="00A54689"/>
    <w:rsid w:val="00A60074"/>
    <w:rsid w:val="00A6627C"/>
    <w:rsid w:val="00A70BBC"/>
    <w:rsid w:val="00A71019"/>
    <w:rsid w:val="00A80824"/>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F228E"/>
    <w:rsid w:val="00B04137"/>
    <w:rsid w:val="00B1112C"/>
    <w:rsid w:val="00B11D19"/>
    <w:rsid w:val="00B12936"/>
    <w:rsid w:val="00B14819"/>
    <w:rsid w:val="00B17AA9"/>
    <w:rsid w:val="00B32DE4"/>
    <w:rsid w:val="00B33578"/>
    <w:rsid w:val="00B370C3"/>
    <w:rsid w:val="00B411AE"/>
    <w:rsid w:val="00B46CE2"/>
    <w:rsid w:val="00B4733C"/>
    <w:rsid w:val="00B60190"/>
    <w:rsid w:val="00B61419"/>
    <w:rsid w:val="00B72F5F"/>
    <w:rsid w:val="00B736DF"/>
    <w:rsid w:val="00B74FBD"/>
    <w:rsid w:val="00B77352"/>
    <w:rsid w:val="00B82586"/>
    <w:rsid w:val="00B829A3"/>
    <w:rsid w:val="00B86DB1"/>
    <w:rsid w:val="00B87869"/>
    <w:rsid w:val="00BA0E44"/>
    <w:rsid w:val="00BA47C5"/>
    <w:rsid w:val="00BB0F2B"/>
    <w:rsid w:val="00BD0D57"/>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2C43"/>
    <w:rsid w:val="00CD3420"/>
    <w:rsid w:val="00CD4998"/>
    <w:rsid w:val="00CE1035"/>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80DF2"/>
    <w:rsid w:val="00D82010"/>
    <w:rsid w:val="00D84752"/>
    <w:rsid w:val="00D85AB0"/>
    <w:rsid w:val="00D86B3B"/>
    <w:rsid w:val="00D8748A"/>
    <w:rsid w:val="00D93196"/>
    <w:rsid w:val="00D9377C"/>
    <w:rsid w:val="00D94A4D"/>
    <w:rsid w:val="00D97A93"/>
    <w:rsid w:val="00DA1083"/>
    <w:rsid w:val="00DA26C8"/>
    <w:rsid w:val="00DB243C"/>
    <w:rsid w:val="00DB45DD"/>
    <w:rsid w:val="00DB482A"/>
    <w:rsid w:val="00DB56F2"/>
    <w:rsid w:val="00DB6EF5"/>
    <w:rsid w:val="00DC3089"/>
    <w:rsid w:val="00DC441C"/>
    <w:rsid w:val="00DC4420"/>
    <w:rsid w:val="00DC7F0F"/>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6DC0"/>
    <w:rsid w:val="00E07275"/>
    <w:rsid w:val="00E07866"/>
    <w:rsid w:val="00E07C5A"/>
    <w:rsid w:val="00E119C2"/>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A2B"/>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16"/>
    <w:rsid w:val="00F341F4"/>
    <w:rsid w:val="00F34BD7"/>
    <w:rsid w:val="00F34F9D"/>
    <w:rsid w:val="00F35CCE"/>
    <w:rsid w:val="00F55241"/>
    <w:rsid w:val="00F5524B"/>
    <w:rsid w:val="00F60538"/>
    <w:rsid w:val="00F61DD2"/>
    <w:rsid w:val="00F6523A"/>
    <w:rsid w:val="00F66AFF"/>
    <w:rsid w:val="00F71433"/>
    <w:rsid w:val="00F7241A"/>
    <w:rsid w:val="00F83E76"/>
    <w:rsid w:val="00F87BEA"/>
    <w:rsid w:val="00F90A57"/>
    <w:rsid w:val="00F91AD6"/>
    <w:rsid w:val="00F934BA"/>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3668</TotalTime>
  <Pages>17</Pages>
  <Words>6605</Words>
  <Characters>37655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Bethany Osmond</cp:lastModifiedBy>
  <cp:revision>8</cp:revision>
  <cp:lastPrinted>2019-08-27T05:42:00Z</cp:lastPrinted>
  <dcterms:created xsi:type="dcterms:W3CDTF">2023-02-01T11:03:00Z</dcterms:created>
  <dcterms:modified xsi:type="dcterms:W3CDTF">2023-02-12T16:42:00Z</dcterms:modified>
</cp:coreProperties>
</file>