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1136CD" w:rsidRDefault="00CE0ECD" w:rsidP="00B77B19">
      <w:pPr>
        <w:pStyle w:val="AODocTxt"/>
        <w:numPr>
          <w:ilvl w:val="0"/>
          <w:numId w:val="14"/>
        </w:numPr>
        <w:spacing w:before="0" w:line="240" w:lineRule="auto"/>
        <w:ind w:left="426"/>
        <w:rPr>
          <w:rFonts w:ascii="Avenir Next" w:hAnsi="Avenir Next"/>
          <w:highlight w:val="yellow"/>
        </w:rPr>
      </w:pPr>
      <w:r w:rsidRPr="001136CD">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1136CD">
        <w:rPr>
          <w:rFonts w:ascii="Avenir Next" w:hAnsi="Avenir Next"/>
          <w:highlight w:val="yellow"/>
        </w:rPr>
        <w:t>(b)</w:t>
      </w:r>
      <w:r w:rsidRPr="001136CD">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1136CD" w:rsidRDefault="00CE0ECD" w:rsidP="00097D56">
      <w:pPr>
        <w:pStyle w:val="AODocTxt"/>
        <w:numPr>
          <w:ilvl w:val="0"/>
          <w:numId w:val="16"/>
        </w:numPr>
        <w:spacing w:before="0" w:line="240" w:lineRule="auto"/>
        <w:ind w:left="426"/>
        <w:rPr>
          <w:rFonts w:ascii="Avenir Next" w:hAnsi="Avenir Next"/>
          <w:highlight w:val="yellow"/>
        </w:rPr>
      </w:pPr>
      <w:r w:rsidRPr="001136CD">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1136CD">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Pr="001136CD" w:rsidRDefault="00CE0ECD" w:rsidP="00E421C6">
      <w:pPr>
        <w:pStyle w:val="AODocTxt"/>
        <w:numPr>
          <w:ilvl w:val="0"/>
          <w:numId w:val="20"/>
        </w:numPr>
        <w:spacing w:before="0" w:line="240" w:lineRule="auto"/>
        <w:ind w:left="426"/>
        <w:rPr>
          <w:rFonts w:ascii="Avenir Next" w:hAnsi="Avenir Next"/>
          <w:highlight w:val="yellow"/>
        </w:rPr>
      </w:pPr>
      <w:r w:rsidRPr="001136CD">
        <w:rPr>
          <w:rFonts w:ascii="Avenir Next" w:hAnsi="Avenir Next"/>
          <w:highlight w:val="yellow"/>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C4932" w:rsidRDefault="00CE0ECD" w:rsidP="00E421C6">
      <w:pPr>
        <w:pStyle w:val="AODocTxt"/>
        <w:numPr>
          <w:ilvl w:val="0"/>
          <w:numId w:val="20"/>
        </w:numPr>
        <w:spacing w:before="0" w:line="240" w:lineRule="auto"/>
        <w:ind w:left="426"/>
        <w:rPr>
          <w:rFonts w:ascii="Avenir Next" w:hAnsi="Avenir Next"/>
        </w:rPr>
      </w:pPr>
      <w:r w:rsidRPr="002C4932">
        <w:rPr>
          <w:rFonts w:ascii="Avenir Next" w:hAnsi="Avenir Next"/>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1136CD" w:rsidRDefault="00CE0ECD" w:rsidP="00E421C6">
      <w:pPr>
        <w:pStyle w:val="AODocTxt"/>
        <w:numPr>
          <w:ilvl w:val="0"/>
          <w:numId w:val="22"/>
        </w:numPr>
        <w:spacing w:before="0" w:line="240" w:lineRule="auto"/>
        <w:ind w:left="426"/>
        <w:rPr>
          <w:rFonts w:ascii="Avenir Next" w:hAnsi="Avenir Next"/>
          <w:highlight w:val="yellow"/>
        </w:rPr>
      </w:pPr>
      <w:r w:rsidRPr="001136CD">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1136CD" w:rsidRDefault="00CE0ECD" w:rsidP="000346E7">
      <w:pPr>
        <w:pStyle w:val="AODocTxt"/>
        <w:numPr>
          <w:ilvl w:val="0"/>
          <w:numId w:val="24"/>
        </w:numPr>
        <w:spacing w:before="0" w:line="240" w:lineRule="auto"/>
        <w:ind w:left="426"/>
        <w:rPr>
          <w:rFonts w:ascii="Avenir Next" w:hAnsi="Avenir Next"/>
          <w:highlight w:val="yellow"/>
        </w:rPr>
      </w:pPr>
      <w:r w:rsidRPr="001136CD">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1136CD" w:rsidRDefault="00CE0ECD" w:rsidP="004830F8">
      <w:pPr>
        <w:pStyle w:val="AODocTxt"/>
        <w:numPr>
          <w:ilvl w:val="0"/>
          <w:numId w:val="26"/>
        </w:numPr>
        <w:spacing w:before="0" w:line="240" w:lineRule="auto"/>
        <w:ind w:left="426"/>
        <w:rPr>
          <w:rFonts w:ascii="Avenir Next" w:hAnsi="Avenir Next"/>
          <w:highlight w:val="yellow"/>
        </w:rPr>
      </w:pPr>
      <w:r w:rsidRPr="001136CD">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1136CD" w:rsidRDefault="00CE0ECD" w:rsidP="004830F8">
      <w:pPr>
        <w:pStyle w:val="AODocTxt"/>
        <w:numPr>
          <w:ilvl w:val="0"/>
          <w:numId w:val="28"/>
        </w:numPr>
        <w:spacing w:before="0" w:line="240" w:lineRule="auto"/>
        <w:ind w:left="426"/>
        <w:rPr>
          <w:rFonts w:ascii="Avenir Next" w:hAnsi="Avenir Next"/>
          <w:highlight w:val="yellow"/>
        </w:rPr>
      </w:pPr>
      <w:r w:rsidRPr="001136CD">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1136CD" w:rsidRDefault="00CE0ECD" w:rsidP="00AA0280">
      <w:pPr>
        <w:pStyle w:val="AODocTxt"/>
        <w:numPr>
          <w:ilvl w:val="0"/>
          <w:numId w:val="30"/>
        </w:numPr>
        <w:spacing w:before="0" w:line="240" w:lineRule="auto"/>
        <w:ind w:left="426"/>
        <w:rPr>
          <w:rFonts w:ascii="Avenir Next" w:hAnsi="Avenir Next"/>
          <w:highlight w:val="yellow"/>
        </w:rPr>
      </w:pPr>
      <w:r w:rsidRPr="001136CD">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60EAD9F3" w:rsidR="00E41578" w:rsidRPr="00E41578" w:rsidRDefault="00E926A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Setoff is when a creditor and a debtor both have claims against each other; by setting off these amounts a net amount is determined.  Setoff is not permitted in certain circumstances as it results in differential treatment of creditors with setoff rights and those without setoff rights.</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4EC1CD7D" w14:textId="46582A6E" w:rsidR="00622C36" w:rsidRDefault="00E926A6" w:rsidP="00E926A6">
      <w:pPr>
        <w:jc w:val="both"/>
        <w:rPr>
          <w:rFonts w:ascii="Avenir Next" w:hAnsi="Avenir Next"/>
        </w:rPr>
      </w:pPr>
      <w:r>
        <w:rPr>
          <w:rFonts w:ascii="Avenir Next" w:hAnsi="Avenir Next" w:cs="Arial"/>
          <w:color w:val="7B7B7B" w:themeColor="accent3" w:themeShade="BF"/>
          <w:sz w:val="22"/>
          <w:szCs w:val="22"/>
          <w:lang w:val="en-GB"/>
        </w:rPr>
        <w:t>I would review the Federal Rules of Bankruptcy Procedure, the Federal Rules of Civil Procedure and the local rules of procedure of the relevant local court.</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32038610" w:rsidR="00E41578" w:rsidRPr="00E41578" w:rsidRDefault="00E926A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absolute priority rule requires that each senior ranking category of claims is paid in full before any subsequent ranking claim receives any payment.  The rule does not apply in a cramdown as the shareholders can retain their equity without having repaid all creditors in full.</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1F157FED" w:rsidR="00E41578" w:rsidRPr="00E41578" w:rsidRDefault="00E926A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priming lien is security that is senior to or pari passu with a pre-petition lien.  A priming lien is used to secure post-petition financing.  As a condition to the grant of such lien, the interest of the existing secured creditor must be adequately protected (e.g. periodic cash payments or the provision of additional security).  </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0773DC7F" w:rsidR="00E41578" w:rsidRDefault="00E926A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a transfer of a debtor’s property made during specified periods.  The property must be returned to the state of the debtor if the value of the transferred property exceeds what the debtor would have received in a liquidation.  </w:t>
      </w:r>
    </w:p>
    <w:p w14:paraId="02DEBB19" w14:textId="35000DD9" w:rsidR="00E926A6" w:rsidRDefault="00E926A6" w:rsidP="00E41578">
      <w:pPr>
        <w:jc w:val="both"/>
        <w:rPr>
          <w:rFonts w:ascii="Avenir Next" w:hAnsi="Avenir Next" w:cs="Arial"/>
          <w:color w:val="7B7B7B" w:themeColor="accent3" w:themeShade="BF"/>
          <w:sz w:val="22"/>
          <w:szCs w:val="22"/>
          <w:lang w:val="en-GB"/>
        </w:rPr>
      </w:pPr>
    </w:p>
    <w:p w14:paraId="5E20035D" w14:textId="0E0E7105" w:rsidR="00E926A6" w:rsidRDefault="00E926A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criteria to claim a preference are: a transfer of an interest in the debtor’s property; which is for the benefit of the relevant creditor; and is on account of a debt owed by the debtor and that existed before the transfer was made.</w:t>
      </w:r>
    </w:p>
    <w:p w14:paraId="1DE8A8F8" w14:textId="6812E8FC" w:rsidR="00E926A6" w:rsidRDefault="00E926A6" w:rsidP="00E41578">
      <w:pPr>
        <w:jc w:val="both"/>
        <w:rPr>
          <w:rFonts w:ascii="Avenir Next" w:hAnsi="Avenir Next" w:cs="Arial"/>
          <w:color w:val="7B7B7B" w:themeColor="accent3" w:themeShade="BF"/>
          <w:sz w:val="22"/>
          <w:szCs w:val="22"/>
          <w:lang w:val="en-GB"/>
        </w:rPr>
      </w:pPr>
    </w:p>
    <w:p w14:paraId="3880F99E" w14:textId="6E361ADD" w:rsidR="00E926A6" w:rsidRDefault="00E926A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no need to show fault in establishing a preference claim.</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2D0FE1E5" w14:textId="77777777" w:rsidR="00E926A6" w:rsidRDefault="00E926A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bankruptcy court may enter a final order in respect of a “core” bankruptcy issue and in respect of which there are no further issues to decide.  Appeals are heard by the district court for the relevant district in which the bankruptcy court sits, although some jurisdictions have a Bankruptcy Appelleate Panel.  There is a further right of appeal to the circuit court of appeals.  </w:t>
      </w:r>
    </w:p>
    <w:p w14:paraId="062E3CA2" w14:textId="77777777" w:rsidR="00E926A6" w:rsidRDefault="00E926A6" w:rsidP="00E41578">
      <w:pPr>
        <w:jc w:val="both"/>
        <w:rPr>
          <w:rFonts w:ascii="Avenir Next" w:hAnsi="Avenir Next" w:cs="Arial"/>
          <w:color w:val="7B7B7B" w:themeColor="accent3" w:themeShade="BF"/>
          <w:sz w:val="22"/>
          <w:szCs w:val="22"/>
          <w:lang w:val="en-GB"/>
        </w:rPr>
      </w:pPr>
    </w:p>
    <w:p w14:paraId="0F2F0A99" w14:textId="74933411" w:rsidR="00E41578" w:rsidRPr="00E41578" w:rsidRDefault="00E926A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Non-final orders can be appealed with leave of the appellate court.  </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52C32F44" w:rsidR="00E41578" w:rsidRPr="00E41578" w:rsidRDefault="00E926A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provisions of the Bankruptcy Code that automatically apply within the US upon recogition of foreign main proceedings are: an automatic stay; the right of the foreign representative to operate the debtor’s business in the ordinary course; the sale, use or transfer of property outside of the ordinary course; and the avoidance of post-petition transfers and post-petition perfectionof security interests.  The foregoing may be granted by way of relief upon the recognition of non-main proceedings.  In addition, for ether foreign main or non-main proceedings, the following discretionary relief may be granted: discovery of assets and affairs; entrusting affairs of debtor with the foreign representative; and any other relief necessary to protect the assets of the debtor and the interest of creditors.</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lastRenderedPageBreak/>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51A39DB0" w:rsidR="00E41578" w:rsidRDefault="00E926A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 owe fiduciary duties of loyalty to act in the corporation’s best interests and a duty of care in making educated business decisions.  The duties are owed to the corporate and its shareholders (not to the creditors – this is also the case when the corporation is near insolvency or is in insolvency).</w:t>
      </w:r>
    </w:p>
    <w:p w14:paraId="0CE53E6F" w14:textId="4C2A6FCE" w:rsidR="00E926A6" w:rsidRDefault="00E926A6" w:rsidP="00E41578">
      <w:pPr>
        <w:jc w:val="both"/>
        <w:rPr>
          <w:rFonts w:ascii="Avenir Next" w:hAnsi="Avenir Next" w:cs="Arial"/>
          <w:color w:val="7B7B7B" w:themeColor="accent3" w:themeShade="BF"/>
          <w:sz w:val="22"/>
          <w:szCs w:val="22"/>
          <w:lang w:val="en-GB"/>
        </w:rPr>
      </w:pPr>
    </w:p>
    <w:p w14:paraId="131019B1" w14:textId="64A48F5D" w:rsidR="00E926A6" w:rsidRPr="00E41578" w:rsidRDefault="00E926A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rule the protects directors from errors of jugement is the business judgement rule – this is a rebuttable presumption that a director acted in good faith on the basis of reasonable information.</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60E8F854" w14:textId="77777777" w:rsidR="00E926A6" w:rsidRDefault="00E926A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qualify as a petitioning creditor, its claim must:</w:t>
      </w:r>
    </w:p>
    <w:p w14:paraId="3BE3ED9D" w14:textId="77777777" w:rsidR="00E926A6" w:rsidRDefault="00E926A6" w:rsidP="00F03051">
      <w:pPr>
        <w:jc w:val="both"/>
        <w:rPr>
          <w:rFonts w:ascii="Avenir Next" w:hAnsi="Avenir Next" w:cs="Arial"/>
          <w:color w:val="7B7B7B" w:themeColor="accent3" w:themeShade="BF"/>
          <w:sz w:val="22"/>
          <w:szCs w:val="22"/>
          <w:lang w:val="en-GB"/>
        </w:rPr>
      </w:pPr>
    </w:p>
    <w:p w14:paraId="60490496" w14:textId="77777777" w:rsidR="00E926A6" w:rsidRDefault="00E926A6" w:rsidP="00E926A6">
      <w:pPr>
        <w:pStyle w:val="ListParagraph"/>
        <w:numPr>
          <w:ilvl w:val="0"/>
          <w:numId w:val="32"/>
        </w:numPr>
        <w:jc w:val="both"/>
        <w:rPr>
          <w:rFonts w:ascii="Avenir Next" w:hAnsi="Avenir Next" w:cs="Arial"/>
          <w:color w:val="7B7B7B" w:themeColor="accent3" w:themeShade="BF"/>
          <w:sz w:val="22"/>
          <w:szCs w:val="22"/>
          <w:lang w:val="en-GB"/>
        </w:rPr>
      </w:pPr>
      <w:r w:rsidRPr="00E926A6">
        <w:rPr>
          <w:rFonts w:ascii="Avenir Next" w:hAnsi="Avenir Next" w:cs="Arial"/>
          <w:color w:val="7B7B7B" w:themeColor="accent3" w:themeShade="BF"/>
          <w:sz w:val="22"/>
          <w:szCs w:val="22"/>
          <w:lang w:val="en-GB"/>
        </w:rPr>
        <w:t>not be contingent</w:t>
      </w:r>
      <w:r>
        <w:rPr>
          <w:rFonts w:ascii="Avenir Next" w:hAnsi="Avenir Next" w:cs="Arial"/>
          <w:color w:val="7B7B7B" w:themeColor="accent3" w:themeShade="BF"/>
          <w:sz w:val="22"/>
          <w:szCs w:val="22"/>
          <w:lang w:val="en-GB"/>
        </w:rPr>
        <w:t xml:space="preserve"> i.e. not dependent on the occurrence of a future event (other than, in respect of an unmatured debt, the passage of time)</w:t>
      </w:r>
      <w:r w:rsidRPr="00E926A6">
        <w:rPr>
          <w:rFonts w:ascii="Avenir Next" w:hAnsi="Avenir Next" w:cs="Arial"/>
          <w:color w:val="7B7B7B" w:themeColor="accent3" w:themeShade="BF"/>
          <w:sz w:val="22"/>
          <w:szCs w:val="22"/>
          <w:lang w:val="en-GB"/>
        </w:rPr>
        <w:t>;</w:t>
      </w:r>
    </w:p>
    <w:p w14:paraId="4B190807" w14:textId="4BA1522A" w:rsidR="00E926A6" w:rsidRDefault="00E926A6" w:rsidP="00E926A6">
      <w:pPr>
        <w:pStyle w:val="ListParagraph"/>
        <w:numPr>
          <w:ilvl w:val="0"/>
          <w:numId w:val="32"/>
        </w:numPr>
        <w:jc w:val="both"/>
        <w:rPr>
          <w:rFonts w:ascii="Avenir Next" w:hAnsi="Avenir Next" w:cs="Arial"/>
          <w:color w:val="7B7B7B" w:themeColor="accent3" w:themeShade="BF"/>
          <w:sz w:val="22"/>
          <w:szCs w:val="22"/>
          <w:lang w:val="en-GB"/>
        </w:rPr>
      </w:pPr>
      <w:r w:rsidRPr="00E926A6">
        <w:rPr>
          <w:rFonts w:ascii="Avenir Next" w:hAnsi="Avenir Next" w:cs="Arial"/>
          <w:color w:val="7B7B7B" w:themeColor="accent3" w:themeShade="BF"/>
          <w:sz w:val="22"/>
          <w:szCs w:val="22"/>
          <w:lang w:val="en-GB"/>
        </w:rPr>
        <w:t>not be the subject of a bona fide dispute as to liability or amount</w:t>
      </w:r>
      <w:r>
        <w:rPr>
          <w:rFonts w:ascii="Avenir Next" w:hAnsi="Avenir Next" w:cs="Arial"/>
          <w:color w:val="7B7B7B" w:themeColor="accent3" w:themeShade="BF"/>
          <w:sz w:val="22"/>
          <w:szCs w:val="22"/>
          <w:lang w:val="en-GB"/>
        </w:rPr>
        <w:t xml:space="preserve"> i.e. an objectively reasonable basis for the dispute as a matter of law or fact</w:t>
      </w:r>
      <w:r w:rsidRPr="00E926A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and</w:t>
      </w:r>
    </w:p>
    <w:p w14:paraId="30894E24" w14:textId="0162EC8A" w:rsidR="00F03051" w:rsidRPr="00E926A6" w:rsidRDefault="00E926A6" w:rsidP="00E926A6">
      <w:pPr>
        <w:pStyle w:val="ListParagraph"/>
        <w:numPr>
          <w:ilvl w:val="0"/>
          <w:numId w:val="32"/>
        </w:numPr>
        <w:jc w:val="both"/>
        <w:rPr>
          <w:rFonts w:ascii="Avenir Next" w:hAnsi="Avenir Next" w:cs="Arial"/>
          <w:color w:val="7B7B7B" w:themeColor="accent3" w:themeShade="BF"/>
          <w:sz w:val="22"/>
          <w:szCs w:val="22"/>
          <w:lang w:val="en-GB"/>
        </w:rPr>
      </w:pPr>
      <w:r w:rsidRPr="00E926A6">
        <w:rPr>
          <w:rFonts w:ascii="Avenir Next" w:hAnsi="Avenir Next" w:cs="Arial"/>
          <w:color w:val="7B7B7B" w:themeColor="accent3" w:themeShade="BF"/>
          <w:sz w:val="22"/>
          <w:szCs w:val="22"/>
          <w:lang w:val="en-GB"/>
        </w:rPr>
        <w:t xml:space="preserve">be at least for USD16,750 in aggregate with other petitioning creditor claims.  </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00E4B6BD" w14:textId="20A56D23" w:rsidR="00EF487B" w:rsidRPr="00EF487B" w:rsidRDefault="00EF487B" w:rsidP="00EF487B">
      <w:pPr>
        <w:pStyle w:val="ListParagraph"/>
        <w:numPr>
          <w:ilvl w:val="0"/>
          <w:numId w:val="33"/>
        </w:numPr>
        <w:jc w:val="both"/>
        <w:rPr>
          <w:rFonts w:ascii="Avenir Next" w:hAnsi="Avenir Next" w:cs="Arial"/>
          <w:color w:val="7B7B7B" w:themeColor="accent3" w:themeShade="BF"/>
          <w:sz w:val="22"/>
          <w:szCs w:val="22"/>
          <w:lang w:val="en-GB"/>
        </w:rPr>
      </w:pPr>
      <w:r w:rsidRPr="00EF487B">
        <w:rPr>
          <w:rFonts w:ascii="Avenir Next" w:hAnsi="Avenir Next" w:cs="Arial"/>
          <w:color w:val="7B7B7B" w:themeColor="accent3" w:themeShade="BF"/>
          <w:sz w:val="22"/>
          <w:szCs w:val="22"/>
          <w:lang w:val="en-GB"/>
        </w:rPr>
        <w:t>DOJ investigation:</w:t>
      </w:r>
      <w:r w:rsidR="0070656A">
        <w:rPr>
          <w:rFonts w:ascii="Avenir Next" w:hAnsi="Avenir Next" w:cs="Arial"/>
          <w:color w:val="7B7B7B" w:themeColor="accent3" w:themeShade="BF"/>
          <w:sz w:val="22"/>
          <w:szCs w:val="22"/>
          <w:lang w:val="en-GB"/>
        </w:rPr>
        <w:t xml:space="preserve"> this regulatory investigation will not be subject to the stay arising from the Chapter 11 petition.</w:t>
      </w:r>
    </w:p>
    <w:p w14:paraId="64B31421" w14:textId="580CF5E2" w:rsidR="00EF487B" w:rsidRDefault="00EF487B" w:rsidP="00EF487B">
      <w:pPr>
        <w:pStyle w:val="ListParagraph"/>
        <w:numPr>
          <w:ilvl w:val="0"/>
          <w:numId w:val="33"/>
        </w:numPr>
        <w:jc w:val="both"/>
        <w:rPr>
          <w:rFonts w:ascii="Avenir Next" w:hAnsi="Avenir Next" w:cs="Arial"/>
          <w:color w:val="7B7B7B" w:themeColor="accent3" w:themeShade="BF"/>
          <w:sz w:val="22"/>
          <w:szCs w:val="22"/>
          <w:lang w:val="en-GB"/>
        </w:rPr>
      </w:pPr>
      <w:r w:rsidRPr="00EF487B">
        <w:rPr>
          <w:rFonts w:ascii="Avenir Next" w:hAnsi="Avenir Next" w:cs="Arial"/>
          <w:color w:val="7B7B7B" w:themeColor="accent3" w:themeShade="BF"/>
          <w:sz w:val="22"/>
          <w:szCs w:val="22"/>
          <w:lang w:val="en-GB"/>
        </w:rPr>
        <w:t>margin loan default</w:t>
      </w:r>
      <w:r>
        <w:rPr>
          <w:rFonts w:ascii="Avenir Next" w:hAnsi="Avenir Next" w:cs="Arial"/>
          <w:color w:val="7B7B7B" w:themeColor="accent3" w:themeShade="BF"/>
          <w:sz w:val="22"/>
          <w:szCs w:val="22"/>
          <w:lang w:val="en-GB"/>
        </w:rPr>
        <w:t>:</w:t>
      </w:r>
      <w:r w:rsidR="0070656A">
        <w:rPr>
          <w:rFonts w:ascii="Avenir Next" w:hAnsi="Avenir Next" w:cs="Arial"/>
          <w:color w:val="7B7B7B" w:themeColor="accent3" w:themeShade="BF"/>
          <w:sz w:val="22"/>
          <w:szCs w:val="22"/>
          <w:lang w:val="en-GB"/>
        </w:rPr>
        <w:t xml:space="preserve"> the broker will be subject to the stay and will not be able to enforce on the share collateral or on the declaration of default.</w:t>
      </w:r>
    </w:p>
    <w:p w14:paraId="6D5D154A" w14:textId="4320B238" w:rsidR="00EF487B" w:rsidRDefault="00EF487B" w:rsidP="00EF487B">
      <w:pPr>
        <w:pStyle w:val="ListParagraph"/>
        <w:numPr>
          <w:ilvl w:val="0"/>
          <w:numId w:val="33"/>
        </w:numPr>
        <w:jc w:val="both"/>
        <w:rPr>
          <w:rFonts w:ascii="Avenir Next" w:hAnsi="Avenir Next" w:cs="Arial"/>
          <w:color w:val="7B7B7B" w:themeColor="accent3" w:themeShade="BF"/>
          <w:sz w:val="22"/>
          <w:szCs w:val="22"/>
          <w:lang w:val="en-GB"/>
        </w:rPr>
      </w:pPr>
      <w:r w:rsidRPr="00EF487B">
        <w:rPr>
          <w:rFonts w:ascii="Avenir Next" w:hAnsi="Avenir Next" w:cs="Arial"/>
          <w:color w:val="7B7B7B" w:themeColor="accent3" w:themeShade="BF"/>
          <w:sz w:val="22"/>
          <w:szCs w:val="22"/>
          <w:lang w:val="en-GB"/>
        </w:rPr>
        <w:t>delinquent lease</w:t>
      </w:r>
      <w:r>
        <w:rPr>
          <w:rFonts w:ascii="Avenir Next" w:hAnsi="Avenir Next" w:cs="Arial"/>
          <w:color w:val="7B7B7B" w:themeColor="accent3" w:themeShade="BF"/>
          <w:sz w:val="22"/>
          <w:szCs w:val="22"/>
          <w:lang w:val="en-GB"/>
        </w:rPr>
        <w:t>:</w:t>
      </w:r>
      <w:r w:rsidR="0070656A">
        <w:rPr>
          <w:rFonts w:ascii="Avenir Next" w:hAnsi="Avenir Next" w:cs="Arial"/>
          <w:color w:val="7B7B7B" w:themeColor="accent3" w:themeShade="BF"/>
          <w:sz w:val="22"/>
          <w:szCs w:val="22"/>
          <w:lang w:val="en-GB"/>
        </w:rPr>
        <w:t xml:space="preserve"> the lease will be subject to the stay and will prevent the landlord taking possession or control of the property.  The lease is an executory contract and will be assignable as part of the Chapter 11 reorganisation.</w:t>
      </w:r>
    </w:p>
    <w:p w14:paraId="1747F499" w14:textId="40C1BABB" w:rsidR="00F03051" w:rsidRDefault="00EF487B" w:rsidP="00EF487B">
      <w:pPr>
        <w:pStyle w:val="ListParagraph"/>
        <w:numPr>
          <w:ilvl w:val="0"/>
          <w:numId w:val="33"/>
        </w:numPr>
        <w:jc w:val="both"/>
        <w:rPr>
          <w:rFonts w:ascii="Avenir Next" w:hAnsi="Avenir Next" w:cs="Arial"/>
          <w:color w:val="7B7B7B" w:themeColor="accent3" w:themeShade="BF"/>
          <w:sz w:val="22"/>
          <w:szCs w:val="22"/>
          <w:lang w:val="en-GB"/>
        </w:rPr>
      </w:pPr>
      <w:r w:rsidRPr="00EF487B">
        <w:rPr>
          <w:rFonts w:ascii="Avenir Next" w:hAnsi="Avenir Next" w:cs="Arial"/>
          <w:color w:val="7B7B7B" w:themeColor="accent3" w:themeShade="BF"/>
          <w:sz w:val="22"/>
          <w:szCs w:val="22"/>
          <w:lang w:val="en-GB"/>
        </w:rPr>
        <w:t>em</w:t>
      </w:r>
      <w:r>
        <w:rPr>
          <w:rFonts w:ascii="Avenir Next" w:hAnsi="Avenir Next" w:cs="Arial"/>
          <w:color w:val="7B7B7B" w:themeColor="accent3" w:themeShade="BF"/>
          <w:sz w:val="22"/>
          <w:szCs w:val="22"/>
          <w:lang w:val="en-GB"/>
        </w:rPr>
        <w:t>ployment discrimination lawsuit:</w:t>
      </w:r>
      <w:r w:rsidR="0070656A">
        <w:rPr>
          <w:rFonts w:ascii="Avenir Next" w:hAnsi="Avenir Next" w:cs="Arial"/>
          <w:color w:val="7B7B7B" w:themeColor="accent3" w:themeShade="BF"/>
          <w:sz w:val="22"/>
          <w:szCs w:val="22"/>
          <w:lang w:val="en-GB"/>
        </w:rPr>
        <w:t xml:space="preserve"> the stay will prevent further action in respect of the discrimination claim.  The contract is not executory and therefore not assignable as it relates to a claim of a former employee.</w:t>
      </w:r>
    </w:p>
    <w:p w14:paraId="17EC8213" w14:textId="49EEE679" w:rsidR="00EF487B" w:rsidRDefault="00EF487B" w:rsidP="00EF487B">
      <w:pPr>
        <w:jc w:val="both"/>
        <w:rPr>
          <w:rFonts w:ascii="Avenir Next" w:hAnsi="Avenir Next" w:cs="Arial"/>
          <w:color w:val="7B7B7B" w:themeColor="accent3" w:themeShade="BF"/>
          <w:sz w:val="22"/>
          <w:szCs w:val="22"/>
          <w:lang w:val="en-GB"/>
        </w:rPr>
      </w:pPr>
    </w:p>
    <w:p w14:paraId="6D0C7EEE" w14:textId="77777777" w:rsidR="00EF487B" w:rsidRPr="00EF487B" w:rsidRDefault="00EF487B" w:rsidP="00EF487B">
      <w:pPr>
        <w:jc w:val="both"/>
        <w:rPr>
          <w:rFonts w:ascii="Avenir Next" w:hAnsi="Avenir Next" w:cs="Arial"/>
          <w:color w:val="7B7B7B" w:themeColor="accent3" w:themeShade="BF"/>
          <w:sz w:val="22"/>
          <w:szCs w:val="22"/>
          <w:lang w:val="en-GB"/>
        </w:rPr>
      </w:pP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3D37CABD" w14:textId="37D54912" w:rsidR="0070656A" w:rsidRPr="00E41578" w:rsidRDefault="0070656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unclear if the English scheme will be recognised by a US bankruptcy court under Chapter 15.  The English scheme falls within the requirements of a “collective judicial or administrative proceeding in a foreign country”.  The requirements for recognition are limited to the foreign representative showing that the foreign proceedings are pending and that the foreign representative is empowered to act by the foreign proceedings.  However, to determine if the English scheme is a foreign main proceeding or a foreign non-main proceeding, it is necessary to determine if England is the debtor’s centre of main interest.  There is a rebuttable presumption that the COMI is Stella SA’s country of incorporation – in this case France.  Other factors are relevant and COMI can be established on the basis that English law governs two of the material contracts that Stella SA is party to.  This suggests that the English scheme of arrangment may be recognised as the foreign main proceedings.  For the recognition of foreign non-main proceedings requires that Stella SA has an establishment in England – it is not clear from the facts that this is the case.</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6C2C5BA7" w:rsidR="00F03051" w:rsidRPr="00E41578" w:rsidRDefault="00FE31B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licence is an executory contract. There are material obligations for both parties to fulfil under the contract.  As this is a licence of patents, in the event of a purported/ proposed sale of the licences by GameMart, the licences cannot be assigned without the consent of ToyCo.  </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165EA746" w14:textId="7A6BF778" w:rsidR="00E01803" w:rsidRDefault="00FE31B0" w:rsidP="000778B1">
      <w:pPr>
        <w:pStyle w:val="AODocTxt"/>
        <w:spacing w:before="0" w:line="240" w:lineRule="auto"/>
        <w:rPr>
          <w:rFonts w:ascii="Avenir Next" w:hAnsi="Avenir Next"/>
        </w:rPr>
      </w:pPr>
      <w:r>
        <w:rPr>
          <w:rFonts w:ascii="Avenir Next" w:hAnsi="Avenir Next" w:cs="Arial"/>
          <w:color w:val="7B7B7B" w:themeColor="accent3" w:themeShade="BF"/>
          <w:lang w:val="en-GB"/>
        </w:rPr>
        <w:t xml:space="preserve">As this is a licence of patents, in the event of a purported/ proposed sale of the licences by GameMart, </w:t>
      </w:r>
      <w:r>
        <w:rPr>
          <w:rFonts w:ascii="Avenir Next" w:hAnsi="Avenir Next" w:cs="Arial"/>
          <w:color w:val="7B7B7B" w:themeColor="accent3" w:themeShade="BF"/>
          <w:lang w:val="en-GB"/>
        </w:rPr>
        <w:t>in accordance with US case law (</w:t>
      </w:r>
      <w:r w:rsidRPr="00FE31B0">
        <w:rPr>
          <w:rFonts w:ascii="Avenir Next" w:hAnsi="Avenir Next" w:cs="Arial"/>
          <w:i/>
          <w:color w:val="7B7B7B" w:themeColor="accent3" w:themeShade="BF"/>
          <w:lang w:val="en-GB"/>
        </w:rPr>
        <w:t>In re Trump</w:t>
      </w:r>
      <w:r>
        <w:rPr>
          <w:rFonts w:ascii="Avenir Next" w:hAnsi="Avenir Next" w:cs="Arial"/>
          <w:color w:val="7B7B7B" w:themeColor="accent3" w:themeShade="BF"/>
          <w:lang w:val="en-GB"/>
        </w:rPr>
        <w:t xml:space="preserve">) </w:t>
      </w:r>
      <w:r>
        <w:rPr>
          <w:rFonts w:ascii="Avenir Next" w:hAnsi="Avenir Next" w:cs="Arial"/>
          <w:color w:val="7B7B7B" w:themeColor="accent3" w:themeShade="BF"/>
          <w:lang w:val="en-GB"/>
        </w:rPr>
        <w:t>the licences cannot be assigned without the consent of ToyCo.</w:t>
      </w: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420357D8" w:rsidR="00F03051" w:rsidRPr="00E41578" w:rsidRDefault="00FE31B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Notwithstanding that the lease states that it is not </w:t>
      </w:r>
      <w:r w:rsidRPr="00FE31B0">
        <w:rPr>
          <w:rFonts w:ascii="Avenir Next" w:hAnsi="Avenir Next" w:cs="Arial"/>
          <w:color w:val="7B7B7B" w:themeColor="accent3" w:themeShade="BF"/>
          <w:sz w:val="22"/>
          <w:szCs w:val="22"/>
          <w:lang w:val="en-GB"/>
        </w:rPr>
        <w:t>assign</w:t>
      </w:r>
      <w:r>
        <w:rPr>
          <w:rFonts w:ascii="Avenir Next" w:hAnsi="Avenir Next" w:cs="Arial"/>
          <w:color w:val="7B7B7B" w:themeColor="accent3" w:themeShade="BF"/>
          <w:sz w:val="22"/>
          <w:szCs w:val="22"/>
          <w:lang w:val="en-GB"/>
        </w:rPr>
        <w:t xml:space="preserve">able </w:t>
      </w:r>
      <w:r w:rsidRPr="00FE31B0">
        <w:rPr>
          <w:rFonts w:ascii="Avenir Next" w:hAnsi="Avenir Next" w:cs="Arial"/>
          <w:color w:val="7B7B7B" w:themeColor="accent3" w:themeShade="BF"/>
          <w:sz w:val="22"/>
          <w:szCs w:val="22"/>
          <w:lang w:val="en-GB"/>
        </w:rPr>
        <w:t>without Land Corp’s consent</w:t>
      </w:r>
      <w:r>
        <w:rPr>
          <w:rFonts w:ascii="Avenir Next" w:hAnsi="Avenir Next" w:cs="Arial"/>
          <w:color w:val="7B7B7B" w:themeColor="accent3" w:themeShade="BF"/>
          <w:sz w:val="22"/>
          <w:szCs w:val="22"/>
          <w:lang w:val="en-GB"/>
        </w:rPr>
        <w:t>, as part of the 363 sale it is an executory contract and is assignable without consent.</w:t>
      </w:r>
      <w:bookmarkStart w:id="1" w:name="_GoBack"/>
      <w:bookmarkEnd w:id="1"/>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28468FE5"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FE31B0">
          <w:rPr>
            <w:rStyle w:val="PageNumber"/>
            <w:rFonts w:ascii="Avenir Next" w:hAnsi="Avenir Next" w:cs="Arial"/>
            <w:noProof/>
            <w:sz w:val="22"/>
            <w:szCs w:val="22"/>
          </w:rPr>
          <w:t>10</w:t>
        </w:r>
        <w:r w:rsidRPr="00494B81">
          <w:rPr>
            <w:rStyle w:val="PageNumber"/>
            <w:rFonts w:ascii="Avenir Next" w:hAnsi="Avenir Next" w:cs="Arial"/>
            <w:sz w:val="22"/>
            <w:szCs w:val="22"/>
          </w:rPr>
          <w:fldChar w:fldCharType="end"/>
        </w:r>
      </w:p>
    </w:sdtContent>
  </w:sdt>
  <w:p w14:paraId="30F05E79" w14:textId="27126914" w:rsidR="00241FA3" w:rsidRPr="00494B81" w:rsidRDefault="00C30AFC" w:rsidP="009B4976">
    <w:pPr>
      <w:pStyle w:val="Footer"/>
      <w:ind w:right="360"/>
      <w:rPr>
        <w:rFonts w:ascii="Avenir Next" w:hAnsi="Avenir Next" w:cs="Arial"/>
        <w:sz w:val="22"/>
        <w:szCs w:val="22"/>
        <w:lang w:val="en-GB"/>
      </w:rPr>
    </w:pPr>
    <w:r w:rsidRPr="00C30AFC">
      <w:rPr>
        <w:rFonts w:ascii="Avenir Next" w:hAnsi="Avenir Next" w:cs="Arial"/>
        <w:sz w:val="22"/>
        <w:szCs w:val="22"/>
        <w:lang w:val="en-GB"/>
      </w:rPr>
      <w:t>202122-551</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C6F54"/>
    <w:multiLevelType w:val="hybridMultilevel"/>
    <w:tmpl w:val="6104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F3A61"/>
    <w:multiLevelType w:val="hybridMultilevel"/>
    <w:tmpl w:val="6E2C0F1C"/>
    <w:lvl w:ilvl="0" w:tplc="411C50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6"/>
  </w:num>
  <w:num w:numId="3">
    <w:abstractNumId w:val="4"/>
  </w:num>
  <w:num w:numId="4">
    <w:abstractNumId w:val="8"/>
  </w:num>
  <w:num w:numId="5">
    <w:abstractNumId w:val="10"/>
  </w:num>
  <w:num w:numId="6">
    <w:abstractNumId w:val="29"/>
  </w:num>
  <w:num w:numId="7">
    <w:abstractNumId w:val="5"/>
  </w:num>
  <w:num w:numId="8">
    <w:abstractNumId w:val="31"/>
  </w:num>
  <w:num w:numId="9">
    <w:abstractNumId w:val="11"/>
  </w:num>
  <w:num w:numId="10">
    <w:abstractNumId w:val="24"/>
  </w:num>
  <w:num w:numId="11">
    <w:abstractNumId w:val="13"/>
  </w:num>
  <w:num w:numId="12">
    <w:abstractNumId w:val="21"/>
  </w:num>
  <w:num w:numId="13">
    <w:abstractNumId w:val="0"/>
  </w:num>
  <w:num w:numId="14">
    <w:abstractNumId w:val="9"/>
  </w:num>
  <w:num w:numId="15">
    <w:abstractNumId w:val="17"/>
  </w:num>
  <w:num w:numId="16">
    <w:abstractNumId w:val="7"/>
  </w:num>
  <w:num w:numId="17">
    <w:abstractNumId w:val="3"/>
  </w:num>
  <w:num w:numId="18">
    <w:abstractNumId w:val="2"/>
  </w:num>
  <w:num w:numId="19">
    <w:abstractNumId w:val="27"/>
  </w:num>
  <w:num w:numId="20">
    <w:abstractNumId w:val="6"/>
  </w:num>
  <w:num w:numId="21">
    <w:abstractNumId w:val="23"/>
  </w:num>
  <w:num w:numId="22">
    <w:abstractNumId w:val="32"/>
  </w:num>
  <w:num w:numId="23">
    <w:abstractNumId w:val="12"/>
  </w:num>
  <w:num w:numId="24">
    <w:abstractNumId w:val="28"/>
  </w:num>
  <w:num w:numId="25">
    <w:abstractNumId w:val="18"/>
  </w:num>
  <w:num w:numId="26">
    <w:abstractNumId w:val="19"/>
  </w:num>
  <w:num w:numId="27">
    <w:abstractNumId w:val="15"/>
  </w:num>
  <w:num w:numId="28">
    <w:abstractNumId w:val="30"/>
  </w:num>
  <w:num w:numId="29">
    <w:abstractNumId w:val="1"/>
  </w:num>
  <w:num w:numId="30">
    <w:abstractNumId w:val="16"/>
  </w:num>
  <w:num w:numId="31">
    <w:abstractNumId w:val="20"/>
  </w:num>
  <w:num w:numId="32">
    <w:abstractNumId w:val="14"/>
  </w:num>
  <w:num w:numId="3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548"/>
    <w:rsid w:val="000A7A3D"/>
    <w:rsid w:val="000B5FF1"/>
    <w:rsid w:val="000B609F"/>
    <w:rsid w:val="000C4C5B"/>
    <w:rsid w:val="000D55A8"/>
    <w:rsid w:val="000E4841"/>
    <w:rsid w:val="000F1677"/>
    <w:rsid w:val="000F3D6C"/>
    <w:rsid w:val="000F7FC2"/>
    <w:rsid w:val="00101707"/>
    <w:rsid w:val="00102CC9"/>
    <w:rsid w:val="001136CD"/>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2F7B"/>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009F"/>
    <w:rsid w:val="00284EBE"/>
    <w:rsid w:val="002903A7"/>
    <w:rsid w:val="0029433F"/>
    <w:rsid w:val="00294829"/>
    <w:rsid w:val="0029690F"/>
    <w:rsid w:val="00297C8A"/>
    <w:rsid w:val="002A2A60"/>
    <w:rsid w:val="002A37BB"/>
    <w:rsid w:val="002B1AE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656A"/>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0AD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6DB1"/>
    <w:rsid w:val="00B87869"/>
    <w:rsid w:val="00B9639B"/>
    <w:rsid w:val="00BB0F2B"/>
    <w:rsid w:val="00BD4A58"/>
    <w:rsid w:val="00BD7337"/>
    <w:rsid w:val="00BE4FF3"/>
    <w:rsid w:val="00BF50F7"/>
    <w:rsid w:val="00C02F29"/>
    <w:rsid w:val="00C05A9F"/>
    <w:rsid w:val="00C20AFE"/>
    <w:rsid w:val="00C22A25"/>
    <w:rsid w:val="00C30AFC"/>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6F0"/>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7269F"/>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26A6"/>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487B"/>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31B0"/>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9BE0-C134-4875-9217-8B7784D4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10</Pages>
  <Words>3409</Words>
  <Characters>17046</Characters>
  <Application>Microsoft Office Word</Application>
  <DocSecurity>0</DocSecurity>
  <Lines>852</Lines>
  <Paragraphs>974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_</cp:lastModifiedBy>
  <cp:revision>12</cp:revision>
  <cp:lastPrinted>2019-08-27T05:42:00Z</cp:lastPrinted>
  <dcterms:created xsi:type="dcterms:W3CDTF">2023-02-11T04:56:00Z</dcterms:created>
  <dcterms:modified xsi:type="dcterms:W3CDTF">2023-02-12T09:52:00Z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2/12/2023 5:52:44 PM</vt:lpwstr>
  </property>
</Properties>
</file>