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8B5D0F" w:rsidRDefault="00AE5B6F" w:rsidP="00B04033">
      <w:pPr>
        <w:pStyle w:val="ListParagraph"/>
        <w:numPr>
          <w:ilvl w:val="0"/>
          <w:numId w:val="1"/>
        </w:numPr>
        <w:ind w:left="426"/>
        <w:jc w:val="both"/>
        <w:rPr>
          <w:rFonts w:ascii="Avenir Next" w:hAnsi="Avenir Next" w:cs="Arial"/>
          <w:sz w:val="22"/>
          <w:szCs w:val="22"/>
          <w:highlight w:val="yellow"/>
          <w:lang w:val="en-GB"/>
        </w:rPr>
      </w:pPr>
      <w:r w:rsidRPr="008B5D0F">
        <w:rPr>
          <w:rFonts w:ascii="Avenir Next" w:hAnsi="Avenir Next" w:cs="Arial"/>
          <w:sz w:val="22"/>
          <w:szCs w:val="22"/>
          <w:highlight w:val="yellow"/>
          <w:lang w:val="en-GB"/>
        </w:rPr>
        <w:t>w</w:t>
      </w:r>
      <w:r w:rsidR="00C91062" w:rsidRPr="008B5D0F">
        <w:rPr>
          <w:rFonts w:ascii="Avenir Next" w:hAnsi="Avenir Next" w:cs="Arial"/>
          <w:sz w:val="22"/>
          <w:szCs w:val="22"/>
          <w:highlight w:val="yellow"/>
          <w:lang w:val="en-GB"/>
        </w:rPr>
        <w:t>ithin 8 weeks of the commencement of the administration</w:t>
      </w:r>
      <w:r w:rsidR="00763348" w:rsidRPr="008B5D0F">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8B5D0F" w:rsidRDefault="00E443D7" w:rsidP="00B04033">
      <w:pPr>
        <w:pStyle w:val="ListParagraph"/>
        <w:numPr>
          <w:ilvl w:val="0"/>
          <w:numId w:val="2"/>
        </w:numPr>
        <w:ind w:left="426"/>
        <w:jc w:val="both"/>
        <w:rPr>
          <w:rFonts w:ascii="Avenir Next" w:hAnsi="Avenir Next" w:cs="Arial"/>
          <w:sz w:val="22"/>
          <w:szCs w:val="22"/>
          <w:highlight w:val="yellow"/>
          <w:lang w:val="en-GB"/>
        </w:rPr>
      </w:pPr>
      <w:r w:rsidRPr="008B5D0F">
        <w:rPr>
          <w:rFonts w:ascii="Avenir Next" w:hAnsi="Avenir Next" w:cs="Arial"/>
          <w:sz w:val="22"/>
          <w:szCs w:val="22"/>
          <w:highlight w:val="yellow"/>
          <w:lang w:val="en-GB"/>
        </w:rPr>
        <w:t>One year</w:t>
      </w:r>
      <w:r w:rsidR="00763348" w:rsidRPr="008B5D0F">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48E06287" w14:textId="6330B39A" w:rsidR="0038410E" w:rsidRDefault="0038410E" w:rsidP="00C55824">
      <w:pPr>
        <w:ind w:left="66"/>
        <w:jc w:val="both"/>
        <w:rPr>
          <w:rFonts w:ascii="Avenir Next" w:hAnsi="Avenir Next" w:cs="Arial"/>
          <w:iCs/>
          <w:sz w:val="22"/>
          <w:szCs w:val="22"/>
          <w:lang w:val="en-GB"/>
        </w:rPr>
      </w:pPr>
    </w:p>
    <w:p w14:paraId="5E66FDA0" w14:textId="301CC56F" w:rsidR="0038410E" w:rsidRDefault="0038410E" w:rsidP="00C55824">
      <w:pPr>
        <w:ind w:left="66"/>
        <w:jc w:val="both"/>
        <w:rPr>
          <w:rFonts w:ascii="Avenir Next" w:hAnsi="Avenir Next" w:cs="Arial"/>
          <w:iCs/>
          <w:sz w:val="22"/>
          <w:szCs w:val="22"/>
          <w:lang w:val="en-GB"/>
        </w:rPr>
      </w:pP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lastRenderedPageBreak/>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8B5D0F" w:rsidRDefault="00AE5B6F" w:rsidP="00B04033">
      <w:pPr>
        <w:pStyle w:val="ListParagraph"/>
        <w:numPr>
          <w:ilvl w:val="0"/>
          <w:numId w:val="3"/>
        </w:numPr>
        <w:ind w:left="426"/>
        <w:jc w:val="both"/>
        <w:rPr>
          <w:rFonts w:ascii="Avenir Next" w:hAnsi="Avenir Next" w:cs="Arial"/>
          <w:sz w:val="22"/>
          <w:szCs w:val="22"/>
          <w:highlight w:val="yellow"/>
          <w:lang w:val="en-GB"/>
        </w:rPr>
      </w:pPr>
      <w:r w:rsidRPr="008B5D0F">
        <w:rPr>
          <w:rFonts w:ascii="Avenir Next" w:hAnsi="Avenir Next" w:cs="Arial"/>
          <w:sz w:val="22"/>
          <w:szCs w:val="22"/>
          <w:highlight w:val="yellow"/>
          <w:lang w:val="en-GB"/>
        </w:rPr>
        <w:t>T</w:t>
      </w:r>
      <w:r w:rsidR="008D1616" w:rsidRPr="008B5D0F">
        <w:rPr>
          <w:rFonts w:ascii="Avenir Next" w:hAnsi="Avenir Next" w:cs="Arial"/>
          <w:sz w:val="22"/>
          <w:szCs w:val="22"/>
          <w:highlight w:val="yellow"/>
          <w:lang w:val="en-GB"/>
        </w:rPr>
        <w:t>he company is, or is likely to become, unable to pay their debts, as defined under s</w:t>
      </w:r>
      <w:r w:rsidR="00E833F4" w:rsidRPr="008B5D0F">
        <w:rPr>
          <w:rFonts w:ascii="Avenir Next" w:hAnsi="Avenir Next" w:cs="Arial"/>
          <w:sz w:val="22"/>
          <w:szCs w:val="22"/>
          <w:highlight w:val="yellow"/>
          <w:lang w:val="en-GB"/>
        </w:rPr>
        <w:t>ection</w:t>
      </w:r>
      <w:r w:rsidR="008D1616" w:rsidRPr="008B5D0F">
        <w:rPr>
          <w:rFonts w:ascii="Avenir Next" w:hAnsi="Avenir Next" w:cs="Arial"/>
          <w:sz w:val="22"/>
          <w:szCs w:val="22"/>
          <w:highlight w:val="yellow"/>
          <w:lang w:val="en-GB"/>
        </w:rPr>
        <w:t xml:space="preserve"> 123 of the Insolvency Act 1986</w:t>
      </w:r>
      <w:r w:rsidR="00763348" w:rsidRPr="008B5D0F">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8B5D0F" w:rsidRDefault="00C91062" w:rsidP="00B04033">
      <w:pPr>
        <w:pStyle w:val="ListParagraph"/>
        <w:numPr>
          <w:ilvl w:val="0"/>
          <w:numId w:val="4"/>
        </w:numPr>
        <w:ind w:left="426"/>
        <w:jc w:val="both"/>
        <w:rPr>
          <w:rFonts w:ascii="Avenir Next" w:hAnsi="Avenir Next" w:cs="Arial"/>
          <w:sz w:val="22"/>
          <w:szCs w:val="22"/>
          <w:highlight w:val="yellow"/>
          <w:lang w:val="en-GB"/>
        </w:rPr>
      </w:pPr>
      <w:r w:rsidRPr="008B5D0F">
        <w:rPr>
          <w:rFonts w:ascii="Avenir Next" w:hAnsi="Avenir Next" w:cs="Arial"/>
          <w:sz w:val="22"/>
          <w:szCs w:val="22"/>
          <w:highlight w:val="yellow"/>
          <w:lang w:val="en-GB"/>
        </w:rPr>
        <w:t>The purchaser</w:t>
      </w:r>
      <w:r w:rsidR="00763348" w:rsidRPr="008B5D0F">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8B5D0F" w:rsidRDefault="00BA1CFD" w:rsidP="00B04033">
      <w:pPr>
        <w:pStyle w:val="ListParagraph"/>
        <w:numPr>
          <w:ilvl w:val="0"/>
          <w:numId w:val="5"/>
        </w:numPr>
        <w:ind w:left="426"/>
        <w:jc w:val="both"/>
        <w:rPr>
          <w:rFonts w:ascii="Avenir Next" w:hAnsi="Avenir Next" w:cs="Arial"/>
          <w:sz w:val="22"/>
          <w:szCs w:val="22"/>
          <w:highlight w:val="yellow"/>
          <w:lang w:val="en-GB"/>
        </w:rPr>
      </w:pPr>
      <w:r w:rsidRPr="008B5D0F">
        <w:rPr>
          <w:rFonts w:ascii="Avenir Next" w:hAnsi="Avenir Next" w:cs="Arial"/>
          <w:sz w:val="22"/>
          <w:szCs w:val="22"/>
          <w:highlight w:val="yellow"/>
          <w:lang w:val="en-GB"/>
        </w:rPr>
        <w:t>Administration</w:t>
      </w:r>
      <w:r w:rsidR="00763348" w:rsidRPr="008B5D0F">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8B5D0F" w:rsidRDefault="001F3C98" w:rsidP="00B04033">
      <w:pPr>
        <w:pStyle w:val="ListParagraph"/>
        <w:numPr>
          <w:ilvl w:val="0"/>
          <w:numId w:val="6"/>
        </w:numPr>
        <w:ind w:left="426"/>
        <w:jc w:val="both"/>
        <w:rPr>
          <w:rFonts w:ascii="Avenir Next" w:hAnsi="Avenir Next" w:cs="Arial"/>
          <w:sz w:val="22"/>
          <w:szCs w:val="22"/>
          <w:highlight w:val="yellow"/>
          <w:lang w:val="en-GB"/>
        </w:rPr>
      </w:pPr>
      <w:r w:rsidRPr="008B5D0F">
        <w:rPr>
          <w:rFonts w:ascii="Avenir Next" w:hAnsi="Avenir Next" w:cs="Arial"/>
          <w:sz w:val="22"/>
          <w:szCs w:val="22"/>
          <w:highlight w:val="yellow"/>
          <w:lang w:val="en-GB"/>
        </w:rPr>
        <w:t xml:space="preserve">GBP </w:t>
      </w:r>
      <w:r w:rsidR="00BA1CFD" w:rsidRPr="008B5D0F">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8B5D0F" w:rsidRDefault="00BA1CFD" w:rsidP="00B04033">
      <w:pPr>
        <w:pStyle w:val="ListParagraph"/>
        <w:numPr>
          <w:ilvl w:val="0"/>
          <w:numId w:val="7"/>
        </w:numPr>
        <w:ind w:left="426"/>
        <w:jc w:val="both"/>
        <w:rPr>
          <w:rFonts w:ascii="Avenir Next" w:hAnsi="Avenir Next" w:cs="Arial"/>
          <w:sz w:val="22"/>
          <w:szCs w:val="22"/>
          <w:highlight w:val="yellow"/>
          <w:lang w:val="en-GB"/>
        </w:rPr>
      </w:pPr>
      <w:r w:rsidRPr="008B5D0F">
        <w:rPr>
          <w:rFonts w:ascii="Avenir Next" w:hAnsi="Avenir Next" w:cs="Arial"/>
          <w:sz w:val="22"/>
          <w:szCs w:val="22"/>
          <w:highlight w:val="yellow"/>
          <w:lang w:val="en-GB"/>
        </w:rPr>
        <w:t>Breach of fiduciary duty</w:t>
      </w:r>
      <w:r w:rsidR="00763348" w:rsidRPr="008B5D0F">
        <w:rPr>
          <w:rFonts w:ascii="Avenir Next" w:hAnsi="Avenir Next" w:cs="Arial"/>
          <w:sz w:val="22"/>
          <w:szCs w:val="22"/>
          <w:highlight w:val="yellow"/>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8B5D0F" w:rsidRDefault="00876F56" w:rsidP="00B04033">
      <w:pPr>
        <w:pStyle w:val="ListParagraph"/>
        <w:numPr>
          <w:ilvl w:val="0"/>
          <w:numId w:val="8"/>
        </w:numPr>
        <w:ind w:left="426"/>
        <w:jc w:val="both"/>
        <w:rPr>
          <w:rFonts w:ascii="Avenir Next" w:hAnsi="Avenir Next" w:cs="Arial"/>
          <w:sz w:val="22"/>
          <w:szCs w:val="22"/>
          <w:highlight w:val="yellow"/>
          <w:lang w:val="en-GB"/>
        </w:rPr>
      </w:pPr>
      <w:r w:rsidRPr="008B5D0F">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8B5D0F" w:rsidRDefault="00E833F4" w:rsidP="00B04033">
      <w:pPr>
        <w:pStyle w:val="ListParagraph"/>
        <w:numPr>
          <w:ilvl w:val="0"/>
          <w:numId w:val="9"/>
        </w:numPr>
        <w:ind w:left="426"/>
        <w:jc w:val="both"/>
        <w:rPr>
          <w:rFonts w:ascii="Avenir Next" w:hAnsi="Avenir Next" w:cs="Arial"/>
          <w:sz w:val="22"/>
          <w:szCs w:val="22"/>
          <w:highlight w:val="yellow"/>
          <w:lang w:val="en-GB"/>
        </w:rPr>
      </w:pPr>
      <w:r w:rsidRPr="008B5D0F">
        <w:rPr>
          <w:rFonts w:ascii="Avenir Next" w:hAnsi="Avenir Next" w:cs="Arial"/>
          <w:sz w:val="22"/>
          <w:szCs w:val="22"/>
          <w:highlight w:val="yellow"/>
          <w:lang w:val="en-GB"/>
        </w:rPr>
        <w:t>A</w:t>
      </w:r>
      <w:r w:rsidR="000D10C6" w:rsidRPr="008B5D0F">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8B5D0F" w:rsidRDefault="0020204E" w:rsidP="00B04033">
      <w:pPr>
        <w:pStyle w:val="ListParagraph"/>
        <w:numPr>
          <w:ilvl w:val="0"/>
          <w:numId w:val="10"/>
        </w:numPr>
        <w:ind w:left="426"/>
        <w:jc w:val="both"/>
        <w:rPr>
          <w:rFonts w:ascii="Avenir Next" w:hAnsi="Avenir Next" w:cs="Arial"/>
          <w:sz w:val="22"/>
          <w:szCs w:val="22"/>
          <w:highlight w:val="yellow"/>
          <w:lang w:val="en-GB"/>
        </w:rPr>
      </w:pPr>
      <w:r w:rsidRPr="008B5D0F">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7061C9D6" w14:textId="0C15B82D" w:rsidR="00AE5B6F" w:rsidRDefault="00F67254" w:rsidP="00F67254">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official receiver, the trustee of a bankrupt estate or the liquidator or administrator of the body corporate of (with the Court's leave) the victim of the transaction;</w:t>
      </w:r>
    </w:p>
    <w:p w14:paraId="460E3D8B" w14:textId="6A6EDF7A" w:rsidR="00F67254" w:rsidRDefault="00F67254" w:rsidP="00721DF4">
      <w:pPr>
        <w:pStyle w:val="ListParagraph"/>
        <w:numPr>
          <w:ilvl w:val="0"/>
          <w:numId w:val="18"/>
        </w:numPr>
        <w:jc w:val="both"/>
        <w:rPr>
          <w:rFonts w:ascii="Avenir Next" w:hAnsi="Avenir Next" w:cs="Arial"/>
          <w:color w:val="808080" w:themeColor="background1" w:themeShade="80"/>
          <w:sz w:val="22"/>
          <w:szCs w:val="22"/>
          <w:lang w:val="en-GB"/>
        </w:rPr>
      </w:pPr>
      <w:r w:rsidRPr="00F67254">
        <w:rPr>
          <w:rFonts w:ascii="Avenir Next" w:hAnsi="Avenir Next" w:cs="Arial"/>
          <w:color w:val="808080" w:themeColor="background1" w:themeShade="80"/>
          <w:sz w:val="22"/>
          <w:szCs w:val="22"/>
          <w:lang w:val="en-GB"/>
        </w:rPr>
        <w:t xml:space="preserve">the Secretary of State, </w:t>
      </w:r>
      <w:r w:rsidRPr="00F67254">
        <w:rPr>
          <w:rFonts w:ascii="Avenir Next" w:hAnsi="Avenir Next" w:cs="Arial"/>
          <w:color w:val="808080" w:themeColor="background1" w:themeShade="80"/>
          <w:sz w:val="22"/>
          <w:szCs w:val="22"/>
          <w:lang w:val="en-GB"/>
        </w:rPr>
        <w:t>or if</w:t>
      </w:r>
      <w:r w:rsidRPr="00F67254">
        <w:rPr>
          <w:rFonts w:ascii="Avenir Next" w:hAnsi="Avenir Next" w:cs="Arial"/>
          <w:color w:val="808080" w:themeColor="background1" w:themeShade="80"/>
          <w:sz w:val="22"/>
          <w:szCs w:val="22"/>
          <w:lang w:val="en-GB"/>
        </w:rPr>
        <w:t xml:space="preserve"> the Secretary of State so directs in the case of a person who is or has been a director of a company which is being or has been wound up by the </w:t>
      </w:r>
      <w:r>
        <w:rPr>
          <w:rFonts w:ascii="Avenir Next" w:hAnsi="Avenir Next" w:cs="Arial"/>
          <w:color w:val="808080" w:themeColor="background1" w:themeShade="80"/>
          <w:sz w:val="22"/>
          <w:szCs w:val="22"/>
          <w:lang w:val="en-GB"/>
        </w:rPr>
        <w:t>C</w:t>
      </w:r>
      <w:r w:rsidRPr="00F67254">
        <w:rPr>
          <w:rFonts w:ascii="Avenir Next" w:hAnsi="Avenir Next" w:cs="Arial"/>
          <w:color w:val="808080" w:themeColor="background1" w:themeShade="80"/>
          <w:sz w:val="22"/>
          <w:szCs w:val="22"/>
          <w:lang w:val="en-GB"/>
        </w:rPr>
        <w:t>ourt in England and Wales, by the official receiver</w:t>
      </w:r>
      <w:r>
        <w:rPr>
          <w:rFonts w:ascii="Avenir Next" w:hAnsi="Avenir Next" w:cs="Arial"/>
          <w:color w:val="808080" w:themeColor="background1" w:themeShade="80"/>
          <w:sz w:val="22"/>
          <w:szCs w:val="22"/>
          <w:lang w:val="en-GB"/>
        </w:rPr>
        <w:t>;</w:t>
      </w:r>
    </w:p>
    <w:p w14:paraId="3A804A66" w14:textId="7BD01618" w:rsidR="00F67254" w:rsidRPr="00F67254" w:rsidRDefault="00A861C7" w:rsidP="00721DF4">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Pr="00A861C7">
        <w:rPr>
          <w:rFonts w:ascii="Avenir Next" w:hAnsi="Avenir Next" w:cs="Arial"/>
          <w:color w:val="808080" w:themeColor="background1" w:themeShade="80"/>
          <w:sz w:val="22"/>
          <w:szCs w:val="22"/>
          <w:lang w:val="en-GB"/>
        </w:rPr>
        <w:t>administrator</w:t>
      </w:r>
      <w:r>
        <w:rPr>
          <w:rFonts w:ascii="Avenir Next" w:hAnsi="Avenir Next" w:cs="Arial"/>
          <w:color w:val="808080" w:themeColor="background1" w:themeShade="80"/>
          <w:sz w:val="22"/>
          <w:szCs w:val="22"/>
          <w:lang w:val="en-GB"/>
        </w:rPr>
        <w:t>.</w:t>
      </w: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1D745CDB" w14:textId="41B51904" w:rsidR="00EA3B38" w:rsidRDefault="008A4260" w:rsidP="008A4260">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monitor's remuneration or expenses;</w:t>
      </w:r>
    </w:p>
    <w:p w14:paraId="5B8D8F42" w14:textId="66F871C8" w:rsidR="008A4260" w:rsidRDefault="008A4260" w:rsidP="008A4260">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Goods or services supplied during the moratorium;</w:t>
      </w:r>
    </w:p>
    <w:p w14:paraId="1C72AAA9" w14:textId="7BF4291F" w:rsidR="008A4260" w:rsidRDefault="008A4260" w:rsidP="008A4260">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Rent in respect of the period of the moratorium;</w:t>
      </w:r>
    </w:p>
    <w:p w14:paraId="60DA8D3C" w14:textId="5FAAA259" w:rsidR="008A4260" w:rsidRDefault="008A4260" w:rsidP="008A4260">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Wages or salary arising under a contract of employment;</w:t>
      </w:r>
    </w:p>
    <w:p w14:paraId="302318A2" w14:textId="1C2D81B1" w:rsidR="008A4260" w:rsidRPr="008A4260" w:rsidRDefault="008A4260" w:rsidP="008A4260">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Redundancy payments. </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0770EFD5" w14:textId="58B9245F" w:rsidR="00EA3B38" w:rsidRPr="00B84055" w:rsidRDefault="00520479"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Yes. Section 233 of the </w:t>
      </w:r>
      <w:r w:rsidRPr="00520479">
        <w:rPr>
          <w:rFonts w:ascii="Avenir Next" w:hAnsi="Avenir Next" w:cs="Arial"/>
          <w:color w:val="808080" w:themeColor="background1" w:themeShade="80"/>
          <w:sz w:val="22"/>
          <w:szCs w:val="22"/>
        </w:rPr>
        <w:t>Insolvency Act 1986</w:t>
      </w:r>
      <w:r>
        <w:rPr>
          <w:rFonts w:ascii="Avenir Next" w:hAnsi="Avenir Next" w:cs="Arial"/>
          <w:color w:val="808080" w:themeColor="background1" w:themeShade="80"/>
          <w:sz w:val="22"/>
          <w:szCs w:val="22"/>
        </w:rPr>
        <w:t xml:space="preserve"> </w:t>
      </w:r>
      <w:r w:rsidR="00DA7BAB">
        <w:rPr>
          <w:rFonts w:ascii="Avenir Next" w:hAnsi="Avenir Next" w:cs="Arial"/>
          <w:color w:val="808080" w:themeColor="background1" w:themeShade="80"/>
          <w:sz w:val="22"/>
          <w:szCs w:val="22"/>
        </w:rPr>
        <w:t xml:space="preserve">(the Act) </w:t>
      </w:r>
      <w:r w:rsidR="0001182C">
        <w:rPr>
          <w:rFonts w:ascii="Avenir Next" w:hAnsi="Avenir Next" w:cs="Arial"/>
          <w:color w:val="808080" w:themeColor="background1" w:themeShade="80"/>
          <w:sz w:val="22"/>
          <w:szCs w:val="22"/>
        </w:rPr>
        <w:t xml:space="preserve">enables an administrator to request that supplies of essential goods and services including </w:t>
      </w:r>
      <w:r w:rsidR="0001182C" w:rsidRPr="0001182C">
        <w:rPr>
          <w:rFonts w:ascii="Avenir Next" w:hAnsi="Avenir Next" w:cs="Arial"/>
          <w:color w:val="808080" w:themeColor="background1" w:themeShade="80"/>
          <w:sz w:val="22"/>
          <w:szCs w:val="22"/>
        </w:rPr>
        <w:t>gas, electricity, water</w:t>
      </w:r>
      <w:r w:rsidR="0001182C">
        <w:rPr>
          <w:rFonts w:ascii="Avenir Next" w:hAnsi="Avenir Next" w:cs="Arial"/>
          <w:color w:val="808080" w:themeColor="background1" w:themeShade="80"/>
          <w:sz w:val="22"/>
          <w:szCs w:val="22"/>
        </w:rPr>
        <w:t xml:space="preserve"> as well as communication services continue after the company is put into administration. The suppliers can make their continued supply </w:t>
      </w:r>
      <w:r w:rsidR="0001182C">
        <w:rPr>
          <w:rFonts w:ascii="Avenir Next" w:hAnsi="Avenir Next" w:cs="Arial"/>
          <w:color w:val="808080" w:themeColor="background1" w:themeShade="80"/>
          <w:sz w:val="22"/>
          <w:szCs w:val="22"/>
        </w:rPr>
        <w:lastRenderedPageBreak/>
        <w:t xml:space="preserve">conditional upon the administrator providing a guarantee for payment of that continued supply, but they cannot make the supply conditional upon payment of any outstanding charges for supply to the company before the date of the administration. </w:t>
      </w:r>
      <w:r w:rsidR="00DA7BAB">
        <w:rPr>
          <w:rFonts w:ascii="Avenir Next" w:hAnsi="Avenir Next" w:cs="Arial"/>
          <w:color w:val="808080" w:themeColor="background1" w:themeShade="80"/>
          <w:sz w:val="22"/>
          <w:szCs w:val="22"/>
        </w:rPr>
        <w:t>The suppliers will also be unable to rely on any clauses in their contracts which purport to terminate or "do any other thing" if the company enters into the administration, pursuant to section 233A if the Act.</w:t>
      </w:r>
      <w:r w:rsidR="0098152E">
        <w:rPr>
          <w:rFonts w:ascii="Avenir Next" w:hAnsi="Avenir Next" w:cs="Arial"/>
          <w:color w:val="808080" w:themeColor="background1" w:themeShade="80"/>
          <w:sz w:val="22"/>
          <w:szCs w:val="22"/>
        </w:rPr>
        <w:t xml:space="preserve"> That section also enables the suppliers to </w:t>
      </w:r>
      <w:r w:rsidR="00D32091">
        <w:rPr>
          <w:rFonts w:ascii="Avenir Next" w:hAnsi="Avenir Next" w:cs="Arial"/>
          <w:color w:val="808080" w:themeColor="background1" w:themeShade="80"/>
          <w:sz w:val="22"/>
          <w:szCs w:val="22"/>
        </w:rPr>
        <w:t>terminate</w:t>
      </w:r>
      <w:r w:rsidR="0098152E">
        <w:rPr>
          <w:rFonts w:ascii="Avenir Next" w:hAnsi="Avenir Next" w:cs="Arial"/>
          <w:color w:val="808080" w:themeColor="background1" w:themeShade="80"/>
          <w:sz w:val="22"/>
          <w:szCs w:val="22"/>
        </w:rPr>
        <w:t xml:space="preserve"> their contract if it contains such terms but only with the administrator's consent or court order, or if the charges for the supply of goods or services arising after the administration are not paid within 28 days of becoming due. Section 233B of the Act </w:t>
      </w:r>
      <w:r w:rsidR="00D32091">
        <w:rPr>
          <w:rFonts w:ascii="Avenir Next" w:hAnsi="Avenir Next" w:cs="Arial"/>
          <w:color w:val="808080" w:themeColor="background1" w:themeShade="80"/>
          <w:sz w:val="22"/>
          <w:szCs w:val="22"/>
        </w:rPr>
        <w:t xml:space="preserve">extends the protection </w:t>
      </w:r>
      <w:r w:rsidR="00996D19">
        <w:rPr>
          <w:rFonts w:ascii="Avenir Next" w:hAnsi="Avenir Next" w:cs="Arial"/>
          <w:color w:val="808080" w:themeColor="background1" w:themeShade="80"/>
          <w:sz w:val="22"/>
          <w:szCs w:val="22"/>
        </w:rPr>
        <w:t>afforded</w:t>
      </w:r>
      <w:r w:rsidR="00D32091">
        <w:rPr>
          <w:rFonts w:ascii="Avenir Next" w:hAnsi="Avenir Next" w:cs="Arial"/>
          <w:color w:val="808080" w:themeColor="background1" w:themeShade="80"/>
          <w:sz w:val="22"/>
          <w:szCs w:val="22"/>
        </w:rPr>
        <w:t xml:space="preserve"> under sections 233 and 233A to all suppliers (subject to limited exceptions)</w:t>
      </w:r>
      <w:r w:rsidR="00996D19">
        <w:rPr>
          <w:rFonts w:ascii="Avenir Next" w:hAnsi="Avenir Next" w:cs="Arial"/>
          <w:color w:val="808080" w:themeColor="background1" w:themeShade="80"/>
          <w:sz w:val="22"/>
          <w:szCs w:val="22"/>
        </w:rPr>
        <w:t>.</w:t>
      </w:r>
      <w:r w:rsidR="00D32091">
        <w:rPr>
          <w:rFonts w:ascii="Avenir Next" w:hAnsi="Avenir Next" w:cs="Arial"/>
          <w:color w:val="808080" w:themeColor="background1" w:themeShade="80"/>
          <w:sz w:val="22"/>
          <w:szCs w:val="22"/>
        </w:rPr>
        <w:t xml:space="preserve"> </w:t>
      </w:r>
      <w:r w:rsidR="0098152E">
        <w:rPr>
          <w:rFonts w:ascii="Avenir Next" w:hAnsi="Avenir Next" w:cs="Arial"/>
          <w:color w:val="808080" w:themeColor="background1" w:themeShade="80"/>
          <w:sz w:val="22"/>
          <w:szCs w:val="22"/>
        </w:rPr>
        <w:t xml:space="preserve">Suppliers with contracts containing </w:t>
      </w:r>
      <w:r w:rsidR="00996D19">
        <w:rPr>
          <w:rFonts w:ascii="Avenir Next" w:hAnsi="Avenir Next" w:cs="Arial"/>
          <w:color w:val="808080" w:themeColor="background1" w:themeShade="80"/>
          <w:sz w:val="22"/>
          <w:szCs w:val="22"/>
        </w:rPr>
        <w:t>automatic termination</w:t>
      </w:r>
      <w:r w:rsidR="0098152E">
        <w:rPr>
          <w:rFonts w:ascii="Avenir Next" w:hAnsi="Avenir Next" w:cs="Arial"/>
          <w:color w:val="808080" w:themeColor="background1" w:themeShade="80"/>
          <w:sz w:val="22"/>
          <w:szCs w:val="22"/>
        </w:rPr>
        <w:t xml:space="preserve"> clauses are also unable to insist on the administrator's guarantee to pay their charges for the continued supply of goods or services</w:t>
      </w:r>
      <w:r w:rsidR="00996D19">
        <w:rPr>
          <w:rFonts w:ascii="Avenir Next" w:hAnsi="Avenir Next" w:cs="Arial"/>
          <w:color w:val="808080" w:themeColor="background1" w:themeShade="80"/>
          <w:sz w:val="22"/>
          <w:szCs w:val="22"/>
        </w:rPr>
        <w:t xml:space="preserve"> under section 233B</w:t>
      </w:r>
      <w:r w:rsidR="0098152E">
        <w:rPr>
          <w:rFonts w:ascii="Avenir Next" w:hAnsi="Avenir Next" w:cs="Arial"/>
          <w:color w:val="808080" w:themeColor="background1" w:themeShade="80"/>
          <w:sz w:val="22"/>
          <w:szCs w:val="22"/>
        </w:rPr>
        <w:t xml:space="preserve">. </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12 week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1F067633" w14:textId="2843A818" w:rsidR="00EA3B38" w:rsidRPr="00A0492E" w:rsidRDefault="002A57E5" w:rsidP="00EA3B38">
      <w:pPr>
        <w:jc w:val="both"/>
        <w:rPr>
          <w:rFonts w:ascii="Avenir Next" w:hAnsi="Avenir Next" w:cs="Arial"/>
          <w:color w:val="808080" w:themeColor="background1" w:themeShade="80"/>
          <w:sz w:val="22"/>
          <w:szCs w:val="22"/>
          <w:u w:val="single"/>
        </w:rPr>
      </w:pPr>
      <w:r w:rsidRPr="00A0492E">
        <w:rPr>
          <w:rFonts w:ascii="Avenir Next" w:hAnsi="Avenir Next" w:cs="Arial"/>
          <w:color w:val="808080" w:themeColor="background1" w:themeShade="80"/>
          <w:sz w:val="22"/>
          <w:szCs w:val="22"/>
          <w:u w:val="single"/>
        </w:rPr>
        <w:t>O</w:t>
      </w:r>
      <w:r w:rsidRPr="00A0492E">
        <w:rPr>
          <w:rFonts w:ascii="Avenir Next" w:hAnsi="Avenir Next" w:cs="Arial"/>
          <w:color w:val="808080" w:themeColor="background1" w:themeShade="80"/>
          <w:sz w:val="22"/>
          <w:szCs w:val="22"/>
          <w:u w:val="single"/>
        </w:rPr>
        <w:t>rder of priority of payments in a liquidation</w:t>
      </w:r>
    </w:p>
    <w:p w14:paraId="7DCEF254" w14:textId="469474CA" w:rsidR="002A57E5" w:rsidRDefault="002A57E5" w:rsidP="00EA3B38">
      <w:pPr>
        <w:jc w:val="both"/>
        <w:rPr>
          <w:rFonts w:ascii="Avenir Next" w:hAnsi="Avenir Next" w:cs="Arial"/>
          <w:color w:val="808080" w:themeColor="background1" w:themeShade="80"/>
          <w:sz w:val="22"/>
          <w:szCs w:val="22"/>
        </w:rPr>
      </w:pPr>
    </w:p>
    <w:p w14:paraId="65614D15" w14:textId="0E648FDD" w:rsidR="002A57E5" w:rsidRDefault="002A57E5" w:rsidP="002A57E5">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expenses of the winding up, including the liquidator's remuneration, take first priority over creditor claims. These include the expenses properly incurred by the liquidator in preserving or realizing the assets including conducting legal proceedings, the cost of any security provided by the liquidator and any necessary disbursements incurred in conducting the winding up of the company's affairs. The liquidator's own remuneration is also included within this category but it comes behind properly incurred expenses and disbursements in the course of the liquidation (per </w:t>
      </w:r>
      <w:r w:rsidRPr="002A57E5">
        <w:rPr>
          <w:rFonts w:ascii="Avenir Next" w:hAnsi="Avenir Next" w:cs="Arial"/>
          <w:color w:val="808080" w:themeColor="background1" w:themeShade="80"/>
          <w:sz w:val="22"/>
          <w:szCs w:val="22"/>
        </w:rPr>
        <w:t>section 115 of the Act and rules 6.42 and 7.108 of the</w:t>
      </w:r>
      <w:r>
        <w:rPr>
          <w:rFonts w:ascii="Avenir Next" w:hAnsi="Avenir Next" w:cs="Arial"/>
          <w:color w:val="808080" w:themeColor="background1" w:themeShade="80"/>
          <w:sz w:val="22"/>
          <w:szCs w:val="22"/>
        </w:rPr>
        <w:t xml:space="preserve"> Insolvency</w:t>
      </w:r>
      <w:r w:rsidRPr="002A57E5">
        <w:rPr>
          <w:rFonts w:ascii="Avenir Next" w:hAnsi="Avenir Next" w:cs="Arial"/>
          <w:color w:val="808080" w:themeColor="background1" w:themeShade="80"/>
          <w:sz w:val="22"/>
          <w:szCs w:val="22"/>
        </w:rPr>
        <w:t xml:space="preserve"> Rules)</w:t>
      </w:r>
      <w:r>
        <w:rPr>
          <w:rFonts w:ascii="Avenir Next" w:hAnsi="Avenir Next" w:cs="Arial"/>
          <w:color w:val="808080" w:themeColor="background1" w:themeShade="80"/>
          <w:sz w:val="22"/>
          <w:szCs w:val="22"/>
        </w:rPr>
        <w:t xml:space="preserve">; </w:t>
      </w:r>
    </w:p>
    <w:p w14:paraId="4D426A09" w14:textId="390473FF" w:rsidR="00DA0455" w:rsidRDefault="00E417B5" w:rsidP="002A57E5">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debts of preferential creditors, including </w:t>
      </w:r>
      <w:r w:rsidR="00CF7E84">
        <w:rPr>
          <w:rFonts w:ascii="Avenir Next" w:hAnsi="Avenir Next" w:cs="Arial"/>
          <w:color w:val="808080" w:themeColor="background1" w:themeShade="80"/>
          <w:sz w:val="22"/>
          <w:szCs w:val="22"/>
        </w:rPr>
        <w:t>employees'</w:t>
      </w:r>
      <w:r>
        <w:rPr>
          <w:rFonts w:ascii="Avenir Next" w:hAnsi="Avenir Next" w:cs="Arial"/>
          <w:color w:val="808080" w:themeColor="background1" w:themeShade="80"/>
          <w:sz w:val="22"/>
          <w:szCs w:val="22"/>
        </w:rPr>
        <w:t xml:space="preserve"> remuneration</w:t>
      </w:r>
      <w:r w:rsidR="00CF7E84">
        <w:rPr>
          <w:rFonts w:ascii="Avenir Next" w:hAnsi="Avenir Next" w:cs="Arial"/>
          <w:color w:val="808080" w:themeColor="background1" w:themeShade="80"/>
          <w:sz w:val="22"/>
          <w:szCs w:val="22"/>
        </w:rPr>
        <w:t>, pensions</w:t>
      </w:r>
      <w:r>
        <w:rPr>
          <w:rFonts w:ascii="Avenir Next" w:hAnsi="Avenir Next" w:cs="Arial"/>
          <w:color w:val="808080" w:themeColor="background1" w:themeShade="80"/>
          <w:sz w:val="22"/>
          <w:szCs w:val="22"/>
        </w:rPr>
        <w:t xml:space="preserve"> and taxation liabilities. Such debts may be ordinary or secondary, with ordinary debts being paid first. Debts within each class rank equally so will be paid in equal measure if there are insufficient assets in the estate to meet them all in full</w:t>
      </w:r>
      <w:r w:rsidR="00DA0455">
        <w:rPr>
          <w:rFonts w:ascii="Avenir Next" w:hAnsi="Avenir Next" w:cs="Arial"/>
          <w:color w:val="808080" w:themeColor="background1" w:themeShade="80"/>
          <w:sz w:val="22"/>
          <w:szCs w:val="22"/>
        </w:rPr>
        <w:t xml:space="preserve"> (per </w:t>
      </w:r>
      <w:r w:rsidR="00DA0455" w:rsidRPr="00DA0455">
        <w:rPr>
          <w:rFonts w:ascii="Avenir Next" w:hAnsi="Avenir Next" w:cs="Arial"/>
          <w:color w:val="808080" w:themeColor="background1" w:themeShade="80"/>
          <w:sz w:val="22"/>
          <w:szCs w:val="22"/>
        </w:rPr>
        <w:t>sections 386, 387 and Schedule 6: section 175</w:t>
      </w:r>
      <w:r w:rsidR="00DA0455">
        <w:rPr>
          <w:rFonts w:ascii="Avenir Next" w:hAnsi="Avenir Next" w:cs="Arial"/>
          <w:color w:val="808080" w:themeColor="background1" w:themeShade="80"/>
          <w:sz w:val="22"/>
          <w:szCs w:val="22"/>
        </w:rPr>
        <w:t xml:space="preserve"> of the Act);</w:t>
      </w:r>
    </w:p>
    <w:p w14:paraId="48513B94" w14:textId="34918914" w:rsidR="002A57E5" w:rsidRDefault="00BE26CB" w:rsidP="002A57E5">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Holders of a floating charge, with the earliest in time taking priority over later creditors if there is more than one creditor.  In accordance with </w:t>
      </w:r>
      <w:r w:rsidRPr="00BE26CB">
        <w:rPr>
          <w:rFonts w:ascii="Avenir Next" w:hAnsi="Avenir Next" w:cs="Arial"/>
          <w:color w:val="808080" w:themeColor="background1" w:themeShade="80"/>
          <w:sz w:val="22"/>
          <w:szCs w:val="22"/>
        </w:rPr>
        <w:t>section 176A of the Act</w:t>
      </w:r>
      <w:r>
        <w:rPr>
          <w:rFonts w:ascii="Avenir Next" w:hAnsi="Avenir Next" w:cs="Arial"/>
          <w:color w:val="808080" w:themeColor="background1" w:themeShade="80"/>
          <w:sz w:val="22"/>
          <w:szCs w:val="22"/>
        </w:rPr>
        <w:t xml:space="preserve">, the liquidator must make a prescribed part of the company's net assets available to satisfy unsecured debts and cannot distribute this prescribed part of the assets to the floating charge holder unless there are sufficient assets to satisfy all the unsecured debts; </w:t>
      </w:r>
    </w:p>
    <w:p w14:paraId="501FC87D" w14:textId="6BE4F40D" w:rsidR="00BE26CB" w:rsidRDefault="00BE26CB" w:rsidP="002A57E5">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Unsecured creditors;</w:t>
      </w:r>
    </w:p>
    <w:p w14:paraId="7A6EF8F6" w14:textId="6A4A043D" w:rsidR="00BE26CB" w:rsidRPr="002A57E5" w:rsidRDefault="00BE26CB" w:rsidP="002A57E5">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Shareholders. </w:t>
      </w:r>
    </w:p>
    <w:p w14:paraId="79D77169" w14:textId="5926CD04" w:rsidR="002A57E5" w:rsidRDefault="002A57E5" w:rsidP="00EA3B38">
      <w:pPr>
        <w:jc w:val="both"/>
        <w:rPr>
          <w:rFonts w:ascii="Avenir Next" w:hAnsi="Avenir Next" w:cs="Arial"/>
          <w:color w:val="808080" w:themeColor="background1" w:themeShade="80"/>
          <w:sz w:val="22"/>
          <w:szCs w:val="22"/>
        </w:rPr>
      </w:pPr>
    </w:p>
    <w:p w14:paraId="409406AB" w14:textId="3E48714F" w:rsidR="002A57E5" w:rsidRPr="00A0492E" w:rsidRDefault="002A57E5" w:rsidP="00EA3B38">
      <w:pPr>
        <w:jc w:val="both"/>
        <w:rPr>
          <w:rFonts w:ascii="Avenir Next" w:hAnsi="Avenir Next" w:cs="Arial"/>
          <w:color w:val="808080" w:themeColor="background1" w:themeShade="80"/>
          <w:sz w:val="22"/>
          <w:szCs w:val="22"/>
          <w:u w:val="single"/>
        </w:rPr>
      </w:pPr>
      <w:r w:rsidRPr="00A0492E">
        <w:rPr>
          <w:rFonts w:ascii="Avenir Next" w:hAnsi="Avenir Next" w:cs="Arial"/>
          <w:color w:val="808080" w:themeColor="background1" w:themeShade="80"/>
          <w:sz w:val="22"/>
          <w:szCs w:val="22"/>
          <w:u w:val="single"/>
        </w:rPr>
        <w:t>I</w:t>
      </w:r>
      <w:r w:rsidRPr="00A0492E">
        <w:rPr>
          <w:rFonts w:ascii="Avenir Next" w:hAnsi="Avenir Next" w:cs="Arial"/>
          <w:color w:val="808080" w:themeColor="background1" w:themeShade="80"/>
          <w:sz w:val="22"/>
          <w:szCs w:val="22"/>
          <w:u w:val="single"/>
        </w:rPr>
        <w:t>f the company had been subject to a Moratorium under Part A1 of the Insolvency Act 1986 during the 12 week period prior to the commencement of the liquidation</w:t>
      </w:r>
    </w:p>
    <w:p w14:paraId="5A5FECBC" w14:textId="2ACA001A" w:rsidR="002A57E5" w:rsidRDefault="002A57E5" w:rsidP="00EA3B38">
      <w:pPr>
        <w:jc w:val="both"/>
        <w:rPr>
          <w:rFonts w:ascii="Avenir Next" w:hAnsi="Avenir Next" w:cs="Arial"/>
          <w:color w:val="808080" w:themeColor="background1" w:themeShade="80"/>
          <w:sz w:val="22"/>
          <w:szCs w:val="22"/>
        </w:rPr>
      </w:pPr>
    </w:p>
    <w:p w14:paraId="2272AC41" w14:textId="65089A52" w:rsidR="00A0492E" w:rsidRDefault="004E3D02" w:rsidP="00D262D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priority is altered by a Part A1 Moratorium</w:t>
      </w:r>
      <w:r w:rsidR="008B4B99">
        <w:rPr>
          <w:rFonts w:ascii="Avenir Next" w:hAnsi="Avenir Next" w:cs="Arial"/>
          <w:color w:val="808080" w:themeColor="background1" w:themeShade="80"/>
          <w:sz w:val="22"/>
          <w:szCs w:val="22"/>
        </w:rPr>
        <w:t xml:space="preserve">. </w:t>
      </w:r>
      <w:r w:rsidR="008B4B99" w:rsidRPr="008B4B99">
        <w:rPr>
          <w:rFonts w:ascii="Avenir Next" w:hAnsi="Avenir Next" w:cs="Arial"/>
          <w:color w:val="808080" w:themeColor="background1" w:themeShade="80"/>
          <w:sz w:val="22"/>
          <w:szCs w:val="22"/>
        </w:rPr>
        <w:t>Section 174A</w:t>
      </w:r>
      <w:r w:rsidR="008B4B99">
        <w:rPr>
          <w:rFonts w:ascii="Avenir Next" w:hAnsi="Avenir Next" w:cs="Arial"/>
          <w:color w:val="808080" w:themeColor="background1" w:themeShade="80"/>
          <w:sz w:val="22"/>
          <w:szCs w:val="22"/>
        </w:rPr>
        <w:t xml:space="preserve"> of the Act provides that debts which do not form part of the payment holiday for debtors gain super priority status even before the liquidators' remuneration. </w:t>
      </w:r>
      <w:r w:rsidR="00D262DA">
        <w:rPr>
          <w:rFonts w:ascii="Avenir Next" w:hAnsi="Avenir Next" w:cs="Arial"/>
          <w:color w:val="808080" w:themeColor="background1" w:themeShade="80"/>
          <w:sz w:val="22"/>
          <w:szCs w:val="22"/>
        </w:rPr>
        <w:t xml:space="preserve">Such debts include </w:t>
      </w:r>
      <w:r w:rsidR="00D262DA" w:rsidRPr="00D262DA">
        <w:rPr>
          <w:rFonts w:ascii="Avenir Next" w:hAnsi="Avenir Next" w:cs="Arial"/>
          <w:color w:val="808080" w:themeColor="background1" w:themeShade="80"/>
          <w:sz w:val="22"/>
          <w:szCs w:val="22"/>
        </w:rPr>
        <w:t>goods</w:t>
      </w:r>
      <w:r w:rsidR="00D262DA" w:rsidRPr="00D262DA">
        <w:rPr>
          <w:rFonts w:ascii="Avenir Next" w:hAnsi="Avenir Next" w:cs="Arial"/>
          <w:color w:val="808080" w:themeColor="background1" w:themeShade="80"/>
          <w:sz w:val="22"/>
          <w:szCs w:val="22"/>
        </w:rPr>
        <w:t xml:space="preserve"> or services supplied during the moratorium,</w:t>
      </w:r>
      <w:r w:rsidR="00D262DA">
        <w:rPr>
          <w:rFonts w:ascii="Avenir Next" w:hAnsi="Avenir Next" w:cs="Arial"/>
          <w:color w:val="808080" w:themeColor="background1" w:themeShade="80"/>
          <w:sz w:val="22"/>
          <w:szCs w:val="22"/>
        </w:rPr>
        <w:t xml:space="preserve"> </w:t>
      </w:r>
      <w:r w:rsidR="00D262DA" w:rsidRPr="00D262DA">
        <w:rPr>
          <w:rFonts w:ascii="Avenir Next" w:hAnsi="Avenir Next" w:cs="Arial"/>
          <w:color w:val="808080" w:themeColor="background1" w:themeShade="80"/>
          <w:sz w:val="22"/>
          <w:szCs w:val="22"/>
        </w:rPr>
        <w:t>rent in respect of a period during the moratorium</w:t>
      </w:r>
      <w:r w:rsidR="00D262DA">
        <w:rPr>
          <w:rFonts w:ascii="Avenir Next" w:hAnsi="Avenir Next" w:cs="Arial"/>
          <w:color w:val="808080" w:themeColor="background1" w:themeShade="80"/>
          <w:sz w:val="22"/>
          <w:szCs w:val="22"/>
        </w:rPr>
        <w:t xml:space="preserve"> and </w:t>
      </w:r>
      <w:r w:rsidR="00D262DA" w:rsidRPr="00D262DA">
        <w:rPr>
          <w:rFonts w:ascii="Avenir Next" w:hAnsi="Avenir Next" w:cs="Arial"/>
          <w:color w:val="808080" w:themeColor="background1" w:themeShade="80"/>
          <w:sz w:val="22"/>
          <w:szCs w:val="22"/>
        </w:rPr>
        <w:t>wages or salary arising under a contract of employment</w:t>
      </w:r>
      <w:r w:rsidR="00D262DA">
        <w:rPr>
          <w:rFonts w:ascii="Avenir Next" w:hAnsi="Avenir Next" w:cs="Arial"/>
          <w:color w:val="808080" w:themeColor="background1" w:themeShade="80"/>
          <w:sz w:val="22"/>
          <w:szCs w:val="22"/>
        </w:rPr>
        <w:t>.</w:t>
      </w:r>
    </w:p>
    <w:p w14:paraId="6CB11022" w14:textId="77777777" w:rsidR="002A57E5" w:rsidRPr="00B84055" w:rsidRDefault="002A57E5" w:rsidP="00EA3B38">
      <w:pPr>
        <w:jc w:val="both"/>
        <w:rPr>
          <w:rFonts w:ascii="Avenir Next" w:hAnsi="Avenir Next" w:cs="Arial"/>
          <w:color w:val="808080" w:themeColor="background1" w:themeShade="80"/>
          <w:sz w:val="22"/>
          <w:szCs w:val="22"/>
        </w:rPr>
      </w:pP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lastRenderedPageBreak/>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in order to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5237771F" w14:textId="09074336" w:rsidR="00EA3B38" w:rsidRPr="00B84055" w:rsidRDefault="00361D6A"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Pursuant to section 239 of the Act, the liquidator may be able to apply for a remedy in relation to this transaction as a preference to a creditor. The </w:t>
      </w:r>
      <w:r w:rsidR="003E3CCB">
        <w:rPr>
          <w:rFonts w:ascii="Avenir Next" w:hAnsi="Avenir Next" w:cs="Arial"/>
          <w:color w:val="808080" w:themeColor="background1" w:themeShade="80"/>
          <w:sz w:val="22"/>
          <w:szCs w:val="22"/>
        </w:rPr>
        <w:t>liquidator</w:t>
      </w:r>
      <w:r>
        <w:rPr>
          <w:rFonts w:ascii="Avenir Next" w:hAnsi="Avenir Next" w:cs="Arial"/>
          <w:color w:val="808080" w:themeColor="background1" w:themeShade="80"/>
          <w:sz w:val="22"/>
          <w:szCs w:val="22"/>
        </w:rPr>
        <w:t xml:space="preserve"> will need to show that </w:t>
      </w:r>
      <w:proofErr w:type="spellStart"/>
      <w:r>
        <w:rPr>
          <w:rFonts w:ascii="Avenir Next" w:hAnsi="Avenir Next" w:cs="Arial"/>
          <w:color w:val="808080" w:themeColor="background1" w:themeShade="80"/>
          <w:sz w:val="22"/>
          <w:szCs w:val="22"/>
        </w:rPr>
        <w:t>Fretus</w:t>
      </w:r>
      <w:proofErr w:type="spellEnd"/>
      <w:r>
        <w:rPr>
          <w:rFonts w:ascii="Avenir Next" w:hAnsi="Avenir Next" w:cs="Arial"/>
          <w:color w:val="808080" w:themeColor="background1" w:themeShade="80"/>
          <w:sz w:val="22"/>
          <w:szCs w:val="22"/>
        </w:rPr>
        <w:t xml:space="preserve"> Bank plc was a creditor of the Company at the time of the transaction, that something was done which put FB plc in a better position than it would have been had the transaction not been carried out, and that the Company was influenced by a desire to put the creditor into a preferred position. FB plc was a creditor, having granted loans to the Company. The granting of the floating charge put FB plc in a better position than it would have been as an unsecured creditor, as holders of floating charges gain priority in a liquidator for payment ahead of unsecured creditors. It can be inferred that </w:t>
      </w:r>
      <w:r>
        <w:rPr>
          <w:rFonts w:ascii="Avenir Next" w:hAnsi="Avenir Next" w:cs="Arial"/>
          <w:color w:val="808080" w:themeColor="background1" w:themeShade="80"/>
          <w:sz w:val="22"/>
          <w:szCs w:val="22"/>
        </w:rPr>
        <w:t>the Company was influenced by a desire to put the creditor into a preferred position</w:t>
      </w:r>
      <w:r>
        <w:rPr>
          <w:rFonts w:ascii="Avenir Next" w:hAnsi="Avenir Next" w:cs="Arial"/>
          <w:color w:val="808080" w:themeColor="background1" w:themeShade="80"/>
          <w:sz w:val="22"/>
          <w:szCs w:val="22"/>
        </w:rPr>
        <w:t xml:space="preserve"> in undertaking the transaction, as we are told that the Company granted the floating charge in order </w:t>
      </w:r>
      <w:r w:rsidRPr="00361D6A">
        <w:rPr>
          <w:rFonts w:ascii="Avenir Next" w:hAnsi="Avenir Next" w:cs="Arial"/>
          <w:color w:val="808080" w:themeColor="background1" w:themeShade="80"/>
          <w:sz w:val="22"/>
          <w:szCs w:val="22"/>
        </w:rPr>
        <w:t xml:space="preserve">to prevent </w:t>
      </w:r>
      <w:r>
        <w:rPr>
          <w:rFonts w:ascii="Avenir Next" w:hAnsi="Avenir Next" w:cs="Arial"/>
          <w:color w:val="808080" w:themeColor="background1" w:themeShade="80"/>
          <w:sz w:val="22"/>
          <w:szCs w:val="22"/>
        </w:rPr>
        <w:t>FB plc</w:t>
      </w:r>
      <w:r w:rsidRPr="00361D6A">
        <w:rPr>
          <w:rFonts w:ascii="Avenir Next" w:hAnsi="Avenir Next" w:cs="Arial"/>
          <w:color w:val="808080" w:themeColor="background1" w:themeShade="80"/>
          <w:sz w:val="22"/>
          <w:szCs w:val="22"/>
        </w:rPr>
        <w:t xml:space="preserve"> from demanding repayment of the </w:t>
      </w:r>
      <w:r>
        <w:rPr>
          <w:rFonts w:ascii="Avenir Next" w:hAnsi="Avenir Next" w:cs="Arial"/>
          <w:color w:val="808080" w:themeColor="background1" w:themeShade="80"/>
          <w:sz w:val="22"/>
          <w:szCs w:val="22"/>
        </w:rPr>
        <w:t>C</w:t>
      </w:r>
      <w:r w:rsidRPr="00361D6A">
        <w:rPr>
          <w:rFonts w:ascii="Avenir Next" w:hAnsi="Avenir Next" w:cs="Arial"/>
          <w:color w:val="808080" w:themeColor="background1" w:themeShade="80"/>
          <w:sz w:val="22"/>
          <w:szCs w:val="22"/>
        </w:rPr>
        <w:t>ompany’s loans</w:t>
      </w:r>
      <w:r>
        <w:rPr>
          <w:rFonts w:ascii="Avenir Next" w:hAnsi="Avenir Next" w:cs="Arial"/>
          <w:color w:val="808080" w:themeColor="background1" w:themeShade="80"/>
          <w:sz w:val="22"/>
          <w:szCs w:val="22"/>
        </w:rPr>
        <w:t>.</w:t>
      </w:r>
      <w:r w:rsidR="003E3CCB">
        <w:rPr>
          <w:rFonts w:ascii="Avenir Next" w:hAnsi="Avenir Next" w:cs="Arial"/>
          <w:color w:val="808080" w:themeColor="background1" w:themeShade="80"/>
          <w:sz w:val="22"/>
          <w:szCs w:val="22"/>
        </w:rPr>
        <w:t xml:space="preserve"> The </w:t>
      </w:r>
      <w:r w:rsidR="003E3CCB">
        <w:rPr>
          <w:rFonts w:ascii="Avenir Next" w:hAnsi="Avenir Next" w:cs="Arial"/>
          <w:color w:val="808080" w:themeColor="background1" w:themeShade="80"/>
          <w:sz w:val="22"/>
          <w:szCs w:val="22"/>
        </w:rPr>
        <w:t>transaction</w:t>
      </w:r>
      <w:r w:rsidR="003E3CCB">
        <w:rPr>
          <w:rFonts w:ascii="Avenir Next" w:hAnsi="Avenir Next" w:cs="Arial"/>
          <w:color w:val="808080" w:themeColor="background1" w:themeShade="80"/>
          <w:sz w:val="22"/>
          <w:szCs w:val="22"/>
        </w:rPr>
        <w:t xml:space="preserve"> also needs to have been undertaken at the 'relevant time' being within 2 years of the onset of insolvency (the Company going into liquidation). That is the case here, the floating charge having been granted in </w:t>
      </w:r>
      <w:r w:rsidR="003E3CCB" w:rsidRPr="003E3CCB">
        <w:rPr>
          <w:rFonts w:ascii="Avenir Next" w:hAnsi="Avenir Next" w:cs="Arial"/>
          <w:color w:val="808080" w:themeColor="background1" w:themeShade="80"/>
          <w:sz w:val="22"/>
          <w:szCs w:val="22"/>
        </w:rPr>
        <w:t>February 2022</w:t>
      </w:r>
      <w:r w:rsidR="003E3CCB">
        <w:rPr>
          <w:rFonts w:ascii="Avenir Next" w:hAnsi="Avenir Next" w:cs="Arial"/>
          <w:color w:val="808080" w:themeColor="background1" w:themeShade="80"/>
          <w:sz w:val="22"/>
          <w:szCs w:val="22"/>
        </w:rPr>
        <w:t xml:space="preserve"> and the Company </w:t>
      </w:r>
      <w:r w:rsidR="003E3CCB" w:rsidRPr="003E3CCB">
        <w:rPr>
          <w:rFonts w:ascii="Avenir Next" w:hAnsi="Avenir Next" w:cs="Arial"/>
          <w:color w:val="808080" w:themeColor="background1" w:themeShade="80"/>
          <w:sz w:val="22"/>
          <w:szCs w:val="22"/>
        </w:rPr>
        <w:t>going into compulsory liquidation on 23rd December 2022</w:t>
      </w:r>
      <w:r w:rsidR="003E3CCB">
        <w:rPr>
          <w:rFonts w:ascii="Avenir Next" w:hAnsi="Avenir Next" w:cs="Arial"/>
          <w:color w:val="808080" w:themeColor="background1" w:themeShade="80"/>
          <w:sz w:val="22"/>
          <w:szCs w:val="22"/>
        </w:rPr>
        <w:t>.</w:t>
      </w:r>
      <w:r w:rsidR="00DA60A6">
        <w:rPr>
          <w:rFonts w:ascii="Avenir Next" w:hAnsi="Avenir Next" w:cs="Arial"/>
          <w:color w:val="808080" w:themeColor="background1" w:themeShade="80"/>
          <w:sz w:val="22"/>
          <w:szCs w:val="22"/>
        </w:rPr>
        <w:t xml:space="preserve"> Section 245 also makes a floating charge invalid if it is made either with a connected person within 2 years of the Company going into liquidation, or 12 months prior if made with an unconnected person, and at the time the Company was unable to pay its debts or became unable to do so as a result of the transaction. Whether FB plc is unconnected or not the transaction took place within the relevant time, and it appears that the </w:t>
      </w:r>
      <w:r w:rsidR="00DA60A6">
        <w:rPr>
          <w:rFonts w:ascii="Avenir Next" w:hAnsi="Avenir Next" w:cs="Arial"/>
          <w:color w:val="808080" w:themeColor="background1" w:themeShade="80"/>
          <w:sz w:val="22"/>
          <w:szCs w:val="22"/>
        </w:rPr>
        <w:lastRenderedPageBreak/>
        <w:t>Company was unable to pay its debts at the time of the transaction as FB plc appeared to be making demands for repayment, which led to the transaction being entered into.</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962D63" w14:textId="5156D51F" w:rsidR="00EA3B38" w:rsidRPr="00B84055" w:rsidRDefault="00C90BBA"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marble cutting machines were sold to Rita Perkins who is a director. Under s238 of the Act, a liquidator can have a transaction set aside if it was entered between the Company and another person for consideration which was significantly less than the value of the consideration paid by the Company. Here we know that the Company paid GBP 25,000 for the machines only a year before they were sold to RP for GBP 10,000. That on its face would indicate that the machines were sold for less than the value of the consideration provided by the Company. The transaction took place within two prior to the commencement of the liquidation, having been sold in July 2022. </w:t>
      </w:r>
      <w:r w:rsidR="00F021A8">
        <w:rPr>
          <w:rFonts w:ascii="Avenir Next" w:hAnsi="Avenir Next" w:cs="Arial"/>
          <w:color w:val="808080" w:themeColor="background1" w:themeShade="80"/>
          <w:sz w:val="22"/>
          <w:szCs w:val="22"/>
        </w:rPr>
        <w:t xml:space="preserve">The Company needs to have either been unable to pay its debts as they fell due at the time of the transaction or became so as a result of the transaction for the liquidator to establish liability. We do not have enough information to determinate that definitely but it appears that the Company was having </w:t>
      </w:r>
      <w:r w:rsidR="00F021A8" w:rsidRPr="00F021A8">
        <w:rPr>
          <w:rFonts w:ascii="Avenir Next" w:hAnsi="Avenir Next" w:cs="Arial"/>
          <w:color w:val="808080" w:themeColor="background1" w:themeShade="80"/>
          <w:sz w:val="22"/>
          <w:szCs w:val="22"/>
        </w:rPr>
        <w:t>cash flow problems</w:t>
      </w:r>
      <w:r w:rsidR="00F021A8">
        <w:rPr>
          <w:rFonts w:ascii="Avenir Next" w:hAnsi="Avenir Next" w:cs="Arial"/>
          <w:color w:val="808080" w:themeColor="background1" w:themeShade="80"/>
          <w:sz w:val="22"/>
          <w:szCs w:val="22"/>
        </w:rPr>
        <w:t xml:space="preserve"> at the time, which would appear to accord with the definition of cash flow insolvency. </w:t>
      </w:r>
      <w:r w:rsidR="00697385">
        <w:rPr>
          <w:rFonts w:ascii="Avenir Next" w:hAnsi="Avenir Next" w:cs="Arial"/>
          <w:color w:val="808080" w:themeColor="background1" w:themeShade="80"/>
          <w:sz w:val="22"/>
          <w:szCs w:val="22"/>
        </w:rPr>
        <w:t xml:space="preserve">In addition, RP is a connected person and as a result the Company is presumed to have been insolvent or become insolvent as a result of the transaction unless proven otherwise. Therefore the liquidator may take action in relation to this transaction as a transaction at an undervalue. </w:t>
      </w:r>
      <w:r w:rsidR="000645C9">
        <w:rPr>
          <w:rFonts w:ascii="Avenir Next" w:hAnsi="Avenir Next" w:cs="Arial"/>
          <w:color w:val="808080" w:themeColor="background1" w:themeShade="80"/>
          <w:sz w:val="22"/>
          <w:szCs w:val="22"/>
        </w:rPr>
        <w:t>The transaction is also possible a transaction defrauding creditors under section 423 of the Act since it concerns a transaction at an undervalue and could be considered to have put assets of the company out of reach of creditors.</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6F38B806" w14:textId="2024564D" w:rsidR="009452DF" w:rsidRPr="00B84055" w:rsidRDefault="00C26DB9"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As H&amp;F Limited is a supplier of the Company and if it had demanded payment after the Company went into liquidation in December 2022, the liquidator could have relied on the provisions of section S233B whereby t</w:t>
      </w:r>
      <w:r w:rsidRPr="00C26DB9">
        <w:rPr>
          <w:rFonts w:ascii="Avenir Next" w:hAnsi="Avenir Next" w:cs="Arial"/>
          <w:color w:val="808080" w:themeColor="background1" w:themeShade="80"/>
          <w:sz w:val="22"/>
          <w:szCs w:val="22"/>
        </w:rPr>
        <w:t xml:space="preserve">he supplier </w:t>
      </w:r>
      <w:r>
        <w:rPr>
          <w:rFonts w:ascii="Avenir Next" w:hAnsi="Avenir Next" w:cs="Arial"/>
          <w:color w:val="808080" w:themeColor="background1" w:themeShade="80"/>
          <w:sz w:val="22"/>
          <w:szCs w:val="22"/>
        </w:rPr>
        <w:t>would be prohibited from making payment of their outstanding charges</w:t>
      </w:r>
      <w:r w:rsidRPr="00C26DB9">
        <w:rPr>
          <w:rFonts w:ascii="Avenir Next" w:hAnsi="Avenir Next" w:cs="Arial"/>
          <w:color w:val="808080" w:themeColor="background1" w:themeShade="80"/>
          <w:sz w:val="22"/>
          <w:szCs w:val="22"/>
        </w:rPr>
        <w:t xml:space="preserve"> a condition of </w:t>
      </w:r>
      <w:r>
        <w:rPr>
          <w:rFonts w:ascii="Avenir Next" w:hAnsi="Avenir Next" w:cs="Arial"/>
          <w:color w:val="808080" w:themeColor="background1" w:themeShade="80"/>
          <w:sz w:val="22"/>
          <w:szCs w:val="22"/>
        </w:rPr>
        <w:t>the</w:t>
      </w:r>
      <w:r w:rsidRPr="00C26DB9">
        <w:rPr>
          <w:rFonts w:ascii="Avenir Next" w:hAnsi="Avenir Next" w:cs="Arial"/>
          <w:color w:val="808080" w:themeColor="background1" w:themeShade="80"/>
          <w:sz w:val="22"/>
          <w:szCs w:val="22"/>
        </w:rPr>
        <w:t xml:space="preserve"> supply of</w:t>
      </w:r>
      <w:r>
        <w:rPr>
          <w:rFonts w:ascii="Avenir Next" w:hAnsi="Avenir Next" w:cs="Arial"/>
          <w:color w:val="808080" w:themeColor="background1" w:themeShade="80"/>
          <w:sz w:val="22"/>
          <w:szCs w:val="22"/>
        </w:rPr>
        <w:t xml:space="preserve"> their</w:t>
      </w:r>
      <w:r w:rsidRPr="00C26DB9">
        <w:rPr>
          <w:rFonts w:ascii="Avenir Next" w:hAnsi="Avenir Next" w:cs="Arial"/>
          <w:color w:val="808080" w:themeColor="background1" w:themeShade="80"/>
          <w:sz w:val="22"/>
          <w:szCs w:val="22"/>
        </w:rPr>
        <w:t xml:space="preserve"> goods.</w:t>
      </w:r>
      <w:r>
        <w:rPr>
          <w:rFonts w:ascii="Avenir Next" w:hAnsi="Avenir Next" w:cs="Arial"/>
          <w:color w:val="808080" w:themeColor="background1" w:themeShade="80"/>
          <w:sz w:val="22"/>
          <w:szCs w:val="22"/>
        </w:rPr>
        <w:t xml:space="preserve"> However as the demand was made just before the Company went into liquidation, this provision cannot be relied upon.</w:t>
      </w:r>
      <w:r w:rsidR="00494D20">
        <w:rPr>
          <w:rFonts w:ascii="Avenir Next" w:hAnsi="Avenir Next" w:cs="Arial"/>
          <w:color w:val="808080" w:themeColor="background1" w:themeShade="80"/>
          <w:sz w:val="22"/>
          <w:szCs w:val="22"/>
        </w:rPr>
        <w:t xml:space="preserve"> Once the Company has gone into liquidation the supplier will no longer be able to demand payment of their outstanding charges as a condition of continuing their supply. </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535CFC99" w:rsidR="00241FA3" w:rsidRPr="00A84235" w:rsidRDefault="00A861C7" w:rsidP="009B4976">
    <w:pPr>
      <w:pStyle w:val="Footer"/>
      <w:ind w:right="360"/>
      <w:rPr>
        <w:rFonts w:ascii="Avenir Next" w:hAnsi="Avenir Next" w:cs="Arial"/>
        <w:sz w:val="22"/>
        <w:szCs w:val="22"/>
        <w:lang w:val="en-GB"/>
      </w:rPr>
    </w:pPr>
    <w:r w:rsidRPr="00A861C7">
      <w:rPr>
        <w:rFonts w:ascii="Avenir Next" w:hAnsi="Avenir Next" w:cs="Arial"/>
        <w:sz w:val="22"/>
        <w:szCs w:val="22"/>
        <w:lang w:val="en-GB"/>
      </w:rPr>
      <w:t>202223-840</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2860B7"/>
    <w:multiLevelType w:val="hybridMultilevel"/>
    <w:tmpl w:val="4B5EB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307DF3"/>
    <w:multiLevelType w:val="hybridMultilevel"/>
    <w:tmpl w:val="A90A7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7B3698"/>
    <w:multiLevelType w:val="hybridMultilevel"/>
    <w:tmpl w:val="78D88A2C"/>
    <w:lvl w:ilvl="0" w:tplc="CADCDF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6"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8754297">
    <w:abstractNumId w:val="4"/>
  </w:num>
  <w:num w:numId="2" w16cid:durableId="422997794">
    <w:abstractNumId w:val="1"/>
  </w:num>
  <w:num w:numId="3" w16cid:durableId="1889411580">
    <w:abstractNumId w:val="0"/>
  </w:num>
  <w:num w:numId="4" w16cid:durableId="927150936">
    <w:abstractNumId w:val="9"/>
  </w:num>
  <w:num w:numId="5" w16cid:durableId="326054358">
    <w:abstractNumId w:val="13"/>
  </w:num>
  <w:num w:numId="6" w16cid:durableId="1509564940">
    <w:abstractNumId w:val="2"/>
  </w:num>
  <w:num w:numId="7" w16cid:durableId="109739087">
    <w:abstractNumId w:val="14"/>
  </w:num>
  <w:num w:numId="8" w16cid:durableId="1381706239">
    <w:abstractNumId w:val="18"/>
  </w:num>
  <w:num w:numId="9" w16cid:durableId="582419859">
    <w:abstractNumId w:val="10"/>
  </w:num>
  <w:num w:numId="10" w16cid:durableId="607204184">
    <w:abstractNumId w:val="19"/>
  </w:num>
  <w:num w:numId="11" w16cid:durableId="548538911">
    <w:abstractNumId w:val="6"/>
  </w:num>
  <w:num w:numId="12" w16cid:durableId="1964533046">
    <w:abstractNumId w:val="16"/>
  </w:num>
  <w:num w:numId="13" w16cid:durableId="1144854150">
    <w:abstractNumId w:val="11"/>
  </w:num>
  <w:num w:numId="14" w16cid:durableId="2010985657">
    <w:abstractNumId w:val="5"/>
  </w:num>
  <w:num w:numId="15" w16cid:durableId="2014601105">
    <w:abstractNumId w:val="15"/>
  </w:num>
  <w:num w:numId="16" w16cid:durableId="216935057">
    <w:abstractNumId w:val="17"/>
  </w:num>
  <w:num w:numId="17" w16cid:durableId="146821730">
    <w:abstractNumId w:val="8"/>
  </w:num>
  <w:num w:numId="18" w16cid:durableId="980498904">
    <w:abstractNumId w:val="12"/>
  </w:num>
  <w:num w:numId="19" w16cid:durableId="476187599">
    <w:abstractNumId w:val="3"/>
  </w:num>
  <w:num w:numId="20" w16cid:durableId="123018804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182C"/>
    <w:rsid w:val="00020557"/>
    <w:rsid w:val="00021FC2"/>
    <w:rsid w:val="000250C7"/>
    <w:rsid w:val="00026F16"/>
    <w:rsid w:val="00037621"/>
    <w:rsid w:val="00044D46"/>
    <w:rsid w:val="00045088"/>
    <w:rsid w:val="00045904"/>
    <w:rsid w:val="000502FD"/>
    <w:rsid w:val="000645C9"/>
    <w:rsid w:val="00065166"/>
    <w:rsid w:val="00082609"/>
    <w:rsid w:val="000851CC"/>
    <w:rsid w:val="00087F21"/>
    <w:rsid w:val="00093BE8"/>
    <w:rsid w:val="000A407B"/>
    <w:rsid w:val="000A68ED"/>
    <w:rsid w:val="000B5FF1"/>
    <w:rsid w:val="000B609F"/>
    <w:rsid w:val="000D10C6"/>
    <w:rsid w:val="000D55A8"/>
    <w:rsid w:val="000E4841"/>
    <w:rsid w:val="000F1677"/>
    <w:rsid w:val="000F3D6C"/>
    <w:rsid w:val="00101694"/>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1200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A57E5"/>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1D6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3CCB"/>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4D20"/>
    <w:rsid w:val="00495E79"/>
    <w:rsid w:val="004A2D83"/>
    <w:rsid w:val="004A57DD"/>
    <w:rsid w:val="004A7B51"/>
    <w:rsid w:val="004A7D71"/>
    <w:rsid w:val="004A7EF3"/>
    <w:rsid w:val="004B11FD"/>
    <w:rsid w:val="004B23A2"/>
    <w:rsid w:val="004D1A5A"/>
    <w:rsid w:val="004D2FFF"/>
    <w:rsid w:val="004D3721"/>
    <w:rsid w:val="004D64F9"/>
    <w:rsid w:val="004E3A6B"/>
    <w:rsid w:val="004E3D02"/>
    <w:rsid w:val="004E622C"/>
    <w:rsid w:val="004F5FDF"/>
    <w:rsid w:val="005177FE"/>
    <w:rsid w:val="00520242"/>
    <w:rsid w:val="00520479"/>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624AB"/>
    <w:rsid w:val="006639DB"/>
    <w:rsid w:val="006661EF"/>
    <w:rsid w:val="00677AEB"/>
    <w:rsid w:val="00680EF2"/>
    <w:rsid w:val="00687A1D"/>
    <w:rsid w:val="006925C1"/>
    <w:rsid w:val="00697385"/>
    <w:rsid w:val="00697EA1"/>
    <w:rsid w:val="006A2646"/>
    <w:rsid w:val="006A6530"/>
    <w:rsid w:val="006B435A"/>
    <w:rsid w:val="006B4C64"/>
    <w:rsid w:val="006D282B"/>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6D86"/>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7701"/>
    <w:rsid w:val="00871C74"/>
    <w:rsid w:val="008723F3"/>
    <w:rsid w:val="00876F56"/>
    <w:rsid w:val="00881DE6"/>
    <w:rsid w:val="008837A6"/>
    <w:rsid w:val="0089145D"/>
    <w:rsid w:val="00891690"/>
    <w:rsid w:val="008A4260"/>
    <w:rsid w:val="008A4DF2"/>
    <w:rsid w:val="008A6CFE"/>
    <w:rsid w:val="008B4B99"/>
    <w:rsid w:val="008B5333"/>
    <w:rsid w:val="008B58D5"/>
    <w:rsid w:val="008B5D0F"/>
    <w:rsid w:val="008B6223"/>
    <w:rsid w:val="008B72B8"/>
    <w:rsid w:val="008C66E0"/>
    <w:rsid w:val="008D1616"/>
    <w:rsid w:val="008E3339"/>
    <w:rsid w:val="008F20FC"/>
    <w:rsid w:val="008F5FFE"/>
    <w:rsid w:val="00905A43"/>
    <w:rsid w:val="00912C79"/>
    <w:rsid w:val="00921B8C"/>
    <w:rsid w:val="00924DAF"/>
    <w:rsid w:val="00931D14"/>
    <w:rsid w:val="00942123"/>
    <w:rsid w:val="009452DF"/>
    <w:rsid w:val="00951AA8"/>
    <w:rsid w:val="0095207B"/>
    <w:rsid w:val="00962045"/>
    <w:rsid w:val="00980E61"/>
    <w:rsid w:val="0098152E"/>
    <w:rsid w:val="00991428"/>
    <w:rsid w:val="00992676"/>
    <w:rsid w:val="009954B2"/>
    <w:rsid w:val="00996691"/>
    <w:rsid w:val="00996D19"/>
    <w:rsid w:val="009A3AB7"/>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0492E"/>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861C7"/>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103"/>
    <w:rsid w:val="00B604A1"/>
    <w:rsid w:val="00B64929"/>
    <w:rsid w:val="00B736DF"/>
    <w:rsid w:val="00B743D6"/>
    <w:rsid w:val="00B74FBD"/>
    <w:rsid w:val="00B77F46"/>
    <w:rsid w:val="00B82586"/>
    <w:rsid w:val="00B829A3"/>
    <w:rsid w:val="00B86DB1"/>
    <w:rsid w:val="00B87869"/>
    <w:rsid w:val="00B9639B"/>
    <w:rsid w:val="00BA1CFD"/>
    <w:rsid w:val="00BB0F2B"/>
    <w:rsid w:val="00BE26CB"/>
    <w:rsid w:val="00BE4FF3"/>
    <w:rsid w:val="00BF2C93"/>
    <w:rsid w:val="00BF50F7"/>
    <w:rsid w:val="00C02F29"/>
    <w:rsid w:val="00C17718"/>
    <w:rsid w:val="00C20AFE"/>
    <w:rsid w:val="00C22A25"/>
    <w:rsid w:val="00C26DB9"/>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0BBA"/>
    <w:rsid w:val="00C91062"/>
    <w:rsid w:val="00C919D1"/>
    <w:rsid w:val="00C963D3"/>
    <w:rsid w:val="00CB1983"/>
    <w:rsid w:val="00CB2CBB"/>
    <w:rsid w:val="00CB7CAC"/>
    <w:rsid w:val="00CC5335"/>
    <w:rsid w:val="00CC5BA4"/>
    <w:rsid w:val="00CD4998"/>
    <w:rsid w:val="00CE1035"/>
    <w:rsid w:val="00CE6E50"/>
    <w:rsid w:val="00CF2819"/>
    <w:rsid w:val="00CF4F9D"/>
    <w:rsid w:val="00CF70DC"/>
    <w:rsid w:val="00CF7E84"/>
    <w:rsid w:val="00D01697"/>
    <w:rsid w:val="00D148DC"/>
    <w:rsid w:val="00D17FDC"/>
    <w:rsid w:val="00D21D8C"/>
    <w:rsid w:val="00D262DA"/>
    <w:rsid w:val="00D32091"/>
    <w:rsid w:val="00D53719"/>
    <w:rsid w:val="00D63EFD"/>
    <w:rsid w:val="00D84752"/>
    <w:rsid w:val="00D86B3B"/>
    <w:rsid w:val="00D8748A"/>
    <w:rsid w:val="00D93196"/>
    <w:rsid w:val="00DA0455"/>
    <w:rsid w:val="00DA0DC0"/>
    <w:rsid w:val="00DA60A6"/>
    <w:rsid w:val="00DA7BAB"/>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17B5"/>
    <w:rsid w:val="00E443D7"/>
    <w:rsid w:val="00E450A4"/>
    <w:rsid w:val="00E506BE"/>
    <w:rsid w:val="00E55547"/>
    <w:rsid w:val="00E6302B"/>
    <w:rsid w:val="00E6452F"/>
    <w:rsid w:val="00E64F45"/>
    <w:rsid w:val="00E6742D"/>
    <w:rsid w:val="00E71CB0"/>
    <w:rsid w:val="00E77C3D"/>
    <w:rsid w:val="00E833F4"/>
    <w:rsid w:val="00E87EC1"/>
    <w:rsid w:val="00E90991"/>
    <w:rsid w:val="00E909F0"/>
    <w:rsid w:val="00E90D47"/>
    <w:rsid w:val="00E93993"/>
    <w:rsid w:val="00E94797"/>
    <w:rsid w:val="00E9597C"/>
    <w:rsid w:val="00EA0913"/>
    <w:rsid w:val="00EA3B38"/>
    <w:rsid w:val="00EA5B00"/>
    <w:rsid w:val="00EB146B"/>
    <w:rsid w:val="00EB45AC"/>
    <w:rsid w:val="00EC441F"/>
    <w:rsid w:val="00EC4755"/>
    <w:rsid w:val="00ED0BC4"/>
    <w:rsid w:val="00ED447D"/>
    <w:rsid w:val="00EE4971"/>
    <w:rsid w:val="00EE6CB0"/>
    <w:rsid w:val="00EF090E"/>
    <w:rsid w:val="00EF5572"/>
    <w:rsid w:val="00F01D7D"/>
    <w:rsid w:val="00F021A8"/>
    <w:rsid w:val="00F033DA"/>
    <w:rsid w:val="00F13691"/>
    <w:rsid w:val="00F13FB1"/>
    <w:rsid w:val="00F253AE"/>
    <w:rsid w:val="00F27CD8"/>
    <w:rsid w:val="00F30351"/>
    <w:rsid w:val="00F3323E"/>
    <w:rsid w:val="00F341F4"/>
    <w:rsid w:val="00F34F9D"/>
    <w:rsid w:val="00F35CCE"/>
    <w:rsid w:val="00F41146"/>
    <w:rsid w:val="00F5524B"/>
    <w:rsid w:val="00F60538"/>
    <w:rsid w:val="00F61DD2"/>
    <w:rsid w:val="00F62E7A"/>
    <w:rsid w:val="00F66AFF"/>
    <w:rsid w:val="00F67254"/>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634077">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17172611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3.xml><?xml version="1.0" encoding="utf-8"?>
<ds:datastoreItem xmlns:ds="http://schemas.openxmlformats.org/officeDocument/2006/customXml" ds:itemID="{6938A4B9-8C0E-4B4F-8A58-78C20B623A4E}">
  <ds:schemaRefs>
    <ds:schemaRef ds:uri="http://schemas.microsoft.com/office/2006/documentManagement/types"/>
    <ds:schemaRef ds:uri="ee216d15-0d94-4154-823d-f705f9e225b9"/>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a83e3e4-888c-4ce0-bc3e-c79df2587106"/>
    <ds:schemaRef ds:uri="http://www.w3.org/XML/1998/namespace"/>
  </ds:schemaRefs>
</ds:datastoreItem>
</file>

<file path=customXml/itemProps4.xml><?xml version="1.0" encoding="utf-8"?>
<ds:datastoreItem xmlns:ds="http://schemas.openxmlformats.org/officeDocument/2006/customXml" ds:itemID="{8B8A4935-74CC-4E45-908F-EB611FBC0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3004</Words>
  <Characters>17126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 Malik</cp:lastModifiedBy>
  <cp:revision>35</cp:revision>
  <cp:lastPrinted>2019-08-27T05:42:00Z</cp:lastPrinted>
  <dcterms:created xsi:type="dcterms:W3CDTF">2023-02-10T18:16:00Z</dcterms:created>
  <dcterms:modified xsi:type="dcterms:W3CDTF">2023-02-10T19:55:00Z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