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8D7797" w:rsidRDefault="00D66F96" w:rsidP="005B7C95">
      <w:pPr>
        <w:pStyle w:val="ListParagraph"/>
        <w:numPr>
          <w:ilvl w:val="0"/>
          <w:numId w:val="26"/>
        </w:numPr>
        <w:ind w:left="426"/>
        <w:jc w:val="both"/>
        <w:rPr>
          <w:rFonts w:ascii="Avenir Next" w:hAnsi="Avenir Next" w:cs="Arial"/>
          <w:sz w:val="22"/>
          <w:szCs w:val="22"/>
          <w:highlight w:val="yellow"/>
          <w:lang w:val="en-GB"/>
        </w:rPr>
      </w:pPr>
      <w:r w:rsidRPr="008D7797">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8D7797"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8D7797">
        <w:rPr>
          <w:rFonts w:ascii="Avenir Next" w:hAnsi="Avenir Next" w:cs="Arial"/>
          <w:iCs/>
          <w:sz w:val="22"/>
          <w:szCs w:val="22"/>
          <w:highlight w:val="yellow"/>
          <w:lang w:val="en-GB"/>
        </w:rPr>
        <w:t>t</w:t>
      </w:r>
      <w:r w:rsidR="00302D76" w:rsidRPr="008D7797">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E131B1"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E131B1">
        <w:rPr>
          <w:rFonts w:ascii="Avenir Next" w:hAnsi="Avenir Next"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E131B1" w:rsidRDefault="00971896" w:rsidP="003C4BCB">
      <w:pPr>
        <w:pStyle w:val="ListParagraph"/>
        <w:numPr>
          <w:ilvl w:val="0"/>
          <w:numId w:val="5"/>
        </w:numPr>
        <w:ind w:left="426"/>
        <w:jc w:val="both"/>
        <w:rPr>
          <w:rFonts w:ascii="Avenir Next" w:hAnsi="Avenir Next" w:cs="Arial"/>
          <w:sz w:val="22"/>
          <w:szCs w:val="22"/>
          <w:highlight w:val="yellow"/>
          <w:lang w:val="en-GB"/>
        </w:rPr>
      </w:pPr>
      <w:r w:rsidRPr="00E131B1">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E131B1">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302090" w:rsidRDefault="00302D76" w:rsidP="008E3C96">
      <w:pPr>
        <w:pStyle w:val="ListParagraph"/>
        <w:numPr>
          <w:ilvl w:val="0"/>
          <w:numId w:val="28"/>
        </w:numPr>
        <w:ind w:left="426"/>
        <w:jc w:val="both"/>
        <w:rPr>
          <w:rFonts w:ascii="Avenir Next" w:hAnsi="Avenir Next" w:cs="Arial"/>
          <w:sz w:val="22"/>
          <w:szCs w:val="22"/>
          <w:lang w:val="en-GB"/>
        </w:rPr>
      </w:pPr>
      <w:r w:rsidRPr="00302090">
        <w:rPr>
          <w:rFonts w:ascii="Avenir Next" w:hAnsi="Avenir Next" w:cs="Arial"/>
          <w:sz w:val="22"/>
          <w:szCs w:val="22"/>
          <w:lang w:val="en-GB"/>
        </w:rPr>
        <w:t>Article 18 EIR Recast (“</w:t>
      </w:r>
      <w:r w:rsidRPr="00302090">
        <w:rPr>
          <w:rFonts w:ascii="Avenir Next" w:hAnsi="Avenir Next" w:cs="Arial"/>
          <w:bCs/>
          <w:sz w:val="22"/>
          <w:szCs w:val="22"/>
          <w:lang w:val="en-GB"/>
        </w:rPr>
        <w:t>Effects of insolvency proceedings on pending lawsuits or arbitral proceedings”</w:t>
      </w:r>
      <w:r w:rsidRPr="00302090">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302090" w:rsidRDefault="00302D76" w:rsidP="008E3C96">
      <w:pPr>
        <w:pStyle w:val="ListParagraph"/>
        <w:numPr>
          <w:ilvl w:val="0"/>
          <w:numId w:val="28"/>
        </w:numPr>
        <w:ind w:left="426"/>
        <w:jc w:val="both"/>
        <w:rPr>
          <w:rFonts w:ascii="Avenir Next" w:hAnsi="Avenir Next" w:cs="Arial"/>
          <w:sz w:val="22"/>
          <w:szCs w:val="22"/>
          <w:lang w:val="en-GB"/>
        </w:rPr>
      </w:pPr>
      <w:r w:rsidRPr="00302090">
        <w:rPr>
          <w:rFonts w:ascii="Avenir Next" w:hAnsi="Avenir Next" w:cs="Arial"/>
          <w:sz w:val="22"/>
          <w:szCs w:val="22"/>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302090" w:rsidRDefault="00CA7069" w:rsidP="008E3C96">
      <w:pPr>
        <w:pStyle w:val="ListParagraph"/>
        <w:numPr>
          <w:ilvl w:val="0"/>
          <w:numId w:val="28"/>
        </w:numPr>
        <w:ind w:left="426"/>
        <w:jc w:val="both"/>
        <w:rPr>
          <w:rFonts w:ascii="Avenir Next" w:hAnsi="Avenir Next" w:cs="Arial"/>
          <w:sz w:val="22"/>
          <w:szCs w:val="22"/>
          <w:highlight w:val="yellow"/>
          <w:lang w:val="en-GB"/>
        </w:rPr>
      </w:pPr>
      <w:r w:rsidRPr="00302090">
        <w:rPr>
          <w:rFonts w:ascii="Avenir Next" w:hAnsi="Avenir Next" w:cs="Arial"/>
          <w:sz w:val="22"/>
          <w:szCs w:val="22"/>
          <w:highlight w:val="yellow"/>
          <w:lang w:val="en-GB"/>
        </w:rPr>
        <w:t>Article 31 EIR Recast (“</w:t>
      </w:r>
      <w:r w:rsidRPr="00302090">
        <w:rPr>
          <w:rFonts w:ascii="Avenir Next" w:hAnsi="Avenir Next" w:cs="Arial"/>
          <w:bCs/>
          <w:sz w:val="22"/>
          <w:szCs w:val="22"/>
          <w:highlight w:val="yellow"/>
          <w:lang w:val="en-GB"/>
        </w:rPr>
        <w:t>Honouring of an obligation to a debtor”</w:t>
      </w:r>
      <w:r w:rsidRPr="00302090">
        <w:rPr>
          <w:rFonts w:ascii="Avenir Next" w:hAnsi="Avenir Next" w:cs="Arial"/>
          <w:sz w:val="22"/>
          <w:szCs w:val="22"/>
          <w:highlight w:val="yellow"/>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6E5AD5" w:rsidRDefault="00CA7069" w:rsidP="003C4BCB">
      <w:pPr>
        <w:pStyle w:val="ListParagraph"/>
        <w:numPr>
          <w:ilvl w:val="0"/>
          <w:numId w:val="7"/>
        </w:numPr>
        <w:ind w:left="426"/>
        <w:jc w:val="both"/>
        <w:rPr>
          <w:rFonts w:ascii="Avenir Next" w:hAnsi="Avenir Next" w:cs="Arial"/>
          <w:sz w:val="22"/>
          <w:szCs w:val="22"/>
          <w:highlight w:val="yellow"/>
          <w:lang w:val="en-GB"/>
        </w:rPr>
      </w:pPr>
      <w:r w:rsidRPr="006E5AD5">
        <w:rPr>
          <w:rFonts w:ascii="Avenir Next" w:hAnsi="Avenir Next" w:cs="Arial"/>
          <w:sz w:val="22"/>
          <w:szCs w:val="22"/>
          <w:highlight w:val="yellow"/>
          <w:lang w:val="en-GB"/>
        </w:rPr>
        <w:t xml:space="preserve">Each Member State will define </w:t>
      </w:r>
      <w:r w:rsidR="001A68CC" w:rsidRPr="006E5AD5">
        <w:rPr>
          <w:rFonts w:ascii="Avenir Next" w:hAnsi="Avenir Next" w:cs="Arial"/>
          <w:sz w:val="22"/>
          <w:szCs w:val="22"/>
          <w:highlight w:val="yellow"/>
          <w:lang w:val="en-GB"/>
        </w:rPr>
        <w:t>“</w:t>
      </w:r>
      <w:r w:rsidRPr="006E5AD5">
        <w:rPr>
          <w:rFonts w:ascii="Avenir Next" w:hAnsi="Avenir Next" w:cs="Arial"/>
          <w:sz w:val="22"/>
          <w:szCs w:val="22"/>
          <w:highlight w:val="yellow"/>
          <w:lang w:val="en-GB"/>
        </w:rPr>
        <w:t>insolvency</w:t>
      </w:r>
      <w:r w:rsidR="001A68CC" w:rsidRPr="006E5AD5">
        <w:rPr>
          <w:rFonts w:ascii="Avenir Next" w:hAnsi="Avenir Next" w:cs="Arial"/>
          <w:sz w:val="22"/>
          <w:szCs w:val="22"/>
          <w:highlight w:val="yellow"/>
          <w:lang w:val="en-GB"/>
        </w:rPr>
        <w:t>”</w:t>
      </w:r>
      <w:r w:rsidRPr="006E5AD5">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6E5AD5" w:rsidRDefault="00CA7069" w:rsidP="00CA7069">
      <w:pPr>
        <w:pStyle w:val="ListParagraph"/>
        <w:numPr>
          <w:ilvl w:val="0"/>
          <w:numId w:val="8"/>
        </w:numPr>
        <w:ind w:left="426"/>
        <w:jc w:val="both"/>
        <w:rPr>
          <w:rFonts w:ascii="Avenir Next" w:hAnsi="Avenir Next" w:cs="Arial"/>
          <w:sz w:val="22"/>
          <w:szCs w:val="22"/>
          <w:highlight w:val="yellow"/>
          <w:lang w:val="en-GB"/>
        </w:rPr>
      </w:pPr>
      <w:r w:rsidRPr="006E5AD5">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BF4442" w:rsidRDefault="00C15FA2" w:rsidP="008E3C96">
      <w:pPr>
        <w:pStyle w:val="ListParagraph"/>
        <w:numPr>
          <w:ilvl w:val="0"/>
          <w:numId w:val="29"/>
        </w:numPr>
        <w:ind w:left="426"/>
        <w:jc w:val="both"/>
        <w:rPr>
          <w:rFonts w:ascii="Avenir Next" w:hAnsi="Avenir Next" w:cs="Arial"/>
          <w:sz w:val="22"/>
          <w:szCs w:val="22"/>
          <w:lang w:val="en-GB"/>
        </w:rPr>
      </w:pPr>
      <w:r w:rsidRPr="00BF4442">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BF4442" w:rsidRDefault="00C15FA2" w:rsidP="008E3C96">
      <w:pPr>
        <w:pStyle w:val="ListParagraph"/>
        <w:numPr>
          <w:ilvl w:val="0"/>
          <w:numId w:val="29"/>
        </w:numPr>
        <w:ind w:left="426"/>
        <w:jc w:val="both"/>
        <w:rPr>
          <w:rFonts w:ascii="Avenir Next" w:hAnsi="Avenir Next" w:cs="Arial"/>
          <w:sz w:val="22"/>
          <w:szCs w:val="22"/>
          <w:highlight w:val="yellow"/>
          <w:lang w:val="en-GB"/>
        </w:rPr>
      </w:pPr>
      <w:r w:rsidRPr="00BF4442">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C25E49" w:rsidRDefault="00EC242E" w:rsidP="008E3C96">
      <w:pPr>
        <w:pStyle w:val="ListParagraph"/>
        <w:numPr>
          <w:ilvl w:val="0"/>
          <w:numId w:val="30"/>
        </w:numPr>
        <w:ind w:left="426"/>
        <w:jc w:val="both"/>
        <w:rPr>
          <w:rFonts w:ascii="Avenir Next" w:hAnsi="Avenir Next" w:cs="Arial"/>
          <w:sz w:val="22"/>
          <w:szCs w:val="22"/>
          <w:highlight w:val="yellow"/>
          <w:lang w:val="en-GB"/>
        </w:rPr>
      </w:pPr>
      <w:r w:rsidRPr="00C25E49">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Canetier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Canetier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Canetier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CF0E4D" w:rsidRDefault="00EC242E" w:rsidP="00EC242E">
      <w:pPr>
        <w:pStyle w:val="ListParagraph"/>
        <w:numPr>
          <w:ilvl w:val="0"/>
          <w:numId w:val="9"/>
        </w:numPr>
        <w:ind w:left="426"/>
        <w:jc w:val="both"/>
        <w:rPr>
          <w:rFonts w:ascii="Avenir Next" w:hAnsi="Avenir Next" w:cs="Arial"/>
          <w:sz w:val="22"/>
          <w:szCs w:val="22"/>
          <w:highlight w:val="yellow"/>
          <w:lang w:val="en-GB"/>
        </w:rPr>
      </w:pPr>
      <w:r w:rsidRPr="00CF0E4D">
        <w:rPr>
          <w:rFonts w:ascii="Avenir Next" w:hAnsi="Avenir Next" w:cs="Arial"/>
          <w:sz w:val="22"/>
          <w:szCs w:val="22"/>
          <w:highlight w:val="yellow"/>
          <w:lang w:val="en-GB"/>
        </w:rPr>
        <w:t xml:space="preserve">The contested transactions cannot be avoided if Canetier SARL can prove that the </w:t>
      </w:r>
      <w:r w:rsidRPr="00CF0E4D">
        <w:rPr>
          <w:rFonts w:ascii="Avenir Next" w:hAnsi="Avenir Next" w:cs="Arial"/>
          <w:i/>
          <w:sz w:val="22"/>
          <w:szCs w:val="22"/>
          <w:highlight w:val="yellow"/>
          <w:lang w:val="en-GB"/>
        </w:rPr>
        <w:t>lex causae</w:t>
      </w:r>
      <w:r w:rsidRPr="00CF0E4D">
        <w:rPr>
          <w:rFonts w:ascii="Avenir Next" w:hAnsi="Avenir Next"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8E3C96" w:rsidRDefault="00054E15" w:rsidP="00054E15">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payments </w:t>
      </w:r>
      <w:r w:rsidR="00FC235E">
        <w:rPr>
          <w:rFonts w:ascii="Avenir Next" w:hAnsi="Avenir Next" w:cs="Arial"/>
          <w:sz w:val="22"/>
          <w:szCs w:val="22"/>
          <w:lang w:val="en-GB"/>
        </w:rPr>
        <w:t>will</w:t>
      </w:r>
      <w:r w:rsidRPr="008E3C96">
        <w:rPr>
          <w:rFonts w:ascii="Avenir Next" w:hAnsi="Avenir Next" w:cs="Arial"/>
          <w:sz w:val="22"/>
          <w:szCs w:val="22"/>
          <w:lang w:val="en-GB"/>
        </w:rPr>
        <w:t xml:space="preserve"> not be avoided if Canetier SARL proves that such transactions cannot be challenged on the basis of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Canetier SARL can rely solely, in a purely abstract manner, on the unchallengeable character of the payments at issue on the basis of a provision of the </w:t>
      </w:r>
      <w:r w:rsidRPr="008E3C96">
        <w:rPr>
          <w:rFonts w:ascii="Avenir Next" w:hAnsi="Avenir Next" w:cs="Arial"/>
          <w:i/>
          <w:sz w:val="22"/>
          <w:szCs w:val="22"/>
          <w:lang w:val="en-GB"/>
        </w:rPr>
        <w:t>lex causae</w:t>
      </w:r>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lastRenderedPageBreak/>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5C7DD9F3" w14:textId="03BDDF3C" w:rsidR="00636C15" w:rsidRDefault="00302090" w:rsidP="00636C15">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Statement 1 relates to Recital 31 and Article 3 o</w:t>
      </w:r>
      <w:r w:rsidR="00712AB6">
        <w:rPr>
          <w:rFonts w:ascii="Avenir Next" w:hAnsi="Avenir Next" w:cs="Arial"/>
          <w:color w:val="7B7B7B" w:themeColor="accent3" w:themeShade="BF"/>
          <w:sz w:val="22"/>
          <w:szCs w:val="22"/>
        </w:rPr>
        <w:t>f</w:t>
      </w:r>
      <w:r>
        <w:rPr>
          <w:rFonts w:ascii="Avenir Next" w:hAnsi="Avenir Next" w:cs="Arial"/>
          <w:color w:val="7B7B7B" w:themeColor="accent3" w:themeShade="BF"/>
          <w:sz w:val="22"/>
          <w:szCs w:val="22"/>
        </w:rPr>
        <w:t xml:space="preserve"> the EIR Recast</w:t>
      </w:r>
      <w:r w:rsidR="00712AB6">
        <w:rPr>
          <w:rFonts w:ascii="Avenir Next" w:hAnsi="Avenir Next" w:cs="Arial"/>
          <w:color w:val="7B7B7B" w:themeColor="accent3" w:themeShade="BF"/>
          <w:sz w:val="22"/>
          <w:szCs w:val="22"/>
        </w:rPr>
        <w:t xml:space="preserve">. These provisions codified </w:t>
      </w:r>
      <w:r w:rsidR="00AB7AA5">
        <w:rPr>
          <w:rFonts w:ascii="Avenir Next" w:hAnsi="Avenir Next" w:cs="Arial"/>
          <w:color w:val="7B7B7B" w:themeColor="accent3" w:themeShade="BF"/>
          <w:sz w:val="22"/>
          <w:szCs w:val="22"/>
        </w:rPr>
        <w:t>the</w:t>
      </w:r>
      <w:r w:rsidR="00712AB6">
        <w:rPr>
          <w:rFonts w:ascii="Avenir Next" w:hAnsi="Avenir Next" w:cs="Arial"/>
          <w:color w:val="7B7B7B" w:themeColor="accent3" w:themeShade="BF"/>
          <w:sz w:val="22"/>
          <w:szCs w:val="22"/>
        </w:rPr>
        <w:t xml:space="preserve"> CJEU’s guidance </w:t>
      </w:r>
      <w:r w:rsidR="00AB7AA5">
        <w:rPr>
          <w:rFonts w:ascii="Avenir Next" w:hAnsi="Avenir Next" w:cs="Arial"/>
          <w:color w:val="7B7B7B" w:themeColor="accent3" w:themeShade="BF"/>
          <w:sz w:val="22"/>
          <w:szCs w:val="22"/>
        </w:rPr>
        <w:t>establishing</w:t>
      </w:r>
      <w:r w:rsidR="00712AB6">
        <w:rPr>
          <w:rFonts w:ascii="Avenir Next" w:hAnsi="Avenir Next" w:cs="Arial"/>
          <w:color w:val="7B7B7B" w:themeColor="accent3" w:themeShade="BF"/>
          <w:sz w:val="22"/>
          <w:szCs w:val="22"/>
        </w:rPr>
        <w:t xml:space="preserve"> a rebuttable presumption of the Debtor’s COMI in order to protect third parties’ reasonable expectations and prevent abusive forum shopping. </w:t>
      </w:r>
    </w:p>
    <w:p w14:paraId="5F090DF3" w14:textId="77777777" w:rsidR="00712AB6" w:rsidRDefault="00712AB6" w:rsidP="00636C15">
      <w:pPr>
        <w:ind w:left="720" w:hanging="720"/>
        <w:jc w:val="both"/>
        <w:rPr>
          <w:rFonts w:ascii="Avenir Next" w:hAnsi="Avenir Next" w:cs="Arial"/>
          <w:color w:val="7B7B7B" w:themeColor="accent3" w:themeShade="BF"/>
          <w:sz w:val="22"/>
          <w:szCs w:val="22"/>
        </w:rPr>
      </w:pPr>
    </w:p>
    <w:p w14:paraId="7FF5DEC9" w14:textId="4C8A3CA6" w:rsidR="00712AB6" w:rsidRPr="008E3C96" w:rsidRDefault="00712AB6" w:rsidP="00636C15">
      <w:pPr>
        <w:ind w:left="720" w:hanging="720"/>
        <w:jc w:val="both"/>
        <w:rPr>
          <w:rFonts w:ascii="Avenir Next" w:hAnsi="Avenir Next" w:cs="Arial"/>
          <w:sz w:val="22"/>
          <w:szCs w:val="22"/>
        </w:rPr>
      </w:pPr>
      <w:r>
        <w:rPr>
          <w:rFonts w:ascii="Avenir Next" w:hAnsi="Avenir Next" w:cs="Arial"/>
          <w:color w:val="7B7B7B" w:themeColor="accent3" w:themeShade="BF"/>
          <w:sz w:val="22"/>
          <w:szCs w:val="22"/>
        </w:rPr>
        <w:t>Statement 2 relate</w:t>
      </w:r>
      <w:r w:rsidR="00AB7AA5">
        <w:rPr>
          <w:rFonts w:ascii="Avenir Next" w:hAnsi="Avenir Next" w:cs="Arial"/>
          <w:color w:val="7B7B7B" w:themeColor="accent3" w:themeShade="BF"/>
          <w:sz w:val="22"/>
          <w:szCs w:val="22"/>
        </w:rPr>
        <w:t>s</w:t>
      </w:r>
      <w:r>
        <w:rPr>
          <w:rFonts w:ascii="Avenir Next" w:hAnsi="Avenir Next" w:cs="Arial"/>
          <w:color w:val="7B7B7B" w:themeColor="accent3" w:themeShade="BF"/>
          <w:sz w:val="22"/>
          <w:szCs w:val="22"/>
        </w:rPr>
        <w:t xml:space="preserve"> to Recital 10 and Article 1 of the EIR Recast. These provisions refer to the expanded scope of the EIR Recast (as compared to the EIR 2000) which </w:t>
      </w:r>
      <w:r w:rsidR="00AB7AA5">
        <w:rPr>
          <w:rFonts w:ascii="Avenir Next" w:hAnsi="Avenir Next" w:cs="Arial"/>
          <w:color w:val="7B7B7B" w:themeColor="accent3" w:themeShade="BF"/>
          <w:sz w:val="22"/>
          <w:szCs w:val="22"/>
        </w:rPr>
        <w:t xml:space="preserve">now </w:t>
      </w:r>
      <w:r>
        <w:rPr>
          <w:rFonts w:ascii="Avenir Next" w:hAnsi="Avenir Next" w:cs="Arial"/>
          <w:color w:val="7B7B7B" w:themeColor="accent3" w:themeShade="BF"/>
          <w:sz w:val="22"/>
          <w:szCs w:val="22"/>
        </w:rPr>
        <w:t>includes not only traditional liquidation proceedings, but also encompasses restructuring and rescue proceedings.</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6948B395" w14:textId="668E26C3" w:rsidR="00E90991" w:rsidRDefault="00AA21C5"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Recast provides for a main insolvency proceeding </w:t>
      </w:r>
      <w:r w:rsidR="00502110">
        <w:rPr>
          <w:rFonts w:ascii="Avenir Next" w:hAnsi="Avenir Next" w:cs="Arial"/>
          <w:color w:val="7B7B7B" w:themeColor="accent3" w:themeShade="BF"/>
          <w:sz w:val="22"/>
          <w:szCs w:val="22"/>
          <w:lang w:val="en-GB"/>
        </w:rPr>
        <w:t xml:space="preserve">(Article 3(1)) </w:t>
      </w:r>
      <w:r>
        <w:rPr>
          <w:rFonts w:ascii="Avenir Next" w:hAnsi="Avenir Next" w:cs="Arial"/>
          <w:color w:val="7B7B7B" w:themeColor="accent3" w:themeShade="BF"/>
          <w:sz w:val="22"/>
          <w:szCs w:val="22"/>
          <w:lang w:val="en-GB"/>
        </w:rPr>
        <w:t xml:space="preserve">which, ideally, would operate universally to administer all the Debtor’s assets and liabilities, wherever located. </w:t>
      </w:r>
      <w:r w:rsidR="00BF4442">
        <w:rPr>
          <w:rFonts w:ascii="Avenir Next" w:hAnsi="Avenir Next" w:cs="Arial"/>
          <w:color w:val="7B7B7B" w:themeColor="accent3" w:themeShade="BF"/>
          <w:sz w:val="22"/>
          <w:szCs w:val="22"/>
          <w:lang w:val="en-GB"/>
        </w:rPr>
        <w:t>T</w:t>
      </w:r>
      <w:r>
        <w:rPr>
          <w:rFonts w:ascii="Avenir Next" w:hAnsi="Avenir Next" w:cs="Arial"/>
          <w:color w:val="7B7B7B" w:themeColor="accent3" w:themeShade="BF"/>
          <w:sz w:val="22"/>
          <w:szCs w:val="22"/>
          <w:lang w:val="en-GB"/>
        </w:rPr>
        <w:t xml:space="preserve">he concept of modified universalism supports the EIR’s provisions related to secondary proceedings (Article 3(2)). </w:t>
      </w:r>
      <w:r w:rsidR="00BF4442">
        <w:rPr>
          <w:rFonts w:ascii="Avenir Next" w:hAnsi="Avenir Next" w:cs="Arial"/>
          <w:color w:val="7B7B7B" w:themeColor="accent3" w:themeShade="BF"/>
          <w:sz w:val="22"/>
          <w:szCs w:val="22"/>
          <w:lang w:val="en-GB"/>
        </w:rPr>
        <w:t>A court’s</w:t>
      </w:r>
      <w:r w:rsidR="00502110">
        <w:rPr>
          <w:rFonts w:ascii="Avenir Next" w:hAnsi="Avenir Next" w:cs="Arial"/>
          <w:color w:val="7B7B7B" w:themeColor="accent3" w:themeShade="BF"/>
          <w:sz w:val="22"/>
          <w:szCs w:val="22"/>
          <w:lang w:val="en-GB"/>
        </w:rPr>
        <w:t xml:space="preserve"> recognition of the main proceeding, however, does not prevent a court from </w:t>
      </w:r>
      <w:r>
        <w:rPr>
          <w:rFonts w:ascii="Avenir Next" w:hAnsi="Avenir Next" w:cs="Arial"/>
          <w:color w:val="7B7B7B" w:themeColor="accent3" w:themeShade="BF"/>
          <w:sz w:val="22"/>
          <w:szCs w:val="22"/>
          <w:lang w:val="en-GB"/>
        </w:rPr>
        <w:t>opening a secondary proceeding to administer local assets in a jurisdiction</w:t>
      </w:r>
      <w:r w:rsidR="00502110">
        <w:rPr>
          <w:rFonts w:ascii="Avenir Next" w:hAnsi="Avenir Next" w:cs="Arial"/>
          <w:color w:val="7B7B7B" w:themeColor="accent3" w:themeShade="BF"/>
          <w:sz w:val="22"/>
          <w:szCs w:val="22"/>
          <w:lang w:val="en-GB"/>
        </w:rPr>
        <w:t xml:space="preserve"> where the debtor has an establishment</w:t>
      </w:r>
      <w:r>
        <w:rPr>
          <w:rFonts w:ascii="Avenir Next" w:hAnsi="Avenir Next" w:cs="Arial"/>
          <w:color w:val="7B7B7B" w:themeColor="accent3" w:themeShade="BF"/>
          <w:sz w:val="22"/>
          <w:szCs w:val="22"/>
          <w:lang w:val="en-GB"/>
        </w:rPr>
        <w:t xml:space="preserve">, </w:t>
      </w:r>
      <w:r w:rsidR="00502110">
        <w:rPr>
          <w:rFonts w:ascii="Avenir Next" w:hAnsi="Avenir Next" w:cs="Arial"/>
          <w:color w:val="7B7B7B" w:themeColor="accent3" w:themeShade="BF"/>
          <w:sz w:val="22"/>
          <w:szCs w:val="22"/>
          <w:lang w:val="en-GB"/>
        </w:rPr>
        <w:t xml:space="preserve">even though this would render </w:t>
      </w:r>
      <w:r>
        <w:rPr>
          <w:rFonts w:ascii="Avenir Next" w:hAnsi="Avenir Next" w:cs="Arial"/>
          <w:color w:val="7B7B7B" w:themeColor="accent3" w:themeShade="BF"/>
          <w:sz w:val="22"/>
          <w:szCs w:val="22"/>
          <w:lang w:val="en-GB"/>
        </w:rPr>
        <w:t xml:space="preserve">the main proceeding no longer </w:t>
      </w:r>
      <w:r w:rsidR="00502110">
        <w:rPr>
          <w:rFonts w:ascii="Avenir Next" w:hAnsi="Avenir Next" w:cs="Arial"/>
          <w:color w:val="7B7B7B" w:themeColor="accent3" w:themeShade="BF"/>
          <w:sz w:val="22"/>
          <w:szCs w:val="22"/>
          <w:lang w:val="en-GB"/>
        </w:rPr>
        <w:t>universal (Article 19(2))</w:t>
      </w:r>
      <w:r>
        <w:rPr>
          <w:rFonts w:ascii="Avenir Next" w:hAnsi="Avenir Next" w:cs="Arial"/>
          <w:color w:val="7B7B7B" w:themeColor="accent3" w:themeShade="BF"/>
          <w:sz w:val="22"/>
          <w:szCs w:val="22"/>
          <w:lang w:val="en-GB"/>
        </w:rPr>
        <w:t xml:space="preserve">. </w:t>
      </w:r>
      <w:r w:rsidR="00502110">
        <w:rPr>
          <w:rFonts w:ascii="Avenir Next" w:hAnsi="Avenir Next" w:cs="Arial"/>
          <w:color w:val="7B7B7B" w:themeColor="accent3" w:themeShade="BF"/>
          <w:sz w:val="22"/>
          <w:szCs w:val="22"/>
          <w:lang w:val="en-GB"/>
        </w:rPr>
        <w:t xml:space="preserve">To facilitate the potential network of cases, the EIR Recast provides for </w:t>
      </w:r>
      <w:r w:rsidR="002F2323">
        <w:rPr>
          <w:rFonts w:ascii="Avenir Next" w:hAnsi="Avenir Next" w:cs="Arial"/>
          <w:color w:val="7B7B7B" w:themeColor="accent3" w:themeShade="BF"/>
          <w:sz w:val="22"/>
          <w:szCs w:val="22"/>
          <w:lang w:val="en-GB"/>
        </w:rPr>
        <w:t xml:space="preserve">cooperation between insolvency practitioners (Article 41), between courts (Article 42) and between practitioners and courts (Article 43). Similarly, the EIR Recast provides a framework for administration, communication, and cooperation when a group of companies becomes insolvent (Articles 56, 57, 58, 59). </w:t>
      </w:r>
    </w:p>
    <w:p w14:paraId="5469AE02" w14:textId="77777777" w:rsidR="00502110" w:rsidRPr="008E3C96" w:rsidRDefault="00502110"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In light 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78DB9FD8" w14:textId="7671E7E8" w:rsidR="00C72848" w:rsidRDefault="00ED2566"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41 provides for communication and cooperation between insolvency practitioners. Specifically, Article 41 allows for such cooperation to take the form of a protocol for administering two (or more) cases. </w:t>
      </w:r>
    </w:p>
    <w:p w14:paraId="38A5646A" w14:textId="0179E602" w:rsidR="00ED2566" w:rsidRDefault="00ED2566" w:rsidP="00ED2566">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42 provides for communication and cooperation between courts administering main and secondary proceedings. </w:t>
      </w:r>
      <w:r w:rsidR="00954917">
        <w:rPr>
          <w:rFonts w:ascii="Avenir Next" w:hAnsi="Avenir Next" w:cs="Arial"/>
          <w:color w:val="7B7B7B" w:themeColor="accent3" w:themeShade="BF"/>
          <w:sz w:val="22"/>
          <w:szCs w:val="22"/>
          <w:lang w:val="en-GB"/>
        </w:rPr>
        <w:t>In fact, Article 4</w:t>
      </w:r>
      <w:r w:rsidR="00BF4442">
        <w:rPr>
          <w:rFonts w:ascii="Avenir Next" w:hAnsi="Avenir Next" w:cs="Arial"/>
          <w:color w:val="7B7B7B" w:themeColor="accent3" w:themeShade="BF"/>
          <w:sz w:val="22"/>
          <w:szCs w:val="22"/>
          <w:lang w:val="en-GB"/>
        </w:rPr>
        <w:t>2</w:t>
      </w:r>
      <w:r w:rsidR="00954917">
        <w:rPr>
          <w:rFonts w:ascii="Avenir Next" w:hAnsi="Avenir Next" w:cs="Arial"/>
          <w:color w:val="7B7B7B" w:themeColor="accent3" w:themeShade="BF"/>
          <w:sz w:val="22"/>
          <w:szCs w:val="22"/>
          <w:lang w:val="en-GB"/>
        </w:rPr>
        <w:t xml:space="preserve">(1) obliges courts to communicate with other courts which have opened insolvency proceedings for the same debtor. </w:t>
      </w:r>
    </w:p>
    <w:p w14:paraId="02383C81" w14:textId="3AF2E1FD" w:rsidR="00ED2566" w:rsidRPr="00ED2566" w:rsidRDefault="00ED2566" w:rsidP="00ED2566">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43 provides for communication and cooperation between insolvency practitioners and courts. </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296A8396" w14:textId="00F6ADFE" w:rsidR="009954B2" w:rsidRDefault="00954917"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First, the EIR provides for synthetic proceedings in Article 36, which can prevent the opening of a secondary proceeding (Article 38(2)). </w:t>
      </w:r>
      <w:r w:rsidR="00E965FA">
        <w:rPr>
          <w:rFonts w:ascii="Avenir Next" w:hAnsi="Avenir Next" w:cs="Arial"/>
          <w:color w:val="7B7B7B" w:themeColor="accent3" w:themeShade="BF"/>
          <w:sz w:val="22"/>
          <w:szCs w:val="22"/>
          <w:lang w:val="en-GB"/>
        </w:rPr>
        <w:t xml:space="preserve">A synthetic proceeding allows the main insolvency practitioner to give foreign creditors the effect of a secondary proceeding without actually opening one. This is accomplished when the insolvency practitioner gives a unilateral undertaking regarding the foreign assets and agrees to comply with the priority of distribution which would have been established by the secondary proceeding.  </w:t>
      </w:r>
    </w:p>
    <w:p w14:paraId="127DAC90" w14:textId="2FFFB5B4" w:rsidR="00E965FA" w:rsidRPr="008E3C96" w:rsidRDefault="00E965FA" w:rsidP="002A37BB">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Second, an insolvency practitioner or debtor in possession may request a temporary stay of secondary proceedings. A court may grant such a request in order to provide a debtor time to negotiate a business reorganization. After granting the request, a court may impose measures to protect the interests of creditors in jurisdictions where secondary proceedings would have been opened but for the stay. The stay can last up to three months, but may be lifted when the debtor and its creditors reach a consensual restructuring plan, when the stay would be detrimental to creditors’ rights, or if the debtor or insolvency practitioner has removed or disposed of assets in the state where the stay has been imposed. </w:t>
      </w:r>
    </w:p>
    <w:p w14:paraId="4232C14E" w14:textId="20C00118" w:rsidR="00E965FA" w:rsidRPr="008E3C96" w:rsidRDefault="00E965FA"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4024A332" w14:textId="616DEDCA" w:rsidR="00544127" w:rsidRPr="008E3C96" w:rsidRDefault="00E7119E" w:rsidP="002A37BB">
      <w:pPr>
        <w:jc w:val="both"/>
        <w:rPr>
          <w:rFonts w:ascii="Avenir Next" w:hAnsi="Avenir Next" w:cs="Arial"/>
          <w:sz w:val="22"/>
          <w:szCs w:val="22"/>
        </w:rPr>
      </w:pPr>
      <w:r>
        <w:rPr>
          <w:rFonts w:ascii="Avenir Next" w:hAnsi="Avenir Next" w:cs="Arial"/>
          <w:color w:val="7B7B7B" w:themeColor="accent3" w:themeShade="BF"/>
          <w:sz w:val="22"/>
          <w:szCs w:val="22"/>
          <w:lang w:val="en-GB"/>
        </w:rPr>
        <w:t>T</w:t>
      </w:r>
      <w:r w:rsidR="005411F4">
        <w:rPr>
          <w:rFonts w:ascii="Avenir Next" w:hAnsi="Avenir Next" w:cs="Arial"/>
          <w:color w:val="7B7B7B" w:themeColor="accent3" w:themeShade="BF"/>
          <w:sz w:val="22"/>
          <w:szCs w:val="22"/>
          <w:lang w:val="en-GB"/>
        </w:rPr>
        <w:t>he Commission found the need to broaden the scope of the Regulation to include not only liquidation-type proceedings, but also business rescue and reorganization</w:t>
      </w:r>
      <w:r w:rsidR="00BF4442">
        <w:rPr>
          <w:rFonts w:ascii="Avenir Next" w:hAnsi="Avenir Next" w:cs="Arial"/>
          <w:color w:val="7B7B7B" w:themeColor="accent3" w:themeShade="BF"/>
          <w:sz w:val="22"/>
          <w:szCs w:val="22"/>
          <w:lang w:val="en-GB"/>
        </w:rPr>
        <w:t xml:space="preserve"> proceedings</w:t>
      </w:r>
      <w:r w:rsidR="005411F4">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Additionally</w:t>
      </w:r>
      <w:r w:rsidR="005411F4">
        <w:rPr>
          <w:rFonts w:ascii="Avenir Next" w:hAnsi="Avenir Next" w:cs="Arial"/>
          <w:color w:val="7B7B7B" w:themeColor="accent3" w:themeShade="BF"/>
          <w:sz w:val="22"/>
          <w:szCs w:val="22"/>
          <w:lang w:val="en-GB"/>
        </w:rPr>
        <w:t>, the Commission improved and strengthened rules for cooperation among insolvency practitioners and courts</w:t>
      </w:r>
      <w:r w:rsidR="00BF4442">
        <w:rPr>
          <w:rFonts w:ascii="Avenir Next" w:hAnsi="Avenir Next" w:cs="Arial"/>
          <w:color w:val="7B7B7B" w:themeColor="accent3" w:themeShade="BF"/>
          <w:sz w:val="22"/>
          <w:szCs w:val="22"/>
          <w:lang w:val="en-GB"/>
        </w:rPr>
        <w:t xml:space="preserve"> (See EIR Recast Articles 41-43)</w:t>
      </w:r>
      <w:r w:rsidR="005411F4">
        <w:rPr>
          <w:rFonts w:ascii="Avenir Next" w:hAnsi="Avenir Next" w:cs="Arial"/>
          <w:color w:val="7B7B7B" w:themeColor="accent3" w:themeShade="BF"/>
          <w:sz w:val="22"/>
          <w:szCs w:val="22"/>
          <w:lang w:val="en-GB"/>
        </w:rPr>
        <w:t xml:space="preserve">. The EIR 2000 provided for cooperation between insolvency practitioners overseeing main and secondary proceedings. The EIR Recast included this requirement and strengthened it, while also adding provisions providing a framework for cooperation between courts and between courts </w:t>
      </w:r>
      <w:r>
        <w:rPr>
          <w:rFonts w:ascii="Avenir Next" w:hAnsi="Avenir Next" w:cs="Arial"/>
          <w:color w:val="7B7B7B" w:themeColor="accent3" w:themeShade="BF"/>
          <w:sz w:val="22"/>
          <w:szCs w:val="22"/>
          <w:lang w:val="en-GB"/>
        </w:rPr>
        <w:t>and</w:t>
      </w:r>
      <w:r w:rsidR="005411F4">
        <w:rPr>
          <w:rFonts w:ascii="Avenir Next" w:hAnsi="Avenir Next" w:cs="Arial"/>
          <w:color w:val="7B7B7B" w:themeColor="accent3" w:themeShade="BF"/>
          <w:sz w:val="22"/>
          <w:szCs w:val="22"/>
          <w:lang w:val="en-GB"/>
        </w:rPr>
        <w:t xml:space="preserve"> insolvency practitioners. </w:t>
      </w:r>
      <w:r>
        <w:rPr>
          <w:rFonts w:ascii="Avenir Next" w:hAnsi="Avenir Next" w:cs="Arial"/>
          <w:color w:val="7B7B7B" w:themeColor="accent3" w:themeShade="BF"/>
          <w:sz w:val="22"/>
          <w:szCs w:val="22"/>
          <w:lang w:val="en-GB"/>
        </w:rPr>
        <w:t>Finally</w:t>
      </w:r>
      <w:r w:rsidR="005411F4">
        <w:rPr>
          <w:rFonts w:ascii="Avenir Next" w:hAnsi="Avenir Next" w:cs="Arial"/>
          <w:color w:val="7B7B7B" w:themeColor="accent3" w:themeShade="BF"/>
          <w:sz w:val="22"/>
          <w:szCs w:val="22"/>
          <w:lang w:val="en-GB"/>
        </w:rPr>
        <w:t xml:space="preserve">, the Commission found the need to improve the information available to creditors. Under the EIR 2000, the insolvency practitioner </w:t>
      </w:r>
      <w:r>
        <w:rPr>
          <w:rFonts w:ascii="Avenir Next" w:hAnsi="Avenir Next" w:cs="Arial"/>
          <w:color w:val="7B7B7B" w:themeColor="accent3" w:themeShade="BF"/>
          <w:sz w:val="22"/>
          <w:szCs w:val="22"/>
          <w:lang w:val="en-GB"/>
        </w:rPr>
        <w:t xml:space="preserve">had discretion as to whether and where they published notice of an insolvency in member states. In contrast, the EIR Recast obliges the insolvency practitioner (or debtor in possession) to publish notice where the debtor has an establishment using the member state’s local notice procedures. Additionally the EIR Recast provides for a standard notice procedure to be published to the e-justice portal. </w:t>
      </w: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7940D274" w14:textId="71224D3A" w:rsidR="00DF75F8" w:rsidRDefault="001464B7"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First, the EIR Recast attempted to include provisions to facilitate the insolvency of a group of companies. However, the framework for cooperation and communication falls short of what’s needed to efficiently administer a group of companies, especially as it relates to reducing costs. I propose the incorporation of procedures for substantive and/or procedural consolidation akin to those currently present in the insolvency system of the United States. For example, when the group of companies have operations so intimately connected that they’re truly operating as one company with many “departments,” substantive consolidation, including pooling assets and creditors, may better recognize the economic reality of the operations and protect the expectations of creditors, while also reducing costs and increasing efficiency of administration. Similarly, when a group of companies are operating with more independence but share certain features (for example, a group of companies which each hold a single piece of real estate managed by one developer), procedural consolidation may be appropriate to efficiently administer assets without pooling them or combining creditor pools. </w:t>
      </w:r>
    </w:p>
    <w:p w14:paraId="0C0A745B" w14:textId="081E74B2" w:rsidR="001464B7" w:rsidRDefault="001464B7" w:rsidP="002A37BB">
      <w:pPr>
        <w:jc w:val="both"/>
        <w:rPr>
          <w:rFonts w:ascii="Avenir Next" w:hAnsi="Avenir Next" w:cs="Arial"/>
          <w:color w:val="7B7B7B" w:themeColor="accent3" w:themeShade="BF"/>
          <w:sz w:val="22"/>
          <w:szCs w:val="22"/>
          <w:lang w:val="en-GB"/>
        </w:rPr>
      </w:pPr>
    </w:p>
    <w:p w14:paraId="136F7588" w14:textId="7019A9A2" w:rsidR="001464B7" w:rsidRPr="008E3C96" w:rsidRDefault="001464B7"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Second</w:t>
      </w:r>
      <w:r w:rsidR="009E7BE8">
        <w:rPr>
          <w:rFonts w:ascii="Avenir Next" w:hAnsi="Avenir Next" w:cs="Arial"/>
          <w:color w:val="7B7B7B" w:themeColor="accent3" w:themeShade="BF"/>
          <w:sz w:val="22"/>
          <w:szCs w:val="22"/>
          <w:lang w:val="en-GB"/>
        </w:rPr>
        <w:t xml:space="preserve">, the EIR Recast provides for a stay of secondary proceedings in certain instances, especially where a Debtor in Possession is attempting negotiate a consensual reorganization with its creditors. However, Courts are not obligated to honour the stay and may opt to institute a second proceeding regardless. In order to give needed breathing room and increase the likelihood of reorganization, I propose this provision should be re-written to reduce or remove the discretion of courts with potential secondary proceedings and require the courts to honour the stay. </w:t>
      </w:r>
    </w:p>
    <w:p w14:paraId="3DAA6780" w14:textId="1047A63C" w:rsidR="00962045" w:rsidRDefault="00962045"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4E83D7AF" w14:textId="750271B1" w:rsidR="00DF75F8" w:rsidRPr="008E3C96" w:rsidRDefault="000673E0"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Unlike the EIR which, as noted above, is a choice-of-forum instrument, the Directive on Preventive Restructurings required member states to enact certain types of insolvency-related law. First, the Directive required a member state to enact some sort of law directed at early-stage restructuring. While not directly providing substantive law, this provision increases cross-border harmonisation by ensuring that early-stage restructuring systems are available to a debtor at their COMI and will hopefully reduce abusive forum shopping. This stands in contrast to the EIR, which simply adopts the law of a particular jurisdiction depending on the situation but does not mandate any legal tools be made available. Similarly, while still not a substantive law, the Directive requires member states to enact legislation to protect financing arrangements connected with the restructuring, which again harmonises the types of tools available to non-liquidating debtors regardless of their COMI and increases the availability of credit. </w:t>
      </w: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2737C311" w14:textId="77777777" w:rsidR="00326005" w:rsidRDefault="00EE1A3B"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an initial matter, the EIR 2000 had a more limited scope which referenced only liquidation-type proceedings. A French </w:t>
      </w:r>
      <w:r>
        <w:rPr>
          <w:rFonts w:ascii="Avenir Next" w:hAnsi="Avenir Next" w:cs="Arial"/>
          <w:i/>
          <w:iCs/>
          <w:color w:val="7B7B7B" w:themeColor="accent3" w:themeShade="BF"/>
          <w:sz w:val="22"/>
          <w:szCs w:val="22"/>
          <w:lang w:val="en-GB"/>
        </w:rPr>
        <w:t>Sauvegarde</w:t>
      </w:r>
      <w:r>
        <w:rPr>
          <w:rFonts w:ascii="Avenir Next" w:hAnsi="Avenir Next" w:cs="Arial"/>
          <w:color w:val="7B7B7B" w:themeColor="accent3" w:themeShade="BF"/>
          <w:sz w:val="22"/>
          <w:szCs w:val="22"/>
          <w:lang w:val="en-GB"/>
        </w:rPr>
        <w:t xml:space="preserve"> proceeding is a type of reorganization proceeding and not a liquidation proceeding. Baker McKenzie, “Global Restructuring and Insolvency Guide: France” </w:t>
      </w:r>
      <w:hyperlink r:id="rId9" w:history="1">
        <w:r w:rsidRPr="00B42B71">
          <w:rPr>
            <w:rStyle w:val="Hyperlink"/>
            <w:rFonts w:ascii="Avenir Next" w:hAnsi="Avenir Next" w:cs="Arial"/>
            <w:sz w:val="22"/>
            <w:szCs w:val="22"/>
            <w:lang w:val="en-GB"/>
          </w:rPr>
          <w:t>http://restructuring.bakermckenzie.com/wp-content/uploads/sites/23/2016/12/Global-Restructuring-Insolvency-Guide-New-Logo-France.pdf</w:t>
        </w:r>
      </w:hyperlink>
      <w:r>
        <w:rPr>
          <w:rFonts w:ascii="Avenir Next" w:hAnsi="Avenir Next" w:cs="Arial"/>
          <w:color w:val="7B7B7B" w:themeColor="accent3" w:themeShade="BF"/>
          <w:sz w:val="22"/>
          <w:szCs w:val="22"/>
          <w:lang w:val="en-GB"/>
        </w:rPr>
        <w:t xml:space="preserve"> (Accessed February 4, 2023). </w:t>
      </w:r>
      <w:r w:rsidR="001D08DC">
        <w:rPr>
          <w:rFonts w:ascii="Avenir Next" w:hAnsi="Avenir Next" w:cs="Arial"/>
          <w:color w:val="7B7B7B" w:themeColor="accent3" w:themeShade="BF"/>
          <w:sz w:val="22"/>
          <w:szCs w:val="22"/>
          <w:lang w:val="en-GB"/>
        </w:rPr>
        <w:t xml:space="preserve">However, </w:t>
      </w:r>
      <w:r w:rsidR="00326005">
        <w:rPr>
          <w:rFonts w:ascii="Avenir Next" w:hAnsi="Avenir Next" w:cs="Arial"/>
          <w:i/>
          <w:iCs/>
          <w:color w:val="7B7B7B" w:themeColor="accent3" w:themeShade="BF"/>
          <w:sz w:val="22"/>
          <w:szCs w:val="22"/>
          <w:lang w:val="en-GB"/>
        </w:rPr>
        <w:t>Sauvegarde</w:t>
      </w:r>
      <w:r w:rsidR="00326005">
        <w:rPr>
          <w:rFonts w:ascii="Avenir Next" w:hAnsi="Avenir Next" w:cs="Arial"/>
          <w:color w:val="7B7B7B" w:themeColor="accent3" w:themeShade="BF"/>
          <w:sz w:val="22"/>
          <w:szCs w:val="22"/>
          <w:lang w:val="en-GB"/>
        </w:rPr>
        <w:t xml:space="preserve"> is listed in Annex A of the EIR 2000 and thus the EIR 2000 may apply. </w:t>
      </w:r>
    </w:p>
    <w:p w14:paraId="2AA85E37" w14:textId="77777777" w:rsidR="00326005" w:rsidRDefault="00326005" w:rsidP="002A37BB">
      <w:pPr>
        <w:jc w:val="both"/>
        <w:rPr>
          <w:rFonts w:ascii="Avenir Next" w:hAnsi="Avenir Next" w:cs="Arial"/>
          <w:color w:val="7B7B7B" w:themeColor="accent3" w:themeShade="BF"/>
          <w:sz w:val="22"/>
          <w:szCs w:val="22"/>
          <w:lang w:val="en-GB"/>
        </w:rPr>
      </w:pPr>
    </w:p>
    <w:p w14:paraId="34E04087" w14:textId="3B421FE8" w:rsidR="007D54AA" w:rsidRDefault="00326005"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Article 3(1) of the EIR 2000, the courts of the member state where the Debtor has its COMI have jurisdiction to open insolvency proceedings. </w:t>
      </w:r>
      <w:r w:rsidR="000254BA">
        <w:rPr>
          <w:rFonts w:ascii="Avenir Next" w:hAnsi="Avenir Next" w:cs="Arial"/>
          <w:color w:val="7B7B7B" w:themeColor="accent3" w:themeShade="BF"/>
          <w:sz w:val="22"/>
          <w:szCs w:val="22"/>
          <w:lang w:val="en-GB"/>
        </w:rPr>
        <w:t xml:space="preserve">Under the same provision, the COMI is the place of the debtor’s registered office absence proof to the contrary. Because the </w:t>
      </w:r>
      <w:r w:rsidR="00EC01DD">
        <w:rPr>
          <w:rFonts w:ascii="Avenir Next" w:hAnsi="Avenir Next" w:cs="Arial"/>
          <w:color w:val="7B7B7B" w:themeColor="accent3" w:themeShade="BF"/>
          <w:sz w:val="22"/>
          <w:szCs w:val="22"/>
          <w:lang w:val="en-GB"/>
        </w:rPr>
        <w:t>D</w:t>
      </w:r>
      <w:r w:rsidR="000254BA">
        <w:rPr>
          <w:rFonts w:ascii="Avenir Next" w:hAnsi="Avenir Next" w:cs="Arial"/>
          <w:color w:val="7B7B7B" w:themeColor="accent3" w:themeShade="BF"/>
          <w:sz w:val="22"/>
          <w:szCs w:val="22"/>
          <w:lang w:val="en-GB"/>
        </w:rPr>
        <w:t xml:space="preserve">ebtor is registered in France, its COMI is presumed to be France. While the EIR 2000 does not provide any examples or definitions of “proof to the contrary” which might rebut the presumption </w:t>
      </w:r>
      <w:r w:rsidR="00871F47">
        <w:rPr>
          <w:rFonts w:ascii="Avenir Next" w:hAnsi="Avenir Next" w:cs="Arial"/>
          <w:color w:val="7B7B7B" w:themeColor="accent3" w:themeShade="BF"/>
          <w:sz w:val="22"/>
          <w:szCs w:val="22"/>
          <w:lang w:val="en-GB"/>
        </w:rPr>
        <w:t xml:space="preserve">that </w:t>
      </w:r>
      <w:r w:rsidR="000254BA">
        <w:rPr>
          <w:rFonts w:ascii="Avenir Next" w:hAnsi="Avenir Next" w:cs="Arial"/>
          <w:color w:val="7B7B7B" w:themeColor="accent3" w:themeShade="BF"/>
          <w:sz w:val="22"/>
          <w:szCs w:val="22"/>
          <w:lang w:val="en-GB"/>
        </w:rPr>
        <w:t xml:space="preserve">the debtor’s registered office is in France, the CJEU did so in </w:t>
      </w:r>
      <w:r w:rsidR="000254BA">
        <w:rPr>
          <w:rFonts w:ascii="Avenir Next" w:hAnsi="Avenir Next" w:cs="Arial"/>
          <w:i/>
          <w:iCs/>
          <w:color w:val="7B7B7B" w:themeColor="accent3" w:themeShade="BF"/>
          <w:sz w:val="22"/>
          <w:szCs w:val="22"/>
          <w:lang w:val="en-GB"/>
        </w:rPr>
        <w:t>Interedil Srl v Fallimento Interdil Srl</w:t>
      </w:r>
      <w:r w:rsidR="000254BA">
        <w:rPr>
          <w:rFonts w:ascii="Avenir Next" w:hAnsi="Avenir Next" w:cs="Arial"/>
          <w:color w:val="7B7B7B" w:themeColor="accent3" w:themeShade="BF"/>
          <w:sz w:val="22"/>
          <w:szCs w:val="22"/>
          <w:lang w:val="en-GB"/>
        </w:rPr>
        <w:t xml:space="preserve"> </w:t>
      </w:r>
      <w:r w:rsidR="000254BA" w:rsidRPr="000254BA">
        <w:rPr>
          <w:rFonts w:ascii="Avenir Next" w:hAnsi="Avenir Next" w:cs="Arial"/>
          <w:color w:val="7B7B7B" w:themeColor="accent3" w:themeShade="BF"/>
          <w:sz w:val="22"/>
          <w:szCs w:val="22"/>
          <w:lang w:val="en-GB"/>
        </w:rPr>
        <w:t>Case C-396/09, ECLI:EU:C:2011:671 (Oct. 20, 2011)</w:t>
      </w:r>
      <w:r w:rsidR="000254BA">
        <w:rPr>
          <w:rFonts w:ascii="Avenir Next" w:hAnsi="Avenir Next" w:cs="Arial"/>
          <w:color w:val="7B7B7B" w:themeColor="accent3" w:themeShade="BF"/>
          <w:sz w:val="22"/>
          <w:szCs w:val="22"/>
          <w:lang w:val="en-GB"/>
        </w:rPr>
        <w:t xml:space="preserve">. </w:t>
      </w:r>
      <w:r w:rsidR="007D54AA">
        <w:rPr>
          <w:rFonts w:ascii="Avenir Next" w:hAnsi="Avenir Next" w:cs="Arial"/>
          <w:color w:val="7B7B7B" w:themeColor="accent3" w:themeShade="BF"/>
          <w:sz w:val="22"/>
          <w:szCs w:val="22"/>
          <w:lang w:val="en-GB"/>
        </w:rPr>
        <w:t>In that case the CJEU found that, when the bodies responsible for management are located in the same place as the registered office and when 3</w:t>
      </w:r>
      <w:r w:rsidR="007D54AA" w:rsidRPr="007D54AA">
        <w:rPr>
          <w:rFonts w:ascii="Avenir Next" w:hAnsi="Avenir Next" w:cs="Arial"/>
          <w:color w:val="7B7B7B" w:themeColor="accent3" w:themeShade="BF"/>
          <w:sz w:val="22"/>
          <w:szCs w:val="22"/>
          <w:vertAlign w:val="superscript"/>
          <w:lang w:val="en-GB"/>
        </w:rPr>
        <w:t>rd</w:t>
      </w:r>
      <w:r w:rsidR="007D54AA">
        <w:rPr>
          <w:rFonts w:ascii="Avenir Next" w:hAnsi="Avenir Next" w:cs="Arial"/>
          <w:color w:val="7B7B7B" w:themeColor="accent3" w:themeShade="BF"/>
          <w:sz w:val="22"/>
          <w:szCs w:val="22"/>
          <w:lang w:val="en-GB"/>
        </w:rPr>
        <w:t xml:space="preserve"> parties would understand that management decisions take place there, the presumption that the debtor’s COMI is the place of the registered office is irrefutable. </w:t>
      </w:r>
    </w:p>
    <w:p w14:paraId="32CAD048" w14:textId="77777777" w:rsidR="007D54AA" w:rsidRDefault="007D54AA" w:rsidP="002A37BB">
      <w:pPr>
        <w:jc w:val="both"/>
        <w:rPr>
          <w:rFonts w:ascii="Avenir Next" w:hAnsi="Avenir Next" w:cs="Arial"/>
          <w:color w:val="7B7B7B" w:themeColor="accent3" w:themeShade="BF"/>
          <w:sz w:val="22"/>
          <w:szCs w:val="22"/>
          <w:lang w:val="en-GB"/>
        </w:rPr>
      </w:pPr>
    </w:p>
    <w:p w14:paraId="0D37BBBB" w14:textId="5A75ACEF" w:rsidR="002F75A3" w:rsidRPr="000254BA" w:rsidRDefault="007D54AA"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Here, we know that the Debtor’s COMI is presumed to be in France.  </w:t>
      </w:r>
      <w:r w:rsidR="005F1D15">
        <w:rPr>
          <w:rFonts w:ascii="Avenir Next" w:hAnsi="Avenir Next" w:cs="Arial"/>
          <w:color w:val="7B7B7B" w:themeColor="accent3" w:themeShade="BF"/>
          <w:sz w:val="22"/>
          <w:szCs w:val="22"/>
          <w:lang w:val="en-GB"/>
        </w:rPr>
        <w:t xml:space="preserve">We also know that the Debtor has offices and employees across Europe, including in France, but we do not know where management decisions take place. Given the facts above, it is logical to think a third party would assume management of the French company takes place in France. Therefore, it’s highly unlikely that the presumption of the Debtor’s French COMI would be rebutted and therefore it is similarly likely that the French Court would have jurisdiction to open insolvency proceedings so long as French Law provides that the Strasbourg High Court is the proper court. </w:t>
      </w: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626FA5C6" w14:textId="6C6B7D6E" w:rsidR="002D3473" w:rsidRPr="00F90DC2" w:rsidRDefault="00F90DC2" w:rsidP="002A37BB">
      <w:p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Yes, the EIR Recast will be applicable to the proceedings. First, we must examine when the proceeding was opened. Here, because the proceeding was opened after June 26, 2017 (as it was opened on June 30, 2017) the EIR Recast (rather than the EIR 2000) may apply. Second, </w:t>
      </w:r>
      <w:r w:rsidR="00B94B9F">
        <w:rPr>
          <w:rFonts w:ascii="Avenir Next" w:hAnsi="Avenir Next" w:cs="Arial"/>
          <w:color w:val="7B7B7B" w:themeColor="accent3" w:themeShade="BF"/>
          <w:sz w:val="22"/>
          <w:szCs w:val="22"/>
          <w:lang w:val="en-GB"/>
        </w:rPr>
        <w:t>we must examine whether the proceeding was opened in an EU member state (besides Denmark). The Debtor’s</w:t>
      </w:r>
      <w:r>
        <w:rPr>
          <w:rFonts w:ascii="Avenir Next" w:hAnsi="Avenir Next" w:cs="Arial"/>
          <w:color w:val="7B7B7B" w:themeColor="accent3" w:themeShade="BF"/>
          <w:sz w:val="22"/>
          <w:szCs w:val="22"/>
          <w:lang w:val="en-GB"/>
        </w:rPr>
        <w:t xml:space="preserve"> COMI is presumed to be in France because that is where the Debtor company is registered. </w:t>
      </w:r>
      <w:r w:rsidR="00B94B9F">
        <w:rPr>
          <w:rFonts w:ascii="Avenir Next" w:hAnsi="Avenir Next" w:cs="Arial"/>
          <w:color w:val="7B7B7B" w:themeColor="accent3" w:themeShade="BF"/>
          <w:sz w:val="22"/>
          <w:szCs w:val="22"/>
          <w:lang w:val="en-GB"/>
        </w:rPr>
        <w:t xml:space="preserve">While the presumption of COMI may be rebutted in some instances, </w:t>
      </w:r>
      <w:r w:rsidR="0085338F">
        <w:rPr>
          <w:rFonts w:ascii="Avenir Next" w:hAnsi="Avenir Next" w:cs="Arial"/>
          <w:color w:val="7B7B7B" w:themeColor="accent3" w:themeShade="BF"/>
          <w:sz w:val="22"/>
          <w:szCs w:val="22"/>
          <w:lang w:val="en-GB"/>
        </w:rPr>
        <w:t xml:space="preserve">including those mentioned above which were codified in the EIR Recast, </w:t>
      </w:r>
      <w:r w:rsidR="00B94B9F">
        <w:rPr>
          <w:rFonts w:ascii="Avenir Next" w:hAnsi="Avenir Next" w:cs="Arial"/>
          <w:color w:val="7B7B7B" w:themeColor="accent3" w:themeShade="BF"/>
          <w:sz w:val="22"/>
          <w:szCs w:val="22"/>
          <w:lang w:val="en-GB"/>
        </w:rPr>
        <w:t xml:space="preserve">here it </w:t>
      </w:r>
      <w:r w:rsidR="0085338F">
        <w:rPr>
          <w:rFonts w:ascii="Avenir Next" w:hAnsi="Avenir Next" w:cs="Arial"/>
          <w:color w:val="7B7B7B" w:themeColor="accent3" w:themeShade="BF"/>
          <w:sz w:val="22"/>
          <w:szCs w:val="22"/>
          <w:lang w:val="en-GB"/>
        </w:rPr>
        <w:t>is unlikely to</w:t>
      </w:r>
      <w:r w:rsidR="00B94B9F">
        <w:rPr>
          <w:rFonts w:ascii="Avenir Next" w:hAnsi="Avenir Next" w:cs="Arial"/>
          <w:color w:val="7B7B7B" w:themeColor="accent3" w:themeShade="BF"/>
          <w:sz w:val="22"/>
          <w:szCs w:val="22"/>
          <w:lang w:val="en-GB"/>
        </w:rPr>
        <w:t xml:space="preserve"> be rebutted because the Debtor has operations in France</w:t>
      </w:r>
      <w:r w:rsidR="0085338F">
        <w:rPr>
          <w:rFonts w:ascii="Avenir Next" w:hAnsi="Avenir Next" w:cs="Arial"/>
          <w:color w:val="7B7B7B" w:themeColor="accent3" w:themeShade="BF"/>
          <w:sz w:val="22"/>
          <w:szCs w:val="22"/>
          <w:lang w:val="en-GB"/>
        </w:rPr>
        <w:t xml:space="preserve"> in additional to operations across Europe, and the location of the head office is not provided</w:t>
      </w:r>
      <w:r w:rsidR="00B94B9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B94B9F">
        <w:rPr>
          <w:rFonts w:ascii="Avenir Next" w:hAnsi="Avenir Next" w:cs="Arial"/>
          <w:color w:val="7B7B7B" w:themeColor="accent3" w:themeShade="BF"/>
          <w:sz w:val="22"/>
          <w:szCs w:val="22"/>
          <w:lang w:val="en-GB"/>
        </w:rPr>
        <w:t xml:space="preserve">Therefore, the EIR Recast may apply. </w:t>
      </w:r>
      <w:r>
        <w:rPr>
          <w:rFonts w:ascii="Avenir Next" w:hAnsi="Avenir Next" w:cs="Arial"/>
          <w:color w:val="7B7B7B" w:themeColor="accent3" w:themeShade="BF"/>
          <w:sz w:val="22"/>
          <w:szCs w:val="22"/>
          <w:lang w:val="en-GB"/>
        </w:rPr>
        <w:t xml:space="preserve">Third, </w:t>
      </w:r>
      <w:r w:rsidR="00B94B9F">
        <w:rPr>
          <w:rFonts w:ascii="Avenir Next" w:hAnsi="Avenir Next" w:cs="Arial"/>
          <w:color w:val="7B7B7B" w:themeColor="accent3" w:themeShade="BF"/>
          <w:sz w:val="22"/>
          <w:szCs w:val="22"/>
          <w:lang w:val="en-GB"/>
        </w:rPr>
        <w:t xml:space="preserve">we must ensure the proceeding is a kind listed in Annex A. Because </w:t>
      </w:r>
      <w:r>
        <w:rPr>
          <w:rFonts w:ascii="Avenir Next" w:hAnsi="Avenir Next" w:cs="Arial"/>
          <w:color w:val="7B7B7B" w:themeColor="accent3" w:themeShade="BF"/>
          <w:sz w:val="22"/>
          <w:szCs w:val="22"/>
          <w:lang w:val="en-GB"/>
        </w:rPr>
        <w:t xml:space="preserve">a French </w:t>
      </w:r>
      <w:r>
        <w:rPr>
          <w:rFonts w:ascii="Avenir Next" w:hAnsi="Avenir Next" w:cs="Arial"/>
          <w:i/>
          <w:iCs/>
          <w:color w:val="7B7B7B" w:themeColor="accent3" w:themeShade="BF"/>
          <w:sz w:val="22"/>
          <w:szCs w:val="22"/>
          <w:lang w:val="en-GB"/>
        </w:rPr>
        <w:t>Sauvegarde</w:t>
      </w:r>
      <w:r>
        <w:rPr>
          <w:rFonts w:ascii="Avenir Next" w:hAnsi="Avenir Next" w:cs="Arial"/>
          <w:color w:val="7B7B7B" w:themeColor="accent3" w:themeShade="BF"/>
          <w:sz w:val="22"/>
          <w:szCs w:val="22"/>
          <w:lang w:val="en-GB"/>
        </w:rPr>
        <w:t xml:space="preserve"> </w:t>
      </w:r>
      <w:r w:rsidR="00B94B9F">
        <w:rPr>
          <w:rFonts w:ascii="Avenir Next" w:hAnsi="Avenir Next" w:cs="Arial"/>
          <w:color w:val="7B7B7B" w:themeColor="accent3" w:themeShade="BF"/>
          <w:sz w:val="22"/>
          <w:szCs w:val="22"/>
          <w:lang w:val="en-GB"/>
        </w:rPr>
        <w:t xml:space="preserve">is listed in Annex A, the EIR Recast may apply. Finally, we must ensure the company is not the type that is excluded from the EIR. Because the company is not an excluded undertaking, such as a bank or insurance company, the EIR Recast may apply. Because all the criteria have been met, the EIR Recast will apply. </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77CE8695" w14:textId="26B4BAE4" w:rsidR="0077498C" w:rsidRDefault="00544855"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it is likely that a court would find the Italian bank can open a secondary proceeding in Italy against the Debtor. Pursuant to Article 3(2), a secondary proceeding may be opened where the Debtor has an establishment. As establishment requires a debtor to carry out operations </w:t>
      </w:r>
      <w:r w:rsidR="004F61A4">
        <w:rPr>
          <w:rFonts w:ascii="Avenir Next" w:hAnsi="Avenir Next" w:cs="Arial"/>
          <w:color w:val="7B7B7B" w:themeColor="accent3" w:themeShade="BF"/>
          <w:sz w:val="22"/>
          <w:szCs w:val="22"/>
          <w:lang w:val="en-GB"/>
        </w:rPr>
        <w:t>which</w:t>
      </w:r>
      <w:r>
        <w:rPr>
          <w:rFonts w:ascii="Avenir Next" w:hAnsi="Avenir Next" w:cs="Arial"/>
          <w:color w:val="7B7B7B" w:themeColor="accent3" w:themeShade="BF"/>
          <w:sz w:val="22"/>
          <w:szCs w:val="22"/>
          <w:lang w:val="en-GB"/>
        </w:rPr>
        <w:t xml:space="preserve"> are non-transitory and involve human means and economic assets. </w:t>
      </w:r>
      <w:r w:rsidR="004F61A4">
        <w:rPr>
          <w:rFonts w:ascii="Avenir Next" w:hAnsi="Avenir Next" w:cs="Arial"/>
          <w:color w:val="7B7B7B" w:themeColor="accent3" w:themeShade="BF"/>
          <w:sz w:val="22"/>
          <w:szCs w:val="22"/>
          <w:lang w:val="en-GB"/>
        </w:rPr>
        <w:t xml:space="preserve">Pursuant to the CJEU’s </w:t>
      </w:r>
      <w:r w:rsidR="004F61A4">
        <w:rPr>
          <w:rFonts w:ascii="Avenir Next" w:hAnsi="Avenir Next" w:cs="Arial"/>
          <w:i/>
          <w:iCs/>
          <w:color w:val="7B7B7B" w:themeColor="accent3" w:themeShade="BF"/>
          <w:sz w:val="22"/>
          <w:szCs w:val="22"/>
          <w:lang w:val="en-GB"/>
        </w:rPr>
        <w:t xml:space="preserve">Interedil </w:t>
      </w:r>
      <w:r w:rsidR="004F61A4">
        <w:rPr>
          <w:rFonts w:ascii="Avenir Next" w:hAnsi="Avenir Next" w:cs="Arial"/>
          <w:color w:val="7B7B7B" w:themeColor="accent3" w:themeShade="BF"/>
          <w:sz w:val="22"/>
          <w:szCs w:val="22"/>
          <w:lang w:val="en-GB"/>
        </w:rPr>
        <w:t xml:space="preserve">case, the mere presence of goods in a member state is not enough to meet the requirements for an establishment. </w:t>
      </w:r>
      <w:r>
        <w:rPr>
          <w:rFonts w:ascii="Avenir Next" w:hAnsi="Avenir Next" w:cs="Arial"/>
          <w:color w:val="7B7B7B" w:themeColor="accent3" w:themeShade="BF"/>
          <w:sz w:val="22"/>
          <w:szCs w:val="22"/>
          <w:lang w:val="en-GB"/>
        </w:rPr>
        <w:t>Here</w:t>
      </w:r>
      <w:r w:rsidR="004F61A4">
        <w:rPr>
          <w:rFonts w:ascii="Avenir Next" w:hAnsi="Avenir Next" w:cs="Arial"/>
          <w:color w:val="7B7B7B" w:themeColor="accent3" w:themeShade="BF"/>
          <w:sz w:val="22"/>
          <w:szCs w:val="22"/>
          <w:lang w:val="en-GB"/>
        </w:rPr>
        <w:t xml:space="preserve"> however</w:t>
      </w:r>
      <w:r>
        <w:rPr>
          <w:rFonts w:ascii="Avenir Next" w:hAnsi="Avenir Next" w:cs="Arial"/>
          <w:color w:val="7B7B7B" w:themeColor="accent3" w:themeShade="BF"/>
          <w:sz w:val="22"/>
          <w:szCs w:val="22"/>
          <w:lang w:val="en-GB"/>
        </w:rPr>
        <w:t xml:space="preserve">, the prompt suggests that the Debtor has both assets (a warehouse, perhaps an office) and human means (employees) in Italy (See Article 2(10)). </w:t>
      </w:r>
      <w:r w:rsidR="004F61A4">
        <w:rPr>
          <w:rFonts w:ascii="Avenir Next" w:hAnsi="Avenir Next" w:cs="Arial"/>
          <w:color w:val="7B7B7B" w:themeColor="accent3" w:themeShade="BF"/>
          <w:sz w:val="22"/>
          <w:szCs w:val="22"/>
          <w:lang w:val="en-GB"/>
        </w:rPr>
        <w:t xml:space="preserve">The EIR Recast includes a three-month lookback period to ensure the Debtor’s presence is not transitory and also focuses on the perception and expectations of third parties. </w:t>
      </w:r>
      <w:r>
        <w:rPr>
          <w:rFonts w:ascii="Avenir Next" w:hAnsi="Avenir Next" w:cs="Arial"/>
          <w:color w:val="7B7B7B" w:themeColor="accent3" w:themeShade="BF"/>
          <w:sz w:val="22"/>
          <w:szCs w:val="22"/>
          <w:lang w:val="en-GB"/>
        </w:rPr>
        <w:t>Nothing in the prompt suggests that the Debtor’s presence in Italy is new (with</w:t>
      </w:r>
      <w:r w:rsidR="004F61A4">
        <w:rPr>
          <w:rFonts w:ascii="Avenir Next" w:hAnsi="Avenir Next" w:cs="Arial"/>
          <w:color w:val="7B7B7B" w:themeColor="accent3" w:themeShade="BF"/>
          <w:sz w:val="22"/>
          <w:szCs w:val="22"/>
          <w:lang w:val="en-GB"/>
        </w:rPr>
        <w:t>in</w:t>
      </w:r>
      <w:r>
        <w:rPr>
          <w:rFonts w:ascii="Avenir Next" w:hAnsi="Avenir Next" w:cs="Arial"/>
          <w:color w:val="7B7B7B" w:themeColor="accent3" w:themeShade="BF"/>
          <w:sz w:val="22"/>
          <w:szCs w:val="22"/>
          <w:lang w:val="en-GB"/>
        </w:rPr>
        <w:t xml:space="preserve"> three months) or transitory. Therefore, the Debtor has an establishment and it is likely the Bank will succeed in opening a secondary proceeding under the language of the EIR Recast. However, such secondary proceeding will be limited to the assets of the Debtor located in Italy. </w:t>
      </w:r>
    </w:p>
    <w:p w14:paraId="1FE573A3" w14:textId="4091F4CE" w:rsidR="00544855" w:rsidRDefault="00544855" w:rsidP="002A37BB">
      <w:pPr>
        <w:jc w:val="both"/>
        <w:rPr>
          <w:rFonts w:ascii="Avenir Next" w:hAnsi="Avenir Next" w:cs="Arial"/>
          <w:color w:val="7B7B7B" w:themeColor="accent3" w:themeShade="BF"/>
          <w:sz w:val="22"/>
          <w:szCs w:val="22"/>
          <w:lang w:val="en-GB"/>
        </w:rPr>
      </w:pP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7A21" w14:textId="77777777" w:rsidR="00403CC9" w:rsidRDefault="00403CC9" w:rsidP="00241B44">
      <w:r>
        <w:separator/>
      </w:r>
    </w:p>
  </w:endnote>
  <w:endnote w:type="continuationSeparator" w:id="0">
    <w:p w14:paraId="2141123D" w14:textId="77777777" w:rsidR="00403CC9" w:rsidRDefault="00403CC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709544B9" w:rsidR="00D509A5" w:rsidRPr="00E36039" w:rsidRDefault="0024555E" w:rsidP="009B4976">
    <w:pPr>
      <w:pStyle w:val="Footer"/>
      <w:ind w:right="360"/>
      <w:rPr>
        <w:rFonts w:ascii="Avenir Next" w:hAnsi="Avenir Next" w:cs="Arial"/>
        <w:sz w:val="22"/>
        <w:szCs w:val="22"/>
        <w:lang w:val="en-GB"/>
      </w:rPr>
    </w:pPr>
    <w:r>
      <w:rPr>
        <w:rFonts w:ascii="Avenir Next" w:hAnsi="Avenir Next" w:cs="Arial"/>
        <w:sz w:val="22"/>
        <w:szCs w:val="22"/>
        <w:lang w:val="en-GB"/>
      </w:rPr>
      <w:t>202223-948</w:t>
    </w:r>
    <w:r w:rsidR="00D509A5" w:rsidRPr="00E36039">
      <w:rPr>
        <w:rFonts w:ascii="Avenir Next" w:hAnsi="Avenir Next" w:cs="Arial"/>
        <w:sz w:val="22"/>
        <w:szCs w:val="22"/>
        <w:lang w:val="en-GB"/>
      </w:rPr>
      <w:t>.assessment2B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5746" w14:textId="77777777" w:rsidR="00BE7313" w:rsidRDefault="00BE7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4FBBA" w14:textId="77777777" w:rsidR="00403CC9" w:rsidRDefault="00403CC9" w:rsidP="00241B44">
      <w:r>
        <w:separator/>
      </w:r>
    </w:p>
  </w:footnote>
  <w:footnote w:type="continuationSeparator" w:id="0">
    <w:p w14:paraId="6518A0E1" w14:textId="77777777" w:rsidR="00403CC9" w:rsidRDefault="00403CC9"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32B1" w14:textId="77777777" w:rsidR="00BE7313" w:rsidRDefault="00BE7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0C06" w14:textId="77777777" w:rsidR="00BE7313" w:rsidRDefault="00BE7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6018" w14:textId="77777777" w:rsidR="00BE7313" w:rsidRDefault="00BE7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21"/>
  </w:num>
  <w:num w:numId="3">
    <w:abstractNumId w:val="15"/>
  </w:num>
  <w:num w:numId="4">
    <w:abstractNumId w:val="26"/>
  </w:num>
  <w:num w:numId="5">
    <w:abstractNumId w:val="20"/>
  </w:num>
  <w:num w:numId="6">
    <w:abstractNumId w:val="23"/>
  </w:num>
  <w:num w:numId="7">
    <w:abstractNumId w:val="6"/>
  </w:num>
  <w:num w:numId="8">
    <w:abstractNumId w:val="18"/>
  </w:num>
  <w:num w:numId="9">
    <w:abstractNumId w:val="17"/>
  </w:num>
  <w:num w:numId="10">
    <w:abstractNumId w:val="13"/>
  </w:num>
  <w:num w:numId="11">
    <w:abstractNumId w:val="19"/>
  </w:num>
  <w:num w:numId="12">
    <w:abstractNumId w:val="2"/>
  </w:num>
  <w:num w:numId="13">
    <w:abstractNumId w:val="10"/>
  </w:num>
  <w:num w:numId="14">
    <w:abstractNumId w:val="16"/>
  </w:num>
  <w:num w:numId="15">
    <w:abstractNumId w:val="14"/>
  </w:num>
  <w:num w:numId="16">
    <w:abstractNumId w:val="9"/>
  </w:num>
  <w:num w:numId="17">
    <w:abstractNumId w:val="12"/>
  </w:num>
  <w:num w:numId="18">
    <w:abstractNumId w:val="3"/>
  </w:num>
  <w:num w:numId="19">
    <w:abstractNumId w:val="0"/>
  </w:num>
  <w:num w:numId="20">
    <w:abstractNumId w:val="5"/>
  </w:num>
  <w:num w:numId="21">
    <w:abstractNumId w:val="0"/>
  </w:num>
  <w:num w:numId="22">
    <w:abstractNumId w:val="7"/>
  </w:num>
  <w:num w:numId="23">
    <w:abstractNumId w:val="22"/>
  </w:num>
  <w:num w:numId="24">
    <w:abstractNumId w:val="24"/>
  </w:num>
  <w:num w:numId="25">
    <w:abstractNumId w:val="4"/>
  </w:num>
  <w:num w:numId="26">
    <w:abstractNumId w:val="27"/>
  </w:num>
  <w:num w:numId="27">
    <w:abstractNumId w:val="8"/>
  </w:num>
  <w:num w:numId="28">
    <w:abstractNumId w:val="1"/>
  </w:num>
  <w:num w:numId="29">
    <w:abstractNumId w:val="11"/>
  </w:num>
  <w:num w:numId="3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50C7"/>
    <w:rsid w:val="000254BA"/>
    <w:rsid w:val="00026F16"/>
    <w:rsid w:val="00037621"/>
    <w:rsid w:val="00041B32"/>
    <w:rsid w:val="00044D46"/>
    <w:rsid w:val="00045088"/>
    <w:rsid w:val="00045904"/>
    <w:rsid w:val="00054E15"/>
    <w:rsid w:val="00065166"/>
    <w:rsid w:val="000673E0"/>
    <w:rsid w:val="00082609"/>
    <w:rsid w:val="000851CC"/>
    <w:rsid w:val="00087CD6"/>
    <w:rsid w:val="00093BE8"/>
    <w:rsid w:val="000A68ED"/>
    <w:rsid w:val="000A7BF9"/>
    <w:rsid w:val="000B5FF1"/>
    <w:rsid w:val="000B609F"/>
    <w:rsid w:val="000C6BB5"/>
    <w:rsid w:val="000D55A8"/>
    <w:rsid w:val="000E4841"/>
    <w:rsid w:val="000F1677"/>
    <w:rsid w:val="000F3D6C"/>
    <w:rsid w:val="000F4A14"/>
    <w:rsid w:val="00101707"/>
    <w:rsid w:val="00101848"/>
    <w:rsid w:val="00105ED0"/>
    <w:rsid w:val="00113E29"/>
    <w:rsid w:val="0011473D"/>
    <w:rsid w:val="0011548B"/>
    <w:rsid w:val="00115C85"/>
    <w:rsid w:val="00123855"/>
    <w:rsid w:val="00126A4D"/>
    <w:rsid w:val="0014171F"/>
    <w:rsid w:val="0014622C"/>
    <w:rsid w:val="001464B7"/>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5CD3"/>
    <w:rsid w:val="00187A34"/>
    <w:rsid w:val="001966D9"/>
    <w:rsid w:val="001A68CC"/>
    <w:rsid w:val="001A7E9A"/>
    <w:rsid w:val="001B0F70"/>
    <w:rsid w:val="001B5016"/>
    <w:rsid w:val="001B6DDC"/>
    <w:rsid w:val="001C45FC"/>
    <w:rsid w:val="001D0469"/>
    <w:rsid w:val="001D08DC"/>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55E"/>
    <w:rsid w:val="00245EFB"/>
    <w:rsid w:val="0025386E"/>
    <w:rsid w:val="002638B0"/>
    <w:rsid w:val="0026647A"/>
    <w:rsid w:val="002668D3"/>
    <w:rsid w:val="0027299F"/>
    <w:rsid w:val="002729AB"/>
    <w:rsid w:val="00284EBE"/>
    <w:rsid w:val="0029433F"/>
    <w:rsid w:val="00294829"/>
    <w:rsid w:val="0029690F"/>
    <w:rsid w:val="00297C8A"/>
    <w:rsid w:val="002A10A2"/>
    <w:rsid w:val="002A2A60"/>
    <w:rsid w:val="002A37BB"/>
    <w:rsid w:val="002B1C45"/>
    <w:rsid w:val="002C13C8"/>
    <w:rsid w:val="002C3547"/>
    <w:rsid w:val="002C4D8D"/>
    <w:rsid w:val="002D0021"/>
    <w:rsid w:val="002D3473"/>
    <w:rsid w:val="002E4CF1"/>
    <w:rsid w:val="002F1956"/>
    <w:rsid w:val="002F2323"/>
    <w:rsid w:val="002F3440"/>
    <w:rsid w:val="002F75A3"/>
    <w:rsid w:val="00302090"/>
    <w:rsid w:val="00302D76"/>
    <w:rsid w:val="00303C2F"/>
    <w:rsid w:val="003144EF"/>
    <w:rsid w:val="003252C2"/>
    <w:rsid w:val="00326005"/>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7A2"/>
    <w:rsid w:val="003D1974"/>
    <w:rsid w:val="003D4A79"/>
    <w:rsid w:val="003E0B16"/>
    <w:rsid w:val="003E4DB0"/>
    <w:rsid w:val="003E67D1"/>
    <w:rsid w:val="00403CC9"/>
    <w:rsid w:val="00404329"/>
    <w:rsid w:val="00405DC1"/>
    <w:rsid w:val="00415F1F"/>
    <w:rsid w:val="004202D2"/>
    <w:rsid w:val="0042108F"/>
    <w:rsid w:val="00430FED"/>
    <w:rsid w:val="00434A8C"/>
    <w:rsid w:val="00437297"/>
    <w:rsid w:val="00444284"/>
    <w:rsid w:val="0044574C"/>
    <w:rsid w:val="00445CE6"/>
    <w:rsid w:val="004534C2"/>
    <w:rsid w:val="0045446F"/>
    <w:rsid w:val="0045683E"/>
    <w:rsid w:val="00457CA3"/>
    <w:rsid w:val="00465BFF"/>
    <w:rsid w:val="00470681"/>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4F61A4"/>
    <w:rsid w:val="00502110"/>
    <w:rsid w:val="005177FE"/>
    <w:rsid w:val="0052263B"/>
    <w:rsid w:val="00524728"/>
    <w:rsid w:val="005331CA"/>
    <w:rsid w:val="00537970"/>
    <w:rsid w:val="00540E3A"/>
    <w:rsid w:val="005411F4"/>
    <w:rsid w:val="00544127"/>
    <w:rsid w:val="00544855"/>
    <w:rsid w:val="00544F6E"/>
    <w:rsid w:val="005463A9"/>
    <w:rsid w:val="00553EB2"/>
    <w:rsid w:val="00560534"/>
    <w:rsid w:val="0056391B"/>
    <w:rsid w:val="005650E2"/>
    <w:rsid w:val="00567AD7"/>
    <w:rsid w:val="00575B2D"/>
    <w:rsid w:val="005833D0"/>
    <w:rsid w:val="005846F3"/>
    <w:rsid w:val="0058622F"/>
    <w:rsid w:val="00591280"/>
    <w:rsid w:val="00592F82"/>
    <w:rsid w:val="005A0CCA"/>
    <w:rsid w:val="005A726D"/>
    <w:rsid w:val="005B67AC"/>
    <w:rsid w:val="005B79F4"/>
    <w:rsid w:val="005B7C95"/>
    <w:rsid w:val="005D2CD6"/>
    <w:rsid w:val="005D43E0"/>
    <w:rsid w:val="005D58A3"/>
    <w:rsid w:val="005E1B79"/>
    <w:rsid w:val="005E7008"/>
    <w:rsid w:val="005E784A"/>
    <w:rsid w:val="005F026D"/>
    <w:rsid w:val="005F19C3"/>
    <w:rsid w:val="005F1D15"/>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61EF"/>
    <w:rsid w:val="006723E9"/>
    <w:rsid w:val="00677AEB"/>
    <w:rsid w:val="00680EF2"/>
    <w:rsid w:val="00687A1D"/>
    <w:rsid w:val="00696ED8"/>
    <w:rsid w:val="00697EA1"/>
    <w:rsid w:val="006A2646"/>
    <w:rsid w:val="006A6530"/>
    <w:rsid w:val="006B435A"/>
    <w:rsid w:val="006B4C64"/>
    <w:rsid w:val="006C4FAA"/>
    <w:rsid w:val="006D217A"/>
    <w:rsid w:val="006D6BD5"/>
    <w:rsid w:val="006E481A"/>
    <w:rsid w:val="006E5287"/>
    <w:rsid w:val="006E5298"/>
    <w:rsid w:val="006E5AD5"/>
    <w:rsid w:val="006F0106"/>
    <w:rsid w:val="006F2B12"/>
    <w:rsid w:val="006F4A78"/>
    <w:rsid w:val="006F734A"/>
    <w:rsid w:val="00700D83"/>
    <w:rsid w:val="00704852"/>
    <w:rsid w:val="007074E9"/>
    <w:rsid w:val="00712AB6"/>
    <w:rsid w:val="00713DA4"/>
    <w:rsid w:val="00714BF1"/>
    <w:rsid w:val="00721383"/>
    <w:rsid w:val="0073158B"/>
    <w:rsid w:val="007333CC"/>
    <w:rsid w:val="0073399A"/>
    <w:rsid w:val="00745D6F"/>
    <w:rsid w:val="007603F5"/>
    <w:rsid w:val="00764DB0"/>
    <w:rsid w:val="0076764D"/>
    <w:rsid w:val="0077498C"/>
    <w:rsid w:val="007772BD"/>
    <w:rsid w:val="007809BC"/>
    <w:rsid w:val="00782DF0"/>
    <w:rsid w:val="00782EE1"/>
    <w:rsid w:val="00784128"/>
    <w:rsid w:val="00793173"/>
    <w:rsid w:val="007A107A"/>
    <w:rsid w:val="007A2A33"/>
    <w:rsid w:val="007A6B8D"/>
    <w:rsid w:val="007A79D5"/>
    <w:rsid w:val="007A7B20"/>
    <w:rsid w:val="007C1FCC"/>
    <w:rsid w:val="007C50AA"/>
    <w:rsid w:val="007C6201"/>
    <w:rsid w:val="007D54AA"/>
    <w:rsid w:val="007D7C92"/>
    <w:rsid w:val="007E1154"/>
    <w:rsid w:val="007E39B3"/>
    <w:rsid w:val="007E44C4"/>
    <w:rsid w:val="007E6BA4"/>
    <w:rsid w:val="007F41F8"/>
    <w:rsid w:val="007F5507"/>
    <w:rsid w:val="007F6A57"/>
    <w:rsid w:val="00800B1B"/>
    <w:rsid w:val="00800B76"/>
    <w:rsid w:val="008017F0"/>
    <w:rsid w:val="0080454E"/>
    <w:rsid w:val="00804C32"/>
    <w:rsid w:val="00804DA6"/>
    <w:rsid w:val="00806302"/>
    <w:rsid w:val="00807119"/>
    <w:rsid w:val="0082424D"/>
    <w:rsid w:val="0082483F"/>
    <w:rsid w:val="008279C0"/>
    <w:rsid w:val="00835422"/>
    <w:rsid w:val="00841051"/>
    <w:rsid w:val="008435B0"/>
    <w:rsid w:val="008500BD"/>
    <w:rsid w:val="0085338F"/>
    <w:rsid w:val="008550D9"/>
    <w:rsid w:val="00857862"/>
    <w:rsid w:val="00860723"/>
    <w:rsid w:val="00864593"/>
    <w:rsid w:val="0086548F"/>
    <w:rsid w:val="00871F47"/>
    <w:rsid w:val="008723F3"/>
    <w:rsid w:val="00874240"/>
    <w:rsid w:val="00881DE6"/>
    <w:rsid w:val="008837A6"/>
    <w:rsid w:val="0089145D"/>
    <w:rsid w:val="0089362E"/>
    <w:rsid w:val="00894C1D"/>
    <w:rsid w:val="00897A78"/>
    <w:rsid w:val="008A4DF2"/>
    <w:rsid w:val="008A6CFE"/>
    <w:rsid w:val="008B5333"/>
    <w:rsid w:val="008B6223"/>
    <w:rsid w:val="008C385B"/>
    <w:rsid w:val="008C4AC6"/>
    <w:rsid w:val="008C66E0"/>
    <w:rsid w:val="008D6048"/>
    <w:rsid w:val="008D62F7"/>
    <w:rsid w:val="008D70EB"/>
    <w:rsid w:val="008D7797"/>
    <w:rsid w:val="008E0EC8"/>
    <w:rsid w:val="008E3339"/>
    <w:rsid w:val="008E3C96"/>
    <w:rsid w:val="008E7371"/>
    <w:rsid w:val="008F20FC"/>
    <w:rsid w:val="008F5FFE"/>
    <w:rsid w:val="00905A43"/>
    <w:rsid w:val="00912C79"/>
    <w:rsid w:val="00914A23"/>
    <w:rsid w:val="00935A21"/>
    <w:rsid w:val="00942123"/>
    <w:rsid w:val="0095207B"/>
    <w:rsid w:val="00954917"/>
    <w:rsid w:val="00962045"/>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E7BE8"/>
    <w:rsid w:val="009F275E"/>
    <w:rsid w:val="00A047EE"/>
    <w:rsid w:val="00A07E6F"/>
    <w:rsid w:val="00A11E80"/>
    <w:rsid w:val="00A16616"/>
    <w:rsid w:val="00A17858"/>
    <w:rsid w:val="00A2274A"/>
    <w:rsid w:val="00A235B7"/>
    <w:rsid w:val="00A26868"/>
    <w:rsid w:val="00A27A7A"/>
    <w:rsid w:val="00A33FA6"/>
    <w:rsid w:val="00A407EF"/>
    <w:rsid w:val="00A46B4C"/>
    <w:rsid w:val="00A50055"/>
    <w:rsid w:val="00A5117B"/>
    <w:rsid w:val="00A54CB5"/>
    <w:rsid w:val="00A60074"/>
    <w:rsid w:val="00A620A6"/>
    <w:rsid w:val="00A62FDA"/>
    <w:rsid w:val="00A6627C"/>
    <w:rsid w:val="00A71019"/>
    <w:rsid w:val="00A7758E"/>
    <w:rsid w:val="00A81029"/>
    <w:rsid w:val="00A83E9F"/>
    <w:rsid w:val="00A96489"/>
    <w:rsid w:val="00AA21C5"/>
    <w:rsid w:val="00AA55B5"/>
    <w:rsid w:val="00AB685C"/>
    <w:rsid w:val="00AB6C2D"/>
    <w:rsid w:val="00AB7AA5"/>
    <w:rsid w:val="00AC08F7"/>
    <w:rsid w:val="00AC3839"/>
    <w:rsid w:val="00AC4C4F"/>
    <w:rsid w:val="00AC7082"/>
    <w:rsid w:val="00AD2931"/>
    <w:rsid w:val="00AD513F"/>
    <w:rsid w:val="00AD6870"/>
    <w:rsid w:val="00AE2316"/>
    <w:rsid w:val="00AE74BA"/>
    <w:rsid w:val="00AF228E"/>
    <w:rsid w:val="00B016A8"/>
    <w:rsid w:val="00B070D2"/>
    <w:rsid w:val="00B12499"/>
    <w:rsid w:val="00B12EF7"/>
    <w:rsid w:val="00B14819"/>
    <w:rsid w:val="00B15E2F"/>
    <w:rsid w:val="00B17AA9"/>
    <w:rsid w:val="00B30D9A"/>
    <w:rsid w:val="00B44713"/>
    <w:rsid w:val="00B56103"/>
    <w:rsid w:val="00B64929"/>
    <w:rsid w:val="00B70CB2"/>
    <w:rsid w:val="00B736DF"/>
    <w:rsid w:val="00B743D6"/>
    <w:rsid w:val="00B74FBD"/>
    <w:rsid w:val="00B77F46"/>
    <w:rsid w:val="00B82586"/>
    <w:rsid w:val="00B829A3"/>
    <w:rsid w:val="00B86DB1"/>
    <w:rsid w:val="00B87869"/>
    <w:rsid w:val="00B94B9F"/>
    <w:rsid w:val="00B96CE3"/>
    <w:rsid w:val="00BA543A"/>
    <w:rsid w:val="00BB0F2B"/>
    <w:rsid w:val="00BB38D1"/>
    <w:rsid w:val="00BD73DA"/>
    <w:rsid w:val="00BE4FF3"/>
    <w:rsid w:val="00BE7313"/>
    <w:rsid w:val="00BF4442"/>
    <w:rsid w:val="00BF50F7"/>
    <w:rsid w:val="00C00B20"/>
    <w:rsid w:val="00C00E77"/>
    <w:rsid w:val="00C02F29"/>
    <w:rsid w:val="00C15FA2"/>
    <w:rsid w:val="00C20AFE"/>
    <w:rsid w:val="00C22A25"/>
    <w:rsid w:val="00C25E49"/>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7069"/>
    <w:rsid w:val="00CB1983"/>
    <w:rsid w:val="00CB2CBB"/>
    <w:rsid w:val="00CB7CAC"/>
    <w:rsid w:val="00CC5335"/>
    <w:rsid w:val="00CC5BA4"/>
    <w:rsid w:val="00CD4998"/>
    <w:rsid w:val="00CE1035"/>
    <w:rsid w:val="00CE4206"/>
    <w:rsid w:val="00CE6E50"/>
    <w:rsid w:val="00CF0E4D"/>
    <w:rsid w:val="00CF2819"/>
    <w:rsid w:val="00CF4F9D"/>
    <w:rsid w:val="00CF70DC"/>
    <w:rsid w:val="00D148DC"/>
    <w:rsid w:val="00D17FDC"/>
    <w:rsid w:val="00D21F62"/>
    <w:rsid w:val="00D26E26"/>
    <w:rsid w:val="00D43581"/>
    <w:rsid w:val="00D43B3A"/>
    <w:rsid w:val="00D509A5"/>
    <w:rsid w:val="00D56B4E"/>
    <w:rsid w:val="00D608A4"/>
    <w:rsid w:val="00D60E46"/>
    <w:rsid w:val="00D63EFD"/>
    <w:rsid w:val="00D651FD"/>
    <w:rsid w:val="00D66F96"/>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C4E26"/>
    <w:rsid w:val="00DD0802"/>
    <w:rsid w:val="00DD2E11"/>
    <w:rsid w:val="00DD47EF"/>
    <w:rsid w:val="00DE03AF"/>
    <w:rsid w:val="00DE121C"/>
    <w:rsid w:val="00DE6633"/>
    <w:rsid w:val="00DF0864"/>
    <w:rsid w:val="00DF75F8"/>
    <w:rsid w:val="00DF7A3A"/>
    <w:rsid w:val="00E00C00"/>
    <w:rsid w:val="00E03AF0"/>
    <w:rsid w:val="00E07C5A"/>
    <w:rsid w:val="00E131B1"/>
    <w:rsid w:val="00E15BA9"/>
    <w:rsid w:val="00E26E19"/>
    <w:rsid w:val="00E30C8A"/>
    <w:rsid w:val="00E31DF3"/>
    <w:rsid w:val="00E36039"/>
    <w:rsid w:val="00E450A4"/>
    <w:rsid w:val="00E506BE"/>
    <w:rsid w:val="00E55547"/>
    <w:rsid w:val="00E604A1"/>
    <w:rsid w:val="00E6302B"/>
    <w:rsid w:val="00E6452F"/>
    <w:rsid w:val="00E64F45"/>
    <w:rsid w:val="00E6742D"/>
    <w:rsid w:val="00E7119E"/>
    <w:rsid w:val="00E71CB0"/>
    <w:rsid w:val="00E77C3D"/>
    <w:rsid w:val="00E81160"/>
    <w:rsid w:val="00E83CE8"/>
    <w:rsid w:val="00E90991"/>
    <w:rsid w:val="00E909F0"/>
    <w:rsid w:val="00E90D47"/>
    <w:rsid w:val="00E93993"/>
    <w:rsid w:val="00E9597C"/>
    <w:rsid w:val="00E965FA"/>
    <w:rsid w:val="00EA0913"/>
    <w:rsid w:val="00EA5B00"/>
    <w:rsid w:val="00EB146B"/>
    <w:rsid w:val="00EB45AC"/>
    <w:rsid w:val="00EB5CA4"/>
    <w:rsid w:val="00EC00F9"/>
    <w:rsid w:val="00EC01DD"/>
    <w:rsid w:val="00EC242E"/>
    <w:rsid w:val="00ED0BC4"/>
    <w:rsid w:val="00ED20E8"/>
    <w:rsid w:val="00ED2566"/>
    <w:rsid w:val="00ED472A"/>
    <w:rsid w:val="00ED54B6"/>
    <w:rsid w:val="00EE1A3B"/>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6CD4"/>
    <w:rsid w:val="00F814B4"/>
    <w:rsid w:val="00F83464"/>
    <w:rsid w:val="00F90DC2"/>
    <w:rsid w:val="00F93BE7"/>
    <w:rsid w:val="00F97C5B"/>
    <w:rsid w:val="00FA3D50"/>
    <w:rsid w:val="00FB1087"/>
    <w:rsid w:val="00FB6122"/>
    <w:rsid w:val="00FB7FBD"/>
    <w:rsid w:val="00FC1F2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EE1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tructuring.bakermckenzie.com/wp-content/uploads/sites/23/2016/12/Global-Restructuring-Insolvency-Guide-New-Logo-Franc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11</Pages>
  <Words>4574</Words>
  <Characters>26072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L. Grube</cp:lastModifiedBy>
  <cp:revision>29</cp:revision>
  <cp:lastPrinted>2019-08-27T05:42:00Z</cp:lastPrinted>
  <dcterms:created xsi:type="dcterms:W3CDTF">2023-02-03T20:44:00Z</dcterms:created>
  <dcterms:modified xsi:type="dcterms:W3CDTF">2023-02-06T20:13:00Z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ingId">
    <vt:lpwstr>90ad0099-a985-4dae-a95d-92da1a180400</vt:lpwstr>
  </property>
</Properties>
</file>