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727AC6">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C56D57" w:rsidRDefault="00436884" w:rsidP="00727AC6">
      <w:pPr>
        <w:pStyle w:val="ListParagraph"/>
        <w:numPr>
          <w:ilvl w:val="0"/>
          <w:numId w:val="1"/>
        </w:numPr>
        <w:ind w:left="426"/>
        <w:jc w:val="both"/>
        <w:rPr>
          <w:rFonts w:ascii="Avenir Next" w:hAnsi="Avenir Next" w:cs="Arial"/>
          <w:sz w:val="22"/>
          <w:szCs w:val="22"/>
          <w:lang w:val="en-GB"/>
        </w:rPr>
      </w:pPr>
      <w:r w:rsidRPr="00C56D57">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C56D57" w:rsidRDefault="00436884" w:rsidP="00727AC6">
      <w:pPr>
        <w:pStyle w:val="ListParagraph"/>
        <w:numPr>
          <w:ilvl w:val="0"/>
          <w:numId w:val="1"/>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727AC6">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727AC6">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C56D57" w:rsidRDefault="00436884" w:rsidP="00727AC6">
      <w:pPr>
        <w:pStyle w:val="ListParagraph"/>
        <w:numPr>
          <w:ilvl w:val="0"/>
          <w:numId w:val="2"/>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727AC6">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727AC6">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727AC6">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727AC6">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C56D57" w:rsidRDefault="00853A74" w:rsidP="00727AC6">
      <w:pPr>
        <w:pStyle w:val="ListParagraph"/>
        <w:numPr>
          <w:ilvl w:val="0"/>
          <w:numId w:val="3"/>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727AC6">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727AC6">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C56D57" w:rsidRDefault="00436884" w:rsidP="00727AC6">
      <w:pPr>
        <w:pStyle w:val="ListParagraph"/>
        <w:numPr>
          <w:ilvl w:val="0"/>
          <w:numId w:val="4"/>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727AC6">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727AC6">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727AC6">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727AC6">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727AC6">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C56D57" w:rsidRDefault="00C504E5" w:rsidP="00727AC6">
      <w:pPr>
        <w:pStyle w:val="ListParagraph"/>
        <w:numPr>
          <w:ilvl w:val="0"/>
          <w:numId w:val="5"/>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 xml:space="preserve">None of the statements in (a), (b) </w:t>
      </w:r>
      <w:r w:rsidR="002E00F8" w:rsidRPr="00C56D57">
        <w:rPr>
          <w:rFonts w:ascii="Avenir Next" w:hAnsi="Avenir Next" w:cs="Arial"/>
          <w:sz w:val="22"/>
          <w:szCs w:val="22"/>
          <w:highlight w:val="yellow"/>
          <w:lang w:val="en-GB"/>
        </w:rPr>
        <w:t>or</w:t>
      </w:r>
      <w:r w:rsidRPr="00C56D57">
        <w:rPr>
          <w:rFonts w:ascii="Avenir Next" w:hAnsi="Avenir Next" w:cs="Arial"/>
          <w:sz w:val="22"/>
          <w:szCs w:val="22"/>
          <w:highlight w:val="yellow"/>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727AC6">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727AC6">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727AC6">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C56D57" w:rsidRDefault="00B72F5F" w:rsidP="00727AC6">
      <w:pPr>
        <w:pStyle w:val="ListParagraph"/>
        <w:numPr>
          <w:ilvl w:val="0"/>
          <w:numId w:val="6"/>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56D57">
        <w:rPr>
          <w:rFonts w:ascii="Avenir Next" w:hAnsi="Avenir Next" w:cs="Arial"/>
          <w:sz w:val="22"/>
          <w:szCs w:val="22"/>
          <w:highlight w:val="yellow"/>
          <w:lang w:val="en-GB"/>
        </w:rPr>
        <w:t>will</w:t>
      </w:r>
      <w:r w:rsidRPr="00C56D57">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C56D57" w:rsidRDefault="00436884" w:rsidP="00727AC6">
      <w:pPr>
        <w:pStyle w:val="ListParagraph"/>
        <w:numPr>
          <w:ilvl w:val="0"/>
          <w:numId w:val="7"/>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727AC6">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727AC6">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727AC6">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C56D57" w:rsidRDefault="00436884" w:rsidP="00727AC6">
      <w:pPr>
        <w:pStyle w:val="ListParagraph"/>
        <w:numPr>
          <w:ilvl w:val="0"/>
          <w:numId w:val="8"/>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727AC6">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727AC6">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727AC6">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727AC6">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727AC6">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C56D57" w:rsidRDefault="00436884" w:rsidP="00727AC6">
      <w:pPr>
        <w:pStyle w:val="ListParagraph"/>
        <w:numPr>
          <w:ilvl w:val="0"/>
          <w:numId w:val="9"/>
        </w:numPr>
        <w:ind w:left="426"/>
        <w:jc w:val="both"/>
        <w:rPr>
          <w:rFonts w:ascii="Avenir Next" w:hAnsi="Avenir Next" w:cs="Arial"/>
          <w:sz w:val="22"/>
          <w:szCs w:val="22"/>
          <w:highlight w:val="yellow"/>
          <w:lang w:val="en-GB"/>
        </w:rPr>
      </w:pPr>
      <w:r w:rsidRPr="00C56D57">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727AC6">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727AC6">
      <w:pPr>
        <w:pStyle w:val="ListParagraph"/>
        <w:numPr>
          <w:ilvl w:val="0"/>
          <w:numId w:val="1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727AC6">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727AC6">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C61CF" w:rsidRDefault="00436884" w:rsidP="00727AC6">
      <w:pPr>
        <w:pStyle w:val="ListParagraph"/>
        <w:numPr>
          <w:ilvl w:val="0"/>
          <w:numId w:val="10"/>
        </w:numPr>
        <w:spacing w:line="276" w:lineRule="auto"/>
        <w:ind w:left="426"/>
        <w:jc w:val="both"/>
        <w:rPr>
          <w:rFonts w:ascii="Avenir Next" w:hAnsi="Avenir Next" w:cs="Arial"/>
          <w:b/>
          <w:sz w:val="22"/>
          <w:szCs w:val="22"/>
          <w:highlight w:val="yellow"/>
          <w:lang w:val="en-GB"/>
        </w:rPr>
      </w:pPr>
      <w:r w:rsidRPr="00EC61CF">
        <w:rPr>
          <w:rFonts w:ascii="Avenir Next" w:hAnsi="Avenir Next" w:cs="Arial"/>
          <w:bCs/>
          <w:sz w:val="22"/>
          <w:szCs w:val="22"/>
          <w:highlight w:val="yellow"/>
          <w:lang w:val="en-GB"/>
        </w:rPr>
        <w:t>Article 13 contains a uniform ranking system to avoid discrimination</w:t>
      </w:r>
      <w:r w:rsidR="001374D8" w:rsidRPr="00EC61CF">
        <w:rPr>
          <w:rFonts w:ascii="Avenir Next" w:hAnsi="Avenir Next" w:cs="Arial"/>
          <w:bCs/>
          <w:sz w:val="22"/>
          <w:szCs w:val="22"/>
          <w:highlight w:val="yellow"/>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65A4B3E2" w:rsidR="00B77352" w:rsidRPr="00694FC9" w:rsidRDefault="001046D4" w:rsidP="00694FC9">
      <w:pPr>
        <w:jc w:val="both"/>
        <w:rPr>
          <w:rFonts w:ascii="Arial" w:hAnsi="Arial" w:cs="Arial"/>
          <w:color w:val="000000" w:themeColor="text1"/>
          <w:sz w:val="22"/>
          <w:szCs w:val="22"/>
          <w:lang w:val="en-GB"/>
        </w:rPr>
      </w:pPr>
      <w:r w:rsidRPr="001046D4">
        <w:rPr>
          <w:rFonts w:ascii="Arial" w:hAnsi="Arial" w:cs="Arial"/>
          <w:color w:val="000000" w:themeColor="text1"/>
          <w:sz w:val="22"/>
          <w:szCs w:val="22"/>
          <w:lang w:val="en-GB"/>
        </w:rPr>
        <w:t xml:space="preserve">Under the MLCBI the appropriate date for determining the COMI of a debtor </w:t>
      </w:r>
      <w:r w:rsidR="00694FC9">
        <w:rPr>
          <w:rFonts w:ascii="Arial" w:hAnsi="Arial" w:cs="Arial"/>
          <w:color w:val="000000" w:themeColor="text1"/>
          <w:sz w:val="22"/>
          <w:szCs w:val="22"/>
          <w:lang w:val="en-GB"/>
        </w:rPr>
        <w:t xml:space="preserve">is </w:t>
      </w:r>
      <w:r w:rsidR="00694FC9" w:rsidRPr="00694FC9">
        <w:rPr>
          <w:rFonts w:ascii="Arial" w:hAnsi="Arial" w:cs="Arial"/>
          <w:color w:val="000000" w:themeColor="text1"/>
          <w:sz w:val="22"/>
          <w:szCs w:val="22"/>
          <w:lang w:val="en-GB"/>
        </w:rPr>
        <w:t xml:space="preserve">the date of commencement of </w:t>
      </w:r>
      <w:r>
        <w:rPr>
          <w:rFonts w:ascii="Arial" w:hAnsi="Arial" w:cs="Arial"/>
          <w:color w:val="000000" w:themeColor="text1"/>
          <w:sz w:val="22"/>
          <w:szCs w:val="22"/>
          <w:lang w:val="en-GB"/>
        </w:rPr>
        <w:t>the foreign</w:t>
      </w:r>
      <w:r w:rsidR="00694FC9" w:rsidRPr="00694FC9">
        <w:rPr>
          <w:rFonts w:ascii="Arial" w:hAnsi="Arial" w:cs="Arial"/>
          <w:color w:val="000000" w:themeColor="text1"/>
          <w:sz w:val="22"/>
          <w:szCs w:val="22"/>
          <w:lang w:val="en-GB"/>
        </w:rPr>
        <w:t xml:space="preserve"> proceeding</w:t>
      </w:r>
      <w:r>
        <w:rPr>
          <w:rFonts w:ascii="Arial" w:hAnsi="Arial" w:cs="Arial"/>
          <w:color w:val="000000" w:themeColor="text1"/>
          <w:sz w:val="22"/>
          <w:szCs w:val="22"/>
          <w:lang w:val="en-GB"/>
        </w:rPr>
        <w:t>s</w:t>
      </w:r>
      <w:r w:rsidR="00694FC9" w:rsidRPr="00694FC9">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00694FC9" w:rsidRPr="00694FC9">
        <w:rPr>
          <w:rFonts w:ascii="Arial" w:hAnsi="Arial" w:cs="Arial"/>
          <w:color w:val="000000" w:themeColor="text1"/>
          <w:sz w:val="22"/>
          <w:szCs w:val="22"/>
          <w:lang w:val="en-GB"/>
        </w:rPr>
        <w:t>Article 17</w:t>
      </w:r>
      <w:r>
        <w:rPr>
          <w:rFonts w:ascii="Arial" w:hAnsi="Arial" w:cs="Arial"/>
          <w:color w:val="000000" w:themeColor="text1"/>
          <w:sz w:val="22"/>
          <w:szCs w:val="22"/>
          <w:lang w:val="en-GB"/>
        </w:rPr>
        <w:t>(2)</w:t>
      </w:r>
      <w:r w:rsidR="00694FC9" w:rsidRPr="00694FC9">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of the MLCBI </w:t>
      </w:r>
      <w:r w:rsidR="00694FC9" w:rsidRPr="00694FC9">
        <w:rPr>
          <w:rFonts w:ascii="Arial" w:hAnsi="Arial" w:cs="Arial"/>
          <w:color w:val="000000" w:themeColor="text1"/>
          <w:sz w:val="22"/>
          <w:szCs w:val="22"/>
          <w:lang w:val="en-GB"/>
        </w:rPr>
        <w:t>provides that the foreign proceeding is</w:t>
      </w:r>
      <w:r w:rsidR="00694FC9">
        <w:rPr>
          <w:rFonts w:ascii="Arial" w:hAnsi="Arial" w:cs="Arial"/>
          <w:color w:val="000000" w:themeColor="text1"/>
          <w:sz w:val="22"/>
          <w:szCs w:val="22"/>
          <w:lang w:val="en-GB"/>
        </w:rPr>
        <w:t xml:space="preserve"> </w:t>
      </w:r>
      <w:r w:rsidR="00694FC9" w:rsidRPr="00694FC9">
        <w:rPr>
          <w:rFonts w:ascii="Arial" w:hAnsi="Arial" w:cs="Arial"/>
          <w:color w:val="000000" w:themeColor="text1"/>
          <w:sz w:val="22"/>
          <w:szCs w:val="22"/>
          <w:lang w:val="en-GB"/>
        </w:rPr>
        <w:t>to be recognized as a main proceeding “if it is taking place in the State</w:t>
      </w:r>
      <w:r w:rsidR="00694FC9">
        <w:rPr>
          <w:rFonts w:ascii="Arial" w:hAnsi="Arial" w:cs="Arial"/>
          <w:color w:val="000000" w:themeColor="text1"/>
          <w:sz w:val="22"/>
          <w:szCs w:val="22"/>
          <w:lang w:val="en-GB"/>
        </w:rPr>
        <w:t xml:space="preserve"> </w:t>
      </w:r>
      <w:r w:rsidR="00694FC9" w:rsidRPr="00694FC9">
        <w:rPr>
          <w:rFonts w:ascii="Arial" w:hAnsi="Arial" w:cs="Arial"/>
          <w:color w:val="000000" w:themeColor="text1"/>
          <w:sz w:val="22"/>
          <w:szCs w:val="22"/>
          <w:lang w:val="en-GB"/>
        </w:rPr>
        <w:t>where the debtor has the centre of its main interests”</w:t>
      </w:r>
      <w:r w:rsidR="00694FC9">
        <w:rPr>
          <w:rFonts w:ascii="Arial" w:hAnsi="Arial" w:cs="Arial"/>
          <w:color w:val="000000" w:themeColor="text1"/>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5919DD2B" w:rsidR="00867A8F" w:rsidRPr="001046D4" w:rsidRDefault="001046D4" w:rsidP="00867A8F">
      <w:pPr>
        <w:ind w:left="720" w:hanging="720"/>
        <w:jc w:val="both"/>
        <w:rPr>
          <w:rFonts w:ascii="Arial" w:hAnsi="Arial" w:cs="Arial"/>
          <w:color w:val="000000" w:themeColor="text1"/>
          <w:sz w:val="22"/>
          <w:szCs w:val="22"/>
          <w:lang w:val="en-GB"/>
        </w:rPr>
      </w:pPr>
      <w:r w:rsidRPr="001046D4">
        <w:rPr>
          <w:rFonts w:ascii="Arial" w:hAnsi="Arial" w:cs="Arial"/>
          <w:color w:val="000000" w:themeColor="text1"/>
          <w:sz w:val="22"/>
          <w:szCs w:val="22"/>
          <w:lang w:val="en-GB"/>
        </w:rPr>
        <w:t xml:space="preserve">Statement 1: </w:t>
      </w:r>
      <w:r>
        <w:rPr>
          <w:rFonts w:ascii="Arial" w:hAnsi="Arial" w:cs="Arial"/>
          <w:color w:val="000000" w:themeColor="text1"/>
          <w:sz w:val="22"/>
          <w:szCs w:val="22"/>
          <w:lang w:val="en-GB"/>
        </w:rPr>
        <w:t>Article 14.</w:t>
      </w:r>
    </w:p>
    <w:p w14:paraId="442F3005" w14:textId="1E13B9F6" w:rsidR="001046D4" w:rsidRPr="001046D4" w:rsidRDefault="001046D4" w:rsidP="001046D4">
      <w:pPr>
        <w:tabs>
          <w:tab w:val="left" w:pos="2295"/>
        </w:tabs>
        <w:ind w:left="720" w:hanging="720"/>
        <w:jc w:val="both"/>
        <w:rPr>
          <w:rFonts w:ascii="Arial" w:hAnsi="Arial" w:cs="Arial"/>
          <w:color w:val="000000" w:themeColor="text1"/>
          <w:sz w:val="22"/>
          <w:szCs w:val="22"/>
          <w:lang w:val="en-GB"/>
        </w:rPr>
      </w:pPr>
      <w:r w:rsidRPr="001046D4">
        <w:rPr>
          <w:rFonts w:ascii="Arial" w:hAnsi="Arial" w:cs="Arial"/>
          <w:color w:val="000000" w:themeColor="text1"/>
          <w:sz w:val="22"/>
          <w:szCs w:val="22"/>
          <w:lang w:val="en-GB"/>
        </w:rPr>
        <w:t xml:space="preserve">Statement 2: </w:t>
      </w:r>
      <w:r>
        <w:rPr>
          <w:rFonts w:ascii="Arial" w:hAnsi="Arial" w:cs="Arial"/>
          <w:color w:val="000000" w:themeColor="text1"/>
          <w:sz w:val="22"/>
          <w:szCs w:val="22"/>
          <w:lang w:val="en-GB"/>
        </w:rPr>
        <w:t>Article 10</w:t>
      </w:r>
    </w:p>
    <w:p w14:paraId="366AD8C1" w14:textId="5F73B2C6" w:rsidR="001046D4" w:rsidRPr="001046D4" w:rsidRDefault="001046D4" w:rsidP="00867A8F">
      <w:pPr>
        <w:ind w:left="720" w:hanging="720"/>
        <w:jc w:val="both"/>
        <w:rPr>
          <w:rFonts w:ascii="Arial" w:hAnsi="Arial" w:cs="Arial"/>
          <w:color w:val="000000" w:themeColor="text1"/>
          <w:sz w:val="22"/>
          <w:szCs w:val="22"/>
          <w:lang w:val="en-GB"/>
        </w:rPr>
      </w:pPr>
      <w:r w:rsidRPr="001046D4">
        <w:rPr>
          <w:rFonts w:ascii="Arial" w:hAnsi="Arial" w:cs="Arial"/>
          <w:color w:val="000000" w:themeColor="text1"/>
          <w:sz w:val="22"/>
          <w:szCs w:val="22"/>
          <w:lang w:val="en-GB"/>
        </w:rPr>
        <w:t>Statement 3: Article 16</w:t>
      </w:r>
      <w:r>
        <w:rPr>
          <w:rFonts w:ascii="Arial" w:hAnsi="Arial" w:cs="Arial"/>
          <w:color w:val="000000" w:themeColor="text1"/>
          <w:sz w:val="22"/>
          <w:szCs w:val="22"/>
          <w:lang w:val="en-GB"/>
        </w:rPr>
        <w:t xml:space="preserve"> (3)</w:t>
      </w:r>
      <w:r w:rsidRPr="001046D4">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w:t>
      </w:r>
      <w:r w:rsidRPr="001046D4">
        <w:rPr>
          <w:rFonts w:ascii="Arial" w:hAnsi="Arial" w:cs="Arial"/>
          <w:color w:val="000000" w:themeColor="text1"/>
          <w:sz w:val="22"/>
          <w:szCs w:val="22"/>
          <w:lang w:val="en-GB"/>
        </w:rPr>
        <w:t>Presumptions concerning recognition</w:t>
      </w:r>
      <w:r>
        <w:rPr>
          <w:rFonts w:ascii="Arial" w:hAnsi="Arial" w:cs="Arial"/>
          <w:color w:val="000000" w:themeColor="text1"/>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0DC1F982" w:rsidR="00867A8F" w:rsidRPr="00B77352" w:rsidRDefault="001046D4" w:rsidP="001046D4">
      <w:pPr>
        <w:jc w:val="both"/>
        <w:rPr>
          <w:rFonts w:ascii="Avenir Next" w:hAnsi="Avenir Next" w:cs="Arial"/>
          <w:color w:val="808080" w:themeColor="background1" w:themeShade="80"/>
          <w:sz w:val="22"/>
          <w:szCs w:val="22"/>
          <w:lang w:val="en-GB"/>
        </w:rPr>
      </w:pPr>
      <w:r>
        <w:rPr>
          <w:rFonts w:ascii="Arial" w:hAnsi="Arial" w:cs="Arial"/>
          <w:color w:val="000000" w:themeColor="text1"/>
          <w:sz w:val="22"/>
          <w:szCs w:val="22"/>
          <w:lang w:val="en-GB"/>
        </w:rPr>
        <w:t>The reason was so as to n</w:t>
      </w:r>
      <w:r w:rsidRPr="001046D4">
        <w:rPr>
          <w:rFonts w:ascii="Arial" w:hAnsi="Arial" w:cs="Arial"/>
          <w:color w:val="000000" w:themeColor="text1"/>
          <w:sz w:val="22"/>
          <w:szCs w:val="22"/>
          <w:lang w:val="en-GB"/>
        </w:rPr>
        <w:t xml:space="preserve">ot </w:t>
      </w:r>
      <w:r>
        <w:rPr>
          <w:rFonts w:ascii="Arial" w:hAnsi="Arial" w:cs="Arial"/>
          <w:color w:val="000000" w:themeColor="text1"/>
          <w:sz w:val="22"/>
          <w:szCs w:val="22"/>
          <w:lang w:val="en-GB"/>
        </w:rPr>
        <w:t xml:space="preserve">circumvent the </w:t>
      </w:r>
      <w:r w:rsidRPr="001046D4">
        <w:rPr>
          <w:rFonts w:ascii="Arial" w:hAnsi="Arial" w:cs="Arial"/>
          <w:color w:val="000000" w:themeColor="text1"/>
          <w:sz w:val="22"/>
          <w:szCs w:val="22"/>
          <w:lang w:val="en-GB"/>
        </w:rPr>
        <w:t>Gibbs</w:t>
      </w:r>
      <w:r>
        <w:rPr>
          <w:rFonts w:ascii="Arial" w:hAnsi="Arial" w:cs="Arial"/>
          <w:color w:val="000000" w:themeColor="text1"/>
          <w:sz w:val="22"/>
          <w:szCs w:val="22"/>
          <w:lang w:val="en-GB"/>
        </w:rPr>
        <w:t xml:space="preserve"> Rule (i.e. an English law governed debt cannot be discharged by foreign insolvency proceedings unless the relevant creditor submitted to those proceedings)</w:t>
      </w:r>
      <w:r w:rsidRPr="001046D4">
        <w:rPr>
          <w:rFonts w:ascii="Arial" w:hAnsi="Arial" w:cs="Arial"/>
          <w:color w:val="000000" w:themeColor="text1"/>
          <w:sz w:val="22"/>
          <w:szCs w:val="22"/>
          <w:lang w:val="en-GB"/>
        </w:rPr>
        <w:t>.</w:t>
      </w:r>
      <w:r w:rsidRPr="001046D4">
        <w:rPr>
          <w:rFonts w:ascii="Avenir Next" w:hAnsi="Avenir Next" w:cs="Arial"/>
          <w:color w:val="808080" w:themeColor="background1" w:themeShade="80"/>
          <w:sz w:val="22"/>
          <w:szCs w:val="22"/>
          <w:lang w:val="en-GB"/>
        </w:rPr>
        <w:t xml:space="preserv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3C455A9C" w:rsidR="00257437" w:rsidRDefault="001046D4" w:rsidP="00707FC8">
      <w:pPr>
        <w:jc w:val="both"/>
        <w:rPr>
          <w:rFonts w:ascii="Arial" w:hAnsi="Arial" w:cs="Arial"/>
          <w:bCs/>
          <w:color w:val="000000" w:themeColor="text1"/>
          <w:sz w:val="22"/>
          <w:szCs w:val="22"/>
          <w:lang w:val="en-GB"/>
        </w:rPr>
      </w:pPr>
      <w:r w:rsidRPr="00202BEB">
        <w:rPr>
          <w:rFonts w:ascii="Arial" w:hAnsi="Arial" w:cs="Arial"/>
          <w:b/>
          <w:bCs/>
          <w:color w:val="000000" w:themeColor="text1"/>
          <w:sz w:val="22"/>
          <w:szCs w:val="22"/>
          <w:lang w:val="en-GB"/>
        </w:rPr>
        <w:t>Relief</w:t>
      </w:r>
      <w:r>
        <w:rPr>
          <w:rFonts w:ascii="Arial" w:hAnsi="Arial" w:cs="Arial"/>
          <w:bCs/>
          <w:color w:val="000000" w:themeColor="text1"/>
          <w:sz w:val="22"/>
          <w:szCs w:val="22"/>
          <w:lang w:val="en-GB"/>
        </w:rPr>
        <w:t xml:space="preserve">: The most relevant article is Article 21 of the MLCBI.  Pursuant to this, any relief granted should be consistent with the domestic insolvency proceedings. </w:t>
      </w:r>
    </w:p>
    <w:p w14:paraId="7290FC36" w14:textId="1828D247" w:rsidR="001046D4" w:rsidRDefault="001046D4" w:rsidP="00707FC8">
      <w:pPr>
        <w:jc w:val="both"/>
        <w:rPr>
          <w:rFonts w:ascii="Arial" w:hAnsi="Arial" w:cs="Arial"/>
          <w:bCs/>
          <w:color w:val="000000" w:themeColor="text1"/>
          <w:sz w:val="22"/>
          <w:szCs w:val="22"/>
          <w:lang w:val="en-GB"/>
        </w:rPr>
      </w:pPr>
    </w:p>
    <w:p w14:paraId="71179C52" w14:textId="114FD80D" w:rsidR="001046D4" w:rsidRPr="001046D4" w:rsidRDefault="001046D4" w:rsidP="00707FC8">
      <w:pPr>
        <w:jc w:val="both"/>
        <w:rPr>
          <w:rFonts w:ascii="Arial" w:hAnsi="Arial" w:cs="Arial"/>
          <w:bCs/>
          <w:color w:val="000000" w:themeColor="text1"/>
          <w:sz w:val="22"/>
          <w:szCs w:val="22"/>
          <w:lang w:val="en-GB"/>
        </w:rPr>
      </w:pPr>
      <w:r w:rsidRPr="00202BEB">
        <w:rPr>
          <w:rFonts w:ascii="Arial" w:hAnsi="Arial" w:cs="Arial"/>
          <w:b/>
          <w:bCs/>
          <w:color w:val="000000" w:themeColor="text1"/>
          <w:sz w:val="22"/>
          <w:szCs w:val="22"/>
          <w:lang w:val="en-GB"/>
        </w:rPr>
        <w:t>Information</w:t>
      </w:r>
      <w:r>
        <w:rPr>
          <w:rFonts w:ascii="Arial" w:hAnsi="Arial" w:cs="Arial"/>
          <w:bCs/>
          <w:color w:val="000000" w:themeColor="text1"/>
          <w:sz w:val="22"/>
          <w:szCs w:val="22"/>
          <w:lang w:val="en-GB"/>
        </w:rPr>
        <w:t>: The most relevant article is Article 18 of the MLCBI.  Pursuant to this article, from the time of filing the application for recognition of the foreign proceeding, the foreign representative must inform the court in the enacting State of e.g. substantial changes in the status of the foreign proceedings.</w:t>
      </w:r>
    </w:p>
    <w:p w14:paraId="7CE637E2" w14:textId="77777777" w:rsidR="001046D4" w:rsidRPr="00E2622D" w:rsidRDefault="001046D4"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2F76EAEE" w:rsidR="00867A8F" w:rsidRDefault="00727AC6" w:rsidP="00727AC6">
      <w:pPr>
        <w:jc w:val="both"/>
        <w:rPr>
          <w:rFonts w:ascii="Arial" w:hAnsi="Arial" w:cs="Arial"/>
          <w:color w:val="000000" w:themeColor="text1"/>
          <w:sz w:val="22"/>
          <w:szCs w:val="22"/>
          <w:lang w:val="en-GB"/>
        </w:rPr>
      </w:pPr>
      <w:r w:rsidRPr="00727AC6">
        <w:rPr>
          <w:rFonts w:ascii="Arial" w:hAnsi="Arial" w:cs="Arial"/>
          <w:b/>
          <w:color w:val="000000" w:themeColor="text1"/>
          <w:sz w:val="22"/>
          <w:szCs w:val="22"/>
          <w:lang w:val="en-GB"/>
        </w:rPr>
        <w:t>Access</w:t>
      </w:r>
      <w:r w:rsidRPr="00727AC6">
        <w:rPr>
          <w:rFonts w:ascii="Arial" w:hAnsi="Arial" w:cs="Arial"/>
          <w:color w:val="000000" w:themeColor="text1"/>
          <w:sz w:val="22"/>
          <w:szCs w:val="22"/>
          <w:lang w:val="en-GB"/>
        </w:rPr>
        <w:t xml:space="preserve">: the benefits to the foreign representative include obtain a moratorium on enforcement action in the enacting </w:t>
      </w:r>
      <w:r>
        <w:rPr>
          <w:rFonts w:ascii="Arial" w:hAnsi="Arial" w:cs="Arial"/>
          <w:color w:val="000000" w:themeColor="text1"/>
          <w:sz w:val="22"/>
          <w:szCs w:val="22"/>
          <w:lang w:val="en-GB"/>
        </w:rPr>
        <w:t>S</w:t>
      </w:r>
      <w:r w:rsidRPr="00727AC6">
        <w:rPr>
          <w:rFonts w:ascii="Arial" w:hAnsi="Arial" w:cs="Arial"/>
          <w:color w:val="000000" w:themeColor="text1"/>
          <w:sz w:val="22"/>
          <w:szCs w:val="22"/>
          <w:lang w:val="en-GB"/>
        </w:rPr>
        <w:t xml:space="preserve">tate to help stablise the debtor and the integrity </w:t>
      </w:r>
      <w:r>
        <w:rPr>
          <w:rFonts w:ascii="Arial" w:hAnsi="Arial" w:cs="Arial"/>
          <w:color w:val="000000" w:themeColor="text1"/>
          <w:sz w:val="22"/>
          <w:szCs w:val="22"/>
          <w:lang w:val="en-GB"/>
        </w:rPr>
        <w:t xml:space="preserve">and co-ordination </w:t>
      </w:r>
      <w:r w:rsidRPr="00727AC6">
        <w:rPr>
          <w:rFonts w:ascii="Arial" w:hAnsi="Arial" w:cs="Arial"/>
          <w:color w:val="000000" w:themeColor="text1"/>
          <w:sz w:val="22"/>
          <w:szCs w:val="22"/>
          <w:lang w:val="en-GB"/>
        </w:rPr>
        <w:t xml:space="preserve">of the </w:t>
      </w:r>
      <w:r>
        <w:rPr>
          <w:rFonts w:ascii="Arial" w:hAnsi="Arial" w:cs="Arial"/>
          <w:color w:val="000000" w:themeColor="text1"/>
          <w:sz w:val="22"/>
          <w:szCs w:val="22"/>
          <w:lang w:val="en-GB"/>
        </w:rPr>
        <w:t>overall restructuring proposal.  The relevant Articles are 9 to 14.  There Articles address such issues as standing; the “safe conduct rule” (to ensure the enacting State does not assume jurisdiction over the “foreign” assets of the debtor); and the anti-discrimination principle (the onshore and offshore creditors are treated equally).</w:t>
      </w:r>
    </w:p>
    <w:p w14:paraId="1617BD24" w14:textId="36675CCF" w:rsidR="00727AC6" w:rsidRDefault="00727AC6" w:rsidP="00727AC6">
      <w:pPr>
        <w:jc w:val="both"/>
        <w:rPr>
          <w:rFonts w:ascii="Arial" w:hAnsi="Arial" w:cs="Arial"/>
          <w:color w:val="000000" w:themeColor="text1"/>
          <w:sz w:val="22"/>
          <w:szCs w:val="22"/>
          <w:lang w:val="en-GB"/>
        </w:rPr>
      </w:pPr>
    </w:p>
    <w:p w14:paraId="3660517C" w14:textId="5338137F" w:rsidR="00727AC6" w:rsidRPr="00727AC6" w:rsidRDefault="00727AC6" w:rsidP="00727AC6">
      <w:pPr>
        <w:jc w:val="both"/>
        <w:rPr>
          <w:rFonts w:ascii="Arial" w:hAnsi="Arial" w:cs="Arial"/>
          <w:color w:val="000000" w:themeColor="text1"/>
          <w:sz w:val="22"/>
          <w:szCs w:val="22"/>
          <w:lang w:val="en-GB"/>
        </w:rPr>
      </w:pPr>
      <w:r w:rsidRPr="00727AC6">
        <w:rPr>
          <w:rFonts w:ascii="Arial" w:hAnsi="Arial" w:cs="Arial"/>
          <w:b/>
          <w:color w:val="000000" w:themeColor="text1"/>
          <w:sz w:val="22"/>
          <w:szCs w:val="22"/>
          <w:lang w:val="en-GB"/>
        </w:rPr>
        <w:t>Co-operation</w:t>
      </w:r>
      <w:r>
        <w:rPr>
          <w:rFonts w:ascii="Arial" w:hAnsi="Arial" w:cs="Arial"/>
          <w:color w:val="000000" w:themeColor="text1"/>
          <w:sz w:val="22"/>
          <w:szCs w:val="22"/>
          <w:lang w:val="en-GB"/>
        </w:rPr>
        <w:t xml:space="preserve">: the provisions on co-operation smooth the path of communication and assistance between the local court and the foreign court and the foreign representative in respect of the proceedings and without the need to have to open separate local proceedings in the enacting State.  This may significantly reduces costs and will result in a unified/ </w:t>
      </w:r>
      <w:r>
        <w:rPr>
          <w:rFonts w:ascii="Arial" w:hAnsi="Arial" w:cs="Arial"/>
          <w:color w:val="000000" w:themeColor="text1"/>
          <w:sz w:val="22"/>
          <w:szCs w:val="22"/>
          <w:lang w:val="en-GB"/>
        </w:rPr>
        <w:lastRenderedPageBreak/>
        <w:t xml:space="preserve">consistent outcome.  The MLCBI sets out provisions empowering the enacting State court to co-operate. The relevant Articles are 25 to 27.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D9EA95B" w14:textId="78E0B3ED" w:rsidR="00727AC6" w:rsidRDefault="00727AC6" w:rsidP="00727AC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Beyond the definition of </w:t>
      </w:r>
      <w:r>
        <w:rPr>
          <w:rFonts w:ascii="Arial" w:hAnsi="Arial" w:cs="Arial"/>
          <w:color w:val="000000" w:themeColor="text1"/>
          <w:sz w:val="22"/>
          <w:szCs w:val="22"/>
          <w:lang w:val="en-GB"/>
        </w:rPr>
        <w:t>a “foreign proceeding” a</w:t>
      </w:r>
      <w:r>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 set out in Article 2</w:t>
      </w:r>
      <w:r>
        <w:rPr>
          <w:rFonts w:ascii="Arial" w:hAnsi="Arial" w:cs="Arial"/>
          <w:color w:val="000000" w:themeColor="text1"/>
          <w:sz w:val="22"/>
          <w:szCs w:val="22"/>
          <w:lang w:val="en-GB"/>
        </w:rPr>
        <w:t>, the other conditions are</w:t>
      </w:r>
      <w:r w:rsidRPr="00727AC6">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set out in </w:t>
      </w:r>
      <w:r w:rsidRPr="00727AC6">
        <w:rPr>
          <w:rFonts w:ascii="Arial" w:hAnsi="Arial" w:cs="Arial"/>
          <w:color w:val="000000" w:themeColor="text1"/>
          <w:sz w:val="22"/>
          <w:szCs w:val="22"/>
          <w:lang w:val="en-GB"/>
        </w:rPr>
        <w:t>Article 15</w:t>
      </w:r>
      <w:r>
        <w:rPr>
          <w:rFonts w:ascii="Arial" w:hAnsi="Arial" w:cs="Arial"/>
          <w:color w:val="000000" w:themeColor="text1"/>
          <w:sz w:val="22"/>
          <w:szCs w:val="22"/>
          <w:lang w:val="en-GB"/>
        </w:rPr>
        <w:t xml:space="preserve"> and are:</w:t>
      </w:r>
    </w:p>
    <w:p w14:paraId="158DB11E" w14:textId="77777777" w:rsidR="00727AC6" w:rsidRDefault="00727AC6" w:rsidP="00727AC6">
      <w:pPr>
        <w:jc w:val="both"/>
        <w:rPr>
          <w:rFonts w:ascii="Arial" w:hAnsi="Arial" w:cs="Arial"/>
          <w:color w:val="000000" w:themeColor="text1"/>
          <w:sz w:val="22"/>
          <w:szCs w:val="22"/>
          <w:lang w:val="en-GB"/>
        </w:rPr>
      </w:pPr>
    </w:p>
    <w:p w14:paraId="32A5F3B9" w14:textId="09826BD8" w:rsidR="00727AC6" w:rsidRDefault="00727AC6" w:rsidP="00727AC6">
      <w:pPr>
        <w:pStyle w:val="ListParagraph"/>
        <w:numPr>
          <w:ilvl w:val="0"/>
          <w:numId w:val="1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a</w:t>
      </w:r>
      <w:r w:rsidRPr="00727AC6">
        <w:rPr>
          <w:rFonts w:ascii="Arial" w:hAnsi="Arial" w:cs="Arial"/>
          <w:color w:val="000000" w:themeColor="text1"/>
          <w:sz w:val="22"/>
          <w:szCs w:val="22"/>
          <w:lang w:val="en-GB"/>
        </w:rPr>
        <w:t xml:space="preserve"> certified copy of the decision commencing the foreign proceeding and appointing the foreign representative; or</w:t>
      </w:r>
      <w:r w:rsidRPr="00727AC6">
        <w:rPr>
          <w:rFonts w:ascii="Arial" w:hAnsi="Arial" w:cs="Arial"/>
          <w:color w:val="000000" w:themeColor="text1"/>
          <w:sz w:val="22"/>
          <w:szCs w:val="22"/>
          <w:lang w:val="en-GB"/>
        </w:rPr>
        <w:t xml:space="preserve"> a</w:t>
      </w:r>
      <w:r w:rsidRPr="00727AC6">
        <w:rPr>
          <w:rFonts w:ascii="Arial" w:hAnsi="Arial" w:cs="Arial"/>
          <w:color w:val="000000" w:themeColor="text1"/>
          <w:sz w:val="22"/>
          <w:szCs w:val="22"/>
          <w:lang w:val="en-GB"/>
        </w:rPr>
        <w:t xml:space="preserve"> certificate from the foreign court affirming the existence of the</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foreign proceeding and of the appointment of the foreign representative; or</w:t>
      </w:r>
      <w:r w:rsidRPr="00727AC6">
        <w:rPr>
          <w:rFonts w:ascii="Arial" w:hAnsi="Arial" w:cs="Arial"/>
          <w:color w:val="000000" w:themeColor="text1"/>
          <w:sz w:val="22"/>
          <w:szCs w:val="22"/>
          <w:lang w:val="en-GB"/>
        </w:rPr>
        <w:t xml:space="preserve"> i</w:t>
      </w:r>
      <w:r w:rsidRPr="00727AC6">
        <w:rPr>
          <w:rFonts w:ascii="Arial" w:hAnsi="Arial" w:cs="Arial"/>
          <w:color w:val="000000" w:themeColor="text1"/>
          <w:sz w:val="22"/>
          <w:szCs w:val="22"/>
          <w:lang w:val="en-GB"/>
        </w:rPr>
        <w:t xml:space="preserve">n the absence of </w:t>
      </w:r>
      <w:r w:rsidRPr="00727AC6">
        <w:rPr>
          <w:rFonts w:ascii="Arial" w:hAnsi="Arial" w:cs="Arial"/>
          <w:color w:val="000000" w:themeColor="text1"/>
          <w:sz w:val="22"/>
          <w:szCs w:val="22"/>
          <w:lang w:val="en-GB"/>
        </w:rPr>
        <w:t xml:space="preserve">such </w:t>
      </w:r>
      <w:r w:rsidRPr="00727AC6">
        <w:rPr>
          <w:rFonts w:ascii="Arial" w:hAnsi="Arial" w:cs="Arial"/>
          <w:color w:val="000000" w:themeColor="text1"/>
          <w:sz w:val="22"/>
          <w:szCs w:val="22"/>
          <w:lang w:val="en-GB"/>
        </w:rPr>
        <w:t>evidence,</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any other evidence acceptable to the court of the existence of the foreign</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proceeding and of the appointment of the f</w:t>
      </w:r>
      <w:r>
        <w:rPr>
          <w:rFonts w:ascii="Arial" w:hAnsi="Arial" w:cs="Arial"/>
          <w:color w:val="000000" w:themeColor="text1"/>
          <w:sz w:val="22"/>
          <w:szCs w:val="22"/>
          <w:lang w:val="en-GB"/>
        </w:rPr>
        <w:t>oreign representative; and</w:t>
      </w:r>
    </w:p>
    <w:p w14:paraId="34FE1533" w14:textId="77777777" w:rsidR="00727AC6" w:rsidRDefault="00727AC6" w:rsidP="00727AC6">
      <w:pPr>
        <w:pStyle w:val="ListParagraph"/>
        <w:numPr>
          <w:ilvl w:val="0"/>
          <w:numId w:val="15"/>
        </w:numPr>
        <w:jc w:val="both"/>
        <w:rPr>
          <w:rFonts w:ascii="Arial" w:hAnsi="Arial" w:cs="Arial"/>
          <w:color w:val="000000" w:themeColor="text1"/>
          <w:sz w:val="22"/>
          <w:szCs w:val="22"/>
          <w:lang w:val="en-GB"/>
        </w:rPr>
      </w:pPr>
      <w:r w:rsidRPr="00727AC6">
        <w:rPr>
          <w:rFonts w:ascii="Arial" w:hAnsi="Arial" w:cs="Arial"/>
          <w:color w:val="000000" w:themeColor="text1"/>
          <w:sz w:val="22"/>
          <w:szCs w:val="22"/>
          <w:lang w:val="en-GB"/>
        </w:rPr>
        <w:t xml:space="preserve">a </w:t>
      </w:r>
      <w:r w:rsidRPr="00727AC6">
        <w:rPr>
          <w:rFonts w:ascii="Arial" w:hAnsi="Arial" w:cs="Arial"/>
          <w:color w:val="000000" w:themeColor="text1"/>
          <w:sz w:val="22"/>
          <w:szCs w:val="22"/>
          <w:lang w:val="en-GB"/>
        </w:rPr>
        <w:t>statement identifying all foreign proceedings in respect of the debtor that</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 xml:space="preserve">are known </w:t>
      </w:r>
    </w:p>
    <w:p w14:paraId="3597D5F1" w14:textId="567AEE89" w:rsidR="00727AC6" w:rsidRDefault="00727AC6" w:rsidP="00727AC6">
      <w:pPr>
        <w:pStyle w:val="ListParagraph"/>
        <w:jc w:val="both"/>
        <w:rPr>
          <w:rFonts w:ascii="Arial" w:hAnsi="Arial" w:cs="Arial"/>
          <w:color w:val="000000" w:themeColor="text1"/>
          <w:sz w:val="22"/>
          <w:szCs w:val="22"/>
          <w:lang w:val="en-GB"/>
        </w:rPr>
      </w:pPr>
      <w:r w:rsidRPr="00727AC6">
        <w:rPr>
          <w:rFonts w:ascii="Arial" w:hAnsi="Arial" w:cs="Arial"/>
          <w:color w:val="000000" w:themeColor="text1"/>
          <w:sz w:val="22"/>
          <w:szCs w:val="22"/>
          <w:lang w:val="en-GB"/>
        </w:rPr>
        <w:t>to the foreign representative.</w:t>
      </w:r>
      <w:r>
        <w:rPr>
          <w:rFonts w:ascii="Arial" w:hAnsi="Arial" w:cs="Arial"/>
          <w:color w:val="000000" w:themeColor="text1"/>
          <w:sz w:val="22"/>
          <w:szCs w:val="22"/>
          <w:lang w:val="en-GB"/>
        </w:rPr>
        <w:t xml:space="preserve"> </w:t>
      </w:r>
    </w:p>
    <w:p w14:paraId="019A4050" w14:textId="200D3E04" w:rsidR="00727AC6" w:rsidRDefault="00727AC6" w:rsidP="00727AC6">
      <w:pPr>
        <w:jc w:val="both"/>
        <w:rPr>
          <w:rFonts w:ascii="Arial" w:hAnsi="Arial" w:cs="Arial"/>
          <w:color w:val="000000" w:themeColor="text1"/>
          <w:sz w:val="22"/>
          <w:szCs w:val="22"/>
          <w:lang w:val="en-GB"/>
        </w:rPr>
      </w:pPr>
    </w:p>
    <w:p w14:paraId="3710DFF8" w14:textId="494CCFC9" w:rsidR="00727AC6" w:rsidRPr="00727AC6" w:rsidRDefault="00727AC6" w:rsidP="00727AC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Under Article 16, there is a rebuttal presumption that the court can accept that the proceeding is a foreign proceeding within Article 2.  Article 17 contains the right of the court to recognise the foreign proceedings.</w:t>
      </w:r>
    </w:p>
    <w:p w14:paraId="44042ABB" w14:textId="781E089D" w:rsidR="00727AC6" w:rsidRDefault="00727AC6" w:rsidP="00727AC6">
      <w:pPr>
        <w:jc w:val="both"/>
        <w:rPr>
          <w:rFonts w:ascii="Arial" w:hAnsi="Arial" w:cs="Arial"/>
          <w:color w:val="000000" w:themeColor="text1"/>
          <w:sz w:val="22"/>
          <w:szCs w:val="22"/>
          <w:lang w:val="en-GB"/>
        </w:rPr>
      </w:pPr>
    </w:p>
    <w:p w14:paraId="333D6B31" w14:textId="4C3731A2" w:rsidR="00727AC6" w:rsidRPr="00727AC6" w:rsidRDefault="00727AC6" w:rsidP="00727AC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There is case law on scrutiny of what a “foreign proceeding” is and if it complies with the conditions in the MLCBI, rather than as to whether the foreign proceedings are valid/ correctly commenced (see the Agrokor case).</w:t>
      </w:r>
    </w:p>
    <w:p w14:paraId="49D45829" w14:textId="4F7F3C79" w:rsidR="00727AC6" w:rsidRDefault="00727AC6" w:rsidP="00867A8F">
      <w:pPr>
        <w:ind w:left="720" w:hanging="720"/>
        <w:jc w:val="both"/>
        <w:rPr>
          <w:rFonts w:ascii="Arial" w:hAnsi="Arial" w:cs="Arial"/>
          <w:color w:val="000000" w:themeColor="text1"/>
          <w:sz w:val="22"/>
          <w:szCs w:val="22"/>
          <w:lang w:val="en-GB"/>
        </w:rPr>
      </w:pPr>
    </w:p>
    <w:p w14:paraId="5F3FC1E0" w14:textId="77777777" w:rsidR="00727AC6" w:rsidRPr="00727AC6" w:rsidRDefault="00727AC6" w:rsidP="00867A8F">
      <w:pPr>
        <w:ind w:left="720" w:hanging="720"/>
        <w:jc w:val="both"/>
        <w:rPr>
          <w:rFonts w:ascii="Arial" w:hAnsi="Arial" w:cs="Arial"/>
          <w:color w:val="000000" w:themeColor="text1"/>
          <w:sz w:val="22"/>
          <w:szCs w:val="22"/>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B188F90" w14:textId="7F93683A" w:rsidR="00727AC6" w:rsidRDefault="00727AC6" w:rsidP="00727AC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Relief can be obtained pre-recognition, as well as post-recognition.  Pre-recognition, </w:t>
      </w:r>
      <w:r>
        <w:rPr>
          <w:rFonts w:ascii="Arial" w:hAnsi="Arial" w:cs="Arial"/>
          <w:color w:val="000000" w:themeColor="text1"/>
          <w:sz w:val="22"/>
          <w:szCs w:val="22"/>
          <w:lang w:val="en-GB"/>
        </w:rPr>
        <w:t xml:space="preserve">interim relief </w:t>
      </w:r>
      <w:r>
        <w:rPr>
          <w:rFonts w:ascii="Arial" w:hAnsi="Arial" w:cs="Arial"/>
          <w:color w:val="000000" w:themeColor="text1"/>
          <w:sz w:val="22"/>
          <w:szCs w:val="22"/>
          <w:lang w:val="en-GB"/>
        </w:rPr>
        <w:t xml:space="preserve">can be obtained under Article 19.  The discretionary powers of the court in respect of </w:t>
      </w:r>
      <w:r w:rsidRPr="00727AC6">
        <w:rPr>
          <w:rFonts w:ascii="Arial" w:hAnsi="Arial" w:cs="Arial"/>
          <w:color w:val="000000" w:themeColor="text1"/>
          <w:sz w:val="22"/>
          <w:szCs w:val="22"/>
          <w:lang w:val="en-GB"/>
        </w:rPr>
        <w:t>post</w:t>
      </w:r>
      <w:r>
        <w:rPr>
          <w:rFonts w:ascii="Arial" w:hAnsi="Arial" w:cs="Arial"/>
          <w:color w:val="000000" w:themeColor="text1"/>
          <w:sz w:val="22"/>
          <w:szCs w:val="22"/>
          <w:lang w:val="en-GB"/>
        </w:rPr>
        <w:t>-</w:t>
      </w:r>
      <w:r w:rsidRPr="00727AC6">
        <w:rPr>
          <w:rFonts w:ascii="Arial" w:hAnsi="Arial" w:cs="Arial"/>
          <w:color w:val="000000" w:themeColor="text1"/>
          <w:sz w:val="22"/>
          <w:szCs w:val="22"/>
          <w:lang w:val="en-GB"/>
        </w:rPr>
        <w:t xml:space="preserve">recognition relief </w:t>
      </w:r>
      <w:r>
        <w:rPr>
          <w:rFonts w:ascii="Arial" w:hAnsi="Arial" w:cs="Arial"/>
          <w:color w:val="000000" w:themeColor="text1"/>
          <w:sz w:val="22"/>
          <w:szCs w:val="22"/>
          <w:lang w:val="en-GB"/>
        </w:rPr>
        <w:t>are set out in Article 21.  Article 21 contains a non-exhaustive list of what relief may be sought and includes:</w:t>
      </w:r>
    </w:p>
    <w:p w14:paraId="4015AD14" w14:textId="0EEE3C27" w:rsidR="00727AC6" w:rsidRDefault="00727AC6" w:rsidP="00727AC6">
      <w:pPr>
        <w:pStyle w:val="ListParagraph"/>
        <w:numPr>
          <w:ilvl w:val="0"/>
          <w:numId w:val="1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s</w:t>
      </w:r>
      <w:r w:rsidRPr="00727AC6">
        <w:rPr>
          <w:rFonts w:ascii="Arial" w:hAnsi="Arial" w:cs="Arial"/>
          <w:color w:val="000000" w:themeColor="text1"/>
          <w:sz w:val="22"/>
          <w:szCs w:val="22"/>
          <w:lang w:val="en-GB"/>
        </w:rPr>
        <w:t>taying the commencement or continuation of individual actions</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or individual proceedings concerning the debtor’s assets, rights, obligations</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or liabilities, to the extent they have not been stayed under paragraph 1 (a)</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 xml:space="preserve">of </w:t>
      </w:r>
      <w:r w:rsidRPr="00727AC6">
        <w:rPr>
          <w:rFonts w:ascii="Arial" w:hAnsi="Arial" w:cs="Arial"/>
          <w:color w:val="000000" w:themeColor="text1"/>
          <w:sz w:val="22"/>
          <w:szCs w:val="22"/>
          <w:lang w:val="en-GB"/>
        </w:rPr>
        <w:t>A</w:t>
      </w:r>
      <w:r w:rsidRPr="00727AC6">
        <w:rPr>
          <w:rFonts w:ascii="Arial" w:hAnsi="Arial" w:cs="Arial"/>
          <w:color w:val="000000" w:themeColor="text1"/>
          <w:sz w:val="22"/>
          <w:szCs w:val="22"/>
          <w:lang w:val="en-GB"/>
        </w:rPr>
        <w:t>rticle 20;</w:t>
      </w:r>
    </w:p>
    <w:p w14:paraId="51EB1088" w14:textId="510FD849" w:rsidR="00727AC6" w:rsidRDefault="00727AC6" w:rsidP="00727AC6">
      <w:pPr>
        <w:pStyle w:val="ListParagraph"/>
        <w:numPr>
          <w:ilvl w:val="0"/>
          <w:numId w:val="1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s</w:t>
      </w:r>
      <w:r w:rsidRPr="00727AC6">
        <w:rPr>
          <w:rFonts w:ascii="Arial" w:hAnsi="Arial" w:cs="Arial"/>
          <w:color w:val="000000" w:themeColor="text1"/>
          <w:sz w:val="22"/>
          <w:szCs w:val="22"/>
          <w:lang w:val="en-GB"/>
        </w:rPr>
        <w:t>taying execution against the debtor’s assets to the extent it has</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not been stayed under paragraph 1 (b) of article 20;</w:t>
      </w:r>
      <w:r>
        <w:rPr>
          <w:rFonts w:ascii="Arial" w:hAnsi="Arial" w:cs="Arial"/>
          <w:color w:val="000000" w:themeColor="text1"/>
          <w:sz w:val="22"/>
          <w:szCs w:val="22"/>
          <w:lang w:val="en-GB"/>
        </w:rPr>
        <w:t xml:space="preserve"> and</w:t>
      </w:r>
    </w:p>
    <w:p w14:paraId="7CCEB870" w14:textId="47A0C567" w:rsidR="00727AC6" w:rsidRPr="00727AC6" w:rsidRDefault="00727AC6" w:rsidP="00727AC6">
      <w:pPr>
        <w:pStyle w:val="ListParagraph"/>
        <w:numPr>
          <w:ilvl w:val="0"/>
          <w:numId w:val="16"/>
        </w:numPr>
        <w:jc w:val="both"/>
        <w:rPr>
          <w:rFonts w:ascii="Arial" w:hAnsi="Arial" w:cs="Arial"/>
          <w:color w:val="000000" w:themeColor="text1"/>
          <w:sz w:val="22"/>
          <w:szCs w:val="22"/>
          <w:lang w:val="en-GB"/>
        </w:rPr>
      </w:pPr>
      <w:r w:rsidRPr="00727AC6">
        <w:rPr>
          <w:rFonts w:ascii="Arial" w:hAnsi="Arial" w:cs="Arial"/>
          <w:color w:val="000000" w:themeColor="text1"/>
          <w:sz w:val="22"/>
          <w:szCs w:val="22"/>
          <w:lang w:val="en-GB"/>
        </w:rPr>
        <w:t>s</w:t>
      </w:r>
      <w:r w:rsidRPr="00727AC6">
        <w:rPr>
          <w:rFonts w:ascii="Arial" w:hAnsi="Arial" w:cs="Arial"/>
          <w:color w:val="000000" w:themeColor="text1"/>
          <w:sz w:val="22"/>
          <w:szCs w:val="22"/>
          <w:lang w:val="en-GB"/>
        </w:rPr>
        <w:t>uspending the right to transfer, encumber or otherwise dispose of</w:t>
      </w:r>
      <w:r w:rsidRPr="00727AC6">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any assets of the debtor to the extent this right has not been suspended under</w:t>
      </w:r>
      <w:r w:rsidRPr="00727AC6">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paragraph 1 (c) of article 20.</w:t>
      </w:r>
    </w:p>
    <w:p w14:paraId="68425FA4" w14:textId="77777777" w:rsidR="00727AC6" w:rsidRDefault="00727AC6" w:rsidP="00727AC6">
      <w:pPr>
        <w:jc w:val="both"/>
        <w:rPr>
          <w:rFonts w:ascii="Arial" w:hAnsi="Arial" w:cs="Arial"/>
          <w:color w:val="000000" w:themeColor="text1"/>
          <w:sz w:val="22"/>
          <w:szCs w:val="22"/>
          <w:lang w:val="en-GB"/>
        </w:rPr>
      </w:pPr>
    </w:p>
    <w:p w14:paraId="20D7ED6E" w14:textId="248CBC8E" w:rsidR="00727AC6" w:rsidRDefault="00727AC6" w:rsidP="00727AC6">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Article 20 sets out automatic mandatory relief in respect of foreign main proceedings.  Under Article 22, to grant or deny interim pre-recognition relief or discretionary post-recognition relief, the court must be satisfied that the interests of the creditors and other interested parties (other than the debtor) are adequately protected – in this regard the </w:t>
      </w:r>
      <w:r w:rsidRPr="00727AC6">
        <w:rPr>
          <w:rFonts w:ascii="Arial" w:hAnsi="Arial" w:cs="Arial"/>
          <w:color w:val="000000" w:themeColor="text1"/>
          <w:sz w:val="22"/>
          <w:szCs w:val="22"/>
          <w:lang w:val="en-GB"/>
        </w:rPr>
        <w:t xml:space="preserve">court may subject relief granted under </w:t>
      </w:r>
      <w:r>
        <w:rPr>
          <w:rFonts w:ascii="Arial" w:hAnsi="Arial" w:cs="Arial"/>
          <w:color w:val="000000" w:themeColor="text1"/>
          <w:sz w:val="22"/>
          <w:szCs w:val="22"/>
          <w:lang w:val="en-GB"/>
        </w:rPr>
        <w:t>A</w:t>
      </w:r>
      <w:r w:rsidRPr="00727AC6">
        <w:rPr>
          <w:rFonts w:ascii="Arial" w:hAnsi="Arial" w:cs="Arial"/>
          <w:color w:val="000000" w:themeColor="text1"/>
          <w:sz w:val="22"/>
          <w:szCs w:val="22"/>
          <w:lang w:val="en-GB"/>
        </w:rPr>
        <w:t>rticle 19 or 21 to</w:t>
      </w:r>
      <w:r>
        <w:rPr>
          <w:rFonts w:ascii="Arial" w:hAnsi="Arial" w:cs="Arial"/>
          <w:color w:val="000000" w:themeColor="text1"/>
          <w:sz w:val="22"/>
          <w:szCs w:val="22"/>
          <w:lang w:val="en-GB"/>
        </w:rPr>
        <w:t xml:space="preserve"> </w:t>
      </w:r>
      <w:r w:rsidRPr="00727AC6">
        <w:rPr>
          <w:rFonts w:ascii="Arial" w:hAnsi="Arial" w:cs="Arial"/>
          <w:color w:val="000000" w:themeColor="text1"/>
          <w:sz w:val="22"/>
          <w:szCs w:val="22"/>
          <w:lang w:val="en-GB"/>
        </w:rPr>
        <w:t>conditions it considers appropriate</w:t>
      </w:r>
      <w:r>
        <w:rPr>
          <w:rFonts w:ascii="Arial" w:hAnsi="Arial" w:cs="Arial"/>
          <w:color w:val="000000" w:themeColor="text1"/>
          <w:sz w:val="22"/>
          <w:szCs w:val="22"/>
          <w:lang w:val="en-GB"/>
        </w:rPr>
        <w:t xml:space="preserve"> (Article 22(2)).</w:t>
      </w:r>
    </w:p>
    <w:p w14:paraId="4FDC6C3B" w14:textId="0478E3CD" w:rsidR="00727AC6" w:rsidRDefault="00727AC6" w:rsidP="00727AC6">
      <w:pPr>
        <w:jc w:val="both"/>
        <w:rPr>
          <w:rFonts w:ascii="Arial" w:hAnsi="Arial" w:cs="Arial"/>
          <w:color w:val="000000" w:themeColor="text1"/>
          <w:sz w:val="22"/>
          <w:szCs w:val="22"/>
          <w:lang w:val="en-GB"/>
        </w:rPr>
      </w:pPr>
    </w:p>
    <w:p w14:paraId="655CD70B" w14:textId="38A208CC" w:rsidR="00D5244F" w:rsidRPr="00727AC6" w:rsidRDefault="00727AC6" w:rsidP="00727AC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Note the difference between foreign main proceedings and foreign non-main proceedings with foreign main proceeding recognition benefiting from automatic mandatory relief in respect of certain acts listed Article 20.</w:t>
      </w:r>
    </w:p>
    <w:p w14:paraId="3AD64608" w14:textId="494971FA"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32666907" w:rsidR="00867A8F" w:rsidRPr="00727AC6" w:rsidRDefault="00727AC6" w:rsidP="00727AC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 </w:t>
      </w:r>
      <w:r w:rsidRPr="00727AC6">
        <w:rPr>
          <w:rFonts w:ascii="Arial" w:hAnsi="Arial" w:cs="Arial"/>
          <w:color w:val="000000" w:themeColor="text1"/>
          <w:sz w:val="22"/>
          <w:szCs w:val="22"/>
          <w:lang w:val="en-GB"/>
        </w:rPr>
        <w:t xml:space="preserve">worldwide freezing order granted as pre-recognition interim relief </w:t>
      </w:r>
      <w:r>
        <w:rPr>
          <w:rFonts w:ascii="Arial" w:hAnsi="Arial" w:cs="Arial"/>
          <w:color w:val="000000" w:themeColor="text1"/>
          <w:sz w:val="22"/>
          <w:szCs w:val="22"/>
          <w:lang w:val="en-GB"/>
        </w:rPr>
        <w:t>may not</w:t>
      </w:r>
      <w:r w:rsidRPr="00727AC6">
        <w:rPr>
          <w:rFonts w:ascii="Arial" w:hAnsi="Arial" w:cs="Arial"/>
          <w:color w:val="000000" w:themeColor="text1"/>
          <w:sz w:val="22"/>
          <w:szCs w:val="22"/>
          <w:lang w:val="en-GB"/>
        </w:rPr>
        <w:t xml:space="preserve"> continue post-recognition </w:t>
      </w:r>
      <w:r>
        <w:rPr>
          <w:rFonts w:ascii="Arial" w:hAnsi="Arial" w:cs="Arial"/>
          <w:color w:val="000000" w:themeColor="text1"/>
          <w:sz w:val="22"/>
          <w:szCs w:val="22"/>
          <w:lang w:val="en-GB"/>
        </w:rPr>
        <w:t xml:space="preserve">if the enacting State’s insolvency regime offers forms of protection that mean the freezing order is not required i..e the foreign representative was on an equal footing by application of the local remedies in comparison to the freezing order.  The relevant case is </w:t>
      </w:r>
      <w:r w:rsidRPr="00727AC6">
        <w:rPr>
          <w:rFonts w:ascii="Arial" w:hAnsi="Arial" w:cs="Arial"/>
          <w:color w:val="000000" w:themeColor="text1"/>
          <w:sz w:val="22"/>
          <w:szCs w:val="22"/>
          <w:u w:val="single"/>
          <w:lang w:val="en-GB"/>
        </w:rPr>
        <w:t>Protasov v Derev</w:t>
      </w:r>
      <w:r w:rsidRPr="00727AC6">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(2021).</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w:t>
      </w:r>
      <w:r w:rsidRPr="009A232A">
        <w:rPr>
          <w:rFonts w:ascii="Avenir Next" w:hAnsi="Avenir Next" w:cs="Arial"/>
          <w:color w:val="000000"/>
          <w:sz w:val="22"/>
          <w:szCs w:val="22"/>
          <w:highlight w:val="green"/>
          <w:lang w:val="en-GB" w:eastAsia="en-GB"/>
        </w:rPr>
        <w:t>registered office is situated in Country A</w:t>
      </w:r>
      <w:r w:rsidRPr="00E2622D">
        <w:rPr>
          <w:rFonts w:ascii="Avenir Next" w:hAnsi="Avenir Next" w:cs="Arial"/>
          <w:color w:val="000000"/>
          <w:sz w:val="22"/>
          <w:szCs w:val="22"/>
          <w:lang w:val="en-GB" w:eastAsia="en-GB"/>
        </w:rPr>
        <w:t xml:space="preserve">,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727AC6">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727AC6">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727AC6">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w:t>
      </w:r>
      <w:r w:rsidRPr="009A232A">
        <w:rPr>
          <w:rFonts w:ascii="Avenir Next" w:hAnsi="Avenir Next" w:cs="Arial"/>
          <w:color w:val="000000"/>
          <w:sz w:val="22"/>
          <w:szCs w:val="22"/>
          <w:highlight w:val="green"/>
          <w:lang w:val="en-GB" w:eastAsia="en-GB"/>
        </w:rPr>
        <w:t>DGF is also responsible for the process of withdrawing insolvent banks from the market and winding down their operations via liquidation</w:t>
      </w:r>
      <w:r w:rsidRPr="00E2622D">
        <w:rPr>
          <w:rFonts w:ascii="Avenir Next" w:hAnsi="Avenir Next" w:cs="Arial"/>
          <w:color w:val="000000"/>
          <w:sz w:val="22"/>
          <w:szCs w:val="22"/>
          <w:lang w:val="en-GB" w:eastAsia="en-GB"/>
        </w:rPr>
        <w:t>.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Pursuant to article 34 of the </w:t>
      </w:r>
      <w:r w:rsidRPr="009A232A">
        <w:rPr>
          <w:rFonts w:ascii="Avenir Next" w:hAnsi="Avenir Next" w:cs="Arial"/>
          <w:color w:val="000000"/>
          <w:sz w:val="22"/>
          <w:szCs w:val="22"/>
          <w:highlight w:val="green"/>
          <w:lang w:val="en-GB" w:eastAsia="en-GB"/>
        </w:rPr>
        <w:t>DGF Law</w:t>
      </w:r>
      <w:r w:rsidRPr="00E2622D">
        <w:rPr>
          <w:rFonts w:ascii="Avenir Next" w:hAnsi="Avenir Next" w:cs="Arial"/>
          <w:color w:val="000000"/>
          <w:sz w:val="22"/>
          <w:szCs w:val="22"/>
          <w:lang w:val="en-GB" w:eastAsia="en-GB"/>
        </w:rPr>
        <w:t>,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727AC6">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affairs. Articles 35(5) and 36(1) of the </w:t>
      </w:r>
      <w:r w:rsidRPr="009A232A">
        <w:rPr>
          <w:rFonts w:ascii="Avenir Next" w:hAnsi="Avenir Next" w:cs="Arial"/>
          <w:color w:val="000000"/>
          <w:sz w:val="22"/>
          <w:szCs w:val="22"/>
          <w:highlight w:val="green"/>
          <w:lang w:val="en-GB" w:eastAsia="en-GB"/>
        </w:rPr>
        <w:t>DGF Law</w:t>
      </w:r>
      <w:r w:rsidRPr="00E2622D">
        <w:rPr>
          <w:rFonts w:ascii="Avenir Next" w:hAnsi="Avenir Next" w:cs="Arial"/>
          <w:color w:val="000000"/>
          <w:sz w:val="22"/>
          <w:szCs w:val="22"/>
          <w:lang w:val="en-GB" w:eastAsia="en-GB"/>
        </w:rPr>
        <w:t xml:space="preserve">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727AC6">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lastRenderedPageBreak/>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77 of the </w:t>
      </w:r>
      <w:r w:rsidRPr="009A232A">
        <w:rPr>
          <w:rFonts w:ascii="Avenir Next" w:hAnsi="Avenir Next" w:cs="Arial"/>
          <w:color w:val="000000"/>
          <w:sz w:val="22"/>
          <w:szCs w:val="22"/>
          <w:highlight w:val="green"/>
          <w:lang w:val="en-GB" w:eastAsia="en-GB"/>
        </w:rPr>
        <w:t>LBBA provides that the DGF automatically becomes liquidator</w:t>
      </w:r>
      <w:r w:rsidRPr="00E2622D">
        <w:rPr>
          <w:rFonts w:ascii="Avenir Next" w:hAnsi="Avenir Next" w:cs="Arial"/>
          <w:color w:val="000000"/>
          <w:sz w:val="22"/>
          <w:szCs w:val="22"/>
          <w:lang w:val="en-GB" w:eastAsia="en-GB"/>
        </w:rPr>
        <w:t xml:space="preserve">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727AC6">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727AC6">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727AC6">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727AC6">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727AC6">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727AC6">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w:t>
      </w:r>
      <w:r w:rsidRPr="009A232A">
        <w:rPr>
          <w:rFonts w:ascii="Avenir Next" w:hAnsi="Avenir Next" w:cs="Arial"/>
          <w:color w:val="000000"/>
          <w:sz w:val="22"/>
          <w:szCs w:val="22"/>
          <w:highlight w:val="green"/>
          <w:lang w:val="en-GB" w:eastAsia="en-GB"/>
        </w:rPr>
        <w:t>DGF Law</w:t>
      </w:r>
      <w:r w:rsidRPr="00E2622D">
        <w:rPr>
          <w:rFonts w:ascii="Avenir Next" w:hAnsi="Avenir Next" w:cs="Arial"/>
          <w:color w:val="000000"/>
          <w:sz w:val="22"/>
          <w:szCs w:val="22"/>
          <w:lang w:val="en-GB" w:eastAsia="en-GB"/>
        </w:rPr>
        <w:t xml:space="preserve"> empowers the DGF to </w:t>
      </w:r>
      <w:r w:rsidRPr="009A232A">
        <w:rPr>
          <w:rFonts w:ascii="Avenir Next" w:hAnsi="Avenir Next" w:cs="Arial"/>
          <w:color w:val="000000"/>
          <w:sz w:val="22"/>
          <w:szCs w:val="22"/>
          <w:highlight w:val="green"/>
          <w:lang w:val="en-GB" w:eastAsia="en-GB"/>
        </w:rPr>
        <w:t>delegate its powers</w:t>
      </w:r>
      <w:r w:rsidRPr="00E2622D">
        <w:rPr>
          <w:rFonts w:ascii="Avenir Next" w:hAnsi="Avenir Next" w:cs="Arial"/>
          <w:color w:val="000000"/>
          <w:sz w:val="22"/>
          <w:szCs w:val="22"/>
          <w:lang w:val="en-GB" w:eastAsia="en-GB"/>
        </w:rPr>
        <w:t xml:space="preserve">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 xml:space="preserve">or delegated by the Fund, </w:t>
      </w:r>
      <w:r w:rsidRPr="000E3AC1">
        <w:rPr>
          <w:rFonts w:ascii="Avenir Next" w:hAnsi="Avenir Next" w:cs="Arial"/>
          <w:i/>
          <w:iCs/>
          <w:color w:val="000000"/>
          <w:sz w:val="22"/>
          <w:szCs w:val="22"/>
          <w:highlight w:val="green"/>
          <w:lang w:val="en-GB" w:eastAsia="en-GB"/>
        </w:rPr>
        <w:t>performs actions to ensure the bank</w:t>
      </w:r>
      <w:r w:rsidR="008512FA" w:rsidRPr="000E3AC1">
        <w:rPr>
          <w:rFonts w:ascii="Avenir Next" w:hAnsi="Avenir Next" w:cs="Arial"/>
          <w:i/>
          <w:iCs/>
          <w:color w:val="000000"/>
          <w:sz w:val="22"/>
          <w:szCs w:val="22"/>
          <w:highlight w:val="green"/>
          <w:lang w:val="en-GB" w:eastAsia="en-GB"/>
        </w:rPr>
        <w:t>’</w:t>
      </w:r>
      <w:r w:rsidRPr="000E3AC1">
        <w:rPr>
          <w:rFonts w:ascii="Avenir Next" w:hAnsi="Avenir Next" w:cs="Arial"/>
          <w:i/>
          <w:iCs/>
          <w:color w:val="000000"/>
          <w:sz w:val="22"/>
          <w:szCs w:val="22"/>
          <w:highlight w:val="green"/>
          <w:lang w:val="en-GB" w:eastAsia="en-GB"/>
        </w:rPr>
        <w:t>s withdrawal from the market</w:t>
      </w:r>
      <w:r w:rsidRPr="00E2622D">
        <w:rPr>
          <w:rFonts w:ascii="Avenir Next" w:hAnsi="Avenir Next" w:cs="Arial"/>
          <w:i/>
          <w:iCs/>
          <w:color w:val="000000"/>
          <w:sz w:val="22"/>
          <w:szCs w:val="22"/>
          <w:lang w:val="en-GB" w:eastAsia="en-GB"/>
        </w:rPr>
        <w:t xml:space="preserve">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w:t>
      </w:r>
      <w:r w:rsidRPr="00E2622D">
        <w:rPr>
          <w:rFonts w:ascii="Avenir Next" w:hAnsi="Avenir Next" w:cs="Arial"/>
          <w:color w:val="000000"/>
          <w:sz w:val="22"/>
          <w:szCs w:val="22"/>
          <w:lang w:val="en-GB" w:eastAsia="en-GB"/>
        </w:rPr>
        <w:lastRenderedPageBreak/>
        <w:t xml:space="preserve">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727AC6">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727AC6">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727AC6">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727AC6">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727AC6">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w:t>
      </w:r>
      <w:r w:rsidRPr="000E3AC1">
        <w:rPr>
          <w:rFonts w:ascii="Avenir Next" w:hAnsi="Avenir Next" w:cs="Arial"/>
          <w:color w:val="000000"/>
          <w:sz w:val="22"/>
          <w:szCs w:val="22"/>
          <w:highlight w:val="green"/>
          <w:lang w:val="en-GB" w:eastAsia="en-GB"/>
        </w:rPr>
        <w:t>the process of withdrawing the Bank from the market</w:t>
      </w:r>
      <w:r w:rsidRPr="00E2622D">
        <w:rPr>
          <w:rFonts w:ascii="Avenir Next" w:hAnsi="Avenir Next" w:cs="Arial"/>
          <w:color w:val="000000"/>
          <w:sz w:val="22"/>
          <w:szCs w:val="22"/>
          <w:lang w:val="en-GB" w:eastAsia="en-GB"/>
        </w:rPr>
        <w:t xml:space="preserve">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0E3AC1">
        <w:rPr>
          <w:rFonts w:ascii="Avenir Next" w:hAnsi="Avenir Next" w:cs="Arial"/>
          <w:color w:val="000000"/>
          <w:sz w:val="22"/>
          <w:szCs w:val="22"/>
          <w:highlight w:val="green"/>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Resolution 1513 </w:t>
      </w:r>
      <w:r w:rsidRPr="000E3AC1">
        <w:rPr>
          <w:rFonts w:ascii="Avenir Next" w:hAnsi="Avenir Next" w:cs="Arial"/>
          <w:color w:val="000000"/>
          <w:sz w:val="22"/>
          <w:szCs w:val="22"/>
          <w:highlight w:val="green"/>
          <w:lang w:val="en-GB" w:eastAsia="en-GB"/>
        </w:rPr>
        <w:t>expressly excludes</w:t>
      </w:r>
      <w:r w:rsidRPr="00E2622D">
        <w:rPr>
          <w:rFonts w:ascii="Avenir Next" w:hAnsi="Avenir Next" w:cs="Arial"/>
          <w:color w:val="000000"/>
          <w:sz w:val="22"/>
          <w:szCs w:val="22"/>
          <w:lang w:val="en-GB" w:eastAsia="en-GB"/>
        </w:rPr>
        <w:t xml:space="preserve">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w:t>
      </w:r>
      <w:r w:rsidRPr="000E3AC1">
        <w:rPr>
          <w:rFonts w:ascii="Avenir Next" w:hAnsi="Avenir Next" w:cs="Arial"/>
          <w:color w:val="000000"/>
          <w:sz w:val="22"/>
          <w:szCs w:val="22"/>
          <w:highlight w:val="green"/>
          <w:lang w:val="en-GB" w:eastAsia="en-GB"/>
        </w:rPr>
        <w:t>Each of the excluded powers remains vested in the DGF as the Bank</w:t>
      </w:r>
      <w:r w:rsidR="008512FA" w:rsidRPr="000E3AC1">
        <w:rPr>
          <w:rFonts w:ascii="Avenir Next" w:hAnsi="Avenir Next" w:cs="Arial"/>
          <w:color w:val="000000"/>
          <w:sz w:val="22"/>
          <w:szCs w:val="22"/>
          <w:highlight w:val="green"/>
          <w:lang w:val="en-GB" w:eastAsia="en-GB"/>
        </w:rPr>
        <w:t>’</w:t>
      </w:r>
      <w:r w:rsidRPr="000E3AC1">
        <w:rPr>
          <w:rFonts w:ascii="Avenir Next" w:hAnsi="Avenir Next" w:cs="Arial"/>
          <w:color w:val="000000"/>
          <w:sz w:val="22"/>
          <w:szCs w:val="22"/>
          <w:highlight w:val="green"/>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w:t>
      </w:r>
      <w:r w:rsidRPr="009A232A">
        <w:rPr>
          <w:rFonts w:ascii="Avenir Next" w:hAnsi="Avenir Next" w:cs="Arial"/>
          <w:sz w:val="22"/>
          <w:szCs w:val="22"/>
          <w:highlight w:val="green"/>
          <w:lang w:val="en-GB"/>
        </w:rPr>
        <w:t>Ms G</w:t>
      </w:r>
      <w:r w:rsidRPr="00E2622D">
        <w:rPr>
          <w:rFonts w:ascii="Avenir Next" w:hAnsi="Avenir Next" w:cs="Arial"/>
          <w:sz w:val="22"/>
          <w:szCs w:val="22"/>
          <w:lang w:val="en-GB"/>
        </w:rPr>
        <w:t xml:space="preserve">,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 xml:space="preserve">the Commercial Bank for Business Corporation (the Bank), together with the </w:t>
      </w:r>
      <w:r w:rsidRPr="009A232A">
        <w:rPr>
          <w:rFonts w:ascii="Avenir Next" w:hAnsi="Avenir Next" w:cs="Arial"/>
          <w:color w:val="000000"/>
          <w:sz w:val="22"/>
          <w:szCs w:val="22"/>
          <w:highlight w:val="green"/>
          <w:lang w:val="en-GB" w:eastAsia="en-GB"/>
        </w:rPr>
        <w:t>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594FEF2D" w:rsidR="00A153F7" w:rsidRDefault="00A153F7" w:rsidP="00707FC8">
      <w:pPr>
        <w:jc w:val="both"/>
        <w:rPr>
          <w:rFonts w:ascii="Avenir Next" w:hAnsi="Avenir Next" w:cs="Arial"/>
          <w:sz w:val="22"/>
          <w:szCs w:val="22"/>
          <w:lang w:val="en-GB"/>
        </w:rPr>
      </w:pPr>
    </w:p>
    <w:p w14:paraId="06348FEB" w14:textId="77777777" w:rsidR="000E3AC1" w:rsidRDefault="000E3AC1" w:rsidP="009A232A">
      <w:pPr>
        <w:jc w:val="both"/>
        <w:rPr>
          <w:rFonts w:ascii="Arial" w:hAnsi="Arial" w:cs="Arial"/>
          <w:color w:val="000000" w:themeColor="text1"/>
          <w:sz w:val="22"/>
          <w:szCs w:val="22"/>
          <w:lang w:val="en-GB"/>
        </w:rPr>
      </w:pPr>
    </w:p>
    <w:p w14:paraId="1498A57C" w14:textId="77777777" w:rsidR="000E3AC1" w:rsidRDefault="000E3AC1" w:rsidP="009A232A">
      <w:pPr>
        <w:jc w:val="both"/>
        <w:rPr>
          <w:rFonts w:ascii="Arial" w:hAnsi="Arial" w:cs="Arial"/>
          <w:color w:val="000000" w:themeColor="text1"/>
          <w:sz w:val="22"/>
          <w:szCs w:val="22"/>
          <w:lang w:val="en-GB"/>
        </w:rPr>
      </w:pPr>
    </w:p>
    <w:p w14:paraId="6A976830" w14:textId="0C28CEF8" w:rsidR="009A232A" w:rsidRPr="009A232A" w:rsidRDefault="009A232A" w:rsidP="009A232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My view is that the </w:t>
      </w:r>
      <w:r w:rsidRPr="009A232A">
        <w:rPr>
          <w:rFonts w:ascii="Arial" w:hAnsi="Arial" w:cs="Arial"/>
          <w:color w:val="000000" w:themeColor="text1"/>
          <w:sz w:val="22"/>
          <w:szCs w:val="22"/>
          <w:lang w:val="en-GB"/>
        </w:rPr>
        <w:t xml:space="preserve">Bank’s liquidation comprises a “foreign proceeding” within the meaning of </w:t>
      </w:r>
      <w:r>
        <w:rPr>
          <w:rFonts w:ascii="Arial" w:hAnsi="Arial" w:cs="Arial"/>
          <w:color w:val="000000" w:themeColor="text1"/>
          <w:sz w:val="22"/>
          <w:szCs w:val="22"/>
          <w:lang w:val="en-GB"/>
        </w:rPr>
        <w:t>A</w:t>
      </w:r>
      <w:r w:rsidRPr="009A232A">
        <w:rPr>
          <w:rFonts w:ascii="Arial" w:hAnsi="Arial" w:cs="Arial"/>
          <w:color w:val="000000" w:themeColor="text1"/>
          <w:sz w:val="22"/>
          <w:szCs w:val="22"/>
          <w:lang w:val="en-GB"/>
        </w:rPr>
        <w:t>rticle 2(a) of the MLCBI and</w:t>
      </w:r>
      <w:r>
        <w:rPr>
          <w:rFonts w:ascii="Arial" w:hAnsi="Arial" w:cs="Arial"/>
          <w:color w:val="000000" w:themeColor="text1"/>
          <w:sz w:val="22"/>
          <w:szCs w:val="22"/>
          <w:lang w:val="en-GB"/>
        </w:rPr>
        <w:t xml:space="preserve"> </w:t>
      </w:r>
      <w:r w:rsidRPr="009A232A">
        <w:rPr>
          <w:rFonts w:ascii="Arial" w:hAnsi="Arial" w:cs="Arial"/>
          <w:color w:val="000000" w:themeColor="text1"/>
          <w:sz w:val="22"/>
          <w:szCs w:val="22"/>
          <w:lang w:val="en-GB"/>
        </w:rPr>
        <w:t>the Applicants fall within the description of “foreign representatives</w:t>
      </w:r>
      <w:r>
        <w:rPr>
          <w:rFonts w:ascii="Arial" w:hAnsi="Arial" w:cs="Arial"/>
          <w:color w:val="000000" w:themeColor="text1"/>
          <w:sz w:val="22"/>
          <w:szCs w:val="22"/>
          <w:lang w:val="en-GB"/>
        </w:rPr>
        <w:t>”.</w:t>
      </w:r>
    </w:p>
    <w:p w14:paraId="2743398F" w14:textId="77777777" w:rsidR="009A232A" w:rsidRPr="00E2622D" w:rsidRDefault="009A232A" w:rsidP="00707FC8">
      <w:pPr>
        <w:jc w:val="both"/>
        <w:rPr>
          <w:rFonts w:ascii="Avenir Next" w:hAnsi="Avenir Next" w:cs="Arial"/>
          <w:sz w:val="22"/>
          <w:szCs w:val="22"/>
          <w:lang w:val="en-GB"/>
        </w:rPr>
      </w:pPr>
    </w:p>
    <w:bookmarkEnd w:id="3"/>
    <w:p w14:paraId="6D8F5E51" w14:textId="769A32F3" w:rsidR="0077498C" w:rsidRPr="009A232A" w:rsidRDefault="009A232A" w:rsidP="00707FC8">
      <w:pPr>
        <w:jc w:val="both"/>
        <w:rPr>
          <w:rFonts w:ascii="Arial" w:hAnsi="Arial" w:cs="Arial"/>
          <w:b/>
          <w:color w:val="000000" w:themeColor="text1"/>
          <w:sz w:val="22"/>
          <w:szCs w:val="22"/>
          <w:lang w:val="en-GB"/>
        </w:rPr>
      </w:pPr>
      <w:r w:rsidRPr="009A232A">
        <w:rPr>
          <w:rFonts w:ascii="Arial" w:hAnsi="Arial" w:cs="Arial"/>
          <w:b/>
          <w:color w:val="000000" w:themeColor="text1"/>
          <w:sz w:val="22"/>
          <w:szCs w:val="22"/>
          <w:lang w:val="en-GB"/>
        </w:rPr>
        <w:t>Foreign proceeding</w:t>
      </w:r>
    </w:p>
    <w:p w14:paraId="14A1972E" w14:textId="0DAE4A43" w:rsidR="009A232A" w:rsidRDefault="009A232A" w:rsidP="00707FC8">
      <w:pPr>
        <w:jc w:val="both"/>
        <w:rPr>
          <w:rFonts w:ascii="Arial" w:hAnsi="Arial" w:cs="Arial"/>
          <w:color w:val="000000" w:themeColor="text1"/>
          <w:sz w:val="22"/>
          <w:szCs w:val="22"/>
          <w:lang w:val="en-GB"/>
        </w:rPr>
      </w:pPr>
    </w:p>
    <w:p w14:paraId="1669C072" w14:textId="267C4E36" w:rsidR="000E3AC1" w:rsidRDefault="009A232A" w:rsidP="000E3AC1">
      <w:pPr>
        <w:jc w:val="both"/>
        <w:rPr>
          <w:rFonts w:ascii="TimesNewRoman" w:hAnsi="TimesNewRoman" w:cs="TimesNewRoman"/>
          <w:color w:val="000000"/>
          <w:sz w:val="22"/>
        </w:rPr>
      </w:pPr>
      <w:r>
        <w:rPr>
          <w:rFonts w:ascii="Arial" w:hAnsi="Arial" w:cs="Arial"/>
          <w:color w:val="000000" w:themeColor="text1"/>
          <w:sz w:val="22"/>
          <w:szCs w:val="22"/>
          <w:lang w:val="en-GB"/>
        </w:rPr>
        <w:t>Consider</w:t>
      </w:r>
      <w:r w:rsidR="000E3AC1">
        <w:rPr>
          <w:rFonts w:ascii="Arial" w:hAnsi="Arial" w:cs="Arial"/>
          <w:color w:val="000000" w:themeColor="text1"/>
          <w:sz w:val="22"/>
          <w:szCs w:val="22"/>
          <w:lang w:val="en-GB"/>
        </w:rPr>
        <w:t>ing</w:t>
      </w:r>
      <w:r>
        <w:rPr>
          <w:rFonts w:ascii="Arial" w:hAnsi="Arial" w:cs="Arial"/>
          <w:color w:val="000000" w:themeColor="text1"/>
          <w:sz w:val="22"/>
          <w:szCs w:val="22"/>
          <w:lang w:val="en-GB"/>
        </w:rPr>
        <w:t xml:space="preserve"> the definition of “foreign proceeding” in Article 2(a)</w:t>
      </w:r>
      <w:r w:rsidR="000E3AC1">
        <w:rPr>
          <w:rFonts w:ascii="Arial" w:hAnsi="Arial" w:cs="Arial"/>
          <w:color w:val="000000" w:themeColor="text1"/>
          <w:sz w:val="22"/>
          <w:szCs w:val="22"/>
          <w:lang w:val="en-GB"/>
        </w:rPr>
        <w:t xml:space="preserve">, </w:t>
      </w:r>
      <w:r>
        <w:rPr>
          <w:rFonts w:ascii="TimesNewRoman" w:hAnsi="TimesNewRoman" w:cs="TimesNewRoman"/>
          <w:color w:val="000000"/>
          <w:sz w:val="22"/>
          <w:lang w:val="x-none"/>
        </w:rPr>
        <w:t>“Foreign proceeding”</w:t>
      </w:r>
      <w:r>
        <w:rPr>
          <w:rFonts w:ascii="TimesNewRoman" w:hAnsi="TimesNewRoman" w:cs="TimesNewRoman"/>
          <w:color w:val="000000"/>
          <w:sz w:val="22"/>
        </w:rPr>
        <w:t xml:space="preserve"> </w:t>
      </w:r>
      <w:r>
        <w:rPr>
          <w:rFonts w:ascii="TimesNewRoman" w:hAnsi="TimesNewRoman" w:cs="TimesNewRoman"/>
          <w:color w:val="000000"/>
          <w:sz w:val="22"/>
          <w:lang w:val="x-none"/>
        </w:rPr>
        <w:t>means a collective judicial or administrative</w:t>
      </w:r>
      <w:r>
        <w:rPr>
          <w:rFonts w:ascii="TimesNewRoman" w:hAnsi="TimesNewRoman" w:cs="TimesNewRoman"/>
          <w:color w:val="000000"/>
          <w:sz w:val="22"/>
        </w:rPr>
        <w:t xml:space="preserve"> </w:t>
      </w:r>
      <w:r>
        <w:rPr>
          <w:rFonts w:ascii="TimesNewRoman" w:hAnsi="TimesNewRoman" w:cs="TimesNewRoman"/>
          <w:color w:val="000000"/>
          <w:sz w:val="22"/>
          <w:lang w:val="x-none"/>
        </w:rPr>
        <w:t>proceeding in a foreign State, including an interim proceeding, pursuant to</w:t>
      </w:r>
      <w:r>
        <w:rPr>
          <w:rFonts w:ascii="TimesNewRoman" w:hAnsi="TimesNewRoman" w:cs="TimesNewRoman"/>
          <w:color w:val="000000"/>
          <w:sz w:val="22"/>
        </w:rPr>
        <w:t xml:space="preserve"> </w:t>
      </w:r>
      <w:r>
        <w:rPr>
          <w:rFonts w:ascii="TimesNewRoman" w:hAnsi="TimesNewRoman" w:cs="TimesNewRoman"/>
          <w:color w:val="000000"/>
          <w:sz w:val="22"/>
          <w:lang w:val="x-none"/>
        </w:rPr>
        <w:t>a law relating to insolvency in which proceeding the assets and affairs of</w:t>
      </w:r>
      <w:r>
        <w:rPr>
          <w:rFonts w:ascii="TimesNewRoman" w:hAnsi="TimesNewRoman" w:cs="TimesNewRoman"/>
          <w:color w:val="000000"/>
          <w:sz w:val="22"/>
        </w:rPr>
        <w:t xml:space="preserve"> </w:t>
      </w:r>
      <w:r>
        <w:rPr>
          <w:rFonts w:ascii="TimesNewRoman" w:hAnsi="TimesNewRoman" w:cs="TimesNewRoman"/>
          <w:color w:val="000000"/>
          <w:sz w:val="22"/>
          <w:lang w:val="x-none"/>
        </w:rPr>
        <w:t>the debtor are subject to control or supervision by a foreign court, for the</w:t>
      </w:r>
      <w:r>
        <w:rPr>
          <w:rFonts w:ascii="TimesNewRoman" w:hAnsi="TimesNewRoman" w:cs="TimesNewRoman"/>
          <w:color w:val="000000"/>
          <w:sz w:val="22"/>
        </w:rPr>
        <w:t xml:space="preserve"> </w:t>
      </w:r>
      <w:r>
        <w:rPr>
          <w:rFonts w:ascii="TimesNewRoman" w:hAnsi="TimesNewRoman" w:cs="TimesNewRoman"/>
          <w:color w:val="000000"/>
          <w:sz w:val="22"/>
          <w:lang w:val="x-none"/>
        </w:rPr>
        <w:t>purpose o</w:t>
      </w:r>
      <w:r>
        <w:rPr>
          <w:rFonts w:ascii="TimesNewRoman" w:hAnsi="TimesNewRoman" w:cs="TimesNewRoman"/>
          <w:color w:val="000000"/>
          <w:sz w:val="22"/>
          <w:lang w:val="x-none"/>
        </w:rPr>
        <w:t>f reorganization or liquidation</w:t>
      </w:r>
      <w:r>
        <w:rPr>
          <w:rFonts w:ascii="TimesNewRoman" w:hAnsi="TimesNewRoman" w:cs="TimesNewRoman"/>
          <w:color w:val="000000"/>
          <w:sz w:val="22"/>
        </w:rPr>
        <w:t>”.</w:t>
      </w:r>
      <w:r w:rsidR="000E3AC1">
        <w:rPr>
          <w:rFonts w:ascii="TimesNewRoman" w:hAnsi="TimesNewRoman" w:cs="TimesNewRoman"/>
          <w:color w:val="000000"/>
          <w:sz w:val="22"/>
        </w:rPr>
        <w:t xml:space="preserve">  One element from the definition that is unclear from the facts is whether the liquidation process is “</w:t>
      </w:r>
      <w:r w:rsidR="000E3AC1" w:rsidRPr="000E3AC1">
        <w:rPr>
          <w:rFonts w:ascii="TimesNewRoman" w:hAnsi="TimesNewRoman" w:cs="TimesNewRoman"/>
          <w:color w:val="000000"/>
          <w:sz w:val="22"/>
        </w:rPr>
        <w:t>subject to control or supervision by a foreign court</w:t>
      </w:r>
      <w:r w:rsidR="000E3AC1">
        <w:rPr>
          <w:rFonts w:ascii="TimesNewRoman" w:hAnsi="TimesNewRoman" w:cs="TimesNewRoman"/>
          <w:color w:val="000000"/>
          <w:sz w:val="22"/>
        </w:rPr>
        <w:t xml:space="preserve">”.  </w:t>
      </w:r>
    </w:p>
    <w:p w14:paraId="36ED1129" w14:textId="0815CC6B" w:rsidR="009A232A" w:rsidRDefault="009A232A" w:rsidP="009A232A">
      <w:pPr>
        <w:autoSpaceDE w:val="0"/>
        <w:autoSpaceDN w:val="0"/>
        <w:adjustRightInd w:val="0"/>
        <w:snapToGrid w:val="0"/>
        <w:jc w:val="both"/>
        <w:rPr>
          <w:rFonts w:ascii="TimesNewRoman" w:hAnsi="TimesNewRoman" w:cs="TimesNewRoman"/>
          <w:color w:val="000000"/>
          <w:sz w:val="22"/>
        </w:rPr>
      </w:pPr>
    </w:p>
    <w:p w14:paraId="474FE589" w14:textId="6CC2128E" w:rsidR="009A232A" w:rsidRDefault="009A232A" w:rsidP="009A232A">
      <w:pPr>
        <w:autoSpaceDE w:val="0"/>
        <w:autoSpaceDN w:val="0"/>
        <w:adjustRightInd w:val="0"/>
        <w:snapToGrid w:val="0"/>
        <w:jc w:val="both"/>
        <w:rPr>
          <w:rFonts w:ascii="TimesNewRoman" w:hAnsi="TimesNewRoman" w:cs="TimesNewRoman"/>
          <w:color w:val="000000"/>
          <w:sz w:val="22"/>
        </w:rPr>
      </w:pPr>
      <w:r>
        <w:rPr>
          <w:rFonts w:ascii="TimesNewRoman" w:hAnsi="TimesNewRoman" w:cs="TimesNewRoman"/>
          <w:color w:val="000000"/>
          <w:sz w:val="22"/>
        </w:rPr>
        <w:t xml:space="preserve">I would consider the same points that are discussed in the </w:t>
      </w:r>
      <w:r w:rsidRPr="009A232A">
        <w:rPr>
          <w:rFonts w:ascii="TimesNewRoman" w:hAnsi="TimesNewRoman" w:cs="TimesNewRoman"/>
          <w:color w:val="000000"/>
          <w:sz w:val="22"/>
          <w:u w:val="single"/>
        </w:rPr>
        <w:t>Agrokor</w:t>
      </w:r>
      <w:r>
        <w:rPr>
          <w:rFonts w:ascii="TimesNewRoman" w:hAnsi="TimesNewRoman" w:cs="TimesNewRoman"/>
          <w:color w:val="000000"/>
          <w:sz w:val="22"/>
        </w:rPr>
        <w:t xml:space="preserve"> case.</w:t>
      </w:r>
      <w:r w:rsidR="000E3AC1">
        <w:rPr>
          <w:rFonts w:ascii="TimesNewRoman" w:hAnsi="TimesNewRoman" w:cs="TimesNewRoman"/>
          <w:color w:val="000000"/>
          <w:sz w:val="22"/>
        </w:rPr>
        <w:t xml:space="preserve">  As a summary of these:</w:t>
      </w:r>
    </w:p>
    <w:p w14:paraId="6C4ED229" w14:textId="7500CB78" w:rsidR="000E3AC1" w:rsidRDefault="000E3AC1" w:rsidP="009A232A">
      <w:pPr>
        <w:autoSpaceDE w:val="0"/>
        <w:autoSpaceDN w:val="0"/>
        <w:adjustRightInd w:val="0"/>
        <w:snapToGrid w:val="0"/>
        <w:jc w:val="both"/>
        <w:rPr>
          <w:rFonts w:ascii="TimesNewRoman" w:hAnsi="TimesNewRoman" w:cs="TimesNewRoman"/>
          <w:color w:val="000000"/>
          <w:sz w:val="22"/>
        </w:rPr>
      </w:pPr>
    </w:p>
    <w:p w14:paraId="3A8AC06B" w14:textId="5B77F7E5" w:rsidR="000E3AC1" w:rsidRDefault="000E3AC1" w:rsidP="000E3AC1">
      <w:pPr>
        <w:pStyle w:val="ListParagraph"/>
        <w:numPr>
          <w:ilvl w:val="0"/>
          <w:numId w:val="17"/>
        </w:numPr>
        <w:autoSpaceDE w:val="0"/>
        <w:autoSpaceDN w:val="0"/>
        <w:adjustRightInd w:val="0"/>
        <w:snapToGrid w:val="0"/>
        <w:jc w:val="both"/>
        <w:rPr>
          <w:rFonts w:ascii="Arial" w:hAnsi="Arial" w:cs="Arial"/>
          <w:color w:val="000000" w:themeColor="text1"/>
          <w:sz w:val="22"/>
          <w:szCs w:val="22"/>
        </w:rPr>
      </w:pPr>
      <w:r>
        <w:rPr>
          <w:rFonts w:ascii="Arial" w:hAnsi="Arial" w:cs="Arial"/>
          <w:color w:val="000000" w:themeColor="text1"/>
          <w:sz w:val="22"/>
          <w:szCs w:val="22"/>
        </w:rPr>
        <w:t xml:space="preserve">The LBBA and the DGF Law appear are foreing laws relating to insolvency i.e. liquidation – this is a matter of the law of Country A and, from the English law perspective, is a question of fact.  On a related point, the law relates to insolvency as </w:t>
      </w:r>
      <w:r>
        <w:rPr>
          <w:rFonts w:ascii="Arial" w:hAnsi="Arial" w:cs="Arial"/>
          <w:color w:val="000000" w:themeColor="text1"/>
          <w:sz w:val="22"/>
          <w:szCs w:val="22"/>
        </w:rPr>
        <w:lastRenderedPageBreak/>
        <w:t>one of the grounds for commencing the process in Country A is the inability to meet depositor requests for withdrawal (2% over 5 days).</w:t>
      </w:r>
    </w:p>
    <w:p w14:paraId="3CD3A9E2" w14:textId="252421CF" w:rsidR="000E3AC1" w:rsidRDefault="000E3AC1" w:rsidP="000E3AC1">
      <w:pPr>
        <w:pStyle w:val="ListParagraph"/>
        <w:numPr>
          <w:ilvl w:val="0"/>
          <w:numId w:val="17"/>
        </w:numPr>
        <w:autoSpaceDE w:val="0"/>
        <w:autoSpaceDN w:val="0"/>
        <w:adjustRightInd w:val="0"/>
        <w:snapToGrid w:val="0"/>
        <w:jc w:val="both"/>
        <w:rPr>
          <w:rFonts w:ascii="Arial" w:hAnsi="Arial" w:cs="Arial"/>
          <w:color w:val="000000" w:themeColor="text1"/>
          <w:sz w:val="22"/>
          <w:szCs w:val="22"/>
        </w:rPr>
      </w:pPr>
      <w:r>
        <w:rPr>
          <w:rFonts w:ascii="Arial" w:hAnsi="Arial" w:cs="Arial"/>
          <w:color w:val="000000" w:themeColor="text1"/>
          <w:sz w:val="22"/>
          <w:szCs w:val="22"/>
        </w:rPr>
        <w:t>The LBBA does appear to be, at least in the initial phases of its application, a law in respect of a reorganisation.  It will protect the stability of Country A’s banking system.</w:t>
      </w:r>
    </w:p>
    <w:p w14:paraId="0116B327" w14:textId="4C430AE7" w:rsidR="000E3AC1" w:rsidRDefault="000E3AC1" w:rsidP="000E3AC1">
      <w:pPr>
        <w:pStyle w:val="ListParagraph"/>
        <w:numPr>
          <w:ilvl w:val="0"/>
          <w:numId w:val="17"/>
        </w:numPr>
        <w:autoSpaceDE w:val="0"/>
        <w:autoSpaceDN w:val="0"/>
        <w:adjustRightInd w:val="0"/>
        <w:snapToGrid w:val="0"/>
        <w:jc w:val="both"/>
        <w:rPr>
          <w:rFonts w:ascii="Arial" w:hAnsi="Arial" w:cs="Arial"/>
          <w:color w:val="000000" w:themeColor="text1"/>
          <w:sz w:val="22"/>
          <w:szCs w:val="22"/>
        </w:rPr>
      </w:pPr>
      <w:r>
        <w:rPr>
          <w:rFonts w:ascii="Arial" w:hAnsi="Arial" w:cs="Arial"/>
          <w:color w:val="000000" w:themeColor="text1"/>
          <w:sz w:val="22"/>
          <w:szCs w:val="22"/>
        </w:rPr>
        <w:t>The process is collective as it deals with all creditors.</w:t>
      </w:r>
    </w:p>
    <w:p w14:paraId="48AEBEB4" w14:textId="4049294C" w:rsidR="000E3AC1" w:rsidRDefault="000E3AC1" w:rsidP="005661D2">
      <w:pPr>
        <w:pStyle w:val="ListParagraph"/>
        <w:numPr>
          <w:ilvl w:val="0"/>
          <w:numId w:val="17"/>
        </w:numPr>
        <w:autoSpaceDE w:val="0"/>
        <w:autoSpaceDN w:val="0"/>
        <w:adjustRightInd w:val="0"/>
        <w:snapToGrid w:val="0"/>
        <w:jc w:val="both"/>
        <w:rPr>
          <w:rFonts w:ascii="Arial" w:hAnsi="Arial" w:cs="Arial"/>
          <w:color w:val="000000" w:themeColor="text1"/>
          <w:sz w:val="22"/>
          <w:szCs w:val="22"/>
        </w:rPr>
      </w:pPr>
      <w:r w:rsidRPr="000E3AC1">
        <w:rPr>
          <w:rFonts w:ascii="Arial" w:hAnsi="Arial" w:cs="Arial"/>
          <w:color w:val="000000" w:themeColor="text1"/>
          <w:sz w:val="22"/>
          <w:szCs w:val="22"/>
        </w:rPr>
        <w:t>As mentioned above, it is not clear if the process in Country A is subject to court control or supervision.  I would rely on Article 2(e) and the definition of foreign court: “</w:t>
      </w:r>
      <w:r w:rsidRPr="000E3AC1">
        <w:rPr>
          <w:rFonts w:ascii="Arial" w:hAnsi="Arial" w:cs="Arial"/>
          <w:color w:val="000000" w:themeColor="text1"/>
          <w:sz w:val="22"/>
          <w:szCs w:val="22"/>
        </w:rPr>
        <w:t xml:space="preserve">a judicial or </w:t>
      </w:r>
      <w:r w:rsidRPr="000E3AC1">
        <w:rPr>
          <w:rFonts w:ascii="Arial" w:hAnsi="Arial" w:cs="Arial"/>
          <w:b/>
          <w:color w:val="000000" w:themeColor="text1"/>
          <w:sz w:val="22"/>
          <w:szCs w:val="22"/>
          <w:u w:val="single"/>
        </w:rPr>
        <w:t>other authority competent to</w:t>
      </w:r>
      <w:r w:rsidRPr="000E3AC1">
        <w:rPr>
          <w:rFonts w:ascii="Arial" w:hAnsi="Arial" w:cs="Arial"/>
          <w:b/>
          <w:color w:val="000000" w:themeColor="text1"/>
          <w:sz w:val="22"/>
          <w:szCs w:val="22"/>
          <w:u w:val="single"/>
        </w:rPr>
        <w:t xml:space="preserve"> </w:t>
      </w:r>
      <w:r w:rsidRPr="000E3AC1">
        <w:rPr>
          <w:rFonts w:ascii="Arial" w:hAnsi="Arial" w:cs="Arial"/>
          <w:b/>
          <w:color w:val="000000" w:themeColor="text1"/>
          <w:sz w:val="22"/>
          <w:szCs w:val="22"/>
          <w:u w:val="single"/>
        </w:rPr>
        <w:t>control or supervise a foreign proceeding</w:t>
      </w:r>
      <w:r>
        <w:rPr>
          <w:rFonts w:ascii="Arial" w:hAnsi="Arial" w:cs="Arial"/>
          <w:color w:val="000000" w:themeColor="text1"/>
          <w:sz w:val="22"/>
          <w:szCs w:val="22"/>
        </w:rPr>
        <w:t>”.  Both the NB and DGF would fall within this definition (</w:t>
      </w:r>
      <w:r w:rsidRPr="000E3AC1">
        <w:rPr>
          <w:rFonts w:ascii="Arial" w:hAnsi="Arial" w:cs="Arial"/>
          <w:color w:val="000000" w:themeColor="text1"/>
          <w:sz w:val="22"/>
          <w:szCs w:val="22"/>
          <w:u w:val="single"/>
        </w:rPr>
        <w:t>Candey v Crumpler</w:t>
      </w:r>
      <w:r>
        <w:rPr>
          <w:rFonts w:ascii="Arial" w:hAnsi="Arial" w:cs="Arial"/>
          <w:color w:val="000000" w:themeColor="text1"/>
          <w:sz w:val="22"/>
          <w:szCs w:val="22"/>
        </w:rPr>
        <w:t xml:space="preserve">; </w:t>
      </w:r>
      <w:r w:rsidRPr="000E3AC1">
        <w:rPr>
          <w:rFonts w:ascii="Arial" w:hAnsi="Arial" w:cs="Arial"/>
          <w:color w:val="000000" w:themeColor="text1"/>
          <w:sz w:val="22"/>
          <w:szCs w:val="22"/>
          <w:u w:val="single"/>
        </w:rPr>
        <w:t>Brian Glasgow</w:t>
      </w:r>
      <w:r>
        <w:rPr>
          <w:rFonts w:ascii="Arial" w:hAnsi="Arial" w:cs="Arial"/>
          <w:color w:val="000000" w:themeColor="text1"/>
          <w:sz w:val="22"/>
          <w:szCs w:val="22"/>
        </w:rPr>
        <w:t>).</w:t>
      </w:r>
    </w:p>
    <w:p w14:paraId="23C3B256" w14:textId="184FCE6C" w:rsidR="000E3AC1" w:rsidRPr="000E3AC1" w:rsidRDefault="000E3AC1" w:rsidP="005661D2">
      <w:pPr>
        <w:pStyle w:val="ListParagraph"/>
        <w:numPr>
          <w:ilvl w:val="0"/>
          <w:numId w:val="17"/>
        </w:numPr>
        <w:autoSpaceDE w:val="0"/>
        <w:autoSpaceDN w:val="0"/>
        <w:adjustRightInd w:val="0"/>
        <w:snapToGrid w:val="0"/>
        <w:jc w:val="both"/>
        <w:rPr>
          <w:rFonts w:ascii="Arial" w:hAnsi="Arial" w:cs="Arial"/>
          <w:color w:val="000000" w:themeColor="text1"/>
          <w:sz w:val="22"/>
          <w:szCs w:val="22"/>
        </w:rPr>
      </w:pPr>
      <w:r w:rsidRPr="000E3AC1">
        <w:rPr>
          <w:rFonts w:ascii="Arial" w:hAnsi="Arial" w:cs="Arial"/>
          <w:color w:val="000000" w:themeColor="text1"/>
          <w:sz w:val="22"/>
          <w:szCs w:val="22"/>
        </w:rPr>
        <w:t>This is recognition in respect of a single company.</w:t>
      </w:r>
    </w:p>
    <w:p w14:paraId="4E389B7F" w14:textId="2A927B34" w:rsidR="000E3AC1" w:rsidRPr="000E3AC1" w:rsidRDefault="000E3AC1" w:rsidP="000E3AC1">
      <w:pPr>
        <w:pStyle w:val="ListParagraph"/>
        <w:numPr>
          <w:ilvl w:val="0"/>
          <w:numId w:val="17"/>
        </w:numPr>
        <w:autoSpaceDE w:val="0"/>
        <w:autoSpaceDN w:val="0"/>
        <w:adjustRightInd w:val="0"/>
        <w:snapToGrid w:val="0"/>
        <w:jc w:val="both"/>
        <w:rPr>
          <w:rFonts w:ascii="Arial" w:hAnsi="Arial" w:cs="Arial"/>
          <w:color w:val="000000" w:themeColor="text1"/>
          <w:sz w:val="22"/>
          <w:szCs w:val="22"/>
        </w:rPr>
      </w:pPr>
      <w:r>
        <w:rPr>
          <w:rFonts w:ascii="Arial" w:hAnsi="Arial" w:cs="Arial"/>
          <w:color w:val="000000" w:themeColor="text1"/>
          <w:sz w:val="22"/>
          <w:szCs w:val="22"/>
        </w:rPr>
        <w:t>Recognition does not appear to be contrary to English public policy.</w:t>
      </w:r>
      <w:bookmarkStart w:id="28" w:name="_GoBack"/>
      <w:bookmarkEnd w:id="28"/>
    </w:p>
    <w:p w14:paraId="4B9FF7F0" w14:textId="77777777" w:rsidR="009A232A" w:rsidRDefault="009A232A" w:rsidP="00707FC8">
      <w:pPr>
        <w:jc w:val="both"/>
        <w:rPr>
          <w:rFonts w:ascii="Arial" w:hAnsi="Arial" w:cs="Arial"/>
          <w:color w:val="000000" w:themeColor="text1"/>
          <w:sz w:val="22"/>
          <w:szCs w:val="22"/>
          <w:lang w:val="en-GB"/>
        </w:rPr>
      </w:pPr>
    </w:p>
    <w:p w14:paraId="0DAF845F" w14:textId="245189B6" w:rsidR="009A232A" w:rsidRDefault="000E3AC1" w:rsidP="000E3AC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Note that subject to the provision of the documentation referred to in </w:t>
      </w:r>
      <w:r w:rsidR="009A232A">
        <w:rPr>
          <w:rFonts w:ascii="Arial" w:hAnsi="Arial" w:cs="Arial"/>
          <w:color w:val="000000" w:themeColor="text1"/>
          <w:sz w:val="22"/>
          <w:szCs w:val="22"/>
          <w:lang w:val="en-GB"/>
        </w:rPr>
        <w:t>Article 15</w:t>
      </w:r>
      <w:r>
        <w:rPr>
          <w:rFonts w:ascii="Arial" w:hAnsi="Arial" w:cs="Arial"/>
          <w:color w:val="000000" w:themeColor="text1"/>
          <w:sz w:val="22"/>
          <w:szCs w:val="22"/>
          <w:lang w:val="en-GB"/>
        </w:rPr>
        <w:t>, there is a r</w:t>
      </w:r>
      <w:r w:rsidR="009A232A">
        <w:rPr>
          <w:rFonts w:ascii="Arial" w:hAnsi="Arial" w:cs="Arial"/>
          <w:color w:val="000000" w:themeColor="text1"/>
          <w:sz w:val="22"/>
          <w:szCs w:val="22"/>
          <w:lang w:val="en-GB"/>
        </w:rPr>
        <w:t xml:space="preserve">ebuttable presumption </w:t>
      </w:r>
      <w:r>
        <w:rPr>
          <w:rFonts w:ascii="Arial" w:hAnsi="Arial" w:cs="Arial"/>
          <w:color w:val="000000" w:themeColor="text1"/>
          <w:sz w:val="22"/>
          <w:szCs w:val="22"/>
          <w:lang w:val="en-GB"/>
        </w:rPr>
        <w:t xml:space="preserve">the that </w:t>
      </w:r>
      <w:r w:rsidRPr="000E3AC1">
        <w:rPr>
          <w:rFonts w:ascii="Arial" w:hAnsi="Arial" w:cs="Arial"/>
          <w:color w:val="000000" w:themeColor="text1"/>
          <w:sz w:val="22"/>
          <w:szCs w:val="22"/>
          <w:lang w:val="en-GB"/>
        </w:rPr>
        <w:t>a proceeding</w:t>
      </w:r>
      <w:r>
        <w:rPr>
          <w:rFonts w:ascii="Arial" w:hAnsi="Arial" w:cs="Arial"/>
          <w:color w:val="000000" w:themeColor="text1"/>
          <w:sz w:val="22"/>
          <w:szCs w:val="22"/>
          <w:lang w:val="en-GB"/>
        </w:rPr>
        <w:t xml:space="preserve"> and a representative are</w:t>
      </w:r>
      <w:r w:rsidRPr="000E3AC1">
        <w:rPr>
          <w:rFonts w:ascii="Arial" w:hAnsi="Arial" w:cs="Arial"/>
          <w:color w:val="000000" w:themeColor="text1"/>
          <w:sz w:val="22"/>
          <w:szCs w:val="22"/>
          <w:lang w:val="en-GB"/>
        </w:rPr>
        <w:t xml:space="preserve"> within the meaning of</w:t>
      </w:r>
      <w:r>
        <w:rPr>
          <w:rFonts w:ascii="Arial" w:hAnsi="Arial" w:cs="Arial"/>
          <w:color w:val="000000" w:themeColor="text1"/>
          <w:sz w:val="22"/>
          <w:szCs w:val="22"/>
          <w:lang w:val="en-GB"/>
        </w:rPr>
        <w:t xml:space="preserve"> A</w:t>
      </w:r>
      <w:r w:rsidRPr="000E3AC1">
        <w:rPr>
          <w:rFonts w:ascii="Arial" w:hAnsi="Arial" w:cs="Arial"/>
          <w:color w:val="000000" w:themeColor="text1"/>
          <w:sz w:val="22"/>
          <w:szCs w:val="22"/>
          <w:lang w:val="en-GB"/>
        </w:rPr>
        <w:t>rticle 2</w:t>
      </w:r>
      <w:r>
        <w:rPr>
          <w:rFonts w:ascii="Arial" w:hAnsi="Arial" w:cs="Arial"/>
          <w:color w:val="000000" w:themeColor="text1"/>
          <w:sz w:val="22"/>
          <w:szCs w:val="22"/>
          <w:lang w:val="en-GB"/>
        </w:rPr>
        <w:t>(a) and Article 2(d).</w:t>
      </w:r>
    </w:p>
    <w:p w14:paraId="671CD212" w14:textId="0E0E17A0" w:rsidR="000E3AC1" w:rsidRDefault="000E3AC1" w:rsidP="000E3AC1">
      <w:pPr>
        <w:jc w:val="both"/>
        <w:rPr>
          <w:rFonts w:ascii="Arial" w:hAnsi="Arial" w:cs="Arial"/>
          <w:color w:val="000000" w:themeColor="text1"/>
          <w:sz w:val="22"/>
          <w:szCs w:val="22"/>
          <w:lang w:val="en-GB"/>
        </w:rPr>
      </w:pPr>
    </w:p>
    <w:p w14:paraId="031BC15F" w14:textId="0DFC6750" w:rsidR="009A232A" w:rsidRDefault="000E3AC1"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As the registered office of the Bank is in Country A, I would hold that the COMI test is fulfilled and that these are f</w:t>
      </w:r>
      <w:r w:rsidR="009A232A">
        <w:rPr>
          <w:rFonts w:ascii="Arial" w:hAnsi="Arial" w:cs="Arial"/>
          <w:color w:val="000000" w:themeColor="text1"/>
          <w:sz w:val="22"/>
          <w:szCs w:val="22"/>
          <w:lang w:val="en-GB"/>
        </w:rPr>
        <w:t>oreign main proceedings.</w:t>
      </w:r>
    </w:p>
    <w:p w14:paraId="6FA319FA" w14:textId="4156F30B" w:rsidR="009A232A" w:rsidRDefault="009A232A" w:rsidP="00707FC8">
      <w:pPr>
        <w:jc w:val="both"/>
        <w:rPr>
          <w:rFonts w:ascii="Arial" w:hAnsi="Arial" w:cs="Arial"/>
          <w:color w:val="000000" w:themeColor="text1"/>
          <w:sz w:val="22"/>
          <w:szCs w:val="22"/>
          <w:lang w:val="en-GB"/>
        </w:rPr>
      </w:pPr>
    </w:p>
    <w:p w14:paraId="41C69D9A" w14:textId="6B5CA8C7" w:rsidR="009A232A" w:rsidRPr="009A232A" w:rsidRDefault="009A232A" w:rsidP="00707FC8">
      <w:pPr>
        <w:jc w:val="both"/>
        <w:rPr>
          <w:rFonts w:ascii="Arial" w:hAnsi="Arial" w:cs="Arial"/>
          <w:b/>
          <w:color w:val="000000" w:themeColor="text1"/>
          <w:sz w:val="22"/>
          <w:szCs w:val="22"/>
          <w:lang w:val="en-GB"/>
        </w:rPr>
      </w:pPr>
      <w:r w:rsidRPr="009A232A">
        <w:rPr>
          <w:rFonts w:ascii="Arial" w:hAnsi="Arial" w:cs="Arial"/>
          <w:b/>
          <w:color w:val="000000" w:themeColor="text1"/>
          <w:sz w:val="22"/>
          <w:szCs w:val="22"/>
          <w:lang w:val="en-GB"/>
        </w:rPr>
        <w:t>Foreign representatives</w:t>
      </w:r>
    </w:p>
    <w:p w14:paraId="059999ED" w14:textId="6954F492" w:rsidR="009A232A" w:rsidRPr="009A232A" w:rsidRDefault="009A232A" w:rsidP="00707FC8">
      <w:pPr>
        <w:jc w:val="both"/>
        <w:rPr>
          <w:rFonts w:ascii="Arial" w:hAnsi="Arial" w:cs="Arial"/>
          <w:color w:val="000000" w:themeColor="text1"/>
          <w:sz w:val="22"/>
          <w:szCs w:val="22"/>
          <w:lang w:val="en-GB"/>
        </w:rPr>
      </w:pPr>
    </w:p>
    <w:p w14:paraId="66C55C74" w14:textId="7940087C" w:rsidR="000E3AC1" w:rsidRPr="000E3AC1" w:rsidRDefault="000E3AC1" w:rsidP="000E3AC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Similarly I would consider the definition of foreign representative in the CBIR.  I would hold that both the Applicants are foreign representatives.  The CBIR / MLCBI </w:t>
      </w:r>
      <w:r w:rsidRPr="000E3AC1">
        <w:rPr>
          <w:rFonts w:ascii="Arial" w:hAnsi="Arial" w:cs="Arial"/>
          <w:color w:val="000000" w:themeColor="text1"/>
          <w:sz w:val="22"/>
          <w:szCs w:val="22"/>
          <w:lang w:val="en-GB"/>
        </w:rPr>
        <w:t>does not specify that the foreign representative</w:t>
      </w:r>
      <w:r>
        <w:rPr>
          <w:rFonts w:ascii="Arial" w:hAnsi="Arial" w:cs="Arial"/>
          <w:color w:val="000000" w:themeColor="text1"/>
          <w:sz w:val="22"/>
          <w:szCs w:val="22"/>
          <w:lang w:val="en-GB"/>
        </w:rPr>
        <w:t xml:space="preserve"> </w:t>
      </w:r>
      <w:r w:rsidRPr="000E3AC1">
        <w:rPr>
          <w:rFonts w:ascii="Arial" w:hAnsi="Arial" w:cs="Arial"/>
          <w:color w:val="000000" w:themeColor="text1"/>
          <w:sz w:val="22"/>
          <w:szCs w:val="22"/>
          <w:lang w:val="en-GB"/>
        </w:rPr>
        <w:t>must be authori</w:t>
      </w:r>
      <w:r>
        <w:rPr>
          <w:rFonts w:ascii="Arial" w:hAnsi="Arial" w:cs="Arial"/>
          <w:color w:val="000000" w:themeColor="text1"/>
          <w:sz w:val="22"/>
          <w:szCs w:val="22"/>
          <w:lang w:val="en-GB"/>
        </w:rPr>
        <w:t>s</w:t>
      </w:r>
      <w:r w:rsidRPr="000E3AC1">
        <w:rPr>
          <w:rFonts w:ascii="Arial" w:hAnsi="Arial" w:cs="Arial"/>
          <w:color w:val="000000" w:themeColor="text1"/>
          <w:sz w:val="22"/>
          <w:szCs w:val="22"/>
          <w:lang w:val="en-GB"/>
        </w:rPr>
        <w:t>ed by the foreign court</w:t>
      </w:r>
      <w:r>
        <w:rPr>
          <w:rFonts w:ascii="Arial" w:hAnsi="Arial" w:cs="Arial"/>
          <w:color w:val="000000" w:themeColor="text1"/>
          <w:sz w:val="22"/>
          <w:szCs w:val="22"/>
          <w:lang w:val="en-GB"/>
        </w:rPr>
        <w:t xml:space="preserve"> and therefore can cover appointments such as this where Ms G is appointed by the board of DGF.  The case law focusses on the authorisation being provided in the context of the proceedings and not on who provided the authorisation.  Also Article 16 contains the rebuttable presumption in respect of the appointment of the foreign representative, subject to receipt of the documents detailed in Article 15. </w:t>
      </w:r>
    </w:p>
    <w:p w14:paraId="567BD659" w14:textId="048D7309" w:rsidR="000E3AC1" w:rsidRPr="000E3AC1" w:rsidRDefault="000E3AC1" w:rsidP="000E3AC1">
      <w:pPr>
        <w:jc w:val="both"/>
        <w:rPr>
          <w:rFonts w:ascii="Arial" w:hAnsi="Arial" w:cs="Arial"/>
          <w:color w:val="000000" w:themeColor="text1"/>
          <w:sz w:val="22"/>
          <w:szCs w:val="22"/>
          <w:lang w:val="en-GB"/>
        </w:rPr>
      </w:pPr>
    </w:p>
    <w:p w14:paraId="26A2FE39" w14:textId="5E136372" w:rsidR="000E3AC1" w:rsidRDefault="000E3AC1" w:rsidP="000E3AC1">
      <w:pPr>
        <w:jc w:val="both"/>
        <w:rPr>
          <w:rFonts w:ascii="Avenir Next" w:hAnsi="Avenir Next" w:cs="Arial"/>
          <w:color w:val="000000" w:themeColor="text1"/>
          <w:sz w:val="22"/>
          <w:szCs w:val="22"/>
          <w:lang w:val="en-GB"/>
        </w:rPr>
      </w:pPr>
    </w:p>
    <w:p w14:paraId="28DAF52A" w14:textId="77777777" w:rsidR="000E3AC1" w:rsidRPr="00E2622D" w:rsidRDefault="000E3AC1" w:rsidP="000E3AC1">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3A50ED05" w:rsidR="000300E0" w:rsidRPr="00B46CE2" w:rsidRDefault="00BC230F" w:rsidP="000300E0">
    <w:pPr>
      <w:pStyle w:val="Footer"/>
      <w:ind w:right="360"/>
      <w:rPr>
        <w:rFonts w:ascii="Avenir Next" w:hAnsi="Avenir Next"/>
        <w:sz w:val="22"/>
        <w:szCs w:val="22"/>
      </w:rPr>
    </w:pPr>
    <w:r w:rsidRPr="00BC230F">
      <w:rPr>
        <w:rFonts w:ascii="Avenir Next" w:hAnsi="Avenir Next"/>
        <w:sz w:val="22"/>
        <w:szCs w:val="22"/>
      </w:rPr>
      <w:t>202122-551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5677BF2"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0E3AC1">
          <w:rPr>
            <w:rStyle w:val="PageNumber"/>
            <w:rFonts w:ascii="Avenir Next" w:hAnsi="Avenir Next"/>
            <w:noProof/>
            <w:sz w:val="22"/>
            <w:szCs w:val="22"/>
          </w:rPr>
          <w:t>14</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0ED4" w14:textId="77777777" w:rsidR="00FA138F" w:rsidRDefault="00FA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6485" w14:textId="77777777" w:rsidR="00FA138F" w:rsidRDefault="00FA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7023" w14:textId="77777777" w:rsidR="00FA138F" w:rsidRDefault="00FA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702C8E"/>
    <w:multiLevelType w:val="hybridMultilevel"/>
    <w:tmpl w:val="D98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21781F"/>
    <w:multiLevelType w:val="hybridMultilevel"/>
    <w:tmpl w:val="1E1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2F6551"/>
    <w:multiLevelType w:val="hybridMultilevel"/>
    <w:tmpl w:val="626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2"/>
  </w:num>
  <w:num w:numId="5">
    <w:abstractNumId w:val="16"/>
  </w:num>
  <w:num w:numId="6">
    <w:abstractNumId w:val="14"/>
  </w:num>
  <w:num w:numId="7">
    <w:abstractNumId w:val="13"/>
  </w:num>
  <w:num w:numId="8">
    <w:abstractNumId w:val="4"/>
  </w:num>
  <w:num w:numId="9">
    <w:abstractNumId w:val="5"/>
  </w:num>
  <w:num w:numId="10">
    <w:abstractNumId w:val="9"/>
  </w:num>
  <w:num w:numId="11">
    <w:abstractNumId w:val="0"/>
  </w:num>
  <w:num w:numId="12">
    <w:abstractNumId w:val="7"/>
  </w:num>
  <w:num w:numId="13">
    <w:abstractNumId w:val="8"/>
  </w:num>
  <w:num w:numId="14">
    <w:abstractNumId w:val="1"/>
  </w:num>
  <w:num w:numId="15">
    <w:abstractNumId w:val="3"/>
  </w:num>
  <w:num w:numId="16">
    <w:abstractNumId w:val="10"/>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3AC1"/>
    <w:rsid w:val="000E4841"/>
    <w:rsid w:val="000E6325"/>
    <w:rsid w:val="000F1677"/>
    <w:rsid w:val="000F3D6C"/>
    <w:rsid w:val="000F579C"/>
    <w:rsid w:val="00101707"/>
    <w:rsid w:val="001046D4"/>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2BEB"/>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4FC9"/>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27AC6"/>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D3ACD"/>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232A"/>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0604"/>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C230F"/>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56D57"/>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65B3"/>
    <w:rsid w:val="00E77C3D"/>
    <w:rsid w:val="00E82E22"/>
    <w:rsid w:val="00E850FE"/>
    <w:rsid w:val="00E909F0"/>
    <w:rsid w:val="00E90D47"/>
    <w:rsid w:val="00E93993"/>
    <w:rsid w:val="00E9597C"/>
    <w:rsid w:val="00EA0913"/>
    <w:rsid w:val="00EA0A2F"/>
    <w:rsid w:val="00EA6D31"/>
    <w:rsid w:val="00EB10D6"/>
    <w:rsid w:val="00EB146B"/>
    <w:rsid w:val="00EB45AC"/>
    <w:rsid w:val="00EC2AEA"/>
    <w:rsid w:val="00EC61CF"/>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138F"/>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0021-3B87-4AF2-A5C6-3A7324A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14</Pages>
  <Words>5775</Words>
  <Characters>28875</Characters>
  <Application>Microsoft Office Word</Application>
  <DocSecurity>0</DocSecurity>
  <Lines>1443</Lines>
  <Paragraphs>1649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_</cp:lastModifiedBy>
  <cp:revision>12</cp:revision>
  <cp:lastPrinted>2019-08-27T05:42:00Z</cp:lastPrinted>
  <dcterms:created xsi:type="dcterms:W3CDTF">2023-01-28T06:17:00Z</dcterms:created>
  <dcterms:modified xsi:type="dcterms:W3CDTF">2023-01-29T07:55:00Z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1/29/2023 3:55:15 PM</vt:lpwstr>
  </property>
</Properties>
</file>