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lastRenderedPageBreak/>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w:t>
      </w:r>
      <w:r w:rsidRPr="006925C1">
        <w:rPr>
          <w:rFonts w:ascii="Avenir Next" w:hAnsi="Avenir Next" w:cs="Arial"/>
          <w:sz w:val="22"/>
          <w:szCs w:val="22"/>
          <w:lang w:val="en-GB"/>
        </w:rPr>
        <w:lastRenderedPageBreak/>
        <w:t xml:space="preserve">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C522FA" w:rsidRDefault="00AE5B6F" w:rsidP="00B04033">
      <w:pPr>
        <w:pStyle w:val="ListParagraph"/>
        <w:numPr>
          <w:ilvl w:val="0"/>
          <w:numId w:val="1"/>
        </w:numPr>
        <w:ind w:left="426"/>
        <w:jc w:val="both"/>
        <w:rPr>
          <w:rFonts w:ascii="Avenir Next" w:hAnsi="Avenir Next" w:cs="Arial"/>
          <w:sz w:val="22"/>
          <w:szCs w:val="22"/>
          <w:highlight w:val="yellow"/>
          <w:lang w:val="en-GB"/>
        </w:rPr>
      </w:pPr>
      <w:r w:rsidRPr="00C522FA">
        <w:rPr>
          <w:rFonts w:ascii="Avenir Next" w:hAnsi="Avenir Next" w:cs="Arial"/>
          <w:sz w:val="22"/>
          <w:szCs w:val="22"/>
          <w:highlight w:val="yellow"/>
          <w:lang w:val="en-GB"/>
        </w:rPr>
        <w:t>w</w:t>
      </w:r>
      <w:r w:rsidR="00C91062" w:rsidRPr="00C522FA">
        <w:rPr>
          <w:rFonts w:ascii="Avenir Next" w:hAnsi="Avenir Next" w:cs="Arial"/>
          <w:sz w:val="22"/>
          <w:szCs w:val="22"/>
          <w:highlight w:val="yellow"/>
          <w:lang w:val="en-GB"/>
        </w:rPr>
        <w:t>ithin 8 weeks of the commencement of the administration</w:t>
      </w:r>
      <w:r w:rsidR="00763348" w:rsidRPr="00C522FA">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522FA" w:rsidRDefault="00E443D7" w:rsidP="00B04033">
      <w:pPr>
        <w:pStyle w:val="ListParagraph"/>
        <w:numPr>
          <w:ilvl w:val="0"/>
          <w:numId w:val="2"/>
        </w:numPr>
        <w:ind w:left="426"/>
        <w:jc w:val="both"/>
        <w:rPr>
          <w:rFonts w:ascii="Avenir Next" w:hAnsi="Avenir Next" w:cs="Arial"/>
          <w:sz w:val="22"/>
          <w:szCs w:val="22"/>
          <w:highlight w:val="yellow"/>
          <w:lang w:val="en-GB"/>
        </w:rPr>
      </w:pPr>
      <w:r w:rsidRPr="00C522FA">
        <w:rPr>
          <w:rFonts w:ascii="Avenir Next" w:hAnsi="Avenir Next" w:cs="Arial"/>
          <w:sz w:val="22"/>
          <w:szCs w:val="22"/>
          <w:highlight w:val="yellow"/>
          <w:lang w:val="en-GB"/>
        </w:rPr>
        <w:t>One year</w:t>
      </w:r>
      <w:r w:rsidR="00763348" w:rsidRPr="00C522FA">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522FA" w:rsidRDefault="00AE5B6F" w:rsidP="00B04033">
      <w:pPr>
        <w:pStyle w:val="ListParagraph"/>
        <w:numPr>
          <w:ilvl w:val="0"/>
          <w:numId w:val="3"/>
        </w:numPr>
        <w:ind w:left="426"/>
        <w:jc w:val="both"/>
        <w:rPr>
          <w:rFonts w:ascii="Avenir Next" w:hAnsi="Avenir Next" w:cs="Arial"/>
          <w:sz w:val="22"/>
          <w:szCs w:val="22"/>
          <w:highlight w:val="yellow"/>
          <w:lang w:val="en-GB"/>
        </w:rPr>
      </w:pPr>
      <w:r w:rsidRPr="00C522FA">
        <w:rPr>
          <w:rFonts w:ascii="Avenir Next" w:hAnsi="Avenir Next" w:cs="Arial"/>
          <w:sz w:val="22"/>
          <w:szCs w:val="22"/>
          <w:highlight w:val="yellow"/>
          <w:lang w:val="en-GB"/>
        </w:rPr>
        <w:t>T</w:t>
      </w:r>
      <w:r w:rsidR="008D1616" w:rsidRPr="00C522FA">
        <w:rPr>
          <w:rFonts w:ascii="Avenir Next" w:hAnsi="Avenir Next" w:cs="Arial"/>
          <w:sz w:val="22"/>
          <w:szCs w:val="22"/>
          <w:highlight w:val="yellow"/>
          <w:lang w:val="en-GB"/>
        </w:rPr>
        <w:t>he company is, or is likely to become, unable to pay their debts, as defined under s</w:t>
      </w:r>
      <w:r w:rsidR="00E833F4" w:rsidRPr="00C522FA">
        <w:rPr>
          <w:rFonts w:ascii="Avenir Next" w:hAnsi="Avenir Next" w:cs="Arial"/>
          <w:sz w:val="22"/>
          <w:szCs w:val="22"/>
          <w:highlight w:val="yellow"/>
          <w:lang w:val="en-GB"/>
        </w:rPr>
        <w:t>ection</w:t>
      </w:r>
      <w:r w:rsidR="008D1616" w:rsidRPr="00C522FA">
        <w:rPr>
          <w:rFonts w:ascii="Avenir Next" w:hAnsi="Avenir Next" w:cs="Arial"/>
          <w:sz w:val="22"/>
          <w:szCs w:val="22"/>
          <w:highlight w:val="yellow"/>
          <w:lang w:val="en-GB"/>
        </w:rPr>
        <w:t xml:space="preserve"> 123 of the Insolvency Act 1986</w:t>
      </w:r>
      <w:r w:rsidR="00763348" w:rsidRPr="00C522FA">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C522FA">
        <w:rPr>
          <w:rFonts w:ascii="Avenir Next" w:hAnsi="Avenir Next" w:cs="Arial"/>
          <w:sz w:val="22"/>
          <w:szCs w:val="22"/>
          <w:highlight w:val="yellow"/>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522FA" w:rsidRDefault="00BA1CFD" w:rsidP="00B04033">
      <w:pPr>
        <w:pStyle w:val="ListParagraph"/>
        <w:numPr>
          <w:ilvl w:val="0"/>
          <w:numId w:val="5"/>
        </w:numPr>
        <w:ind w:left="426"/>
        <w:jc w:val="both"/>
        <w:rPr>
          <w:rFonts w:ascii="Avenir Next" w:hAnsi="Avenir Next" w:cs="Arial"/>
          <w:sz w:val="22"/>
          <w:szCs w:val="22"/>
          <w:highlight w:val="yellow"/>
          <w:lang w:val="en-GB"/>
        </w:rPr>
      </w:pPr>
      <w:r w:rsidRPr="00C522FA">
        <w:rPr>
          <w:rFonts w:ascii="Avenir Next" w:hAnsi="Avenir Next" w:cs="Arial"/>
          <w:sz w:val="22"/>
          <w:szCs w:val="22"/>
          <w:highlight w:val="yellow"/>
          <w:lang w:val="en-GB"/>
        </w:rPr>
        <w:t>Administration</w:t>
      </w:r>
      <w:r w:rsidR="00763348" w:rsidRPr="00C522FA">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w:t>
      </w:r>
      <w:r w:rsidRPr="006925C1">
        <w:rPr>
          <w:rFonts w:ascii="Avenir Next" w:hAnsi="Avenir Next" w:cs="Arial"/>
          <w:sz w:val="22"/>
          <w:szCs w:val="22"/>
          <w:lang w:val="en-GB"/>
        </w:rPr>
        <w:lastRenderedPageBreak/>
        <w:t xml:space="preserve">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123C7F" w:rsidRDefault="001F3C98" w:rsidP="00B04033">
      <w:pPr>
        <w:pStyle w:val="ListParagraph"/>
        <w:numPr>
          <w:ilvl w:val="0"/>
          <w:numId w:val="6"/>
        </w:numPr>
        <w:ind w:left="426"/>
        <w:jc w:val="both"/>
        <w:rPr>
          <w:rFonts w:ascii="Avenir Next" w:hAnsi="Avenir Next" w:cs="Arial"/>
          <w:sz w:val="22"/>
          <w:szCs w:val="22"/>
          <w:highlight w:val="yellow"/>
          <w:lang w:val="en-GB"/>
        </w:rPr>
      </w:pPr>
      <w:r w:rsidRPr="00123C7F">
        <w:rPr>
          <w:rFonts w:ascii="Avenir Next" w:hAnsi="Avenir Next" w:cs="Arial"/>
          <w:sz w:val="22"/>
          <w:szCs w:val="22"/>
          <w:highlight w:val="yellow"/>
          <w:lang w:val="en-GB"/>
        </w:rPr>
        <w:t xml:space="preserve">GBP </w:t>
      </w:r>
      <w:r w:rsidR="00BA1CFD" w:rsidRPr="00123C7F">
        <w:rPr>
          <w:rFonts w:ascii="Avenir Next" w:hAnsi="Avenir Next" w:cs="Arial"/>
          <w:sz w:val="22"/>
          <w:szCs w:val="22"/>
          <w:highlight w:val="yellow"/>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2001" w:rsidRDefault="001F3C98" w:rsidP="00B04033">
      <w:pPr>
        <w:pStyle w:val="ListParagraph"/>
        <w:numPr>
          <w:ilvl w:val="0"/>
          <w:numId w:val="6"/>
        </w:numPr>
        <w:ind w:left="426"/>
        <w:jc w:val="both"/>
        <w:rPr>
          <w:rFonts w:ascii="Avenir Next" w:hAnsi="Avenir Next" w:cs="Arial"/>
          <w:sz w:val="22"/>
          <w:szCs w:val="22"/>
          <w:lang w:val="en-GB"/>
        </w:rPr>
      </w:pPr>
      <w:r w:rsidRPr="00212001">
        <w:rPr>
          <w:rFonts w:ascii="Avenir Next" w:hAnsi="Avenir Next" w:cs="Arial"/>
          <w:sz w:val="22"/>
          <w:szCs w:val="22"/>
          <w:lang w:val="en-GB"/>
        </w:rPr>
        <w:t xml:space="preserve">GBP </w:t>
      </w:r>
      <w:r w:rsidR="00BA1CFD" w:rsidRPr="00212001">
        <w:rPr>
          <w:rFonts w:ascii="Avenir Next" w:hAnsi="Avenir Next" w:cs="Arial"/>
          <w:sz w:val="22"/>
          <w:szCs w:val="22"/>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123C7F">
        <w:rPr>
          <w:rFonts w:ascii="Avenir Next" w:hAnsi="Avenir Next" w:cs="Arial"/>
          <w:sz w:val="22"/>
          <w:szCs w:val="22"/>
          <w:highlight w:val="yellow"/>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E32CDD" w:rsidRDefault="00876F56" w:rsidP="00B04033">
      <w:pPr>
        <w:pStyle w:val="ListParagraph"/>
        <w:numPr>
          <w:ilvl w:val="0"/>
          <w:numId w:val="8"/>
        </w:numPr>
        <w:ind w:left="426"/>
        <w:jc w:val="both"/>
        <w:rPr>
          <w:rFonts w:ascii="Avenir Next" w:hAnsi="Avenir Next" w:cs="Arial"/>
          <w:sz w:val="22"/>
          <w:szCs w:val="22"/>
          <w:highlight w:val="yellow"/>
          <w:lang w:val="en-GB"/>
        </w:rPr>
      </w:pPr>
      <w:r w:rsidRPr="00E32CDD">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A1E49" w:rsidRDefault="00E833F4" w:rsidP="00B04033">
      <w:pPr>
        <w:pStyle w:val="ListParagraph"/>
        <w:numPr>
          <w:ilvl w:val="0"/>
          <w:numId w:val="9"/>
        </w:numPr>
        <w:ind w:left="426"/>
        <w:jc w:val="both"/>
        <w:rPr>
          <w:rFonts w:ascii="Avenir Next" w:hAnsi="Avenir Next" w:cs="Arial"/>
          <w:sz w:val="22"/>
          <w:szCs w:val="22"/>
          <w:highlight w:val="yellow"/>
          <w:lang w:val="en-GB"/>
        </w:rPr>
      </w:pPr>
      <w:r w:rsidRPr="009A1E49">
        <w:rPr>
          <w:rFonts w:ascii="Avenir Next" w:hAnsi="Avenir Next" w:cs="Arial"/>
          <w:sz w:val="22"/>
          <w:szCs w:val="22"/>
          <w:highlight w:val="yellow"/>
          <w:lang w:val="en-GB"/>
        </w:rPr>
        <w:t>A</w:t>
      </w:r>
      <w:r w:rsidR="000D10C6" w:rsidRPr="009A1E4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9A1E49" w:rsidRDefault="00AC317D" w:rsidP="00AE5B6F">
      <w:pPr>
        <w:pStyle w:val="ListParagraph"/>
        <w:numPr>
          <w:ilvl w:val="0"/>
          <w:numId w:val="9"/>
        </w:numPr>
        <w:ind w:left="426"/>
        <w:jc w:val="both"/>
        <w:rPr>
          <w:rFonts w:ascii="Avenir Next" w:hAnsi="Avenir Next" w:cs="Arial"/>
          <w:sz w:val="22"/>
          <w:szCs w:val="22"/>
          <w:lang w:val="en-GB"/>
        </w:rPr>
      </w:pPr>
      <w:r w:rsidRPr="009A1E49">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9A1E49" w:rsidRDefault="0020204E" w:rsidP="00B04033">
      <w:pPr>
        <w:pStyle w:val="ListParagraph"/>
        <w:numPr>
          <w:ilvl w:val="0"/>
          <w:numId w:val="10"/>
        </w:numPr>
        <w:ind w:left="426"/>
        <w:jc w:val="both"/>
        <w:rPr>
          <w:rFonts w:ascii="Avenir Next" w:hAnsi="Avenir Next" w:cs="Arial"/>
          <w:sz w:val="22"/>
          <w:szCs w:val="22"/>
          <w:highlight w:val="yellow"/>
          <w:lang w:val="en-GB"/>
        </w:rPr>
      </w:pPr>
      <w:r w:rsidRPr="009A1E49">
        <w:rPr>
          <w:rFonts w:ascii="Avenir Next" w:hAnsi="Avenir Next" w:cs="Arial"/>
          <w:sz w:val="22"/>
          <w:szCs w:val="22"/>
          <w:highlight w:val="yellow"/>
          <w:lang w:val="en-GB"/>
        </w:rPr>
        <w:t>12 months</w:t>
      </w:r>
      <w:r w:rsidR="00763348" w:rsidRPr="009A1E49">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58A72A4A" w:rsidR="00241FA3"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200E2C6E" w14:textId="5ACB3FBE" w:rsidR="006E0B32" w:rsidRDefault="006E0B32" w:rsidP="00AC317D">
      <w:pPr>
        <w:jc w:val="both"/>
        <w:rPr>
          <w:rFonts w:ascii="Avenir Next" w:hAnsi="Avenir Next" w:cs="Arial"/>
          <w:sz w:val="22"/>
          <w:szCs w:val="22"/>
          <w:lang w:val="en-GB"/>
        </w:rPr>
      </w:pPr>
    </w:p>
    <w:p w14:paraId="3BBFAC96" w14:textId="352A9179" w:rsidR="0020090A" w:rsidRDefault="006E0B32" w:rsidP="00ED673B">
      <w:pPr>
        <w:pStyle w:val="ListParagraph"/>
        <w:numPr>
          <w:ilvl w:val="0"/>
          <w:numId w:val="18"/>
        </w:numPr>
        <w:ind w:left="720"/>
        <w:jc w:val="both"/>
        <w:rPr>
          <w:rFonts w:ascii="Avenir Next" w:hAnsi="Avenir Next" w:cs="Arial"/>
          <w:sz w:val="22"/>
          <w:szCs w:val="22"/>
          <w:lang w:val="en-GB"/>
        </w:rPr>
      </w:pPr>
      <w:r w:rsidRPr="003A56E4">
        <w:rPr>
          <w:rFonts w:ascii="Avenir Next" w:hAnsi="Avenir Next" w:cs="Arial"/>
          <w:sz w:val="22"/>
          <w:szCs w:val="22"/>
          <w:lang w:val="en-GB"/>
        </w:rPr>
        <w:t xml:space="preserve">Under section </w:t>
      </w:r>
      <w:r w:rsidR="003A56E4" w:rsidRPr="003A56E4">
        <w:rPr>
          <w:rFonts w:ascii="Avenir Next" w:hAnsi="Avenir Next" w:cs="Arial"/>
          <w:sz w:val="22"/>
          <w:szCs w:val="22"/>
          <w:lang w:val="en-GB"/>
        </w:rPr>
        <w:t>423 of the Insolvency Act 1986, if the company is being wound up or is in administration, then the official receiver, the liquidator, the administrator, or any victim of the transaction can b</w:t>
      </w:r>
      <w:r w:rsidR="003A56E4">
        <w:rPr>
          <w:rFonts w:ascii="Avenir Next" w:hAnsi="Avenir Next" w:cs="Arial"/>
          <w:sz w:val="22"/>
          <w:szCs w:val="22"/>
          <w:lang w:val="en-GB"/>
        </w:rPr>
        <w:t>ring</w:t>
      </w:r>
      <w:r w:rsidR="003A56E4" w:rsidRPr="003A56E4">
        <w:rPr>
          <w:rFonts w:ascii="Avenir Next" w:hAnsi="Avenir Next" w:cs="Arial"/>
          <w:sz w:val="22"/>
          <w:szCs w:val="22"/>
          <w:lang w:val="en-GB"/>
        </w:rPr>
        <w:t xml:space="preserve"> action on the company. </w:t>
      </w:r>
      <w:r w:rsidR="003A56E4">
        <w:rPr>
          <w:rFonts w:ascii="Avenir Next" w:hAnsi="Avenir Next" w:cs="Arial"/>
          <w:sz w:val="22"/>
          <w:szCs w:val="22"/>
          <w:lang w:val="en-GB"/>
        </w:rPr>
        <w:t>In any other case, a victim of the court can also bring action, and if the victim is bound by CVA then the supervisor of the CVA can also being action.</w:t>
      </w:r>
    </w:p>
    <w:p w14:paraId="3D1B928B" w14:textId="348F5B33" w:rsidR="003A56E4" w:rsidRDefault="003A56E4" w:rsidP="00ED673B">
      <w:pPr>
        <w:pStyle w:val="ListParagraph"/>
        <w:numPr>
          <w:ilvl w:val="0"/>
          <w:numId w:val="18"/>
        </w:numPr>
        <w:ind w:left="720"/>
        <w:jc w:val="both"/>
        <w:rPr>
          <w:rFonts w:ascii="Avenir Next" w:hAnsi="Avenir Next" w:cs="Arial"/>
          <w:sz w:val="22"/>
          <w:szCs w:val="22"/>
          <w:lang w:val="en-GB"/>
        </w:rPr>
      </w:pPr>
      <w:r>
        <w:rPr>
          <w:rFonts w:ascii="Avenir Next" w:hAnsi="Avenir Next" w:cs="Arial"/>
          <w:sz w:val="22"/>
          <w:szCs w:val="22"/>
          <w:lang w:val="en-GB"/>
        </w:rPr>
        <w:t xml:space="preserve">Under section 6 of the Company Directors Disqualification Act 1986, </w:t>
      </w:r>
      <w:r w:rsidR="00DC4B8F">
        <w:rPr>
          <w:rFonts w:ascii="Avenir Next" w:hAnsi="Avenir Next" w:cs="Arial"/>
          <w:sz w:val="22"/>
          <w:szCs w:val="22"/>
          <w:lang w:val="en-GB"/>
        </w:rPr>
        <w:t>the court normally takes the action against a person, but it is also possible for the Secretary of State to accept the disqualification undertaking.</w:t>
      </w:r>
    </w:p>
    <w:p w14:paraId="73742202" w14:textId="47CFAF74" w:rsidR="00DC4B8F" w:rsidRPr="003A56E4" w:rsidRDefault="00DC4B8F" w:rsidP="00ED673B">
      <w:pPr>
        <w:pStyle w:val="ListParagraph"/>
        <w:numPr>
          <w:ilvl w:val="0"/>
          <w:numId w:val="18"/>
        </w:numPr>
        <w:ind w:left="720"/>
        <w:jc w:val="both"/>
        <w:rPr>
          <w:rFonts w:ascii="Avenir Next" w:hAnsi="Avenir Next" w:cs="Arial"/>
          <w:sz w:val="22"/>
          <w:szCs w:val="22"/>
          <w:lang w:val="en-GB"/>
        </w:rPr>
      </w:pPr>
      <w:r>
        <w:rPr>
          <w:rFonts w:ascii="Avenir Next" w:hAnsi="Avenir Next" w:cs="Arial"/>
          <w:sz w:val="22"/>
          <w:szCs w:val="22"/>
          <w:lang w:val="en-GB"/>
        </w:rPr>
        <w:t xml:space="preserve">Under section 246ZB of the Insolvency Act 1986, </w:t>
      </w:r>
      <w:r w:rsidR="007707E8">
        <w:rPr>
          <w:rFonts w:ascii="Avenir Next" w:hAnsi="Avenir Next" w:cs="Arial"/>
          <w:sz w:val="22"/>
          <w:szCs w:val="22"/>
          <w:lang w:val="en-GB"/>
        </w:rPr>
        <w:t xml:space="preserve">wrongful and fraudulent trading actions are available to both the liquidator and administrator of a company.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5963339F" w:rsidR="008B58D5"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4DC03ECA" w14:textId="6335B807" w:rsidR="009701A4" w:rsidRDefault="009701A4" w:rsidP="008B58D5">
      <w:pPr>
        <w:jc w:val="both"/>
        <w:rPr>
          <w:rFonts w:ascii="Avenir Next" w:hAnsi="Avenir Next" w:cs="Arial"/>
          <w:sz w:val="22"/>
          <w:szCs w:val="22"/>
          <w:lang w:val="en-GB"/>
        </w:rPr>
      </w:pPr>
    </w:p>
    <w:p w14:paraId="338DDF75" w14:textId="7C4F72E8" w:rsidR="007707E8" w:rsidRDefault="009701A4" w:rsidP="008B58D5">
      <w:pPr>
        <w:jc w:val="both"/>
        <w:rPr>
          <w:rFonts w:ascii="Avenir Next" w:hAnsi="Avenir Next" w:cs="Arial"/>
          <w:sz w:val="22"/>
          <w:szCs w:val="22"/>
          <w:lang w:val="en-GB"/>
        </w:rPr>
      </w:pPr>
      <w:r>
        <w:rPr>
          <w:rFonts w:ascii="Avenir Next" w:hAnsi="Avenir Next" w:cs="Arial"/>
          <w:sz w:val="22"/>
          <w:szCs w:val="22"/>
          <w:lang w:val="en-GB"/>
        </w:rPr>
        <w:t>Some of the debts which do not form part of the payment holiday are as follows:</w:t>
      </w:r>
    </w:p>
    <w:p w14:paraId="0DB4554E" w14:textId="5FC84759" w:rsidR="007707E8" w:rsidRDefault="009701A4" w:rsidP="009701A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Debts owed to employees </w:t>
      </w:r>
    </w:p>
    <w:p w14:paraId="1C11291E" w14:textId="75558F5B" w:rsidR="009701A4" w:rsidRDefault="009701A4" w:rsidP="009701A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Certain unsecured debts which can also be known as ‘super priority’ debts</w:t>
      </w:r>
    </w:p>
    <w:p w14:paraId="6E697C09" w14:textId="0FAA8F7B" w:rsidR="009701A4" w:rsidRDefault="009701A4" w:rsidP="009701A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Unsecured (or secured) pre-Moratorium bank debt</w:t>
      </w:r>
    </w:p>
    <w:p w14:paraId="1D4F16E3" w14:textId="05F1E7B3" w:rsidR="009701A4" w:rsidRDefault="009701A4" w:rsidP="009701A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Financial services debts</w:t>
      </w:r>
    </w:p>
    <w:p w14:paraId="2C527A32" w14:textId="6F46DEEC" w:rsidR="009701A4" w:rsidRPr="009701A4" w:rsidRDefault="009701A4" w:rsidP="009701A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Payment to financial creditors who are demanding payment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046EDB4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BDF0EE2" w14:textId="274AB0A5" w:rsidR="00397E13" w:rsidRDefault="00397E13" w:rsidP="00FA417D">
      <w:pPr>
        <w:jc w:val="both"/>
        <w:rPr>
          <w:rFonts w:ascii="Avenir Next" w:hAnsi="Avenir Next" w:cs="Arial"/>
          <w:sz w:val="22"/>
          <w:szCs w:val="22"/>
          <w:lang w:val="en-GB"/>
        </w:rPr>
      </w:pPr>
    </w:p>
    <w:p w14:paraId="77677AC9" w14:textId="629268B0" w:rsidR="00397E13" w:rsidRDefault="00397E13" w:rsidP="00FA417D">
      <w:pPr>
        <w:jc w:val="both"/>
        <w:rPr>
          <w:rFonts w:ascii="Avenir Next" w:hAnsi="Avenir Next" w:cs="Arial"/>
          <w:sz w:val="22"/>
          <w:szCs w:val="22"/>
          <w:lang w:val="en-GB"/>
        </w:rPr>
      </w:pPr>
      <w:r>
        <w:rPr>
          <w:rFonts w:ascii="Avenir Next" w:hAnsi="Avenir Next" w:cs="Arial"/>
          <w:sz w:val="22"/>
          <w:szCs w:val="22"/>
          <w:lang w:val="en-GB"/>
        </w:rPr>
        <w:t>Under Section 233 of the Act, administrators are allowed to ask suppliers to continue providing for good and supplies. These goods and supplies include point of sale terminals, computer hardware and software, information, advice, and technical assistance, website hosting, and data storage and processing.</w:t>
      </w:r>
    </w:p>
    <w:p w14:paraId="25C718C8" w14:textId="1E70B97D" w:rsidR="00397E13" w:rsidRDefault="00397E13" w:rsidP="00FA417D">
      <w:pPr>
        <w:jc w:val="both"/>
        <w:rPr>
          <w:rFonts w:ascii="Avenir Next" w:hAnsi="Avenir Next" w:cs="Arial"/>
          <w:sz w:val="22"/>
          <w:szCs w:val="22"/>
          <w:lang w:val="en-GB"/>
        </w:rPr>
      </w:pPr>
      <w:r>
        <w:rPr>
          <w:rFonts w:ascii="Avenir Next" w:hAnsi="Avenir Next" w:cs="Arial"/>
          <w:sz w:val="22"/>
          <w:szCs w:val="22"/>
          <w:lang w:val="en-GB"/>
        </w:rPr>
        <w:t xml:space="preserve">However, the suppliers cannot require the payment of previous debts in order to provide for continued or new goods and services. They also cannot rely on an ‘insolvency-related term’ which would allow the supplier to terminate the supply or alter the terms and request for higher payments. </w:t>
      </w:r>
    </w:p>
    <w:p w14:paraId="6588C4DA" w14:textId="77777777" w:rsidR="00397E13" w:rsidRDefault="00397E13" w:rsidP="00FA417D">
      <w:pPr>
        <w:jc w:val="both"/>
        <w:rPr>
          <w:rFonts w:ascii="Avenir Next" w:hAnsi="Avenir Next" w:cs="Arial"/>
          <w:sz w:val="22"/>
          <w:szCs w:val="22"/>
          <w:lang w:val="en-GB"/>
        </w:rPr>
      </w:pPr>
    </w:p>
    <w:p w14:paraId="49187C52" w14:textId="6E9D2A68" w:rsidR="00397E13" w:rsidRPr="006925C1" w:rsidRDefault="00397E13" w:rsidP="00FA417D">
      <w:pPr>
        <w:jc w:val="both"/>
        <w:rPr>
          <w:rFonts w:ascii="Avenir Next" w:hAnsi="Avenir Next" w:cs="Arial"/>
          <w:sz w:val="22"/>
          <w:szCs w:val="22"/>
          <w:lang w:val="en-GB"/>
        </w:rPr>
      </w:pPr>
      <w:r>
        <w:rPr>
          <w:rFonts w:ascii="Avenir Next" w:hAnsi="Avenir Next" w:cs="Arial"/>
          <w:sz w:val="22"/>
          <w:szCs w:val="22"/>
          <w:lang w:val="en-GB"/>
        </w:rPr>
        <w:t>The administrator must, however, personally guarantee payment of the charges to the supplier in respect of the supply.</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3DAA6780" w14:textId="2D7ED0FF" w:rsidR="00962045" w:rsidRDefault="00087F21" w:rsidP="002A37BB">
      <w:pPr>
        <w:jc w:val="both"/>
        <w:rPr>
          <w:rFonts w:ascii="Avenir Next" w:hAnsi="Avenir Next" w:cs="Arial"/>
          <w:sz w:val="22"/>
          <w:szCs w:val="22"/>
        </w:rPr>
      </w:pPr>
      <w:r w:rsidRPr="006925C1">
        <w:rPr>
          <w:rFonts w:ascii="Avenir Next" w:hAnsi="Avenir Next" w:cs="Arial"/>
          <w:sz w:val="22"/>
          <w:szCs w:val="22"/>
          <w:lang w:val="en-GB"/>
        </w:rPr>
        <w:lastRenderedPageBreak/>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7524A03F" w14:textId="19249A62" w:rsidR="00397E13" w:rsidRDefault="00397E13" w:rsidP="002A37BB">
      <w:pPr>
        <w:jc w:val="both"/>
        <w:rPr>
          <w:rFonts w:ascii="Avenir Next" w:hAnsi="Avenir Next" w:cs="Arial"/>
          <w:sz w:val="22"/>
          <w:szCs w:val="22"/>
        </w:rPr>
      </w:pPr>
    </w:p>
    <w:p w14:paraId="1C6D7135" w14:textId="3B13372C" w:rsidR="00115992" w:rsidRPr="00115992" w:rsidRDefault="00115992" w:rsidP="002A37BB">
      <w:pPr>
        <w:jc w:val="both"/>
        <w:rPr>
          <w:rFonts w:ascii="Avenir Next" w:hAnsi="Avenir Next" w:cs="Arial"/>
          <w:b/>
          <w:bCs/>
          <w:sz w:val="22"/>
          <w:szCs w:val="22"/>
        </w:rPr>
      </w:pPr>
      <w:r>
        <w:rPr>
          <w:rFonts w:ascii="Avenir Next" w:hAnsi="Avenir Next" w:cs="Arial"/>
          <w:b/>
          <w:bCs/>
          <w:sz w:val="22"/>
          <w:szCs w:val="22"/>
        </w:rPr>
        <w:t>Expenses of the winding-up process</w:t>
      </w:r>
    </w:p>
    <w:p w14:paraId="26AF8726" w14:textId="5420AA88" w:rsidR="00567DD5" w:rsidRDefault="00567DD5" w:rsidP="002A37BB">
      <w:pPr>
        <w:jc w:val="both"/>
        <w:rPr>
          <w:rFonts w:ascii="Avenir Next" w:hAnsi="Avenir Next" w:cs="Arial"/>
          <w:sz w:val="22"/>
          <w:szCs w:val="22"/>
        </w:rPr>
      </w:pPr>
      <w:r>
        <w:rPr>
          <w:rFonts w:ascii="Avenir Next" w:hAnsi="Avenir Next" w:cs="Arial"/>
          <w:sz w:val="22"/>
          <w:szCs w:val="22"/>
        </w:rPr>
        <w:t xml:space="preserve">The first payments that will be made will be the expenses of the winding up process. </w:t>
      </w:r>
      <w:r w:rsidR="00115992">
        <w:rPr>
          <w:rFonts w:ascii="Avenir Next" w:hAnsi="Avenir Next" w:cs="Arial"/>
          <w:sz w:val="22"/>
          <w:szCs w:val="22"/>
        </w:rPr>
        <w:t>These expenses are given priority over any other payment. They are the costs incurred by the liquidator in the process of the liquidation of the company. They also include the payment to the liquidator for their duties.</w:t>
      </w:r>
    </w:p>
    <w:p w14:paraId="7FD78001" w14:textId="0956A838" w:rsidR="00115992" w:rsidRDefault="00115992" w:rsidP="002A37BB">
      <w:pPr>
        <w:jc w:val="both"/>
        <w:rPr>
          <w:rFonts w:ascii="Avenir Next" w:hAnsi="Avenir Next" w:cs="Arial"/>
          <w:sz w:val="22"/>
          <w:szCs w:val="22"/>
        </w:rPr>
      </w:pPr>
    </w:p>
    <w:p w14:paraId="5C801793" w14:textId="1F9AFDC4" w:rsidR="00115992" w:rsidRDefault="00115992" w:rsidP="002A37BB">
      <w:pPr>
        <w:jc w:val="both"/>
        <w:rPr>
          <w:rFonts w:ascii="Avenir Next" w:hAnsi="Avenir Next" w:cs="Arial"/>
          <w:b/>
          <w:bCs/>
          <w:sz w:val="22"/>
          <w:szCs w:val="22"/>
        </w:rPr>
      </w:pPr>
      <w:r>
        <w:rPr>
          <w:rFonts w:ascii="Avenir Next" w:hAnsi="Avenir Next" w:cs="Arial"/>
          <w:b/>
          <w:bCs/>
          <w:sz w:val="22"/>
          <w:szCs w:val="22"/>
        </w:rPr>
        <w:t>Preferential creditors</w:t>
      </w:r>
    </w:p>
    <w:p w14:paraId="3EE3AFE7" w14:textId="4CDA7B7F" w:rsidR="00115992" w:rsidRDefault="00115992" w:rsidP="002A37BB">
      <w:pPr>
        <w:jc w:val="both"/>
        <w:rPr>
          <w:rFonts w:ascii="Avenir Next" w:hAnsi="Avenir Next" w:cs="Arial"/>
          <w:sz w:val="22"/>
          <w:szCs w:val="22"/>
        </w:rPr>
      </w:pPr>
      <w:r>
        <w:rPr>
          <w:rFonts w:ascii="Avenir Next" w:hAnsi="Avenir Next" w:cs="Arial"/>
          <w:sz w:val="22"/>
          <w:szCs w:val="22"/>
        </w:rPr>
        <w:t>The preferential creditors are paid next. This category mainly comprises of salaries of employees (up to $2,500 per employee) and outstanding tax payments to the Crown.</w:t>
      </w:r>
    </w:p>
    <w:p w14:paraId="18060C51" w14:textId="74C08715" w:rsidR="00115992" w:rsidRDefault="00115992" w:rsidP="002A37BB">
      <w:pPr>
        <w:jc w:val="both"/>
        <w:rPr>
          <w:rFonts w:ascii="Avenir Next" w:hAnsi="Avenir Next" w:cs="Arial"/>
          <w:sz w:val="22"/>
          <w:szCs w:val="22"/>
        </w:rPr>
      </w:pPr>
      <w:r>
        <w:rPr>
          <w:rFonts w:ascii="Avenir Next" w:hAnsi="Avenir Next" w:cs="Arial"/>
          <w:sz w:val="22"/>
          <w:szCs w:val="22"/>
        </w:rPr>
        <w:t xml:space="preserve"> </w:t>
      </w:r>
    </w:p>
    <w:p w14:paraId="190B2991" w14:textId="6735CE2B" w:rsidR="00115992" w:rsidRDefault="00115992" w:rsidP="002A37BB">
      <w:pPr>
        <w:jc w:val="both"/>
        <w:rPr>
          <w:rFonts w:ascii="Avenir Next" w:hAnsi="Avenir Next" w:cs="Arial"/>
          <w:b/>
          <w:bCs/>
          <w:sz w:val="22"/>
          <w:szCs w:val="22"/>
        </w:rPr>
      </w:pPr>
      <w:r>
        <w:rPr>
          <w:rFonts w:ascii="Avenir Next" w:hAnsi="Avenir Next" w:cs="Arial"/>
          <w:b/>
          <w:bCs/>
          <w:sz w:val="22"/>
          <w:szCs w:val="22"/>
        </w:rPr>
        <w:t>Floating charge holder and the ‘prescribed part’</w:t>
      </w:r>
    </w:p>
    <w:p w14:paraId="40EA6559" w14:textId="61E9AC12" w:rsidR="00FA3983" w:rsidRDefault="00FA3983" w:rsidP="002A37BB">
      <w:pPr>
        <w:jc w:val="both"/>
        <w:rPr>
          <w:rFonts w:ascii="Avenir Next" w:hAnsi="Avenir Next" w:cs="Arial"/>
          <w:sz w:val="22"/>
          <w:szCs w:val="22"/>
        </w:rPr>
      </w:pPr>
      <w:r>
        <w:rPr>
          <w:rFonts w:ascii="Avenir Next" w:hAnsi="Avenir Next" w:cs="Arial"/>
          <w:sz w:val="22"/>
          <w:szCs w:val="22"/>
        </w:rPr>
        <w:t>After the first two payments are made, the liquidator will then assess the ‘net property’ of the company and assign part of this to be paid to the unsecured creditors. The remaining would be distributed to the floating charge holders. However, if the liquidators thinks that distributing to the unsecured creditors would be disproportionate to the benefits of the floating charge holder, then the prescribed part does not apply.</w:t>
      </w:r>
    </w:p>
    <w:p w14:paraId="534D657A" w14:textId="77777777" w:rsidR="00FA3983" w:rsidRDefault="00FA3983" w:rsidP="002A37BB">
      <w:pPr>
        <w:jc w:val="both"/>
        <w:rPr>
          <w:rFonts w:ascii="Avenir Next" w:hAnsi="Avenir Next" w:cs="Arial"/>
          <w:sz w:val="22"/>
          <w:szCs w:val="22"/>
        </w:rPr>
      </w:pPr>
    </w:p>
    <w:p w14:paraId="58A03CF0" w14:textId="5B3AD854" w:rsidR="00FA3983" w:rsidRDefault="00FA3983" w:rsidP="002A37BB">
      <w:pPr>
        <w:jc w:val="both"/>
        <w:rPr>
          <w:rFonts w:ascii="Avenir Next" w:hAnsi="Avenir Next" w:cs="Arial"/>
          <w:sz w:val="22"/>
          <w:szCs w:val="22"/>
        </w:rPr>
      </w:pPr>
      <w:r>
        <w:rPr>
          <w:rFonts w:ascii="Avenir Next" w:hAnsi="Avenir Next" w:cs="Arial"/>
          <w:sz w:val="22"/>
          <w:szCs w:val="22"/>
        </w:rPr>
        <w:t>There are also cases where there is more than one floating charge holder. When this is the case, priority is given to the floating charge that was created first.</w:t>
      </w:r>
    </w:p>
    <w:p w14:paraId="7B89F4A4" w14:textId="767B2785" w:rsidR="00FA3983" w:rsidRDefault="00FA3983" w:rsidP="002A37BB">
      <w:pPr>
        <w:jc w:val="both"/>
        <w:rPr>
          <w:rFonts w:ascii="Avenir Next" w:hAnsi="Avenir Next" w:cs="Arial"/>
          <w:sz w:val="22"/>
          <w:szCs w:val="22"/>
        </w:rPr>
      </w:pPr>
    </w:p>
    <w:p w14:paraId="6DA8018A" w14:textId="2E12B1A6" w:rsidR="00FA3983" w:rsidRDefault="001944B6" w:rsidP="002A37BB">
      <w:pPr>
        <w:jc w:val="both"/>
        <w:rPr>
          <w:rFonts w:ascii="Avenir Next" w:hAnsi="Avenir Next" w:cs="Arial"/>
          <w:b/>
          <w:bCs/>
          <w:sz w:val="22"/>
          <w:szCs w:val="22"/>
        </w:rPr>
      </w:pPr>
      <w:r>
        <w:rPr>
          <w:rFonts w:ascii="Avenir Next" w:hAnsi="Avenir Next" w:cs="Arial"/>
          <w:b/>
          <w:bCs/>
          <w:sz w:val="22"/>
          <w:szCs w:val="22"/>
        </w:rPr>
        <w:t>Unsecured Creditors</w:t>
      </w:r>
    </w:p>
    <w:p w14:paraId="1E35FB88" w14:textId="26AD43A0" w:rsidR="001944B6" w:rsidRDefault="001944B6" w:rsidP="002A37BB">
      <w:pPr>
        <w:jc w:val="both"/>
        <w:rPr>
          <w:rFonts w:ascii="Avenir Next" w:hAnsi="Avenir Next" w:cs="Arial"/>
          <w:sz w:val="22"/>
          <w:szCs w:val="22"/>
        </w:rPr>
      </w:pPr>
      <w:r>
        <w:rPr>
          <w:rFonts w:ascii="Avenir Next" w:hAnsi="Avenir Next" w:cs="Arial"/>
          <w:sz w:val="22"/>
          <w:szCs w:val="22"/>
        </w:rPr>
        <w:t>Unsecured creditors are often paid last in the order. As such, once the payments have been made to the above, there is often little to nothing left to pay as a dividend to the unsecured creditors.</w:t>
      </w:r>
    </w:p>
    <w:p w14:paraId="6008269E" w14:textId="33BE5EE7" w:rsidR="001944B6" w:rsidRDefault="001944B6" w:rsidP="002A37BB">
      <w:pPr>
        <w:jc w:val="both"/>
        <w:rPr>
          <w:rFonts w:ascii="Avenir Next" w:hAnsi="Avenir Next" w:cs="Arial"/>
          <w:sz w:val="22"/>
          <w:szCs w:val="22"/>
        </w:rPr>
      </w:pPr>
    </w:p>
    <w:p w14:paraId="0FBF7E86" w14:textId="66B5AB4F" w:rsidR="001944B6" w:rsidRDefault="001944B6" w:rsidP="002A37BB">
      <w:pPr>
        <w:jc w:val="both"/>
        <w:rPr>
          <w:rFonts w:ascii="Avenir Next" w:hAnsi="Avenir Next" w:cs="Arial"/>
          <w:b/>
          <w:bCs/>
          <w:sz w:val="22"/>
          <w:szCs w:val="22"/>
        </w:rPr>
      </w:pPr>
      <w:r>
        <w:rPr>
          <w:rFonts w:ascii="Avenir Next" w:hAnsi="Avenir Next" w:cs="Arial"/>
          <w:b/>
          <w:bCs/>
          <w:sz w:val="22"/>
          <w:szCs w:val="22"/>
        </w:rPr>
        <w:t>Shareholders</w:t>
      </w:r>
    </w:p>
    <w:p w14:paraId="142EF1F2" w14:textId="2550DA29" w:rsidR="001944B6" w:rsidRDefault="001944B6" w:rsidP="002A37BB">
      <w:pPr>
        <w:jc w:val="both"/>
        <w:rPr>
          <w:rFonts w:ascii="Avenir Next" w:hAnsi="Avenir Next" w:cs="Arial"/>
          <w:sz w:val="22"/>
          <w:szCs w:val="22"/>
        </w:rPr>
      </w:pPr>
      <w:r>
        <w:rPr>
          <w:rFonts w:ascii="Avenir Next" w:hAnsi="Avenir Next" w:cs="Arial"/>
          <w:sz w:val="22"/>
          <w:szCs w:val="22"/>
        </w:rPr>
        <w:t>If there is any surplus from the funds once all the creditors have been paid, then the shareholders will be paid in a pro-rata basis, in respect to their shareholdings.</w:t>
      </w:r>
    </w:p>
    <w:p w14:paraId="29CE2951" w14:textId="71B80B32" w:rsidR="001944B6" w:rsidRDefault="001944B6" w:rsidP="002A37BB">
      <w:pPr>
        <w:jc w:val="both"/>
        <w:rPr>
          <w:rFonts w:ascii="Avenir Next" w:hAnsi="Avenir Next" w:cs="Arial"/>
          <w:sz w:val="22"/>
          <w:szCs w:val="22"/>
        </w:rPr>
      </w:pPr>
    </w:p>
    <w:p w14:paraId="6B3D85E0" w14:textId="77777777" w:rsidR="001944B6" w:rsidRDefault="001944B6" w:rsidP="002A37BB">
      <w:pPr>
        <w:jc w:val="both"/>
        <w:rPr>
          <w:rFonts w:ascii="Avenir Next" w:hAnsi="Avenir Next" w:cs="Arial"/>
          <w:b/>
          <w:bCs/>
          <w:sz w:val="22"/>
          <w:szCs w:val="22"/>
        </w:rPr>
      </w:pPr>
    </w:p>
    <w:p w14:paraId="3929F21A" w14:textId="77777777" w:rsidR="001944B6" w:rsidRDefault="001944B6" w:rsidP="002A37BB">
      <w:pPr>
        <w:jc w:val="both"/>
        <w:rPr>
          <w:rFonts w:ascii="Avenir Next" w:hAnsi="Avenir Next" w:cs="Arial"/>
          <w:b/>
          <w:bCs/>
          <w:sz w:val="22"/>
          <w:szCs w:val="22"/>
        </w:rPr>
      </w:pPr>
    </w:p>
    <w:p w14:paraId="3C9272A7" w14:textId="3245C1D6" w:rsidR="001944B6" w:rsidRDefault="001944B6" w:rsidP="002A37BB">
      <w:pPr>
        <w:jc w:val="both"/>
        <w:rPr>
          <w:rFonts w:ascii="Avenir Next" w:hAnsi="Avenir Next" w:cs="Arial"/>
          <w:b/>
          <w:bCs/>
          <w:sz w:val="22"/>
          <w:szCs w:val="22"/>
        </w:rPr>
      </w:pPr>
      <w:r>
        <w:rPr>
          <w:rFonts w:ascii="Avenir Next" w:hAnsi="Avenir Next" w:cs="Arial"/>
          <w:b/>
          <w:bCs/>
          <w:sz w:val="22"/>
          <w:szCs w:val="22"/>
        </w:rPr>
        <w:t>Change due to Moratorium</w:t>
      </w:r>
    </w:p>
    <w:p w14:paraId="38EAE932" w14:textId="3506478D" w:rsidR="001944B6" w:rsidRPr="001944B6" w:rsidRDefault="001944B6" w:rsidP="002A37BB">
      <w:pPr>
        <w:jc w:val="both"/>
        <w:rPr>
          <w:rFonts w:ascii="Avenir Next" w:hAnsi="Avenir Next" w:cs="Arial"/>
          <w:sz w:val="22"/>
          <w:szCs w:val="22"/>
        </w:rPr>
      </w:pPr>
      <w:r>
        <w:rPr>
          <w:rFonts w:ascii="Avenir Next" w:hAnsi="Avenir Next" w:cs="Arial"/>
          <w:sz w:val="22"/>
          <w:szCs w:val="22"/>
        </w:rPr>
        <w:t>If a company enters liquidation within 12 weeks of the end of Moratorium, there might be a slight change in the priority order of the payments. This would be the debts owed to employees or financial services would then be categorized as ‘super priority’ and would be paid even before the liquidator’s expenses and fees.</w:t>
      </w:r>
    </w:p>
    <w:p w14:paraId="337F14C1" w14:textId="77777777" w:rsidR="00567DD5" w:rsidRPr="00397E13" w:rsidRDefault="00567DD5" w:rsidP="002A37BB">
      <w:pPr>
        <w:jc w:val="both"/>
        <w:rPr>
          <w:rFonts w:ascii="Avenir Next" w:hAnsi="Avenir Next" w:cs="Arial"/>
          <w:sz w:val="22"/>
          <w:szCs w:val="22"/>
        </w:rPr>
      </w:pPr>
    </w:p>
    <w:p w14:paraId="55D233AA" w14:textId="77777777" w:rsidR="001944B6" w:rsidRDefault="001944B6" w:rsidP="00087F21">
      <w:pPr>
        <w:jc w:val="both"/>
        <w:rPr>
          <w:rFonts w:ascii="Avenir Next Demi Bold" w:hAnsi="Avenir Next Demi Bold" w:cs="Arial"/>
          <w:b/>
          <w:bCs/>
          <w:sz w:val="22"/>
          <w:szCs w:val="22"/>
          <w:lang w:val="en-GB"/>
        </w:rPr>
      </w:pPr>
    </w:p>
    <w:p w14:paraId="55C402CC" w14:textId="1939B49A"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74C366AC" w14:textId="4886D21D"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77376D50" w14:textId="6FA59096" w:rsidR="00251F65" w:rsidRDefault="00251F65" w:rsidP="007E2919">
      <w:pPr>
        <w:rPr>
          <w:rFonts w:ascii="Avenir Next" w:hAnsi="Avenir Next" w:cs="Arial"/>
          <w:sz w:val="22"/>
          <w:szCs w:val="22"/>
        </w:rPr>
      </w:pPr>
    </w:p>
    <w:p w14:paraId="7D8EF04C" w14:textId="06F1EAB2" w:rsidR="00251F65" w:rsidRDefault="0002429C" w:rsidP="007E2919">
      <w:pPr>
        <w:rPr>
          <w:rFonts w:ascii="Avenir Next" w:hAnsi="Avenir Next" w:cs="Arial"/>
          <w:sz w:val="22"/>
          <w:szCs w:val="22"/>
        </w:rPr>
      </w:pPr>
      <w:r>
        <w:rPr>
          <w:rFonts w:ascii="Avenir Next" w:hAnsi="Avenir Next" w:cs="Arial"/>
          <w:sz w:val="22"/>
          <w:szCs w:val="22"/>
        </w:rPr>
        <w:t>As the floating charge was created within 12 months of the company going into liquidation, the liquidator will have to identify whether the floating charge is valid or not. The floating charge will be valid only if:</w:t>
      </w:r>
    </w:p>
    <w:p w14:paraId="09C569B6" w14:textId="3C071829" w:rsidR="0002429C" w:rsidRDefault="0002429C" w:rsidP="0002429C">
      <w:pPr>
        <w:pStyle w:val="ListParagraph"/>
        <w:numPr>
          <w:ilvl w:val="0"/>
          <w:numId w:val="22"/>
        </w:numPr>
        <w:rPr>
          <w:rFonts w:ascii="Avenir Next" w:hAnsi="Avenir Next" w:cs="Arial"/>
          <w:sz w:val="22"/>
          <w:szCs w:val="22"/>
        </w:rPr>
      </w:pPr>
      <w:r>
        <w:rPr>
          <w:rFonts w:ascii="Avenir Next" w:hAnsi="Avenir Next" w:cs="Arial"/>
          <w:sz w:val="22"/>
          <w:szCs w:val="22"/>
        </w:rPr>
        <w:t>The value of most of the consideration of the creation of the charge as consists of the money paid, or good or services supplied at the same time as or just after the creation of the charge.</w:t>
      </w:r>
    </w:p>
    <w:p w14:paraId="7736ACB1" w14:textId="24AFDFA1" w:rsidR="0002429C" w:rsidRDefault="0002429C" w:rsidP="0002429C">
      <w:pPr>
        <w:pStyle w:val="ListParagraph"/>
        <w:numPr>
          <w:ilvl w:val="0"/>
          <w:numId w:val="22"/>
        </w:numPr>
        <w:rPr>
          <w:rFonts w:ascii="Avenir Next" w:hAnsi="Avenir Next" w:cs="Arial"/>
          <w:sz w:val="22"/>
          <w:szCs w:val="22"/>
        </w:rPr>
      </w:pPr>
      <w:r>
        <w:rPr>
          <w:rFonts w:ascii="Avenir Next" w:hAnsi="Avenir Next" w:cs="Arial"/>
          <w:sz w:val="22"/>
          <w:szCs w:val="22"/>
        </w:rPr>
        <w:t>The value of most of the consideration as consists of the discharge or reduction</w:t>
      </w:r>
      <w:r w:rsidR="00A5731C">
        <w:rPr>
          <w:rFonts w:ascii="Avenir Next" w:hAnsi="Avenir Next" w:cs="Arial"/>
          <w:sz w:val="22"/>
          <w:szCs w:val="22"/>
        </w:rPr>
        <w:t>, at the same time as, or just after, the creation of the charge.</w:t>
      </w:r>
    </w:p>
    <w:p w14:paraId="0A22F64A" w14:textId="70C9B4E2" w:rsidR="00A5731C" w:rsidRPr="00A5731C" w:rsidRDefault="00A5731C" w:rsidP="00A5731C">
      <w:pPr>
        <w:rPr>
          <w:rFonts w:ascii="Avenir Next" w:hAnsi="Avenir Next" w:cs="Arial"/>
          <w:sz w:val="22"/>
          <w:szCs w:val="22"/>
        </w:rPr>
      </w:pPr>
      <w:r>
        <w:rPr>
          <w:rFonts w:ascii="Avenir Next" w:hAnsi="Avenir Next" w:cs="Arial"/>
          <w:sz w:val="22"/>
          <w:szCs w:val="22"/>
        </w:rPr>
        <w:t xml:space="preserve">As the floating charge was created to reduce </w:t>
      </w:r>
      <w:proofErr w:type="spellStart"/>
      <w:r>
        <w:rPr>
          <w:rFonts w:ascii="Avenir Next" w:hAnsi="Avenir Next" w:cs="Arial"/>
          <w:sz w:val="22"/>
          <w:szCs w:val="22"/>
        </w:rPr>
        <w:t>Marbley</w:t>
      </w:r>
      <w:proofErr w:type="spellEnd"/>
      <w:r>
        <w:rPr>
          <w:rFonts w:ascii="Avenir Next" w:hAnsi="Avenir Next" w:cs="Arial"/>
          <w:sz w:val="22"/>
          <w:szCs w:val="22"/>
        </w:rPr>
        <w:t xml:space="preserve"> Q’s debt with </w:t>
      </w:r>
      <w:proofErr w:type="spellStart"/>
      <w:r>
        <w:rPr>
          <w:rFonts w:ascii="Avenir Next" w:hAnsi="Avenir Next" w:cs="Arial"/>
          <w:sz w:val="22"/>
          <w:szCs w:val="22"/>
        </w:rPr>
        <w:t>Fretus</w:t>
      </w:r>
      <w:proofErr w:type="spellEnd"/>
      <w:r>
        <w:rPr>
          <w:rFonts w:ascii="Avenir Next" w:hAnsi="Avenir Next" w:cs="Arial"/>
          <w:sz w:val="22"/>
          <w:szCs w:val="22"/>
        </w:rPr>
        <w:t>, it may be considered valid. However, the liquidator will have to ensure that this is the case.</w:t>
      </w:r>
    </w:p>
    <w:p w14:paraId="4DA4A070" w14:textId="77777777" w:rsidR="0002429C" w:rsidRPr="00251F65" w:rsidRDefault="0002429C" w:rsidP="007E2919">
      <w:pPr>
        <w:rPr>
          <w:rFonts w:ascii="Avenir Next" w:hAnsi="Avenir Next" w:cs="Arial"/>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070ABF9B" w14:textId="317B5CEF"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64A901C2" w14:textId="42B54D83" w:rsidR="00A5731C" w:rsidRDefault="00A5731C" w:rsidP="007E2919">
      <w:pPr>
        <w:rPr>
          <w:rFonts w:ascii="Avenir Next" w:hAnsi="Avenir Next" w:cs="Arial"/>
          <w:sz w:val="22"/>
          <w:szCs w:val="22"/>
        </w:rPr>
      </w:pPr>
    </w:p>
    <w:p w14:paraId="406B72DB" w14:textId="49705515" w:rsidR="00A5731C" w:rsidRDefault="00CC0083" w:rsidP="007E2919">
      <w:pPr>
        <w:rPr>
          <w:rFonts w:ascii="Avenir Next" w:hAnsi="Avenir Next" w:cs="Arial"/>
          <w:sz w:val="22"/>
          <w:szCs w:val="22"/>
        </w:rPr>
      </w:pPr>
      <w:r>
        <w:rPr>
          <w:rFonts w:ascii="Avenir Next" w:hAnsi="Avenir Next" w:cs="Arial"/>
          <w:sz w:val="22"/>
          <w:szCs w:val="22"/>
        </w:rPr>
        <w:t xml:space="preserve">The liquidator will have to identify the reason as to why the directors allowed for the sale of the marble cutting machines as well as what Rita will do with the machines. The liquidator will have to look out for fraudulent trading as well as ensure that Rita does not work in another company in which these could be used. </w:t>
      </w:r>
    </w:p>
    <w:p w14:paraId="37737D8A" w14:textId="77777777" w:rsidR="00A5731C" w:rsidRPr="00A5731C" w:rsidRDefault="00A5731C" w:rsidP="007E2919">
      <w:pPr>
        <w:rPr>
          <w:rFonts w:ascii="Avenir Next" w:hAnsi="Avenir Next" w:cs="Arial"/>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70C6A8B6" w14:textId="1218528E" w:rsidR="00126A4D" w:rsidRDefault="007E2919" w:rsidP="00CC0083">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4A23CFB4" w14:textId="5AE3F61E" w:rsidR="00CC0083" w:rsidRDefault="00CC0083" w:rsidP="00CC0083">
      <w:pPr>
        <w:rPr>
          <w:rFonts w:ascii="Avenir Next" w:hAnsi="Avenir Next" w:cs="Arial"/>
          <w:sz w:val="22"/>
          <w:szCs w:val="22"/>
        </w:rPr>
      </w:pPr>
    </w:p>
    <w:p w14:paraId="7665D2E8" w14:textId="432AF889" w:rsidR="00CC0083" w:rsidRPr="00CC0083" w:rsidRDefault="00CC0083" w:rsidP="00CC0083">
      <w:pPr>
        <w:rPr>
          <w:rFonts w:ascii="Avenir Next" w:hAnsi="Avenir Next" w:cs="Arial"/>
          <w:sz w:val="22"/>
          <w:szCs w:val="22"/>
        </w:rPr>
      </w:pPr>
      <w:r>
        <w:rPr>
          <w:rFonts w:ascii="Avenir Next" w:hAnsi="Avenir Next" w:cs="Arial"/>
          <w:sz w:val="22"/>
          <w:szCs w:val="22"/>
        </w:rPr>
        <w:t xml:space="preserve">As Hard and Fast is demanding payments one month before the winding-up order, and while </w:t>
      </w:r>
      <w:proofErr w:type="spellStart"/>
      <w:r>
        <w:rPr>
          <w:rFonts w:ascii="Avenir Next" w:hAnsi="Avenir Next" w:cs="Arial"/>
          <w:sz w:val="22"/>
          <w:szCs w:val="22"/>
        </w:rPr>
        <w:t>Marbely</w:t>
      </w:r>
      <w:proofErr w:type="spellEnd"/>
      <w:r>
        <w:rPr>
          <w:rFonts w:ascii="Avenir Next" w:hAnsi="Avenir Next" w:cs="Arial"/>
          <w:sz w:val="22"/>
          <w:szCs w:val="22"/>
        </w:rPr>
        <w:t xml:space="preserve"> has already petitioned to wind up, there may be a chance that there is a stay in in proceedings against the company. As such, Hard and Fast may not be able to demand payments from </w:t>
      </w:r>
      <w:proofErr w:type="spellStart"/>
      <w:r>
        <w:rPr>
          <w:rFonts w:ascii="Avenir Next" w:hAnsi="Avenir Next" w:cs="Arial"/>
          <w:sz w:val="22"/>
          <w:szCs w:val="22"/>
        </w:rPr>
        <w:t>Marbely</w:t>
      </w:r>
      <w:proofErr w:type="spellEnd"/>
      <w:r>
        <w:rPr>
          <w:rFonts w:ascii="Avenir Next" w:hAnsi="Avenir Next" w:cs="Arial"/>
          <w:sz w:val="22"/>
          <w:szCs w:val="22"/>
        </w:rPr>
        <w:t>.</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7F7D" w14:textId="77777777" w:rsidR="00B1282C" w:rsidRDefault="00B1282C" w:rsidP="00241B44">
      <w:r>
        <w:separator/>
      </w:r>
    </w:p>
  </w:endnote>
  <w:endnote w:type="continuationSeparator" w:id="0">
    <w:p w14:paraId="361DABA8" w14:textId="77777777" w:rsidR="00B1282C" w:rsidRDefault="00B128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BD18F16" w:rsidR="00241FA3" w:rsidRPr="0069688C" w:rsidRDefault="0069688C" w:rsidP="009B4976">
    <w:pPr>
      <w:pStyle w:val="Footer"/>
      <w:ind w:right="360"/>
      <w:rPr>
        <w:color w:val="979797"/>
        <w:sz w:val="24"/>
      </w:rPr>
    </w:pPr>
    <w:r>
      <w:rPr>
        <w:color w:val="979797"/>
        <w:sz w:val="24"/>
      </w:rPr>
      <w:t>202223-919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E9D6" w14:textId="77777777" w:rsidR="00B1282C" w:rsidRDefault="00B1282C" w:rsidP="00241B44">
      <w:r>
        <w:separator/>
      </w:r>
    </w:p>
  </w:footnote>
  <w:footnote w:type="continuationSeparator" w:id="0">
    <w:p w14:paraId="12183177" w14:textId="77777777" w:rsidR="00B1282C" w:rsidRDefault="00B1282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6F5E"/>
    <w:multiLevelType w:val="hybridMultilevel"/>
    <w:tmpl w:val="C95C5858"/>
    <w:lvl w:ilvl="0" w:tplc="DBB68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52E9B"/>
    <w:multiLevelType w:val="hybridMultilevel"/>
    <w:tmpl w:val="4D620046"/>
    <w:lvl w:ilvl="0" w:tplc="AB50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21831"/>
    <w:multiLevelType w:val="hybridMultilevel"/>
    <w:tmpl w:val="7DCCA0E8"/>
    <w:lvl w:ilvl="0" w:tplc="420A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B1BF8"/>
    <w:multiLevelType w:val="hybridMultilevel"/>
    <w:tmpl w:val="068EE55E"/>
    <w:lvl w:ilvl="0" w:tplc="75F60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F1E72"/>
    <w:multiLevelType w:val="hybridMultilevel"/>
    <w:tmpl w:val="F4B41D5C"/>
    <w:lvl w:ilvl="0" w:tplc="1B70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13"/>
  </w:num>
  <w:num w:numId="6">
    <w:abstractNumId w:val="2"/>
  </w:num>
  <w:num w:numId="7">
    <w:abstractNumId w:val="14"/>
  </w:num>
  <w:num w:numId="8">
    <w:abstractNumId w:val="20"/>
  </w:num>
  <w:num w:numId="9">
    <w:abstractNumId w:val="11"/>
  </w:num>
  <w:num w:numId="10">
    <w:abstractNumId w:val="21"/>
  </w:num>
  <w:num w:numId="11">
    <w:abstractNumId w:val="7"/>
  </w:num>
  <w:num w:numId="12">
    <w:abstractNumId w:val="16"/>
  </w:num>
  <w:num w:numId="13">
    <w:abstractNumId w:val="12"/>
  </w:num>
  <w:num w:numId="14">
    <w:abstractNumId w:val="6"/>
  </w:num>
  <w:num w:numId="15">
    <w:abstractNumId w:val="15"/>
  </w:num>
  <w:num w:numId="16">
    <w:abstractNumId w:val="18"/>
  </w:num>
  <w:num w:numId="17">
    <w:abstractNumId w:val="9"/>
  </w:num>
  <w:num w:numId="18">
    <w:abstractNumId w:val="3"/>
  </w:num>
  <w:num w:numId="19">
    <w:abstractNumId w:val="5"/>
  </w:num>
  <w:num w:numId="20">
    <w:abstractNumId w:val="17"/>
  </w:num>
  <w:num w:numId="21">
    <w:abstractNumId w:val="19"/>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29C"/>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2658"/>
    <w:rsid w:val="000B5FF1"/>
    <w:rsid w:val="000B609F"/>
    <w:rsid w:val="000D10C6"/>
    <w:rsid w:val="000D55A8"/>
    <w:rsid w:val="000E4841"/>
    <w:rsid w:val="000F1677"/>
    <w:rsid w:val="000F3D6C"/>
    <w:rsid w:val="00101694"/>
    <w:rsid w:val="00101707"/>
    <w:rsid w:val="00102CC9"/>
    <w:rsid w:val="0010593A"/>
    <w:rsid w:val="0011473D"/>
    <w:rsid w:val="00115992"/>
    <w:rsid w:val="00115C85"/>
    <w:rsid w:val="00123855"/>
    <w:rsid w:val="00123C7F"/>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44B6"/>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1F65"/>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97E13"/>
    <w:rsid w:val="003A051E"/>
    <w:rsid w:val="003A4482"/>
    <w:rsid w:val="003A56E4"/>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5477"/>
    <w:rsid w:val="00537970"/>
    <w:rsid w:val="00540E3A"/>
    <w:rsid w:val="00544127"/>
    <w:rsid w:val="005463A9"/>
    <w:rsid w:val="00553EB2"/>
    <w:rsid w:val="00560534"/>
    <w:rsid w:val="0056391B"/>
    <w:rsid w:val="005650E2"/>
    <w:rsid w:val="00567AD7"/>
    <w:rsid w:val="00567DD5"/>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688C"/>
    <w:rsid w:val="00697EA1"/>
    <w:rsid w:val="006A2646"/>
    <w:rsid w:val="006A6530"/>
    <w:rsid w:val="006A7728"/>
    <w:rsid w:val="006B435A"/>
    <w:rsid w:val="006B4C64"/>
    <w:rsid w:val="006D282B"/>
    <w:rsid w:val="006D6BD5"/>
    <w:rsid w:val="006E0B32"/>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07E8"/>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07B7D"/>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4592B"/>
    <w:rsid w:val="00951AA8"/>
    <w:rsid w:val="0095207B"/>
    <w:rsid w:val="00962045"/>
    <w:rsid w:val="009701A4"/>
    <w:rsid w:val="00980E61"/>
    <w:rsid w:val="00991428"/>
    <w:rsid w:val="00992676"/>
    <w:rsid w:val="009954B2"/>
    <w:rsid w:val="00996691"/>
    <w:rsid w:val="009A1E49"/>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5731C"/>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282C"/>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2FA"/>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0083"/>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B8F"/>
    <w:rsid w:val="00DD0802"/>
    <w:rsid w:val="00DD2E11"/>
    <w:rsid w:val="00DE03AF"/>
    <w:rsid w:val="00DE121C"/>
    <w:rsid w:val="00DE6633"/>
    <w:rsid w:val="00DF75F8"/>
    <w:rsid w:val="00DF7A3A"/>
    <w:rsid w:val="00E00C00"/>
    <w:rsid w:val="00E07C5A"/>
    <w:rsid w:val="00E15BA9"/>
    <w:rsid w:val="00E26E19"/>
    <w:rsid w:val="00E31DF3"/>
    <w:rsid w:val="00E32CDD"/>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983"/>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2513</Words>
  <Characters>14325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Unaysah</cp:lastModifiedBy>
  <cp:revision>2</cp:revision>
  <cp:lastPrinted>2019-08-27T05:42:00Z</cp:lastPrinted>
  <dcterms:created xsi:type="dcterms:W3CDTF">2023-01-23T16:37:00Z</dcterms:created>
  <dcterms:modified xsi:type="dcterms:W3CDTF">2023-01-23T16:37:00Z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589256c7-9946-44df-b379-51beb93fd2d9_Enabled">
    <vt:lpwstr>true</vt:lpwstr>
  </property>
  <property fmtid="{D5CDD505-2E9C-101B-9397-08002B2CF9AE}" pid="4" name="MSIP_Label_589256c7-9946-44df-b379-51beb93fd2d9_SetDate">
    <vt:lpwstr>2023-01-20T19:57:03Z</vt:lpwstr>
  </property>
  <property fmtid="{D5CDD505-2E9C-101B-9397-08002B2CF9AE}" pid="5" name="MSIP_Label_589256c7-9946-44df-b379-51beb93fd2d9_Method">
    <vt:lpwstr>Privileged</vt:lpwstr>
  </property>
  <property fmtid="{D5CDD505-2E9C-101B-9397-08002B2CF9AE}" pid="6" name="MSIP_Label_589256c7-9946-44df-b379-51beb93fd2d9_Name">
    <vt:lpwstr>589256c7-9946-44df-b379-51beb93fd2d9</vt:lpwstr>
  </property>
  <property fmtid="{D5CDD505-2E9C-101B-9397-08002B2CF9AE}" pid="7" name="MSIP_Label_589256c7-9946-44df-b379-51beb93fd2d9_SiteId">
    <vt:lpwstr>36da45f1-dd2c-4d1f-af13-5abe46b99921</vt:lpwstr>
  </property>
  <property fmtid="{D5CDD505-2E9C-101B-9397-08002B2CF9AE}" pid="8" name="MSIP_Label_589256c7-9946-44df-b379-51beb93fd2d9_ActionId">
    <vt:lpwstr>894e7e57-51e6-49e8-b0ec-4cb5b2550ec3</vt:lpwstr>
  </property>
  <property fmtid="{D5CDD505-2E9C-101B-9397-08002B2CF9AE}" pid="9" name="MSIP_Label_589256c7-9946-44df-b379-51beb93fd2d9_ContentBits">
    <vt:lpwstr>0</vt:lpwstr>
  </property>
</Properties>
</file>