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8D1CE6" w:rsidRDefault="00436884">
      <w:pPr>
        <w:pStyle w:val="ListParagraph"/>
        <w:numPr>
          <w:ilvl w:val="0"/>
          <w:numId w:val="1"/>
        </w:numPr>
        <w:ind w:left="426"/>
        <w:jc w:val="both"/>
        <w:rPr>
          <w:rFonts w:ascii="Avenir Next" w:hAnsi="Avenir Next" w:cs="Arial"/>
          <w:sz w:val="22"/>
          <w:szCs w:val="22"/>
          <w:highlight w:val="yellow"/>
          <w:lang w:val="en-GB"/>
        </w:rPr>
      </w:pPr>
      <w:r w:rsidRPr="008D1CE6">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8D1CE6" w:rsidRDefault="00436884">
      <w:pPr>
        <w:pStyle w:val="ListParagraph"/>
        <w:numPr>
          <w:ilvl w:val="0"/>
          <w:numId w:val="2"/>
        </w:numPr>
        <w:ind w:left="426"/>
        <w:jc w:val="both"/>
        <w:rPr>
          <w:rFonts w:ascii="Avenir Next" w:hAnsi="Avenir Next" w:cs="Arial"/>
          <w:sz w:val="22"/>
          <w:szCs w:val="22"/>
          <w:highlight w:val="yellow"/>
          <w:lang w:val="en-GB"/>
        </w:rPr>
      </w:pPr>
      <w:proofErr w:type="gramStart"/>
      <w:r w:rsidRPr="008D1CE6">
        <w:rPr>
          <w:rFonts w:ascii="Avenir Next" w:hAnsi="Avenir Next" w:cs="Arial"/>
          <w:sz w:val="22"/>
          <w:szCs w:val="22"/>
          <w:highlight w:val="yellow"/>
          <w:lang w:val="en-GB"/>
        </w:rPr>
        <w:t>All of</w:t>
      </w:r>
      <w:proofErr w:type="gramEnd"/>
      <w:r w:rsidRPr="008D1CE6">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4872DB">
        <w:rPr>
          <w:rFonts w:ascii="Avenir Next" w:hAnsi="Avenir Next" w:cs="Arial"/>
          <w:sz w:val="22"/>
          <w:szCs w:val="22"/>
          <w:highlight w:val="yellow"/>
          <w:lang w:val="en-GB"/>
        </w:rPr>
        <w:t>The debtor has neither its COMI nor an establishment in the jurisdiction where the foreign proceedings were opened.</w:t>
      </w:r>
      <w:r w:rsidRPr="00B77352">
        <w:rPr>
          <w:rFonts w:ascii="Avenir Next" w:hAnsi="Avenir Next" w:cs="Arial"/>
          <w:sz w:val="22"/>
          <w:szCs w:val="22"/>
          <w:lang w:val="en-GB"/>
        </w:rPr>
        <w:t xml:space="preserve">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F779C7" w:rsidRDefault="00436884">
      <w:pPr>
        <w:pStyle w:val="ListParagraph"/>
        <w:numPr>
          <w:ilvl w:val="0"/>
          <w:numId w:val="4"/>
        </w:numPr>
        <w:ind w:left="426"/>
        <w:jc w:val="both"/>
        <w:rPr>
          <w:rFonts w:ascii="Avenir Next" w:hAnsi="Avenir Next" w:cs="Arial"/>
          <w:sz w:val="22"/>
          <w:szCs w:val="22"/>
          <w:highlight w:val="yellow"/>
          <w:lang w:val="en-GB"/>
        </w:rPr>
      </w:pPr>
      <w:r w:rsidRPr="00F779C7">
        <w:rPr>
          <w:rFonts w:ascii="Avenir Next" w:hAnsi="Avenir Next" w:cs="Arial"/>
          <w:sz w:val="22"/>
          <w:szCs w:val="22"/>
          <w:highlight w:val="yellow"/>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F779C7" w:rsidRDefault="00436884">
      <w:pPr>
        <w:pStyle w:val="ListParagraph"/>
        <w:numPr>
          <w:ilvl w:val="0"/>
          <w:numId w:val="4"/>
        </w:numPr>
        <w:ind w:left="426"/>
        <w:jc w:val="both"/>
        <w:rPr>
          <w:rFonts w:ascii="Avenir Next" w:hAnsi="Avenir Next" w:cs="Arial"/>
          <w:sz w:val="22"/>
          <w:szCs w:val="22"/>
          <w:lang w:val="en-GB"/>
        </w:rPr>
      </w:pPr>
      <w:r w:rsidRPr="00F779C7">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F05DEB" w:rsidRDefault="00C504E5">
      <w:pPr>
        <w:pStyle w:val="ListParagraph"/>
        <w:numPr>
          <w:ilvl w:val="0"/>
          <w:numId w:val="5"/>
        </w:numPr>
        <w:ind w:left="426"/>
        <w:jc w:val="both"/>
        <w:rPr>
          <w:rFonts w:ascii="Avenir Next" w:hAnsi="Avenir Next" w:cs="Arial"/>
          <w:sz w:val="22"/>
          <w:szCs w:val="22"/>
          <w:highlight w:val="yellow"/>
          <w:lang w:val="en-GB"/>
        </w:rPr>
      </w:pPr>
      <w:r w:rsidRPr="00F05DEB">
        <w:rPr>
          <w:rFonts w:ascii="Avenir Next" w:hAnsi="Avenir Next" w:cs="Arial"/>
          <w:sz w:val="22"/>
          <w:szCs w:val="22"/>
          <w:highlight w:val="yellow"/>
          <w:lang w:val="en-GB"/>
        </w:rPr>
        <w:t xml:space="preserve">Both the foreign main proceedings in South Africa and the foreign non-main proceedings in </w:t>
      </w:r>
      <w:r w:rsidR="004137C3" w:rsidRPr="00F05DEB">
        <w:rPr>
          <w:rFonts w:ascii="Avenir Next" w:hAnsi="Avenir Next" w:cs="Arial"/>
          <w:sz w:val="22"/>
          <w:szCs w:val="22"/>
          <w:highlight w:val="yellow"/>
          <w:lang w:val="en-GB"/>
        </w:rPr>
        <w:t xml:space="preserve">Argentina </w:t>
      </w:r>
      <w:r w:rsidRPr="00F05DEB">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7A2C2A" w:rsidRDefault="00B72F5F">
      <w:pPr>
        <w:pStyle w:val="ListParagraph"/>
        <w:numPr>
          <w:ilvl w:val="0"/>
          <w:numId w:val="6"/>
        </w:numPr>
        <w:ind w:left="426"/>
        <w:jc w:val="both"/>
        <w:rPr>
          <w:rFonts w:ascii="Avenir Next" w:hAnsi="Avenir Next" w:cs="Arial"/>
          <w:sz w:val="22"/>
          <w:szCs w:val="22"/>
          <w:highlight w:val="yellow"/>
          <w:lang w:val="en-GB"/>
        </w:rPr>
      </w:pPr>
      <w:r w:rsidRPr="007A2C2A">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7A2C2A">
        <w:rPr>
          <w:rFonts w:ascii="Avenir Next" w:hAnsi="Avenir Next" w:cs="Arial"/>
          <w:sz w:val="22"/>
          <w:szCs w:val="22"/>
          <w:highlight w:val="yellow"/>
          <w:lang w:val="en-GB"/>
        </w:rPr>
        <w:t>will</w:t>
      </w:r>
      <w:r w:rsidRPr="007A2C2A">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7A2C2A" w:rsidRDefault="00436884">
      <w:pPr>
        <w:pStyle w:val="ListParagraph"/>
        <w:numPr>
          <w:ilvl w:val="0"/>
          <w:numId w:val="7"/>
        </w:numPr>
        <w:ind w:left="426"/>
        <w:jc w:val="both"/>
        <w:rPr>
          <w:rFonts w:ascii="Avenir Next" w:hAnsi="Avenir Next" w:cs="Arial"/>
          <w:sz w:val="22"/>
          <w:szCs w:val="22"/>
          <w:highlight w:val="yellow"/>
          <w:lang w:val="en-GB"/>
        </w:rPr>
      </w:pPr>
      <w:r w:rsidRPr="007A2C2A">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7A2C2A" w:rsidRDefault="00436884">
      <w:pPr>
        <w:pStyle w:val="ListParagraph"/>
        <w:numPr>
          <w:ilvl w:val="0"/>
          <w:numId w:val="8"/>
        </w:numPr>
        <w:ind w:left="426"/>
        <w:jc w:val="both"/>
        <w:rPr>
          <w:rFonts w:ascii="Avenir Next" w:hAnsi="Avenir Next" w:cs="Arial"/>
          <w:sz w:val="22"/>
          <w:szCs w:val="22"/>
          <w:highlight w:val="yellow"/>
          <w:lang w:val="en-GB"/>
        </w:rPr>
      </w:pPr>
      <w:proofErr w:type="gramStart"/>
      <w:r w:rsidRPr="007A2C2A">
        <w:rPr>
          <w:rFonts w:ascii="Avenir Next" w:hAnsi="Avenir Next" w:cs="Arial"/>
          <w:sz w:val="22"/>
          <w:szCs w:val="22"/>
          <w:highlight w:val="yellow"/>
          <w:lang w:val="en-GB"/>
        </w:rPr>
        <w:t>All of</w:t>
      </w:r>
      <w:proofErr w:type="gramEnd"/>
      <w:r w:rsidRPr="007A2C2A">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5B4940" w:rsidRDefault="00436884">
      <w:pPr>
        <w:pStyle w:val="ListParagraph"/>
        <w:numPr>
          <w:ilvl w:val="0"/>
          <w:numId w:val="9"/>
        </w:numPr>
        <w:ind w:left="426"/>
        <w:jc w:val="both"/>
        <w:rPr>
          <w:rFonts w:ascii="Avenir Next" w:hAnsi="Avenir Next" w:cs="Arial"/>
          <w:sz w:val="22"/>
          <w:szCs w:val="22"/>
          <w:highlight w:val="yellow"/>
          <w:lang w:val="en-GB"/>
        </w:rPr>
      </w:pPr>
      <w:r w:rsidRPr="005B4940">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5B4940" w:rsidRDefault="00436884">
      <w:pPr>
        <w:pStyle w:val="ListParagraph"/>
        <w:numPr>
          <w:ilvl w:val="0"/>
          <w:numId w:val="10"/>
        </w:numPr>
        <w:ind w:left="426"/>
        <w:jc w:val="both"/>
        <w:rPr>
          <w:rFonts w:ascii="Avenir Next" w:hAnsi="Avenir Next" w:cs="Arial"/>
          <w:sz w:val="22"/>
          <w:szCs w:val="22"/>
          <w:highlight w:val="yellow"/>
          <w:lang w:val="en-GB"/>
        </w:rPr>
      </w:pPr>
      <w:r w:rsidRPr="005B4940">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5B4940">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10ED927D" w:rsidR="009B07AD" w:rsidRDefault="009B07AD" w:rsidP="00707FC8">
      <w:pPr>
        <w:jc w:val="both"/>
        <w:rPr>
          <w:rFonts w:ascii="Avenir Next" w:hAnsi="Avenir Next" w:cs="Arial"/>
          <w:sz w:val="22"/>
          <w:szCs w:val="22"/>
          <w:lang w:val="en-GB"/>
        </w:rPr>
      </w:pPr>
    </w:p>
    <w:p w14:paraId="132548A2" w14:textId="20AF9651" w:rsidR="00E579EB" w:rsidRDefault="00546CB8" w:rsidP="00707FC8">
      <w:pPr>
        <w:jc w:val="both"/>
        <w:rPr>
          <w:rFonts w:ascii="Arial" w:hAnsi="Arial" w:cs="Arial"/>
          <w:sz w:val="22"/>
          <w:szCs w:val="22"/>
          <w:lang w:val="en-GB"/>
        </w:rPr>
      </w:pPr>
      <w:r>
        <w:rPr>
          <w:rFonts w:ascii="Arial" w:hAnsi="Arial" w:cs="Arial"/>
          <w:sz w:val="22"/>
          <w:szCs w:val="22"/>
          <w:lang w:val="en-GB"/>
        </w:rPr>
        <w:t>The appropriate</w:t>
      </w:r>
      <w:r w:rsidR="00E579EB">
        <w:rPr>
          <w:rFonts w:ascii="Arial" w:hAnsi="Arial" w:cs="Arial"/>
          <w:sz w:val="22"/>
          <w:szCs w:val="22"/>
          <w:lang w:val="en-GB"/>
        </w:rPr>
        <w:t xml:space="preserve"> date for determining the COMI of a debtor is the date of commencement of the foreign proceeding. The courts have considered other possible dates which </w:t>
      </w:r>
      <w:r>
        <w:rPr>
          <w:rFonts w:ascii="Arial" w:hAnsi="Arial" w:cs="Arial"/>
          <w:sz w:val="22"/>
          <w:szCs w:val="22"/>
          <w:lang w:val="en-GB"/>
        </w:rPr>
        <w:t>include.</w:t>
      </w:r>
    </w:p>
    <w:p w14:paraId="3C5F3330" w14:textId="77777777" w:rsidR="00E579EB" w:rsidRDefault="00E579EB" w:rsidP="00707FC8">
      <w:pPr>
        <w:jc w:val="both"/>
        <w:rPr>
          <w:rFonts w:ascii="Arial" w:hAnsi="Arial" w:cs="Arial"/>
          <w:sz w:val="22"/>
          <w:szCs w:val="22"/>
          <w:lang w:val="en-GB"/>
        </w:rPr>
      </w:pPr>
    </w:p>
    <w:p w14:paraId="0519724C" w14:textId="5D25F82B" w:rsidR="00E579EB" w:rsidRPr="00E579EB" w:rsidRDefault="00E579EB">
      <w:pPr>
        <w:pStyle w:val="ListParagraph"/>
        <w:numPr>
          <w:ilvl w:val="0"/>
          <w:numId w:val="15"/>
        </w:numPr>
        <w:jc w:val="both"/>
        <w:rPr>
          <w:rFonts w:ascii="Arial" w:hAnsi="Arial" w:cs="Arial"/>
          <w:sz w:val="22"/>
          <w:szCs w:val="22"/>
          <w:lang w:val="en-GB"/>
        </w:rPr>
      </w:pPr>
      <w:r>
        <w:rPr>
          <w:rFonts w:ascii="Arial" w:hAnsi="Arial" w:cs="Arial"/>
          <w:b/>
          <w:bCs/>
          <w:sz w:val="22"/>
          <w:szCs w:val="22"/>
          <w:lang w:val="en-GB"/>
        </w:rPr>
        <w:t>The date of commencement of foreign proceedings</w:t>
      </w:r>
    </w:p>
    <w:p w14:paraId="2D8E6F51" w14:textId="5BB5EF82" w:rsidR="00E579EB" w:rsidRDefault="00E579EB" w:rsidP="00B61D01">
      <w:pPr>
        <w:pStyle w:val="ListParagraph"/>
        <w:ind w:left="780"/>
        <w:jc w:val="both"/>
        <w:rPr>
          <w:rFonts w:ascii="Arial" w:hAnsi="Arial" w:cs="Arial"/>
          <w:sz w:val="22"/>
          <w:szCs w:val="22"/>
          <w:lang w:val="en-GB"/>
        </w:rPr>
      </w:pPr>
      <w:r>
        <w:rPr>
          <w:rFonts w:ascii="Arial" w:hAnsi="Arial" w:cs="Arial"/>
          <w:sz w:val="22"/>
          <w:szCs w:val="22"/>
          <w:lang w:val="en-GB"/>
        </w:rPr>
        <w:t>The rational of choosing a date of commencement of the foreign proceeding is that it avoids different outcomes in different jurisdictions where applications for recognition are made at different times</w:t>
      </w:r>
      <w:r w:rsidR="00B61D01">
        <w:rPr>
          <w:rFonts w:ascii="Arial" w:hAnsi="Arial" w:cs="Arial"/>
          <w:sz w:val="22"/>
          <w:szCs w:val="22"/>
          <w:lang w:val="en-GB"/>
        </w:rPr>
        <w:t xml:space="preserve"> and the debtor may have moved around between those times. It has also been noted that the date of commencement of the foreign proceeding is </w:t>
      </w:r>
      <w:r w:rsidR="00546CB8">
        <w:rPr>
          <w:rFonts w:ascii="Arial" w:hAnsi="Arial" w:cs="Arial"/>
          <w:sz w:val="22"/>
          <w:szCs w:val="22"/>
          <w:lang w:val="en-GB"/>
        </w:rPr>
        <w:t>fixed and</w:t>
      </w:r>
      <w:r w:rsidR="00B61D01">
        <w:rPr>
          <w:rFonts w:ascii="Arial" w:hAnsi="Arial" w:cs="Arial"/>
          <w:sz w:val="22"/>
          <w:szCs w:val="22"/>
          <w:lang w:val="en-GB"/>
        </w:rPr>
        <w:t xml:space="preserve"> readily verifiable. On the other </w:t>
      </w:r>
      <w:proofErr w:type="gramStart"/>
      <w:r w:rsidR="00B61D01">
        <w:rPr>
          <w:rFonts w:ascii="Arial" w:hAnsi="Arial" w:cs="Arial"/>
          <w:sz w:val="22"/>
          <w:szCs w:val="22"/>
          <w:lang w:val="en-GB"/>
        </w:rPr>
        <w:t>hand</w:t>
      </w:r>
      <w:proofErr w:type="gramEnd"/>
      <w:r w:rsidR="00B61D01">
        <w:rPr>
          <w:rFonts w:ascii="Arial" w:hAnsi="Arial" w:cs="Arial"/>
          <w:sz w:val="22"/>
          <w:szCs w:val="22"/>
          <w:lang w:val="en-GB"/>
        </w:rPr>
        <w:t xml:space="preserve"> the date for filing an application for recognition may vary depending on the circumstances and the diligence of the foreign representatives.</w:t>
      </w:r>
      <w:r w:rsidR="000A1042">
        <w:rPr>
          <w:rStyle w:val="FootnoteReference"/>
          <w:rFonts w:ascii="Arial" w:hAnsi="Arial" w:cs="Arial"/>
          <w:sz w:val="22"/>
          <w:szCs w:val="22"/>
          <w:lang w:val="en-GB"/>
        </w:rPr>
        <w:footnoteReference w:id="1"/>
      </w:r>
    </w:p>
    <w:p w14:paraId="6BED258C" w14:textId="03C65D61" w:rsidR="00B61D01" w:rsidRDefault="00B61D01" w:rsidP="00B61D01">
      <w:pPr>
        <w:pStyle w:val="ListParagraph"/>
        <w:ind w:left="780"/>
        <w:jc w:val="both"/>
        <w:rPr>
          <w:rFonts w:ascii="Arial" w:hAnsi="Arial" w:cs="Arial"/>
          <w:sz w:val="22"/>
          <w:szCs w:val="22"/>
          <w:lang w:val="en-GB"/>
        </w:rPr>
      </w:pPr>
    </w:p>
    <w:p w14:paraId="6BF90CE8" w14:textId="091CD0C8" w:rsidR="00B61D01" w:rsidRPr="00B61D01" w:rsidRDefault="00B61D01">
      <w:pPr>
        <w:pStyle w:val="ListParagraph"/>
        <w:numPr>
          <w:ilvl w:val="0"/>
          <w:numId w:val="15"/>
        </w:numPr>
        <w:jc w:val="both"/>
        <w:rPr>
          <w:rFonts w:ascii="Arial" w:hAnsi="Arial" w:cs="Arial"/>
          <w:sz w:val="22"/>
          <w:szCs w:val="22"/>
          <w:lang w:val="en-GB"/>
        </w:rPr>
      </w:pPr>
      <w:r>
        <w:rPr>
          <w:rFonts w:ascii="Arial" w:hAnsi="Arial" w:cs="Arial"/>
          <w:b/>
          <w:bCs/>
          <w:sz w:val="22"/>
          <w:szCs w:val="22"/>
          <w:lang w:val="en-GB"/>
        </w:rPr>
        <w:t>The date of application for r</w:t>
      </w:r>
      <w:r w:rsidR="00862F01">
        <w:rPr>
          <w:rFonts w:ascii="Arial" w:hAnsi="Arial" w:cs="Arial"/>
          <w:b/>
          <w:bCs/>
          <w:sz w:val="22"/>
          <w:szCs w:val="22"/>
          <w:lang w:val="en-GB"/>
        </w:rPr>
        <w:t>e</w:t>
      </w:r>
      <w:r>
        <w:rPr>
          <w:rFonts w:ascii="Arial" w:hAnsi="Arial" w:cs="Arial"/>
          <w:b/>
          <w:bCs/>
          <w:sz w:val="22"/>
          <w:szCs w:val="22"/>
          <w:lang w:val="en-GB"/>
        </w:rPr>
        <w:t>cognition.</w:t>
      </w:r>
    </w:p>
    <w:p w14:paraId="654B0E66" w14:textId="0336F467" w:rsidR="00CB56CE" w:rsidRDefault="00B61D01" w:rsidP="00F15C03">
      <w:pPr>
        <w:pStyle w:val="ListParagraph"/>
        <w:ind w:left="780"/>
        <w:jc w:val="both"/>
        <w:rPr>
          <w:rFonts w:ascii="Arial" w:hAnsi="Arial" w:cs="Arial"/>
          <w:sz w:val="22"/>
          <w:szCs w:val="22"/>
          <w:lang w:val="en-GB"/>
        </w:rPr>
      </w:pPr>
      <w:r>
        <w:rPr>
          <w:rFonts w:ascii="Arial" w:hAnsi="Arial" w:cs="Arial"/>
          <w:sz w:val="22"/>
          <w:szCs w:val="22"/>
          <w:lang w:val="en-GB"/>
        </w:rPr>
        <w:t>The suggestion is that this approach allows for the harmonisation of cross-border insolvency proceedings on the basis that limiting the inquiry to the time of filing avoids a detailed examination of the operational</w:t>
      </w:r>
      <w:r w:rsidR="00F15C03">
        <w:rPr>
          <w:rFonts w:ascii="Arial" w:hAnsi="Arial" w:cs="Arial"/>
          <w:sz w:val="22"/>
          <w:szCs w:val="22"/>
          <w:lang w:val="en-GB"/>
        </w:rPr>
        <w:t xml:space="preserve"> history of the debtor which may result in conflicting COMI determinations by different courts. </w:t>
      </w:r>
      <w:proofErr w:type="gramStart"/>
      <w:r w:rsidR="00F15C03">
        <w:rPr>
          <w:rFonts w:ascii="Arial" w:hAnsi="Arial" w:cs="Arial"/>
          <w:sz w:val="22"/>
          <w:szCs w:val="22"/>
          <w:lang w:val="en-GB"/>
        </w:rPr>
        <w:t>Furthermore</w:t>
      </w:r>
      <w:proofErr w:type="gramEnd"/>
      <w:r w:rsidR="00F15C03">
        <w:rPr>
          <w:rFonts w:ascii="Arial" w:hAnsi="Arial" w:cs="Arial"/>
          <w:sz w:val="22"/>
          <w:szCs w:val="22"/>
          <w:lang w:val="en-GB"/>
        </w:rPr>
        <w:t xml:space="preserve"> it</w:t>
      </w:r>
      <w:r w:rsidR="00F1040F">
        <w:rPr>
          <w:rFonts w:ascii="Arial" w:hAnsi="Arial" w:cs="Arial"/>
          <w:sz w:val="22"/>
          <w:szCs w:val="22"/>
          <w:lang w:val="en-GB"/>
        </w:rPr>
        <w:t xml:space="preserve"> allows the court to account for shifts in the debtor’s COMI in the period </w:t>
      </w:r>
      <w:r w:rsidR="000A1042">
        <w:rPr>
          <w:rFonts w:ascii="Arial" w:hAnsi="Arial" w:cs="Arial"/>
          <w:sz w:val="22"/>
          <w:szCs w:val="22"/>
          <w:lang w:val="en-GB"/>
        </w:rPr>
        <w:t>between the commencement of the foreign insolvency proceeding and the date of application for recognition.</w:t>
      </w:r>
      <w:r w:rsidR="00862F01">
        <w:rPr>
          <w:rFonts w:ascii="Arial" w:hAnsi="Arial" w:cs="Arial"/>
          <w:sz w:val="22"/>
          <w:szCs w:val="22"/>
          <w:lang w:val="en-GB"/>
        </w:rPr>
        <w:t xml:space="preserve"> It offsets the debtor’s ability to manipulate the COMI. </w:t>
      </w:r>
    </w:p>
    <w:p w14:paraId="0E7835EF" w14:textId="34B9D3B0" w:rsidR="00862F01" w:rsidRDefault="00862F01" w:rsidP="00F15C03">
      <w:pPr>
        <w:pStyle w:val="ListParagraph"/>
        <w:ind w:left="780"/>
        <w:jc w:val="both"/>
        <w:rPr>
          <w:rFonts w:ascii="Arial" w:hAnsi="Arial" w:cs="Arial"/>
          <w:sz w:val="22"/>
          <w:szCs w:val="22"/>
          <w:lang w:val="en-GB"/>
        </w:rPr>
      </w:pPr>
    </w:p>
    <w:p w14:paraId="22F40536" w14:textId="77777777" w:rsidR="001B5E63" w:rsidRDefault="00862F01" w:rsidP="00F15C03">
      <w:pPr>
        <w:pStyle w:val="ListParagraph"/>
        <w:ind w:left="780"/>
        <w:jc w:val="both"/>
        <w:rPr>
          <w:rFonts w:ascii="Arial" w:hAnsi="Arial" w:cs="Arial"/>
          <w:sz w:val="22"/>
          <w:szCs w:val="22"/>
          <w:lang w:val="en-GB"/>
        </w:rPr>
      </w:pPr>
      <w:r>
        <w:rPr>
          <w:rFonts w:ascii="Arial" w:hAnsi="Arial" w:cs="Arial"/>
          <w:sz w:val="22"/>
          <w:szCs w:val="22"/>
          <w:lang w:val="en-GB"/>
        </w:rPr>
        <w:lastRenderedPageBreak/>
        <w:t>Determination of the COMI by reference to the date of application for recognition may allow</w:t>
      </w:r>
      <w:r w:rsidR="001B5E63">
        <w:rPr>
          <w:rFonts w:ascii="Arial" w:hAnsi="Arial" w:cs="Arial"/>
          <w:sz w:val="22"/>
          <w:szCs w:val="22"/>
          <w:lang w:val="en-GB"/>
        </w:rPr>
        <w:t xml:space="preserve"> the debtor the discretion to take advantage of a jurisdiction that will offer the best prospects for achieving an effective restructuring solution.</w:t>
      </w:r>
    </w:p>
    <w:p w14:paraId="60E89E43" w14:textId="77777777" w:rsidR="001B5E63" w:rsidRDefault="001B5E63" w:rsidP="00F15C03">
      <w:pPr>
        <w:pStyle w:val="ListParagraph"/>
        <w:ind w:left="780"/>
        <w:jc w:val="both"/>
        <w:rPr>
          <w:rFonts w:ascii="Arial" w:hAnsi="Arial" w:cs="Arial"/>
          <w:sz w:val="22"/>
          <w:szCs w:val="22"/>
          <w:lang w:val="en-GB"/>
        </w:rPr>
      </w:pPr>
    </w:p>
    <w:p w14:paraId="57FAD3D0" w14:textId="58C48637" w:rsidR="00862F01" w:rsidRDefault="001B5E63" w:rsidP="00F15C03">
      <w:pPr>
        <w:pStyle w:val="ListParagraph"/>
        <w:ind w:left="780"/>
        <w:jc w:val="both"/>
        <w:rPr>
          <w:rFonts w:ascii="Arial" w:hAnsi="Arial" w:cs="Arial"/>
          <w:sz w:val="22"/>
          <w:szCs w:val="22"/>
          <w:lang w:val="en-GB"/>
        </w:rPr>
      </w:pPr>
      <w:r>
        <w:rPr>
          <w:rFonts w:ascii="Arial" w:hAnsi="Arial" w:cs="Arial"/>
          <w:sz w:val="22"/>
          <w:szCs w:val="22"/>
          <w:lang w:val="en-GB"/>
        </w:rPr>
        <w:t xml:space="preserve">A debtor’s COMI may move </w:t>
      </w:r>
      <w:r w:rsidR="007D3F79">
        <w:rPr>
          <w:rFonts w:ascii="Arial" w:hAnsi="Arial" w:cs="Arial"/>
          <w:sz w:val="22"/>
          <w:szCs w:val="22"/>
          <w:lang w:val="en-GB"/>
        </w:rPr>
        <w:t xml:space="preserve">prior to commencement of insolvency proceedings. In this instance the suggestion is that the </w:t>
      </w:r>
      <w:r w:rsidR="00476C0F">
        <w:rPr>
          <w:rFonts w:ascii="Arial" w:hAnsi="Arial" w:cs="Arial"/>
          <w:sz w:val="22"/>
          <w:szCs w:val="22"/>
          <w:lang w:val="en-GB"/>
        </w:rPr>
        <w:t>receiving</w:t>
      </w:r>
      <w:r w:rsidR="007D3F79">
        <w:rPr>
          <w:rFonts w:ascii="Arial" w:hAnsi="Arial" w:cs="Arial"/>
          <w:sz w:val="22"/>
          <w:szCs w:val="22"/>
          <w:lang w:val="en-GB"/>
        </w:rPr>
        <w:t xml:space="preserve"> court, in determining whether to recognise the proceedings should consider additional factors like whether the COMI is ascertainable to 3</w:t>
      </w:r>
      <w:r w:rsidR="007D3F79" w:rsidRPr="007D3F79">
        <w:rPr>
          <w:rFonts w:ascii="Arial" w:hAnsi="Arial" w:cs="Arial"/>
          <w:sz w:val="22"/>
          <w:szCs w:val="22"/>
          <w:vertAlign w:val="superscript"/>
          <w:lang w:val="en-GB"/>
        </w:rPr>
        <w:t>rd</w:t>
      </w:r>
      <w:r w:rsidR="007D3F79">
        <w:rPr>
          <w:rFonts w:ascii="Arial" w:hAnsi="Arial" w:cs="Arial"/>
          <w:sz w:val="22"/>
          <w:szCs w:val="22"/>
          <w:lang w:val="en-GB"/>
        </w:rPr>
        <w:t xml:space="preserve"> parties. </w:t>
      </w:r>
      <w:r w:rsidR="00862F01">
        <w:rPr>
          <w:rFonts w:ascii="Arial" w:hAnsi="Arial" w:cs="Arial"/>
          <w:sz w:val="22"/>
          <w:szCs w:val="22"/>
          <w:lang w:val="en-GB"/>
        </w:rPr>
        <w:t xml:space="preserve"> </w:t>
      </w:r>
    </w:p>
    <w:p w14:paraId="2DA4FC5E" w14:textId="2D725C72" w:rsidR="007D3F79" w:rsidRDefault="007D3F79" w:rsidP="00F15C03">
      <w:pPr>
        <w:pStyle w:val="ListParagraph"/>
        <w:ind w:left="780"/>
        <w:jc w:val="both"/>
        <w:rPr>
          <w:rFonts w:ascii="Arial" w:hAnsi="Arial" w:cs="Arial"/>
          <w:sz w:val="22"/>
          <w:szCs w:val="22"/>
          <w:lang w:val="en-GB"/>
        </w:rPr>
      </w:pPr>
    </w:p>
    <w:p w14:paraId="17514108" w14:textId="3B0FA32B" w:rsidR="007D3F79" w:rsidRPr="007D4A08" w:rsidRDefault="007D4A08">
      <w:pPr>
        <w:pStyle w:val="ListParagraph"/>
        <w:numPr>
          <w:ilvl w:val="0"/>
          <w:numId w:val="15"/>
        </w:numPr>
        <w:jc w:val="both"/>
        <w:rPr>
          <w:rFonts w:ascii="Arial" w:hAnsi="Arial" w:cs="Arial"/>
          <w:sz w:val="22"/>
          <w:szCs w:val="22"/>
          <w:lang w:val="en-GB"/>
        </w:rPr>
      </w:pPr>
      <w:r>
        <w:rPr>
          <w:rFonts w:ascii="Arial" w:hAnsi="Arial" w:cs="Arial"/>
          <w:b/>
          <w:bCs/>
          <w:sz w:val="22"/>
          <w:szCs w:val="22"/>
          <w:lang w:val="en-GB"/>
        </w:rPr>
        <w:t>Operational history of the debtor.</w:t>
      </w:r>
    </w:p>
    <w:p w14:paraId="61F378F1" w14:textId="71899946" w:rsidR="007D4A08" w:rsidRPr="007D4A08" w:rsidRDefault="007D4A08" w:rsidP="007D4A08">
      <w:pPr>
        <w:pStyle w:val="ListParagraph"/>
        <w:ind w:left="780"/>
        <w:jc w:val="both"/>
        <w:rPr>
          <w:rFonts w:ascii="Arial" w:hAnsi="Arial" w:cs="Arial"/>
          <w:sz w:val="22"/>
          <w:szCs w:val="22"/>
          <w:lang w:val="en-GB"/>
        </w:rPr>
      </w:pPr>
      <w:r>
        <w:rPr>
          <w:rFonts w:ascii="Arial" w:hAnsi="Arial" w:cs="Arial"/>
          <w:sz w:val="22"/>
          <w:szCs w:val="22"/>
          <w:lang w:val="en-GB"/>
        </w:rPr>
        <w:t>This method has been rejected as it increases the likelihood of conflicting COMI determinations and competing main proceedings impact upon the question whether COMI is easily ascertainable by 3</w:t>
      </w:r>
      <w:r w:rsidRPr="007D4A08">
        <w:rPr>
          <w:rFonts w:ascii="Arial" w:hAnsi="Arial" w:cs="Arial"/>
          <w:sz w:val="22"/>
          <w:szCs w:val="22"/>
          <w:vertAlign w:val="superscript"/>
          <w:lang w:val="en-GB"/>
        </w:rPr>
        <w:t>rd</w:t>
      </w:r>
      <w:r>
        <w:rPr>
          <w:rFonts w:ascii="Arial" w:hAnsi="Arial" w:cs="Arial"/>
          <w:sz w:val="22"/>
          <w:szCs w:val="22"/>
          <w:lang w:val="en-GB"/>
        </w:rPr>
        <w:t xml:space="preserve"> parties. </w:t>
      </w:r>
    </w:p>
    <w:p w14:paraId="42FFB06C" w14:textId="661FF16E" w:rsidR="007D3F79" w:rsidRDefault="007D3F79" w:rsidP="00F15C03">
      <w:pPr>
        <w:pStyle w:val="ListParagraph"/>
        <w:ind w:left="780"/>
        <w:jc w:val="both"/>
        <w:rPr>
          <w:rFonts w:ascii="Arial" w:hAnsi="Arial" w:cs="Arial"/>
          <w:sz w:val="22"/>
          <w:szCs w:val="22"/>
          <w:lang w:val="en-GB"/>
        </w:rPr>
      </w:pPr>
    </w:p>
    <w:p w14:paraId="727DECC3" w14:textId="77777777" w:rsidR="007D3F79" w:rsidRPr="00B77352" w:rsidRDefault="007D3F79" w:rsidP="00F15C03">
      <w:pPr>
        <w:pStyle w:val="ListParagraph"/>
        <w:ind w:left="780"/>
        <w:jc w:val="both"/>
        <w:rPr>
          <w:rFonts w:ascii="Avenir Next" w:hAnsi="Avenir Next" w:cs="Arial"/>
          <w:color w:val="808080" w:themeColor="background1" w:themeShade="80"/>
          <w:sz w:val="22"/>
          <w:szCs w:val="22"/>
          <w:lang w:val="en-GB"/>
        </w:rPr>
      </w:pP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3BEB2D4A" w:rsidR="00436884"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48354DB1" w14:textId="3FF26906" w:rsidR="003A446D" w:rsidRDefault="003A446D" w:rsidP="00436884">
      <w:pPr>
        <w:ind w:left="1440" w:hanging="1440"/>
        <w:jc w:val="both"/>
        <w:rPr>
          <w:rFonts w:ascii="Avenir Next" w:hAnsi="Avenir Next" w:cs="Arial"/>
          <w:sz w:val="22"/>
          <w:szCs w:val="22"/>
          <w:lang w:val="en-GB"/>
        </w:rPr>
      </w:pPr>
    </w:p>
    <w:p w14:paraId="51B3F055" w14:textId="7EC6F132" w:rsidR="003A446D" w:rsidRPr="003A446D" w:rsidRDefault="003A446D" w:rsidP="00436884">
      <w:pPr>
        <w:ind w:left="1440" w:hanging="1440"/>
        <w:jc w:val="both"/>
        <w:rPr>
          <w:rFonts w:ascii="Arial" w:hAnsi="Arial" w:cs="Arial"/>
          <w:b/>
          <w:bCs/>
          <w:sz w:val="22"/>
          <w:szCs w:val="22"/>
          <w:lang w:val="en-GB"/>
        </w:rPr>
      </w:pPr>
      <w:r>
        <w:rPr>
          <w:rFonts w:ascii="Arial" w:hAnsi="Arial" w:cs="Arial"/>
          <w:b/>
          <w:bCs/>
          <w:sz w:val="22"/>
          <w:szCs w:val="22"/>
          <w:lang w:val="en-GB"/>
        </w:rPr>
        <w:t xml:space="preserve">ACCESS OF FOREIGN REPRESENTATIVES AND CREDITORS OF A PROCEEDING (identify laws of the enacting Sate relating to insolvency). </w:t>
      </w:r>
      <w:r>
        <w:rPr>
          <w:rFonts w:ascii="Arial" w:hAnsi="Arial" w:cs="Arial"/>
          <w:sz w:val="22"/>
          <w:szCs w:val="22"/>
          <w:lang w:val="en-GB"/>
        </w:rPr>
        <w:t>The Article lays down the requirement of notification to creditors.</w:t>
      </w:r>
      <w:r>
        <w:rPr>
          <w:rFonts w:ascii="Arial" w:hAnsi="Arial" w:cs="Arial"/>
          <w:b/>
          <w:bCs/>
          <w:sz w:val="22"/>
          <w:szCs w:val="22"/>
          <w:lang w:val="en-GB"/>
        </w:rPr>
        <w:t xml:space="preserve"> ARTICLE 14</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76F6D5A4" w:rsidR="00436884" w:rsidRDefault="00436884" w:rsidP="00436884">
      <w:pPr>
        <w:ind w:left="1440" w:hanging="1440"/>
        <w:jc w:val="both"/>
        <w:rPr>
          <w:rFonts w:ascii="Avenir Next" w:hAnsi="Avenir Next" w:cs="Arial"/>
          <w:i/>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66EDC0D" w14:textId="15FCD915" w:rsidR="003E3427" w:rsidRDefault="003E3427" w:rsidP="00436884">
      <w:pPr>
        <w:ind w:left="1440" w:hanging="1440"/>
        <w:jc w:val="both"/>
        <w:rPr>
          <w:rFonts w:ascii="Avenir Next" w:hAnsi="Avenir Next" w:cs="Arial"/>
          <w:i/>
          <w:sz w:val="22"/>
          <w:szCs w:val="22"/>
          <w:lang w:val="en-GB"/>
        </w:rPr>
      </w:pPr>
    </w:p>
    <w:p w14:paraId="25E9C71F" w14:textId="77777777" w:rsidR="002B5AED" w:rsidRDefault="003E3427" w:rsidP="002B5AED">
      <w:pPr>
        <w:ind w:left="1440" w:firstLine="720"/>
        <w:jc w:val="both"/>
        <w:rPr>
          <w:rFonts w:ascii="Arial" w:hAnsi="Arial" w:cs="Arial"/>
          <w:b/>
          <w:bCs/>
          <w:iCs/>
          <w:sz w:val="22"/>
          <w:szCs w:val="22"/>
          <w:lang w:val="en-GB"/>
        </w:rPr>
      </w:pPr>
      <w:r>
        <w:rPr>
          <w:rFonts w:ascii="Arial" w:hAnsi="Arial" w:cs="Arial"/>
          <w:b/>
          <w:bCs/>
          <w:iCs/>
          <w:sz w:val="22"/>
          <w:szCs w:val="22"/>
          <w:lang w:val="en-GB"/>
        </w:rPr>
        <w:t xml:space="preserve">LIMITED JURISDICTION. </w:t>
      </w:r>
    </w:p>
    <w:p w14:paraId="5A266E03" w14:textId="77777777" w:rsidR="002B5AED" w:rsidRDefault="002B5AED" w:rsidP="00436884">
      <w:pPr>
        <w:ind w:left="1440" w:hanging="1440"/>
        <w:jc w:val="both"/>
        <w:rPr>
          <w:rFonts w:ascii="Arial" w:hAnsi="Arial" w:cs="Arial"/>
          <w:b/>
          <w:bCs/>
          <w:iCs/>
          <w:sz w:val="22"/>
          <w:szCs w:val="22"/>
          <w:lang w:val="en-GB"/>
        </w:rPr>
      </w:pPr>
    </w:p>
    <w:p w14:paraId="2020C5EF" w14:textId="1488AB75" w:rsidR="003E3427" w:rsidRPr="003E3427" w:rsidRDefault="003E3427" w:rsidP="002B5AED">
      <w:pPr>
        <w:ind w:left="1440"/>
        <w:jc w:val="both"/>
        <w:rPr>
          <w:rFonts w:ascii="Arial" w:hAnsi="Arial" w:cs="Arial"/>
          <w:b/>
          <w:bCs/>
          <w:iCs/>
          <w:sz w:val="22"/>
          <w:szCs w:val="22"/>
          <w:lang w:val="en-GB"/>
        </w:rPr>
      </w:pPr>
      <w:r>
        <w:rPr>
          <w:rFonts w:ascii="Arial" w:hAnsi="Arial" w:cs="Arial"/>
          <w:b/>
          <w:bCs/>
          <w:iCs/>
          <w:sz w:val="22"/>
          <w:szCs w:val="22"/>
          <w:lang w:val="en-GB"/>
        </w:rPr>
        <w:t>The sole fact that an application pursuant to this law is made to a court in this State by a foreign representative does not subject the foreign representative or the foreign assets and affairs of the debtor to the jurisdiction of the courts of this</w:t>
      </w:r>
      <w:r w:rsidR="002E34C7">
        <w:rPr>
          <w:rFonts w:ascii="Arial" w:hAnsi="Arial" w:cs="Arial"/>
          <w:b/>
          <w:bCs/>
          <w:iCs/>
          <w:sz w:val="22"/>
          <w:szCs w:val="22"/>
          <w:lang w:val="en-GB"/>
        </w:rPr>
        <w:t xml:space="preserve"> State </w:t>
      </w:r>
      <w:r>
        <w:rPr>
          <w:rFonts w:ascii="Arial" w:hAnsi="Arial" w:cs="Arial"/>
          <w:b/>
          <w:bCs/>
          <w:iCs/>
          <w:sz w:val="22"/>
          <w:szCs w:val="22"/>
          <w:lang w:val="en-GB"/>
        </w:rPr>
        <w:t>for</w:t>
      </w:r>
      <w:r w:rsidR="002E34C7">
        <w:rPr>
          <w:rFonts w:ascii="Arial" w:hAnsi="Arial" w:cs="Arial"/>
          <w:b/>
          <w:bCs/>
          <w:iCs/>
          <w:sz w:val="22"/>
          <w:szCs w:val="22"/>
          <w:lang w:val="en-GB"/>
        </w:rPr>
        <w:t xml:space="preserve"> any purpose other than the application. ARTICLE 10</w:t>
      </w:r>
      <w:r>
        <w:rPr>
          <w:rFonts w:ascii="Arial" w:hAnsi="Arial" w:cs="Arial"/>
          <w:b/>
          <w:bCs/>
          <w:iCs/>
          <w:sz w:val="22"/>
          <w:szCs w:val="22"/>
          <w:lang w:val="en-GB"/>
        </w:rPr>
        <w:t xml:space="preserve">   </w:t>
      </w:r>
    </w:p>
    <w:p w14:paraId="069BF4E9" w14:textId="280F498A" w:rsidR="003A446D" w:rsidRDefault="003A446D" w:rsidP="00436884">
      <w:pPr>
        <w:ind w:left="1440" w:hanging="1440"/>
        <w:jc w:val="both"/>
        <w:rPr>
          <w:rFonts w:ascii="Avenir Next" w:hAnsi="Avenir Next" w:cs="Arial"/>
          <w:sz w:val="22"/>
          <w:szCs w:val="22"/>
          <w:lang w:val="en-GB"/>
        </w:rPr>
      </w:pPr>
    </w:p>
    <w:p w14:paraId="6D850421" w14:textId="77777777" w:rsidR="003A446D" w:rsidRPr="003A446D" w:rsidRDefault="003A446D" w:rsidP="00436884">
      <w:pPr>
        <w:ind w:left="1440" w:hanging="1440"/>
        <w:jc w:val="both"/>
        <w:rPr>
          <w:rFonts w:ascii="Arial" w:hAnsi="Arial" w:cs="Arial"/>
          <w:b/>
          <w:bCs/>
          <w:sz w:val="22"/>
          <w:szCs w:val="22"/>
          <w:lang w:val="en-GB"/>
        </w:rPr>
      </w:pP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078A55FC" w:rsidR="00436884"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61114643" w14:textId="6EC16E80" w:rsidR="002B5AED" w:rsidRDefault="002B5AED" w:rsidP="00436884">
      <w:pPr>
        <w:ind w:left="1440" w:hanging="1440"/>
        <w:jc w:val="both"/>
        <w:rPr>
          <w:rFonts w:ascii="Avenir Next" w:hAnsi="Avenir Next" w:cs="Arial"/>
          <w:iCs/>
          <w:sz w:val="22"/>
          <w:szCs w:val="22"/>
          <w:lang w:val="en-GB"/>
        </w:rPr>
      </w:pPr>
    </w:p>
    <w:p w14:paraId="0DB90F80" w14:textId="0F574003" w:rsidR="002B5AED" w:rsidRDefault="002B5AED" w:rsidP="002B5AED">
      <w:pPr>
        <w:ind w:left="1440"/>
        <w:jc w:val="both"/>
        <w:rPr>
          <w:rFonts w:ascii="Arial" w:hAnsi="Arial" w:cs="Arial"/>
          <w:b/>
          <w:bCs/>
          <w:iCs/>
          <w:sz w:val="22"/>
          <w:szCs w:val="22"/>
          <w:lang w:val="en-GB"/>
        </w:rPr>
      </w:pPr>
      <w:r>
        <w:rPr>
          <w:rFonts w:ascii="Arial" w:hAnsi="Arial" w:cs="Arial"/>
          <w:b/>
          <w:bCs/>
          <w:iCs/>
          <w:sz w:val="22"/>
          <w:szCs w:val="22"/>
          <w:lang w:val="en-GB"/>
        </w:rPr>
        <w:t xml:space="preserve">PRESUMPTIONS CONCERNING RECOGNITION </w:t>
      </w:r>
    </w:p>
    <w:p w14:paraId="213F5B2E" w14:textId="1699AE02" w:rsidR="002B5AED" w:rsidRDefault="002B5AED" w:rsidP="002B5AED">
      <w:pPr>
        <w:ind w:left="1440"/>
        <w:jc w:val="both"/>
        <w:rPr>
          <w:rFonts w:ascii="Arial" w:hAnsi="Arial" w:cs="Arial"/>
          <w:b/>
          <w:bCs/>
          <w:iCs/>
          <w:sz w:val="22"/>
          <w:szCs w:val="22"/>
          <w:lang w:val="en-GB"/>
        </w:rPr>
      </w:pPr>
    </w:p>
    <w:p w14:paraId="68D35BE6" w14:textId="12DD78F7" w:rsidR="005D52EA" w:rsidRDefault="002B5AED">
      <w:pPr>
        <w:pStyle w:val="ListParagraph"/>
        <w:numPr>
          <w:ilvl w:val="0"/>
          <w:numId w:val="16"/>
        </w:numPr>
        <w:jc w:val="both"/>
        <w:rPr>
          <w:rFonts w:ascii="Arial" w:hAnsi="Arial" w:cs="Arial"/>
          <w:b/>
          <w:bCs/>
          <w:iCs/>
          <w:sz w:val="22"/>
          <w:szCs w:val="22"/>
          <w:lang w:val="en-GB"/>
        </w:rPr>
      </w:pPr>
      <w:r w:rsidRPr="005D52EA">
        <w:rPr>
          <w:rFonts w:ascii="Arial" w:hAnsi="Arial" w:cs="Arial"/>
          <w:b/>
          <w:bCs/>
          <w:iCs/>
          <w:sz w:val="22"/>
          <w:szCs w:val="22"/>
          <w:lang w:val="en-GB"/>
        </w:rPr>
        <w:t xml:space="preserve">If the decision or certificate referred </w:t>
      </w:r>
      <w:r w:rsidR="000072D3" w:rsidRPr="005D52EA">
        <w:rPr>
          <w:rFonts w:ascii="Arial" w:hAnsi="Arial" w:cs="Arial"/>
          <w:b/>
          <w:bCs/>
          <w:iCs/>
          <w:sz w:val="22"/>
          <w:szCs w:val="22"/>
          <w:lang w:val="en-GB"/>
        </w:rPr>
        <w:t xml:space="preserve">to in paragraph 2 of article 15 indicates that the foreign proceeding is a proceeding within the meaning of subparagraph (a) of article 2 and that the foreign </w:t>
      </w:r>
      <w:proofErr w:type="gramStart"/>
      <w:r w:rsidR="000072D3" w:rsidRPr="005D52EA">
        <w:rPr>
          <w:rFonts w:ascii="Arial" w:hAnsi="Arial" w:cs="Arial"/>
          <w:b/>
          <w:bCs/>
          <w:iCs/>
          <w:sz w:val="22"/>
          <w:szCs w:val="22"/>
          <w:lang w:val="en-GB"/>
        </w:rPr>
        <w:t>representative  is</w:t>
      </w:r>
      <w:proofErr w:type="gramEnd"/>
      <w:r w:rsidR="000072D3" w:rsidRPr="005D52EA">
        <w:rPr>
          <w:rFonts w:ascii="Arial" w:hAnsi="Arial" w:cs="Arial"/>
          <w:b/>
          <w:bCs/>
          <w:iCs/>
          <w:sz w:val="22"/>
          <w:szCs w:val="22"/>
          <w:lang w:val="en-GB"/>
        </w:rPr>
        <w:t xml:space="preserve"> a person or body within the meaning of subparagraph (d) of article 2</w:t>
      </w:r>
      <w:r w:rsidR="005D52EA" w:rsidRPr="005D52EA">
        <w:rPr>
          <w:rFonts w:ascii="Arial" w:hAnsi="Arial" w:cs="Arial"/>
          <w:b/>
          <w:bCs/>
          <w:iCs/>
          <w:sz w:val="22"/>
          <w:szCs w:val="22"/>
          <w:lang w:val="en-GB"/>
        </w:rPr>
        <w:t>, the court is entitled to so presume.</w:t>
      </w:r>
    </w:p>
    <w:p w14:paraId="55764F0E" w14:textId="36C3B62F" w:rsidR="005D52EA" w:rsidRDefault="005D52EA" w:rsidP="005D52EA">
      <w:pPr>
        <w:pStyle w:val="ListParagraph"/>
        <w:ind w:left="2160"/>
        <w:jc w:val="both"/>
        <w:rPr>
          <w:rFonts w:ascii="Arial" w:hAnsi="Arial" w:cs="Arial"/>
          <w:b/>
          <w:bCs/>
          <w:iCs/>
          <w:sz w:val="22"/>
          <w:szCs w:val="22"/>
          <w:lang w:val="en-GB"/>
        </w:rPr>
      </w:pPr>
    </w:p>
    <w:p w14:paraId="0D310AB6" w14:textId="5AB0CA76" w:rsidR="005D52EA" w:rsidRDefault="005D52EA">
      <w:pPr>
        <w:pStyle w:val="ListParagraph"/>
        <w:numPr>
          <w:ilvl w:val="0"/>
          <w:numId w:val="16"/>
        </w:numPr>
        <w:jc w:val="both"/>
        <w:rPr>
          <w:rFonts w:ascii="Arial" w:hAnsi="Arial" w:cs="Arial"/>
          <w:b/>
          <w:bCs/>
          <w:iCs/>
          <w:sz w:val="22"/>
          <w:szCs w:val="22"/>
          <w:lang w:val="en-GB"/>
        </w:rPr>
      </w:pPr>
      <w:r>
        <w:rPr>
          <w:rFonts w:ascii="Arial" w:hAnsi="Arial" w:cs="Arial"/>
          <w:b/>
          <w:bCs/>
          <w:iCs/>
          <w:sz w:val="22"/>
          <w:szCs w:val="22"/>
          <w:lang w:val="en-GB"/>
        </w:rPr>
        <w:lastRenderedPageBreak/>
        <w:t xml:space="preserve">The court is entitled to presume that documents submitted in support of the </w:t>
      </w:r>
      <w:r w:rsidR="00476C0F">
        <w:rPr>
          <w:rFonts w:ascii="Arial" w:hAnsi="Arial" w:cs="Arial"/>
          <w:b/>
          <w:bCs/>
          <w:iCs/>
          <w:sz w:val="22"/>
          <w:szCs w:val="22"/>
          <w:lang w:val="en-GB"/>
        </w:rPr>
        <w:t>application</w:t>
      </w:r>
      <w:r>
        <w:rPr>
          <w:rFonts w:ascii="Arial" w:hAnsi="Arial" w:cs="Arial"/>
          <w:b/>
          <w:bCs/>
          <w:iCs/>
          <w:sz w:val="22"/>
          <w:szCs w:val="22"/>
          <w:lang w:val="en-GB"/>
        </w:rPr>
        <w:t xml:space="preserve"> for recognition are authentic, </w:t>
      </w:r>
      <w:proofErr w:type="gramStart"/>
      <w:r>
        <w:rPr>
          <w:rFonts w:ascii="Arial" w:hAnsi="Arial" w:cs="Arial"/>
          <w:b/>
          <w:bCs/>
          <w:iCs/>
          <w:sz w:val="22"/>
          <w:szCs w:val="22"/>
          <w:lang w:val="en-GB"/>
        </w:rPr>
        <w:t>whether or not</w:t>
      </w:r>
      <w:proofErr w:type="gramEnd"/>
      <w:r>
        <w:rPr>
          <w:rFonts w:ascii="Arial" w:hAnsi="Arial" w:cs="Arial"/>
          <w:b/>
          <w:bCs/>
          <w:iCs/>
          <w:sz w:val="22"/>
          <w:szCs w:val="22"/>
          <w:lang w:val="en-GB"/>
        </w:rPr>
        <w:t xml:space="preserve"> they have been legalised.</w:t>
      </w:r>
    </w:p>
    <w:p w14:paraId="52056999" w14:textId="77777777" w:rsidR="005D52EA" w:rsidRPr="005D52EA" w:rsidRDefault="005D52EA" w:rsidP="005D52EA">
      <w:pPr>
        <w:pStyle w:val="ListParagraph"/>
        <w:rPr>
          <w:rFonts w:ascii="Arial" w:hAnsi="Arial" w:cs="Arial"/>
          <w:b/>
          <w:bCs/>
          <w:iCs/>
          <w:sz w:val="22"/>
          <w:szCs w:val="22"/>
          <w:lang w:val="en-GB"/>
        </w:rPr>
      </w:pPr>
    </w:p>
    <w:p w14:paraId="58FBE177" w14:textId="02CC845C" w:rsidR="005D52EA" w:rsidRPr="0056299C" w:rsidRDefault="00031763">
      <w:pPr>
        <w:pStyle w:val="ListParagraph"/>
        <w:numPr>
          <w:ilvl w:val="0"/>
          <w:numId w:val="16"/>
        </w:numPr>
        <w:jc w:val="both"/>
        <w:rPr>
          <w:rFonts w:ascii="Arial" w:hAnsi="Arial" w:cs="Arial"/>
          <w:b/>
          <w:bCs/>
          <w:iCs/>
          <w:sz w:val="24"/>
          <w:lang w:val="en-GB"/>
        </w:rPr>
      </w:pPr>
      <w:r>
        <w:rPr>
          <w:rFonts w:ascii="Arial" w:hAnsi="Arial" w:cs="Arial"/>
          <w:b/>
          <w:bCs/>
          <w:iCs/>
          <w:sz w:val="22"/>
          <w:szCs w:val="22"/>
          <w:lang w:val="en-GB"/>
        </w:rPr>
        <w:t xml:space="preserve">In the </w:t>
      </w:r>
      <w:r w:rsidR="00BF2F58">
        <w:rPr>
          <w:rFonts w:ascii="Arial" w:hAnsi="Arial" w:cs="Arial"/>
          <w:b/>
          <w:bCs/>
          <w:iCs/>
          <w:sz w:val="22"/>
          <w:szCs w:val="22"/>
          <w:lang w:val="en-GB"/>
        </w:rPr>
        <w:t>absence of proof to the contrary, the debtor’s registered office, or habitual residence in the case of an individual, is presumed to be the centre of the debtor’s main interests.</w:t>
      </w:r>
      <w:r w:rsidR="00E40D1D">
        <w:rPr>
          <w:rFonts w:ascii="Arial" w:hAnsi="Arial" w:cs="Arial"/>
          <w:b/>
          <w:bCs/>
          <w:iCs/>
          <w:sz w:val="22"/>
          <w:szCs w:val="22"/>
          <w:lang w:val="en-GB"/>
        </w:rPr>
        <w:t xml:space="preserve"> </w:t>
      </w:r>
      <w:r w:rsidR="00E40D1D" w:rsidRPr="0056299C">
        <w:rPr>
          <w:rFonts w:ascii="Arial" w:hAnsi="Arial" w:cs="Arial"/>
          <w:b/>
          <w:bCs/>
          <w:iCs/>
          <w:sz w:val="24"/>
          <w:lang w:val="en-GB"/>
        </w:rPr>
        <w:t>Article 16.</w:t>
      </w:r>
      <w:r w:rsidR="00BF2F58" w:rsidRPr="0056299C">
        <w:rPr>
          <w:rFonts w:ascii="Arial" w:hAnsi="Arial" w:cs="Arial"/>
          <w:b/>
          <w:bCs/>
          <w:iCs/>
          <w:sz w:val="24"/>
          <w:lang w:val="en-GB"/>
        </w:rPr>
        <w:t xml:space="preserve"> </w:t>
      </w:r>
    </w:p>
    <w:p w14:paraId="42425F86" w14:textId="77777777" w:rsidR="005D52EA" w:rsidRDefault="005D52EA" w:rsidP="002B5AED">
      <w:pPr>
        <w:ind w:left="1440"/>
        <w:jc w:val="both"/>
        <w:rPr>
          <w:rFonts w:ascii="Arial" w:hAnsi="Arial" w:cs="Arial"/>
          <w:b/>
          <w:bCs/>
          <w:iCs/>
          <w:sz w:val="22"/>
          <w:szCs w:val="22"/>
          <w:lang w:val="en-GB"/>
        </w:rPr>
      </w:pPr>
    </w:p>
    <w:p w14:paraId="20B54258" w14:textId="0F7979CD" w:rsidR="002B5AED" w:rsidRPr="002B5AED" w:rsidRDefault="000072D3" w:rsidP="002B5AED">
      <w:pPr>
        <w:ind w:left="1440"/>
        <w:jc w:val="both"/>
        <w:rPr>
          <w:rFonts w:ascii="Arial" w:hAnsi="Arial" w:cs="Arial"/>
          <w:b/>
          <w:bCs/>
          <w:iCs/>
          <w:sz w:val="22"/>
          <w:szCs w:val="22"/>
          <w:lang w:val="en-GB"/>
        </w:rPr>
      </w:pPr>
      <w:r>
        <w:rPr>
          <w:rFonts w:ascii="Arial" w:hAnsi="Arial" w:cs="Arial"/>
          <w:b/>
          <w:bCs/>
          <w:iCs/>
          <w:sz w:val="22"/>
          <w:szCs w:val="22"/>
          <w:lang w:val="en-GB"/>
        </w:rPr>
        <w:t xml:space="preserve"> </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4DCDB27C" w:rsidR="00530003"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674526BF" w14:textId="62EC5636" w:rsidR="00F01B1E" w:rsidRDefault="00F01B1E" w:rsidP="00530003">
      <w:pPr>
        <w:jc w:val="both"/>
        <w:rPr>
          <w:rFonts w:ascii="Avenir Next" w:hAnsi="Avenir Next" w:cs="Arial"/>
          <w:sz w:val="22"/>
          <w:szCs w:val="22"/>
          <w:lang w:val="en-GB"/>
        </w:rPr>
      </w:pPr>
    </w:p>
    <w:p w14:paraId="48E70F6D" w14:textId="716DA4BD" w:rsidR="00C270C5" w:rsidRDefault="00F01B1E" w:rsidP="00530003">
      <w:pPr>
        <w:jc w:val="both"/>
        <w:rPr>
          <w:rFonts w:ascii="Arial" w:hAnsi="Arial" w:cs="Arial"/>
          <w:sz w:val="22"/>
          <w:szCs w:val="22"/>
          <w:lang w:val="en-GB"/>
        </w:rPr>
      </w:pPr>
      <w:r>
        <w:rPr>
          <w:rFonts w:ascii="Arial" w:hAnsi="Arial" w:cs="Arial"/>
          <w:sz w:val="22"/>
          <w:szCs w:val="22"/>
          <w:lang w:val="en-GB"/>
        </w:rPr>
        <w:t>In this case an Azeri foreign representative was granted a recognition order and requested appropriate relief under the Model law</w:t>
      </w:r>
      <w:r w:rsidR="00C270C5">
        <w:rPr>
          <w:rFonts w:ascii="Arial" w:hAnsi="Arial" w:cs="Arial"/>
          <w:sz w:val="22"/>
          <w:szCs w:val="22"/>
          <w:lang w:val="en-GB"/>
        </w:rPr>
        <w:t xml:space="preserve"> in the form of an indefinite continuation of the automatic moratorium that resulted from an earlier recognition order. The issue was that the court should not exercise its power to grant an indefinite moratorium continuation if to do so </w:t>
      </w:r>
      <w:r w:rsidR="00476C0F">
        <w:rPr>
          <w:rFonts w:ascii="Arial" w:hAnsi="Arial" w:cs="Arial"/>
          <w:sz w:val="22"/>
          <w:szCs w:val="22"/>
          <w:lang w:val="en-GB"/>
        </w:rPr>
        <w:t>would.</w:t>
      </w:r>
    </w:p>
    <w:p w14:paraId="4BA5D196" w14:textId="77777777" w:rsidR="00C270C5" w:rsidRDefault="00C270C5" w:rsidP="00530003">
      <w:pPr>
        <w:jc w:val="both"/>
        <w:rPr>
          <w:rFonts w:ascii="Arial" w:hAnsi="Arial" w:cs="Arial"/>
          <w:sz w:val="22"/>
          <w:szCs w:val="22"/>
          <w:lang w:val="en-GB"/>
        </w:rPr>
      </w:pPr>
    </w:p>
    <w:p w14:paraId="1FB433E1" w14:textId="6DB228BD" w:rsidR="00F01B1E" w:rsidRDefault="00C270C5" w:rsidP="00C270C5">
      <w:pPr>
        <w:pStyle w:val="ListParagraph"/>
        <w:numPr>
          <w:ilvl w:val="0"/>
          <w:numId w:val="17"/>
        </w:numPr>
        <w:jc w:val="both"/>
        <w:rPr>
          <w:rFonts w:ascii="Arial" w:hAnsi="Arial" w:cs="Arial"/>
          <w:sz w:val="22"/>
          <w:szCs w:val="22"/>
          <w:lang w:val="en-GB"/>
        </w:rPr>
      </w:pPr>
      <w:r>
        <w:rPr>
          <w:rFonts w:ascii="Arial" w:hAnsi="Arial" w:cs="Arial"/>
          <w:sz w:val="22"/>
          <w:szCs w:val="22"/>
          <w:lang w:val="en-GB"/>
        </w:rPr>
        <w:t>Prevent English creditors from enforcing their English law rights in accordance with the “</w:t>
      </w:r>
      <w:r>
        <w:rPr>
          <w:rFonts w:ascii="Arial" w:hAnsi="Arial" w:cs="Arial"/>
          <w:b/>
          <w:bCs/>
          <w:sz w:val="22"/>
          <w:szCs w:val="22"/>
          <w:lang w:val="en-GB"/>
        </w:rPr>
        <w:t>Gibb’s Rule”</w:t>
      </w:r>
      <w:r w:rsidR="00546CB8">
        <w:rPr>
          <w:rFonts w:ascii="Arial" w:hAnsi="Arial" w:cs="Arial"/>
          <w:b/>
          <w:bCs/>
          <w:sz w:val="22"/>
          <w:szCs w:val="22"/>
          <w:lang w:val="en-GB"/>
        </w:rPr>
        <w:t xml:space="preserve"> </w:t>
      </w:r>
      <w:r>
        <w:rPr>
          <w:rFonts w:ascii="Arial" w:hAnsi="Arial" w:cs="Arial"/>
          <w:sz w:val="22"/>
          <w:szCs w:val="22"/>
          <w:lang w:val="en-GB"/>
        </w:rPr>
        <w:t>and or,</w:t>
      </w:r>
    </w:p>
    <w:p w14:paraId="0F3E78A0" w14:textId="6AA6534F" w:rsidR="00C270C5" w:rsidRDefault="00C270C5" w:rsidP="00C270C5">
      <w:pPr>
        <w:pStyle w:val="ListParagraph"/>
        <w:ind w:left="840"/>
        <w:jc w:val="both"/>
        <w:rPr>
          <w:rFonts w:ascii="Arial" w:hAnsi="Arial" w:cs="Arial"/>
          <w:sz w:val="22"/>
          <w:szCs w:val="22"/>
          <w:lang w:val="en-GB"/>
        </w:rPr>
      </w:pPr>
    </w:p>
    <w:p w14:paraId="09D6FEF4" w14:textId="7A1FADE5" w:rsidR="00C270C5" w:rsidRDefault="00C270C5" w:rsidP="00C270C5">
      <w:pPr>
        <w:pStyle w:val="ListParagraph"/>
        <w:numPr>
          <w:ilvl w:val="0"/>
          <w:numId w:val="17"/>
        </w:numPr>
        <w:jc w:val="both"/>
        <w:rPr>
          <w:rFonts w:ascii="Arial" w:hAnsi="Arial" w:cs="Arial"/>
          <w:sz w:val="22"/>
          <w:szCs w:val="22"/>
          <w:lang w:val="en-GB"/>
        </w:rPr>
      </w:pPr>
      <w:r>
        <w:rPr>
          <w:rFonts w:ascii="Arial" w:hAnsi="Arial" w:cs="Arial"/>
          <w:sz w:val="22"/>
          <w:szCs w:val="22"/>
          <w:lang w:val="en-GB"/>
        </w:rPr>
        <w:t>Prolong the stay after the Azeri reconstruction has come to an end.</w:t>
      </w:r>
    </w:p>
    <w:p w14:paraId="572FB5CA" w14:textId="77777777" w:rsidR="00C270C5" w:rsidRPr="00C270C5" w:rsidRDefault="00C270C5" w:rsidP="00C270C5">
      <w:pPr>
        <w:pStyle w:val="ListParagraph"/>
        <w:rPr>
          <w:rFonts w:ascii="Arial" w:hAnsi="Arial" w:cs="Arial"/>
          <w:sz w:val="22"/>
          <w:szCs w:val="22"/>
          <w:lang w:val="en-GB"/>
        </w:rPr>
      </w:pPr>
    </w:p>
    <w:p w14:paraId="2C5F1830" w14:textId="3101C1DD" w:rsidR="00C270C5" w:rsidRDefault="00C270C5" w:rsidP="00C270C5">
      <w:pPr>
        <w:jc w:val="both"/>
        <w:rPr>
          <w:rFonts w:ascii="Arial" w:hAnsi="Arial" w:cs="Arial"/>
          <w:sz w:val="22"/>
          <w:szCs w:val="22"/>
          <w:lang w:val="en-GB"/>
        </w:rPr>
      </w:pPr>
      <w:r>
        <w:rPr>
          <w:rFonts w:ascii="Arial" w:hAnsi="Arial" w:cs="Arial"/>
          <w:sz w:val="22"/>
          <w:szCs w:val="22"/>
          <w:lang w:val="en-GB"/>
        </w:rPr>
        <w:t>The Court of Appeal held that an</w:t>
      </w:r>
      <w:r w:rsidR="00E861C0">
        <w:rPr>
          <w:rFonts w:ascii="Arial" w:hAnsi="Arial" w:cs="Arial"/>
          <w:sz w:val="22"/>
          <w:szCs w:val="22"/>
          <w:lang w:val="en-GB"/>
        </w:rPr>
        <w:t xml:space="preserve"> English court could properly g</w:t>
      </w:r>
      <w:r w:rsidR="001C6DD9">
        <w:rPr>
          <w:rFonts w:ascii="Arial" w:hAnsi="Arial" w:cs="Arial"/>
          <w:sz w:val="22"/>
          <w:szCs w:val="22"/>
          <w:lang w:val="en-GB"/>
        </w:rPr>
        <w:t>r</w:t>
      </w:r>
      <w:r w:rsidR="00E861C0">
        <w:rPr>
          <w:rFonts w:ascii="Arial" w:hAnsi="Arial" w:cs="Arial"/>
          <w:sz w:val="22"/>
          <w:szCs w:val="22"/>
          <w:lang w:val="en-GB"/>
        </w:rPr>
        <w:t>ant the indefinite moratorium continuation if</w:t>
      </w:r>
      <w:r w:rsidR="00170334">
        <w:rPr>
          <w:rFonts w:ascii="Arial" w:hAnsi="Arial" w:cs="Arial"/>
          <w:sz w:val="22"/>
          <w:szCs w:val="22"/>
          <w:lang w:val="en-GB"/>
        </w:rPr>
        <w:t xml:space="preserve"> it was satisfied </w:t>
      </w:r>
      <w:r w:rsidR="00476C0F">
        <w:rPr>
          <w:rFonts w:ascii="Arial" w:hAnsi="Arial" w:cs="Arial"/>
          <w:sz w:val="22"/>
          <w:szCs w:val="22"/>
          <w:lang w:val="en-GB"/>
        </w:rPr>
        <w:t>that.</w:t>
      </w:r>
    </w:p>
    <w:p w14:paraId="007FD9E3" w14:textId="43D68380" w:rsidR="00170334" w:rsidRDefault="00170334" w:rsidP="00C270C5">
      <w:pPr>
        <w:jc w:val="both"/>
        <w:rPr>
          <w:rFonts w:ascii="Arial" w:hAnsi="Arial" w:cs="Arial"/>
          <w:sz w:val="22"/>
          <w:szCs w:val="22"/>
          <w:lang w:val="en-GB"/>
        </w:rPr>
      </w:pPr>
    </w:p>
    <w:p w14:paraId="177F9B86" w14:textId="39DD109A" w:rsidR="00170334" w:rsidRDefault="00170334" w:rsidP="00170334">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The stay would </w:t>
      </w:r>
      <w:r w:rsidR="00476C0F">
        <w:rPr>
          <w:rFonts w:ascii="Arial" w:hAnsi="Arial" w:cs="Arial"/>
          <w:sz w:val="22"/>
          <w:szCs w:val="22"/>
          <w:lang w:val="en-GB"/>
        </w:rPr>
        <w:t>be necessary</w:t>
      </w:r>
      <w:r>
        <w:rPr>
          <w:rFonts w:ascii="Arial" w:hAnsi="Arial" w:cs="Arial"/>
          <w:sz w:val="22"/>
          <w:szCs w:val="22"/>
          <w:lang w:val="en-GB"/>
        </w:rPr>
        <w:t xml:space="preserve"> to protect the interests of IBA’s creditors </w:t>
      </w:r>
      <w:proofErr w:type="gramStart"/>
      <w:r>
        <w:rPr>
          <w:rFonts w:ascii="Arial" w:hAnsi="Arial" w:cs="Arial"/>
          <w:sz w:val="22"/>
          <w:szCs w:val="22"/>
          <w:lang w:val="en-GB"/>
        </w:rPr>
        <w:t>and;</w:t>
      </w:r>
      <w:proofErr w:type="gramEnd"/>
    </w:p>
    <w:p w14:paraId="59A60815" w14:textId="77777777" w:rsidR="00170334" w:rsidRDefault="00170334" w:rsidP="00170334">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The stay would be an appropriate way of achieving such protection. </w:t>
      </w:r>
    </w:p>
    <w:p w14:paraId="37A2AB4E" w14:textId="77777777" w:rsidR="00170334" w:rsidRDefault="00170334" w:rsidP="00170334">
      <w:pPr>
        <w:jc w:val="both"/>
        <w:rPr>
          <w:rFonts w:ascii="Arial" w:hAnsi="Arial" w:cs="Arial"/>
          <w:sz w:val="22"/>
          <w:szCs w:val="22"/>
          <w:lang w:val="en-GB"/>
        </w:rPr>
      </w:pPr>
    </w:p>
    <w:p w14:paraId="4114C1BF" w14:textId="32AEB690" w:rsidR="00170334" w:rsidRDefault="00170334" w:rsidP="00707FC8">
      <w:pPr>
        <w:jc w:val="both"/>
        <w:rPr>
          <w:rFonts w:ascii="Arial" w:hAnsi="Arial" w:cs="Arial"/>
          <w:sz w:val="22"/>
          <w:szCs w:val="22"/>
          <w:lang w:val="en-GB"/>
        </w:rPr>
      </w:pPr>
      <w:r>
        <w:rPr>
          <w:rFonts w:ascii="Arial" w:hAnsi="Arial" w:cs="Arial"/>
          <w:sz w:val="22"/>
          <w:szCs w:val="22"/>
          <w:lang w:val="en-GB"/>
        </w:rPr>
        <w:t>The court held that neither of the conditions had been satisfied and the</w:t>
      </w:r>
      <w:r w:rsidR="00476C0F">
        <w:rPr>
          <w:rFonts w:ascii="Arial" w:hAnsi="Arial" w:cs="Arial"/>
          <w:sz w:val="22"/>
          <w:szCs w:val="22"/>
          <w:lang w:val="en-GB"/>
        </w:rPr>
        <w:t>re</w:t>
      </w:r>
      <w:r>
        <w:rPr>
          <w:rFonts w:ascii="Arial" w:hAnsi="Arial" w:cs="Arial"/>
          <w:sz w:val="22"/>
          <w:szCs w:val="22"/>
          <w:lang w:val="en-GB"/>
        </w:rPr>
        <w:t>f</w:t>
      </w:r>
      <w:r w:rsidR="00476C0F">
        <w:rPr>
          <w:rFonts w:ascii="Arial" w:hAnsi="Arial" w:cs="Arial"/>
          <w:sz w:val="22"/>
          <w:szCs w:val="22"/>
          <w:lang w:val="en-GB"/>
        </w:rPr>
        <w:t>or</w:t>
      </w:r>
      <w:r>
        <w:rPr>
          <w:rFonts w:ascii="Arial" w:hAnsi="Arial" w:cs="Arial"/>
          <w:sz w:val="22"/>
          <w:szCs w:val="22"/>
          <w:lang w:val="en-GB"/>
        </w:rPr>
        <w:t xml:space="preserve"> declined to exercise its power in grant the indefinite moratorium continuation.</w:t>
      </w:r>
    </w:p>
    <w:p w14:paraId="168EBB52" w14:textId="5D131B8C" w:rsidR="00C82D87" w:rsidRPr="00E2622D" w:rsidRDefault="00170334" w:rsidP="00707FC8">
      <w:pPr>
        <w:jc w:val="both"/>
        <w:rPr>
          <w:rFonts w:ascii="Avenir Next" w:hAnsi="Avenir Next" w:cs="Arial"/>
          <w:sz w:val="22"/>
          <w:szCs w:val="22"/>
          <w:lang w:val="en-GB"/>
        </w:rPr>
      </w:pPr>
      <w:r>
        <w:rPr>
          <w:rFonts w:ascii="Arial" w:hAnsi="Arial" w:cs="Arial"/>
          <w:sz w:val="22"/>
          <w:szCs w:val="22"/>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4BE70C01" w:rsidR="0041139B"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79C463B1" w14:textId="7E317BA0" w:rsidR="00C67A18" w:rsidRDefault="00C67A18" w:rsidP="00707FC8">
      <w:pPr>
        <w:jc w:val="both"/>
        <w:rPr>
          <w:rFonts w:ascii="Avenir Next" w:hAnsi="Avenir Next" w:cs="Arial"/>
          <w:sz w:val="22"/>
          <w:szCs w:val="22"/>
          <w:lang w:val="en-GB"/>
        </w:rPr>
      </w:pPr>
    </w:p>
    <w:p w14:paraId="7951971D" w14:textId="77777777" w:rsidR="00B22301" w:rsidRDefault="00C67A18" w:rsidP="00707FC8">
      <w:pPr>
        <w:jc w:val="both"/>
        <w:rPr>
          <w:rFonts w:ascii="Arial" w:hAnsi="Arial" w:cs="Arial"/>
          <w:sz w:val="22"/>
          <w:szCs w:val="22"/>
          <w:lang w:val="en-GB"/>
        </w:rPr>
      </w:pPr>
      <w:r>
        <w:rPr>
          <w:rFonts w:ascii="Arial" w:hAnsi="Arial" w:cs="Arial"/>
          <w:sz w:val="22"/>
          <w:szCs w:val="22"/>
          <w:lang w:val="en-GB"/>
        </w:rPr>
        <w:t>In terms of Article 29 (b) (ii) the court may modify or terminate relief granted under Article 20 if the relief is inconsistent with the domestic insolvency proceedings.</w:t>
      </w:r>
    </w:p>
    <w:p w14:paraId="27F443B9" w14:textId="77777777" w:rsidR="00B22301" w:rsidRDefault="00B22301" w:rsidP="00707FC8">
      <w:pPr>
        <w:jc w:val="both"/>
        <w:rPr>
          <w:rFonts w:ascii="Arial" w:hAnsi="Arial" w:cs="Arial"/>
          <w:sz w:val="22"/>
          <w:szCs w:val="22"/>
          <w:lang w:val="en-GB"/>
        </w:rPr>
      </w:pPr>
    </w:p>
    <w:p w14:paraId="79C0BF76" w14:textId="18734851" w:rsidR="00B22301" w:rsidRDefault="00B22301" w:rsidP="00707FC8">
      <w:pPr>
        <w:jc w:val="both"/>
        <w:rPr>
          <w:rFonts w:ascii="Arial" w:hAnsi="Arial" w:cs="Arial"/>
          <w:sz w:val="22"/>
          <w:szCs w:val="22"/>
          <w:lang w:val="en-GB"/>
        </w:rPr>
      </w:pPr>
      <w:r>
        <w:rPr>
          <w:rFonts w:ascii="Arial" w:hAnsi="Arial" w:cs="Arial"/>
          <w:sz w:val="22"/>
          <w:szCs w:val="22"/>
          <w:lang w:val="en-GB"/>
        </w:rPr>
        <w:t xml:space="preserve">The foreign </w:t>
      </w:r>
      <w:r w:rsidR="00476C0F">
        <w:rPr>
          <w:rFonts w:ascii="Arial" w:hAnsi="Arial" w:cs="Arial"/>
          <w:sz w:val="22"/>
          <w:szCs w:val="22"/>
          <w:lang w:val="en-GB"/>
        </w:rPr>
        <w:t>representative has</w:t>
      </w:r>
      <w:r>
        <w:rPr>
          <w:rFonts w:ascii="Arial" w:hAnsi="Arial" w:cs="Arial"/>
          <w:sz w:val="22"/>
          <w:szCs w:val="22"/>
          <w:lang w:val="en-GB"/>
        </w:rPr>
        <w:t xml:space="preserve"> a duty to inform the court </w:t>
      </w:r>
      <w:r w:rsidR="00546CB8">
        <w:rPr>
          <w:rFonts w:ascii="Arial" w:hAnsi="Arial" w:cs="Arial"/>
          <w:sz w:val="22"/>
          <w:szCs w:val="22"/>
          <w:lang w:val="en-GB"/>
        </w:rPr>
        <w:t>of.</w:t>
      </w:r>
    </w:p>
    <w:p w14:paraId="6B0953E2" w14:textId="77777777" w:rsidR="00B22301" w:rsidRDefault="00B22301" w:rsidP="00707FC8">
      <w:pPr>
        <w:jc w:val="both"/>
        <w:rPr>
          <w:rFonts w:ascii="Arial" w:hAnsi="Arial" w:cs="Arial"/>
          <w:sz w:val="22"/>
          <w:szCs w:val="22"/>
          <w:lang w:val="en-GB"/>
        </w:rPr>
      </w:pPr>
    </w:p>
    <w:p w14:paraId="4B60B2EB" w14:textId="6A5AB23D" w:rsidR="00C67A18" w:rsidRDefault="00B22301" w:rsidP="00B22301">
      <w:pPr>
        <w:pStyle w:val="ListParagraph"/>
        <w:numPr>
          <w:ilvl w:val="0"/>
          <w:numId w:val="22"/>
        </w:numPr>
        <w:jc w:val="both"/>
        <w:rPr>
          <w:rFonts w:ascii="Arial" w:hAnsi="Arial" w:cs="Arial"/>
          <w:sz w:val="22"/>
          <w:szCs w:val="22"/>
          <w:lang w:val="en-GB"/>
        </w:rPr>
      </w:pPr>
      <w:r>
        <w:rPr>
          <w:rFonts w:ascii="Arial" w:hAnsi="Arial" w:cs="Arial"/>
          <w:sz w:val="22"/>
          <w:szCs w:val="22"/>
          <w:lang w:val="en-GB"/>
        </w:rPr>
        <w:t xml:space="preserve">Any substantial change in the status of the recognised foreign proceeding or the status of the foreign representative’s appointment </w:t>
      </w:r>
      <w:r w:rsidR="00476C0F">
        <w:rPr>
          <w:rFonts w:ascii="Arial" w:hAnsi="Arial" w:cs="Arial"/>
          <w:sz w:val="22"/>
          <w:szCs w:val="22"/>
          <w:lang w:val="en-GB"/>
        </w:rPr>
        <w:t>and.</w:t>
      </w:r>
    </w:p>
    <w:p w14:paraId="2174FA60" w14:textId="478A2522" w:rsidR="00B22301" w:rsidRDefault="00B22301" w:rsidP="00B22301">
      <w:pPr>
        <w:pStyle w:val="ListParagraph"/>
        <w:numPr>
          <w:ilvl w:val="0"/>
          <w:numId w:val="22"/>
        </w:numPr>
        <w:jc w:val="both"/>
        <w:rPr>
          <w:rFonts w:ascii="Arial" w:hAnsi="Arial" w:cs="Arial"/>
          <w:sz w:val="22"/>
          <w:szCs w:val="22"/>
          <w:lang w:val="en-GB"/>
        </w:rPr>
      </w:pPr>
      <w:r>
        <w:rPr>
          <w:rFonts w:ascii="Arial" w:hAnsi="Arial" w:cs="Arial"/>
          <w:sz w:val="22"/>
          <w:szCs w:val="22"/>
          <w:lang w:val="en-GB"/>
        </w:rPr>
        <w:lastRenderedPageBreak/>
        <w:t>Any other foreign proceedings regarding the same debtor that becomes known to the foreign representative.</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0847F74D" w:rsidR="00867A8F" w:rsidRPr="00C67A18" w:rsidRDefault="00867A8F" w:rsidP="00867A8F">
      <w:pPr>
        <w:ind w:left="720" w:hanging="720"/>
        <w:jc w:val="both"/>
        <w:rPr>
          <w:rFonts w:ascii="Arial" w:hAnsi="Arial"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168BA0CC" w:rsidR="00E27E3C"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05A472C7" w14:textId="10D3E668" w:rsidR="00691B27" w:rsidRDefault="00691B27" w:rsidP="00E27E3C">
      <w:pPr>
        <w:jc w:val="both"/>
        <w:rPr>
          <w:rFonts w:ascii="Avenir Next" w:hAnsi="Avenir Next" w:cs="Arial"/>
          <w:sz w:val="22"/>
          <w:szCs w:val="22"/>
          <w:lang w:val="en-GB"/>
        </w:rPr>
      </w:pPr>
    </w:p>
    <w:p w14:paraId="6C592037" w14:textId="30EC02F1" w:rsidR="002A6AE0" w:rsidRDefault="00691B27" w:rsidP="00E27E3C">
      <w:pPr>
        <w:jc w:val="both"/>
        <w:rPr>
          <w:rFonts w:ascii="Arial" w:hAnsi="Arial" w:cs="Arial"/>
          <w:sz w:val="22"/>
          <w:szCs w:val="22"/>
          <w:lang w:val="en-GB"/>
        </w:rPr>
      </w:pPr>
      <w:r w:rsidRPr="00691B27">
        <w:rPr>
          <w:rFonts w:ascii="Arial" w:hAnsi="Arial" w:cs="Arial"/>
          <w:sz w:val="22"/>
          <w:szCs w:val="22"/>
          <w:lang w:val="en-GB"/>
        </w:rPr>
        <w:t xml:space="preserve">The COMI of the </w:t>
      </w:r>
      <w:r>
        <w:rPr>
          <w:rFonts w:ascii="Arial" w:hAnsi="Arial" w:cs="Arial"/>
          <w:sz w:val="22"/>
          <w:szCs w:val="22"/>
          <w:lang w:val="en-GB"/>
        </w:rPr>
        <w:t xml:space="preserve">debtor will determine the consequences of the recognition, so that if the COMI of the debtor is in </w:t>
      </w:r>
      <w:r w:rsidR="00476C0F">
        <w:rPr>
          <w:rFonts w:ascii="Arial" w:hAnsi="Arial" w:cs="Arial"/>
          <w:sz w:val="22"/>
          <w:szCs w:val="22"/>
          <w:lang w:val="en-GB"/>
        </w:rPr>
        <w:t>the</w:t>
      </w:r>
      <w:r>
        <w:rPr>
          <w:rFonts w:ascii="Arial" w:hAnsi="Arial" w:cs="Arial"/>
          <w:sz w:val="22"/>
          <w:szCs w:val="22"/>
          <w:lang w:val="en-GB"/>
        </w:rPr>
        <w:t xml:space="preserve"> jurisdiction </w:t>
      </w:r>
      <w:r w:rsidR="00476C0F">
        <w:rPr>
          <w:rFonts w:ascii="Arial" w:hAnsi="Arial" w:cs="Arial"/>
          <w:sz w:val="22"/>
          <w:szCs w:val="22"/>
          <w:lang w:val="en-GB"/>
        </w:rPr>
        <w:t>where</w:t>
      </w:r>
      <w:r>
        <w:rPr>
          <w:rFonts w:ascii="Arial" w:hAnsi="Arial" w:cs="Arial"/>
          <w:sz w:val="22"/>
          <w:szCs w:val="22"/>
          <w:lang w:val="en-GB"/>
        </w:rPr>
        <w:t xml:space="preserve"> the foreign proceedings have been opened, the proceedings are main insolvency proceedings with automatic mandatory relief. If a debtor only has an establishment in the jurisdiction where the foreign proceedings are opened, the proceedings are non-main proceedings</w:t>
      </w:r>
      <w:r w:rsidR="00FE6FF5">
        <w:rPr>
          <w:rFonts w:ascii="Arial" w:hAnsi="Arial" w:cs="Arial"/>
          <w:sz w:val="22"/>
          <w:szCs w:val="22"/>
          <w:lang w:val="en-GB"/>
        </w:rPr>
        <w:t>, without automatic relief, but only discretionary post-</w:t>
      </w:r>
      <w:r w:rsidR="00476C0F">
        <w:rPr>
          <w:rFonts w:ascii="Arial" w:hAnsi="Arial" w:cs="Arial"/>
          <w:sz w:val="22"/>
          <w:szCs w:val="22"/>
          <w:lang w:val="en-GB"/>
        </w:rPr>
        <w:t>recognition</w:t>
      </w:r>
      <w:r w:rsidR="00FE6FF5">
        <w:rPr>
          <w:rFonts w:ascii="Arial" w:hAnsi="Arial" w:cs="Arial"/>
          <w:sz w:val="22"/>
          <w:szCs w:val="22"/>
          <w:lang w:val="en-GB"/>
        </w:rPr>
        <w:t xml:space="preserve"> relief </w:t>
      </w:r>
      <w:r w:rsidR="00476C0F">
        <w:rPr>
          <w:rFonts w:ascii="Arial" w:hAnsi="Arial" w:cs="Arial"/>
          <w:sz w:val="22"/>
          <w:szCs w:val="22"/>
          <w:lang w:val="en-GB"/>
        </w:rPr>
        <w:t>granted</w:t>
      </w:r>
      <w:r w:rsidR="00FE6FF5">
        <w:rPr>
          <w:rFonts w:ascii="Arial" w:hAnsi="Arial" w:cs="Arial"/>
          <w:sz w:val="22"/>
          <w:szCs w:val="22"/>
          <w:lang w:val="en-GB"/>
        </w:rPr>
        <w:t xml:space="preserve"> by the law.</w:t>
      </w:r>
    </w:p>
    <w:p w14:paraId="53FECC69" w14:textId="77777777" w:rsidR="002A6AE0" w:rsidRDefault="002A6AE0" w:rsidP="00E27E3C">
      <w:pPr>
        <w:jc w:val="both"/>
        <w:rPr>
          <w:rFonts w:ascii="Arial" w:hAnsi="Arial" w:cs="Arial"/>
          <w:sz w:val="22"/>
          <w:szCs w:val="22"/>
          <w:lang w:val="en-GB"/>
        </w:rPr>
      </w:pPr>
    </w:p>
    <w:p w14:paraId="76323C0D" w14:textId="5F65BE39" w:rsidR="003B7C1E" w:rsidRDefault="002A6AE0" w:rsidP="00E27E3C">
      <w:pPr>
        <w:jc w:val="both"/>
        <w:rPr>
          <w:rFonts w:ascii="Arial" w:hAnsi="Arial" w:cs="Arial"/>
          <w:sz w:val="22"/>
          <w:szCs w:val="22"/>
          <w:lang w:val="en-GB"/>
        </w:rPr>
      </w:pPr>
      <w:r>
        <w:rPr>
          <w:rFonts w:ascii="Arial" w:hAnsi="Arial" w:cs="Arial"/>
          <w:sz w:val="22"/>
          <w:szCs w:val="22"/>
          <w:lang w:val="en-GB"/>
        </w:rPr>
        <w:t xml:space="preserve">In cases deemed urgent </w:t>
      </w:r>
      <w:proofErr w:type="gramStart"/>
      <w:r w:rsidR="00476C0F">
        <w:rPr>
          <w:rFonts w:ascii="Arial" w:hAnsi="Arial" w:cs="Arial"/>
          <w:sz w:val="22"/>
          <w:szCs w:val="22"/>
          <w:lang w:val="en-GB"/>
        </w:rPr>
        <w:t>in order</w:t>
      </w:r>
      <w:r>
        <w:rPr>
          <w:rFonts w:ascii="Arial" w:hAnsi="Arial" w:cs="Arial"/>
          <w:sz w:val="22"/>
          <w:szCs w:val="22"/>
          <w:lang w:val="en-GB"/>
        </w:rPr>
        <w:t xml:space="preserve"> to</w:t>
      </w:r>
      <w:proofErr w:type="gramEnd"/>
      <w:r>
        <w:rPr>
          <w:rFonts w:ascii="Arial" w:hAnsi="Arial" w:cs="Arial"/>
          <w:sz w:val="22"/>
          <w:szCs w:val="22"/>
          <w:lang w:val="en-GB"/>
        </w:rPr>
        <w:t xml:space="preserve"> secure the assets of the debtor, the foreign representative may approach</w:t>
      </w:r>
      <w:r w:rsidR="003B7C1E">
        <w:rPr>
          <w:rFonts w:ascii="Arial" w:hAnsi="Arial" w:cs="Arial"/>
          <w:sz w:val="22"/>
          <w:szCs w:val="22"/>
          <w:lang w:val="en-GB"/>
        </w:rPr>
        <w:t xml:space="preserve"> the court before the court has decided on the recognition application for specific relief that secures the assets of the debtor</w:t>
      </w:r>
      <w:r w:rsidR="00691B27">
        <w:rPr>
          <w:rFonts w:ascii="Arial" w:hAnsi="Arial" w:cs="Arial"/>
          <w:sz w:val="22"/>
          <w:szCs w:val="22"/>
          <w:lang w:val="en-GB"/>
        </w:rPr>
        <w:t>.</w:t>
      </w:r>
      <w:r w:rsidR="003B7C1E">
        <w:rPr>
          <w:rFonts w:ascii="Arial" w:hAnsi="Arial" w:cs="Arial"/>
          <w:sz w:val="22"/>
          <w:szCs w:val="22"/>
          <w:lang w:val="en-GB"/>
        </w:rPr>
        <w:t xml:space="preserve"> The relie</w:t>
      </w:r>
      <w:r w:rsidR="008340DE">
        <w:rPr>
          <w:rFonts w:ascii="Arial" w:hAnsi="Arial" w:cs="Arial"/>
          <w:sz w:val="22"/>
          <w:szCs w:val="22"/>
          <w:lang w:val="en-GB"/>
        </w:rPr>
        <w:t>f</w:t>
      </w:r>
      <w:r w:rsidR="003B7C1E">
        <w:rPr>
          <w:rFonts w:ascii="Arial" w:hAnsi="Arial" w:cs="Arial"/>
          <w:sz w:val="22"/>
          <w:szCs w:val="22"/>
          <w:lang w:val="en-GB"/>
        </w:rPr>
        <w:t xml:space="preserve"> available is addressed in Article 19. It is provisional and limited in that it terminates upon the granting of the recognition application. The relief available gives the foreign representative certain rights which </w:t>
      </w:r>
      <w:r w:rsidR="00476C0F">
        <w:rPr>
          <w:rFonts w:ascii="Arial" w:hAnsi="Arial" w:cs="Arial"/>
          <w:sz w:val="22"/>
          <w:szCs w:val="22"/>
          <w:lang w:val="en-GB"/>
        </w:rPr>
        <w:t>included.</w:t>
      </w:r>
    </w:p>
    <w:p w14:paraId="4F2D7D15" w14:textId="77777777" w:rsidR="003B7C1E" w:rsidRDefault="003B7C1E" w:rsidP="00E27E3C">
      <w:pPr>
        <w:jc w:val="both"/>
        <w:rPr>
          <w:rFonts w:ascii="Arial" w:hAnsi="Arial" w:cs="Arial"/>
          <w:sz w:val="22"/>
          <w:szCs w:val="22"/>
          <w:lang w:val="en-GB"/>
        </w:rPr>
      </w:pPr>
    </w:p>
    <w:p w14:paraId="702C1374" w14:textId="65694AE9" w:rsidR="003B7C1E" w:rsidRDefault="004E2C19" w:rsidP="00476C0F">
      <w:pPr>
        <w:pStyle w:val="ListParagraph"/>
        <w:jc w:val="both"/>
        <w:rPr>
          <w:rFonts w:ascii="Arial" w:hAnsi="Arial" w:cs="Arial"/>
          <w:sz w:val="22"/>
          <w:szCs w:val="22"/>
          <w:lang w:val="en-GB"/>
        </w:rPr>
      </w:pPr>
      <w:r>
        <w:rPr>
          <w:rFonts w:ascii="Arial" w:hAnsi="Arial" w:cs="Arial"/>
          <w:sz w:val="22"/>
          <w:szCs w:val="22"/>
          <w:lang w:val="en-GB"/>
        </w:rPr>
        <w:t xml:space="preserve"> </w:t>
      </w:r>
    </w:p>
    <w:p w14:paraId="14293E16" w14:textId="77777777" w:rsidR="003B7C1E" w:rsidRDefault="003B7C1E" w:rsidP="003B7C1E">
      <w:pPr>
        <w:pStyle w:val="ListParagraph"/>
        <w:numPr>
          <w:ilvl w:val="0"/>
          <w:numId w:val="19"/>
        </w:numPr>
        <w:jc w:val="both"/>
        <w:rPr>
          <w:rFonts w:ascii="Arial" w:hAnsi="Arial" w:cs="Arial"/>
          <w:sz w:val="22"/>
          <w:szCs w:val="22"/>
          <w:lang w:val="en-GB"/>
        </w:rPr>
      </w:pPr>
      <w:r>
        <w:rPr>
          <w:rFonts w:ascii="Arial" w:hAnsi="Arial" w:cs="Arial"/>
          <w:sz w:val="22"/>
          <w:szCs w:val="22"/>
          <w:lang w:val="en-GB"/>
        </w:rPr>
        <w:t xml:space="preserve">Entrusting the administration or realisation of all or part of the </w:t>
      </w:r>
      <w:r w:rsidRPr="003B7C1E">
        <w:rPr>
          <w:rFonts w:ascii="Arial" w:hAnsi="Arial" w:cs="Arial"/>
          <w:sz w:val="22"/>
          <w:szCs w:val="22"/>
          <w:lang w:val="en-GB"/>
        </w:rPr>
        <w:t>d</w:t>
      </w:r>
      <w:r>
        <w:rPr>
          <w:rFonts w:ascii="Arial" w:hAnsi="Arial" w:cs="Arial"/>
          <w:sz w:val="22"/>
          <w:szCs w:val="22"/>
          <w:lang w:val="en-GB"/>
        </w:rPr>
        <w:t>ebtor’s assets located in the state to the foreign representative or other person’s designated by the court to protect and preserve the value of the assets that maybe perishable, susceptible to devaluation or otherwise be in jeopardy.</w:t>
      </w:r>
      <w:r>
        <w:rPr>
          <w:rStyle w:val="FootnoteReference"/>
          <w:rFonts w:ascii="Arial" w:hAnsi="Arial" w:cs="Arial"/>
          <w:sz w:val="22"/>
          <w:szCs w:val="22"/>
          <w:lang w:val="en-GB"/>
        </w:rPr>
        <w:footnoteReference w:id="2"/>
      </w:r>
      <w:r>
        <w:rPr>
          <w:rFonts w:ascii="Arial" w:hAnsi="Arial" w:cs="Arial"/>
          <w:sz w:val="22"/>
          <w:szCs w:val="22"/>
          <w:lang w:val="en-GB"/>
        </w:rPr>
        <w:t xml:space="preserve"> </w:t>
      </w:r>
    </w:p>
    <w:p w14:paraId="143BE08A" w14:textId="77777777" w:rsidR="003B7C1E" w:rsidRDefault="003B7C1E" w:rsidP="003B7C1E">
      <w:pPr>
        <w:jc w:val="both"/>
        <w:rPr>
          <w:rFonts w:ascii="Arial" w:hAnsi="Arial" w:cs="Arial"/>
          <w:sz w:val="22"/>
          <w:szCs w:val="22"/>
          <w:lang w:val="en-GB"/>
        </w:rPr>
      </w:pPr>
    </w:p>
    <w:p w14:paraId="726D50FF" w14:textId="77777777" w:rsidR="003B7C1E" w:rsidRDefault="003B7C1E" w:rsidP="003B7C1E">
      <w:pPr>
        <w:jc w:val="both"/>
        <w:rPr>
          <w:rFonts w:ascii="Arial" w:hAnsi="Arial" w:cs="Arial"/>
          <w:sz w:val="22"/>
          <w:szCs w:val="22"/>
          <w:lang w:val="en-GB"/>
        </w:rPr>
      </w:pPr>
      <w:r>
        <w:rPr>
          <w:rFonts w:ascii="Arial" w:hAnsi="Arial" w:cs="Arial"/>
          <w:sz w:val="22"/>
          <w:szCs w:val="22"/>
          <w:lang w:val="en-GB"/>
        </w:rPr>
        <w:t xml:space="preserve">There is also post-recognition relief under Article 21 which is discretionary in nature available which gives the foreign representative certain rights which </w:t>
      </w:r>
      <w:proofErr w:type="gramStart"/>
      <w:r>
        <w:rPr>
          <w:rFonts w:ascii="Arial" w:hAnsi="Arial" w:cs="Arial"/>
          <w:sz w:val="22"/>
          <w:szCs w:val="22"/>
          <w:lang w:val="en-GB"/>
        </w:rPr>
        <w:t>include;</w:t>
      </w:r>
      <w:proofErr w:type="gramEnd"/>
    </w:p>
    <w:p w14:paraId="5039F419" w14:textId="77777777" w:rsidR="003B7C1E" w:rsidRDefault="003B7C1E" w:rsidP="003B7C1E">
      <w:pPr>
        <w:jc w:val="both"/>
        <w:rPr>
          <w:rFonts w:ascii="Arial" w:hAnsi="Arial" w:cs="Arial"/>
          <w:sz w:val="22"/>
          <w:szCs w:val="22"/>
          <w:lang w:val="en-GB"/>
        </w:rPr>
      </w:pPr>
    </w:p>
    <w:p w14:paraId="2C3ADA68" w14:textId="27B5C87E" w:rsidR="00691B27" w:rsidRDefault="003B7C1E" w:rsidP="003B7C1E">
      <w:pPr>
        <w:pStyle w:val="ListParagraph"/>
        <w:numPr>
          <w:ilvl w:val="0"/>
          <w:numId w:val="20"/>
        </w:numPr>
        <w:jc w:val="both"/>
        <w:rPr>
          <w:rFonts w:ascii="Arial" w:hAnsi="Arial" w:cs="Arial"/>
          <w:sz w:val="22"/>
          <w:szCs w:val="22"/>
          <w:lang w:val="en-GB"/>
        </w:rPr>
      </w:pPr>
      <w:r>
        <w:rPr>
          <w:rFonts w:ascii="Arial" w:hAnsi="Arial" w:cs="Arial"/>
          <w:sz w:val="22"/>
          <w:szCs w:val="22"/>
          <w:lang w:val="en-GB"/>
        </w:rPr>
        <w:t xml:space="preserve">Staying execution/action </w:t>
      </w:r>
      <w:r w:rsidR="00476C0F">
        <w:rPr>
          <w:rFonts w:ascii="Arial" w:hAnsi="Arial" w:cs="Arial"/>
          <w:sz w:val="22"/>
          <w:szCs w:val="22"/>
          <w:lang w:val="en-GB"/>
        </w:rPr>
        <w:t>against</w:t>
      </w:r>
      <w:r>
        <w:rPr>
          <w:rFonts w:ascii="Arial" w:hAnsi="Arial" w:cs="Arial"/>
          <w:sz w:val="22"/>
          <w:szCs w:val="22"/>
          <w:lang w:val="en-GB"/>
        </w:rPr>
        <w:t xml:space="preserve"> the debtor’s </w:t>
      </w:r>
      <w:proofErr w:type="gramStart"/>
      <w:r>
        <w:rPr>
          <w:rFonts w:ascii="Arial" w:hAnsi="Arial" w:cs="Arial"/>
          <w:sz w:val="22"/>
          <w:szCs w:val="22"/>
          <w:lang w:val="en-GB"/>
        </w:rPr>
        <w:t>assets;</w:t>
      </w:r>
      <w:proofErr w:type="gramEnd"/>
    </w:p>
    <w:p w14:paraId="475F6793" w14:textId="7F43B59A" w:rsidR="003B7C1E" w:rsidRDefault="00A42A95" w:rsidP="003B7C1E">
      <w:pPr>
        <w:pStyle w:val="ListParagraph"/>
        <w:numPr>
          <w:ilvl w:val="0"/>
          <w:numId w:val="20"/>
        </w:numPr>
        <w:jc w:val="both"/>
        <w:rPr>
          <w:rFonts w:ascii="Arial" w:hAnsi="Arial" w:cs="Arial"/>
          <w:sz w:val="22"/>
          <w:szCs w:val="22"/>
          <w:lang w:val="en-GB"/>
        </w:rPr>
      </w:pPr>
      <w:r>
        <w:rPr>
          <w:rFonts w:ascii="Arial" w:hAnsi="Arial" w:cs="Arial"/>
          <w:sz w:val="22"/>
          <w:szCs w:val="22"/>
          <w:lang w:val="en-GB"/>
        </w:rPr>
        <w:t>Staying the right to encumber/transfer or dispose of assets of the debtor</w:t>
      </w:r>
    </w:p>
    <w:p w14:paraId="7954DA4B" w14:textId="77777777" w:rsidR="00A42A95" w:rsidRDefault="00A42A95" w:rsidP="003B7C1E">
      <w:pPr>
        <w:pStyle w:val="ListParagraph"/>
        <w:numPr>
          <w:ilvl w:val="0"/>
          <w:numId w:val="20"/>
        </w:numPr>
        <w:jc w:val="both"/>
        <w:rPr>
          <w:rFonts w:ascii="Arial" w:hAnsi="Arial" w:cs="Arial"/>
          <w:sz w:val="22"/>
          <w:szCs w:val="22"/>
          <w:lang w:val="en-GB"/>
        </w:rPr>
      </w:pPr>
      <w:r>
        <w:rPr>
          <w:rFonts w:ascii="Arial" w:hAnsi="Arial" w:cs="Arial"/>
          <w:sz w:val="22"/>
          <w:szCs w:val="22"/>
          <w:lang w:val="en-GB"/>
        </w:rPr>
        <w:t xml:space="preserve">The foreign representative is enabled to examine witnesses, take evidence or delivery of information concerning the debtor’s </w:t>
      </w:r>
      <w:proofErr w:type="gramStart"/>
      <w:r>
        <w:rPr>
          <w:rFonts w:ascii="Arial" w:hAnsi="Arial" w:cs="Arial"/>
          <w:sz w:val="22"/>
          <w:szCs w:val="22"/>
          <w:lang w:val="en-GB"/>
        </w:rPr>
        <w:t>assets;</w:t>
      </w:r>
      <w:proofErr w:type="gramEnd"/>
    </w:p>
    <w:p w14:paraId="639AD393" w14:textId="67CACEAD" w:rsidR="00A42A95" w:rsidRDefault="00A42A95" w:rsidP="003B7C1E">
      <w:pPr>
        <w:pStyle w:val="ListParagraph"/>
        <w:numPr>
          <w:ilvl w:val="0"/>
          <w:numId w:val="20"/>
        </w:numPr>
        <w:jc w:val="both"/>
        <w:rPr>
          <w:rFonts w:ascii="Arial" w:hAnsi="Arial" w:cs="Arial"/>
          <w:sz w:val="22"/>
          <w:szCs w:val="22"/>
          <w:lang w:val="en-GB"/>
        </w:rPr>
      </w:pPr>
      <w:r>
        <w:rPr>
          <w:rFonts w:ascii="Arial" w:hAnsi="Arial" w:cs="Arial"/>
          <w:sz w:val="22"/>
          <w:szCs w:val="22"/>
          <w:lang w:val="en-GB"/>
        </w:rPr>
        <w:t>Extend relief granted</w:t>
      </w:r>
      <w:r w:rsidR="00592AEE">
        <w:rPr>
          <w:rFonts w:ascii="Arial" w:hAnsi="Arial" w:cs="Arial"/>
          <w:sz w:val="22"/>
          <w:szCs w:val="22"/>
          <w:lang w:val="en-GB"/>
        </w:rPr>
        <w:t xml:space="preserve"> under Article 19.</w:t>
      </w:r>
      <w:r>
        <w:rPr>
          <w:rFonts w:ascii="Arial" w:hAnsi="Arial" w:cs="Arial"/>
          <w:sz w:val="22"/>
          <w:szCs w:val="22"/>
          <w:lang w:val="en-GB"/>
        </w:rPr>
        <w:t xml:space="preserve">  </w:t>
      </w:r>
    </w:p>
    <w:p w14:paraId="6A67C1D9" w14:textId="5EE4A231" w:rsidR="00081A5C" w:rsidRDefault="00081A5C" w:rsidP="00081A5C">
      <w:pPr>
        <w:jc w:val="both"/>
        <w:rPr>
          <w:rFonts w:ascii="Arial" w:hAnsi="Arial" w:cs="Arial"/>
          <w:sz w:val="22"/>
          <w:szCs w:val="22"/>
          <w:lang w:val="en-GB"/>
        </w:rPr>
      </w:pPr>
    </w:p>
    <w:p w14:paraId="5A056AC6" w14:textId="5033659A" w:rsidR="00D323D5" w:rsidRDefault="00D323D5" w:rsidP="00081A5C">
      <w:pPr>
        <w:jc w:val="both"/>
        <w:rPr>
          <w:rFonts w:ascii="Arial" w:hAnsi="Arial" w:cs="Arial"/>
          <w:sz w:val="22"/>
          <w:szCs w:val="22"/>
          <w:lang w:val="en-GB"/>
        </w:rPr>
      </w:pPr>
    </w:p>
    <w:p w14:paraId="267832B1" w14:textId="417F815E" w:rsidR="004E2C19" w:rsidRDefault="00D323D5" w:rsidP="00081A5C">
      <w:pPr>
        <w:jc w:val="both"/>
        <w:rPr>
          <w:rFonts w:ascii="Arial" w:hAnsi="Arial" w:cs="Arial"/>
          <w:sz w:val="22"/>
          <w:szCs w:val="22"/>
          <w:lang w:val="en-GB"/>
        </w:rPr>
      </w:pPr>
      <w:r>
        <w:rPr>
          <w:rFonts w:ascii="Arial" w:hAnsi="Arial" w:cs="Arial"/>
          <w:sz w:val="22"/>
          <w:szCs w:val="22"/>
          <w:lang w:val="en-GB"/>
        </w:rPr>
        <w:lastRenderedPageBreak/>
        <w:t xml:space="preserve">Cross-border cooperation is necessary </w:t>
      </w:r>
      <w:r w:rsidR="00CC2D68">
        <w:rPr>
          <w:rFonts w:ascii="Arial" w:hAnsi="Arial" w:cs="Arial"/>
          <w:sz w:val="22"/>
          <w:szCs w:val="22"/>
          <w:lang w:val="en-GB"/>
        </w:rPr>
        <w:t xml:space="preserve">to prevent dissipation of the debtor’s assets and </w:t>
      </w:r>
      <w:r w:rsidR="00476C0F">
        <w:rPr>
          <w:rFonts w:ascii="Arial" w:hAnsi="Arial" w:cs="Arial"/>
          <w:sz w:val="22"/>
          <w:szCs w:val="22"/>
          <w:lang w:val="en-GB"/>
        </w:rPr>
        <w:t>maximise</w:t>
      </w:r>
      <w:r w:rsidR="00CC2D68">
        <w:rPr>
          <w:rFonts w:ascii="Arial" w:hAnsi="Arial" w:cs="Arial"/>
          <w:sz w:val="22"/>
          <w:szCs w:val="22"/>
          <w:lang w:val="en-GB"/>
        </w:rPr>
        <w:t xml:space="preserve"> the value of the assets.</w:t>
      </w:r>
      <w:r w:rsidR="004E2C19">
        <w:rPr>
          <w:rFonts w:ascii="Arial" w:hAnsi="Arial" w:cs="Arial"/>
          <w:sz w:val="22"/>
          <w:szCs w:val="22"/>
          <w:lang w:val="en-GB"/>
        </w:rPr>
        <w:t xml:space="preserve"> Article 26 allows the foreign representative under the supervision of the court, to devise and implement cooperative arrangements. The forms of cooperation under Article 27, include cooperation between the courts and coordination of the supervision of the debtor’s assets and affairs.</w:t>
      </w:r>
    </w:p>
    <w:p w14:paraId="484085B8" w14:textId="77777777" w:rsidR="004E2C19" w:rsidRDefault="004E2C19" w:rsidP="00081A5C">
      <w:pPr>
        <w:jc w:val="both"/>
        <w:rPr>
          <w:rFonts w:ascii="Arial" w:hAnsi="Arial" w:cs="Arial"/>
          <w:sz w:val="22"/>
          <w:szCs w:val="22"/>
          <w:lang w:val="en-GB"/>
        </w:rPr>
      </w:pPr>
    </w:p>
    <w:p w14:paraId="44EC31BA" w14:textId="6AB7C31A" w:rsidR="0034238F" w:rsidRDefault="004E2C19" w:rsidP="00081A5C">
      <w:pPr>
        <w:jc w:val="both"/>
        <w:rPr>
          <w:rFonts w:ascii="Arial" w:hAnsi="Arial" w:cs="Arial"/>
          <w:sz w:val="22"/>
          <w:szCs w:val="22"/>
          <w:lang w:val="en-GB"/>
        </w:rPr>
      </w:pPr>
      <w:r>
        <w:rPr>
          <w:rFonts w:ascii="Arial" w:hAnsi="Arial" w:cs="Arial"/>
          <w:sz w:val="22"/>
          <w:szCs w:val="22"/>
          <w:lang w:val="en-GB"/>
        </w:rPr>
        <w:t>The benefit of recognition to the foreign representative is that it gives the foreign representative assess to tools and protections available to a local insolvency holder in the enacting state. Such tools include the examination of witnesses, taking of evidence or delivery of information concerning the debtor’s assets.</w:t>
      </w:r>
      <w:r w:rsidR="007560FB">
        <w:rPr>
          <w:rFonts w:ascii="Arial" w:hAnsi="Arial" w:cs="Arial"/>
          <w:sz w:val="22"/>
          <w:szCs w:val="22"/>
          <w:lang w:val="en-GB"/>
        </w:rPr>
        <w:t xml:space="preserve"> </w:t>
      </w:r>
      <w:r>
        <w:rPr>
          <w:rFonts w:ascii="Arial" w:hAnsi="Arial" w:cs="Arial"/>
          <w:sz w:val="22"/>
          <w:szCs w:val="22"/>
          <w:lang w:val="en-GB"/>
        </w:rPr>
        <w:t>Relief available under Article 20 is automatic if the recognised foreign proceeding qualifies as a main foreign proceeding.</w:t>
      </w:r>
    </w:p>
    <w:p w14:paraId="3CDDEF71" w14:textId="77777777" w:rsidR="0034238F" w:rsidRDefault="0034238F" w:rsidP="00081A5C">
      <w:pPr>
        <w:jc w:val="both"/>
        <w:rPr>
          <w:rFonts w:ascii="Arial" w:hAnsi="Arial" w:cs="Arial"/>
          <w:sz w:val="22"/>
          <w:szCs w:val="22"/>
          <w:lang w:val="en-GB"/>
        </w:rPr>
      </w:pPr>
    </w:p>
    <w:p w14:paraId="10CC71A2" w14:textId="77777777" w:rsidR="00631C7A" w:rsidRDefault="0034238F" w:rsidP="00081A5C">
      <w:pPr>
        <w:jc w:val="both"/>
        <w:rPr>
          <w:rFonts w:ascii="Arial" w:hAnsi="Arial" w:cs="Arial"/>
          <w:sz w:val="22"/>
          <w:szCs w:val="22"/>
          <w:lang w:val="en-GB"/>
        </w:rPr>
      </w:pPr>
      <w:r>
        <w:rPr>
          <w:rFonts w:ascii="Arial" w:hAnsi="Arial" w:cs="Arial"/>
          <w:sz w:val="22"/>
          <w:szCs w:val="22"/>
          <w:lang w:val="en-GB"/>
        </w:rPr>
        <w:t>Article 23 enables the foreign representative after recognition to begin actions under the law of the enacting state to avoid or cancel acts detrimental to creditors of the debtor.</w:t>
      </w:r>
    </w:p>
    <w:p w14:paraId="154091F2" w14:textId="77777777" w:rsidR="00631C7A" w:rsidRDefault="00631C7A" w:rsidP="00081A5C">
      <w:pPr>
        <w:jc w:val="both"/>
        <w:rPr>
          <w:rFonts w:ascii="Arial" w:hAnsi="Arial" w:cs="Arial"/>
          <w:sz w:val="22"/>
          <w:szCs w:val="22"/>
          <w:lang w:val="en-GB"/>
        </w:rPr>
      </w:pPr>
    </w:p>
    <w:p w14:paraId="504CEB11" w14:textId="1C7F69D1" w:rsidR="00631C7A" w:rsidRDefault="00631C7A" w:rsidP="00081A5C">
      <w:pPr>
        <w:jc w:val="both"/>
        <w:rPr>
          <w:rFonts w:ascii="Arial" w:hAnsi="Arial" w:cs="Arial"/>
          <w:sz w:val="22"/>
          <w:szCs w:val="22"/>
          <w:lang w:val="en-GB"/>
        </w:rPr>
      </w:pPr>
      <w:r>
        <w:rPr>
          <w:rFonts w:ascii="Arial" w:hAnsi="Arial" w:cs="Arial"/>
          <w:sz w:val="22"/>
          <w:szCs w:val="22"/>
          <w:lang w:val="en-GB"/>
        </w:rPr>
        <w:t xml:space="preserve">Article 24 enables the foreign representative to </w:t>
      </w:r>
      <w:r w:rsidR="00476C0F">
        <w:rPr>
          <w:rFonts w:ascii="Arial" w:hAnsi="Arial" w:cs="Arial"/>
          <w:sz w:val="22"/>
          <w:szCs w:val="22"/>
          <w:lang w:val="en-GB"/>
        </w:rPr>
        <w:t>intervene</w:t>
      </w:r>
      <w:r>
        <w:rPr>
          <w:rFonts w:ascii="Arial" w:hAnsi="Arial" w:cs="Arial"/>
          <w:sz w:val="22"/>
          <w:szCs w:val="22"/>
          <w:lang w:val="en-GB"/>
        </w:rPr>
        <w:t xml:space="preserve"> in local proceedings in the enacting state, in which the debt</w:t>
      </w:r>
      <w:r w:rsidR="00476C0F">
        <w:rPr>
          <w:rFonts w:ascii="Arial" w:hAnsi="Arial" w:cs="Arial"/>
          <w:sz w:val="22"/>
          <w:szCs w:val="22"/>
          <w:lang w:val="en-GB"/>
        </w:rPr>
        <w:t>or</w:t>
      </w:r>
      <w:r>
        <w:rPr>
          <w:rFonts w:ascii="Arial" w:hAnsi="Arial" w:cs="Arial"/>
          <w:sz w:val="22"/>
          <w:szCs w:val="22"/>
          <w:lang w:val="en-GB"/>
        </w:rPr>
        <w:t xml:space="preserve"> is a </w:t>
      </w:r>
      <w:proofErr w:type="gramStart"/>
      <w:r>
        <w:rPr>
          <w:rFonts w:ascii="Arial" w:hAnsi="Arial" w:cs="Arial"/>
          <w:sz w:val="22"/>
          <w:szCs w:val="22"/>
          <w:lang w:val="en-GB"/>
        </w:rPr>
        <w:t>party .</w:t>
      </w:r>
      <w:proofErr w:type="gramEnd"/>
    </w:p>
    <w:p w14:paraId="2E069035" w14:textId="77777777" w:rsidR="00631C7A" w:rsidRDefault="00631C7A" w:rsidP="00081A5C">
      <w:pPr>
        <w:jc w:val="both"/>
        <w:rPr>
          <w:rFonts w:ascii="Arial" w:hAnsi="Arial" w:cs="Arial"/>
          <w:sz w:val="22"/>
          <w:szCs w:val="22"/>
          <w:lang w:val="en-GB"/>
        </w:rPr>
      </w:pPr>
    </w:p>
    <w:p w14:paraId="5ECDA740" w14:textId="7C7D022B" w:rsidR="00D323D5" w:rsidRPr="00081A5C" w:rsidRDefault="00631C7A" w:rsidP="00081A5C">
      <w:pPr>
        <w:jc w:val="both"/>
        <w:rPr>
          <w:rFonts w:ascii="Arial" w:hAnsi="Arial" w:cs="Arial"/>
          <w:sz w:val="22"/>
          <w:szCs w:val="22"/>
          <w:lang w:val="en-GB"/>
        </w:rPr>
      </w:pPr>
      <w:r>
        <w:rPr>
          <w:rFonts w:ascii="Arial" w:hAnsi="Arial" w:cs="Arial"/>
          <w:sz w:val="22"/>
          <w:szCs w:val="22"/>
          <w:lang w:val="en-GB"/>
        </w:rPr>
        <w:t xml:space="preserve">The benefits </w:t>
      </w:r>
      <w:r w:rsidR="007E316F">
        <w:rPr>
          <w:rFonts w:ascii="Arial" w:hAnsi="Arial" w:cs="Arial"/>
          <w:sz w:val="22"/>
          <w:szCs w:val="22"/>
          <w:lang w:val="en-GB"/>
        </w:rPr>
        <w:t>of automatic relief like staying actions, enables “breathing space” until appropriate measures are taken for re-organisation or liquidation of the debtor’s assets. The suspension of transfers provides an immediate restriction</w:t>
      </w:r>
      <w:r w:rsidR="0089422E">
        <w:rPr>
          <w:rFonts w:ascii="Arial" w:hAnsi="Arial" w:cs="Arial"/>
          <w:sz w:val="22"/>
          <w:szCs w:val="22"/>
          <w:lang w:val="en-GB"/>
        </w:rPr>
        <w:t xml:space="preserve"> preventing multi-national debtors from moving money and property across international borders, thus containing </w:t>
      </w:r>
      <w:r w:rsidR="0024788D">
        <w:rPr>
          <w:rFonts w:ascii="Arial" w:hAnsi="Arial" w:cs="Arial"/>
          <w:sz w:val="22"/>
          <w:szCs w:val="22"/>
          <w:lang w:val="en-GB"/>
        </w:rPr>
        <w:t>fraud. The</w:t>
      </w:r>
      <w:r w:rsidR="0089422E">
        <w:rPr>
          <w:rFonts w:ascii="Arial" w:hAnsi="Arial" w:cs="Arial"/>
          <w:sz w:val="22"/>
          <w:szCs w:val="22"/>
          <w:lang w:val="en-GB"/>
        </w:rPr>
        <w:t xml:space="preserve"> availability of urgent interim relief under Article 19</w:t>
      </w:r>
      <w:r w:rsidR="00407753">
        <w:rPr>
          <w:rFonts w:ascii="Arial" w:hAnsi="Arial" w:cs="Arial"/>
          <w:sz w:val="22"/>
          <w:szCs w:val="22"/>
          <w:lang w:val="en-GB"/>
        </w:rPr>
        <w:t xml:space="preserve"> helps prevent the dissipation of assets and preserve the </w:t>
      </w:r>
      <w:r w:rsidR="00407753">
        <w:rPr>
          <w:rFonts w:ascii="Arial" w:hAnsi="Arial" w:cs="Arial"/>
          <w:i/>
          <w:sz w:val="22"/>
          <w:szCs w:val="22"/>
          <w:lang w:val="en-GB"/>
        </w:rPr>
        <w:t>status quo</w:t>
      </w:r>
      <w:r w:rsidR="00407753">
        <w:rPr>
          <w:rFonts w:ascii="Arial" w:hAnsi="Arial" w:cs="Arial"/>
          <w:sz w:val="22"/>
          <w:szCs w:val="22"/>
          <w:lang w:val="en-GB"/>
        </w:rPr>
        <w:t xml:space="preserve"> for the benefit of stakeholders until the recognition application can be heard.</w:t>
      </w:r>
      <w:r>
        <w:rPr>
          <w:rFonts w:ascii="Arial" w:hAnsi="Arial" w:cs="Arial"/>
          <w:sz w:val="22"/>
          <w:szCs w:val="22"/>
          <w:lang w:val="en-GB"/>
        </w:rPr>
        <w:t xml:space="preserve">  </w:t>
      </w:r>
      <w:r w:rsidR="0034238F">
        <w:rPr>
          <w:rFonts w:ascii="Arial" w:hAnsi="Arial" w:cs="Arial"/>
          <w:sz w:val="22"/>
          <w:szCs w:val="22"/>
          <w:lang w:val="en-GB"/>
        </w:rPr>
        <w:t xml:space="preserve"> </w:t>
      </w:r>
      <w:r w:rsidR="004E2C19">
        <w:rPr>
          <w:rFonts w:ascii="Arial" w:hAnsi="Arial" w:cs="Arial"/>
          <w:sz w:val="22"/>
          <w:szCs w:val="22"/>
          <w:lang w:val="en-GB"/>
        </w:rPr>
        <w:t xml:space="preserve"> </w:t>
      </w:r>
    </w:p>
    <w:p w14:paraId="318A14AF" w14:textId="77777777" w:rsidR="00C550C8" w:rsidRPr="00E2622D" w:rsidRDefault="00C550C8" w:rsidP="00707FC8">
      <w:pPr>
        <w:jc w:val="both"/>
        <w:rPr>
          <w:rFonts w:ascii="Avenir Next" w:hAnsi="Avenir Next" w:cs="Arial"/>
          <w:sz w:val="22"/>
          <w:szCs w:val="22"/>
          <w:lang w:val="en-GB"/>
        </w:rPr>
      </w:pPr>
    </w:p>
    <w:p w14:paraId="51824301" w14:textId="434881A2" w:rsidR="00257437" w:rsidRDefault="00691B27" w:rsidP="00707FC8">
      <w:pPr>
        <w:ind w:left="720" w:hanging="720"/>
        <w:jc w:val="both"/>
        <w:rPr>
          <w:rFonts w:ascii="Avenir Next" w:hAnsi="Avenir Next" w:cs="Arial"/>
          <w:sz w:val="22"/>
          <w:szCs w:val="22"/>
          <w:lang w:val="en-GB"/>
        </w:rPr>
      </w:pPr>
      <w:r>
        <w:rPr>
          <w:rFonts w:ascii="Arial" w:hAnsi="Arial" w:cs="Arial"/>
          <w:color w:val="808080" w:themeColor="background1" w:themeShade="80"/>
          <w:sz w:val="22"/>
          <w:szCs w:val="22"/>
          <w:lang w:val="en-GB"/>
        </w:rPr>
        <w:t xml:space="preserv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25903B89" w:rsidR="00622586"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2948B82F" w14:textId="44D1830A" w:rsidR="007E5F3C" w:rsidRDefault="007E5F3C" w:rsidP="0067785F">
      <w:pPr>
        <w:jc w:val="both"/>
        <w:rPr>
          <w:rFonts w:ascii="Avenir Next" w:hAnsi="Avenir Next" w:cs="Arial"/>
          <w:sz w:val="22"/>
          <w:szCs w:val="22"/>
          <w:lang w:val="en-GB"/>
        </w:rPr>
      </w:pPr>
    </w:p>
    <w:p w14:paraId="349D02FB" w14:textId="5AA8CF24" w:rsidR="007E5F3C" w:rsidRDefault="006F6981" w:rsidP="0067785F">
      <w:pPr>
        <w:jc w:val="both"/>
        <w:rPr>
          <w:rFonts w:ascii="Arial" w:hAnsi="Arial" w:cs="Arial"/>
          <w:sz w:val="22"/>
          <w:szCs w:val="22"/>
          <w:lang w:val="en-GB"/>
        </w:rPr>
      </w:pPr>
      <w:r>
        <w:rPr>
          <w:rFonts w:ascii="Arial" w:hAnsi="Arial" w:cs="Arial"/>
          <w:sz w:val="22"/>
          <w:szCs w:val="22"/>
          <w:lang w:val="en-GB"/>
        </w:rPr>
        <w:t>Availability of relief before and after recognition of a foreign proceeding by the enacting State is subject to the court’s discretion.</w:t>
      </w:r>
      <w:r w:rsidR="00D20505">
        <w:rPr>
          <w:rFonts w:ascii="Arial" w:hAnsi="Arial" w:cs="Arial"/>
          <w:sz w:val="22"/>
          <w:szCs w:val="22"/>
          <w:lang w:val="en-GB"/>
        </w:rPr>
        <w:t xml:space="preserve"> The court must be satisfied that the interests of the creditors and other interested </w:t>
      </w:r>
      <w:r w:rsidR="0024788D">
        <w:rPr>
          <w:rFonts w:ascii="Arial" w:hAnsi="Arial" w:cs="Arial"/>
          <w:sz w:val="22"/>
          <w:szCs w:val="22"/>
          <w:lang w:val="en-GB"/>
        </w:rPr>
        <w:t>persons</w:t>
      </w:r>
      <w:r w:rsidR="00D20505">
        <w:rPr>
          <w:rFonts w:ascii="Arial" w:hAnsi="Arial" w:cs="Arial"/>
          <w:sz w:val="22"/>
          <w:szCs w:val="22"/>
          <w:lang w:val="en-GB"/>
        </w:rPr>
        <w:t xml:space="preserve"> including the debtor are adequately protected.</w:t>
      </w:r>
      <w:r w:rsidR="00D20505">
        <w:rPr>
          <w:rStyle w:val="FootnoteReference"/>
          <w:rFonts w:ascii="Arial" w:hAnsi="Arial" w:cs="Arial"/>
          <w:sz w:val="22"/>
          <w:szCs w:val="22"/>
          <w:lang w:val="en-GB"/>
        </w:rPr>
        <w:footnoteReference w:id="3"/>
      </w:r>
      <w:r>
        <w:rPr>
          <w:rFonts w:ascii="Arial" w:hAnsi="Arial" w:cs="Arial"/>
          <w:sz w:val="22"/>
          <w:szCs w:val="22"/>
          <w:lang w:val="en-GB"/>
        </w:rPr>
        <w:t xml:space="preserve"> </w:t>
      </w:r>
      <w:r w:rsidR="00FC74CD">
        <w:rPr>
          <w:rFonts w:ascii="Arial" w:hAnsi="Arial" w:cs="Arial"/>
          <w:sz w:val="22"/>
          <w:szCs w:val="22"/>
          <w:lang w:val="en-GB"/>
        </w:rPr>
        <w:t xml:space="preserve">The court may modify or terminate the relief granted if </w:t>
      </w:r>
      <w:proofErr w:type="gramStart"/>
      <w:r w:rsidR="00FC74CD">
        <w:rPr>
          <w:rFonts w:ascii="Arial" w:hAnsi="Arial" w:cs="Arial"/>
          <w:sz w:val="22"/>
          <w:szCs w:val="22"/>
          <w:lang w:val="en-GB"/>
        </w:rPr>
        <w:t>so</w:t>
      </w:r>
      <w:proofErr w:type="gramEnd"/>
      <w:r w:rsidR="00FC74CD">
        <w:rPr>
          <w:rFonts w:ascii="Arial" w:hAnsi="Arial" w:cs="Arial"/>
          <w:sz w:val="22"/>
          <w:szCs w:val="22"/>
          <w:lang w:val="en-GB"/>
        </w:rPr>
        <w:t xml:space="preserve"> requested by a person affected thereby.</w:t>
      </w:r>
      <w:r w:rsidR="00FC74CD">
        <w:rPr>
          <w:rStyle w:val="FootnoteReference"/>
          <w:rFonts w:ascii="Arial" w:hAnsi="Arial" w:cs="Arial"/>
          <w:sz w:val="22"/>
          <w:szCs w:val="22"/>
          <w:lang w:val="en-GB"/>
        </w:rPr>
        <w:footnoteReference w:id="4"/>
      </w:r>
    </w:p>
    <w:p w14:paraId="58820AEA" w14:textId="0EFDC58C" w:rsidR="00FC74CD" w:rsidRDefault="00FC74CD" w:rsidP="0067785F">
      <w:pPr>
        <w:jc w:val="both"/>
        <w:rPr>
          <w:rFonts w:ascii="Arial" w:hAnsi="Arial" w:cs="Arial"/>
          <w:sz w:val="22"/>
          <w:szCs w:val="22"/>
          <w:lang w:val="en-GB"/>
        </w:rPr>
      </w:pPr>
    </w:p>
    <w:p w14:paraId="38904555" w14:textId="7F469665" w:rsidR="00FC74CD" w:rsidRDefault="00FC74CD" w:rsidP="0067785F">
      <w:pPr>
        <w:jc w:val="both"/>
        <w:rPr>
          <w:rFonts w:ascii="Arial" w:hAnsi="Arial" w:cs="Arial"/>
          <w:sz w:val="22"/>
          <w:szCs w:val="22"/>
          <w:lang w:val="en-GB"/>
        </w:rPr>
      </w:pPr>
      <w:r>
        <w:rPr>
          <w:rFonts w:ascii="Arial" w:hAnsi="Arial" w:cs="Arial"/>
          <w:sz w:val="22"/>
          <w:szCs w:val="22"/>
          <w:lang w:val="en-GB"/>
        </w:rPr>
        <w:t xml:space="preserve">The court may refuse to grant relief </w:t>
      </w:r>
      <w:r w:rsidR="0024788D">
        <w:rPr>
          <w:rFonts w:ascii="Arial" w:hAnsi="Arial" w:cs="Arial"/>
          <w:sz w:val="22"/>
          <w:szCs w:val="22"/>
          <w:lang w:val="en-GB"/>
        </w:rPr>
        <w:t>under</w:t>
      </w:r>
      <w:r>
        <w:rPr>
          <w:rFonts w:ascii="Arial" w:hAnsi="Arial" w:cs="Arial"/>
          <w:sz w:val="22"/>
          <w:szCs w:val="22"/>
          <w:lang w:val="en-GB"/>
        </w:rPr>
        <w:t xml:space="preserve"> the Model Law if the action would be so manifestly against the public policy of the enacting State.</w:t>
      </w:r>
      <w:r>
        <w:rPr>
          <w:rStyle w:val="FootnoteReference"/>
          <w:rFonts w:ascii="Arial" w:hAnsi="Arial" w:cs="Arial"/>
          <w:sz w:val="22"/>
          <w:szCs w:val="22"/>
          <w:lang w:val="en-GB"/>
        </w:rPr>
        <w:footnoteReference w:id="5"/>
      </w:r>
      <w:r w:rsidR="00323FC1">
        <w:rPr>
          <w:rFonts w:ascii="Arial" w:hAnsi="Arial" w:cs="Arial"/>
          <w:sz w:val="22"/>
          <w:szCs w:val="22"/>
          <w:lang w:val="en-GB"/>
        </w:rPr>
        <w:t xml:space="preserve"> It has been suggested that the use </w:t>
      </w:r>
      <w:r w:rsidR="00670F1F">
        <w:rPr>
          <w:rFonts w:ascii="Arial" w:hAnsi="Arial" w:cs="Arial"/>
          <w:sz w:val="22"/>
          <w:szCs w:val="22"/>
          <w:lang w:val="en-GB"/>
        </w:rPr>
        <w:t xml:space="preserve">of “manifestly”, emphasises that the public policy exception should be narrowly interpreted </w:t>
      </w:r>
      <w:r w:rsidR="0024788D">
        <w:rPr>
          <w:rFonts w:ascii="Arial" w:hAnsi="Arial" w:cs="Arial"/>
          <w:sz w:val="22"/>
          <w:szCs w:val="22"/>
          <w:lang w:val="en-GB"/>
        </w:rPr>
        <w:t>and invoked</w:t>
      </w:r>
      <w:r w:rsidR="00670F1F">
        <w:rPr>
          <w:rFonts w:ascii="Arial" w:hAnsi="Arial" w:cs="Arial"/>
          <w:sz w:val="22"/>
          <w:szCs w:val="22"/>
          <w:lang w:val="en-GB"/>
        </w:rPr>
        <w:t xml:space="preserve"> only in exceptional circumstances concerning matters of fundamental </w:t>
      </w:r>
      <w:r w:rsidR="0024788D">
        <w:rPr>
          <w:rFonts w:ascii="Arial" w:hAnsi="Arial" w:cs="Arial"/>
          <w:sz w:val="22"/>
          <w:szCs w:val="22"/>
          <w:lang w:val="en-GB"/>
        </w:rPr>
        <w:t>importance for</w:t>
      </w:r>
      <w:r w:rsidR="00670F1F">
        <w:rPr>
          <w:rFonts w:ascii="Arial" w:hAnsi="Arial" w:cs="Arial"/>
          <w:sz w:val="22"/>
          <w:szCs w:val="22"/>
          <w:lang w:val="en-GB"/>
        </w:rPr>
        <w:t xml:space="preserve"> the enacting State.</w:t>
      </w:r>
      <w:r w:rsidR="00670F1F">
        <w:rPr>
          <w:rStyle w:val="FootnoteReference"/>
          <w:rFonts w:ascii="Arial" w:hAnsi="Arial" w:cs="Arial"/>
          <w:sz w:val="22"/>
          <w:szCs w:val="22"/>
          <w:lang w:val="en-GB"/>
        </w:rPr>
        <w:footnoteReference w:id="6"/>
      </w:r>
      <w:r w:rsidR="00670F1F">
        <w:rPr>
          <w:rFonts w:ascii="Arial" w:hAnsi="Arial" w:cs="Arial"/>
          <w:sz w:val="22"/>
          <w:szCs w:val="22"/>
          <w:lang w:val="en-GB"/>
        </w:rPr>
        <w:t xml:space="preserve"> </w:t>
      </w:r>
    </w:p>
    <w:p w14:paraId="3A331BDC" w14:textId="167ED672" w:rsidR="00FC74CD" w:rsidRDefault="00FC74CD" w:rsidP="0067785F">
      <w:pPr>
        <w:jc w:val="both"/>
        <w:rPr>
          <w:rFonts w:ascii="Arial" w:hAnsi="Arial" w:cs="Arial"/>
          <w:sz w:val="22"/>
          <w:szCs w:val="22"/>
          <w:lang w:val="en-GB"/>
        </w:rPr>
      </w:pPr>
    </w:p>
    <w:p w14:paraId="1AF58F36" w14:textId="40BD49FE" w:rsidR="00FC74CD" w:rsidRDefault="00FC74CD" w:rsidP="0067785F">
      <w:pPr>
        <w:jc w:val="both"/>
        <w:rPr>
          <w:rFonts w:ascii="Arial" w:hAnsi="Arial" w:cs="Arial"/>
          <w:sz w:val="22"/>
          <w:szCs w:val="22"/>
          <w:lang w:val="en-GB"/>
        </w:rPr>
      </w:pPr>
      <w:r>
        <w:rPr>
          <w:rFonts w:ascii="Arial" w:hAnsi="Arial" w:cs="Arial"/>
          <w:sz w:val="22"/>
          <w:szCs w:val="22"/>
          <w:lang w:val="en-GB"/>
        </w:rPr>
        <w:lastRenderedPageBreak/>
        <w:t>When the local insolvency proceeding is already under-way at the time that a recognition of a foreign proceeding is requested, any relief granted for the benefit of the foreign proceeding must be consistent with the local proceeding.</w:t>
      </w:r>
    </w:p>
    <w:p w14:paraId="38CC7D93" w14:textId="6AD69E81" w:rsidR="002B7CC8" w:rsidRDefault="002B7CC8" w:rsidP="0067785F">
      <w:pPr>
        <w:jc w:val="both"/>
        <w:rPr>
          <w:rFonts w:ascii="Arial" w:hAnsi="Arial" w:cs="Arial"/>
          <w:sz w:val="22"/>
          <w:szCs w:val="22"/>
          <w:lang w:val="en-GB"/>
        </w:rPr>
      </w:pPr>
    </w:p>
    <w:p w14:paraId="468BAC3B" w14:textId="6F65D6B5" w:rsidR="002B7CC8" w:rsidRDefault="002B7CC8" w:rsidP="0067785F">
      <w:pPr>
        <w:jc w:val="both"/>
        <w:rPr>
          <w:rFonts w:ascii="Arial" w:hAnsi="Arial" w:cs="Arial"/>
          <w:sz w:val="22"/>
          <w:szCs w:val="22"/>
          <w:lang w:val="en-GB"/>
        </w:rPr>
      </w:pPr>
      <w:r>
        <w:rPr>
          <w:rFonts w:ascii="Arial" w:hAnsi="Arial" w:cs="Arial"/>
          <w:sz w:val="22"/>
          <w:szCs w:val="22"/>
          <w:lang w:val="en-GB"/>
        </w:rPr>
        <w:t>When the local proceedings begin after the recognition or application for recognition, the relief granted for the benefit of the foreign proceeding must be reviewed and modified or terminated if inconsistent with the local proceeding.</w:t>
      </w:r>
    </w:p>
    <w:p w14:paraId="30EACA67" w14:textId="1B8A0972" w:rsidR="002B7CC8" w:rsidRDefault="002B7CC8" w:rsidP="0067785F">
      <w:pPr>
        <w:jc w:val="both"/>
        <w:rPr>
          <w:rFonts w:ascii="Arial" w:hAnsi="Arial" w:cs="Arial"/>
          <w:sz w:val="22"/>
          <w:szCs w:val="22"/>
          <w:lang w:val="en-GB"/>
        </w:rPr>
      </w:pPr>
    </w:p>
    <w:p w14:paraId="19991263" w14:textId="4608C642" w:rsidR="002B7CC8" w:rsidRDefault="002B7CC8" w:rsidP="0067785F">
      <w:pPr>
        <w:jc w:val="both"/>
        <w:rPr>
          <w:rFonts w:ascii="Arial" w:hAnsi="Arial" w:cs="Arial"/>
          <w:sz w:val="22"/>
          <w:szCs w:val="22"/>
          <w:lang w:val="en-GB"/>
        </w:rPr>
      </w:pPr>
      <w:r>
        <w:rPr>
          <w:rFonts w:ascii="Arial" w:hAnsi="Arial" w:cs="Arial"/>
          <w:sz w:val="22"/>
          <w:szCs w:val="22"/>
          <w:lang w:val="en-GB"/>
        </w:rPr>
        <w:t>International obligations of the enacting State are given priority over the Model Law.</w:t>
      </w:r>
      <w:r>
        <w:rPr>
          <w:rStyle w:val="FootnoteReference"/>
          <w:rFonts w:ascii="Arial" w:hAnsi="Arial" w:cs="Arial"/>
          <w:sz w:val="22"/>
          <w:szCs w:val="22"/>
          <w:lang w:val="en-GB"/>
        </w:rPr>
        <w:footnoteReference w:id="7"/>
      </w:r>
      <w:r>
        <w:rPr>
          <w:rFonts w:ascii="Arial" w:hAnsi="Arial" w:cs="Arial"/>
          <w:sz w:val="22"/>
          <w:szCs w:val="22"/>
          <w:lang w:val="en-GB"/>
        </w:rPr>
        <w:t xml:space="preserve">An example is the supremacy of the Cape Town Convention which may take priority over the model law in </w:t>
      </w:r>
      <w:proofErr w:type="spellStart"/>
      <w:r>
        <w:rPr>
          <w:rFonts w:ascii="Arial" w:hAnsi="Arial" w:cs="Arial"/>
          <w:sz w:val="22"/>
          <w:szCs w:val="22"/>
          <w:lang w:val="en-GB"/>
        </w:rPr>
        <w:t>restrict</w:t>
      </w:r>
      <w:r w:rsidR="006E0487">
        <w:rPr>
          <w:rFonts w:ascii="Arial" w:hAnsi="Arial" w:cs="Arial"/>
          <w:sz w:val="22"/>
          <w:szCs w:val="22"/>
          <w:lang w:val="en-GB"/>
        </w:rPr>
        <w:t>ur</w:t>
      </w:r>
      <w:r>
        <w:rPr>
          <w:rFonts w:ascii="Arial" w:hAnsi="Arial" w:cs="Arial"/>
          <w:sz w:val="22"/>
          <w:szCs w:val="22"/>
          <w:lang w:val="en-GB"/>
        </w:rPr>
        <w:t>ing</w:t>
      </w:r>
      <w:proofErr w:type="spellEnd"/>
      <w:r>
        <w:rPr>
          <w:rFonts w:ascii="Arial" w:hAnsi="Arial" w:cs="Arial"/>
          <w:sz w:val="22"/>
          <w:szCs w:val="22"/>
          <w:lang w:val="en-GB"/>
        </w:rPr>
        <w:t xml:space="preserve"> of airlines.</w:t>
      </w:r>
    </w:p>
    <w:p w14:paraId="1A7AC3FD" w14:textId="6BF2E51D" w:rsidR="002B7CC8" w:rsidRDefault="002B7CC8" w:rsidP="0067785F">
      <w:pPr>
        <w:jc w:val="both"/>
        <w:rPr>
          <w:rFonts w:ascii="Arial" w:hAnsi="Arial" w:cs="Arial"/>
          <w:sz w:val="22"/>
          <w:szCs w:val="22"/>
          <w:lang w:val="en-GB"/>
        </w:rPr>
      </w:pPr>
    </w:p>
    <w:p w14:paraId="604C6F70" w14:textId="2973D7CA" w:rsidR="002B7CC8" w:rsidRPr="006F6981" w:rsidRDefault="002B7CC8" w:rsidP="0067785F">
      <w:pPr>
        <w:jc w:val="both"/>
        <w:rPr>
          <w:rFonts w:ascii="Arial" w:hAnsi="Arial" w:cs="Arial"/>
          <w:sz w:val="22"/>
          <w:szCs w:val="22"/>
          <w:lang w:val="en-GB"/>
        </w:rPr>
      </w:pPr>
      <w:r>
        <w:rPr>
          <w:rFonts w:ascii="Arial" w:hAnsi="Arial" w:cs="Arial"/>
          <w:sz w:val="22"/>
          <w:szCs w:val="22"/>
          <w:lang w:val="en-GB"/>
        </w:rPr>
        <w:t>If the foreign main proceeding</w:t>
      </w:r>
      <w:r w:rsidR="003400FB">
        <w:rPr>
          <w:rFonts w:ascii="Arial" w:hAnsi="Arial" w:cs="Arial"/>
          <w:sz w:val="22"/>
          <w:szCs w:val="22"/>
          <w:lang w:val="en-GB"/>
        </w:rPr>
        <w:t xml:space="preserve"> was recognised first in the enacting State then any relief granted thereafter either under Article 19 or 21 to a representative of a foreign non-main proceeding must be consistent with the foreign </w:t>
      </w:r>
      <w:r w:rsidR="0024788D">
        <w:rPr>
          <w:rFonts w:ascii="Arial" w:hAnsi="Arial" w:cs="Arial"/>
          <w:sz w:val="22"/>
          <w:szCs w:val="22"/>
          <w:lang w:val="en-GB"/>
        </w:rPr>
        <w:t>main proceeding</w:t>
      </w:r>
      <w:r w:rsidR="003400FB">
        <w:rPr>
          <w:rFonts w:ascii="Arial" w:hAnsi="Arial" w:cs="Arial"/>
          <w:sz w:val="22"/>
          <w:szCs w:val="22"/>
          <w:lang w:val="en-GB"/>
        </w:rPr>
        <w:t>.</w:t>
      </w:r>
      <w:r w:rsidR="003400FB">
        <w:rPr>
          <w:rStyle w:val="FootnoteReference"/>
          <w:rFonts w:ascii="Arial" w:hAnsi="Arial" w:cs="Arial"/>
          <w:sz w:val="22"/>
          <w:szCs w:val="22"/>
          <w:lang w:val="en-GB"/>
        </w:rPr>
        <w:footnoteReference w:id="8"/>
      </w:r>
      <w:r w:rsidR="00773862">
        <w:rPr>
          <w:rFonts w:ascii="Arial" w:hAnsi="Arial" w:cs="Arial"/>
          <w:sz w:val="22"/>
          <w:szCs w:val="22"/>
          <w:lang w:val="en-GB"/>
        </w:rPr>
        <w:t xml:space="preserve"> If the application for recognition or the recognition of the foreign non-main proceedings comes first, then once the foreign main proceeding is recognised in the enacting State, any relief </w:t>
      </w:r>
      <w:r w:rsidR="00546CB8">
        <w:rPr>
          <w:rFonts w:ascii="Arial" w:hAnsi="Arial" w:cs="Arial"/>
          <w:sz w:val="22"/>
          <w:szCs w:val="22"/>
          <w:lang w:val="en-GB"/>
        </w:rPr>
        <w:t>granted</w:t>
      </w:r>
      <w:r w:rsidR="00773862">
        <w:rPr>
          <w:rFonts w:ascii="Arial" w:hAnsi="Arial" w:cs="Arial"/>
          <w:sz w:val="22"/>
          <w:szCs w:val="22"/>
          <w:lang w:val="en-GB"/>
        </w:rPr>
        <w:t xml:space="preserve"> under Article 19 or 21 must be reviewed by the court</w:t>
      </w:r>
      <w:r w:rsidR="00997832">
        <w:rPr>
          <w:rFonts w:ascii="Arial" w:hAnsi="Arial" w:cs="Arial"/>
          <w:sz w:val="22"/>
          <w:szCs w:val="22"/>
          <w:lang w:val="en-GB"/>
        </w:rPr>
        <w:t xml:space="preserve"> and modified or terminated if inconsistent with the foreign main proceeding.</w:t>
      </w:r>
      <w:r w:rsidR="00997832">
        <w:rPr>
          <w:rStyle w:val="FootnoteReference"/>
          <w:rFonts w:ascii="Arial" w:hAnsi="Arial" w:cs="Arial"/>
          <w:sz w:val="22"/>
          <w:szCs w:val="22"/>
          <w:lang w:val="en-GB"/>
        </w:rPr>
        <w:footnoteReference w:id="9"/>
      </w:r>
    </w:p>
    <w:p w14:paraId="47594532" w14:textId="77777777" w:rsidR="00622C2B" w:rsidRPr="00E2622D" w:rsidRDefault="00622C2B" w:rsidP="00707FC8">
      <w:pPr>
        <w:jc w:val="both"/>
        <w:rPr>
          <w:rFonts w:ascii="Avenir Next" w:hAnsi="Avenir Next" w:cs="Arial"/>
          <w:sz w:val="22"/>
          <w:szCs w:val="22"/>
          <w:lang w:val="en-GB"/>
        </w:rPr>
      </w:pP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196AFB4F"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r w:rsidR="00773862">
        <w:rPr>
          <w:rFonts w:ascii="Avenir Next" w:hAnsi="Avenir Next" w:cs="Arial"/>
          <w:sz w:val="22"/>
          <w:szCs w:val="22"/>
          <w:lang w:val="en-GB"/>
        </w:rPr>
        <w:t xml:space="preserve"> </w:t>
      </w:r>
      <w:r w:rsidR="00773862">
        <w:rPr>
          <w:rFonts w:ascii="Arial" w:hAnsi="Arial" w:cs="Arial"/>
          <w:sz w:val="22"/>
          <w:szCs w:val="22"/>
          <w:lang w:val="en-GB"/>
        </w:rPr>
        <w:t xml:space="preserve">  </w:t>
      </w:r>
      <w:r w:rsidR="00773862">
        <w:rPr>
          <w:rFonts w:ascii="Avenir Next" w:hAnsi="Avenir Next" w:cs="Arial"/>
          <w:sz w:val="22"/>
          <w:szCs w:val="22"/>
          <w:lang w:val="en-GB"/>
        </w:rPr>
        <w:t xml:space="preserve"> </w:t>
      </w:r>
    </w:p>
    <w:p w14:paraId="2EBCC997" w14:textId="77777777" w:rsidR="00817D57" w:rsidRPr="00E2622D" w:rsidRDefault="00817D57" w:rsidP="00707FC8">
      <w:pPr>
        <w:jc w:val="both"/>
        <w:rPr>
          <w:rFonts w:ascii="Avenir Next" w:hAnsi="Avenir Next" w:cs="Arial"/>
          <w:sz w:val="22"/>
          <w:szCs w:val="22"/>
          <w:lang w:val="en-GB"/>
        </w:rPr>
      </w:pPr>
    </w:p>
    <w:p w14:paraId="655CD70B" w14:textId="1D086599" w:rsidR="00D5244F" w:rsidRDefault="00D330A3" w:rsidP="000A353D">
      <w:pPr>
        <w:jc w:val="both"/>
        <w:rPr>
          <w:rFonts w:ascii="Arial" w:hAnsi="Arial" w:cs="Arial"/>
          <w:sz w:val="22"/>
          <w:szCs w:val="22"/>
          <w:lang w:val="en-GB"/>
        </w:rPr>
      </w:pPr>
      <w:r>
        <w:rPr>
          <w:rFonts w:ascii="Arial" w:hAnsi="Arial" w:cs="Arial"/>
          <w:sz w:val="22"/>
          <w:szCs w:val="22"/>
          <w:lang w:val="en-GB"/>
        </w:rPr>
        <w:t xml:space="preserve">Article 17 distinguishes between foreign main and non-main proceedings as the available </w:t>
      </w:r>
      <w:r w:rsidR="0024788D">
        <w:rPr>
          <w:rFonts w:ascii="Arial" w:hAnsi="Arial" w:cs="Arial"/>
          <w:sz w:val="22"/>
          <w:szCs w:val="22"/>
          <w:lang w:val="en-GB"/>
        </w:rPr>
        <w:t>relief</w:t>
      </w:r>
      <w:r>
        <w:rPr>
          <w:rFonts w:ascii="Arial" w:hAnsi="Arial" w:cs="Arial"/>
          <w:sz w:val="22"/>
          <w:szCs w:val="22"/>
          <w:lang w:val="en-GB"/>
        </w:rPr>
        <w:t xml:space="preserve"> is different.</w:t>
      </w:r>
      <w:r>
        <w:rPr>
          <w:rStyle w:val="FootnoteReference"/>
          <w:rFonts w:ascii="Arial" w:hAnsi="Arial" w:cs="Arial"/>
          <w:sz w:val="22"/>
          <w:szCs w:val="22"/>
          <w:lang w:val="en-GB"/>
        </w:rPr>
        <w:footnoteReference w:id="10"/>
      </w:r>
      <w:r w:rsidR="00766B20">
        <w:rPr>
          <w:rFonts w:ascii="Arial" w:hAnsi="Arial" w:cs="Arial"/>
          <w:sz w:val="22"/>
          <w:szCs w:val="22"/>
          <w:lang w:val="en-GB"/>
        </w:rPr>
        <w:t xml:space="preserve"> Main proceedings trigger an automatic</w:t>
      </w:r>
      <w:r w:rsidR="00B66B3F">
        <w:rPr>
          <w:rFonts w:ascii="Arial" w:hAnsi="Arial" w:cs="Arial"/>
          <w:sz w:val="22"/>
          <w:szCs w:val="22"/>
          <w:lang w:val="en-GB"/>
        </w:rPr>
        <w:t xml:space="preserve"> relief in the form of a</w:t>
      </w:r>
      <w:r w:rsidR="00766B20">
        <w:rPr>
          <w:rFonts w:ascii="Arial" w:hAnsi="Arial" w:cs="Arial"/>
          <w:sz w:val="22"/>
          <w:szCs w:val="22"/>
          <w:lang w:val="en-GB"/>
        </w:rPr>
        <w:t xml:space="preserve"> stay of individual </w:t>
      </w:r>
      <w:r w:rsidR="0024788D">
        <w:rPr>
          <w:rFonts w:ascii="Arial" w:hAnsi="Arial" w:cs="Arial"/>
          <w:sz w:val="22"/>
          <w:szCs w:val="22"/>
          <w:lang w:val="en-GB"/>
        </w:rPr>
        <w:t>creditor</w:t>
      </w:r>
      <w:r w:rsidR="00766B20">
        <w:rPr>
          <w:rFonts w:ascii="Arial" w:hAnsi="Arial" w:cs="Arial"/>
          <w:sz w:val="22"/>
          <w:szCs w:val="22"/>
          <w:lang w:val="en-GB"/>
        </w:rPr>
        <w:t xml:space="preserve"> actions concerning assets of the debtor</w:t>
      </w:r>
      <w:r w:rsidR="00B66B3F">
        <w:rPr>
          <w:rFonts w:ascii="Arial" w:hAnsi="Arial" w:cs="Arial"/>
          <w:sz w:val="22"/>
          <w:szCs w:val="22"/>
          <w:lang w:val="en-GB"/>
        </w:rPr>
        <w:t>,</w:t>
      </w:r>
      <w:r w:rsidR="00766B20">
        <w:rPr>
          <w:rStyle w:val="FootnoteReference"/>
          <w:rFonts w:ascii="Arial" w:hAnsi="Arial" w:cs="Arial"/>
          <w:sz w:val="22"/>
          <w:szCs w:val="22"/>
          <w:lang w:val="en-GB"/>
        </w:rPr>
        <w:footnoteReference w:id="11"/>
      </w:r>
      <w:r w:rsidR="00B66B3F">
        <w:rPr>
          <w:rFonts w:ascii="Arial" w:hAnsi="Arial" w:cs="Arial"/>
          <w:sz w:val="22"/>
          <w:szCs w:val="22"/>
          <w:lang w:val="en-GB"/>
        </w:rPr>
        <w:t xml:space="preserve"> and an automatic </w:t>
      </w:r>
      <w:r w:rsidR="0024788D">
        <w:rPr>
          <w:rFonts w:ascii="Arial" w:hAnsi="Arial" w:cs="Arial"/>
          <w:sz w:val="22"/>
          <w:szCs w:val="22"/>
          <w:lang w:val="en-GB"/>
        </w:rPr>
        <w:t>freeze</w:t>
      </w:r>
      <w:r w:rsidR="00B66B3F">
        <w:rPr>
          <w:rFonts w:ascii="Arial" w:hAnsi="Arial" w:cs="Arial"/>
          <w:sz w:val="22"/>
          <w:szCs w:val="22"/>
          <w:lang w:val="en-GB"/>
        </w:rPr>
        <w:t xml:space="preserve"> of assets under Article 20 </w:t>
      </w:r>
      <w:r w:rsidR="0024788D">
        <w:rPr>
          <w:rFonts w:ascii="Arial" w:hAnsi="Arial" w:cs="Arial"/>
          <w:sz w:val="22"/>
          <w:szCs w:val="22"/>
          <w:lang w:val="en-GB"/>
        </w:rPr>
        <w:t>()</w:t>
      </w:r>
      <w:r w:rsidR="00B66B3F">
        <w:rPr>
          <w:rFonts w:ascii="Arial" w:hAnsi="Arial" w:cs="Arial"/>
          <w:sz w:val="22"/>
          <w:szCs w:val="22"/>
          <w:lang w:val="en-GB"/>
        </w:rPr>
        <w:t xml:space="preserve">1 </w:t>
      </w:r>
      <w:proofErr w:type="gramStart"/>
      <w:r w:rsidR="00B66B3F">
        <w:rPr>
          <w:rFonts w:ascii="Arial" w:hAnsi="Arial" w:cs="Arial"/>
          <w:sz w:val="22"/>
          <w:szCs w:val="22"/>
          <w:lang w:val="en-GB"/>
        </w:rPr>
        <w:t>( c</w:t>
      </w:r>
      <w:proofErr w:type="gramEnd"/>
      <w:r w:rsidR="00B66B3F">
        <w:rPr>
          <w:rFonts w:ascii="Arial" w:hAnsi="Arial" w:cs="Arial"/>
          <w:sz w:val="22"/>
          <w:szCs w:val="22"/>
          <w:lang w:val="en-GB"/>
        </w:rPr>
        <w:t xml:space="preserve"> ), subject to the exceptions under Article 20 (2).</w:t>
      </w:r>
    </w:p>
    <w:p w14:paraId="051F6F2B" w14:textId="21F87F4B" w:rsidR="00B66B3F" w:rsidRDefault="00B66B3F" w:rsidP="00766B20">
      <w:pPr>
        <w:ind w:left="720"/>
        <w:jc w:val="both"/>
        <w:rPr>
          <w:rFonts w:ascii="Arial" w:hAnsi="Arial" w:cs="Arial"/>
          <w:sz w:val="22"/>
          <w:szCs w:val="22"/>
          <w:lang w:val="en-GB"/>
        </w:rPr>
      </w:pPr>
    </w:p>
    <w:p w14:paraId="55381C56" w14:textId="711A491E" w:rsidR="00B66B3F" w:rsidRDefault="00B66B3F" w:rsidP="000A353D">
      <w:pPr>
        <w:jc w:val="both"/>
        <w:rPr>
          <w:rFonts w:ascii="Arial" w:hAnsi="Arial" w:cs="Arial"/>
          <w:sz w:val="22"/>
          <w:szCs w:val="22"/>
          <w:lang w:val="en-GB"/>
        </w:rPr>
      </w:pPr>
      <w:r>
        <w:rPr>
          <w:rFonts w:ascii="Arial" w:hAnsi="Arial" w:cs="Arial"/>
          <w:sz w:val="22"/>
          <w:szCs w:val="22"/>
          <w:lang w:val="en-GB"/>
        </w:rPr>
        <w:t>Article 19 provides urgent interim pre-recognition relief in collective insolvency proceedings ending when the application for recognition is decided.</w:t>
      </w:r>
      <w:r w:rsidR="008127AA">
        <w:rPr>
          <w:rFonts w:ascii="Arial" w:hAnsi="Arial" w:cs="Arial"/>
          <w:sz w:val="22"/>
          <w:szCs w:val="22"/>
          <w:lang w:val="en-GB"/>
        </w:rPr>
        <w:t xml:space="preserve"> The court may extend the </w:t>
      </w:r>
      <w:r w:rsidR="00BC788C">
        <w:rPr>
          <w:rFonts w:ascii="Arial" w:hAnsi="Arial" w:cs="Arial"/>
          <w:sz w:val="22"/>
          <w:szCs w:val="22"/>
          <w:lang w:val="en-GB"/>
        </w:rPr>
        <w:t>relief</w:t>
      </w:r>
      <w:r w:rsidR="008127AA">
        <w:rPr>
          <w:rFonts w:ascii="Arial" w:hAnsi="Arial" w:cs="Arial"/>
          <w:sz w:val="22"/>
          <w:szCs w:val="22"/>
          <w:lang w:val="en-GB"/>
        </w:rPr>
        <w:t xml:space="preserve"> </w:t>
      </w:r>
      <w:r w:rsidR="00C3696F">
        <w:rPr>
          <w:rFonts w:ascii="Arial" w:hAnsi="Arial" w:cs="Arial"/>
          <w:sz w:val="22"/>
          <w:szCs w:val="22"/>
          <w:lang w:val="en-GB"/>
        </w:rPr>
        <w:t>granted</w:t>
      </w:r>
      <w:r w:rsidR="008127AA">
        <w:rPr>
          <w:rFonts w:ascii="Arial" w:hAnsi="Arial" w:cs="Arial"/>
          <w:sz w:val="22"/>
          <w:szCs w:val="22"/>
          <w:lang w:val="en-GB"/>
        </w:rPr>
        <w:t xml:space="preserve"> under Article 19 in appropriate cases.</w:t>
      </w:r>
      <w:r w:rsidR="008127AA">
        <w:rPr>
          <w:rStyle w:val="FootnoteReference"/>
          <w:rFonts w:ascii="Arial" w:hAnsi="Arial" w:cs="Arial"/>
          <w:sz w:val="22"/>
          <w:szCs w:val="22"/>
          <w:lang w:val="en-GB"/>
        </w:rPr>
        <w:footnoteReference w:id="12"/>
      </w:r>
      <w:r w:rsidR="008127AA">
        <w:rPr>
          <w:rFonts w:ascii="Arial" w:hAnsi="Arial" w:cs="Arial"/>
          <w:sz w:val="22"/>
          <w:szCs w:val="22"/>
          <w:lang w:val="en-GB"/>
        </w:rPr>
        <w:t xml:space="preserve"> The relief </w:t>
      </w:r>
      <w:r w:rsidR="00C3696F">
        <w:rPr>
          <w:rFonts w:ascii="Arial" w:hAnsi="Arial" w:cs="Arial"/>
          <w:sz w:val="22"/>
          <w:szCs w:val="22"/>
          <w:lang w:val="en-GB"/>
        </w:rPr>
        <w:t>granted</w:t>
      </w:r>
      <w:r w:rsidR="008127AA">
        <w:rPr>
          <w:rFonts w:ascii="Arial" w:hAnsi="Arial" w:cs="Arial"/>
          <w:sz w:val="22"/>
          <w:szCs w:val="22"/>
          <w:lang w:val="en-GB"/>
        </w:rPr>
        <w:t xml:space="preserve"> </w:t>
      </w:r>
      <w:r w:rsidR="00805A0F">
        <w:rPr>
          <w:rFonts w:ascii="Arial" w:hAnsi="Arial" w:cs="Arial"/>
          <w:sz w:val="22"/>
          <w:szCs w:val="22"/>
          <w:lang w:val="en-GB"/>
        </w:rPr>
        <w:t xml:space="preserve">under Article 19 applies to both foreign main and non-main proceedings. The relief is intended to protect the assets of the debtor or the interests of the creditors and </w:t>
      </w:r>
      <w:r w:rsidR="00C3696F">
        <w:rPr>
          <w:rFonts w:ascii="Arial" w:hAnsi="Arial" w:cs="Arial"/>
          <w:sz w:val="22"/>
          <w:szCs w:val="22"/>
          <w:lang w:val="en-GB"/>
        </w:rPr>
        <w:t>includes</w:t>
      </w:r>
    </w:p>
    <w:p w14:paraId="622FB587" w14:textId="77777777" w:rsidR="000A353D" w:rsidRDefault="000A353D" w:rsidP="000A353D">
      <w:pPr>
        <w:jc w:val="both"/>
        <w:rPr>
          <w:rFonts w:ascii="Arial" w:hAnsi="Arial" w:cs="Arial"/>
          <w:sz w:val="22"/>
          <w:szCs w:val="22"/>
          <w:lang w:val="en-GB"/>
        </w:rPr>
      </w:pPr>
    </w:p>
    <w:p w14:paraId="07A98C8A" w14:textId="5B53EC6F" w:rsidR="00805A0F" w:rsidRDefault="00805A0F" w:rsidP="00805A0F">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Staying execution against the debtor’s </w:t>
      </w:r>
      <w:r w:rsidR="00C3696F">
        <w:rPr>
          <w:rFonts w:ascii="Arial" w:hAnsi="Arial" w:cs="Arial"/>
          <w:sz w:val="22"/>
          <w:szCs w:val="22"/>
          <w:lang w:val="en-GB"/>
        </w:rPr>
        <w:t>assets.</w:t>
      </w:r>
    </w:p>
    <w:p w14:paraId="3DA249D9" w14:textId="77777777" w:rsidR="000A353D" w:rsidRDefault="000A353D" w:rsidP="000A353D">
      <w:pPr>
        <w:pStyle w:val="ListParagraph"/>
        <w:ind w:left="1440"/>
        <w:jc w:val="both"/>
        <w:rPr>
          <w:rFonts w:ascii="Arial" w:hAnsi="Arial" w:cs="Arial"/>
          <w:sz w:val="22"/>
          <w:szCs w:val="22"/>
          <w:lang w:val="en-GB"/>
        </w:rPr>
      </w:pPr>
    </w:p>
    <w:p w14:paraId="75E818F3" w14:textId="77777777" w:rsidR="00A11EF5" w:rsidRDefault="00805A0F" w:rsidP="00805A0F">
      <w:pPr>
        <w:pStyle w:val="ListParagraph"/>
        <w:numPr>
          <w:ilvl w:val="0"/>
          <w:numId w:val="21"/>
        </w:numPr>
        <w:jc w:val="both"/>
        <w:rPr>
          <w:rFonts w:ascii="Arial" w:hAnsi="Arial" w:cs="Arial"/>
          <w:sz w:val="22"/>
          <w:szCs w:val="22"/>
          <w:lang w:val="en-GB"/>
        </w:rPr>
      </w:pPr>
      <w:r>
        <w:rPr>
          <w:rFonts w:ascii="Arial" w:hAnsi="Arial" w:cs="Arial"/>
          <w:sz w:val="22"/>
          <w:szCs w:val="22"/>
          <w:lang w:val="en-GB"/>
        </w:rPr>
        <w:t>Entrusting the administration or realisation of all or part of the debtor’s assets located in the enacting State to the foreign representative or other appointed person to protect and preserve the value of the assets which by their nature are perishable, vulnerable to devaluation or otherwise in jeopardy.</w:t>
      </w:r>
    </w:p>
    <w:p w14:paraId="482DDA02" w14:textId="15F7D669" w:rsidR="00A11EF5" w:rsidRDefault="00A11EF5" w:rsidP="00805A0F">
      <w:pPr>
        <w:pStyle w:val="ListParagraph"/>
        <w:numPr>
          <w:ilvl w:val="0"/>
          <w:numId w:val="21"/>
        </w:numPr>
        <w:jc w:val="both"/>
        <w:rPr>
          <w:rFonts w:ascii="Arial" w:hAnsi="Arial" w:cs="Arial"/>
          <w:sz w:val="22"/>
          <w:szCs w:val="22"/>
          <w:lang w:val="en-GB"/>
        </w:rPr>
      </w:pPr>
      <w:r>
        <w:rPr>
          <w:rFonts w:ascii="Arial" w:hAnsi="Arial" w:cs="Arial"/>
          <w:sz w:val="22"/>
          <w:szCs w:val="22"/>
          <w:lang w:val="en-GB"/>
        </w:rPr>
        <w:lastRenderedPageBreak/>
        <w:t xml:space="preserve">Suspending the right to transfer, encumber or otherwise dispose of any of the assets of the </w:t>
      </w:r>
      <w:proofErr w:type="gramStart"/>
      <w:r>
        <w:rPr>
          <w:rFonts w:ascii="Arial" w:hAnsi="Arial" w:cs="Arial"/>
          <w:sz w:val="22"/>
          <w:szCs w:val="22"/>
          <w:lang w:val="en-GB"/>
        </w:rPr>
        <w:t>debtor;</w:t>
      </w:r>
      <w:proofErr w:type="gramEnd"/>
    </w:p>
    <w:p w14:paraId="5FE9460C" w14:textId="77777777" w:rsidR="000A353D" w:rsidRDefault="000A353D" w:rsidP="000A353D">
      <w:pPr>
        <w:pStyle w:val="ListParagraph"/>
        <w:ind w:left="1440"/>
        <w:jc w:val="both"/>
        <w:rPr>
          <w:rFonts w:ascii="Arial" w:hAnsi="Arial" w:cs="Arial"/>
          <w:sz w:val="22"/>
          <w:szCs w:val="22"/>
          <w:lang w:val="en-GB"/>
        </w:rPr>
      </w:pPr>
    </w:p>
    <w:p w14:paraId="228EE4B7" w14:textId="697099BC" w:rsidR="00A11EF5" w:rsidRDefault="00A11EF5" w:rsidP="00805A0F">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Examination of witnesses, taking of evidence or delivery of information concerning the debtor’s assets, affairs, rights, </w:t>
      </w:r>
      <w:proofErr w:type="gramStart"/>
      <w:r w:rsidR="00C3696F">
        <w:rPr>
          <w:rFonts w:ascii="Arial" w:hAnsi="Arial" w:cs="Arial"/>
          <w:sz w:val="22"/>
          <w:szCs w:val="22"/>
          <w:lang w:val="en-GB"/>
        </w:rPr>
        <w:t>obligations</w:t>
      </w:r>
      <w:proofErr w:type="gramEnd"/>
      <w:r>
        <w:rPr>
          <w:rFonts w:ascii="Arial" w:hAnsi="Arial" w:cs="Arial"/>
          <w:sz w:val="22"/>
          <w:szCs w:val="22"/>
          <w:lang w:val="en-GB"/>
        </w:rPr>
        <w:t xml:space="preserve"> or liabilities.</w:t>
      </w:r>
    </w:p>
    <w:p w14:paraId="04727885" w14:textId="77777777" w:rsidR="00A11EF5" w:rsidRDefault="00A11EF5" w:rsidP="00A11EF5">
      <w:pPr>
        <w:jc w:val="both"/>
        <w:rPr>
          <w:rFonts w:ascii="Arial" w:hAnsi="Arial" w:cs="Arial"/>
          <w:sz w:val="22"/>
          <w:szCs w:val="22"/>
          <w:lang w:val="en-GB"/>
        </w:rPr>
      </w:pPr>
    </w:p>
    <w:p w14:paraId="1733F569" w14:textId="77777777" w:rsidR="00C60E6B" w:rsidRDefault="00A11EF5" w:rsidP="00A11EF5">
      <w:pPr>
        <w:jc w:val="both"/>
        <w:rPr>
          <w:rFonts w:ascii="Arial" w:hAnsi="Arial" w:cs="Arial"/>
          <w:sz w:val="22"/>
          <w:szCs w:val="22"/>
          <w:lang w:val="en-GB"/>
        </w:rPr>
      </w:pPr>
      <w:r>
        <w:rPr>
          <w:rFonts w:ascii="Arial" w:hAnsi="Arial" w:cs="Arial"/>
          <w:sz w:val="22"/>
          <w:szCs w:val="22"/>
          <w:lang w:val="en-GB"/>
        </w:rPr>
        <w:t>The interim relief maybe refused if the granting of it would interfere with the administration of a foreign main proceeding.</w:t>
      </w:r>
      <w:r w:rsidR="00C23A1D">
        <w:rPr>
          <w:rStyle w:val="FootnoteReference"/>
          <w:rFonts w:ascii="Arial" w:hAnsi="Arial" w:cs="Arial"/>
          <w:sz w:val="22"/>
          <w:szCs w:val="22"/>
          <w:lang w:val="en-GB"/>
        </w:rPr>
        <w:footnoteReference w:id="13"/>
      </w:r>
      <w:r>
        <w:rPr>
          <w:rFonts w:ascii="Arial" w:hAnsi="Arial" w:cs="Arial"/>
          <w:sz w:val="22"/>
          <w:szCs w:val="22"/>
          <w:lang w:val="en-GB"/>
        </w:rPr>
        <w:t xml:space="preserve"> </w:t>
      </w:r>
      <w:r w:rsidRPr="00A11EF5">
        <w:rPr>
          <w:rFonts w:ascii="Arial" w:hAnsi="Arial" w:cs="Arial"/>
          <w:sz w:val="22"/>
          <w:szCs w:val="22"/>
          <w:lang w:val="en-GB"/>
        </w:rPr>
        <w:t xml:space="preserve"> </w:t>
      </w:r>
      <w:r w:rsidR="00805A0F" w:rsidRPr="00A11EF5">
        <w:rPr>
          <w:rFonts w:ascii="Arial" w:hAnsi="Arial" w:cs="Arial"/>
          <w:sz w:val="22"/>
          <w:szCs w:val="22"/>
          <w:lang w:val="en-GB"/>
        </w:rPr>
        <w:t xml:space="preserve"> </w:t>
      </w:r>
    </w:p>
    <w:p w14:paraId="0FE3A44B" w14:textId="77777777" w:rsidR="00C60E6B" w:rsidRDefault="00C60E6B" w:rsidP="00A11EF5">
      <w:pPr>
        <w:jc w:val="both"/>
        <w:rPr>
          <w:rFonts w:ascii="Arial" w:hAnsi="Arial" w:cs="Arial"/>
          <w:sz w:val="22"/>
          <w:szCs w:val="22"/>
          <w:lang w:val="en-GB"/>
        </w:rPr>
      </w:pPr>
    </w:p>
    <w:p w14:paraId="12D44170" w14:textId="59F75AAA" w:rsidR="00C02742" w:rsidRDefault="00C60E6B" w:rsidP="00A11EF5">
      <w:pPr>
        <w:jc w:val="both"/>
        <w:rPr>
          <w:rFonts w:ascii="Arial" w:hAnsi="Arial" w:cs="Arial"/>
          <w:sz w:val="22"/>
          <w:szCs w:val="22"/>
          <w:lang w:val="en-GB"/>
        </w:rPr>
      </w:pPr>
      <w:r>
        <w:rPr>
          <w:rFonts w:ascii="Arial" w:hAnsi="Arial" w:cs="Arial"/>
          <w:sz w:val="22"/>
          <w:szCs w:val="22"/>
          <w:lang w:val="en-GB"/>
        </w:rPr>
        <w:t xml:space="preserve">Post </w:t>
      </w:r>
      <w:r w:rsidR="00C3696F">
        <w:rPr>
          <w:rFonts w:ascii="Arial" w:hAnsi="Arial" w:cs="Arial"/>
          <w:sz w:val="22"/>
          <w:szCs w:val="22"/>
          <w:lang w:val="en-GB"/>
        </w:rPr>
        <w:t>recognition</w:t>
      </w:r>
      <w:r>
        <w:rPr>
          <w:rFonts w:ascii="Arial" w:hAnsi="Arial" w:cs="Arial"/>
          <w:sz w:val="22"/>
          <w:szCs w:val="22"/>
          <w:lang w:val="en-GB"/>
        </w:rPr>
        <w:t xml:space="preserve"> relief is provided for under Article 21, where the Court </w:t>
      </w:r>
      <w:r w:rsidR="00C3696F">
        <w:rPr>
          <w:rFonts w:ascii="Arial" w:hAnsi="Arial" w:cs="Arial"/>
          <w:sz w:val="22"/>
          <w:szCs w:val="22"/>
          <w:lang w:val="en-GB"/>
        </w:rPr>
        <w:t>maintains</w:t>
      </w:r>
      <w:r>
        <w:rPr>
          <w:rFonts w:ascii="Arial" w:hAnsi="Arial" w:cs="Arial"/>
          <w:sz w:val="22"/>
          <w:szCs w:val="22"/>
          <w:lang w:val="en-GB"/>
        </w:rPr>
        <w:t xml:space="preserve"> the discretion to grant appropriate relief to protect the assets of the debtor or interests of the creditors.</w:t>
      </w:r>
      <w:r w:rsidR="00805A0F" w:rsidRPr="00A11EF5">
        <w:rPr>
          <w:rFonts w:ascii="Arial" w:hAnsi="Arial" w:cs="Arial"/>
          <w:sz w:val="22"/>
          <w:szCs w:val="22"/>
          <w:lang w:val="en-GB"/>
        </w:rPr>
        <w:t xml:space="preserve"> </w:t>
      </w:r>
      <w:r w:rsidR="00C02742">
        <w:rPr>
          <w:rFonts w:ascii="Arial" w:hAnsi="Arial" w:cs="Arial"/>
          <w:sz w:val="22"/>
          <w:szCs w:val="22"/>
          <w:lang w:val="en-GB"/>
        </w:rPr>
        <w:t xml:space="preserve">The relief is not unlimited. The </w:t>
      </w:r>
      <w:r w:rsidR="00C3696F">
        <w:rPr>
          <w:rFonts w:ascii="Arial" w:hAnsi="Arial" w:cs="Arial"/>
          <w:sz w:val="22"/>
          <w:szCs w:val="22"/>
          <w:lang w:val="en-GB"/>
        </w:rPr>
        <w:t>turning</w:t>
      </w:r>
      <w:r w:rsidR="00C02742">
        <w:rPr>
          <w:rFonts w:ascii="Arial" w:hAnsi="Arial" w:cs="Arial"/>
          <w:sz w:val="22"/>
          <w:szCs w:val="22"/>
          <w:lang w:val="en-GB"/>
        </w:rPr>
        <w:t xml:space="preserve"> over of assets to the foreign representative is discretionary and the built-in </w:t>
      </w:r>
      <w:r w:rsidR="00546CB8">
        <w:rPr>
          <w:rFonts w:ascii="Arial" w:hAnsi="Arial" w:cs="Arial"/>
          <w:sz w:val="22"/>
          <w:szCs w:val="22"/>
          <w:lang w:val="en-GB"/>
        </w:rPr>
        <w:t>safeguards</w:t>
      </w:r>
      <w:r w:rsidR="00C02742">
        <w:rPr>
          <w:rFonts w:ascii="Arial" w:hAnsi="Arial" w:cs="Arial"/>
          <w:sz w:val="22"/>
          <w:szCs w:val="22"/>
          <w:lang w:val="en-GB"/>
        </w:rPr>
        <w:t xml:space="preserve"> include the court’s satisfaction that local </w:t>
      </w:r>
      <w:r w:rsidR="00C3696F">
        <w:rPr>
          <w:rFonts w:ascii="Arial" w:hAnsi="Arial" w:cs="Arial"/>
          <w:sz w:val="22"/>
          <w:szCs w:val="22"/>
          <w:lang w:val="en-GB"/>
        </w:rPr>
        <w:t>creditors</w:t>
      </w:r>
      <w:r w:rsidR="00C02742">
        <w:rPr>
          <w:rFonts w:ascii="Arial" w:hAnsi="Arial" w:cs="Arial"/>
          <w:sz w:val="22"/>
          <w:szCs w:val="22"/>
          <w:lang w:val="en-GB"/>
        </w:rPr>
        <w:t>’ interests are protected before the assets are handed over to the foreign representative.</w:t>
      </w:r>
      <w:r w:rsidR="00C02742">
        <w:rPr>
          <w:rStyle w:val="FootnoteReference"/>
          <w:rFonts w:ascii="Arial" w:hAnsi="Arial" w:cs="Arial"/>
          <w:sz w:val="22"/>
          <w:szCs w:val="22"/>
          <w:lang w:val="en-GB"/>
        </w:rPr>
        <w:footnoteReference w:id="14"/>
      </w:r>
      <w:r w:rsidR="00C02742">
        <w:rPr>
          <w:rFonts w:ascii="Arial" w:hAnsi="Arial" w:cs="Arial"/>
          <w:sz w:val="22"/>
          <w:szCs w:val="22"/>
          <w:lang w:val="en-GB"/>
        </w:rPr>
        <w:t xml:space="preserve"> The court may subject the relief granted </w:t>
      </w:r>
      <w:r w:rsidR="008D0B4F">
        <w:rPr>
          <w:rFonts w:ascii="Arial" w:hAnsi="Arial" w:cs="Arial"/>
          <w:sz w:val="22"/>
          <w:szCs w:val="22"/>
          <w:lang w:val="en-GB"/>
        </w:rPr>
        <w:t xml:space="preserve">to conditions it deems appropriate to protect local </w:t>
      </w:r>
      <w:r w:rsidR="00C3696F">
        <w:rPr>
          <w:rFonts w:ascii="Arial" w:hAnsi="Arial" w:cs="Arial"/>
          <w:sz w:val="22"/>
          <w:szCs w:val="22"/>
          <w:lang w:val="en-GB"/>
        </w:rPr>
        <w:t>interests</w:t>
      </w:r>
      <w:r w:rsidR="00120DD9">
        <w:rPr>
          <w:rStyle w:val="FootnoteReference"/>
          <w:rFonts w:ascii="Arial" w:hAnsi="Arial" w:cs="Arial"/>
          <w:sz w:val="22"/>
          <w:szCs w:val="22"/>
          <w:lang w:val="en-GB"/>
        </w:rPr>
        <w:footnoteReference w:id="15"/>
      </w:r>
      <w:r w:rsidR="008D0B4F">
        <w:rPr>
          <w:rFonts w:ascii="Arial" w:hAnsi="Arial" w:cs="Arial"/>
          <w:sz w:val="22"/>
          <w:szCs w:val="22"/>
          <w:lang w:val="en-GB"/>
        </w:rPr>
        <w:t>.</w:t>
      </w:r>
    </w:p>
    <w:p w14:paraId="2D353D97" w14:textId="6E889AED" w:rsidR="003741F8" w:rsidRDefault="003741F8" w:rsidP="00A11EF5">
      <w:pPr>
        <w:jc w:val="both"/>
        <w:rPr>
          <w:rFonts w:ascii="Arial" w:hAnsi="Arial" w:cs="Arial"/>
          <w:sz w:val="22"/>
          <w:szCs w:val="22"/>
          <w:lang w:val="en-GB"/>
        </w:rPr>
      </w:pPr>
    </w:p>
    <w:p w14:paraId="4A0E319B" w14:textId="5C5DF292" w:rsidR="00867A8F" w:rsidRDefault="003741F8" w:rsidP="00476A56">
      <w:pPr>
        <w:jc w:val="both"/>
        <w:rPr>
          <w:rFonts w:ascii="Avenir Next" w:hAnsi="Avenir Next" w:cs="Arial"/>
          <w:sz w:val="22"/>
          <w:szCs w:val="22"/>
          <w:lang w:val="en-GB"/>
        </w:rPr>
      </w:pPr>
      <w:r>
        <w:rPr>
          <w:rFonts w:ascii="Arial" w:hAnsi="Arial" w:cs="Arial"/>
          <w:sz w:val="22"/>
          <w:szCs w:val="22"/>
          <w:lang w:val="en-GB"/>
        </w:rPr>
        <w:t xml:space="preserve">Article 20 provides for automatic relief upon the recognition of a foreign main proceeding. It is a post recognition relief. It allows for orderly and fair cross-border insolvency proceedings. The Court </w:t>
      </w:r>
      <w:r w:rsidR="00C3696F">
        <w:rPr>
          <w:rFonts w:ascii="Arial" w:hAnsi="Arial" w:cs="Arial"/>
          <w:sz w:val="22"/>
          <w:szCs w:val="22"/>
          <w:lang w:val="en-GB"/>
        </w:rPr>
        <w:t>maintains</w:t>
      </w:r>
      <w:r>
        <w:rPr>
          <w:rFonts w:ascii="Arial" w:hAnsi="Arial" w:cs="Arial"/>
          <w:sz w:val="22"/>
          <w:szCs w:val="22"/>
          <w:lang w:val="en-GB"/>
        </w:rPr>
        <w:t xml:space="preserve"> the </w:t>
      </w:r>
      <w:r w:rsidR="00476A56">
        <w:rPr>
          <w:rFonts w:ascii="Arial" w:hAnsi="Arial" w:cs="Arial"/>
          <w:sz w:val="22"/>
          <w:szCs w:val="22"/>
          <w:lang w:val="en-GB"/>
        </w:rPr>
        <w:t xml:space="preserve">discretion to terminate or modify the automatic stay contemplated if </w:t>
      </w:r>
      <w:r w:rsidR="00A0539F">
        <w:rPr>
          <w:rFonts w:ascii="Arial" w:hAnsi="Arial" w:cs="Arial"/>
          <w:sz w:val="22"/>
          <w:szCs w:val="22"/>
          <w:lang w:val="en-GB"/>
        </w:rPr>
        <w:t>it</w:t>
      </w:r>
      <w:r w:rsidR="00476A56">
        <w:rPr>
          <w:rFonts w:ascii="Arial" w:hAnsi="Arial" w:cs="Arial"/>
          <w:sz w:val="22"/>
          <w:szCs w:val="22"/>
          <w:lang w:val="en-GB"/>
        </w:rPr>
        <w:t xml:space="preserve"> would be contrary to the legitimate interests of party.</w:t>
      </w:r>
      <w:r w:rsidR="00476A56">
        <w:rPr>
          <w:rStyle w:val="FootnoteReference"/>
          <w:rFonts w:ascii="Arial" w:hAnsi="Arial" w:cs="Arial"/>
          <w:sz w:val="22"/>
          <w:szCs w:val="22"/>
          <w:lang w:val="en-GB"/>
        </w:rPr>
        <w:footnoteReference w:id="16"/>
      </w:r>
      <w:r w:rsidR="00476A56">
        <w:rPr>
          <w:rFonts w:ascii="Arial" w:hAnsi="Arial" w:cs="Arial"/>
          <w:sz w:val="22"/>
          <w:szCs w:val="22"/>
          <w:lang w:val="en-GB"/>
        </w:rPr>
        <w:t xml:space="preserve"> The automatic stay and suspension does not affect the right to begin individual actions to the extent necessary to preserve a claim against a debtor.</w:t>
      </w:r>
      <w:r w:rsidR="00476A56">
        <w:rPr>
          <w:rStyle w:val="FootnoteReference"/>
          <w:rFonts w:ascii="Arial" w:hAnsi="Arial" w:cs="Arial"/>
          <w:sz w:val="22"/>
          <w:szCs w:val="22"/>
          <w:lang w:val="en-GB"/>
        </w:rPr>
        <w:footnoteReference w:id="17"/>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185022FC" w:rsidR="000077D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555AEA1F" w14:textId="1BD49988" w:rsidR="00610C2A" w:rsidRDefault="00610C2A" w:rsidP="000077DD">
      <w:pPr>
        <w:jc w:val="both"/>
        <w:rPr>
          <w:rFonts w:ascii="Avenir Next" w:hAnsi="Avenir Next" w:cs="Arial"/>
          <w:sz w:val="22"/>
          <w:szCs w:val="22"/>
          <w:lang w:val="en-GB"/>
        </w:rPr>
      </w:pPr>
    </w:p>
    <w:p w14:paraId="4612A9F5" w14:textId="7FD2857F" w:rsidR="00610C2A" w:rsidRPr="00610C2A" w:rsidRDefault="00610C2A" w:rsidP="000077DD">
      <w:pPr>
        <w:jc w:val="both"/>
        <w:rPr>
          <w:rFonts w:ascii="Arial" w:hAnsi="Arial" w:cs="Arial"/>
          <w:sz w:val="22"/>
          <w:szCs w:val="22"/>
          <w:lang w:val="en-GB"/>
        </w:rPr>
      </w:pPr>
      <w:r>
        <w:rPr>
          <w:rFonts w:ascii="Arial" w:hAnsi="Arial" w:cs="Arial"/>
          <w:sz w:val="22"/>
          <w:szCs w:val="22"/>
          <w:lang w:val="en-GB"/>
        </w:rPr>
        <w:t xml:space="preserve">The court </w:t>
      </w:r>
      <w:r w:rsidR="00C3696F">
        <w:rPr>
          <w:rFonts w:ascii="Arial" w:hAnsi="Arial" w:cs="Arial"/>
          <w:sz w:val="22"/>
          <w:szCs w:val="22"/>
          <w:lang w:val="en-GB"/>
        </w:rPr>
        <w:t>maintains</w:t>
      </w:r>
      <w:r>
        <w:rPr>
          <w:rFonts w:ascii="Arial" w:hAnsi="Arial" w:cs="Arial"/>
          <w:sz w:val="22"/>
          <w:szCs w:val="22"/>
          <w:lang w:val="en-GB"/>
        </w:rPr>
        <w:t xml:space="preserve"> its discretionary powers to limit, modify or cancel a freezing order. In the case </w:t>
      </w:r>
      <w:r w:rsidRPr="003960AF">
        <w:rPr>
          <w:rFonts w:ascii="Arial" w:hAnsi="Arial" w:cs="Arial"/>
          <w:i/>
          <w:iCs/>
          <w:sz w:val="22"/>
          <w:szCs w:val="22"/>
          <w:lang w:val="en-GB"/>
        </w:rPr>
        <w:t>of Igor</w:t>
      </w:r>
      <w:r w:rsidR="00417A96">
        <w:rPr>
          <w:rStyle w:val="FootnoteReference"/>
          <w:rFonts w:ascii="Arial" w:hAnsi="Arial" w:cs="Arial"/>
          <w:b/>
          <w:bCs/>
          <w:i/>
          <w:iCs/>
          <w:sz w:val="22"/>
          <w:szCs w:val="22"/>
          <w:lang w:val="en-GB"/>
        </w:rPr>
        <w:footnoteReference w:id="18"/>
      </w:r>
      <w:r>
        <w:rPr>
          <w:rFonts w:ascii="Arial" w:hAnsi="Arial" w:cs="Arial"/>
          <w:b/>
          <w:bCs/>
          <w:i/>
          <w:iCs/>
          <w:sz w:val="22"/>
          <w:szCs w:val="22"/>
          <w:lang w:val="en-GB"/>
        </w:rPr>
        <w:t xml:space="preserve">, </w:t>
      </w:r>
      <w:r>
        <w:rPr>
          <w:rFonts w:ascii="Arial" w:hAnsi="Arial" w:cs="Arial"/>
          <w:sz w:val="22"/>
          <w:szCs w:val="22"/>
          <w:lang w:val="en-GB"/>
        </w:rPr>
        <w:t xml:space="preserve">The court held that the Model Law </w:t>
      </w:r>
      <w:r w:rsidR="0030614E">
        <w:rPr>
          <w:rFonts w:ascii="Arial" w:hAnsi="Arial" w:cs="Arial"/>
          <w:sz w:val="22"/>
          <w:szCs w:val="22"/>
          <w:lang w:val="en-GB"/>
        </w:rPr>
        <w:t>on Cross-Border Insolvency is intended to put the foreign representative in the same position, as far as is practical, as an office holder appointed under domestic law, hence the local tools are available to the foreign representative under local insolvency legislation.</w:t>
      </w:r>
      <w:r w:rsidR="00A11555">
        <w:rPr>
          <w:rFonts w:ascii="Arial" w:hAnsi="Arial" w:cs="Arial"/>
          <w:sz w:val="22"/>
          <w:szCs w:val="22"/>
          <w:lang w:val="en-GB"/>
        </w:rPr>
        <w:t xml:space="preserve"> A </w:t>
      </w:r>
      <w:r w:rsidR="00C3696F">
        <w:rPr>
          <w:rFonts w:ascii="Arial" w:hAnsi="Arial" w:cs="Arial"/>
          <w:sz w:val="22"/>
          <w:szCs w:val="22"/>
          <w:lang w:val="en-GB"/>
        </w:rPr>
        <w:t>world-wide</w:t>
      </w:r>
      <w:r w:rsidR="00A11555">
        <w:rPr>
          <w:rFonts w:ascii="Arial" w:hAnsi="Arial" w:cs="Arial"/>
          <w:sz w:val="22"/>
          <w:szCs w:val="22"/>
          <w:lang w:val="en-GB"/>
        </w:rPr>
        <w:t xml:space="preserve"> freezing order would therefore not be justified.</w:t>
      </w:r>
    </w:p>
    <w:p w14:paraId="0BBA86B8" w14:textId="4204DA62" w:rsidR="00980314" w:rsidRPr="00E2622D" w:rsidRDefault="00980314" w:rsidP="000077DD">
      <w:pPr>
        <w:jc w:val="both"/>
        <w:rPr>
          <w:rFonts w:ascii="Avenir Next" w:hAnsi="Avenir Next" w:cs="Arial"/>
          <w:sz w:val="22"/>
          <w:szCs w:val="22"/>
          <w:lang w:val="en-GB"/>
        </w:rPr>
      </w:pPr>
    </w:p>
    <w:p w14:paraId="6841A1DE" w14:textId="50A089D8" w:rsidR="00D5244F" w:rsidRPr="00610C2A" w:rsidRDefault="00D5244F" w:rsidP="00707FC8">
      <w:pPr>
        <w:jc w:val="both"/>
        <w:rPr>
          <w:rFonts w:ascii="Arial" w:hAnsi="Arial"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lastRenderedPageBreak/>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financial position had deteriorated further with increased losses, a further reduction in regulatory capital and numerous </w:t>
      </w:r>
      <w:r w:rsidRPr="00E2622D">
        <w:rPr>
          <w:rFonts w:ascii="Avenir Next" w:hAnsi="Avenir Next" w:cs="Arial"/>
          <w:color w:val="000000"/>
          <w:sz w:val="22"/>
          <w:szCs w:val="22"/>
          <w:lang w:val="en-GB" w:eastAsia="en-GB"/>
        </w:rPr>
        <w:lastRenderedPageBreak/>
        <w:t>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5F613E69"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proofErr w:type="gramStart"/>
      <w:r w:rsidR="002F78CA" w:rsidRPr="00A70BBC">
        <w:rPr>
          <w:rFonts w:ascii="Avenir Next Demi Bold" w:hAnsi="Avenir Next Demi Bold" w:cs="Arial"/>
          <w:b/>
          <w:bCs/>
          <w:color w:val="000000"/>
          <w:sz w:val="22"/>
          <w:szCs w:val="22"/>
          <w:lang w:val="en-GB" w:eastAsia="en-GB"/>
        </w:rPr>
        <w:t>]</w:t>
      </w:r>
      <w:r w:rsidR="008A7470" w:rsidRPr="00E2622D">
        <w:rPr>
          <w:rFonts w:ascii="Avenir Next" w:hAnsi="Avenir Next" w:cs="Arial"/>
          <w:color w:val="000000"/>
          <w:sz w:val="22"/>
          <w:szCs w:val="22"/>
          <w:lang w:val="en-GB" w:eastAsia="en-GB"/>
        </w:rPr>
        <w:t>;</w:t>
      </w:r>
      <w:proofErr w:type="gramEnd"/>
      <w:r w:rsidR="008A7470" w:rsidRPr="00E2622D">
        <w:rPr>
          <w:rFonts w:ascii="Avenir Next" w:hAnsi="Avenir Next" w:cs="Arial"/>
          <w:color w:val="000000"/>
          <w:sz w:val="22"/>
          <w:szCs w:val="22"/>
          <w:lang w:val="en-GB" w:eastAsia="en-GB"/>
        </w:rPr>
        <w:t xml:space="preserve"> </w:t>
      </w:r>
    </w:p>
    <w:p w14:paraId="650FD424" w14:textId="2B4A5161" w:rsidR="0056299C" w:rsidRDefault="0056299C" w:rsidP="00957951">
      <w:pPr>
        <w:ind w:left="720" w:hanging="720"/>
        <w:jc w:val="both"/>
        <w:rPr>
          <w:rFonts w:ascii="Avenir Next" w:hAnsi="Avenir Next" w:cs="Arial"/>
          <w:color w:val="000000"/>
          <w:sz w:val="22"/>
          <w:szCs w:val="22"/>
          <w:lang w:val="en-GB" w:eastAsia="en-GB"/>
        </w:rPr>
      </w:pPr>
    </w:p>
    <w:p w14:paraId="73CC8EF6" w14:textId="77777777" w:rsidR="00DF0648" w:rsidRDefault="0056299C" w:rsidP="00957951">
      <w:pPr>
        <w:ind w:left="720" w:hanging="720"/>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In determining whether the Bank’s liquidation comprises a “foreign proceeding”, regard must be had to the following elements as laid down in </w:t>
      </w:r>
      <w:proofErr w:type="spellStart"/>
      <w:r w:rsidR="00417A96">
        <w:rPr>
          <w:rFonts w:ascii="Arial" w:hAnsi="Arial" w:cs="Arial"/>
          <w:color w:val="000000"/>
          <w:sz w:val="22"/>
          <w:szCs w:val="22"/>
          <w:lang w:val="en-GB" w:eastAsia="en-GB"/>
        </w:rPr>
        <w:t>Agrokor’s</w:t>
      </w:r>
      <w:proofErr w:type="spellEnd"/>
      <w:r w:rsidR="00417A96">
        <w:rPr>
          <w:rFonts w:ascii="Arial" w:hAnsi="Arial" w:cs="Arial"/>
          <w:color w:val="000000"/>
          <w:sz w:val="22"/>
          <w:szCs w:val="22"/>
          <w:lang w:val="en-GB" w:eastAsia="en-GB"/>
        </w:rPr>
        <w:t xml:space="preserve"> case</w:t>
      </w:r>
      <w:r w:rsidR="00417A96">
        <w:rPr>
          <w:rStyle w:val="FootnoteReference"/>
          <w:rFonts w:ascii="Arial" w:hAnsi="Arial" w:cs="Arial"/>
          <w:color w:val="000000"/>
          <w:sz w:val="22"/>
          <w:szCs w:val="22"/>
          <w:lang w:val="en-GB" w:eastAsia="en-GB"/>
        </w:rPr>
        <w:footnoteReference w:id="19"/>
      </w:r>
      <w:r w:rsidR="00DF0648">
        <w:rPr>
          <w:rFonts w:ascii="Arial" w:hAnsi="Arial" w:cs="Arial"/>
          <w:color w:val="000000"/>
          <w:sz w:val="22"/>
          <w:szCs w:val="22"/>
          <w:lang w:val="en-GB" w:eastAsia="en-GB"/>
        </w:rPr>
        <w:t>.</w:t>
      </w:r>
    </w:p>
    <w:p w14:paraId="4691FD79" w14:textId="77777777" w:rsidR="00DF0648" w:rsidRDefault="00DF0648" w:rsidP="00957951">
      <w:pPr>
        <w:ind w:left="720" w:hanging="720"/>
        <w:jc w:val="both"/>
        <w:rPr>
          <w:rFonts w:ascii="Arial" w:hAnsi="Arial" w:cs="Arial"/>
          <w:color w:val="000000"/>
          <w:sz w:val="22"/>
          <w:szCs w:val="22"/>
          <w:lang w:val="en-GB" w:eastAsia="en-GB"/>
        </w:rPr>
      </w:pPr>
    </w:p>
    <w:p w14:paraId="5E8FBE57" w14:textId="3EBB9651" w:rsidR="005055E0" w:rsidRDefault="00DF0648" w:rsidP="00DF0648">
      <w:pPr>
        <w:pStyle w:val="ListParagraph"/>
        <w:numPr>
          <w:ilvl w:val="0"/>
          <w:numId w:val="23"/>
        </w:numPr>
        <w:jc w:val="both"/>
        <w:rPr>
          <w:rFonts w:ascii="Arial" w:hAnsi="Arial" w:cs="Arial"/>
          <w:color w:val="000000"/>
          <w:sz w:val="22"/>
          <w:szCs w:val="22"/>
          <w:lang w:val="en-GB" w:eastAsia="en-GB"/>
        </w:rPr>
      </w:pPr>
      <w:r>
        <w:rPr>
          <w:rFonts w:ascii="Arial" w:hAnsi="Arial" w:cs="Arial"/>
          <w:color w:val="000000"/>
          <w:sz w:val="22"/>
          <w:szCs w:val="22"/>
          <w:lang w:val="en-GB" w:eastAsia="en-GB"/>
        </w:rPr>
        <w:t>A statutory framework that constrains a company’s actions and that regulates the final distribution of a company’s assets.</w:t>
      </w:r>
      <w:r>
        <w:rPr>
          <w:rStyle w:val="FootnoteReference"/>
          <w:rFonts w:ascii="Arial" w:hAnsi="Arial" w:cs="Arial"/>
          <w:color w:val="000000"/>
          <w:sz w:val="22"/>
          <w:szCs w:val="22"/>
          <w:lang w:val="en-GB" w:eastAsia="en-GB"/>
        </w:rPr>
        <w:footnoteReference w:id="20"/>
      </w:r>
      <w:r>
        <w:rPr>
          <w:rFonts w:ascii="Arial" w:hAnsi="Arial" w:cs="Arial"/>
          <w:color w:val="000000"/>
          <w:sz w:val="22"/>
          <w:szCs w:val="22"/>
          <w:lang w:val="en-GB" w:eastAsia="en-GB"/>
        </w:rPr>
        <w:t xml:space="preserve"> </w:t>
      </w:r>
      <w:r w:rsidR="007B4CAD">
        <w:rPr>
          <w:rFonts w:ascii="Arial" w:hAnsi="Arial" w:cs="Arial"/>
          <w:color w:val="000000"/>
          <w:sz w:val="22"/>
          <w:szCs w:val="22"/>
          <w:lang w:val="en-GB" w:eastAsia="en-GB"/>
        </w:rPr>
        <w:t xml:space="preserve">This is satisfied as Country A has a specific Insolvency procedure for banks. The National Bank is empowered by Article 77 of the law of country A on Banks and Banking activity to liquidate the Bank. Further, the </w:t>
      </w:r>
      <w:r w:rsidR="007B4CAD">
        <w:rPr>
          <w:rFonts w:ascii="Arial" w:hAnsi="Arial" w:cs="Arial"/>
          <w:color w:val="000000"/>
          <w:sz w:val="22"/>
          <w:szCs w:val="22"/>
          <w:lang w:val="en-GB" w:eastAsia="en-GB"/>
        </w:rPr>
        <w:lastRenderedPageBreak/>
        <w:t>Deposit Guarantee Fund</w:t>
      </w:r>
      <w:r w:rsidR="002545F4">
        <w:rPr>
          <w:rFonts w:ascii="Arial" w:hAnsi="Arial" w:cs="Arial"/>
          <w:color w:val="000000"/>
          <w:sz w:val="22"/>
          <w:szCs w:val="22"/>
          <w:lang w:val="en-GB" w:eastAsia="en-GB"/>
        </w:rPr>
        <w:t xml:space="preserve"> (DGF)</w:t>
      </w:r>
      <w:r w:rsidR="007B4CAD">
        <w:rPr>
          <w:rFonts w:ascii="Arial" w:hAnsi="Arial" w:cs="Arial"/>
          <w:color w:val="000000"/>
          <w:sz w:val="22"/>
          <w:szCs w:val="22"/>
          <w:lang w:val="en-GB" w:eastAsia="en-GB"/>
        </w:rPr>
        <w:t xml:space="preserve"> is a government body of Country A tasked</w:t>
      </w:r>
      <w:r w:rsidR="000870A2">
        <w:rPr>
          <w:rFonts w:ascii="Arial" w:hAnsi="Arial" w:cs="Arial"/>
          <w:color w:val="000000"/>
          <w:sz w:val="22"/>
          <w:szCs w:val="22"/>
          <w:lang w:val="en-GB" w:eastAsia="en-GB"/>
        </w:rPr>
        <w:t xml:space="preserve"> with</w:t>
      </w:r>
      <w:r w:rsidR="007B4CAD">
        <w:rPr>
          <w:rFonts w:ascii="Arial" w:hAnsi="Arial" w:cs="Arial"/>
          <w:color w:val="000000"/>
          <w:sz w:val="22"/>
          <w:szCs w:val="22"/>
          <w:lang w:val="en-GB" w:eastAsia="en-GB"/>
        </w:rPr>
        <w:t xml:space="preserve"> winding down insolvent banks through liquidation.</w:t>
      </w:r>
    </w:p>
    <w:p w14:paraId="6FC05963" w14:textId="77777777" w:rsidR="005055E0" w:rsidRDefault="005055E0" w:rsidP="005055E0">
      <w:pPr>
        <w:pStyle w:val="ListParagraph"/>
        <w:ind w:left="840"/>
        <w:jc w:val="both"/>
        <w:rPr>
          <w:rFonts w:ascii="Arial" w:hAnsi="Arial" w:cs="Arial"/>
          <w:color w:val="000000"/>
          <w:sz w:val="22"/>
          <w:szCs w:val="22"/>
          <w:lang w:val="en-GB" w:eastAsia="en-GB"/>
        </w:rPr>
      </w:pPr>
    </w:p>
    <w:p w14:paraId="783C34BD" w14:textId="77777777" w:rsidR="006F4461" w:rsidRDefault="005055E0" w:rsidP="00647628">
      <w:pPr>
        <w:pStyle w:val="ListParagraph"/>
        <w:numPr>
          <w:ilvl w:val="0"/>
          <w:numId w:val="23"/>
        </w:numPr>
        <w:jc w:val="both"/>
        <w:rPr>
          <w:rFonts w:ascii="Arial" w:hAnsi="Arial" w:cs="Arial"/>
          <w:color w:val="000000"/>
          <w:sz w:val="22"/>
          <w:szCs w:val="22"/>
          <w:lang w:val="en-GB" w:eastAsia="en-GB"/>
        </w:rPr>
      </w:pPr>
      <w:r w:rsidRPr="006F4461">
        <w:rPr>
          <w:rFonts w:ascii="Arial" w:hAnsi="Arial" w:cs="Arial"/>
          <w:color w:val="000000"/>
          <w:sz w:val="22"/>
          <w:szCs w:val="22"/>
          <w:lang w:val="en-GB" w:eastAsia="en-GB"/>
        </w:rPr>
        <w:t>The statutory framework should be either judicial or administrative. The facts of the case demonstrate the proceedings are administrative</w:t>
      </w:r>
      <w:r w:rsidR="002545F4" w:rsidRPr="006F4461">
        <w:rPr>
          <w:rFonts w:ascii="Arial" w:hAnsi="Arial" w:cs="Arial"/>
          <w:color w:val="000000"/>
          <w:sz w:val="22"/>
          <w:szCs w:val="22"/>
          <w:lang w:val="en-GB" w:eastAsia="en-GB"/>
        </w:rPr>
        <w:t xml:space="preserve"> in that the law of country A empowers the National Bank and subsequently DGF to wind up the affairs</w:t>
      </w:r>
      <w:r w:rsidR="007415F3" w:rsidRPr="006F4461">
        <w:rPr>
          <w:rFonts w:ascii="Arial" w:hAnsi="Arial" w:cs="Arial"/>
          <w:color w:val="000000"/>
          <w:sz w:val="22"/>
          <w:szCs w:val="22"/>
          <w:lang w:val="en-GB" w:eastAsia="en-GB"/>
        </w:rPr>
        <w:t xml:space="preserve"> of the Bank. The process is controlled by the regulatory body.</w:t>
      </w:r>
      <w:r w:rsidR="006F4461" w:rsidRPr="006F4461">
        <w:rPr>
          <w:rFonts w:ascii="Arial" w:hAnsi="Arial" w:cs="Arial"/>
          <w:color w:val="000000"/>
          <w:sz w:val="22"/>
          <w:szCs w:val="22"/>
          <w:lang w:val="en-GB" w:eastAsia="en-GB"/>
        </w:rPr>
        <w:t xml:space="preserve"> </w:t>
      </w:r>
    </w:p>
    <w:p w14:paraId="38C0258E" w14:textId="77777777" w:rsidR="006F4461" w:rsidRPr="006F4461" w:rsidRDefault="006F4461" w:rsidP="006F4461">
      <w:pPr>
        <w:pStyle w:val="ListParagraph"/>
        <w:rPr>
          <w:rFonts w:ascii="Arial" w:hAnsi="Arial" w:cs="Arial"/>
          <w:color w:val="000000"/>
          <w:sz w:val="22"/>
          <w:szCs w:val="22"/>
          <w:lang w:val="en-GB" w:eastAsia="en-GB"/>
        </w:rPr>
      </w:pPr>
    </w:p>
    <w:p w14:paraId="0069CE83" w14:textId="2E5EC070" w:rsidR="000D70B5" w:rsidRDefault="007415F3" w:rsidP="00E34493">
      <w:pPr>
        <w:pStyle w:val="ListParagraph"/>
        <w:numPr>
          <w:ilvl w:val="0"/>
          <w:numId w:val="23"/>
        </w:numPr>
        <w:jc w:val="both"/>
        <w:rPr>
          <w:rFonts w:ascii="Arial" w:hAnsi="Arial" w:cs="Arial"/>
          <w:color w:val="000000"/>
          <w:sz w:val="22"/>
          <w:szCs w:val="22"/>
          <w:lang w:val="en-GB" w:eastAsia="en-GB"/>
        </w:rPr>
      </w:pPr>
      <w:r w:rsidRPr="006F4461">
        <w:rPr>
          <w:rFonts w:ascii="Arial" w:hAnsi="Arial" w:cs="Arial"/>
          <w:color w:val="000000"/>
          <w:sz w:val="22"/>
          <w:szCs w:val="22"/>
          <w:lang w:val="en-GB" w:eastAsia="en-GB"/>
        </w:rPr>
        <w:t>The process must be collective in nature. The intention is to achieve a coordinated global solution for all stakeholders of an insolvency proceeding. Some of the characteristics of a collective proceeding include</w:t>
      </w:r>
      <w:r w:rsidR="006F4461" w:rsidRPr="006F4461">
        <w:rPr>
          <w:rFonts w:ascii="Arial" w:hAnsi="Arial" w:cs="Arial"/>
          <w:color w:val="000000"/>
          <w:sz w:val="22"/>
          <w:szCs w:val="22"/>
          <w:lang w:val="en-GB" w:eastAsia="en-GB"/>
        </w:rPr>
        <w:t xml:space="preserve"> </w:t>
      </w:r>
      <w:r w:rsidR="00546CB8" w:rsidRPr="006F4461">
        <w:rPr>
          <w:rFonts w:ascii="Arial" w:hAnsi="Arial" w:cs="Arial"/>
          <w:color w:val="000000"/>
          <w:sz w:val="22"/>
          <w:szCs w:val="22"/>
          <w:lang w:val="en-GB" w:eastAsia="en-GB"/>
        </w:rPr>
        <w:t>the imposition</w:t>
      </w:r>
      <w:r w:rsidRPr="006F4461">
        <w:rPr>
          <w:rFonts w:ascii="Arial" w:hAnsi="Arial" w:cs="Arial"/>
          <w:color w:val="000000"/>
          <w:sz w:val="22"/>
          <w:szCs w:val="22"/>
          <w:lang w:val="en-GB" w:eastAsia="en-GB"/>
        </w:rPr>
        <w:t xml:space="preserve"> of an organised system that affects the rights and obligation of all creditors </w:t>
      </w:r>
      <w:r w:rsidR="003B5782" w:rsidRPr="006F4461">
        <w:rPr>
          <w:rFonts w:ascii="Arial" w:hAnsi="Arial" w:cs="Arial"/>
          <w:color w:val="000000"/>
          <w:sz w:val="22"/>
          <w:szCs w:val="22"/>
          <w:lang w:val="en-GB" w:eastAsia="en-GB"/>
        </w:rPr>
        <w:t>and</w:t>
      </w:r>
      <w:r w:rsidRPr="006F4461">
        <w:rPr>
          <w:rFonts w:ascii="Arial" w:hAnsi="Arial" w:cs="Arial"/>
          <w:color w:val="000000"/>
          <w:sz w:val="22"/>
          <w:szCs w:val="22"/>
          <w:lang w:val="en-GB" w:eastAsia="en-GB"/>
        </w:rPr>
        <w:t xml:space="preserve"> the assets of the debtor.</w:t>
      </w:r>
      <w:r>
        <w:rPr>
          <w:rStyle w:val="FootnoteReference"/>
          <w:rFonts w:ascii="Arial" w:hAnsi="Arial" w:cs="Arial"/>
          <w:color w:val="000000"/>
          <w:sz w:val="22"/>
          <w:szCs w:val="22"/>
          <w:lang w:val="en-GB" w:eastAsia="en-GB"/>
        </w:rPr>
        <w:footnoteReference w:id="21"/>
      </w:r>
      <w:r w:rsidR="006F4461" w:rsidRPr="006F4461">
        <w:rPr>
          <w:rFonts w:ascii="Arial" w:hAnsi="Arial" w:cs="Arial"/>
          <w:color w:val="000000"/>
          <w:sz w:val="22"/>
          <w:szCs w:val="22"/>
          <w:lang w:val="en-GB" w:eastAsia="en-GB"/>
        </w:rPr>
        <w:t xml:space="preserve"> </w:t>
      </w:r>
      <w:r w:rsidR="0057327A" w:rsidRPr="006F4461">
        <w:rPr>
          <w:rFonts w:ascii="Arial" w:hAnsi="Arial" w:cs="Arial"/>
          <w:color w:val="000000"/>
          <w:sz w:val="22"/>
          <w:szCs w:val="22"/>
          <w:lang w:val="en-GB" w:eastAsia="en-GB"/>
        </w:rPr>
        <w:t xml:space="preserve">The LBBA is consolidated in nature </w:t>
      </w:r>
      <w:r w:rsidR="003B5782" w:rsidRPr="006F4461">
        <w:rPr>
          <w:rFonts w:ascii="Arial" w:hAnsi="Arial" w:cs="Arial"/>
          <w:color w:val="000000"/>
          <w:sz w:val="22"/>
          <w:szCs w:val="22"/>
          <w:lang w:val="en-GB" w:eastAsia="en-GB"/>
        </w:rPr>
        <w:t>satisfying</w:t>
      </w:r>
      <w:r w:rsidR="0057327A" w:rsidRPr="006F4461">
        <w:rPr>
          <w:rFonts w:ascii="Arial" w:hAnsi="Arial" w:cs="Arial"/>
          <w:color w:val="000000"/>
          <w:sz w:val="22"/>
          <w:szCs w:val="22"/>
          <w:lang w:val="en-GB" w:eastAsia="en-GB"/>
        </w:rPr>
        <w:t xml:space="preserve"> the requirement that the organised insolvency process be organised. The</w:t>
      </w:r>
      <w:r w:rsidR="00EE67F5">
        <w:rPr>
          <w:rFonts w:ascii="Arial" w:hAnsi="Arial" w:cs="Arial"/>
          <w:color w:val="000000"/>
          <w:sz w:val="22"/>
          <w:szCs w:val="22"/>
          <w:lang w:val="en-GB" w:eastAsia="en-GB"/>
        </w:rPr>
        <w:t>re</w:t>
      </w:r>
      <w:r w:rsidR="0057327A" w:rsidRPr="006F4461">
        <w:rPr>
          <w:rFonts w:ascii="Arial" w:hAnsi="Arial" w:cs="Arial"/>
          <w:color w:val="000000"/>
          <w:sz w:val="22"/>
          <w:szCs w:val="22"/>
          <w:lang w:val="en-GB" w:eastAsia="en-GB"/>
        </w:rPr>
        <w:t xml:space="preserve"> is an imposition of an orderly regime affecting the rights and obligations of all creditors</w:t>
      </w:r>
      <w:r w:rsidR="007D511F" w:rsidRPr="006F4461">
        <w:rPr>
          <w:rFonts w:ascii="Arial" w:hAnsi="Arial" w:cs="Arial"/>
          <w:color w:val="000000"/>
          <w:sz w:val="22"/>
          <w:szCs w:val="22"/>
          <w:lang w:val="en-GB" w:eastAsia="en-GB"/>
        </w:rPr>
        <w:t xml:space="preserve"> and all the assets of the debtor in that under Article 77 of the LBBA</w:t>
      </w:r>
      <w:r w:rsidR="000650F6">
        <w:rPr>
          <w:rFonts w:ascii="Arial" w:hAnsi="Arial" w:cs="Arial"/>
          <w:color w:val="000000"/>
          <w:sz w:val="22"/>
          <w:szCs w:val="22"/>
          <w:lang w:val="en-GB" w:eastAsia="en-GB"/>
        </w:rPr>
        <w:t>,</w:t>
      </w:r>
      <w:r w:rsidR="007D511F" w:rsidRPr="006F4461">
        <w:rPr>
          <w:rFonts w:ascii="Arial" w:hAnsi="Arial" w:cs="Arial"/>
          <w:color w:val="000000"/>
          <w:sz w:val="22"/>
          <w:szCs w:val="22"/>
          <w:lang w:val="en-GB" w:eastAsia="en-GB"/>
        </w:rPr>
        <w:t xml:space="preserve"> DGF automatically becomes liquidator of the Bank on the date it receives conf</w:t>
      </w:r>
      <w:r w:rsidR="000650F6">
        <w:rPr>
          <w:rFonts w:ascii="Arial" w:hAnsi="Arial" w:cs="Arial"/>
          <w:color w:val="000000"/>
          <w:sz w:val="22"/>
          <w:szCs w:val="22"/>
          <w:lang w:val="en-GB" w:eastAsia="en-GB"/>
        </w:rPr>
        <w:t>i</w:t>
      </w:r>
      <w:r w:rsidR="007D511F" w:rsidRPr="006F4461">
        <w:rPr>
          <w:rFonts w:ascii="Arial" w:hAnsi="Arial" w:cs="Arial"/>
          <w:color w:val="000000"/>
          <w:sz w:val="22"/>
          <w:szCs w:val="22"/>
          <w:lang w:val="en-GB" w:eastAsia="en-GB"/>
        </w:rPr>
        <w:t xml:space="preserve">rmation </w:t>
      </w:r>
      <w:r w:rsidR="000650F6">
        <w:rPr>
          <w:rFonts w:ascii="Arial" w:hAnsi="Arial" w:cs="Arial"/>
          <w:color w:val="000000"/>
          <w:sz w:val="22"/>
          <w:szCs w:val="22"/>
          <w:lang w:val="en-GB" w:eastAsia="en-GB"/>
        </w:rPr>
        <w:t>of</w:t>
      </w:r>
      <w:r w:rsidR="007D511F" w:rsidRPr="006F4461">
        <w:rPr>
          <w:rFonts w:ascii="Arial" w:hAnsi="Arial" w:cs="Arial"/>
          <w:color w:val="000000"/>
          <w:sz w:val="22"/>
          <w:szCs w:val="22"/>
          <w:lang w:val="en-GB" w:eastAsia="en-GB"/>
        </w:rPr>
        <w:t xml:space="preserve"> the National Bank’s decision to revoke the troubled Bank’s banking license. </w:t>
      </w:r>
      <w:r w:rsidR="000D70B5" w:rsidRPr="006F4461">
        <w:rPr>
          <w:rFonts w:ascii="Arial" w:hAnsi="Arial" w:cs="Arial"/>
          <w:color w:val="000000"/>
          <w:sz w:val="22"/>
          <w:szCs w:val="22"/>
          <w:lang w:val="en-GB" w:eastAsia="en-GB"/>
        </w:rPr>
        <w:t xml:space="preserve">DGF assumes full control of the bank with extensive powers including the power to </w:t>
      </w:r>
      <w:r w:rsidR="003B5782" w:rsidRPr="006F4461">
        <w:rPr>
          <w:rFonts w:ascii="Arial" w:hAnsi="Arial" w:cs="Arial"/>
          <w:color w:val="000000"/>
          <w:sz w:val="22"/>
          <w:szCs w:val="22"/>
          <w:lang w:val="en-GB" w:eastAsia="en-GB"/>
        </w:rPr>
        <w:t>compile</w:t>
      </w:r>
      <w:r w:rsidR="000D70B5" w:rsidRPr="006F4461">
        <w:rPr>
          <w:rFonts w:ascii="Arial" w:hAnsi="Arial" w:cs="Arial"/>
          <w:color w:val="000000"/>
          <w:sz w:val="22"/>
          <w:szCs w:val="22"/>
          <w:lang w:val="en-GB" w:eastAsia="en-GB"/>
        </w:rPr>
        <w:t xml:space="preserve"> a register </w:t>
      </w:r>
      <w:r w:rsidR="006F4461" w:rsidRPr="006F4461">
        <w:rPr>
          <w:rFonts w:ascii="Arial" w:hAnsi="Arial" w:cs="Arial"/>
          <w:color w:val="000000"/>
          <w:sz w:val="22"/>
          <w:szCs w:val="22"/>
          <w:lang w:val="en-GB" w:eastAsia="en-GB"/>
        </w:rPr>
        <w:t xml:space="preserve">of </w:t>
      </w:r>
      <w:r w:rsidR="003B5782" w:rsidRPr="006F4461">
        <w:rPr>
          <w:rFonts w:ascii="Arial" w:hAnsi="Arial" w:cs="Arial"/>
          <w:color w:val="000000"/>
          <w:sz w:val="22"/>
          <w:szCs w:val="22"/>
          <w:lang w:val="en-GB" w:eastAsia="en-GB"/>
        </w:rPr>
        <w:t>creditors</w:t>
      </w:r>
      <w:r w:rsidR="003B5782">
        <w:rPr>
          <w:rFonts w:ascii="Arial" w:hAnsi="Arial" w:cs="Arial"/>
          <w:color w:val="000000"/>
          <w:sz w:val="22"/>
          <w:szCs w:val="22"/>
          <w:lang w:val="en-GB" w:eastAsia="en-GB"/>
        </w:rPr>
        <w:t xml:space="preserve">’ </w:t>
      </w:r>
      <w:r w:rsidR="003B5782" w:rsidRPr="006F4461">
        <w:rPr>
          <w:rFonts w:ascii="Arial" w:hAnsi="Arial" w:cs="Arial"/>
          <w:color w:val="000000"/>
          <w:sz w:val="22"/>
          <w:szCs w:val="22"/>
          <w:lang w:val="en-GB" w:eastAsia="en-GB"/>
        </w:rPr>
        <w:t>claims</w:t>
      </w:r>
      <w:r w:rsidR="006F4461" w:rsidRPr="006F4461">
        <w:rPr>
          <w:rFonts w:ascii="Arial" w:hAnsi="Arial" w:cs="Arial"/>
          <w:color w:val="000000"/>
          <w:sz w:val="22"/>
          <w:szCs w:val="22"/>
          <w:lang w:val="en-GB" w:eastAsia="en-GB"/>
        </w:rPr>
        <w:t xml:space="preserve"> and seek to satisfy them. The law empowers DGF to dispose of the Bank’s assets and any other powers necessary to complete the Bank’s liquidation. </w:t>
      </w:r>
    </w:p>
    <w:p w14:paraId="3B7944E3" w14:textId="77777777" w:rsidR="006F4461" w:rsidRPr="006F4461" w:rsidRDefault="006F4461" w:rsidP="006F4461">
      <w:pPr>
        <w:pStyle w:val="ListParagraph"/>
        <w:rPr>
          <w:rFonts w:ascii="Arial" w:hAnsi="Arial" w:cs="Arial"/>
          <w:color w:val="000000"/>
          <w:sz w:val="22"/>
          <w:szCs w:val="22"/>
          <w:lang w:val="en-GB" w:eastAsia="en-GB"/>
        </w:rPr>
      </w:pPr>
    </w:p>
    <w:p w14:paraId="36B97129" w14:textId="6693DA8B" w:rsidR="006F4461" w:rsidRDefault="006F4461" w:rsidP="00E34493">
      <w:pPr>
        <w:pStyle w:val="ListParagraph"/>
        <w:numPr>
          <w:ilvl w:val="0"/>
          <w:numId w:val="23"/>
        </w:num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The process must be in a foreign state which requirement is </w:t>
      </w:r>
      <w:r w:rsidR="00AE4302">
        <w:rPr>
          <w:rFonts w:ascii="Arial" w:hAnsi="Arial" w:cs="Arial"/>
          <w:color w:val="000000"/>
          <w:sz w:val="22"/>
          <w:szCs w:val="22"/>
          <w:lang w:val="en-GB" w:eastAsia="en-GB"/>
        </w:rPr>
        <w:t>satisfied</w:t>
      </w:r>
      <w:r>
        <w:rPr>
          <w:rFonts w:ascii="Arial" w:hAnsi="Arial" w:cs="Arial"/>
          <w:color w:val="000000"/>
          <w:sz w:val="22"/>
          <w:szCs w:val="22"/>
          <w:lang w:val="en-GB" w:eastAsia="en-GB"/>
        </w:rPr>
        <w:t xml:space="preserve"> as the insolvency proceedings commenced in State A.</w:t>
      </w:r>
    </w:p>
    <w:p w14:paraId="033712EE" w14:textId="77777777" w:rsidR="006F4461" w:rsidRPr="006F4461" w:rsidRDefault="006F4461" w:rsidP="006F4461">
      <w:pPr>
        <w:pStyle w:val="ListParagraph"/>
        <w:rPr>
          <w:rFonts w:ascii="Arial" w:hAnsi="Arial" w:cs="Arial"/>
          <w:color w:val="000000"/>
          <w:sz w:val="22"/>
          <w:szCs w:val="22"/>
          <w:lang w:val="en-GB" w:eastAsia="en-GB"/>
        </w:rPr>
      </w:pPr>
    </w:p>
    <w:p w14:paraId="2D9291B7" w14:textId="523446BE" w:rsidR="00DC3DE4" w:rsidRDefault="006F4461" w:rsidP="00E34493">
      <w:pPr>
        <w:pStyle w:val="ListParagraph"/>
        <w:numPr>
          <w:ilvl w:val="0"/>
          <w:numId w:val="23"/>
        </w:numPr>
        <w:jc w:val="both"/>
        <w:rPr>
          <w:rFonts w:ascii="Arial" w:hAnsi="Arial" w:cs="Arial"/>
          <w:color w:val="000000"/>
          <w:sz w:val="22"/>
          <w:szCs w:val="22"/>
          <w:lang w:val="en-GB" w:eastAsia="en-GB"/>
        </w:rPr>
      </w:pPr>
      <w:r>
        <w:rPr>
          <w:rFonts w:ascii="Arial" w:hAnsi="Arial" w:cs="Arial"/>
          <w:color w:val="000000"/>
          <w:sz w:val="22"/>
          <w:szCs w:val="22"/>
          <w:lang w:val="en-GB" w:eastAsia="en-GB"/>
        </w:rPr>
        <w:t>The proceedings must be authorised or conducted under a law relating to insolvency.</w:t>
      </w:r>
      <w:r w:rsidR="00653AFF">
        <w:rPr>
          <w:rFonts w:ascii="Arial" w:hAnsi="Arial" w:cs="Arial"/>
          <w:color w:val="000000"/>
          <w:sz w:val="22"/>
          <w:szCs w:val="22"/>
          <w:lang w:val="en-GB" w:eastAsia="en-GB"/>
        </w:rPr>
        <w:t xml:space="preserve"> In </w:t>
      </w:r>
      <w:proofErr w:type="spellStart"/>
      <w:r w:rsidR="00653AFF">
        <w:rPr>
          <w:rFonts w:ascii="Arial" w:hAnsi="Arial" w:cs="Arial"/>
          <w:color w:val="000000"/>
          <w:sz w:val="22"/>
          <w:szCs w:val="22"/>
          <w:lang w:val="en-GB" w:eastAsia="en-GB"/>
        </w:rPr>
        <w:t>Agrokor’s</w:t>
      </w:r>
      <w:proofErr w:type="spellEnd"/>
      <w:r w:rsidR="00653AFF">
        <w:rPr>
          <w:rFonts w:ascii="Arial" w:hAnsi="Arial" w:cs="Arial"/>
          <w:color w:val="000000"/>
          <w:sz w:val="22"/>
          <w:szCs w:val="22"/>
          <w:lang w:val="en-GB" w:eastAsia="en-GB"/>
        </w:rPr>
        <w:t xml:space="preserve"> case the court held that it was sufficient if the law dealt with insolvency or financial distress. Article 76 of LBBA empowers the National Bank to classify </w:t>
      </w:r>
      <w:proofErr w:type="gramStart"/>
      <w:r w:rsidR="00653AFF">
        <w:rPr>
          <w:rFonts w:ascii="Arial" w:hAnsi="Arial" w:cs="Arial"/>
          <w:color w:val="000000"/>
          <w:sz w:val="22"/>
          <w:szCs w:val="22"/>
          <w:lang w:val="en-GB" w:eastAsia="en-GB"/>
        </w:rPr>
        <w:t>Banks  as</w:t>
      </w:r>
      <w:proofErr w:type="gramEnd"/>
      <w:r w:rsidR="00653AFF">
        <w:rPr>
          <w:rFonts w:ascii="Arial" w:hAnsi="Arial" w:cs="Arial"/>
          <w:color w:val="000000"/>
          <w:sz w:val="22"/>
          <w:szCs w:val="22"/>
          <w:lang w:val="en-GB" w:eastAsia="en-GB"/>
        </w:rPr>
        <w:t xml:space="preserve"> insolvent if they satisfy the criteria </w:t>
      </w:r>
      <w:r w:rsidR="00AE4302">
        <w:rPr>
          <w:rFonts w:ascii="Arial" w:hAnsi="Arial" w:cs="Arial"/>
          <w:color w:val="000000"/>
          <w:sz w:val="22"/>
          <w:szCs w:val="22"/>
          <w:lang w:val="en-GB" w:eastAsia="en-GB"/>
        </w:rPr>
        <w:t>laid</w:t>
      </w:r>
      <w:r w:rsidR="00653AFF">
        <w:rPr>
          <w:rFonts w:ascii="Arial" w:hAnsi="Arial" w:cs="Arial"/>
          <w:color w:val="000000"/>
          <w:sz w:val="22"/>
          <w:szCs w:val="22"/>
          <w:lang w:val="en-GB" w:eastAsia="en-GB"/>
        </w:rPr>
        <w:t xml:space="preserve"> down. From the facts Bank A was clearly insolvent as its records indicated that its financial</w:t>
      </w:r>
      <w:r w:rsidR="00DC3DE4">
        <w:rPr>
          <w:rFonts w:ascii="Arial" w:hAnsi="Arial" w:cs="Arial"/>
          <w:color w:val="000000"/>
          <w:sz w:val="22"/>
          <w:szCs w:val="22"/>
          <w:lang w:val="en-GB" w:eastAsia="en-GB"/>
        </w:rPr>
        <w:t xml:space="preserve"> position had deteriorated with increased losses.</w:t>
      </w:r>
    </w:p>
    <w:p w14:paraId="6AECF3D7" w14:textId="77777777" w:rsidR="00DC3DE4" w:rsidRPr="00DC3DE4" w:rsidRDefault="00DC3DE4" w:rsidP="00DC3DE4">
      <w:pPr>
        <w:pStyle w:val="ListParagraph"/>
        <w:rPr>
          <w:rFonts w:ascii="Arial" w:hAnsi="Arial" w:cs="Arial"/>
          <w:color w:val="000000"/>
          <w:sz w:val="22"/>
          <w:szCs w:val="22"/>
          <w:lang w:val="en-GB" w:eastAsia="en-GB"/>
        </w:rPr>
      </w:pPr>
    </w:p>
    <w:p w14:paraId="510AF71D" w14:textId="23484403" w:rsidR="00007B04" w:rsidRDefault="00DC3DE4" w:rsidP="00E34493">
      <w:pPr>
        <w:pStyle w:val="ListParagraph"/>
        <w:numPr>
          <w:ilvl w:val="0"/>
          <w:numId w:val="23"/>
        </w:num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The assets and affairs of the debtor must be subject to control or supervision by a foreign court. The level of control is not specified in the Model Law on Cross-Border Insolvency. The control or supervision maybe exercised by the court or other regulatory body. Both the </w:t>
      </w:r>
      <w:r w:rsidR="00AE4302">
        <w:rPr>
          <w:rFonts w:ascii="Arial" w:hAnsi="Arial" w:cs="Arial"/>
          <w:color w:val="000000"/>
          <w:sz w:val="22"/>
          <w:szCs w:val="22"/>
          <w:lang w:val="en-GB" w:eastAsia="en-GB"/>
        </w:rPr>
        <w:t>assets</w:t>
      </w:r>
      <w:r>
        <w:rPr>
          <w:rFonts w:ascii="Arial" w:hAnsi="Arial" w:cs="Arial"/>
          <w:color w:val="000000"/>
          <w:sz w:val="22"/>
          <w:szCs w:val="22"/>
          <w:lang w:val="en-GB" w:eastAsia="en-GB"/>
        </w:rPr>
        <w:t xml:space="preserve"> and </w:t>
      </w:r>
      <w:r w:rsidR="00AE4302">
        <w:rPr>
          <w:rFonts w:ascii="Arial" w:hAnsi="Arial" w:cs="Arial"/>
          <w:color w:val="000000"/>
          <w:sz w:val="22"/>
          <w:szCs w:val="22"/>
          <w:lang w:val="en-GB" w:eastAsia="en-GB"/>
        </w:rPr>
        <w:t>affairs</w:t>
      </w:r>
      <w:r>
        <w:rPr>
          <w:rFonts w:ascii="Arial" w:hAnsi="Arial" w:cs="Arial"/>
          <w:color w:val="000000"/>
          <w:sz w:val="22"/>
          <w:szCs w:val="22"/>
          <w:lang w:val="en-GB" w:eastAsia="en-GB"/>
        </w:rPr>
        <w:t xml:space="preserve"> of the debtor must be subject to control to satisfy the definition of a foreign proceeding.</w:t>
      </w:r>
      <w:r>
        <w:rPr>
          <w:rStyle w:val="FootnoteReference"/>
          <w:rFonts w:ascii="Arial" w:hAnsi="Arial" w:cs="Arial"/>
          <w:color w:val="000000"/>
          <w:sz w:val="22"/>
          <w:szCs w:val="22"/>
          <w:lang w:val="en-GB" w:eastAsia="en-GB"/>
        </w:rPr>
        <w:footnoteReference w:id="22"/>
      </w:r>
      <w:r>
        <w:rPr>
          <w:rFonts w:ascii="Arial" w:hAnsi="Arial" w:cs="Arial"/>
          <w:color w:val="000000"/>
          <w:sz w:val="22"/>
          <w:szCs w:val="22"/>
          <w:lang w:val="en-GB" w:eastAsia="en-GB"/>
        </w:rPr>
        <w:t xml:space="preserve"> From the </w:t>
      </w:r>
      <w:r w:rsidR="00031AE7">
        <w:rPr>
          <w:rFonts w:ascii="Arial" w:hAnsi="Arial" w:cs="Arial"/>
          <w:color w:val="000000"/>
          <w:sz w:val="22"/>
          <w:szCs w:val="22"/>
          <w:lang w:val="en-GB" w:eastAsia="en-GB"/>
        </w:rPr>
        <w:t xml:space="preserve">facts </w:t>
      </w:r>
      <w:r>
        <w:rPr>
          <w:rFonts w:ascii="Arial" w:hAnsi="Arial" w:cs="Arial"/>
          <w:color w:val="000000"/>
          <w:sz w:val="22"/>
          <w:szCs w:val="22"/>
          <w:lang w:val="en-GB" w:eastAsia="en-GB"/>
        </w:rPr>
        <w:t>LBBA gives the liquidator control o</w:t>
      </w:r>
      <w:r w:rsidR="00031AE7">
        <w:rPr>
          <w:rFonts w:ascii="Arial" w:hAnsi="Arial" w:cs="Arial"/>
          <w:color w:val="000000"/>
          <w:sz w:val="22"/>
          <w:szCs w:val="22"/>
          <w:lang w:val="en-GB" w:eastAsia="en-GB"/>
        </w:rPr>
        <w:t xml:space="preserve">ver the Bank’s assets and this is contained in Article 77 which establishes that </w:t>
      </w:r>
      <w:r w:rsidR="008F0FC3">
        <w:rPr>
          <w:rFonts w:ascii="Arial" w:hAnsi="Arial" w:cs="Arial"/>
          <w:color w:val="000000"/>
          <w:sz w:val="22"/>
          <w:szCs w:val="22"/>
          <w:lang w:val="en-GB" w:eastAsia="en-GB"/>
        </w:rPr>
        <w:t xml:space="preserve">DGF or a delegated person has extensive powers </w:t>
      </w:r>
      <w:r w:rsidR="00AE4302">
        <w:rPr>
          <w:rFonts w:ascii="Arial" w:hAnsi="Arial" w:cs="Arial"/>
          <w:color w:val="000000"/>
          <w:sz w:val="22"/>
          <w:szCs w:val="22"/>
          <w:lang w:val="en-GB" w:eastAsia="en-GB"/>
        </w:rPr>
        <w:t>over</w:t>
      </w:r>
      <w:r w:rsidR="008F0FC3">
        <w:rPr>
          <w:rFonts w:ascii="Arial" w:hAnsi="Arial" w:cs="Arial"/>
          <w:color w:val="000000"/>
          <w:sz w:val="22"/>
          <w:szCs w:val="22"/>
          <w:lang w:val="en-GB" w:eastAsia="en-GB"/>
        </w:rPr>
        <w:t xml:space="preserve"> the assets of the Bank. The liquidator as the duly authorised person by DGF is directly supervised by DGF.</w:t>
      </w:r>
    </w:p>
    <w:p w14:paraId="2CB6F7CA" w14:textId="77777777" w:rsidR="00007B04" w:rsidRPr="00007B04" w:rsidRDefault="00007B04" w:rsidP="00007B04">
      <w:pPr>
        <w:pStyle w:val="ListParagraph"/>
        <w:rPr>
          <w:rFonts w:ascii="Arial" w:hAnsi="Arial" w:cs="Arial"/>
          <w:color w:val="000000"/>
          <w:sz w:val="22"/>
          <w:szCs w:val="22"/>
          <w:lang w:val="en-GB" w:eastAsia="en-GB"/>
        </w:rPr>
      </w:pPr>
    </w:p>
    <w:p w14:paraId="2CF642A7" w14:textId="2D5EF443" w:rsidR="00007B04" w:rsidRDefault="00007B04" w:rsidP="00E34493">
      <w:pPr>
        <w:pStyle w:val="ListParagraph"/>
        <w:numPr>
          <w:ilvl w:val="0"/>
          <w:numId w:val="23"/>
        </w:num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A further requirement is that the proceeding is for the purpose of re-organisation or liquidation. The purpose of LBBA is to liquidate a bank once it has been declared insolvent by the National Bank. The powers of DGF are to liquidate insolvent banks. This is pursuant to Article 34 of LBBA. In the </w:t>
      </w:r>
      <w:proofErr w:type="spellStart"/>
      <w:r>
        <w:rPr>
          <w:rFonts w:ascii="Arial" w:hAnsi="Arial" w:cs="Arial"/>
          <w:color w:val="000000"/>
          <w:sz w:val="22"/>
          <w:szCs w:val="22"/>
          <w:lang w:val="en-GB" w:eastAsia="en-GB"/>
        </w:rPr>
        <w:t>Agrokor’s</w:t>
      </w:r>
      <w:proofErr w:type="spellEnd"/>
      <w:r>
        <w:rPr>
          <w:rFonts w:ascii="Arial" w:hAnsi="Arial" w:cs="Arial"/>
          <w:color w:val="000000"/>
          <w:sz w:val="22"/>
          <w:szCs w:val="22"/>
          <w:lang w:val="en-GB" w:eastAsia="en-GB"/>
        </w:rPr>
        <w:t xml:space="preserve"> case the court found that the purpose of the Lex </w:t>
      </w:r>
      <w:proofErr w:type="spellStart"/>
      <w:r>
        <w:rPr>
          <w:rFonts w:ascii="Arial" w:hAnsi="Arial" w:cs="Arial"/>
          <w:color w:val="000000"/>
          <w:sz w:val="22"/>
          <w:szCs w:val="22"/>
          <w:lang w:val="en-GB" w:eastAsia="en-GB"/>
        </w:rPr>
        <w:t>Agrokor</w:t>
      </w:r>
      <w:proofErr w:type="spellEnd"/>
      <w:r>
        <w:rPr>
          <w:rFonts w:ascii="Arial" w:hAnsi="Arial" w:cs="Arial"/>
          <w:color w:val="000000"/>
          <w:sz w:val="22"/>
          <w:szCs w:val="22"/>
          <w:lang w:val="en-GB" w:eastAsia="en-GB"/>
        </w:rPr>
        <w:t xml:space="preserve"> if restructuring </w:t>
      </w:r>
      <w:r w:rsidR="00AE4302">
        <w:rPr>
          <w:rFonts w:ascii="Arial" w:hAnsi="Arial" w:cs="Arial"/>
          <w:color w:val="000000"/>
          <w:sz w:val="22"/>
          <w:szCs w:val="22"/>
          <w:lang w:val="en-GB" w:eastAsia="en-GB"/>
        </w:rPr>
        <w:t>failed</w:t>
      </w:r>
      <w:r>
        <w:rPr>
          <w:rFonts w:ascii="Arial" w:hAnsi="Arial" w:cs="Arial"/>
          <w:color w:val="000000"/>
          <w:sz w:val="22"/>
          <w:szCs w:val="22"/>
          <w:lang w:val="en-GB" w:eastAsia="en-GB"/>
        </w:rPr>
        <w:t xml:space="preserve"> was to commence bankruptcy proceedings.</w:t>
      </w:r>
    </w:p>
    <w:p w14:paraId="7E67C9DF" w14:textId="77777777" w:rsidR="00007B04" w:rsidRPr="00007B04" w:rsidRDefault="00007B04" w:rsidP="00007B04">
      <w:pPr>
        <w:pStyle w:val="ListParagraph"/>
        <w:rPr>
          <w:rFonts w:ascii="Arial" w:hAnsi="Arial" w:cs="Arial"/>
          <w:color w:val="000000"/>
          <w:sz w:val="22"/>
          <w:szCs w:val="22"/>
          <w:lang w:val="en-GB" w:eastAsia="en-GB"/>
        </w:rPr>
      </w:pPr>
    </w:p>
    <w:p w14:paraId="12C21A57" w14:textId="4702BC74" w:rsidR="006F4461" w:rsidRPr="00007B04" w:rsidRDefault="00007B04" w:rsidP="00007B04">
      <w:p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The Bank’s </w:t>
      </w:r>
      <w:r w:rsidR="00AE4302">
        <w:rPr>
          <w:rFonts w:ascii="Arial" w:hAnsi="Arial" w:cs="Arial"/>
          <w:color w:val="000000"/>
          <w:sz w:val="22"/>
          <w:szCs w:val="22"/>
          <w:lang w:val="en-GB" w:eastAsia="en-GB"/>
        </w:rPr>
        <w:t>liquidation comprises</w:t>
      </w:r>
      <w:r>
        <w:rPr>
          <w:rFonts w:ascii="Arial" w:hAnsi="Arial" w:cs="Arial"/>
          <w:color w:val="000000"/>
          <w:sz w:val="22"/>
          <w:szCs w:val="22"/>
          <w:lang w:val="en-GB" w:eastAsia="en-GB"/>
        </w:rPr>
        <w:t xml:space="preserve"> a “foreign proceeding” within the </w:t>
      </w:r>
      <w:r w:rsidR="00AE4302">
        <w:rPr>
          <w:rFonts w:ascii="Arial" w:hAnsi="Arial" w:cs="Arial"/>
          <w:color w:val="000000"/>
          <w:sz w:val="22"/>
          <w:szCs w:val="22"/>
          <w:lang w:val="en-GB" w:eastAsia="en-GB"/>
        </w:rPr>
        <w:t>meaning</w:t>
      </w:r>
      <w:r>
        <w:rPr>
          <w:rFonts w:ascii="Arial" w:hAnsi="Arial" w:cs="Arial"/>
          <w:color w:val="000000"/>
          <w:sz w:val="22"/>
          <w:szCs w:val="22"/>
          <w:lang w:val="en-GB" w:eastAsia="en-GB"/>
        </w:rPr>
        <w:t xml:space="preserve"> of Article 2(a) </w:t>
      </w:r>
      <w:r w:rsidR="00BF2E05">
        <w:rPr>
          <w:rFonts w:ascii="Arial" w:hAnsi="Arial" w:cs="Arial"/>
          <w:color w:val="000000"/>
          <w:sz w:val="22"/>
          <w:szCs w:val="22"/>
          <w:lang w:val="en-GB" w:eastAsia="en-GB"/>
        </w:rPr>
        <w:t>of the MLCBI.</w:t>
      </w:r>
      <w:r>
        <w:rPr>
          <w:rFonts w:ascii="Arial" w:hAnsi="Arial" w:cs="Arial"/>
          <w:color w:val="000000"/>
          <w:sz w:val="22"/>
          <w:szCs w:val="22"/>
          <w:lang w:val="en-GB" w:eastAsia="en-GB"/>
        </w:rPr>
        <w:t xml:space="preserve">    </w:t>
      </w:r>
      <w:r w:rsidRPr="00007B04">
        <w:rPr>
          <w:rFonts w:ascii="Arial" w:hAnsi="Arial" w:cs="Arial"/>
          <w:color w:val="000000"/>
          <w:sz w:val="22"/>
          <w:szCs w:val="22"/>
          <w:lang w:val="en-GB" w:eastAsia="en-GB"/>
        </w:rPr>
        <w:t xml:space="preserve"> </w:t>
      </w:r>
      <w:r w:rsidR="00DC3DE4" w:rsidRPr="00007B04">
        <w:rPr>
          <w:rFonts w:ascii="Arial" w:hAnsi="Arial" w:cs="Arial"/>
          <w:color w:val="000000"/>
          <w:sz w:val="22"/>
          <w:szCs w:val="22"/>
          <w:lang w:val="en-GB" w:eastAsia="en-GB"/>
        </w:rPr>
        <w:t xml:space="preserve"> </w:t>
      </w:r>
      <w:r w:rsidR="00653AFF" w:rsidRPr="00007B04">
        <w:rPr>
          <w:rFonts w:ascii="Arial" w:hAnsi="Arial" w:cs="Arial"/>
          <w:color w:val="000000"/>
          <w:sz w:val="22"/>
          <w:szCs w:val="22"/>
          <w:lang w:val="en-GB" w:eastAsia="en-GB"/>
        </w:rPr>
        <w:t xml:space="preserve">   </w:t>
      </w:r>
      <w:r w:rsidR="006F4461" w:rsidRPr="00007B04">
        <w:rPr>
          <w:rFonts w:ascii="Arial" w:hAnsi="Arial" w:cs="Arial"/>
          <w:color w:val="000000"/>
          <w:sz w:val="22"/>
          <w:szCs w:val="22"/>
          <w:lang w:val="en-GB" w:eastAsia="en-GB"/>
        </w:rPr>
        <w:t xml:space="preserve">  </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CA5E4F7"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334DBB63" w14:textId="481A8EEB" w:rsidR="00B55483" w:rsidRDefault="00B55483" w:rsidP="00957951">
      <w:pPr>
        <w:ind w:left="720" w:hanging="720"/>
        <w:jc w:val="both"/>
        <w:rPr>
          <w:rFonts w:ascii="Avenir Next" w:hAnsi="Avenir Next" w:cs="Arial"/>
          <w:color w:val="000000"/>
          <w:sz w:val="22"/>
          <w:szCs w:val="22"/>
          <w:lang w:val="en-GB" w:eastAsia="en-GB"/>
        </w:rPr>
      </w:pPr>
    </w:p>
    <w:p w14:paraId="3DE9B1ED" w14:textId="7C3A95D8" w:rsidR="00B55483" w:rsidRDefault="00B55483" w:rsidP="00957951">
      <w:pPr>
        <w:ind w:left="720" w:hanging="720"/>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The key elements qualifying a foreign representative </w:t>
      </w:r>
      <w:r w:rsidR="00AE4302">
        <w:rPr>
          <w:rFonts w:ascii="Arial" w:hAnsi="Arial" w:cs="Arial"/>
          <w:color w:val="000000"/>
          <w:sz w:val="22"/>
          <w:szCs w:val="22"/>
          <w:lang w:val="en-GB" w:eastAsia="en-GB"/>
        </w:rPr>
        <w:t>include.</w:t>
      </w:r>
    </w:p>
    <w:p w14:paraId="6A4D54FB" w14:textId="33C1FE8C" w:rsidR="00B55483" w:rsidRDefault="00B55483" w:rsidP="00957951">
      <w:pPr>
        <w:ind w:left="720" w:hanging="720"/>
        <w:jc w:val="both"/>
        <w:rPr>
          <w:rFonts w:ascii="Arial" w:hAnsi="Arial" w:cs="Arial"/>
          <w:color w:val="000000"/>
          <w:sz w:val="22"/>
          <w:szCs w:val="22"/>
          <w:lang w:val="en-GB" w:eastAsia="en-GB"/>
        </w:rPr>
      </w:pPr>
    </w:p>
    <w:p w14:paraId="344F00C6" w14:textId="299EB1CA" w:rsidR="00B55483" w:rsidRDefault="00B55483" w:rsidP="00B55483">
      <w:pPr>
        <w:pStyle w:val="ListParagraph"/>
        <w:numPr>
          <w:ilvl w:val="0"/>
          <w:numId w:val="25"/>
        </w:num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A person or body including one appointed on an interim </w:t>
      </w:r>
      <w:r w:rsidR="00AE4302">
        <w:rPr>
          <w:rFonts w:ascii="Arial" w:hAnsi="Arial" w:cs="Arial"/>
          <w:color w:val="000000"/>
          <w:sz w:val="22"/>
          <w:szCs w:val="22"/>
          <w:lang w:val="en-GB" w:eastAsia="en-GB"/>
        </w:rPr>
        <w:t>basis.</w:t>
      </w:r>
    </w:p>
    <w:p w14:paraId="2D690C68" w14:textId="320DB4B2" w:rsidR="00B55483" w:rsidRDefault="00B55483" w:rsidP="00B55483">
      <w:pPr>
        <w:pStyle w:val="ListParagraph"/>
        <w:jc w:val="both"/>
        <w:rPr>
          <w:rFonts w:ascii="Arial" w:hAnsi="Arial" w:cs="Arial"/>
          <w:color w:val="000000"/>
          <w:sz w:val="22"/>
          <w:szCs w:val="22"/>
          <w:lang w:val="en-GB" w:eastAsia="en-GB"/>
        </w:rPr>
      </w:pPr>
    </w:p>
    <w:p w14:paraId="52D9CC02" w14:textId="28C881FE" w:rsidR="00B55483" w:rsidRDefault="00B55483" w:rsidP="00B55483">
      <w:pPr>
        <w:pStyle w:val="ListParagraph"/>
        <w:numPr>
          <w:ilvl w:val="0"/>
          <w:numId w:val="25"/>
        </w:numPr>
        <w:jc w:val="both"/>
        <w:rPr>
          <w:rFonts w:ascii="Arial" w:hAnsi="Arial" w:cs="Arial"/>
          <w:color w:val="000000"/>
          <w:sz w:val="22"/>
          <w:szCs w:val="22"/>
          <w:lang w:val="en-GB" w:eastAsia="en-GB"/>
        </w:rPr>
      </w:pPr>
      <w:r>
        <w:rPr>
          <w:rFonts w:ascii="Arial" w:hAnsi="Arial" w:cs="Arial"/>
          <w:color w:val="000000"/>
          <w:sz w:val="22"/>
          <w:szCs w:val="22"/>
          <w:lang w:val="en-GB" w:eastAsia="en-GB"/>
        </w:rPr>
        <w:t>Authorised in a foreign proceeding</w:t>
      </w:r>
      <w:r w:rsidR="001E1273">
        <w:rPr>
          <w:rFonts w:ascii="Arial" w:hAnsi="Arial" w:cs="Arial"/>
          <w:color w:val="000000"/>
          <w:sz w:val="22"/>
          <w:szCs w:val="22"/>
          <w:lang w:val="en-GB" w:eastAsia="en-GB"/>
        </w:rPr>
        <w:t>.</w:t>
      </w:r>
    </w:p>
    <w:p w14:paraId="6EBC8872" w14:textId="5D643A5D" w:rsidR="00B55483" w:rsidRPr="00B55483" w:rsidRDefault="00B55483" w:rsidP="00B55483">
      <w:pPr>
        <w:pStyle w:val="ListParagraph"/>
        <w:rPr>
          <w:rFonts w:ascii="Arial" w:hAnsi="Arial" w:cs="Arial"/>
          <w:color w:val="000000"/>
          <w:sz w:val="22"/>
          <w:szCs w:val="22"/>
          <w:lang w:val="en-GB" w:eastAsia="en-GB"/>
        </w:rPr>
      </w:pPr>
    </w:p>
    <w:p w14:paraId="491611FA" w14:textId="22B727E3" w:rsidR="00B55483" w:rsidRDefault="00B55483" w:rsidP="00B55483">
      <w:pPr>
        <w:pStyle w:val="ListParagraph"/>
        <w:numPr>
          <w:ilvl w:val="0"/>
          <w:numId w:val="25"/>
        </w:numPr>
        <w:jc w:val="both"/>
        <w:rPr>
          <w:rFonts w:ascii="Arial" w:hAnsi="Arial" w:cs="Arial"/>
          <w:color w:val="000000"/>
          <w:sz w:val="22"/>
          <w:szCs w:val="22"/>
          <w:lang w:val="en-GB" w:eastAsia="en-GB"/>
        </w:rPr>
      </w:pPr>
      <w:r>
        <w:rPr>
          <w:rFonts w:ascii="Arial" w:hAnsi="Arial" w:cs="Arial"/>
          <w:color w:val="000000"/>
          <w:sz w:val="22"/>
          <w:szCs w:val="22"/>
          <w:lang w:val="en-GB" w:eastAsia="en-GB"/>
        </w:rPr>
        <w:t>To administer the re-organisation or liquidation of the debtor’s assets or affairs or to act as a representative in the foreign proceeding.</w:t>
      </w:r>
    </w:p>
    <w:p w14:paraId="7FF9E60B" w14:textId="77777777" w:rsidR="00415972" w:rsidRPr="00415972" w:rsidRDefault="00415972" w:rsidP="00415972">
      <w:pPr>
        <w:pStyle w:val="ListParagraph"/>
        <w:rPr>
          <w:rFonts w:ascii="Arial" w:hAnsi="Arial" w:cs="Arial"/>
          <w:color w:val="000000"/>
          <w:sz w:val="22"/>
          <w:szCs w:val="22"/>
          <w:lang w:val="en-GB" w:eastAsia="en-GB"/>
        </w:rPr>
      </w:pPr>
    </w:p>
    <w:p w14:paraId="6D93529C" w14:textId="77777777" w:rsidR="00B55483" w:rsidRPr="00B55483" w:rsidRDefault="00B55483" w:rsidP="00B55483">
      <w:pPr>
        <w:pStyle w:val="ListParagraph"/>
        <w:rPr>
          <w:rFonts w:ascii="Arial" w:hAnsi="Arial" w:cs="Arial"/>
          <w:color w:val="000000"/>
          <w:sz w:val="22"/>
          <w:szCs w:val="22"/>
          <w:lang w:val="en-GB" w:eastAsia="en-GB"/>
        </w:rPr>
      </w:pPr>
    </w:p>
    <w:p w14:paraId="778605DC" w14:textId="77777777" w:rsidR="00B40469" w:rsidRDefault="00B55483" w:rsidP="00B40469">
      <w:pPr>
        <w:pStyle w:val="ListParagraph"/>
        <w:numPr>
          <w:ilvl w:val="0"/>
          <w:numId w:val="25"/>
        </w:numPr>
        <w:jc w:val="both"/>
        <w:rPr>
          <w:rFonts w:ascii="Arial" w:hAnsi="Arial" w:cs="Arial"/>
          <w:color w:val="000000"/>
          <w:sz w:val="22"/>
          <w:szCs w:val="22"/>
          <w:lang w:val="en-GB" w:eastAsia="en-GB"/>
        </w:rPr>
      </w:pPr>
      <w:r w:rsidRPr="00B40469">
        <w:rPr>
          <w:rFonts w:ascii="Arial" w:hAnsi="Arial" w:cs="Arial"/>
          <w:color w:val="000000"/>
          <w:sz w:val="22"/>
          <w:szCs w:val="22"/>
          <w:lang w:val="en-GB" w:eastAsia="en-GB"/>
        </w:rPr>
        <w:t>The MLCBI does not specify that the foreign representative must be authorised by the foreign court. It has been</w:t>
      </w:r>
      <w:r w:rsidR="00047513" w:rsidRPr="00B40469">
        <w:rPr>
          <w:rFonts w:ascii="Arial" w:hAnsi="Arial" w:cs="Arial"/>
          <w:color w:val="000000"/>
          <w:sz w:val="22"/>
          <w:szCs w:val="22"/>
          <w:lang w:val="en-GB" w:eastAsia="en-GB"/>
        </w:rPr>
        <w:t xml:space="preserve"> suggested that it includes appointments made by a special agency other than the court.</w:t>
      </w:r>
      <w:r w:rsidR="00047513">
        <w:rPr>
          <w:rStyle w:val="FootnoteReference"/>
          <w:rFonts w:ascii="Arial" w:hAnsi="Arial" w:cs="Arial"/>
          <w:color w:val="000000"/>
          <w:sz w:val="22"/>
          <w:szCs w:val="22"/>
          <w:lang w:val="en-GB" w:eastAsia="en-GB"/>
        </w:rPr>
        <w:footnoteReference w:id="23"/>
      </w:r>
      <w:r w:rsidR="00047513" w:rsidRPr="00B40469">
        <w:rPr>
          <w:rFonts w:ascii="Arial" w:hAnsi="Arial" w:cs="Arial"/>
          <w:color w:val="000000"/>
          <w:sz w:val="22"/>
          <w:szCs w:val="22"/>
          <w:lang w:val="en-GB" w:eastAsia="en-GB"/>
        </w:rPr>
        <w:t xml:space="preserve"> A person or body has been interpreted to mean a natural or juristic person created by a legal authority.</w:t>
      </w:r>
      <w:r w:rsidR="00047513">
        <w:rPr>
          <w:rStyle w:val="FootnoteReference"/>
          <w:rFonts w:ascii="Arial" w:hAnsi="Arial" w:cs="Arial"/>
          <w:color w:val="000000"/>
          <w:sz w:val="22"/>
          <w:szCs w:val="22"/>
          <w:lang w:val="en-GB" w:eastAsia="en-GB"/>
        </w:rPr>
        <w:footnoteReference w:id="24"/>
      </w:r>
      <w:r w:rsidR="00047513" w:rsidRPr="00B40469">
        <w:rPr>
          <w:rFonts w:ascii="Arial" w:hAnsi="Arial" w:cs="Arial"/>
          <w:color w:val="000000"/>
          <w:sz w:val="22"/>
          <w:szCs w:val="22"/>
          <w:lang w:val="en-GB" w:eastAsia="en-GB"/>
        </w:rPr>
        <w:t xml:space="preserve">   </w:t>
      </w:r>
    </w:p>
    <w:p w14:paraId="50AB1760" w14:textId="77777777" w:rsidR="00B40469" w:rsidRDefault="00B40469" w:rsidP="00B40469">
      <w:pPr>
        <w:pStyle w:val="ListParagraph"/>
        <w:jc w:val="both"/>
        <w:rPr>
          <w:rFonts w:ascii="Arial" w:hAnsi="Arial" w:cs="Arial"/>
          <w:color w:val="000000"/>
          <w:sz w:val="22"/>
          <w:szCs w:val="22"/>
          <w:lang w:val="en-GB" w:eastAsia="en-GB"/>
        </w:rPr>
      </w:pPr>
    </w:p>
    <w:p w14:paraId="677E2A90" w14:textId="06627101" w:rsidR="00B40469" w:rsidRDefault="00B40469" w:rsidP="00B40469">
      <w:pPr>
        <w:pStyle w:val="ListParagraph"/>
        <w:numPr>
          <w:ilvl w:val="0"/>
          <w:numId w:val="25"/>
        </w:num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The foreign representative must have power to administer the re-organisation or liquidation of the debtor’s assets at the </w:t>
      </w:r>
      <w:r w:rsidR="008559B1">
        <w:rPr>
          <w:rFonts w:ascii="Arial" w:hAnsi="Arial" w:cs="Arial"/>
          <w:color w:val="000000"/>
          <w:sz w:val="22"/>
          <w:szCs w:val="22"/>
          <w:lang w:val="en-GB" w:eastAsia="en-GB"/>
        </w:rPr>
        <w:t>time of application for recognition. If they do not have the power at the time of application for recognition but are subsequently granted powers Article 18 of the MLCBI maybe relevant.</w:t>
      </w:r>
    </w:p>
    <w:p w14:paraId="567DBB02" w14:textId="77777777" w:rsidR="002B4C33" w:rsidRPr="002B4C33" w:rsidRDefault="002B4C33" w:rsidP="002B4C33">
      <w:pPr>
        <w:pStyle w:val="ListParagraph"/>
        <w:rPr>
          <w:rFonts w:ascii="Arial" w:hAnsi="Arial" w:cs="Arial"/>
          <w:color w:val="000000"/>
          <w:sz w:val="22"/>
          <w:szCs w:val="22"/>
          <w:lang w:val="en-GB" w:eastAsia="en-GB"/>
        </w:rPr>
      </w:pPr>
    </w:p>
    <w:p w14:paraId="7168E626" w14:textId="10F0EE70" w:rsidR="002B4C33" w:rsidRDefault="002B4C33" w:rsidP="002B4C33">
      <w:p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The appointed liquidator of Bank A meets the following </w:t>
      </w:r>
      <w:r w:rsidR="00AE4302">
        <w:rPr>
          <w:rFonts w:ascii="Arial" w:hAnsi="Arial" w:cs="Arial"/>
          <w:color w:val="000000"/>
          <w:sz w:val="22"/>
          <w:szCs w:val="22"/>
          <w:lang w:val="en-GB" w:eastAsia="en-GB"/>
        </w:rPr>
        <w:t>criterion.</w:t>
      </w:r>
    </w:p>
    <w:p w14:paraId="4BE4BBB3" w14:textId="77777777" w:rsidR="002B4C33" w:rsidRDefault="002B4C33" w:rsidP="002B4C33">
      <w:pPr>
        <w:jc w:val="both"/>
        <w:rPr>
          <w:rFonts w:ascii="Arial" w:hAnsi="Arial" w:cs="Arial"/>
          <w:color w:val="000000"/>
          <w:sz w:val="22"/>
          <w:szCs w:val="22"/>
          <w:lang w:val="en-GB" w:eastAsia="en-GB"/>
        </w:rPr>
      </w:pPr>
    </w:p>
    <w:p w14:paraId="49EB4EDC" w14:textId="26B0DC58" w:rsidR="005670D7" w:rsidRDefault="0019229A" w:rsidP="002B4C33">
      <w:pPr>
        <w:pStyle w:val="ListParagraph"/>
        <w:numPr>
          <w:ilvl w:val="0"/>
          <w:numId w:val="26"/>
        </w:numPr>
        <w:jc w:val="both"/>
        <w:rPr>
          <w:rFonts w:ascii="Arial" w:hAnsi="Arial" w:cs="Arial"/>
          <w:color w:val="000000"/>
          <w:sz w:val="22"/>
          <w:szCs w:val="22"/>
          <w:lang w:val="en-GB" w:eastAsia="en-GB"/>
        </w:rPr>
      </w:pPr>
      <w:r>
        <w:rPr>
          <w:rFonts w:ascii="Arial" w:hAnsi="Arial" w:cs="Arial"/>
          <w:color w:val="000000"/>
          <w:sz w:val="22"/>
          <w:szCs w:val="22"/>
          <w:lang w:val="en-GB" w:eastAsia="en-GB"/>
        </w:rPr>
        <w:t>She is a natural person appointed by an administrative body</w:t>
      </w:r>
      <w:r w:rsidR="00B602BA">
        <w:rPr>
          <w:rFonts w:ascii="Arial" w:hAnsi="Arial" w:cs="Arial"/>
          <w:color w:val="000000"/>
          <w:sz w:val="22"/>
          <w:szCs w:val="22"/>
          <w:lang w:val="en-GB" w:eastAsia="en-GB"/>
        </w:rPr>
        <w:t>, namely DGF,</w:t>
      </w:r>
      <w:r>
        <w:rPr>
          <w:rFonts w:ascii="Arial" w:hAnsi="Arial" w:cs="Arial"/>
          <w:color w:val="000000"/>
          <w:sz w:val="22"/>
          <w:szCs w:val="22"/>
          <w:lang w:val="en-GB" w:eastAsia="en-GB"/>
        </w:rPr>
        <w:t xml:space="preserve"> duly </w:t>
      </w:r>
      <w:r w:rsidR="00AE4302">
        <w:rPr>
          <w:rFonts w:ascii="Arial" w:hAnsi="Arial" w:cs="Arial"/>
          <w:color w:val="000000"/>
          <w:sz w:val="22"/>
          <w:szCs w:val="22"/>
          <w:lang w:val="en-GB" w:eastAsia="en-GB"/>
        </w:rPr>
        <w:t>authorised</w:t>
      </w:r>
      <w:r>
        <w:rPr>
          <w:rFonts w:ascii="Arial" w:hAnsi="Arial" w:cs="Arial"/>
          <w:color w:val="000000"/>
          <w:sz w:val="22"/>
          <w:szCs w:val="22"/>
          <w:lang w:val="en-GB" w:eastAsia="en-GB"/>
        </w:rPr>
        <w:t xml:space="preserve"> under the insolvency law of Country A.</w:t>
      </w:r>
      <w:r w:rsidR="002B4C33" w:rsidRPr="002B4C33">
        <w:rPr>
          <w:rFonts w:ascii="Arial" w:hAnsi="Arial" w:cs="Arial"/>
          <w:color w:val="000000"/>
          <w:sz w:val="22"/>
          <w:szCs w:val="22"/>
          <w:lang w:val="en-GB" w:eastAsia="en-GB"/>
        </w:rPr>
        <w:t xml:space="preserve"> </w:t>
      </w:r>
      <w:r w:rsidR="00B602BA">
        <w:rPr>
          <w:rFonts w:ascii="Arial" w:hAnsi="Arial" w:cs="Arial"/>
          <w:color w:val="000000"/>
          <w:sz w:val="22"/>
          <w:szCs w:val="22"/>
          <w:lang w:val="en-GB" w:eastAsia="en-GB"/>
        </w:rPr>
        <w:t xml:space="preserve">DGF is empowered to wind up insolvent banks in terms of the law of LBBA. </w:t>
      </w:r>
      <w:proofErr w:type="spellStart"/>
      <w:proofErr w:type="gramStart"/>
      <w:r w:rsidR="00B602BA">
        <w:rPr>
          <w:rFonts w:ascii="Arial" w:hAnsi="Arial" w:cs="Arial"/>
          <w:color w:val="000000"/>
          <w:sz w:val="22"/>
          <w:szCs w:val="22"/>
          <w:lang w:val="en-GB" w:eastAsia="en-GB"/>
        </w:rPr>
        <w:t>Ms.G</w:t>
      </w:r>
      <w:proofErr w:type="spellEnd"/>
      <w:proofErr w:type="gramEnd"/>
      <w:r w:rsidR="00B602BA">
        <w:rPr>
          <w:rFonts w:ascii="Arial" w:hAnsi="Arial" w:cs="Arial"/>
          <w:color w:val="000000"/>
          <w:sz w:val="22"/>
          <w:szCs w:val="22"/>
          <w:lang w:val="en-GB" w:eastAsia="en-GB"/>
        </w:rPr>
        <w:t xml:space="preserve"> is accountable to DGF as specified under Article 35 (1) of the DGF law. She is delegated liquidation powers set out in Articles 37, 38, 47-52, 521 and 53 of the DGF law.</w:t>
      </w:r>
      <w:r w:rsidR="00C03817">
        <w:rPr>
          <w:rFonts w:ascii="Arial" w:hAnsi="Arial" w:cs="Arial"/>
          <w:color w:val="000000"/>
          <w:sz w:val="22"/>
          <w:szCs w:val="22"/>
          <w:lang w:val="en-GB" w:eastAsia="en-GB"/>
        </w:rPr>
        <w:t xml:space="preserve"> The body however has excluded from her liquidation powers the authority to sell Bank A’s assets, which it has reserved for itself. This limitation in her powers to fully liquidate a bank even under the supervision of DGF does not qualify her as a foreign representative within the meaning of Article 2 (d) of the MLCBI.</w:t>
      </w:r>
    </w:p>
    <w:p w14:paraId="39F4EEFD" w14:textId="77777777" w:rsidR="005670D7" w:rsidRDefault="005670D7" w:rsidP="005670D7">
      <w:pPr>
        <w:pStyle w:val="ListParagraph"/>
        <w:ind w:left="840"/>
        <w:jc w:val="both"/>
        <w:rPr>
          <w:rFonts w:ascii="Arial" w:hAnsi="Arial" w:cs="Arial"/>
          <w:color w:val="000000"/>
          <w:sz w:val="22"/>
          <w:szCs w:val="22"/>
          <w:lang w:val="en-GB" w:eastAsia="en-GB"/>
        </w:rPr>
      </w:pPr>
    </w:p>
    <w:p w14:paraId="0995E4F8" w14:textId="48D691C8" w:rsidR="002B4C33" w:rsidRPr="002B4C33" w:rsidRDefault="005670D7" w:rsidP="005670D7">
      <w:pPr>
        <w:pStyle w:val="ListParagraph"/>
        <w:numPr>
          <w:ilvl w:val="0"/>
          <w:numId w:val="26"/>
        </w:num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DGF on the </w:t>
      </w:r>
      <w:proofErr w:type="gramStart"/>
      <w:r>
        <w:rPr>
          <w:rFonts w:ascii="Arial" w:hAnsi="Arial" w:cs="Arial"/>
          <w:color w:val="000000"/>
          <w:sz w:val="22"/>
          <w:szCs w:val="22"/>
          <w:lang w:val="en-GB" w:eastAsia="en-GB"/>
        </w:rPr>
        <w:t>other-hand</w:t>
      </w:r>
      <w:proofErr w:type="gramEnd"/>
      <w:r>
        <w:rPr>
          <w:rFonts w:ascii="Arial" w:hAnsi="Arial" w:cs="Arial"/>
          <w:color w:val="000000"/>
          <w:sz w:val="22"/>
          <w:szCs w:val="22"/>
          <w:lang w:val="en-GB" w:eastAsia="en-GB"/>
        </w:rPr>
        <w:t xml:space="preserve"> qualifies as a foreign representative being a body empowered in terms of the Insolvency Laws of country A to wind up the affairs of insolvent banks with extensive liquidation powers provided for under Article 37 of DGF law. </w:t>
      </w:r>
    </w:p>
    <w:p w14:paraId="13C7A861" w14:textId="22385E16" w:rsidR="00B55483" w:rsidRPr="00B40469" w:rsidRDefault="00B55483" w:rsidP="00B40469">
      <w:pPr>
        <w:pStyle w:val="ListParagraph"/>
        <w:jc w:val="both"/>
        <w:rPr>
          <w:rFonts w:ascii="Arial" w:hAnsi="Arial" w:cs="Arial"/>
          <w:color w:val="000000"/>
          <w:sz w:val="22"/>
          <w:szCs w:val="22"/>
          <w:lang w:val="en-GB" w:eastAsia="en-GB"/>
        </w:rPr>
      </w:pPr>
      <w:r w:rsidRPr="00B40469">
        <w:rPr>
          <w:rFonts w:ascii="Arial" w:hAnsi="Arial" w:cs="Arial"/>
          <w:color w:val="000000"/>
          <w:sz w:val="22"/>
          <w:szCs w:val="22"/>
          <w:lang w:val="en-GB" w:eastAsia="en-GB"/>
        </w:rPr>
        <w:t xml:space="preserve">  </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0FD3" w14:textId="77777777" w:rsidR="000E5A0C" w:rsidRDefault="000E5A0C" w:rsidP="00241B44">
      <w:r>
        <w:separator/>
      </w:r>
    </w:p>
  </w:endnote>
  <w:endnote w:type="continuationSeparator" w:id="0">
    <w:p w14:paraId="25C601D6" w14:textId="77777777" w:rsidR="000E5A0C" w:rsidRDefault="000E5A0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2381B126"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1CE6">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B91202F" w:rsidR="000300E0" w:rsidRPr="00B46CE2" w:rsidRDefault="008D1CE6" w:rsidP="000300E0">
    <w:pPr>
      <w:pStyle w:val="Footer"/>
      <w:ind w:right="360"/>
      <w:rPr>
        <w:rFonts w:ascii="Avenir Next" w:hAnsi="Avenir Next"/>
        <w:sz w:val="22"/>
        <w:szCs w:val="22"/>
      </w:rPr>
    </w:pPr>
    <w:r>
      <w:rPr>
        <w:rFonts w:ascii="Avenir Next" w:hAnsi="Avenir Next"/>
        <w:sz w:val="22"/>
        <w:szCs w:val="22"/>
      </w:rPr>
      <w:t>202223-787.ass</w:t>
    </w:r>
    <w:r w:rsidR="00B46CE2" w:rsidRPr="00B46CE2">
      <w:rPr>
        <w:rFonts w:ascii="Avenir Next" w:hAnsi="Avenir Next"/>
        <w:sz w:val="22"/>
        <w:szCs w:val="22"/>
      </w:rPr>
      <w:t>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CF76DE1"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F779C7">
          <w:rPr>
            <w:rStyle w:val="PageNumber"/>
            <w:rFonts w:ascii="Avenir Next" w:hAnsi="Avenir Next"/>
            <w:noProof/>
            <w:sz w:val="22"/>
            <w:szCs w:val="22"/>
          </w:rPr>
          <w:t>18</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63B5" w14:textId="77777777" w:rsidR="000E5A0C" w:rsidRDefault="000E5A0C" w:rsidP="00241B44">
      <w:r>
        <w:separator/>
      </w:r>
    </w:p>
  </w:footnote>
  <w:footnote w:type="continuationSeparator" w:id="0">
    <w:p w14:paraId="6FD2DC8C" w14:textId="77777777" w:rsidR="000E5A0C" w:rsidRDefault="000E5A0C" w:rsidP="00241B44">
      <w:r>
        <w:continuationSeparator/>
      </w:r>
    </w:p>
  </w:footnote>
  <w:footnote w:id="1">
    <w:p w14:paraId="737416D6" w14:textId="23287EE0" w:rsidR="000A1042" w:rsidRDefault="000A1042">
      <w:pPr>
        <w:pStyle w:val="FootnoteText"/>
      </w:pPr>
      <w:r>
        <w:rPr>
          <w:rStyle w:val="FootnoteReference"/>
        </w:rPr>
        <w:footnoteRef/>
      </w:r>
      <w:r>
        <w:t xml:space="preserve"> Digest of Case Law on the UNCITRAL Model Law on Cross-</w:t>
      </w:r>
      <w:r w:rsidR="00862F01">
        <w:t>Border Insolvency, p50</w:t>
      </w:r>
    </w:p>
  </w:footnote>
  <w:footnote w:id="2">
    <w:p w14:paraId="7444F2E8" w14:textId="374DD6C9" w:rsidR="003B7C1E" w:rsidRDefault="003B7C1E">
      <w:pPr>
        <w:pStyle w:val="FootnoteText"/>
      </w:pPr>
      <w:r>
        <w:rPr>
          <w:rStyle w:val="FootnoteReference"/>
        </w:rPr>
        <w:footnoteRef/>
      </w:r>
      <w:r>
        <w:t xml:space="preserve"> Article 19 (1) (b).</w:t>
      </w:r>
    </w:p>
  </w:footnote>
  <w:footnote w:id="3">
    <w:p w14:paraId="5EE377E6" w14:textId="7CBE02CF" w:rsidR="00D20505" w:rsidRPr="00D20505" w:rsidRDefault="00D20505">
      <w:pPr>
        <w:pStyle w:val="FootnoteText"/>
        <w:rPr>
          <w:lang w:val="en-ZA"/>
        </w:rPr>
      </w:pPr>
      <w:r>
        <w:rPr>
          <w:rStyle w:val="FootnoteReference"/>
        </w:rPr>
        <w:footnoteRef/>
      </w:r>
      <w:r>
        <w:t xml:space="preserve"> </w:t>
      </w:r>
      <w:r w:rsidR="00AE4302">
        <w:rPr>
          <w:lang w:val="en-ZA"/>
        </w:rPr>
        <w:t>Article</w:t>
      </w:r>
      <w:r>
        <w:rPr>
          <w:lang w:val="en-ZA"/>
        </w:rPr>
        <w:t xml:space="preserve"> 22 </w:t>
      </w:r>
      <w:r w:rsidR="00546CB8">
        <w:rPr>
          <w:lang w:val="en-ZA"/>
        </w:rPr>
        <w:t>(</w:t>
      </w:r>
      <w:r>
        <w:rPr>
          <w:lang w:val="en-ZA"/>
        </w:rPr>
        <w:t>1</w:t>
      </w:r>
      <w:r w:rsidR="00546CB8">
        <w:rPr>
          <w:lang w:val="en-ZA"/>
        </w:rPr>
        <w:t>)</w:t>
      </w:r>
      <w:r>
        <w:rPr>
          <w:lang w:val="en-ZA"/>
        </w:rPr>
        <w:t>. UNCITAL Legislative Guide on Insolvency Law p. 314.</w:t>
      </w:r>
    </w:p>
  </w:footnote>
  <w:footnote w:id="4">
    <w:p w14:paraId="4A1E6CE4" w14:textId="656E54DB" w:rsidR="00FC74CD" w:rsidRPr="00FC74CD" w:rsidRDefault="00FC74CD">
      <w:pPr>
        <w:pStyle w:val="FootnoteText"/>
        <w:rPr>
          <w:lang w:val="en-ZA"/>
        </w:rPr>
      </w:pPr>
      <w:r>
        <w:rPr>
          <w:rStyle w:val="FootnoteReference"/>
        </w:rPr>
        <w:footnoteRef/>
      </w:r>
      <w:r>
        <w:t xml:space="preserve"> </w:t>
      </w:r>
      <w:r>
        <w:rPr>
          <w:lang w:val="en-ZA"/>
        </w:rPr>
        <w:t>Article 22</w:t>
      </w:r>
      <w:r w:rsidR="007560FB">
        <w:rPr>
          <w:lang w:val="en-ZA"/>
        </w:rPr>
        <w:t xml:space="preserve"> (</w:t>
      </w:r>
      <w:r>
        <w:rPr>
          <w:lang w:val="en-ZA"/>
        </w:rPr>
        <w:t>2,3</w:t>
      </w:r>
      <w:r w:rsidR="007560FB">
        <w:rPr>
          <w:lang w:val="en-ZA"/>
        </w:rPr>
        <w:t>)</w:t>
      </w:r>
      <w:r>
        <w:rPr>
          <w:lang w:val="en-ZA"/>
        </w:rPr>
        <w:t>.</w:t>
      </w:r>
    </w:p>
  </w:footnote>
  <w:footnote w:id="5">
    <w:p w14:paraId="31F81367" w14:textId="5AFA9843" w:rsidR="00FC74CD" w:rsidRPr="00FC74CD" w:rsidRDefault="00FC74CD">
      <w:pPr>
        <w:pStyle w:val="FootnoteText"/>
        <w:rPr>
          <w:lang w:val="en-ZA"/>
        </w:rPr>
      </w:pPr>
      <w:r>
        <w:rPr>
          <w:rStyle w:val="FootnoteReference"/>
        </w:rPr>
        <w:footnoteRef/>
      </w:r>
      <w:r>
        <w:t xml:space="preserve"> </w:t>
      </w:r>
      <w:r>
        <w:rPr>
          <w:lang w:val="en-ZA"/>
        </w:rPr>
        <w:t>Article 6.</w:t>
      </w:r>
    </w:p>
  </w:footnote>
  <w:footnote w:id="6">
    <w:p w14:paraId="070208A4" w14:textId="41266A76" w:rsidR="00670F1F" w:rsidRDefault="00670F1F" w:rsidP="00670F1F">
      <w:pPr>
        <w:pStyle w:val="FootnoteText"/>
      </w:pPr>
      <w:r>
        <w:rPr>
          <w:rStyle w:val="FootnoteReference"/>
        </w:rPr>
        <w:footnoteRef/>
      </w:r>
      <w:r>
        <w:t xml:space="preserve"> Digest of Case Law on the UNCITRAL Model Law on Cross-Border Insolvency, p20.</w:t>
      </w:r>
    </w:p>
    <w:p w14:paraId="7F372C37" w14:textId="0B9BE583" w:rsidR="00670F1F" w:rsidRPr="00670F1F" w:rsidRDefault="00670F1F">
      <w:pPr>
        <w:pStyle w:val="FootnoteText"/>
        <w:rPr>
          <w:lang w:val="en-ZA"/>
        </w:rPr>
      </w:pPr>
    </w:p>
  </w:footnote>
  <w:footnote w:id="7">
    <w:p w14:paraId="5B387FA5" w14:textId="7C70912A" w:rsidR="002B7CC8" w:rsidRPr="0038478D" w:rsidRDefault="002B7CC8">
      <w:pPr>
        <w:pStyle w:val="FootnoteText"/>
        <w:rPr>
          <w:lang w:val="fr-FR"/>
        </w:rPr>
      </w:pPr>
      <w:r>
        <w:rPr>
          <w:rStyle w:val="FootnoteReference"/>
        </w:rPr>
        <w:footnoteRef/>
      </w:r>
      <w:r w:rsidRPr="0038478D">
        <w:rPr>
          <w:lang w:val="fr-FR"/>
        </w:rPr>
        <w:t xml:space="preserve"> Article 3.</w:t>
      </w:r>
    </w:p>
  </w:footnote>
  <w:footnote w:id="8">
    <w:p w14:paraId="166C0EF1" w14:textId="37A78CC3" w:rsidR="003400FB" w:rsidRPr="0038478D" w:rsidRDefault="003400FB">
      <w:pPr>
        <w:pStyle w:val="FootnoteText"/>
        <w:rPr>
          <w:lang w:val="fr-FR"/>
        </w:rPr>
      </w:pPr>
      <w:r>
        <w:rPr>
          <w:rStyle w:val="FootnoteReference"/>
        </w:rPr>
        <w:footnoteRef/>
      </w:r>
      <w:r w:rsidRPr="0038478D">
        <w:rPr>
          <w:lang w:val="fr-FR"/>
        </w:rPr>
        <w:t xml:space="preserve"> Article 30 (a).</w:t>
      </w:r>
    </w:p>
  </w:footnote>
  <w:footnote w:id="9">
    <w:p w14:paraId="4D755321" w14:textId="270DA1FF" w:rsidR="00997832" w:rsidRPr="0038478D" w:rsidRDefault="00997832">
      <w:pPr>
        <w:pStyle w:val="FootnoteText"/>
        <w:rPr>
          <w:lang w:val="fr-FR"/>
        </w:rPr>
      </w:pPr>
      <w:r>
        <w:rPr>
          <w:rStyle w:val="FootnoteReference"/>
        </w:rPr>
        <w:footnoteRef/>
      </w:r>
      <w:r w:rsidRPr="0038478D">
        <w:rPr>
          <w:lang w:val="fr-FR"/>
        </w:rPr>
        <w:t xml:space="preserve"> Article 30 (b).</w:t>
      </w:r>
    </w:p>
  </w:footnote>
  <w:footnote w:id="10">
    <w:p w14:paraId="1554757F" w14:textId="2DE1FAFE" w:rsidR="00D330A3" w:rsidRPr="0038478D" w:rsidRDefault="00D330A3">
      <w:pPr>
        <w:pStyle w:val="FootnoteText"/>
        <w:rPr>
          <w:lang w:val="fr-FR"/>
        </w:rPr>
      </w:pPr>
      <w:r>
        <w:rPr>
          <w:rStyle w:val="FootnoteReference"/>
        </w:rPr>
        <w:footnoteRef/>
      </w:r>
      <w:r w:rsidRPr="0038478D">
        <w:rPr>
          <w:lang w:val="fr-FR"/>
        </w:rPr>
        <w:t xml:space="preserve"> Article 17(2).</w:t>
      </w:r>
    </w:p>
  </w:footnote>
  <w:footnote w:id="11">
    <w:p w14:paraId="739BED93" w14:textId="26BD4404" w:rsidR="00766B20" w:rsidRPr="0038478D" w:rsidRDefault="00766B20">
      <w:pPr>
        <w:pStyle w:val="FootnoteText"/>
        <w:rPr>
          <w:lang w:val="fr-FR"/>
        </w:rPr>
      </w:pPr>
      <w:r>
        <w:rPr>
          <w:rStyle w:val="FootnoteReference"/>
        </w:rPr>
        <w:footnoteRef/>
      </w:r>
      <w:r w:rsidRPr="0038478D">
        <w:rPr>
          <w:lang w:val="fr-FR"/>
        </w:rPr>
        <w:t xml:space="preserve"> Article 20 </w:t>
      </w:r>
      <w:r w:rsidR="00AE4302">
        <w:rPr>
          <w:lang w:val="fr-FR"/>
        </w:rPr>
        <w:t>(</w:t>
      </w:r>
      <w:r w:rsidRPr="0038478D">
        <w:rPr>
          <w:lang w:val="fr-FR"/>
        </w:rPr>
        <w:t>1</w:t>
      </w:r>
      <w:r w:rsidR="00AE4302">
        <w:rPr>
          <w:lang w:val="fr-FR"/>
        </w:rPr>
        <w:t>)</w:t>
      </w:r>
      <w:r w:rsidRPr="0038478D">
        <w:rPr>
          <w:lang w:val="fr-FR"/>
        </w:rPr>
        <w:t xml:space="preserve"> (</w:t>
      </w:r>
      <w:r w:rsidR="00B66B3F" w:rsidRPr="0038478D">
        <w:rPr>
          <w:lang w:val="fr-FR"/>
        </w:rPr>
        <w:t>a, b</w:t>
      </w:r>
      <w:r w:rsidRPr="0038478D">
        <w:rPr>
          <w:lang w:val="fr-FR"/>
        </w:rPr>
        <w:t>).</w:t>
      </w:r>
    </w:p>
  </w:footnote>
  <w:footnote w:id="12">
    <w:p w14:paraId="05848189" w14:textId="6191021B" w:rsidR="008127AA" w:rsidRPr="00984DA6" w:rsidRDefault="008127AA">
      <w:pPr>
        <w:pStyle w:val="FootnoteText"/>
        <w:rPr>
          <w:lang w:val="fr-FR"/>
        </w:rPr>
      </w:pPr>
      <w:r>
        <w:rPr>
          <w:rStyle w:val="FootnoteReference"/>
        </w:rPr>
        <w:footnoteRef/>
      </w:r>
      <w:r w:rsidRPr="00984DA6">
        <w:rPr>
          <w:lang w:val="fr-FR"/>
        </w:rPr>
        <w:t xml:space="preserve"> </w:t>
      </w:r>
      <w:r w:rsidRPr="00984DA6">
        <w:rPr>
          <w:lang w:val="fr-FR"/>
        </w:rPr>
        <w:t>Article 21 1(f).</w:t>
      </w:r>
    </w:p>
  </w:footnote>
  <w:footnote w:id="13">
    <w:p w14:paraId="0A61AF33" w14:textId="01304C74" w:rsidR="00C23A1D" w:rsidRDefault="00C23A1D">
      <w:pPr>
        <w:pStyle w:val="FootnoteText"/>
      </w:pPr>
      <w:r>
        <w:rPr>
          <w:rStyle w:val="FootnoteReference"/>
        </w:rPr>
        <w:footnoteRef/>
      </w:r>
      <w:r>
        <w:t xml:space="preserve"> Article 19 (4).</w:t>
      </w:r>
    </w:p>
  </w:footnote>
  <w:footnote w:id="14">
    <w:p w14:paraId="331ADE23" w14:textId="62E7EE5F" w:rsidR="00C02742" w:rsidRDefault="00C02742">
      <w:pPr>
        <w:pStyle w:val="FootnoteText"/>
      </w:pPr>
      <w:r>
        <w:rPr>
          <w:rStyle w:val="FootnoteReference"/>
        </w:rPr>
        <w:footnoteRef/>
      </w:r>
      <w:r>
        <w:t xml:space="preserve"> Article 21 (2).</w:t>
      </w:r>
    </w:p>
  </w:footnote>
  <w:footnote w:id="15">
    <w:p w14:paraId="51EE9BF5" w14:textId="3962C07A" w:rsidR="00120DD9" w:rsidRDefault="00120DD9">
      <w:pPr>
        <w:pStyle w:val="FootnoteText"/>
      </w:pPr>
      <w:r>
        <w:rPr>
          <w:rStyle w:val="FootnoteReference"/>
        </w:rPr>
        <w:footnoteRef/>
      </w:r>
      <w:r>
        <w:t xml:space="preserve"> </w:t>
      </w:r>
      <w:r>
        <w:rPr>
          <w:lang w:val="en-ZA"/>
        </w:rPr>
        <w:t>UNCITAL Legislative Guide on Insolvency Law p 347 paragraph 157.</w:t>
      </w:r>
    </w:p>
  </w:footnote>
  <w:footnote w:id="16">
    <w:p w14:paraId="324344D6" w14:textId="67538908" w:rsidR="00476A56" w:rsidRDefault="00476A56">
      <w:pPr>
        <w:pStyle w:val="FootnoteText"/>
      </w:pPr>
      <w:r>
        <w:rPr>
          <w:rStyle w:val="FootnoteReference"/>
        </w:rPr>
        <w:footnoteRef/>
      </w:r>
      <w:r>
        <w:t xml:space="preserve"> Article 20 (2).</w:t>
      </w:r>
    </w:p>
  </w:footnote>
  <w:footnote w:id="17">
    <w:p w14:paraId="2F052316" w14:textId="45D7BE4B" w:rsidR="00476A56" w:rsidRDefault="00476A56">
      <w:pPr>
        <w:pStyle w:val="FootnoteText"/>
      </w:pPr>
      <w:r>
        <w:rPr>
          <w:rStyle w:val="FootnoteReference"/>
        </w:rPr>
        <w:footnoteRef/>
      </w:r>
      <w:r>
        <w:t xml:space="preserve"> Article 20(3).</w:t>
      </w:r>
    </w:p>
  </w:footnote>
  <w:footnote w:id="18">
    <w:p w14:paraId="35A526AA" w14:textId="0B06F177" w:rsidR="00417A96" w:rsidRPr="00417A96" w:rsidRDefault="00417A96">
      <w:pPr>
        <w:pStyle w:val="FootnoteText"/>
        <w:rPr>
          <w:rFonts w:cstheme="minorHAnsi"/>
        </w:rPr>
      </w:pPr>
      <w:r>
        <w:rPr>
          <w:rStyle w:val="FootnoteReference"/>
        </w:rPr>
        <w:footnoteRef/>
      </w:r>
      <w:r>
        <w:t xml:space="preserve"> </w:t>
      </w:r>
      <w:r w:rsidRPr="00417A96">
        <w:rPr>
          <w:rFonts w:cstheme="minorHAnsi"/>
          <w:lang w:val="en-GB"/>
        </w:rPr>
        <w:t xml:space="preserve">Igor </w:t>
      </w:r>
      <w:proofErr w:type="spellStart"/>
      <w:r w:rsidRPr="00417A96">
        <w:rPr>
          <w:rFonts w:cstheme="minorHAnsi"/>
          <w:lang w:val="en-GB"/>
        </w:rPr>
        <w:t>Vitalievich</w:t>
      </w:r>
      <w:proofErr w:type="spellEnd"/>
      <w:r w:rsidRPr="00417A96">
        <w:rPr>
          <w:rFonts w:cstheme="minorHAnsi"/>
          <w:lang w:val="en-GB"/>
        </w:rPr>
        <w:t xml:space="preserve"> </w:t>
      </w:r>
      <w:proofErr w:type="spellStart"/>
      <w:r w:rsidRPr="00417A96">
        <w:rPr>
          <w:rFonts w:cstheme="minorHAnsi"/>
          <w:lang w:val="en-GB"/>
        </w:rPr>
        <w:t>Prolasov</w:t>
      </w:r>
      <w:proofErr w:type="spellEnd"/>
      <w:r w:rsidRPr="00417A96">
        <w:rPr>
          <w:rFonts w:cstheme="minorHAnsi"/>
          <w:lang w:val="en-GB"/>
        </w:rPr>
        <w:t xml:space="preserve"> &amp; </w:t>
      </w:r>
      <w:proofErr w:type="spellStart"/>
      <w:r w:rsidRPr="00417A96">
        <w:rPr>
          <w:rFonts w:cstheme="minorHAnsi"/>
          <w:lang w:val="en-GB"/>
        </w:rPr>
        <w:t>Khadzhi</w:t>
      </w:r>
      <w:proofErr w:type="spellEnd"/>
      <w:r w:rsidRPr="00417A96">
        <w:rPr>
          <w:rFonts w:cstheme="minorHAnsi"/>
          <w:lang w:val="en-GB"/>
        </w:rPr>
        <w:t xml:space="preserve">-Murat </w:t>
      </w:r>
      <w:proofErr w:type="spellStart"/>
      <w:r w:rsidRPr="00417A96">
        <w:rPr>
          <w:rFonts w:cstheme="minorHAnsi"/>
          <w:lang w:val="en-GB"/>
        </w:rPr>
        <w:t>Derev</w:t>
      </w:r>
      <w:proofErr w:type="spellEnd"/>
      <w:r w:rsidRPr="00417A96">
        <w:rPr>
          <w:rFonts w:cstheme="minorHAnsi"/>
          <w:lang w:val="en-GB"/>
        </w:rPr>
        <w:t xml:space="preserve"> (Order of 24 February 2021 by Justice Adam Johnson [2021] EWHC 392 (CH),</w:t>
      </w:r>
    </w:p>
  </w:footnote>
  <w:footnote w:id="19">
    <w:p w14:paraId="6E213FB4" w14:textId="77777777" w:rsidR="00417A96" w:rsidRPr="0056299C" w:rsidRDefault="00417A96" w:rsidP="00417A96">
      <w:pPr>
        <w:ind w:left="720" w:hanging="720"/>
        <w:jc w:val="both"/>
        <w:rPr>
          <w:rFonts w:ascii="Arial" w:hAnsi="Arial" w:cs="Arial"/>
          <w:color w:val="000000"/>
          <w:sz w:val="22"/>
          <w:szCs w:val="22"/>
          <w:lang w:val="en-GB" w:eastAsia="en-GB"/>
        </w:rPr>
      </w:pPr>
      <w:r>
        <w:rPr>
          <w:rStyle w:val="FootnoteReference"/>
        </w:rPr>
        <w:footnoteRef/>
      </w:r>
      <w:r>
        <w:t xml:space="preserve"> </w:t>
      </w:r>
      <w:r w:rsidRPr="00417A96">
        <w:rPr>
          <w:rFonts w:cstheme="minorHAnsi"/>
          <w:color w:val="000000"/>
          <w:szCs w:val="20"/>
          <w:lang w:val="en-GB" w:eastAsia="en-GB"/>
        </w:rPr>
        <w:t>DD [2017] EWHC 2791 (CH)</w:t>
      </w:r>
    </w:p>
    <w:p w14:paraId="5F1C33B7" w14:textId="0C95DDB8" w:rsidR="00417A96" w:rsidRDefault="00417A96">
      <w:pPr>
        <w:pStyle w:val="FootnoteText"/>
      </w:pPr>
    </w:p>
  </w:footnote>
  <w:footnote w:id="20">
    <w:p w14:paraId="022BC5E1" w14:textId="539BA03E" w:rsidR="00DF0648" w:rsidRDefault="00DF0648">
      <w:pPr>
        <w:pStyle w:val="FootnoteText"/>
      </w:pPr>
      <w:r>
        <w:rPr>
          <w:rStyle w:val="FootnoteReference"/>
        </w:rPr>
        <w:footnoteRef/>
      </w:r>
      <w:r>
        <w:t xml:space="preserve"> </w:t>
      </w:r>
      <w:r w:rsidR="007B4CAD">
        <w:t>Digest of Case Law on the UNCITRAL Model Law on Cross-Border Insolvency p6 paragraph 4.</w:t>
      </w:r>
    </w:p>
  </w:footnote>
  <w:footnote w:id="21">
    <w:p w14:paraId="225D14A1" w14:textId="4D58339E" w:rsidR="007415F3" w:rsidRDefault="007415F3">
      <w:pPr>
        <w:pStyle w:val="FootnoteText"/>
      </w:pPr>
      <w:r>
        <w:rPr>
          <w:rStyle w:val="FootnoteReference"/>
        </w:rPr>
        <w:footnoteRef/>
      </w:r>
      <w:r>
        <w:t xml:space="preserve"> Digest of Case Law on the UNCITRAL Model Law on Cross-Border Insolvency p</w:t>
      </w:r>
      <w:r w:rsidR="00DC3DE4">
        <w:t>.</w:t>
      </w:r>
      <w:r>
        <w:t>6 paragraph 7 (a-f).</w:t>
      </w:r>
    </w:p>
  </w:footnote>
  <w:footnote w:id="22">
    <w:p w14:paraId="0837C86C" w14:textId="7DD4FD9B" w:rsidR="00DC3DE4" w:rsidRDefault="00DC3DE4">
      <w:pPr>
        <w:pStyle w:val="FootnoteText"/>
      </w:pPr>
      <w:r>
        <w:rPr>
          <w:rStyle w:val="FootnoteReference"/>
        </w:rPr>
        <w:footnoteRef/>
      </w:r>
      <w:r>
        <w:t xml:space="preserve"> Digest of Case Law on the UNCITRAL Model Law on Cross-Border Insolvency p.7 paragraph 13. </w:t>
      </w:r>
    </w:p>
  </w:footnote>
  <w:footnote w:id="23">
    <w:p w14:paraId="256BF3D3" w14:textId="2EC6EFA3" w:rsidR="00047513" w:rsidRDefault="00047513">
      <w:pPr>
        <w:pStyle w:val="FootnoteText"/>
      </w:pPr>
      <w:r>
        <w:rPr>
          <w:rStyle w:val="FootnoteReference"/>
        </w:rPr>
        <w:footnoteRef/>
      </w:r>
      <w:r>
        <w:t xml:space="preserve"> Digest of Case Law on the UNCITRAL Model Law on Cross-Border Insolvency p.10 paragraph 37.</w:t>
      </w:r>
    </w:p>
  </w:footnote>
  <w:footnote w:id="24">
    <w:p w14:paraId="47D03180" w14:textId="28FE49D0" w:rsidR="00047513" w:rsidRDefault="00047513">
      <w:pPr>
        <w:pStyle w:val="FootnoteText"/>
      </w:pPr>
      <w:r>
        <w:rPr>
          <w:rStyle w:val="FootnoteReference"/>
        </w:rPr>
        <w:footnoteRef/>
      </w:r>
      <w:r>
        <w:t xml:space="preserve"> Digest of Case Law on the UNCITRAL Model Law on Cross-Border Insolvency p.10 paragraph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F06837"/>
    <w:multiLevelType w:val="hybridMultilevel"/>
    <w:tmpl w:val="ED020E02"/>
    <w:lvl w:ilvl="0" w:tplc="2000000F">
      <w:start w:val="1"/>
      <w:numFmt w:val="decimal"/>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452F63"/>
    <w:multiLevelType w:val="hybridMultilevel"/>
    <w:tmpl w:val="3F588278"/>
    <w:lvl w:ilvl="0" w:tplc="2000000F">
      <w:start w:val="1"/>
      <w:numFmt w:val="decimal"/>
      <w:lvlText w:val="%1."/>
      <w:lvlJc w:val="left"/>
      <w:pPr>
        <w:ind w:left="840" w:hanging="360"/>
      </w:pPr>
    </w:lvl>
    <w:lvl w:ilvl="1" w:tplc="20000019" w:tentative="1">
      <w:start w:val="1"/>
      <w:numFmt w:val="lowerLetter"/>
      <w:lvlText w:val="%2."/>
      <w:lvlJc w:val="left"/>
      <w:pPr>
        <w:ind w:left="1560" w:hanging="360"/>
      </w:pPr>
    </w:lvl>
    <w:lvl w:ilvl="2" w:tplc="2000001B" w:tentative="1">
      <w:start w:val="1"/>
      <w:numFmt w:val="lowerRoman"/>
      <w:lvlText w:val="%3."/>
      <w:lvlJc w:val="right"/>
      <w:pPr>
        <w:ind w:left="2280" w:hanging="180"/>
      </w:pPr>
    </w:lvl>
    <w:lvl w:ilvl="3" w:tplc="2000000F" w:tentative="1">
      <w:start w:val="1"/>
      <w:numFmt w:val="decimal"/>
      <w:lvlText w:val="%4."/>
      <w:lvlJc w:val="left"/>
      <w:pPr>
        <w:ind w:left="3000" w:hanging="360"/>
      </w:pPr>
    </w:lvl>
    <w:lvl w:ilvl="4" w:tplc="20000019" w:tentative="1">
      <w:start w:val="1"/>
      <w:numFmt w:val="lowerLetter"/>
      <w:lvlText w:val="%5."/>
      <w:lvlJc w:val="left"/>
      <w:pPr>
        <w:ind w:left="3720" w:hanging="360"/>
      </w:pPr>
    </w:lvl>
    <w:lvl w:ilvl="5" w:tplc="2000001B" w:tentative="1">
      <w:start w:val="1"/>
      <w:numFmt w:val="lowerRoman"/>
      <w:lvlText w:val="%6."/>
      <w:lvlJc w:val="right"/>
      <w:pPr>
        <w:ind w:left="4440" w:hanging="180"/>
      </w:pPr>
    </w:lvl>
    <w:lvl w:ilvl="6" w:tplc="2000000F" w:tentative="1">
      <w:start w:val="1"/>
      <w:numFmt w:val="decimal"/>
      <w:lvlText w:val="%7."/>
      <w:lvlJc w:val="left"/>
      <w:pPr>
        <w:ind w:left="5160" w:hanging="360"/>
      </w:pPr>
    </w:lvl>
    <w:lvl w:ilvl="7" w:tplc="20000019" w:tentative="1">
      <w:start w:val="1"/>
      <w:numFmt w:val="lowerLetter"/>
      <w:lvlText w:val="%8."/>
      <w:lvlJc w:val="left"/>
      <w:pPr>
        <w:ind w:left="5880" w:hanging="360"/>
      </w:pPr>
    </w:lvl>
    <w:lvl w:ilvl="8" w:tplc="2000001B" w:tentative="1">
      <w:start w:val="1"/>
      <w:numFmt w:val="lowerRoman"/>
      <w:lvlText w:val="%9."/>
      <w:lvlJc w:val="right"/>
      <w:pPr>
        <w:ind w:left="6600" w:hanging="180"/>
      </w:pPr>
    </w:lvl>
  </w:abstractNum>
  <w:abstractNum w:abstractNumId="8" w15:restartNumberingAfterBreak="0">
    <w:nsid w:val="30085EDC"/>
    <w:multiLevelType w:val="hybridMultilevel"/>
    <w:tmpl w:val="E7B82950"/>
    <w:lvl w:ilvl="0" w:tplc="20000019">
      <w:start w:val="1"/>
      <w:numFmt w:val="lowerLetter"/>
      <w:lvlText w:val="%1."/>
      <w:lvlJc w:val="left"/>
      <w:pPr>
        <w:ind w:left="2055" w:hanging="360"/>
      </w:pPr>
    </w:lvl>
    <w:lvl w:ilvl="1" w:tplc="20000019" w:tentative="1">
      <w:start w:val="1"/>
      <w:numFmt w:val="lowerLetter"/>
      <w:lvlText w:val="%2."/>
      <w:lvlJc w:val="left"/>
      <w:pPr>
        <w:ind w:left="2775" w:hanging="360"/>
      </w:pPr>
    </w:lvl>
    <w:lvl w:ilvl="2" w:tplc="2000001B" w:tentative="1">
      <w:start w:val="1"/>
      <w:numFmt w:val="lowerRoman"/>
      <w:lvlText w:val="%3."/>
      <w:lvlJc w:val="right"/>
      <w:pPr>
        <w:ind w:left="3495" w:hanging="180"/>
      </w:pPr>
    </w:lvl>
    <w:lvl w:ilvl="3" w:tplc="2000000F" w:tentative="1">
      <w:start w:val="1"/>
      <w:numFmt w:val="decimal"/>
      <w:lvlText w:val="%4."/>
      <w:lvlJc w:val="left"/>
      <w:pPr>
        <w:ind w:left="4215" w:hanging="360"/>
      </w:pPr>
    </w:lvl>
    <w:lvl w:ilvl="4" w:tplc="20000019" w:tentative="1">
      <w:start w:val="1"/>
      <w:numFmt w:val="lowerLetter"/>
      <w:lvlText w:val="%5."/>
      <w:lvlJc w:val="left"/>
      <w:pPr>
        <w:ind w:left="4935" w:hanging="360"/>
      </w:pPr>
    </w:lvl>
    <w:lvl w:ilvl="5" w:tplc="2000001B" w:tentative="1">
      <w:start w:val="1"/>
      <w:numFmt w:val="lowerRoman"/>
      <w:lvlText w:val="%6."/>
      <w:lvlJc w:val="right"/>
      <w:pPr>
        <w:ind w:left="5655" w:hanging="180"/>
      </w:pPr>
    </w:lvl>
    <w:lvl w:ilvl="6" w:tplc="2000000F" w:tentative="1">
      <w:start w:val="1"/>
      <w:numFmt w:val="decimal"/>
      <w:lvlText w:val="%7."/>
      <w:lvlJc w:val="left"/>
      <w:pPr>
        <w:ind w:left="6375" w:hanging="360"/>
      </w:pPr>
    </w:lvl>
    <w:lvl w:ilvl="7" w:tplc="20000019" w:tentative="1">
      <w:start w:val="1"/>
      <w:numFmt w:val="lowerLetter"/>
      <w:lvlText w:val="%8."/>
      <w:lvlJc w:val="left"/>
      <w:pPr>
        <w:ind w:left="7095" w:hanging="360"/>
      </w:pPr>
    </w:lvl>
    <w:lvl w:ilvl="8" w:tplc="2000001B" w:tentative="1">
      <w:start w:val="1"/>
      <w:numFmt w:val="lowerRoman"/>
      <w:lvlText w:val="%9."/>
      <w:lvlJc w:val="right"/>
      <w:pPr>
        <w:ind w:left="7815" w:hanging="180"/>
      </w:pPr>
    </w:lvl>
  </w:abstractNum>
  <w:abstractNum w:abstractNumId="9" w15:restartNumberingAfterBreak="0">
    <w:nsid w:val="30E86DC4"/>
    <w:multiLevelType w:val="hybridMultilevel"/>
    <w:tmpl w:val="B442BC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AB02DC6"/>
    <w:multiLevelType w:val="hybridMultilevel"/>
    <w:tmpl w:val="3B5C8564"/>
    <w:lvl w:ilvl="0" w:tplc="20000019">
      <w:start w:val="1"/>
      <w:numFmt w:val="lowerLetter"/>
      <w:lvlText w:val="%1."/>
      <w:lvlJc w:val="left"/>
      <w:pPr>
        <w:ind w:left="840" w:hanging="360"/>
      </w:pPr>
    </w:lvl>
    <w:lvl w:ilvl="1" w:tplc="20000019" w:tentative="1">
      <w:start w:val="1"/>
      <w:numFmt w:val="lowerLetter"/>
      <w:lvlText w:val="%2."/>
      <w:lvlJc w:val="left"/>
      <w:pPr>
        <w:ind w:left="1560" w:hanging="360"/>
      </w:pPr>
    </w:lvl>
    <w:lvl w:ilvl="2" w:tplc="2000001B" w:tentative="1">
      <w:start w:val="1"/>
      <w:numFmt w:val="lowerRoman"/>
      <w:lvlText w:val="%3."/>
      <w:lvlJc w:val="right"/>
      <w:pPr>
        <w:ind w:left="2280" w:hanging="180"/>
      </w:pPr>
    </w:lvl>
    <w:lvl w:ilvl="3" w:tplc="2000000F" w:tentative="1">
      <w:start w:val="1"/>
      <w:numFmt w:val="decimal"/>
      <w:lvlText w:val="%4."/>
      <w:lvlJc w:val="left"/>
      <w:pPr>
        <w:ind w:left="3000" w:hanging="360"/>
      </w:pPr>
    </w:lvl>
    <w:lvl w:ilvl="4" w:tplc="20000019" w:tentative="1">
      <w:start w:val="1"/>
      <w:numFmt w:val="lowerLetter"/>
      <w:lvlText w:val="%5."/>
      <w:lvlJc w:val="left"/>
      <w:pPr>
        <w:ind w:left="3720" w:hanging="360"/>
      </w:pPr>
    </w:lvl>
    <w:lvl w:ilvl="5" w:tplc="2000001B" w:tentative="1">
      <w:start w:val="1"/>
      <w:numFmt w:val="lowerRoman"/>
      <w:lvlText w:val="%6."/>
      <w:lvlJc w:val="right"/>
      <w:pPr>
        <w:ind w:left="4440" w:hanging="180"/>
      </w:pPr>
    </w:lvl>
    <w:lvl w:ilvl="6" w:tplc="2000000F" w:tentative="1">
      <w:start w:val="1"/>
      <w:numFmt w:val="decimal"/>
      <w:lvlText w:val="%7."/>
      <w:lvlJc w:val="left"/>
      <w:pPr>
        <w:ind w:left="5160" w:hanging="360"/>
      </w:pPr>
    </w:lvl>
    <w:lvl w:ilvl="7" w:tplc="20000019" w:tentative="1">
      <w:start w:val="1"/>
      <w:numFmt w:val="lowerLetter"/>
      <w:lvlText w:val="%8."/>
      <w:lvlJc w:val="left"/>
      <w:pPr>
        <w:ind w:left="5880" w:hanging="360"/>
      </w:pPr>
    </w:lvl>
    <w:lvl w:ilvl="8" w:tplc="2000001B" w:tentative="1">
      <w:start w:val="1"/>
      <w:numFmt w:val="lowerRoman"/>
      <w:lvlText w:val="%9."/>
      <w:lvlJc w:val="right"/>
      <w:pPr>
        <w:ind w:left="660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79711C"/>
    <w:multiLevelType w:val="hybridMultilevel"/>
    <w:tmpl w:val="04CE9236"/>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A66500"/>
    <w:multiLevelType w:val="hybridMultilevel"/>
    <w:tmpl w:val="07DCE2DE"/>
    <w:lvl w:ilvl="0" w:tplc="20000001">
      <w:start w:val="1"/>
      <w:numFmt w:val="bullet"/>
      <w:lvlText w:val=""/>
      <w:lvlJc w:val="left"/>
      <w:pPr>
        <w:ind w:left="900" w:hanging="360"/>
      </w:pPr>
      <w:rPr>
        <w:rFonts w:ascii="Symbol" w:hAnsi="Symbol"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17" w15:restartNumberingAfterBreak="0">
    <w:nsid w:val="5D2C193C"/>
    <w:multiLevelType w:val="hybridMultilevel"/>
    <w:tmpl w:val="75E6650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661E4698"/>
    <w:multiLevelType w:val="hybridMultilevel"/>
    <w:tmpl w:val="5B00A8BA"/>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662C6F"/>
    <w:multiLevelType w:val="hybridMultilevel"/>
    <w:tmpl w:val="0DA6F182"/>
    <w:lvl w:ilvl="0" w:tplc="2000001B">
      <w:start w:val="1"/>
      <w:numFmt w:val="lowerRoman"/>
      <w:lvlText w:val="%1."/>
      <w:lvlJc w:val="righ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6844F8"/>
    <w:multiLevelType w:val="hybridMultilevel"/>
    <w:tmpl w:val="55343F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E583753"/>
    <w:multiLevelType w:val="hybridMultilevel"/>
    <w:tmpl w:val="EFF42CFC"/>
    <w:lvl w:ilvl="0" w:tplc="83DAE08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93395018">
    <w:abstractNumId w:val="19"/>
  </w:num>
  <w:num w:numId="2" w16cid:durableId="753091004">
    <w:abstractNumId w:val="15"/>
  </w:num>
  <w:num w:numId="3" w16cid:durableId="70276019">
    <w:abstractNumId w:val="6"/>
  </w:num>
  <w:num w:numId="4" w16cid:durableId="1900510654">
    <w:abstractNumId w:val="2"/>
  </w:num>
  <w:num w:numId="5" w16cid:durableId="1787390066">
    <w:abstractNumId w:val="23"/>
  </w:num>
  <w:num w:numId="6" w16cid:durableId="785662243">
    <w:abstractNumId w:val="22"/>
  </w:num>
  <w:num w:numId="7" w16cid:durableId="601493018">
    <w:abstractNumId w:val="20"/>
  </w:num>
  <w:num w:numId="8" w16cid:durableId="1082992048">
    <w:abstractNumId w:val="3"/>
  </w:num>
  <w:num w:numId="9" w16cid:durableId="1940597934">
    <w:abstractNumId w:val="4"/>
  </w:num>
  <w:num w:numId="10" w16cid:durableId="1396969143">
    <w:abstractNumId w:val="13"/>
  </w:num>
  <w:num w:numId="11" w16cid:durableId="350575198">
    <w:abstractNumId w:val="0"/>
  </w:num>
  <w:num w:numId="12" w16cid:durableId="1251432562">
    <w:abstractNumId w:val="10"/>
  </w:num>
  <w:num w:numId="13" w16cid:durableId="223419924">
    <w:abstractNumId w:val="11"/>
  </w:num>
  <w:num w:numId="14" w16cid:durableId="864640719">
    <w:abstractNumId w:val="1"/>
  </w:num>
  <w:num w:numId="15" w16cid:durableId="1024937623">
    <w:abstractNumId w:val="21"/>
  </w:num>
  <w:num w:numId="16" w16cid:durableId="1137381137">
    <w:abstractNumId w:val="5"/>
  </w:num>
  <w:num w:numId="17" w16cid:durableId="1769034773">
    <w:abstractNumId w:val="12"/>
  </w:num>
  <w:num w:numId="18" w16cid:durableId="384792214">
    <w:abstractNumId w:val="25"/>
  </w:num>
  <w:num w:numId="19" w16cid:durableId="317198297">
    <w:abstractNumId w:val="24"/>
  </w:num>
  <w:num w:numId="20" w16cid:durableId="1572808156">
    <w:abstractNumId w:val="16"/>
  </w:num>
  <w:num w:numId="21" w16cid:durableId="430275647">
    <w:abstractNumId w:val="17"/>
  </w:num>
  <w:num w:numId="22" w16cid:durableId="937908254">
    <w:abstractNumId w:val="14"/>
  </w:num>
  <w:num w:numId="23" w16cid:durableId="770978503">
    <w:abstractNumId w:val="7"/>
  </w:num>
  <w:num w:numId="24" w16cid:durableId="2085058642">
    <w:abstractNumId w:val="8"/>
  </w:num>
  <w:num w:numId="25" w16cid:durableId="1648586349">
    <w:abstractNumId w:val="9"/>
  </w:num>
  <w:num w:numId="26" w16cid:durableId="61232434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2D3"/>
    <w:rsid w:val="000077DD"/>
    <w:rsid w:val="00007B04"/>
    <w:rsid w:val="00010BA0"/>
    <w:rsid w:val="00011778"/>
    <w:rsid w:val="00020557"/>
    <w:rsid w:val="000232A1"/>
    <w:rsid w:val="000250C7"/>
    <w:rsid w:val="00025CCF"/>
    <w:rsid w:val="000300E0"/>
    <w:rsid w:val="0003114A"/>
    <w:rsid w:val="00031763"/>
    <w:rsid w:val="00031AE7"/>
    <w:rsid w:val="000352C1"/>
    <w:rsid w:val="0003619C"/>
    <w:rsid w:val="00037621"/>
    <w:rsid w:val="00044D46"/>
    <w:rsid w:val="00045088"/>
    <w:rsid w:val="00045904"/>
    <w:rsid w:val="000464F7"/>
    <w:rsid w:val="00047513"/>
    <w:rsid w:val="0005141D"/>
    <w:rsid w:val="00060E02"/>
    <w:rsid w:val="000650F6"/>
    <w:rsid w:val="00065166"/>
    <w:rsid w:val="00067A88"/>
    <w:rsid w:val="00070B92"/>
    <w:rsid w:val="00073474"/>
    <w:rsid w:val="00077D49"/>
    <w:rsid w:val="00081A5C"/>
    <w:rsid w:val="00082609"/>
    <w:rsid w:val="000851CC"/>
    <w:rsid w:val="000870A2"/>
    <w:rsid w:val="00093BE8"/>
    <w:rsid w:val="000A1042"/>
    <w:rsid w:val="000A353D"/>
    <w:rsid w:val="000A68ED"/>
    <w:rsid w:val="000B4FEB"/>
    <w:rsid w:val="000B5FF1"/>
    <w:rsid w:val="000B609F"/>
    <w:rsid w:val="000C147F"/>
    <w:rsid w:val="000C6BB9"/>
    <w:rsid w:val="000D32A9"/>
    <w:rsid w:val="000D55A8"/>
    <w:rsid w:val="000D70B5"/>
    <w:rsid w:val="000E4841"/>
    <w:rsid w:val="000E5A0C"/>
    <w:rsid w:val="000E6325"/>
    <w:rsid w:val="000F1677"/>
    <w:rsid w:val="000F3D6C"/>
    <w:rsid w:val="000F579C"/>
    <w:rsid w:val="00101707"/>
    <w:rsid w:val="00114082"/>
    <w:rsid w:val="0011473D"/>
    <w:rsid w:val="00115C85"/>
    <w:rsid w:val="00120DD9"/>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0334"/>
    <w:rsid w:val="0017257C"/>
    <w:rsid w:val="00176079"/>
    <w:rsid w:val="0017652E"/>
    <w:rsid w:val="00180548"/>
    <w:rsid w:val="00180AC4"/>
    <w:rsid w:val="00180CCE"/>
    <w:rsid w:val="00182648"/>
    <w:rsid w:val="0018267A"/>
    <w:rsid w:val="00182779"/>
    <w:rsid w:val="001830DF"/>
    <w:rsid w:val="00190FD2"/>
    <w:rsid w:val="00191195"/>
    <w:rsid w:val="0019229A"/>
    <w:rsid w:val="00192B17"/>
    <w:rsid w:val="001966D9"/>
    <w:rsid w:val="001A24E7"/>
    <w:rsid w:val="001A2B78"/>
    <w:rsid w:val="001A7E9A"/>
    <w:rsid w:val="001B0F70"/>
    <w:rsid w:val="001B5016"/>
    <w:rsid w:val="001B5E63"/>
    <w:rsid w:val="001C45FC"/>
    <w:rsid w:val="001C6DD9"/>
    <w:rsid w:val="001D02C5"/>
    <w:rsid w:val="001D4862"/>
    <w:rsid w:val="001E1273"/>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4788D"/>
    <w:rsid w:val="00250E19"/>
    <w:rsid w:val="0025386E"/>
    <w:rsid w:val="002545F4"/>
    <w:rsid w:val="00257437"/>
    <w:rsid w:val="002638B0"/>
    <w:rsid w:val="00264FFF"/>
    <w:rsid w:val="002650D7"/>
    <w:rsid w:val="002654E8"/>
    <w:rsid w:val="0026647A"/>
    <w:rsid w:val="002668D3"/>
    <w:rsid w:val="002675BE"/>
    <w:rsid w:val="0027299F"/>
    <w:rsid w:val="00276913"/>
    <w:rsid w:val="0028135B"/>
    <w:rsid w:val="00282480"/>
    <w:rsid w:val="00284EBE"/>
    <w:rsid w:val="00286BE9"/>
    <w:rsid w:val="0029433F"/>
    <w:rsid w:val="00294829"/>
    <w:rsid w:val="00294F3B"/>
    <w:rsid w:val="0029690F"/>
    <w:rsid w:val="002A1EEC"/>
    <w:rsid w:val="002A2A60"/>
    <w:rsid w:val="002A6AE0"/>
    <w:rsid w:val="002B1C45"/>
    <w:rsid w:val="002B4C33"/>
    <w:rsid w:val="002B5AED"/>
    <w:rsid w:val="002B7CC8"/>
    <w:rsid w:val="002C13C8"/>
    <w:rsid w:val="002C2930"/>
    <w:rsid w:val="002C3547"/>
    <w:rsid w:val="002D0021"/>
    <w:rsid w:val="002D328D"/>
    <w:rsid w:val="002D3473"/>
    <w:rsid w:val="002D5C95"/>
    <w:rsid w:val="002E00F8"/>
    <w:rsid w:val="002E1BB5"/>
    <w:rsid w:val="002E2322"/>
    <w:rsid w:val="002E34C7"/>
    <w:rsid w:val="002E38E2"/>
    <w:rsid w:val="002F1956"/>
    <w:rsid w:val="002F3440"/>
    <w:rsid w:val="002F4EC0"/>
    <w:rsid w:val="002F71BE"/>
    <w:rsid w:val="002F75A3"/>
    <w:rsid w:val="002F78CA"/>
    <w:rsid w:val="00303C2F"/>
    <w:rsid w:val="0030614E"/>
    <w:rsid w:val="00312911"/>
    <w:rsid w:val="003144EF"/>
    <w:rsid w:val="003148CA"/>
    <w:rsid w:val="00315506"/>
    <w:rsid w:val="00322F3B"/>
    <w:rsid w:val="00323FC1"/>
    <w:rsid w:val="00326292"/>
    <w:rsid w:val="00326415"/>
    <w:rsid w:val="00330937"/>
    <w:rsid w:val="00330F31"/>
    <w:rsid w:val="0033442A"/>
    <w:rsid w:val="00334648"/>
    <w:rsid w:val="0033768C"/>
    <w:rsid w:val="00337938"/>
    <w:rsid w:val="003400FB"/>
    <w:rsid w:val="00340769"/>
    <w:rsid w:val="00341AA6"/>
    <w:rsid w:val="0034238F"/>
    <w:rsid w:val="00342459"/>
    <w:rsid w:val="003427B9"/>
    <w:rsid w:val="00346B16"/>
    <w:rsid w:val="00361A0A"/>
    <w:rsid w:val="0036565C"/>
    <w:rsid w:val="0036625E"/>
    <w:rsid w:val="0036760B"/>
    <w:rsid w:val="003741F8"/>
    <w:rsid w:val="0037465A"/>
    <w:rsid w:val="0037544E"/>
    <w:rsid w:val="00380BAB"/>
    <w:rsid w:val="00382C98"/>
    <w:rsid w:val="0038478D"/>
    <w:rsid w:val="0038533C"/>
    <w:rsid w:val="00386568"/>
    <w:rsid w:val="00387106"/>
    <w:rsid w:val="00391F3E"/>
    <w:rsid w:val="003948D5"/>
    <w:rsid w:val="003960AF"/>
    <w:rsid w:val="00396821"/>
    <w:rsid w:val="00397D3A"/>
    <w:rsid w:val="003A051E"/>
    <w:rsid w:val="003A2FEE"/>
    <w:rsid w:val="003A446D"/>
    <w:rsid w:val="003B1310"/>
    <w:rsid w:val="003B170F"/>
    <w:rsid w:val="003B3C5F"/>
    <w:rsid w:val="003B5782"/>
    <w:rsid w:val="003B7C1E"/>
    <w:rsid w:val="003C089D"/>
    <w:rsid w:val="003C4471"/>
    <w:rsid w:val="003C66B1"/>
    <w:rsid w:val="003D0A6D"/>
    <w:rsid w:val="003E0B16"/>
    <w:rsid w:val="003E3427"/>
    <w:rsid w:val="003E67D1"/>
    <w:rsid w:val="00405DC1"/>
    <w:rsid w:val="0040710D"/>
    <w:rsid w:val="00407753"/>
    <w:rsid w:val="0041139B"/>
    <w:rsid w:val="004137C3"/>
    <w:rsid w:val="00413D3A"/>
    <w:rsid w:val="00415972"/>
    <w:rsid w:val="00415F1F"/>
    <w:rsid w:val="00417A96"/>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6A56"/>
    <w:rsid w:val="00476C0F"/>
    <w:rsid w:val="004872D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C19"/>
    <w:rsid w:val="004E2E92"/>
    <w:rsid w:val="004E30B0"/>
    <w:rsid w:val="004E622C"/>
    <w:rsid w:val="004F5FDF"/>
    <w:rsid w:val="0050157D"/>
    <w:rsid w:val="005055E0"/>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6CB8"/>
    <w:rsid w:val="00553EB2"/>
    <w:rsid w:val="00556777"/>
    <w:rsid w:val="0055688E"/>
    <w:rsid w:val="00560534"/>
    <w:rsid w:val="0056299C"/>
    <w:rsid w:val="0056391B"/>
    <w:rsid w:val="005650E2"/>
    <w:rsid w:val="00565292"/>
    <w:rsid w:val="0056535A"/>
    <w:rsid w:val="00565DEE"/>
    <w:rsid w:val="005670D7"/>
    <w:rsid w:val="00567AD7"/>
    <w:rsid w:val="00567F31"/>
    <w:rsid w:val="0057327A"/>
    <w:rsid w:val="00573E73"/>
    <w:rsid w:val="00575B2D"/>
    <w:rsid w:val="005833D0"/>
    <w:rsid w:val="005846F3"/>
    <w:rsid w:val="0058622F"/>
    <w:rsid w:val="00587461"/>
    <w:rsid w:val="00590023"/>
    <w:rsid w:val="00592AEE"/>
    <w:rsid w:val="00592F82"/>
    <w:rsid w:val="00594495"/>
    <w:rsid w:val="005A0CCA"/>
    <w:rsid w:val="005A726D"/>
    <w:rsid w:val="005B4940"/>
    <w:rsid w:val="005B67AC"/>
    <w:rsid w:val="005C2C94"/>
    <w:rsid w:val="005C36BC"/>
    <w:rsid w:val="005C4865"/>
    <w:rsid w:val="005D43E0"/>
    <w:rsid w:val="005D52EA"/>
    <w:rsid w:val="005D58A3"/>
    <w:rsid w:val="005E1B79"/>
    <w:rsid w:val="005E5C28"/>
    <w:rsid w:val="005E7940"/>
    <w:rsid w:val="005F026D"/>
    <w:rsid w:val="005F21F4"/>
    <w:rsid w:val="005F2D0B"/>
    <w:rsid w:val="005F4B31"/>
    <w:rsid w:val="006021E1"/>
    <w:rsid w:val="00610388"/>
    <w:rsid w:val="00610C2A"/>
    <w:rsid w:val="00612CA5"/>
    <w:rsid w:val="006153EC"/>
    <w:rsid w:val="00621A17"/>
    <w:rsid w:val="00622586"/>
    <w:rsid w:val="00622C2B"/>
    <w:rsid w:val="00622DCB"/>
    <w:rsid w:val="00627CC9"/>
    <w:rsid w:val="00627E7B"/>
    <w:rsid w:val="00630542"/>
    <w:rsid w:val="00631C7A"/>
    <w:rsid w:val="00632E44"/>
    <w:rsid w:val="00634622"/>
    <w:rsid w:val="00636808"/>
    <w:rsid w:val="00641002"/>
    <w:rsid w:val="00641515"/>
    <w:rsid w:val="00651AE3"/>
    <w:rsid w:val="00653AFF"/>
    <w:rsid w:val="00654C2F"/>
    <w:rsid w:val="00657087"/>
    <w:rsid w:val="0066252C"/>
    <w:rsid w:val="006661EF"/>
    <w:rsid w:val="00670F1F"/>
    <w:rsid w:val="0067294B"/>
    <w:rsid w:val="00677736"/>
    <w:rsid w:val="0067785F"/>
    <w:rsid w:val="00677AEB"/>
    <w:rsid w:val="00680EF2"/>
    <w:rsid w:val="006839C2"/>
    <w:rsid w:val="00687A1D"/>
    <w:rsid w:val="00691B27"/>
    <w:rsid w:val="006920CC"/>
    <w:rsid w:val="00692AB2"/>
    <w:rsid w:val="0069647C"/>
    <w:rsid w:val="00697EA1"/>
    <w:rsid w:val="006A1850"/>
    <w:rsid w:val="006A2646"/>
    <w:rsid w:val="006A3DF0"/>
    <w:rsid w:val="006A6530"/>
    <w:rsid w:val="006B435A"/>
    <w:rsid w:val="006B4C64"/>
    <w:rsid w:val="006B4FFC"/>
    <w:rsid w:val="006D0E6E"/>
    <w:rsid w:val="006D58C2"/>
    <w:rsid w:val="006D6BD5"/>
    <w:rsid w:val="006D6CB7"/>
    <w:rsid w:val="006E0487"/>
    <w:rsid w:val="006E481A"/>
    <w:rsid w:val="006E5298"/>
    <w:rsid w:val="006F2CE3"/>
    <w:rsid w:val="006F4461"/>
    <w:rsid w:val="006F6981"/>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415F3"/>
    <w:rsid w:val="00751F66"/>
    <w:rsid w:val="007560FB"/>
    <w:rsid w:val="007603F5"/>
    <w:rsid w:val="00764DB0"/>
    <w:rsid w:val="00766B20"/>
    <w:rsid w:val="00766F8A"/>
    <w:rsid w:val="0076764D"/>
    <w:rsid w:val="00773862"/>
    <w:rsid w:val="0077498C"/>
    <w:rsid w:val="00777183"/>
    <w:rsid w:val="00784128"/>
    <w:rsid w:val="00784B4B"/>
    <w:rsid w:val="007854ED"/>
    <w:rsid w:val="00793173"/>
    <w:rsid w:val="007A2C2A"/>
    <w:rsid w:val="007B3AC7"/>
    <w:rsid w:val="007B497A"/>
    <w:rsid w:val="007B4CAD"/>
    <w:rsid w:val="007C1FCC"/>
    <w:rsid w:val="007C32A8"/>
    <w:rsid w:val="007C3FE5"/>
    <w:rsid w:val="007C6201"/>
    <w:rsid w:val="007C6988"/>
    <w:rsid w:val="007D28A1"/>
    <w:rsid w:val="007D3F79"/>
    <w:rsid w:val="007D4A08"/>
    <w:rsid w:val="007D511F"/>
    <w:rsid w:val="007D7C92"/>
    <w:rsid w:val="007E1154"/>
    <w:rsid w:val="007E316F"/>
    <w:rsid w:val="007E5F3C"/>
    <w:rsid w:val="007E6BA4"/>
    <w:rsid w:val="007E7678"/>
    <w:rsid w:val="007F41F8"/>
    <w:rsid w:val="007F60D0"/>
    <w:rsid w:val="0080454E"/>
    <w:rsid w:val="00804C32"/>
    <w:rsid w:val="00805A0F"/>
    <w:rsid w:val="00806302"/>
    <w:rsid w:val="00807119"/>
    <w:rsid w:val="008127AA"/>
    <w:rsid w:val="00817D57"/>
    <w:rsid w:val="00822764"/>
    <w:rsid w:val="008241C4"/>
    <w:rsid w:val="0082483F"/>
    <w:rsid w:val="008264CB"/>
    <w:rsid w:val="008279C0"/>
    <w:rsid w:val="008340DE"/>
    <w:rsid w:val="00835FD1"/>
    <w:rsid w:val="0084683C"/>
    <w:rsid w:val="008512FA"/>
    <w:rsid w:val="00853A74"/>
    <w:rsid w:val="008559B1"/>
    <w:rsid w:val="00857763"/>
    <w:rsid w:val="00860E61"/>
    <w:rsid w:val="00862F01"/>
    <w:rsid w:val="00867A8F"/>
    <w:rsid w:val="008723F3"/>
    <w:rsid w:val="00881DE6"/>
    <w:rsid w:val="008837A6"/>
    <w:rsid w:val="008842F1"/>
    <w:rsid w:val="0089145D"/>
    <w:rsid w:val="0089422E"/>
    <w:rsid w:val="008A0C6E"/>
    <w:rsid w:val="008A46CF"/>
    <w:rsid w:val="008A4DF2"/>
    <w:rsid w:val="008A6CFE"/>
    <w:rsid w:val="008A7470"/>
    <w:rsid w:val="008B1A08"/>
    <w:rsid w:val="008B2DE3"/>
    <w:rsid w:val="008B5333"/>
    <w:rsid w:val="008B6223"/>
    <w:rsid w:val="008C66E0"/>
    <w:rsid w:val="008D0B4F"/>
    <w:rsid w:val="008D1CE6"/>
    <w:rsid w:val="008E29DA"/>
    <w:rsid w:val="008E2DFA"/>
    <w:rsid w:val="008E3339"/>
    <w:rsid w:val="008E549B"/>
    <w:rsid w:val="008F0FC3"/>
    <w:rsid w:val="008F18EF"/>
    <w:rsid w:val="008F20FC"/>
    <w:rsid w:val="008F2B24"/>
    <w:rsid w:val="008F5FFE"/>
    <w:rsid w:val="0090421A"/>
    <w:rsid w:val="00905A43"/>
    <w:rsid w:val="00907DC2"/>
    <w:rsid w:val="009122D5"/>
    <w:rsid w:val="00912C79"/>
    <w:rsid w:val="009260A2"/>
    <w:rsid w:val="00942123"/>
    <w:rsid w:val="00951031"/>
    <w:rsid w:val="0095207B"/>
    <w:rsid w:val="00954461"/>
    <w:rsid w:val="00956085"/>
    <w:rsid w:val="00957951"/>
    <w:rsid w:val="00962045"/>
    <w:rsid w:val="00967EDA"/>
    <w:rsid w:val="00970897"/>
    <w:rsid w:val="00980314"/>
    <w:rsid w:val="009816D0"/>
    <w:rsid w:val="00984DA6"/>
    <w:rsid w:val="00991428"/>
    <w:rsid w:val="00992676"/>
    <w:rsid w:val="00996691"/>
    <w:rsid w:val="00997832"/>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0539F"/>
    <w:rsid w:val="00A114EA"/>
    <w:rsid w:val="00A11555"/>
    <w:rsid w:val="00A11EF5"/>
    <w:rsid w:val="00A153F7"/>
    <w:rsid w:val="00A2274A"/>
    <w:rsid w:val="00A235B7"/>
    <w:rsid w:val="00A27A7A"/>
    <w:rsid w:val="00A407EF"/>
    <w:rsid w:val="00A42A95"/>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E4302"/>
    <w:rsid w:val="00AF228E"/>
    <w:rsid w:val="00B04137"/>
    <w:rsid w:val="00B1112C"/>
    <w:rsid w:val="00B11D19"/>
    <w:rsid w:val="00B12936"/>
    <w:rsid w:val="00B14819"/>
    <w:rsid w:val="00B17AA9"/>
    <w:rsid w:val="00B22301"/>
    <w:rsid w:val="00B32DE4"/>
    <w:rsid w:val="00B33578"/>
    <w:rsid w:val="00B370C3"/>
    <w:rsid w:val="00B40469"/>
    <w:rsid w:val="00B411AE"/>
    <w:rsid w:val="00B46CE2"/>
    <w:rsid w:val="00B55483"/>
    <w:rsid w:val="00B60190"/>
    <w:rsid w:val="00B602BA"/>
    <w:rsid w:val="00B61419"/>
    <w:rsid w:val="00B61D01"/>
    <w:rsid w:val="00B66B3F"/>
    <w:rsid w:val="00B72F5F"/>
    <w:rsid w:val="00B736DF"/>
    <w:rsid w:val="00B74FBD"/>
    <w:rsid w:val="00B77352"/>
    <w:rsid w:val="00B82586"/>
    <w:rsid w:val="00B829A3"/>
    <w:rsid w:val="00B86DB1"/>
    <w:rsid w:val="00B87869"/>
    <w:rsid w:val="00BA0E44"/>
    <w:rsid w:val="00BA47C5"/>
    <w:rsid w:val="00BB0F2B"/>
    <w:rsid w:val="00BC788C"/>
    <w:rsid w:val="00BD0D57"/>
    <w:rsid w:val="00BE1A50"/>
    <w:rsid w:val="00BF2E05"/>
    <w:rsid w:val="00BF2F58"/>
    <w:rsid w:val="00BF50F7"/>
    <w:rsid w:val="00C02742"/>
    <w:rsid w:val="00C02F29"/>
    <w:rsid w:val="00C03817"/>
    <w:rsid w:val="00C10C13"/>
    <w:rsid w:val="00C17111"/>
    <w:rsid w:val="00C20747"/>
    <w:rsid w:val="00C20AFE"/>
    <w:rsid w:val="00C22A25"/>
    <w:rsid w:val="00C23A1D"/>
    <w:rsid w:val="00C23B79"/>
    <w:rsid w:val="00C270C5"/>
    <w:rsid w:val="00C33D50"/>
    <w:rsid w:val="00C35671"/>
    <w:rsid w:val="00C35B77"/>
    <w:rsid w:val="00C3696F"/>
    <w:rsid w:val="00C370D3"/>
    <w:rsid w:val="00C376EB"/>
    <w:rsid w:val="00C4003A"/>
    <w:rsid w:val="00C46EC1"/>
    <w:rsid w:val="00C504E5"/>
    <w:rsid w:val="00C53E2C"/>
    <w:rsid w:val="00C550C8"/>
    <w:rsid w:val="00C56B61"/>
    <w:rsid w:val="00C606C3"/>
    <w:rsid w:val="00C60E6B"/>
    <w:rsid w:val="00C620F4"/>
    <w:rsid w:val="00C668B6"/>
    <w:rsid w:val="00C67A18"/>
    <w:rsid w:val="00C67ECE"/>
    <w:rsid w:val="00C7161B"/>
    <w:rsid w:val="00C72848"/>
    <w:rsid w:val="00C76854"/>
    <w:rsid w:val="00C7736C"/>
    <w:rsid w:val="00C82D87"/>
    <w:rsid w:val="00C841ED"/>
    <w:rsid w:val="00C85F17"/>
    <w:rsid w:val="00C8712A"/>
    <w:rsid w:val="00C91324"/>
    <w:rsid w:val="00C914F7"/>
    <w:rsid w:val="00C963D3"/>
    <w:rsid w:val="00CA6E0D"/>
    <w:rsid w:val="00CB2CBB"/>
    <w:rsid w:val="00CB56CE"/>
    <w:rsid w:val="00CB7CAC"/>
    <w:rsid w:val="00CC0EA0"/>
    <w:rsid w:val="00CC2D68"/>
    <w:rsid w:val="00CC5335"/>
    <w:rsid w:val="00CC5BA4"/>
    <w:rsid w:val="00CC70BB"/>
    <w:rsid w:val="00CD3420"/>
    <w:rsid w:val="00CD4998"/>
    <w:rsid w:val="00CE1035"/>
    <w:rsid w:val="00CF2819"/>
    <w:rsid w:val="00CF4F9D"/>
    <w:rsid w:val="00CF70DC"/>
    <w:rsid w:val="00D148DC"/>
    <w:rsid w:val="00D17FDC"/>
    <w:rsid w:val="00D20505"/>
    <w:rsid w:val="00D23A3A"/>
    <w:rsid w:val="00D323D5"/>
    <w:rsid w:val="00D330A3"/>
    <w:rsid w:val="00D412CA"/>
    <w:rsid w:val="00D444C5"/>
    <w:rsid w:val="00D45AEA"/>
    <w:rsid w:val="00D5244F"/>
    <w:rsid w:val="00D52E4F"/>
    <w:rsid w:val="00D56A37"/>
    <w:rsid w:val="00D57202"/>
    <w:rsid w:val="00D6386E"/>
    <w:rsid w:val="00D63EFD"/>
    <w:rsid w:val="00D64826"/>
    <w:rsid w:val="00D80DF2"/>
    <w:rsid w:val="00D81CE7"/>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3DE4"/>
    <w:rsid w:val="00DC4420"/>
    <w:rsid w:val="00DD0802"/>
    <w:rsid w:val="00DD0A50"/>
    <w:rsid w:val="00DD2E11"/>
    <w:rsid w:val="00DE03AF"/>
    <w:rsid w:val="00DE121C"/>
    <w:rsid w:val="00DE2A27"/>
    <w:rsid w:val="00DE3705"/>
    <w:rsid w:val="00DE6633"/>
    <w:rsid w:val="00DF0648"/>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0D1D"/>
    <w:rsid w:val="00E450A4"/>
    <w:rsid w:val="00E47283"/>
    <w:rsid w:val="00E506BE"/>
    <w:rsid w:val="00E51862"/>
    <w:rsid w:val="00E55547"/>
    <w:rsid w:val="00E57410"/>
    <w:rsid w:val="00E579EB"/>
    <w:rsid w:val="00E6302B"/>
    <w:rsid w:val="00E6452F"/>
    <w:rsid w:val="00E64619"/>
    <w:rsid w:val="00E64F45"/>
    <w:rsid w:val="00E6742D"/>
    <w:rsid w:val="00E71CB0"/>
    <w:rsid w:val="00E73529"/>
    <w:rsid w:val="00E77C3D"/>
    <w:rsid w:val="00E82E22"/>
    <w:rsid w:val="00E850FE"/>
    <w:rsid w:val="00E861C0"/>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E67F5"/>
    <w:rsid w:val="00EF090E"/>
    <w:rsid w:val="00F01B1E"/>
    <w:rsid w:val="00F033DA"/>
    <w:rsid w:val="00F05DEB"/>
    <w:rsid w:val="00F1040F"/>
    <w:rsid w:val="00F11AAB"/>
    <w:rsid w:val="00F13FB1"/>
    <w:rsid w:val="00F15C03"/>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779C7"/>
    <w:rsid w:val="00F80C6E"/>
    <w:rsid w:val="00F83E76"/>
    <w:rsid w:val="00F87BEA"/>
    <w:rsid w:val="00F90A57"/>
    <w:rsid w:val="00F97C5B"/>
    <w:rsid w:val="00FA05D2"/>
    <w:rsid w:val="00FA359A"/>
    <w:rsid w:val="00FA3D50"/>
    <w:rsid w:val="00FB009F"/>
    <w:rsid w:val="00FB25B0"/>
    <w:rsid w:val="00FB6136"/>
    <w:rsid w:val="00FC374A"/>
    <w:rsid w:val="00FC74CD"/>
    <w:rsid w:val="00FC7B47"/>
    <w:rsid w:val="00FD035C"/>
    <w:rsid w:val="00FD1A35"/>
    <w:rsid w:val="00FD1FE6"/>
    <w:rsid w:val="00FD36C5"/>
    <w:rsid w:val="00FD428C"/>
    <w:rsid w:val="00FD6310"/>
    <w:rsid w:val="00FD7C7B"/>
    <w:rsid w:val="00FD7FD0"/>
    <w:rsid w:val="00FE1D12"/>
    <w:rsid w:val="00FE2122"/>
    <w:rsid w:val="00FE2A86"/>
    <w:rsid w:val="00FE6FF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6037-E158-449B-A4EC-8FABCDFD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6801</Words>
  <Characters>38768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Chipo Gaobatwe</cp:lastModifiedBy>
  <cp:revision>2</cp:revision>
  <cp:lastPrinted>2019-08-27T05:42:00Z</cp:lastPrinted>
  <dcterms:created xsi:type="dcterms:W3CDTF">2023-01-16T10:29:00Z</dcterms:created>
  <dcterms:modified xsi:type="dcterms:W3CDTF">2023-01-16T10:29:00Z</dcterms:modified>
</cp:coreProperties>
</file>