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w:t>
      </w:r>
      <w:proofErr w:type="gramStart"/>
      <w:r w:rsidRPr="00310533">
        <w:rPr>
          <w:rFonts w:ascii="Avenir Next" w:hAnsi="Avenir Next" w:cs="Arial"/>
          <w:sz w:val="22"/>
          <w:szCs w:val="22"/>
          <w:lang w:val="en-GB"/>
        </w:rPr>
        <w:t>are</w:t>
      </w:r>
      <w:proofErr w:type="gramEnd"/>
      <w:r w:rsidRPr="00310533">
        <w:rPr>
          <w:rFonts w:ascii="Avenir Next" w:hAnsi="Avenir Next"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ED2394" w:rsidRDefault="000F6063" w:rsidP="007E03FA">
      <w:pPr>
        <w:pStyle w:val="ListParagraph"/>
        <w:numPr>
          <w:ilvl w:val="0"/>
          <w:numId w:val="31"/>
        </w:numPr>
        <w:ind w:left="426"/>
        <w:rPr>
          <w:rFonts w:ascii="Avenir Next" w:hAnsi="Avenir Next" w:cs="Arial"/>
          <w:sz w:val="22"/>
          <w:szCs w:val="22"/>
          <w:highlight w:val="yellow"/>
          <w:lang w:val="en-GB"/>
        </w:rPr>
      </w:pPr>
      <w:r w:rsidRPr="00ED2394">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ED2394" w:rsidRDefault="000F6063" w:rsidP="007E03FA">
      <w:pPr>
        <w:pStyle w:val="ListParagraph"/>
        <w:numPr>
          <w:ilvl w:val="0"/>
          <w:numId w:val="31"/>
        </w:numPr>
        <w:ind w:left="426"/>
        <w:rPr>
          <w:rFonts w:ascii="Avenir Next" w:hAnsi="Avenir Next" w:cs="Arial"/>
          <w:sz w:val="22"/>
          <w:szCs w:val="22"/>
          <w:lang w:val="en-GB"/>
        </w:rPr>
      </w:pPr>
      <w:r w:rsidRPr="00ED2394">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087FFE" w:rsidRDefault="000F6063" w:rsidP="007E03FA">
      <w:pPr>
        <w:pStyle w:val="ListParagraph"/>
        <w:numPr>
          <w:ilvl w:val="0"/>
          <w:numId w:val="32"/>
        </w:numPr>
        <w:ind w:left="426"/>
        <w:rPr>
          <w:rFonts w:ascii="Avenir Next" w:hAnsi="Avenir Next" w:cs="Arial"/>
          <w:sz w:val="22"/>
          <w:szCs w:val="22"/>
          <w:highlight w:val="yellow"/>
          <w:lang w:val="en-GB"/>
        </w:rPr>
      </w:pPr>
      <w:r w:rsidRPr="00087FFE">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lastRenderedPageBreak/>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87FFE"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87FFE">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87FFE">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087FFE" w:rsidRDefault="00CB2364" w:rsidP="00924973">
      <w:pPr>
        <w:pStyle w:val="ListParagraph"/>
        <w:numPr>
          <w:ilvl w:val="0"/>
          <w:numId w:val="34"/>
        </w:numPr>
        <w:ind w:left="426"/>
        <w:rPr>
          <w:rFonts w:ascii="Avenir Next" w:hAnsi="Avenir Next" w:cs="Arial"/>
          <w:sz w:val="22"/>
          <w:szCs w:val="22"/>
          <w:highlight w:val="yellow"/>
          <w:lang w:val="en-GB"/>
        </w:rPr>
      </w:pPr>
      <w:r w:rsidRPr="00087FFE">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087FFE" w:rsidRDefault="000F6063" w:rsidP="00924973">
      <w:pPr>
        <w:pStyle w:val="ListParagraph"/>
        <w:numPr>
          <w:ilvl w:val="0"/>
          <w:numId w:val="35"/>
        </w:numPr>
        <w:ind w:left="426"/>
        <w:rPr>
          <w:rFonts w:ascii="Avenir Next" w:hAnsi="Avenir Next" w:cs="Arial"/>
          <w:sz w:val="22"/>
          <w:szCs w:val="22"/>
          <w:highlight w:val="yellow"/>
          <w:lang w:val="en-GB"/>
        </w:rPr>
      </w:pPr>
      <w:r w:rsidRPr="00087FFE">
        <w:rPr>
          <w:rFonts w:ascii="Avenir Next" w:hAnsi="Avenir Next" w:cs="Arial"/>
          <w:sz w:val="22"/>
          <w:szCs w:val="22"/>
          <w:highlight w:val="yellow"/>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087FFE" w:rsidRDefault="00E177F0" w:rsidP="00924973">
      <w:pPr>
        <w:pStyle w:val="ListParagraph"/>
        <w:numPr>
          <w:ilvl w:val="0"/>
          <w:numId w:val="36"/>
        </w:numPr>
        <w:ind w:left="426"/>
        <w:rPr>
          <w:rFonts w:ascii="Avenir Next" w:hAnsi="Avenir Next" w:cs="Arial"/>
          <w:sz w:val="22"/>
          <w:szCs w:val="22"/>
          <w:highlight w:val="yellow"/>
          <w:lang w:val="en-GB"/>
        </w:rPr>
      </w:pPr>
      <w:r w:rsidRPr="00087FFE">
        <w:rPr>
          <w:rFonts w:ascii="Avenir Next" w:hAnsi="Avenir Next" w:cs="Arial"/>
          <w:sz w:val="22"/>
          <w:szCs w:val="22"/>
          <w:highlight w:val="yellow"/>
          <w:lang w:val="en-GB"/>
        </w:rPr>
        <w:t>May enforce their security without leave of the court</w:t>
      </w:r>
      <w:r w:rsidR="00803C72" w:rsidRPr="00087FFE">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AD785F" w:rsidRDefault="000F6063" w:rsidP="00924973">
      <w:pPr>
        <w:pStyle w:val="ListParagraph"/>
        <w:numPr>
          <w:ilvl w:val="0"/>
          <w:numId w:val="37"/>
        </w:numPr>
        <w:ind w:left="426"/>
        <w:jc w:val="both"/>
        <w:rPr>
          <w:rFonts w:ascii="Avenir Next" w:hAnsi="Avenir Next" w:cs="Arial"/>
          <w:sz w:val="22"/>
          <w:szCs w:val="22"/>
          <w:highlight w:val="yellow"/>
          <w:lang w:val="en-GB"/>
        </w:rPr>
      </w:pPr>
      <w:r w:rsidRPr="00AD785F">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97627" w:rsidRDefault="00853B56" w:rsidP="00924973">
      <w:pPr>
        <w:pStyle w:val="ListParagraph"/>
        <w:numPr>
          <w:ilvl w:val="0"/>
          <w:numId w:val="38"/>
        </w:numPr>
        <w:ind w:left="426"/>
        <w:jc w:val="both"/>
        <w:rPr>
          <w:rFonts w:ascii="Avenir Next" w:hAnsi="Avenir Next" w:cs="Arial"/>
          <w:sz w:val="22"/>
          <w:szCs w:val="22"/>
          <w:highlight w:val="yellow"/>
          <w:lang w:val="en-GB"/>
        </w:rPr>
      </w:pPr>
      <w:r w:rsidRPr="00197627">
        <w:rPr>
          <w:rFonts w:ascii="Avenir Next" w:hAnsi="Avenir Next" w:cs="Arial"/>
          <w:sz w:val="22"/>
          <w:szCs w:val="22"/>
          <w:highlight w:val="yellow"/>
          <w:lang w:val="en-GB"/>
        </w:rPr>
        <w:t>Amounts due to p</w:t>
      </w:r>
      <w:r w:rsidR="005327B7" w:rsidRPr="00197627">
        <w:rPr>
          <w:rFonts w:ascii="Avenir Next" w:hAnsi="Avenir Next" w:cs="Arial"/>
          <w:sz w:val="22"/>
          <w:szCs w:val="22"/>
          <w:highlight w:val="yellow"/>
          <w:lang w:val="en-GB"/>
        </w:rPr>
        <w:t>referred shareholders</w:t>
      </w:r>
      <w:r w:rsidR="00803C72" w:rsidRPr="00197627">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197627" w:rsidRDefault="005327B7" w:rsidP="00924973">
      <w:pPr>
        <w:pStyle w:val="ListParagraph"/>
        <w:numPr>
          <w:ilvl w:val="0"/>
          <w:numId w:val="39"/>
        </w:numPr>
        <w:ind w:left="426"/>
        <w:jc w:val="both"/>
        <w:rPr>
          <w:rFonts w:ascii="Avenir Next" w:hAnsi="Avenir Next" w:cs="Arial"/>
          <w:sz w:val="22"/>
          <w:szCs w:val="22"/>
          <w:highlight w:val="yellow"/>
          <w:lang w:val="en-GB"/>
        </w:rPr>
      </w:pPr>
      <w:r w:rsidRPr="00197627">
        <w:rPr>
          <w:rFonts w:ascii="Avenir Next" w:hAnsi="Avenir Next" w:cs="Arial"/>
          <w:sz w:val="22"/>
          <w:szCs w:val="22"/>
          <w:highlight w:val="yellow"/>
          <w:lang w:val="en-GB"/>
        </w:rPr>
        <w:t>The board of directors decides it is “just and equitable” for the company to be wound up</w:t>
      </w:r>
      <w:r w:rsidR="00D06A87" w:rsidRPr="00197627">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7061F4A8"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197627">
        <w:rPr>
          <w:rFonts w:ascii="Avenir Next" w:hAnsi="Avenir Next" w:cs="Arial"/>
          <w:sz w:val="22"/>
          <w:szCs w:val="22"/>
          <w:lang w:val="en-GB"/>
        </w:rPr>
        <w:t>o</w:t>
      </w:r>
      <w:r w:rsidRPr="00310533">
        <w:rPr>
          <w:rFonts w:ascii="Avenir Next" w:hAnsi="Avenir Next" w:cs="Arial"/>
          <w:sz w:val="22"/>
          <w:szCs w:val="22"/>
          <w:lang w:val="en-GB"/>
        </w:rPr>
        <w:t>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197627" w:rsidRDefault="000F6063" w:rsidP="00924973">
      <w:pPr>
        <w:pStyle w:val="ListParagraph"/>
        <w:numPr>
          <w:ilvl w:val="0"/>
          <w:numId w:val="40"/>
        </w:numPr>
        <w:ind w:left="426"/>
        <w:jc w:val="both"/>
        <w:rPr>
          <w:rFonts w:ascii="Avenir Next" w:hAnsi="Avenir Next" w:cs="Arial"/>
          <w:sz w:val="22"/>
          <w:szCs w:val="22"/>
          <w:highlight w:val="yellow"/>
          <w:lang w:val="en-GB"/>
        </w:rPr>
      </w:pPr>
      <w:r w:rsidRPr="00197627">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0FEA471A" w:rsidR="002B3A96" w:rsidRDefault="00197627" w:rsidP="00D27CBC">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Yes, the Cayman Islands has an ownership register that is centrally maintained for things like ships, aircraft, real estate, motor vehicles and intellectual property. Creditors are permitted to register mortgages and charges </w:t>
      </w:r>
      <w:r w:rsidR="00D02A20">
        <w:rPr>
          <w:rFonts w:ascii="Avenir Next" w:hAnsi="Avenir Next" w:cs="Arial"/>
          <w:color w:val="FF0000"/>
          <w:sz w:val="22"/>
          <w:szCs w:val="22"/>
          <w:lang w:val="en-GB"/>
        </w:rPr>
        <w:t>on these registers.</w:t>
      </w:r>
    </w:p>
    <w:p w14:paraId="29B675D5" w14:textId="19D92489" w:rsidR="00D02A20" w:rsidRDefault="00D02A20" w:rsidP="00D27CBC">
      <w:pPr>
        <w:jc w:val="both"/>
        <w:rPr>
          <w:rFonts w:ascii="Avenir Next" w:hAnsi="Avenir Next" w:cs="Arial"/>
          <w:color w:val="FF0000"/>
          <w:sz w:val="22"/>
          <w:szCs w:val="22"/>
          <w:lang w:val="en-GB"/>
        </w:rPr>
      </w:pPr>
    </w:p>
    <w:p w14:paraId="3A5B631A" w14:textId="3963A9EE" w:rsidR="00D02A20" w:rsidRDefault="00D02A20" w:rsidP="00D27CBC">
      <w:pPr>
        <w:jc w:val="both"/>
        <w:rPr>
          <w:rFonts w:ascii="Avenir Next" w:hAnsi="Avenir Next" w:cs="Arial"/>
          <w:color w:val="FF0000"/>
          <w:sz w:val="22"/>
          <w:szCs w:val="22"/>
          <w:lang w:val="en-GB"/>
        </w:rPr>
      </w:pPr>
      <w:r>
        <w:rPr>
          <w:rFonts w:ascii="Avenir Next" w:hAnsi="Avenir Next" w:cs="Arial"/>
          <w:color w:val="FF0000"/>
          <w:sz w:val="22"/>
          <w:szCs w:val="22"/>
          <w:lang w:val="en-GB"/>
        </w:rPr>
        <w:t>The impact of registration is such that third-party purchasers will be deemed to have notice of the interest and will therefore acquire the asset subject to the secured creditor interest. Such registration also afford the secured creditor priority over any non-registered creditors.</w:t>
      </w:r>
    </w:p>
    <w:p w14:paraId="3F7ADFB6" w14:textId="5A26D826" w:rsidR="00D02A20" w:rsidRDefault="00D02A20" w:rsidP="00D27CBC">
      <w:pPr>
        <w:jc w:val="both"/>
        <w:rPr>
          <w:rFonts w:ascii="Avenir Next" w:hAnsi="Avenir Next" w:cs="Arial"/>
          <w:color w:val="FF0000"/>
          <w:sz w:val="22"/>
          <w:szCs w:val="22"/>
          <w:lang w:val="en-GB"/>
        </w:rPr>
      </w:pPr>
    </w:p>
    <w:p w14:paraId="1F3F1255" w14:textId="62DF54D8" w:rsidR="00D02A20" w:rsidRPr="00197627" w:rsidRDefault="00D02A20" w:rsidP="00D27CBC">
      <w:pPr>
        <w:jc w:val="both"/>
        <w:rPr>
          <w:rFonts w:ascii="Avenir Next" w:hAnsi="Avenir Next" w:cs="Arial"/>
          <w:color w:val="FF0000"/>
          <w:sz w:val="22"/>
          <w:szCs w:val="22"/>
          <w:lang w:val="en-GB"/>
        </w:rPr>
      </w:pPr>
      <w:r>
        <w:rPr>
          <w:rFonts w:ascii="Avenir Next" w:hAnsi="Avenir Next" w:cs="Arial"/>
          <w:color w:val="FF0000"/>
          <w:sz w:val="22"/>
          <w:szCs w:val="22"/>
          <w:lang w:val="en-GB"/>
        </w:rPr>
        <w:t>No public registration regime exists for any other type of assets.</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5E07F68F" w14:textId="431D43A8" w:rsidR="00641CA1" w:rsidRDefault="00641CA1" w:rsidP="00AB0E3A">
      <w:pPr>
        <w:jc w:val="both"/>
        <w:rPr>
          <w:rFonts w:ascii="Avenir Next" w:hAnsi="Avenir Next" w:cs="Arial"/>
          <w:color w:val="FF0000"/>
          <w:sz w:val="22"/>
          <w:szCs w:val="22"/>
          <w:lang w:val="en-GB"/>
        </w:rPr>
      </w:pPr>
      <w:r>
        <w:rPr>
          <w:rFonts w:ascii="Avenir Next" w:hAnsi="Avenir Next" w:cs="Arial"/>
          <w:color w:val="FF0000"/>
          <w:sz w:val="22"/>
          <w:szCs w:val="22"/>
          <w:lang w:val="en-GB"/>
        </w:rPr>
        <w:t>Yes, Part XVII of the Companies Act ("</w:t>
      </w:r>
      <w:r w:rsidRPr="00641CA1">
        <w:rPr>
          <w:rFonts w:ascii="Avenir Next" w:hAnsi="Avenir Next" w:cs="Arial"/>
          <w:b/>
          <w:color w:val="FF0000"/>
          <w:sz w:val="22"/>
          <w:szCs w:val="22"/>
          <w:lang w:val="en-GB"/>
        </w:rPr>
        <w:t>The Act</w:t>
      </w:r>
      <w:r>
        <w:rPr>
          <w:rFonts w:ascii="Avenir Next" w:hAnsi="Avenir Next" w:cs="Arial"/>
          <w:color w:val="FF0000"/>
          <w:sz w:val="22"/>
          <w:szCs w:val="22"/>
          <w:lang w:val="en-GB"/>
        </w:rPr>
        <w:t>") powers a Court to make orders in support of foreign insolvency proceedings. There are no threshold tests for the grant of assistance, nor are there automatic rights based on COMI. Rather, foreign representatives need to satisfy the Cayman court that it is appropriate for it to exercise its discretion to grant the relief sought by the foreign rep's application. The Grand Court of the Cayman Islands can grant ancillary relief to foreign representatives, including (section 241 of The Act):</w:t>
      </w:r>
    </w:p>
    <w:p w14:paraId="54B94B4A" w14:textId="432B403E" w:rsidR="00641CA1" w:rsidRDefault="00641CA1" w:rsidP="00AB0E3A">
      <w:pPr>
        <w:jc w:val="both"/>
        <w:rPr>
          <w:rFonts w:ascii="Avenir Next" w:hAnsi="Avenir Next" w:cs="Arial"/>
          <w:color w:val="FF0000"/>
          <w:sz w:val="22"/>
          <w:szCs w:val="22"/>
          <w:lang w:val="en-GB"/>
        </w:rPr>
      </w:pPr>
    </w:p>
    <w:p w14:paraId="6D4C6B8E" w14:textId="7A4C57AD" w:rsidR="00641CA1" w:rsidRDefault="00641CA1" w:rsidP="00641CA1">
      <w:pPr>
        <w:pStyle w:val="ListParagraph"/>
        <w:numPr>
          <w:ilvl w:val="0"/>
          <w:numId w:val="42"/>
        </w:numPr>
        <w:jc w:val="both"/>
        <w:rPr>
          <w:rFonts w:ascii="Avenir Next" w:hAnsi="Avenir Next" w:cs="Arial"/>
          <w:color w:val="FF0000"/>
          <w:sz w:val="22"/>
          <w:szCs w:val="22"/>
          <w:lang w:val="en-GB"/>
        </w:rPr>
      </w:pPr>
      <w:r>
        <w:rPr>
          <w:rFonts w:ascii="Avenir Next" w:hAnsi="Avenir Next" w:cs="Arial"/>
          <w:color w:val="FF0000"/>
          <w:sz w:val="22"/>
          <w:szCs w:val="22"/>
          <w:lang w:val="en-GB"/>
        </w:rPr>
        <w:t>Recognition of the foreign rep to enable it to act in the Islands; and</w:t>
      </w:r>
    </w:p>
    <w:p w14:paraId="5DCC8F2B" w14:textId="6389AB76" w:rsidR="00641CA1" w:rsidRPr="00641CA1" w:rsidRDefault="00C1073F" w:rsidP="00641CA1">
      <w:pPr>
        <w:pStyle w:val="ListParagraph"/>
        <w:numPr>
          <w:ilvl w:val="0"/>
          <w:numId w:val="42"/>
        </w:numPr>
        <w:jc w:val="both"/>
        <w:rPr>
          <w:rFonts w:ascii="Avenir Next" w:hAnsi="Avenir Next" w:cs="Arial"/>
          <w:color w:val="FF0000"/>
          <w:sz w:val="22"/>
          <w:szCs w:val="22"/>
          <w:lang w:val="en-GB"/>
        </w:rPr>
      </w:pPr>
      <w:r>
        <w:rPr>
          <w:rFonts w:ascii="Avenir Next" w:hAnsi="Avenir Next" w:cs="Arial"/>
          <w:color w:val="FF0000"/>
          <w:sz w:val="22"/>
          <w:szCs w:val="22"/>
          <w:lang w:val="en-GB"/>
        </w:rPr>
        <w:t>Order property to be handed over to a foreign rep.</w:t>
      </w:r>
    </w:p>
    <w:p w14:paraId="059DDC37" w14:textId="77777777" w:rsidR="00641CA1" w:rsidRDefault="00641CA1" w:rsidP="00AB0E3A">
      <w:pPr>
        <w:jc w:val="both"/>
        <w:rPr>
          <w:rFonts w:ascii="Avenir Next" w:hAnsi="Avenir Next" w:cs="Arial"/>
          <w:color w:val="FF0000"/>
          <w:sz w:val="22"/>
          <w:szCs w:val="22"/>
          <w:lang w:val="en-GB"/>
        </w:rPr>
      </w:pPr>
    </w:p>
    <w:p w14:paraId="49C29577" w14:textId="35E542DD" w:rsidR="00641CA1" w:rsidRDefault="00641CA1" w:rsidP="00AB0E3A">
      <w:pPr>
        <w:jc w:val="both"/>
        <w:rPr>
          <w:rFonts w:ascii="Avenir Next" w:hAnsi="Avenir Next" w:cs="Arial"/>
          <w:color w:val="FF0000"/>
          <w:sz w:val="22"/>
          <w:szCs w:val="22"/>
          <w:lang w:val="en-GB"/>
        </w:rPr>
      </w:pPr>
      <w:r>
        <w:rPr>
          <w:rFonts w:ascii="Avenir Next" w:hAnsi="Avenir Next" w:cs="Arial"/>
          <w:color w:val="FF0000"/>
          <w:sz w:val="22"/>
          <w:szCs w:val="22"/>
          <w:lang w:val="en-GB"/>
        </w:rPr>
        <w:t>Reference should also be made to the Foreign Bankruptcy Proceedings (International Cooperation) Rules 2018 (the "</w:t>
      </w:r>
      <w:r w:rsidRPr="00641CA1">
        <w:rPr>
          <w:rFonts w:ascii="Avenir Next" w:hAnsi="Avenir Next" w:cs="Arial"/>
          <w:b/>
          <w:color w:val="FF0000"/>
          <w:sz w:val="22"/>
          <w:szCs w:val="22"/>
          <w:lang w:val="en-GB"/>
        </w:rPr>
        <w:t>FBPR 2018</w:t>
      </w:r>
      <w:r>
        <w:rPr>
          <w:rFonts w:ascii="Avenir Next" w:hAnsi="Avenir Next" w:cs="Arial"/>
          <w:color w:val="FF0000"/>
          <w:sz w:val="22"/>
          <w:szCs w:val="22"/>
          <w:lang w:val="en-GB"/>
        </w:rPr>
        <w:t>"). Foreign representatives can be recognised in the Cayman Islands and seek assistance from the Grand Court in respect of foreign bankruptcy proceedings.</w:t>
      </w:r>
    </w:p>
    <w:p w14:paraId="5D8A862B" w14:textId="77777777" w:rsidR="00641CA1" w:rsidRDefault="00641CA1" w:rsidP="00AB0E3A">
      <w:pPr>
        <w:jc w:val="both"/>
        <w:rPr>
          <w:rFonts w:ascii="Avenir Next" w:hAnsi="Avenir Next" w:cs="Arial"/>
          <w:color w:val="FF0000"/>
          <w:sz w:val="22"/>
          <w:szCs w:val="22"/>
          <w:lang w:val="en-GB"/>
        </w:rPr>
      </w:pPr>
    </w:p>
    <w:p w14:paraId="27DA0CDE" w14:textId="13C3633B" w:rsidR="00AB0E3A" w:rsidRPr="00D02A20" w:rsidRDefault="00641CA1" w:rsidP="00AB0E3A">
      <w:p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A foreign bankruptcy proceeding includes those instituted for the purposes of reorganisation and rehabilitating an insolvent debtor (see s 240 Companies Act).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5E9D1843" w:rsidR="00E4294D" w:rsidRDefault="00C1073F"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The Grand Court adopts a cooperative approach to ensure effective winding-up and for the protection of creditor interests, irrespective of where they are located.</w:t>
      </w:r>
    </w:p>
    <w:p w14:paraId="4BB89BF4" w14:textId="42DF8CC2" w:rsidR="00C1073F" w:rsidRDefault="00C1073F" w:rsidP="00E4294D">
      <w:pPr>
        <w:jc w:val="both"/>
        <w:rPr>
          <w:rFonts w:ascii="Avenir Next" w:hAnsi="Avenir Next" w:cs="Arial"/>
          <w:color w:val="FF0000"/>
          <w:sz w:val="22"/>
          <w:szCs w:val="22"/>
          <w:lang w:val="en-GB"/>
        </w:rPr>
      </w:pPr>
    </w:p>
    <w:p w14:paraId="1527D1D6" w14:textId="2C7B191C" w:rsidR="00C1073F" w:rsidRDefault="00C1073F"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Whilst the Cayman Islands has not entered into any international treaties providing for the reciprocal recognition or enforcement of foreign judgments, it does however have The Foreign Judgments Reciprocal Enforcement Act (1996 Revision) (the "</w:t>
      </w:r>
      <w:r w:rsidRPr="00C1073F">
        <w:rPr>
          <w:rFonts w:ascii="Avenir Next" w:hAnsi="Avenir Next" w:cs="Arial"/>
          <w:b/>
          <w:color w:val="FF0000"/>
          <w:sz w:val="22"/>
          <w:szCs w:val="22"/>
          <w:lang w:val="en-GB"/>
        </w:rPr>
        <w:t>FJREA</w:t>
      </w:r>
      <w:r>
        <w:rPr>
          <w:rFonts w:ascii="Avenir Next" w:hAnsi="Avenir Next" w:cs="Arial"/>
          <w:color w:val="FF0000"/>
          <w:sz w:val="22"/>
          <w:szCs w:val="22"/>
          <w:lang w:val="en-GB"/>
        </w:rPr>
        <w:t>"). This provides a statutory scheme for the recognition and enforcement of foreign judgments, in circumstances where the country from which the judgment stems assures substantial reciprocity of treatment regarding enforcement of judicial decisions of the Cayman Islands (section 3(1) of the FJREA. So far, only decisions of the Superior Courts of Australia have been used via this statutory recognition mechanism, which also, is governed by Oder 71 of the Grand Court Rules (the "</w:t>
      </w:r>
      <w:r w:rsidRPr="00C1073F">
        <w:rPr>
          <w:rFonts w:ascii="Avenir Next" w:hAnsi="Avenir Next" w:cs="Arial"/>
          <w:b/>
          <w:color w:val="FF0000"/>
          <w:sz w:val="22"/>
          <w:szCs w:val="22"/>
          <w:lang w:val="en-GB"/>
        </w:rPr>
        <w:t>GCR</w:t>
      </w:r>
      <w:r>
        <w:rPr>
          <w:rFonts w:ascii="Avenir Next" w:hAnsi="Avenir Next" w:cs="Arial"/>
          <w:color w:val="FF0000"/>
          <w:sz w:val="22"/>
          <w:szCs w:val="22"/>
          <w:lang w:val="en-GB"/>
        </w:rPr>
        <w:t>").</w:t>
      </w:r>
    </w:p>
    <w:p w14:paraId="0C52FA3A" w14:textId="52B2CCF3" w:rsidR="00C1073F" w:rsidRDefault="00C1073F" w:rsidP="00E4294D">
      <w:pPr>
        <w:jc w:val="both"/>
        <w:rPr>
          <w:rFonts w:ascii="Avenir Next" w:hAnsi="Avenir Next" w:cs="Arial"/>
          <w:color w:val="FF0000"/>
          <w:sz w:val="22"/>
          <w:szCs w:val="22"/>
          <w:lang w:val="en-GB"/>
        </w:rPr>
      </w:pPr>
    </w:p>
    <w:p w14:paraId="306D6D61" w14:textId="2843D377" w:rsidR="00C1073F" w:rsidRDefault="00C1073F"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In order for a foreign judgment to be enforceable, it must be final, a monetary judgment and made after the FJREA was extended to the relevant foreign country.</w:t>
      </w:r>
    </w:p>
    <w:p w14:paraId="4D1436D3" w14:textId="19A4FDD2" w:rsidR="00C1073F" w:rsidRDefault="00C1073F" w:rsidP="00E4294D">
      <w:pPr>
        <w:jc w:val="both"/>
        <w:rPr>
          <w:rFonts w:ascii="Avenir Next" w:hAnsi="Avenir Next" w:cs="Arial"/>
          <w:color w:val="FF0000"/>
          <w:sz w:val="22"/>
          <w:szCs w:val="22"/>
          <w:lang w:val="en-GB"/>
        </w:rPr>
      </w:pPr>
    </w:p>
    <w:p w14:paraId="2F861A8C" w14:textId="2D45A3D9" w:rsidR="00E4294D" w:rsidRPr="00C1073F" w:rsidRDefault="00C1073F" w:rsidP="002A37BB">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Beyond the limited application of the FJREA, enforcing foreign judgments is achieved by commencing new Cayman Islands proceedings based on a foreign judgment being an unsatisfied debt or some other obligation – such applications being conducted under the GCR. Both monetary and non-monetary judgments can be enforced at common law (see </w:t>
      </w:r>
      <w:proofErr w:type="spellStart"/>
      <w:r>
        <w:rPr>
          <w:rFonts w:ascii="Avenir Next" w:hAnsi="Avenir Next" w:cs="Arial"/>
          <w:color w:val="FF0000"/>
          <w:sz w:val="22"/>
          <w:szCs w:val="22"/>
          <w:u w:val="single"/>
          <w:lang w:val="en-GB"/>
        </w:rPr>
        <w:t>Bandone</w:t>
      </w:r>
      <w:proofErr w:type="spellEnd"/>
      <w:r>
        <w:rPr>
          <w:rFonts w:ascii="Avenir Next" w:hAnsi="Avenir Next" w:cs="Arial"/>
          <w:color w:val="FF0000"/>
          <w:sz w:val="22"/>
          <w:szCs w:val="22"/>
          <w:u w:val="single"/>
          <w:lang w:val="en-GB"/>
        </w:rPr>
        <w:t xml:space="preserve"> v Sol </w:t>
      </w:r>
      <w:proofErr w:type="spellStart"/>
      <w:r>
        <w:rPr>
          <w:rFonts w:ascii="Avenir Next" w:hAnsi="Avenir Next" w:cs="Arial"/>
          <w:color w:val="FF0000"/>
          <w:sz w:val="22"/>
          <w:szCs w:val="22"/>
          <w:u w:val="single"/>
          <w:lang w:val="en-GB"/>
        </w:rPr>
        <w:t>Propertyies</w:t>
      </w:r>
      <w:proofErr w:type="spellEnd"/>
      <w:r>
        <w:rPr>
          <w:rFonts w:ascii="Avenir Next" w:hAnsi="Avenir Next" w:cs="Arial"/>
          <w:color w:val="FF0000"/>
          <w:sz w:val="22"/>
          <w:szCs w:val="22"/>
          <w:lang w:val="en-GB"/>
        </w:rPr>
        <w:t xml:space="preserve"> 2008 CILR 301. Core requirements for enforcing foreign judgments at common law include: final judgment, foreign court being seized with jurisdiction over the debtor, foreign judgement is not contrary to the public policy of the Islands and the judgment was not obtained contrary to rules for natural justice.</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18BECF8F" w14:textId="0FC84B1C" w:rsidR="006B51E3" w:rsidRDefault="006B51E3" w:rsidP="006B51E3">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Despite no statutory prohibition on insolvent trading, there are several ways in which court-appointed liquidators or company creditors can seek to hold former directors to account. Directors can be held personally liable for the company losses which they caused where they are shown to have acted in breach of their fiduciary duty to act in the company's best interests. By way of example, in the case of </w:t>
      </w:r>
      <w:r>
        <w:rPr>
          <w:rFonts w:ascii="Avenir Next" w:hAnsi="Avenir Next" w:cs="Arial"/>
          <w:color w:val="FF0000"/>
          <w:sz w:val="22"/>
          <w:szCs w:val="22"/>
          <w:u w:val="single"/>
          <w:lang w:val="en-GB"/>
        </w:rPr>
        <w:t>Prospect Properties v McNeill</w:t>
      </w:r>
      <w:r>
        <w:rPr>
          <w:rFonts w:ascii="Avenir Next" w:hAnsi="Avenir Next" w:cs="Arial"/>
          <w:i/>
          <w:color w:val="FF0000"/>
          <w:sz w:val="22"/>
          <w:szCs w:val="22"/>
          <w:u w:val="single"/>
          <w:lang w:val="en-GB"/>
        </w:rPr>
        <w:t xml:space="preserve"> </w:t>
      </w:r>
      <w:r>
        <w:rPr>
          <w:rFonts w:ascii="Avenir Next" w:hAnsi="Avenir Next" w:cs="Arial"/>
          <w:color w:val="FF0000"/>
          <w:sz w:val="22"/>
          <w:szCs w:val="22"/>
          <w:lang w:val="en-GB"/>
        </w:rPr>
        <w:t>[1990-91 CILR 171], the Cayman Islands Grand Court found that if a company is insolvent, its directors' duty to act in the best interests of the company meant that they must have accord to the interests of creditors. In those circumstances, creditors want to be paid and it's in the company's interest to be prevent from being placed into a position where it cannot pay its debts. If the insolvent company is in official liquidation, the company's officer liquidator is able to make claims against directors on behalf and in the name of the company for breach of the fiduciary duties that they owed.</w:t>
      </w:r>
    </w:p>
    <w:p w14:paraId="11F62699" w14:textId="5A75C4C9" w:rsidR="006B51E3" w:rsidRDefault="006B51E3" w:rsidP="006B51E3">
      <w:pPr>
        <w:jc w:val="both"/>
        <w:rPr>
          <w:rFonts w:ascii="Avenir Next" w:hAnsi="Avenir Next" w:cs="Arial"/>
          <w:color w:val="FF0000"/>
          <w:sz w:val="22"/>
          <w:szCs w:val="22"/>
          <w:lang w:val="en-GB"/>
        </w:rPr>
      </w:pPr>
    </w:p>
    <w:p w14:paraId="730B3D7D" w14:textId="505A60AE" w:rsidR="006B51E3" w:rsidRDefault="006B51E3" w:rsidP="006B51E3">
      <w:pPr>
        <w:jc w:val="both"/>
        <w:rPr>
          <w:rFonts w:ascii="Avenir Next" w:hAnsi="Avenir Next" w:cs="Arial"/>
          <w:color w:val="FF0000"/>
          <w:sz w:val="22"/>
          <w:szCs w:val="22"/>
          <w:lang w:val="en-GB"/>
        </w:rPr>
      </w:pPr>
      <w:r>
        <w:rPr>
          <w:rFonts w:ascii="Avenir Next" w:hAnsi="Avenir Next" w:cs="Arial"/>
          <w:color w:val="FF0000"/>
          <w:sz w:val="22"/>
          <w:szCs w:val="22"/>
          <w:lang w:val="en-GB"/>
        </w:rPr>
        <w:lastRenderedPageBreak/>
        <w:t>If the directors' conduct was so flagrant to be considered fraudulent, section 147 of The Act might apply – if the directors carried on the business with an intent to defraud creditors, or for any other fraudulent purpose, the company's liquidator could apply for orders requiring any person knowingly involved in the fraud (including directors) to make contributions to the company's assets as the Court see fit.</w:t>
      </w:r>
    </w:p>
    <w:p w14:paraId="363BD4FE" w14:textId="67F3F4E9" w:rsidR="006B51E3" w:rsidRDefault="006B51E3" w:rsidP="006B51E3">
      <w:pPr>
        <w:jc w:val="both"/>
        <w:rPr>
          <w:rFonts w:ascii="Avenir Next" w:hAnsi="Avenir Next" w:cs="Arial"/>
          <w:color w:val="FF0000"/>
          <w:sz w:val="22"/>
          <w:szCs w:val="22"/>
          <w:lang w:val="en-GB"/>
        </w:rPr>
      </w:pPr>
    </w:p>
    <w:p w14:paraId="15077CDE" w14:textId="47D93D9C" w:rsidR="006B51E3" w:rsidRDefault="006B51E3" w:rsidP="006B51E3">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If the directors' conduct involved the disposition of property in </w:t>
      </w:r>
      <w:r w:rsidR="00A253AF">
        <w:rPr>
          <w:rFonts w:ascii="Avenir Next" w:hAnsi="Avenir Next" w:cs="Arial"/>
          <w:color w:val="FF0000"/>
          <w:sz w:val="22"/>
          <w:szCs w:val="22"/>
          <w:lang w:val="en-GB"/>
        </w:rPr>
        <w:t>nefarious</w:t>
      </w:r>
      <w:r>
        <w:rPr>
          <w:rFonts w:ascii="Avenir Next" w:hAnsi="Avenir Next" w:cs="Arial"/>
          <w:color w:val="FF0000"/>
          <w:sz w:val="22"/>
          <w:szCs w:val="22"/>
          <w:lang w:val="en-GB"/>
        </w:rPr>
        <w:t xml:space="preserve"> circumstances, </w:t>
      </w:r>
      <w:r w:rsidR="00A253AF">
        <w:rPr>
          <w:rFonts w:ascii="Avenir Next" w:hAnsi="Avenir Next" w:cs="Arial"/>
          <w:color w:val="FF0000"/>
          <w:sz w:val="22"/>
          <w:szCs w:val="22"/>
          <w:lang w:val="en-GB"/>
        </w:rPr>
        <w:t>there are several options to seek to claw back said property. These include:</w:t>
      </w:r>
    </w:p>
    <w:p w14:paraId="741D51D3" w14:textId="63E7966F" w:rsidR="00A253AF" w:rsidRDefault="00A253AF" w:rsidP="006B51E3">
      <w:pPr>
        <w:jc w:val="both"/>
        <w:rPr>
          <w:rFonts w:ascii="Avenir Next" w:hAnsi="Avenir Next" w:cs="Arial"/>
          <w:color w:val="FF0000"/>
          <w:sz w:val="22"/>
          <w:szCs w:val="22"/>
          <w:lang w:val="en-GB"/>
        </w:rPr>
      </w:pPr>
    </w:p>
    <w:p w14:paraId="46831237" w14:textId="6CF3CE8F" w:rsidR="00A253AF" w:rsidRDefault="00A253AF" w:rsidP="00A253AF">
      <w:pPr>
        <w:pStyle w:val="ListParagraph"/>
        <w:numPr>
          <w:ilvl w:val="0"/>
          <w:numId w:val="44"/>
        </w:numPr>
        <w:jc w:val="both"/>
        <w:rPr>
          <w:rFonts w:ascii="Avenir Next" w:hAnsi="Avenir Next" w:cs="Arial"/>
          <w:color w:val="FF0000"/>
          <w:sz w:val="22"/>
          <w:szCs w:val="22"/>
          <w:lang w:val="en-GB"/>
        </w:rPr>
      </w:pPr>
      <w:r w:rsidRPr="00A253AF">
        <w:rPr>
          <w:rFonts w:ascii="Avenir Next" w:hAnsi="Avenir Next" w:cs="Arial"/>
          <w:color w:val="FF0000"/>
          <w:sz w:val="22"/>
          <w:szCs w:val="22"/>
          <w:u w:val="single"/>
          <w:lang w:val="en-GB"/>
        </w:rPr>
        <w:t>Avoidance of property dispositions</w:t>
      </w:r>
      <w:r>
        <w:rPr>
          <w:rFonts w:ascii="Avenir Next" w:hAnsi="Avenir Next" w:cs="Arial"/>
          <w:color w:val="FF0000"/>
          <w:sz w:val="22"/>
          <w:szCs w:val="22"/>
          <w:lang w:val="en-GB"/>
        </w:rPr>
        <w:t>: pursuant to section 99 of The Act, any disposition of property made after the deemed commencement date of winding up will be void if a winding up order is made, and unless the Court's validates such transaction. Liquidators are empowered to apply for relief to require repayment of funds of asset return.</w:t>
      </w:r>
    </w:p>
    <w:p w14:paraId="60482C53" w14:textId="77777777" w:rsidR="004F7C1C" w:rsidRDefault="004F7C1C" w:rsidP="004F7C1C">
      <w:pPr>
        <w:pStyle w:val="ListParagraph"/>
        <w:jc w:val="both"/>
        <w:rPr>
          <w:rFonts w:ascii="Avenir Next" w:hAnsi="Avenir Next" w:cs="Arial"/>
          <w:color w:val="FF0000"/>
          <w:sz w:val="22"/>
          <w:szCs w:val="22"/>
          <w:lang w:val="en-GB"/>
        </w:rPr>
      </w:pPr>
    </w:p>
    <w:p w14:paraId="41F643F6" w14:textId="57685382" w:rsidR="00A253AF" w:rsidRDefault="00A253AF" w:rsidP="00A253AF">
      <w:pPr>
        <w:pStyle w:val="ListParagraph"/>
        <w:numPr>
          <w:ilvl w:val="0"/>
          <w:numId w:val="44"/>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Voidable preferences</w:t>
      </w:r>
      <w:r w:rsidRPr="00A253AF">
        <w:rPr>
          <w:rFonts w:ascii="Avenir Next" w:hAnsi="Avenir Next" w:cs="Arial"/>
          <w:color w:val="FF0000"/>
          <w:sz w:val="22"/>
          <w:szCs w:val="22"/>
          <w:lang w:val="en-GB"/>
        </w:rPr>
        <w:t>:</w:t>
      </w:r>
      <w:r>
        <w:rPr>
          <w:rFonts w:ascii="Avenir Next" w:hAnsi="Avenir Next" w:cs="Arial"/>
          <w:color w:val="FF0000"/>
          <w:sz w:val="22"/>
          <w:szCs w:val="22"/>
          <w:lang w:val="en-GB"/>
        </w:rPr>
        <w:t xml:space="preserve"> pursuant to section 145 of The Act, payments or property disposals to a creditor will be treated as a voidable preference if it took place in the 6 months before the commencement of a company's liquidation and when it was insolvent and the dominant purpose of the directors was to grant a preference over other creditors</w:t>
      </w:r>
      <w:r w:rsidR="004F7C1C">
        <w:rPr>
          <w:rFonts w:ascii="Avenir Next" w:hAnsi="Avenir Next" w:cs="Arial"/>
          <w:color w:val="FF0000"/>
          <w:sz w:val="22"/>
          <w:szCs w:val="22"/>
          <w:lang w:val="en-GB"/>
        </w:rPr>
        <w:t xml:space="preserve"> (see e.g. </w:t>
      </w:r>
      <w:r w:rsidR="004F7C1C">
        <w:rPr>
          <w:rFonts w:ascii="Avenir Next" w:hAnsi="Avenir Next" w:cs="Arial"/>
          <w:color w:val="FF0000"/>
          <w:sz w:val="22"/>
          <w:szCs w:val="22"/>
          <w:u w:val="single"/>
          <w:lang w:val="en-GB"/>
        </w:rPr>
        <w:t xml:space="preserve">re </w:t>
      </w:r>
      <w:proofErr w:type="spellStart"/>
      <w:r w:rsidR="004F7C1C">
        <w:rPr>
          <w:rFonts w:ascii="Avenir Next" w:hAnsi="Avenir Next" w:cs="Arial"/>
          <w:color w:val="FF0000"/>
          <w:sz w:val="22"/>
          <w:szCs w:val="22"/>
          <w:u w:val="single"/>
          <w:lang w:val="en-GB"/>
        </w:rPr>
        <w:t>Weavering</w:t>
      </w:r>
      <w:proofErr w:type="spellEnd"/>
      <w:r w:rsidR="004F7C1C">
        <w:rPr>
          <w:rFonts w:ascii="Avenir Next" w:hAnsi="Avenir Next" w:cs="Arial"/>
          <w:color w:val="FF0000"/>
          <w:sz w:val="22"/>
          <w:szCs w:val="22"/>
          <w:u w:val="single"/>
          <w:lang w:val="en-GB"/>
        </w:rPr>
        <w:t xml:space="preserve"> Macro Fixed Income Fund Ltd (in Liquidation)</w:t>
      </w:r>
      <w:r w:rsidR="004F7C1C">
        <w:rPr>
          <w:rFonts w:ascii="Avenir Next" w:hAnsi="Avenir Next" w:cs="Arial"/>
          <w:color w:val="FF0000"/>
          <w:sz w:val="22"/>
          <w:szCs w:val="22"/>
          <w:lang w:val="en-GB"/>
        </w:rPr>
        <w:t xml:space="preserve"> [2019 (2) CILR 245]; [2019] UKPC 36)</w:t>
      </w:r>
      <w:r>
        <w:rPr>
          <w:rFonts w:ascii="Avenir Next" w:hAnsi="Avenir Next" w:cs="Arial"/>
          <w:color w:val="FF0000"/>
          <w:sz w:val="22"/>
          <w:szCs w:val="22"/>
          <w:lang w:val="en-GB"/>
        </w:rPr>
        <w:t>.</w:t>
      </w:r>
      <w:r w:rsidR="004F7C1C">
        <w:rPr>
          <w:rFonts w:ascii="Avenir Next" w:hAnsi="Avenir Next" w:cs="Arial"/>
          <w:color w:val="FF0000"/>
          <w:sz w:val="22"/>
          <w:szCs w:val="22"/>
          <w:lang w:val="en-GB"/>
        </w:rPr>
        <w:t xml:space="preserve"> Any such disposition that's treated as a preference is voidable at the application of the liquidator, who can seek relief from the Grand Court to require the creditor to return the asset.</w:t>
      </w:r>
    </w:p>
    <w:p w14:paraId="58587C97" w14:textId="12E240CE" w:rsidR="004F7C1C" w:rsidRPr="004F7C1C" w:rsidRDefault="004F7C1C" w:rsidP="004F7C1C">
      <w:pPr>
        <w:jc w:val="both"/>
        <w:rPr>
          <w:rFonts w:ascii="Avenir Next" w:hAnsi="Avenir Next" w:cs="Arial"/>
          <w:color w:val="FF0000"/>
          <w:sz w:val="22"/>
          <w:szCs w:val="22"/>
          <w:lang w:val="en-GB"/>
        </w:rPr>
      </w:pPr>
    </w:p>
    <w:p w14:paraId="7C14C3A3" w14:textId="222A53B3" w:rsidR="004F7C1C" w:rsidRPr="00A253AF" w:rsidRDefault="004F7C1C" w:rsidP="00A253AF">
      <w:pPr>
        <w:pStyle w:val="ListParagraph"/>
        <w:numPr>
          <w:ilvl w:val="0"/>
          <w:numId w:val="44"/>
        </w:numPr>
        <w:jc w:val="both"/>
        <w:rPr>
          <w:rFonts w:ascii="Avenir Next" w:hAnsi="Avenir Next" w:cs="Arial"/>
          <w:color w:val="FF0000"/>
          <w:sz w:val="22"/>
          <w:szCs w:val="22"/>
          <w:lang w:val="en-GB"/>
        </w:rPr>
      </w:pPr>
      <w:r>
        <w:rPr>
          <w:rFonts w:ascii="Avenir Next" w:hAnsi="Avenir Next" w:cs="Arial"/>
          <w:color w:val="FF0000"/>
          <w:sz w:val="22"/>
          <w:szCs w:val="22"/>
          <w:u w:val="single"/>
          <w:lang w:val="en-GB"/>
        </w:rPr>
        <w:t xml:space="preserve">Avoidance of dispositions at </w:t>
      </w:r>
      <w:proofErr w:type="gramStart"/>
      <w:r>
        <w:rPr>
          <w:rFonts w:ascii="Avenir Next" w:hAnsi="Avenir Next" w:cs="Arial"/>
          <w:color w:val="FF0000"/>
          <w:sz w:val="22"/>
          <w:szCs w:val="22"/>
          <w:u w:val="single"/>
          <w:lang w:val="en-GB"/>
        </w:rPr>
        <w:t>an undervalue</w:t>
      </w:r>
      <w:proofErr w:type="gramEnd"/>
      <w:r>
        <w:rPr>
          <w:rFonts w:ascii="Avenir Next" w:hAnsi="Avenir Next" w:cs="Arial"/>
          <w:color w:val="FF0000"/>
          <w:sz w:val="22"/>
          <w:szCs w:val="22"/>
          <w:u w:val="single"/>
          <w:lang w:val="en-GB"/>
        </w:rPr>
        <w:t>:</w:t>
      </w:r>
      <w:r>
        <w:rPr>
          <w:rFonts w:ascii="Avenir Next" w:hAnsi="Avenir Next" w:cs="Arial"/>
          <w:color w:val="FF0000"/>
          <w:sz w:val="22"/>
          <w:szCs w:val="22"/>
          <w:lang w:val="en-GB"/>
        </w:rPr>
        <w:t xml:space="preserve"> pursuant to section 146 of The Act, where property is disposed of at an undervalue with the intention of defeating obligations owed to a creditor, it will be treated as voidable at the option of the liquidator. The burden is on a creditor or liquidator to establish an intention to defraud, such application to be brought within 6 years of the relevant disposal.</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1E3ADBAC" w14:textId="2339321D" w:rsidR="0088255D" w:rsidRDefault="0088255D"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I disagree with the proposition that receivers have no role to play in the Cayman Islands insolvency sphere. In fact, they have plenty a role to play, and this can be seen in many ways.</w:t>
      </w:r>
    </w:p>
    <w:p w14:paraId="11486B98" w14:textId="77777777" w:rsidR="0088255D" w:rsidRDefault="0088255D" w:rsidP="00E4294D">
      <w:pPr>
        <w:jc w:val="both"/>
        <w:rPr>
          <w:rFonts w:ascii="Avenir Next" w:hAnsi="Avenir Next" w:cs="Arial"/>
          <w:color w:val="FF0000"/>
          <w:sz w:val="22"/>
          <w:szCs w:val="22"/>
          <w:lang w:val="en-GB"/>
        </w:rPr>
      </w:pPr>
    </w:p>
    <w:p w14:paraId="0847CADA" w14:textId="5C6A1AFA" w:rsidR="00E4294D" w:rsidRDefault="0088255D"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Receivers can be appointed despite them having not explicit mention in the statutory insolvency provisions of either The Act of the Companies Winding </w:t>
      </w:r>
      <w:proofErr w:type="gramStart"/>
      <w:r>
        <w:rPr>
          <w:rFonts w:ascii="Avenir Next" w:hAnsi="Avenir Next" w:cs="Arial"/>
          <w:color w:val="FF0000"/>
          <w:sz w:val="22"/>
          <w:szCs w:val="22"/>
          <w:lang w:val="en-GB"/>
        </w:rPr>
        <w:t>Up</w:t>
      </w:r>
      <w:proofErr w:type="gramEnd"/>
      <w:r>
        <w:rPr>
          <w:rFonts w:ascii="Avenir Next" w:hAnsi="Avenir Next" w:cs="Arial"/>
          <w:color w:val="FF0000"/>
          <w:sz w:val="22"/>
          <w:szCs w:val="22"/>
          <w:lang w:val="en-GB"/>
        </w:rPr>
        <w:t xml:space="preserve"> Rules. The GRC does, however, provide for receivers to be appointed by the Grand Court for collecting money or to carry out some form of other act, like documenting a title or executing a contract. The duties and appointment of receivers is set out in Order 30 of the GRC. Further, Order 45 of the GCR provides that receivers can be appointed to enforce order for monetary payment, in circumstances of the enforcement of judgments and orders. Further, receivers can be appointed by way of equitable execution, pursuant to Order 51 of the GCR.</w:t>
      </w:r>
    </w:p>
    <w:p w14:paraId="6D99CAF9" w14:textId="045189A5" w:rsidR="0088255D" w:rsidRDefault="0088255D" w:rsidP="00E4294D">
      <w:pPr>
        <w:jc w:val="both"/>
        <w:rPr>
          <w:rFonts w:ascii="Avenir Next" w:hAnsi="Avenir Next" w:cs="Arial"/>
          <w:color w:val="FF0000"/>
          <w:sz w:val="22"/>
          <w:szCs w:val="22"/>
          <w:lang w:val="en-GB"/>
        </w:rPr>
      </w:pPr>
    </w:p>
    <w:p w14:paraId="6606D512" w14:textId="77777777" w:rsidR="00F3695F" w:rsidRDefault="0088255D"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In another particular context in the Cayman Islands, receivers and receivership orders are specifically included in The Act in respect of Segregated Portfolio Companies ("</w:t>
      </w:r>
      <w:r w:rsidRPr="0088255D">
        <w:rPr>
          <w:rFonts w:ascii="Avenir Next" w:hAnsi="Avenir Next" w:cs="Arial"/>
          <w:b/>
          <w:color w:val="FF0000"/>
          <w:sz w:val="22"/>
          <w:szCs w:val="22"/>
          <w:lang w:val="en-GB"/>
        </w:rPr>
        <w:t>SPCs</w:t>
      </w:r>
      <w:r>
        <w:rPr>
          <w:rFonts w:ascii="Avenir Next" w:hAnsi="Avenir Next" w:cs="Arial"/>
          <w:color w:val="FF0000"/>
          <w:sz w:val="22"/>
          <w:szCs w:val="22"/>
          <w:lang w:val="en-GB"/>
        </w:rPr>
        <w:t xml:space="preserve">"). These are companies that have separate portfolios within which assets and liabilities of those portfolios are limited to those portfolios – they are </w:t>
      </w:r>
      <w:proofErr w:type="spellStart"/>
      <w:r>
        <w:rPr>
          <w:rFonts w:ascii="Avenir Next" w:hAnsi="Avenir Next" w:cs="Arial"/>
          <w:color w:val="FF0000"/>
          <w:sz w:val="22"/>
          <w:szCs w:val="22"/>
          <w:lang w:val="en-GB"/>
        </w:rPr>
        <w:t>ringfenced</w:t>
      </w:r>
      <w:proofErr w:type="spellEnd"/>
      <w:r>
        <w:rPr>
          <w:rFonts w:ascii="Avenir Next" w:hAnsi="Avenir Next" w:cs="Arial"/>
          <w:color w:val="FF0000"/>
          <w:sz w:val="22"/>
          <w:szCs w:val="22"/>
          <w:lang w:val="en-GB"/>
        </w:rPr>
        <w:t xml:space="preserve"> within the portfolio pursuant to section 216 of The Act. In circumstances where the Grand Court is satisfied that assets of a particular portfolio of an SPC are likely to be insufficient to discharge its debts in respect of that portfolio, a receiver may be appointed over that portfolio (per section 224(1) of The Act). Where a receivership order is made, </w:t>
      </w:r>
      <w:r w:rsidR="00F3695F">
        <w:rPr>
          <w:rFonts w:ascii="Avenir Next" w:hAnsi="Avenir Next" w:cs="Arial"/>
          <w:color w:val="FF0000"/>
          <w:sz w:val="22"/>
          <w:szCs w:val="22"/>
          <w:lang w:val="en-GB"/>
        </w:rPr>
        <w:t xml:space="preserve">a moratorium </w:t>
      </w:r>
      <w:r w:rsidR="00F3695F">
        <w:rPr>
          <w:rFonts w:ascii="Avenir Next" w:hAnsi="Avenir Next" w:cs="Arial"/>
          <w:color w:val="FF0000"/>
          <w:sz w:val="22"/>
          <w:szCs w:val="22"/>
          <w:lang w:val="en-GB"/>
        </w:rPr>
        <w:lastRenderedPageBreak/>
        <w:t>on claims against that particular portfolio arises, and no claims can be made against it without leave of the Court (per section 226(5) of The Act).</w:t>
      </w:r>
    </w:p>
    <w:p w14:paraId="7C56C73C" w14:textId="77777777" w:rsidR="00F3695F" w:rsidRDefault="00F3695F" w:rsidP="00E4294D">
      <w:pPr>
        <w:jc w:val="both"/>
        <w:rPr>
          <w:rFonts w:ascii="Avenir Next" w:hAnsi="Avenir Next" w:cs="Arial"/>
          <w:color w:val="FF0000"/>
          <w:sz w:val="22"/>
          <w:szCs w:val="22"/>
          <w:lang w:val="en-GB"/>
        </w:rPr>
      </w:pPr>
    </w:p>
    <w:p w14:paraId="01AEE20E" w14:textId="06F19A77" w:rsidR="0088255D" w:rsidRDefault="00F3695F" w:rsidP="00E4294D">
      <w:p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Finally, receivers can be appointed with no Court involvement, in accordance with rights arising under security instruments. I.e. the holder of a fixed/floating charge can appoint a receiver of the company's charged asset if a debtor is in default of its obligations, and provided that the security document providers for the appointment (e.g. </w:t>
      </w:r>
      <w:r>
        <w:rPr>
          <w:rFonts w:ascii="Avenir Next" w:hAnsi="Avenir Next" w:cs="Arial"/>
          <w:color w:val="FF0000"/>
          <w:sz w:val="22"/>
          <w:szCs w:val="22"/>
          <w:u w:val="single"/>
          <w:lang w:val="en-GB"/>
        </w:rPr>
        <w:t xml:space="preserve">Scotiabank (Cayman Islands) Limited v Treasure Islands Resort (Cayman) Limited </w:t>
      </w:r>
      <w:r>
        <w:rPr>
          <w:rFonts w:ascii="Avenir Next" w:hAnsi="Avenir Next" w:cs="Arial"/>
          <w:color w:val="FF0000"/>
          <w:sz w:val="22"/>
          <w:szCs w:val="22"/>
          <w:lang w:val="en-GB"/>
        </w:rPr>
        <w:t>[2004-2005 CILR 423]). The receivers powers are derived in those circumstances form the security documentation, and its duties are owed to the creditor appointing it, not the Court.</w:t>
      </w:r>
    </w:p>
    <w:p w14:paraId="7DBF85B8" w14:textId="6606A4F1" w:rsidR="00F3695F" w:rsidRDefault="00F3695F" w:rsidP="00E4294D">
      <w:pPr>
        <w:jc w:val="both"/>
        <w:rPr>
          <w:rFonts w:ascii="Avenir Next" w:hAnsi="Avenir Next" w:cs="Arial"/>
          <w:color w:val="FF0000"/>
          <w:sz w:val="22"/>
          <w:szCs w:val="22"/>
          <w:lang w:val="en-GB"/>
        </w:rPr>
      </w:pPr>
    </w:p>
    <w:p w14:paraId="6DD9BB66" w14:textId="7672F873" w:rsidR="00FA18CF" w:rsidRPr="00310533" w:rsidRDefault="00F3695F" w:rsidP="002A37BB">
      <w:pPr>
        <w:jc w:val="both"/>
        <w:rPr>
          <w:rFonts w:ascii="Avenir Next" w:hAnsi="Avenir Next" w:cs="Arial"/>
          <w:sz w:val="22"/>
          <w:szCs w:val="22"/>
          <w:shd w:val="clear" w:color="auto" w:fill="FFFFFF"/>
        </w:rPr>
      </w:pPr>
      <w:r>
        <w:rPr>
          <w:rFonts w:ascii="Avenir Next" w:hAnsi="Avenir Next" w:cs="Arial"/>
          <w:color w:val="FF0000"/>
          <w:sz w:val="22"/>
          <w:szCs w:val="22"/>
          <w:lang w:val="en-GB"/>
        </w:rPr>
        <w:t>It is for each of those reasons stated above, that I vehemently disagree with the proposition included in the question.</w:t>
      </w:r>
    </w:p>
    <w:p w14:paraId="193DB0C1" w14:textId="6511F359"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0F5185FB"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 xml:space="preserve">Vegan Patty </w:t>
      </w:r>
      <w:proofErr w:type="spellStart"/>
      <w:r w:rsidRPr="00310533">
        <w:rPr>
          <w:rFonts w:ascii="Avenir Next" w:hAnsi="Avenir Next" w:cs="Arial"/>
          <w:sz w:val="22"/>
          <w:szCs w:val="22"/>
          <w:lang w:val="en-GB"/>
        </w:rPr>
        <w:t>Inc</w:t>
      </w:r>
      <w:proofErr w:type="spellEnd"/>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F3695F">
        <w:rPr>
          <w:rFonts w:ascii="Avenir Next" w:hAnsi="Avenir Next" w:cs="Arial"/>
          <w:sz w:val="22"/>
          <w:szCs w:val="22"/>
          <w:lang w:val="en-GB"/>
        </w:rPr>
        <w:t>a</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w:t>
      </w:r>
      <w:proofErr w:type="gramStart"/>
      <w:r w:rsidR="0048787C" w:rsidRPr="00310533">
        <w:rPr>
          <w:rFonts w:ascii="Avenir Next" w:hAnsi="Avenir Next" w:cs="Arial"/>
          <w:sz w:val="22"/>
          <w:szCs w:val="22"/>
          <w:lang w:val="en-GB"/>
        </w:rPr>
        <w:t>central</w:t>
      </w:r>
      <w:proofErr w:type="gramEnd"/>
      <w:r w:rsidR="0048787C" w:rsidRPr="00310533">
        <w:rPr>
          <w:rFonts w:ascii="Avenir Next" w:hAnsi="Avenir Next" w:cs="Arial"/>
          <w:sz w:val="22"/>
          <w:szCs w:val="22"/>
          <w:lang w:val="en-GB"/>
        </w:rPr>
        <w:t xml:space="preserve">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00FFA852" w:rsidR="00952187" w:rsidRDefault="00F3695F" w:rsidP="00121DB0">
      <w:pPr>
        <w:pStyle w:val="ListParagraph"/>
        <w:numPr>
          <w:ilvl w:val="0"/>
          <w:numId w:val="45"/>
        </w:numPr>
        <w:jc w:val="both"/>
        <w:rPr>
          <w:rFonts w:ascii="Avenir Next" w:hAnsi="Avenir Next" w:cs="Arial"/>
          <w:color w:val="FF0000"/>
          <w:sz w:val="22"/>
          <w:szCs w:val="22"/>
          <w:lang w:val="en-GB"/>
        </w:rPr>
      </w:pPr>
      <w:r w:rsidRPr="00121DB0">
        <w:rPr>
          <w:rFonts w:ascii="Avenir Next" w:hAnsi="Avenir Next" w:cs="Arial"/>
          <w:color w:val="FF0000"/>
          <w:sz w:val="22"/>
          <w:szCs w:val="22"/>
          <w:lang w:val="en-GB"/>
        </w:rPr>
        <w:t xml:space="preserve">BITB is a creditor of VP. It is both a secured and unsecured creditor. In respect of the USD 300 million loan made, BITB could seek to enforce its secured interest by way of the mortgage over four of VP’s largest party boats. Irrespective of any insolvency proceedings that are instituted, BITB is entitled to enforce its security interest (the USD 180 million) without leave of the Court and without reference to any such insolvency proceedings or any restructuring officer (section 91H of The Act) or liquidator (section 142 of The Act).  </w:t>
      </w:r>
      <w:r w:rsidR="00121DB0" w:rsidRPr="00121DB0">
        <w:rPr>
          <w:rFonts w:ascii="Avenir Next" w:hAnsi="Avenir Next" w:cs="Arial"/>
          <w:color w:val="FF0000"/>
          <w:sz w:val="22"/>
          <w:szCs w:val="22"/>
          <w:lang w:val="en-GB"/>
        </w:rPr>
        <w:t>Given the precarious financial state of VP, it is likely that the debt to BITB is worth more than the value of their security, they may prove in any liquidation for the unsecured balance – if that is the case, the proof of debt is submitted by the secured creditor stating the particulars of its security and value which they place on said security (Order 17, r 1 of the Companies Winding Up Rules). In respect of its unsecured portion of its loan, BITB (as creditor, section 94 of The Act) may file a winding up petition in respect of VP on the grounds that it is unable to pay its debts (section 92 of The Act).</w:t>
      </w:r>
    </w:p>
    <w:p w14:paraId="6AE8F48E" w14:textId="77777777" w:rsidR="00B30C2B" w:rsidRPr="00121DB0" w:rsidRDefault="00B30C2B" w:rsidP="00B30C2B">
      <w:pPr>
        <w:pStyle w:val="ListParagraph"/>
        <w:jc w:val="both"/>
        <w:rPr>
          <w:rFonts w:ascii="Avenir Next" w:hAnsi="Avenir Next" w:cs="Arial"/>
          <w:color w:val="FF0000"/>
          <w:sz w:val="22"/>
          <w:szCs w:val="22"/>
          <w:lang w:val="en-GB"/>
        </w:rPr>
      </w:pPr>
    </w:p>
    <w:p w14:paraId="14093DD4" w14:textId="5278D2A1" w:rsidR="00121DB0" w:rsidRDefault="00121DB0" w:rsidP="00BA5C45">
      <w:pPr>
        <w:pStyle w:val="ListParagraph"/>
        <w:numPr>
          <w:ilvl w:val="0"/>
          <w:numId w:val="45"/>
        </w:numPr>
        <w:jc w:val="both"/>
        <w:rPr>
          <w:rFonts w:ascii="Avenir Next" w:hAnsi="Avenir Next" w:cs="Arial"/>
          <w:color w:val="FF0000"/>
          <w:sz w:val="22"/>
          <w:szCs w:val="22"/>
          <w:lang w:val="en-GB"/>
        </w:rPr>
      </w:pPr>
      <w:proofErr w:type="spellStart"/>
      <w:r>
        <w:rPr>
          <w:rFonts w:ascii="Avenir Next" w:hAnsi="Avenir Next" w:cs="Arial"/>
          <w:color w:val="FF0000"/>
          <w:sz w:val="22"/>
          <w:szCs w:val="22"/>
          <w:lang w:val="en-GB"/>
        </w:rPr>
        <w:t>JoBo</w:t>
      </w:r>
      <w:proofErr w:type="spellEnd"/>
      <w:r>
        <w:rPr>
          <w:rFonts w:ascii="Avenir Next" w:hAnsi="Avenir Next" w:cs="Arial"/>
          <w:color w:val="FF0000"/>
          <w:sz w:val="22"/>
          <w:szCs w:val="22"/>
          <w:lang w:val="en-GB"/>
        </w:rPr>
        <w:t xml:space="preserve"> has several options to protect its interest: </w:t>
      </w:r>
      <w:r w:rsidR="00B30C2B">
        <w:rPr>
          <w:rFonts w:ascii="Avenir Next" w:hAnsi="Avenir Next" w:cs="Arial"/>
          <w:color w:val="FF0000"/>
          <w:sz w:val="22"/>
          <w:szCs w:val="22"/>
          <w:lang w:val="en-GB"/>
        </w:rPr>
        <w:t>as an unsecured creditor of VP</w:t>
      </w:r>
      <w:r w:rsidR="00B30C2B" w:rsidRPr="00121DB0">
        <w:rPr>
          <w:rFonts w:ascii="Avenir Next" w:hAnsi="Avenir Next" w:cs="Arial"/>
          <w:color w:val="FF0000"/>
          <w:sz w:val="22"/>
          <w:szCs w:val="22"/>
          <w:lang w:val="en-GB"/>
        </w:rPr>
        <w:t xml:space="preserve"> </w:t>
      </w:r>
      <w:r w:rsidR="00B30C2B">
        <w:rPr>
          <w:rFonts w:ascii="Avenir Next" w:hAnsi="Avenir Next" w:cs="Arial"/>
          <w:color w:val="FF0000"/>
          <w:sz w:val="22"/>
          <w:szCs w:val="22"/>
          <w:lang w:val="en-GB"/>
        </w:rPr>
        <w:t>(</w:t>
      </w:r>
      <w:r w:rsidR="00B30C2B" w:rsidRPr="00121DB0">
        <w:rPr>
          <w:rFonts w:ascii="Avenir Next" w:hAnsi="Avenir Next" w:cs="Arial"/>
          <w:color w:val="FF0000"/>
          <w:sz w:val="22"/>
          <w:szCs w:val="22"/>
          <w:lang w:val="en-GB"/>
        </w:rPr>
        <w:t>section 94 of The Act)</w:t>
      </w:r>
      <w:r w:rsidR="00B30C2B">
        <w:rPr>
          <w:rFonts w:ascii="Avenir Next" w:hAnsi="Avenir Next" w:cs="Arial"/>
          <w:color w:val="FF0000"/>
          <w:sz w:val="22"/>
          <w:szCs w:val="22"/>
          <w:lang w:val="en-GB"/>
        </w:rPr>
        <w:t>, it</w:t>
      </w:r>
      <w:r w:rsidR="00B30C2B" w:rsidRPr="00121DB0">
        <w:rPr>
          <w:rFonts w:ascii="Avenir Next" w:hAnsi="Avenir Next" w:cs="Arial"/>
          <w:color w:val="FF0000"/>
          <w:sz w:val="22"/>
          <w:szCs w:val="22"/>
          <w:lang w:val="en-GB"/>
        </w:rPr>
        <w:t xml:space="preserve"> may file a winding up petition in respect of VP on the grounds that it is unable to pay its debts (section 92 of The Act).</w:t>
      </w:r>
      <w:r w:rsidR="00BA5C45">
        <w:rPr>
          <w:rFonts w:ascii="Avenir Next" w:hAnsi="Avenir Next" w:cs="Arial"/>
          <w:color w:val="FF0000"/>
          <w:sz w:val="22"/>
          <w:szCs w:val="22"/>
          <w:lang w:val="en-GB"/>
        </w:rPr>
        <w:t xml:space="preserve"> As the Cayman Islands adopted the New York Convention on the Recognition and Enforcement of Foreign Arbitral Awards, and has enacted domestic legislation for the recognition of foreign seated arbitrations (e.g. </w:t>
      </w:r>
      <w:r w:rsidR="00BA5C45" w:rsidRPr="00BA5C45">
        <w:rPr>
          <w:rFonts w:ascii="Avenir Next" w:hAnsi="Avenir Next" w:cs="Arial"/>
          <w:color w:val="FF0000"/>
          <w:sz w:val="22"/>
          <w:szCs w:val="22"/>
          <w:lang w:val="en-GB"/>
        </w:rPr>
        <w:t>Foreign Arbitral Awards Enforcement Law (1997 Revision)</w:t>
      </w:r>
      <w:r w:rsidR="00BA5C45">
        <w:rPr>
          <w:rFonts w:ascii="Avenir Next" w:hAnsi="Avenir Next" w:cs="Arial"/>
          <w:color w:val="FF0000"/>
          <w:sz w:val="22"/>
          <w:szCs w:val="22"/>
          <w:lang w:val="en-GB"/>
        </w:rPr>
        <w:t xml:space="preserve">), </w:t>
      </w:r>
      <w:proofErr w:type="spellStart"/>
      <w:r w:rsidR="00BA5C45">
        <w:rPr>
          <w:rFonts w:ascii="Avenir Next" w:hAnsi="Avenir Next" w:cs="Arial"/>
          <w:color w:val="FF0000"/>
          <w:sz w:val="22"/>
          <w:szCs w:val="22"/>
          <w:lang w:val="en-GB"/>
        </w:rPr>
        <w:t>JoBo</w:t>
      </w:r>
      <w:proofErr w:type="spellEnd"/>
      <w:r w:rsidR="00BA5C45">
        <w:rPr>
          <w:rFonts w:ascii="Avenir Next" w:hAnsi="Avenir Next" w:cs="Arial"/>
          <w:color w:val="FF0000"/>
          <w:sz w:val="22"/>
          <w:szCs w:val="22"/>
          <w:lang w:val="en-GB"/>
        </w:rPr>
        <w:t xml:space="preserve"> could make an application to the Grand Court seeking to enforce the foreign arbitral award as if it was a judgment of the Cayman Islands Grand Court – orders would then be made for the payment of the debt owed to </w:t>
      </w:r>
      <w:proofErr w:type="spellStart"/>
      <w:r w:rsidR="00BA5C45">
        <w:rPr>
          <w:rFonts w:ascii="Avenir Next" w:hAnsi="Avenir Next" w:cs="Arial"/>
          <w:color w:val="FF0000"/>
          <w:sz w:val="22"/>
          <w:szCs w:val="22"/>
          <w:lang w:val="en-GB"/>
        </w:rPr>
        <w:t>JoBo</w:t>
      </w:r>
      <w:proofErr w:type="spellEnd"/>
      <w:r w:rsidR="00BA5C45">
        <w:rPr>
          <w:rFonts w:ascii="Avenir Next" w:hAnsi="Avenir Next" w:cs="Arial"/>
          <w:color w:val="FF0000"/>
          <w:sz w:val="22"/>
          <w:szCs w:val="22"/>
          <w:lang w:val="en-GB"/>
        </w:rPr>
        <w:t>.</w:t>
      </w:r>
      <w:r w:rsidR="00B30C2B">
        <w:rPr>
          <w:rFonts w:ascii="Avenir Next" w:hAnsi="Avenir Next" w:cs="Arial"/>
          <w:color w:val="FF0000"/>
          <w:sz w:val="22"/>
          <w:szCs w:val="22"/>
          <w:lang w:val="en-GB"/>
        </w:rPr>
        <w:t xml:space="preserve"> </w:t>
      </w:r>
      <w:r w:rsidR="00BA5C45">
        <w:rPr>
          <w:rFonts w:ascii="Avenir Next" w:hAnsi="Avenir Next" w:cs="Arial"/>
          <w:color w:val="FF0000"/>
          <w:sz w:val="22"/>
          <w:szCs w:val="22"/>
          <w:lang w:val="en-GB"/>
        </w:rPr>
        <w:t xml:space="preserve"> Once its debt goes unpaid in the jurisdiction, </w:t>
      </w:r>
      <w:proofErr w:type="spellStart"/>
      <w:r w:rsidR="00BA5C45">
        <w:rPr>
          <w:rFonts w:ascii="Avenir Next" w:hAnsi="Avenir Next" w:cs="Arial"/>
          <w:color w:val="FF0000"/>
          <w:sz w:val="22"/>
          <w:szCs w:val="22"/>
          <w:lang w:val="en-GB"/>
        </w:rPr>
        <w:t>JoBo</w:t>
      </w:r>
      <w:proofErr w:type="spellEnd"/>
      <w:r w:rsidR="00BA5C45">
        <w:rPr>
          <w:rFonts w:ascii="Avenir Next" w:hAnsi="Avenir Next" w:cs="Arial"/>
          <w:color w:val="FF0000"/>
          <w:sz w:val="22"/>
          <w:szCs w:val="22"/>
          <w:lang w:val="en-GB"/>
        </w:rPr>
        <w:t xml:space="preserve"> may also seek to have receivers appointed to enforce the Court order for payment of the USD 50 million it is owed (per Order 45 of the GCR).</w:t>
      </w:r>
    </w:p>
    <w:p w14:paraId="599D4C8F" w14:textId="77777777" w:rsidR="00BA5C45" w:rsidRPr="00BA5C45" w:rsidRDefault="00BA5C45" w:rsidP="00BA5C45">
      <w:pPr>
        <w:pStyle w:val="ListParagraph"/>
        <w:rPr>
          <w:rFonts w:ascii="Avenir Next" w:hAnsi="Avenir Next" w:cs="Arial"/>
          <w:color w:val="FF0000"/>
          <w:sz w:val="22"/>
          <w:szCs w:val="22"/>
          <w:lang w:val="en-GB"/>
        </w:rPr>
      </w:pPr>
    </w:p>
    <w:p w14:paraId="309220C1" w14:textId="77777777" w:rsidR="00FC2063" w:rsidRDefault="00BA5C45" w:rsidP="00121DB0">
      <w:pPr>
        <w:pStyle w:val="ListParagraph"/>
        <w:numPr>
          <w:ilvl w:val="0"/>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In an insolvency scenario, the unpaid employees are ranked as preferential debts</w:t>
      </w:r>
      <w:r w:rsidR="009E4B03">
        <w:rPr>
          <w:rFonts w:ascii="Avenir Next" w:hAnsi="Avenir Next" w:cs="Arial"/>
          <w:color w:val="FF0000"/>
          <w:sz w:val="22"/>
          <w:szCs w:val="22"/>
          <w:lang w:val="en-GB"/>
        </w:rPr>
        <w:t xml:space="preserve"> (section 141 of The Act), which comprises the sums due to employees of VP. In terms of the priority in a liquidation, beyond secured creditors like BITB, the liquidation expenses are the first paid debts, followed by preferential debts, like the employee wages, taxes, sums due to depositors and unsecured debts not subject to subordination. These preferential debts are treated equally, and if insufficient capital exists to pay them out in full, their claims abate equally. If a liquidation of VP takes place, </w:t>
      </w:r>
      <w:r w:rsidR="00FC2063">
        <w:rPr>
          <w:rFonts w:ascii="Avenir Next" w:hAnsi="Avenir Next" w:cs="Arial"/>
          <w:color w:val="FF0000"/>
          <w:sz w:val="22"/>
          <w:szCs w:val="22"/>
          <w:lang w:val="en-GB"/>
        </w:rPr>
        <w:t xml:space="preserve">the employees can and probably will be required by the liquidators to provide statements of the company's affairs supported by affidavit (see section 101 of The Act and </w:t>
      </w:r>
      <w:r w:rsidR="00FC2063">
        <w:rPr>
          <w:rFonts w:ascii="Avenir Next" w:hAnsi="Avenir Next" w:cs="Arial"/>
          <w:color w:val="FF0000"/>
          <w:sz w:val="22"/>
          <w:szCs w:val="22"/>
          <w:u w:val="single"/>
          <w:lang w:val="en-GB"/>
        </w:rPr>
        <w:t xml:space="preserve">In the Matter of </w:t>
      </w:r>
      <w:proofErr w:type="spellStart"/>
      <w:r w:rsidR="00FC2063">
        <w:rPr>
          <w:rFonts w:ascii="Avenir Next" w:hAnsi="Avenir Next" w:cs="Arial"/>
          <w:color w:val="FF0000"/>
          <w:sz w:val="22"/>
          <w:szCs w:val="22"/>
          <w:u w:val="single"/>
          <w:lang w:val="en-GB"/>
        </w:rPr>
        <w:t>Saad</w:t>
      </w:r>
      <w:proofErr w:type="spellEnd"/>
      <w:r w:rsidR="00FC2063">
        <w:rPr>
          <w:rFonts w:ascii="Avenir Next" w:hAnsi="Avenir Next" w:cs="Arial"/>
          <w:color w:val="FF0000"/>
          <w:sz w:val="22"/>
          <w:szCs w:val="22"/>
          <w:u w:val="single"/>
          <w:lang w:val="en-GB"/>
        </w:rPr>
        <w:t xml:space="preserve"> Investments</w:t>
      </w:r>
      <w:r w:rsidR="00FC2063">
        <w:rPr>
          <w:rFonts w:ascii="Avenir Next" w:hAnsi="Avenir Next" w:cs="Arial"/>
          <w:color w:val="FF0000"/>
          <w:sz w:val="22"/>
          <w:szCs w:val="22"/>
          <w:lang w:val="en-GB"/>
        </w:rPr>
        <w:t xml:space="preserve"> [2010 (2) CILR 422].</w:t>
      </w:r>
    </w:p>
    <w:p w14:paraId="623762BA" w14:textId="77777777" w:rsidR="00FC2063" w:rsidRPr="00FC2063" w:rsidRDefault="00FC2063" w:rsidP="00FC2063">
      <w:pPr>
        <w:pStyle w:val="ListParagraph"/>
        <w:rPr>
          <w:rFonts w:ascii="Avenir Next" w:hAnsi="Avenir Next" w:cs="Arial"/>
          <w:color w:val="FF0000"/>
          <w:sz w:val="22"/>
          <w:szCs w:val="22"/>
          <w:lang w:val="en-GB"/>
        </w:rPr>
      </w:pPr>
    </w:p>
    <w:p w14:paraId="61A8B1D9" w14:textId="77777777" w:rsidR="00FC2063" w:rsidRDefault="00FC2063" w:rsidP="00121DB0">
      <w:pPr>
        <w:pStyle w:val="ListParagraph"/>
        <w:numPr>
          <w:ilvl w:val="0"/>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The Cayman Islands Grand Court likely has jurisdiction over VP. The Grand Court has jurisdiction over corporate liquidations and restructurings, and has jurisdiction to make orders in relation to companies that are, relevantly, incorporated in the Cayman Islands, or incorporated elsewhere and registered in the Cayman Islands, or over foreign companies that have property in or are carrying on business in the Islands (section 91 of the Companies Act). Here, whilst the facts do not indicate whether VP is a Cayman Islands incorporated or foreign company, they do confirm that it is registered in the Cayman Islands, and also conducts </w:t>
      </w:r>
      <w:r>
        <w:rPr>
          <w:rFonts w:ascii="Avenir Next" w:hAnsi="Avenir Next" w:cs="Arial"/>
          <w:color w:val="FF0000"/>
          <w:sz w:val="22"/>
          <w:szCs w:val="22"/>
          <w:lang w:val="en-GB"/>
        </w:rPr>
        <w:lastRenderedPageBreak/>
        <w:t>business in the Islands and has assets (i.e. boats), so the Grand Court would very likely be found to have jurisdiction over VP.</w:t>
      </w:r>
    </w:p>
    <w:p w14:paraId="2D614B9B" w14:textId="77777777" w:rsidR="00FC2063" w:rsidRPr="00FC2063" w:rsidRDefault="00FC2063" w:rsidP="00FC2063">
      <w:pPr>
        <w:pStyle w:val="ListParagraph"/>
        <w:rPr>
          <w:rFonts w:ascii="Avenir Next" w:hAnsi="Avenir Next" w:cs="Arial"/>
          <w:color w:val="FF0000"/>
          <w:sz w:val="22"/>
          <w:szCs w:val="22"/>
          <w:lang w:val="en-GB"/>
        </w:rPr>
      </w:pPr>
    </w:p>
    <w:p w14:paraId="41CA04B5" w14:textId="2B636615" w:rsidR="00BA5C45" w:rsidRDefault="00FC2063" w:rsidP="00121DB0">
      <w:pPr>
        <w:pStyle w:val="ListParagraph"/>
        <w:numPr>
          <w:ilvl w:val="0"/>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To protect itself and seek to restructure its operations, VP could </w:t>
      </w:r>
      <w:r w:rsidR="00EF38CA">
        <w:rPr>
          <w:rFonts w:ascii="Avenir Next" w:hAnsi="Avenir Next" w:cs="Arial"/>
          <w:color w:val="FF0000"/>
          <w:sz w:val="22"/>
          <w:szCs w:val="22"/>
          <w:lang w:val="en-GB"/>
        </w:rPr>
        <w:t>seek the appointment of a Restructuring Officer ("</w:t>
      </w:r>
      <w:r w:rsidR="00EF38CA" w:rsidRPr="00EF38CA">
        <w:rPr>
          <w:rFonts w:ascii="Avenir Next" w:hAnsi="Avenir Next" w:cs="Arial"/>
          <w:b/>
          <w:color w:val="FF0000"/>
          <w:sz w:val="22"/>
          <w:szCs w:val="22"/>
          <w:lang w:val="en-GB"/>
        </w:rPr>
        <w:t>RO</w:t>
      </w:r>
      <w:r w:rsidR="00EF38CA">
        <w:rPr>
          <w:rFonts w:ascii="Avenir Next" w:hAnsi="Avenir Next" w:cs="Arial"/>
          <w:color w:val="FF0000"/>
          <w:sz w:val="22"/>
          <w:szCs w:val="22"/>
          <w:lang w:val="en-GB"/>
        </w:rPr>
        <w:t>") pursuant to Part V of The Act (sections 91A-J). VP is entitled to present a petition to the Grand Court for an RO appointment provided that it is or is likely to become unable to pay its debts and it intends to present a compromise or arrangement to creditors.  The petition can be presented by the directors of VP without a resolution from shareholders, nor there being any express power arising from the company's articles. Protection arises via this process in the form of a moratorium on claims being made or persisting against VP, arising automatically on the filing of the RO application and having extraterritorial effect. Whilst protection is largely afforded to VP, secured creditors (like BITB, in part) remain able to enforce their security without leave of the Court or without accord to the RO.</w:t>
      </w:r>
    </w:p>
    <w:p w14:paraId="76CBDC07" w14:textId="77777777" w:rsidR="00EF38CA" w:rsidRPr="00EF38CA" w:rsidRDefault="00EF38CA" w:rsidP="00EF38CA">
      <w:pPr>
        <w:pStyle w:val="ListParagraph"/>
        <w:rPr>
          <w:rFonts w:ascii="Avenir Next" w:hAnsi="Avenir Next" w:cs="Arial"/>
          <w:color w:val="FF0000"/>
          <w:sz w:val="22"/>
          <w:szCs w:val="22"/>
          <w:lang w:val="en-GB"/>
        </w:rPr>
      </w:pPr>
    </w:p>
    <w:p w14:paraId="1F4FF4BE" w14:textId="383ACFEB" w:rsidR="00EF38CA" w:rsidRDefault="00EF38CA" w:rsidP="00121DB0">
      <w:pPr>
        <w:pStyle w:val="ListParagraph"/>
        <w:numPr>
          <w:ilvl w:val="0"/>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If VP successfully obtains the appointment of an RO, it is unclear whether and what role the Rackham family (existing management) will continue to have a role in managing the company once an RO is appointed. It </w:t>
      </w:r>
      <w:r w:rsidR="00BE48EF">
        <w:rPr>
          <w:rFonts w:ascii="Avenir Next" w:hAnsi="Avenir Next" w:cs="Arial"/>
          <w:color w:val="FF0000"/>
          <w:sz w:val="22"/>
          <w:szCs w:val="22"/>
          <w:lang w:val="en-GB"/>
        </w:rPr>
        <w:t xml:space="preserve">has been shown recently (in </w:t>
      </w:r>
      <w:r w:rsidR="00BE48EF">
        <w:rPr>
          <w:rFonts w:ascii="Avenir Next" w:hAnsi="Avenir Next" w:cs="Arial"/>
          <w:color w:val="FF0000"/>
          <w:sz w:val="22"/>
          <w:szCs w:val="22"/>
          <w:u w:val="single"/>
          <w:lang w:val="en-GB"/>
        </w:rPr>
        <w:t xml:space="preserve">In the matter of </w:t>
      </w:r>
      <w:proofErr w:type="spellStart"/>
      <w:r w:rsidR="00BE48EF">
        <w:rPr>
          <w:rFonts w:ascii="Avenir Next" w:hAnsi="Avenir Next" w:cs="Arial"/>
          <w:color w:val="FF0000"/>
          <w:sz w:val="22"/>
          <w:szCs w:val="22"/>
          <w:u w:val="single"/>
          <w:lang w:val="en-GB"/>
        </w:rPr>
        <w:t>Oriente</w:t>
      </w:r>
      <w:proofErr w:type="spellEnd"/>
      <w:r w:rsidR="00BE48EF">
        <w:rPr>
          <w:rFonts w:ascii="Avenir Next" w:hAnsi="Avenir Next" w:cs="Arial"/>
          <w:color w:val="FF0000"/>
          <w:sz w:val="22"/>
          <w:szCs w:val="22"/>
          <w:u w:val="single"/>
          <w:lang w:val="en-GB"/>
        </w:rPr>
        <w:t xml:space="preserve"> Group Limited </w:t>
      </w:r>
      <w:r w:rsidR="00BE48EF">
        <w:rPr>
          <w:rFonts w:ascii="Avenir Next" w:hAnsi="Avenir Next" w:cs="Arial"/>
          <w:color w:val="FF0000"/>
          <w:sz w:val="22"/>
          <w:szCs w:val="22"/>
          <w:lang w:val="en-GB"/>
        </w:rPr>
        <w:t>– FS</w:t>
      </w:r>
      <w:bookmarkStart w:id="1" w:name="_GoBack"/>
      <w:bookmarkEnd w:id="1"/>
      <w:r w:rsidR="00BE48EF">
        <w:rPr>
          <w:rFonts w:ascii="Avenir Next" w:hAnsi="Avenir Next" w:cs="Arial"/>
          <w:color w:val="FF0000"/>
          <w:sz w:val="22"/>
          <w:szCs w:val="22"/>
          <w:lang w:val="en-GB"/>
        </w:rPr>
        <w:t xml:space="preserve">D 231 of 2022 (IKJ)) </w:t>
      </w:r>
      <w:r>
        <w:rPr>
          <w:rFonts w:ascii="Avenir Next" w:hAnsi="Avenir Next" w:cs="Arial"/>
          <w:color w:val="FF0000"/>
          <w:sz w:val="22"/>
          <w:szCs w:val="22"/>
          <w:lang w:val="en-GB"/>
        </w:rPr>
        <w:t>that the Grand Court will determine what powers of directors (if any) remain and those that will be vested in the RO, in the same way as the Grand Court does with provisional liquidation appointments.</w:t>
      </w:r>
    </w:p>
    <w:p w14:paraId="49EE3478" w14:textId="77777777" w:rsidR="00BE48EF" w:rsidRPr="00BE48EF" w:rsidRDefault="00BE48EF" w:rsidP="00BE48EF">
      <w:pPr>
        <w:pStyle w:val="ListParagraph"/>
        <w:rPr>
          <w:rFonts w:ascii="Avenir Next" w:hAnsi="Avenir Next" w:cs="Arial"/>
          <w:color w:val="FF0000"/>
          <w:sz w:val="22"/>
          <w:szCs w:val="22"/>
          <w:lang w:val="en-GB"/>
        </w:rPr>
      </w:pPr>
    </w:p>
    <w:p w14:paraId="5CA64AEE" w14:textId="77777777" w:rsidR="00BE48EF" w:rsidRDefault="00BE48EF" w:rsidP="00121DB0">
      <w:pPr>
        <w:pStyle w:val="ListParagraph"/>
        <w:numPr>
          <w:ilvl w:val="0"/>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Before approving any proposed restructuring of VP, for example by way of a scheme of arrangement, is governed by Order 102, rule 20 of the GCR and Practice Direction 2/2010. There is a three stage process after filing of the petition for schemes:</w:t>
      </w:r>
    </w:p>
    <w:p w14:paraId="2EB1D31E" w14:textId="77777777" w:rsidR="00BE48EF" w:rsidRPr="00BE48EF" w:rsidRDefault="00BE48EF" w:rsidP="00BE48EF">
      <w:pPr>
        <w:pStyle w:val="ListParagraph"/>
        <w:rPr>
          <w:rFonts w:ascii="Avenir Next" w:hAnsi="Avenir Next" w:cs="Arial"/>
          <w:color w:val="FF0000"/>
          <w:sz w:val="22"/>
          <w:szCs w:val="22"/>
          <w:lang w:val="en-GB"/>
        </w:rPr>
      </w:pPr>
    </w:p>
    <w:p w14:paraId="59C5FFC7" w14:textId="0E9DEEC7" w:rsidR="00BE48EF" w:rsidRDefault="00BE48EF" w:rsidP="00BE48EF">
      <w:pPr>
        <w:pStyle w:val="ListParagraph"/>
        <w:numPr>
          <w:ilvl w:val="1"/>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In the application, an order must be sought for a meeting of creditors to be convened for the purpose of approving the scheme, i.e. the convening hearing. Details of the scheme are included in scheme documentation to be distributed to each scheme participant, as well as being advertised (once approved).At this hearing, the Grand Court must be satisfied that the scheme documentation provides all available information reasonably necessary for the scheme creditors to make an informed decision regarding the proposal. </w:t>
      </w:r>
    </w:p>
    <w:p w14:paraId="00EBBCF9" w14:textId="77777777" w:rsidR="00BE48EF" w:rsidRDefault="00BE48EF" w:rsidP="00BE48EF">
      <w:pPr>
        <w:pStyle w:val="ListParagraph"/>
        <w:ind w:left="1440"/>
        <w:jc w:val="both"/>
        <w:rPr>
          <w:rFonts w:ascii="Avenir Next" w:hAnsi="Avenir Next" w:cs="Arial"/>
          <w:color w:val="FF0000"/>
          <w:sz w:val="22"/>
          <w:szCs w:val="22"/>
          <w:lang w:val="en-GB"/>
        </w:rPr>
      </w:pPr>
    </w:p>
    <w:p w14:paraId="66372261" w14:textId="6B961AB6" w:rsidR="00BE48EF" w:rsidRDefault="00BE48EF" w:rsidP="00BE48EF">
      <w:pPr>
        <w:pStyle w:val="ListParagraph"/>
        <w:numPr>
          <w:ilvl w:val="1"/>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The scheme proposal(s) are considered at meetings held pursuant to the convening hearing order and will result in an approval or rejection, i.e. the scheme meeting. For this creditor scheme, the scheme must be approved by a majority in number (more than 50%) and at least 75% in value of creditors (section 86(2) of The Act).</w:t>
      </w:r>
    </w:p>
    <w:p w14:paraId="0C4122FC" w14:textId="4CE82B4E" w:rsidR="00BE48EF" w:rsidRPr="00BE48EF" w:rsidRDefault="00BE48EF" w:rsidP="00BE48EF">
      <w:pPr>
        <w:jc w:val="both"/>
        <w:rPr>
          <w:rFonts w:ascii="Avenir Next" w:hAnsi="Avenir Next" w:cs="Arial"/>
          <w:color w:val="FF0000"/>
          <w:sz w:val="22"/>
          <w:szCs w:val="22"/>
          <w:lang w:val="en-GB"/>
        </w:rPr>
      </w:pPr>
    </w:p>
    <w:p w14:paraId="7D97FD51" w14:textId="6F6269C9" w:rsidR="00BE48EF" w:rsidRDefault="00BE48EF" w:rsidP="00BE48EF">
      <w:pPr>
        <w:pStyle w:val="ListParagraph"/>
        <w:numPr>
          <w:ilvl w:val="1"/>
          <w:numId w:val="45"/>
        </w:numPr>
        <w:jc w:val="both"/>
        <w:rPr>
          <w:rFonts w:ascii="Avenir Next" w:hAnsi="Avenir Next" w:cs="Arial"/>
          <w:color w:val="FF0000"/>
          <w:sz w:val="22"/>
          <w:szCs w:val="22"/>
          <w:lang w:val="en-GB"/>
        </w:rPr>
      </w:pPr>
      <w:r>
        <w:rPr>
          <w:rFonts w:ascii="Avenir Next" w:hAnsi="Avenir Next" w:cs="Arial"/>
          <w:color w:val="FF0000"/>
          <w:sz w:val="22"/>
          <w:szCs w:val="22"/>
          <w:lang w:val="en-GB"/>
        </w:rPr>
        <w:t>If approval is obtained via the scheme meeting, an application is then made to the Grand Court for approval and or sanction of the scheme, i.e. the scheme hearing. If approved by the requisite majorities, the scheme requires sanction by the Court before becoming binding on all creditors, contributories and the company (section 86(2) of The Act).</w:t>
      </w:r>
    </w:p>
    <w:p w14:paraId="05A8E234" w14:textId="77777777" w:rsidR="00BE48EF" w:rsidRPr="00BE48EF" w:rsidRDefault="00BE48EF" w:rsidP="00BE48EF">
      <w:pPr>
        <w:pStyle w:val="ListParagraph"/>
        <w:rPr>
          <w:rFonts w:ascii="Avenir Next" w:hAnsi="Avenir Next" w:cs="Arial"/>
          <w:color w:val="FF0000"/>
          <w:sz w:val="22"/>
          <w:szCs w:val="22"/>
          <w:lang w:val="en-GB"/>
        </w:rPr>
      </w:pPr>
    </w:p>
    <w:p w14:paraId="394CA5D1" w14:textId="2CB00E97" w:rsidR="00952187" w:rsidRPr="003E79B3" w:rsidRDefault="00BE48EF" w:rsidP="003E79B3">
      <w:pPr>
        <w:pStyle w:val="ListParagraph"/>
        <w:jc w:val="both"/>
        <w:rPr>
          <w:rFonts w:ascii="Avenir Next" w:hAnsi="Avenir Next" w:cs="Arial"/>
          <w:color w:val="FF0000"/>
          <w:sz w:val="22"/>
          <w:szCs w:val="22"/>
          <w:lang w:val="en-GB"/>
        </w:rPr>
      </w:pPr>
      <w:r>
        <w:rPr>
          <w:rFonts w:ascii="Avenir Next" w:hAnsi="Avenir Next" w:cs="Arial"/>
          <w:color w:val="FF0000"/>
          <w:sz w:val="22"/>
          <w:szCs w:val="22"/>
          <w:lang w:val="en-GB"/>
        </w:rPr>
        <w:t xml:space="preserve">In terms of approval during the above process, </w:t>
      </w:r>
      <w:r w:rsidR="003E79B3">
        <w:rPr>
          <w:rFonts w:ascii="Avenir Next" w:hAnsi="Avenir Next" w:cs="Arial"/>
          <w:color w:val="FF0000"/>
          <w:sz w:val="22"/>
          <w:szCs w:val="22"/>
          <w:lang w:val="en-GB"/>
        </w:rPr>
        <w:t>the Grand Court will concern itself with compliance with its convening orders, whether creditors are fairly represented and if the arrangement (taking into account alternatives) is one that an intelligent and honest member of the creditor class, acting for their own interest, might reasonably approve.</w:t>
      </w: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7781D" w14:textId="77777777" w:rsidR="00BE48EF" w:rsidRDefault="00BE48EF" w:rsidP="00241B44">
      <w:r>
        <w:separator/>
      </w:r>
    </w:p>
  </w:endnote>
  <w:endnote w:type="continuationSeparator" w:id="0">
    <w:p w14:paraId="21AFC00C" w14:textId="77777777" w:rsidR="00BE48EF" w:rsidRDefault="00BE48E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orbel"/>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BE48EF" w:rsidRPr="00FC7B47" w:rsidRDefault="00BE48EF"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BE48EF" w:rsidRPr="00FC7B47" w:rsidRDefault="00BE48EF"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02FFA0F6" w:rsidR="00BE48EF" w:rsidRPr="009B4976" w:rsidRDefault="00BE48EF"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E79B3">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0FD978EA" w:rsidR="00BE48EF" w:rsidRPr="009B4976" w:rsidRDefault="00BE48EF"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Pr>
        <w:rFonts w:ascii="Arial" w:hAnsi="Arial" w:cs="Arial"/>
        <w:sz w:val="18"/>
        <w:szCs w:val="18"/>
        <w:lang w:val="en-GB"/>
      </w:rPr>
      <w:t>202223-820</w:t>
    </w:r>
    <w:r w:rsidRPr="009B4976">
      <w:rPr>
        <w:rFonts w:ascii="Arial" w:hAnsi="Arial" w:cs="Arial"/>
        <w:sz w:val="18"/>
        <w:szCs w:val="18"/>
        <w:lang w:val="en-GB"/>
      </w:rPr>
      <w:t>.assessment</w:t>
    </w:r>
    <w:r>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4AB8" w14:textId="77777777" w:rsidR="00BE48EF" w:rsidRDefault="00BE48EF" w:rsidP="00241B44">
      <w:r>
        <w:separator/>
      </w:r>
    </w:p>
  </w:footnote>
  <w:footnote w:type="continuationSeparator" w:id="0">
    <w:p w14:paraId="329038C9" w14:textId="77777777" w:rsidR="00BE48EF" w:rsidRDefault="00BE48E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42A76"/>
    <w:multiLevelType w:val="hybridMultilevel"/>
    <w:tmpl w:val="BA166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73A7C"/>
    <w:multiLevelType w:val="hybridMultilevel"/>
    <w:tmpl w:val="4BC8AA0A"/>
    <w:lvl w:ilvl="0" w:tplc="0EFE93B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95F06D5"/>
    <w:multiLevelType w:val="hybridMultilevel"/>
    <w:tmpl w:val="04C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9C6198F"/>
    <w:multiLevelType w:val="hybridMultilevel"/>
    <w:tmpl w:val="04D81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20"/>
  </w:num>
  <w:num w:numId="4">
    <w:abstractNumId w:val="40"/>
  </w:num>
  <w:num w:numId="5">
    <w:abstractNumId w:val="21"/>
  </w:num>
  <w:num w:numId="6">
    <w:abstractNumId w:val="34"/>
  </w:num>
  <w:num w:numId="7">
    <w:abstractNumId w:val="42"/>
  </w:num>
  <w:num w:numId="8">
    <w:abstractNumId w:val="37"/>
  </w:num>
  <w:num w:numId="9">
    <w:abstractNumId w:val="18"/>
  </w:num>
  <w:num w:numId="10">
    <w:abstractNumId w:val="12"/>
  </w:num>
  <w:num w:numId="11">
    <w:abstractNumId w:val="14"/>
  </w:num>
  <w:num w:numId="12">
    <w:abstractNumId w:val="19"/>
  </w:num>
  <w:num w:numId="13">
    <w:abstractNumId w:val="27"/>
  </w:num>
  <w:num w:numId="14">
    <w:abstractNumId w:val="3"/>
  </w:num>
  <w:num w:numId="15">
    <w:abstractNumId w:val="15"/>
  </w:num>
  <w:num w:numId="16">
    <w:abstractNumId w:val="39"/>
  </w:num>
  <w:num w:numId="17">
    <w:abstractNumId w:val="7"/>
  </w:num>
  <w:num w:numId="18">
    <w:abstractNumId w:val="10"/>
  </w:num>
  <w:num w:numId="19">
    <w:abstractNumId w:val="30"/>
  </w:num>
  <w:num w:numId="20">
    <w:abstractNumId w:val="28"/>
  </w:num>
  <w:num w:numId="21">
    <w:abstractNumId w:val="2"/>
  </w:num>
  <w:num w:numId="22">
    <w:abstractNumId w:val="13"/>
  </w:num>
  <w:num w:numId="23">
    <w:abstractNumId w:val="44"/>
  </w:num>
  <w:num w:numId="24">
    <w:abstractNumId w:val="0"/>
  </w:num>
  <w:num w:numId="25">
    <w:abstractNumId w:val="35"/>
  </w:num>
  <w:num w:numId="26">
    <w:abstractNumId w:val="11"/>
  </w:num>
  <w:num w:numId="27">
    <w:abstractNumId w:val="16"/>
  </w:num>
  <w:num w:numId="28">
    <w:abstractNumId w:val="5"/>
  </w:num>
  <w:num w:numId="29">
    <w:abstractNumId w:val="8"/>
  </w:num>
  <w:num w:numId="30">
    <w:abstractNumId w:val="22"/>
  </w:num>
  <w:num w:numId="31">
    <w:abstractNumId w:val="29"/>
  </w:num>
  <w:num w:numId="32">
    <w:abstractNumId w:val="25"/>
  </w:num>
  <w:num w:numId="33">
    <w:abstractNumId w:val="31"/>
  </w:num>
  <w:num w:numId="34">
    <w:abstractNumId w:val="23"/>
  </w:num>
  <w:num w:numId="35">
    <w:abstractNumId w:val="17"/>
  </w:num>
  <w:num w:numId="36">
    <w:abstractNumId w:val="1"/>
  </w:num>
  <w:num w:numId="37">
    <w:abstractNumId w:val="33"/>
  </w:num>
  <w:num w:numId="38">
    <w:abstractNumId w:val="26"/>
  </w:num>
  <w:num w:numId="39">
    <w:abstractNumId w:val="38"/>
  </w:num>
  <w:num w:numId="40">
    <w:abstractNumId w:val="36"/>
  </w:num>
  <w:num w:numId="41">
    <w:abstractNumId w:val="6"/>
  </w:num>
  <w:num w:numId="42">
    <w:abstractNumId w:val="4"/>
  </w:num>
  <w:num w:numId="43">
    <w:abstractNumId w:val="32"/>
  </w:num>
  <w:num w:numId="44">
    <w:abstractNumId w:val="41"/>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7F21"/>
    <w:rsid w:val="00087FFE"/>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1DB0"/>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97627"/>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0533"/>
    <w:rsid w:val="00313ACB"/>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3E79B3"/>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4F7C1C"/>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41CA1"/>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B51E3"/>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255D"/>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B03"/>
    <w:rsid w:val="009E4DE3"/>
    <w:rsid w:val="009F275E"/>
    <w:rsid w:val="00A02163"/>
    <w:rsid w:val="00A047EE"/>
    <w:rsid w:val="00A2274A"/>
    <w:rsid w:val="00A235B7"/>
    <w:rsid w:val="00A25392"/>
    <w:rsid w:val="00A253AF"/>
    <w:rsid w:val="00A26898"/>
    <w:rsid w:val="00A27A7A"/>
    <w:rsid w:val="00A30968"/>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D785F"/>
    <w:rsid w:val="00AF228E"/>
    <w:rsid w:val="00B016A8"/>
    <w:rsid w:val="00B14819"/>
    <w:rsid w:val="00B15E2F"/>
    <w:rsid w:val="00B17AA9"/>
    <w:rsid w:val="00B30C2B"/>
    <w:rsid w:val="00B37221"/>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A5C45"/>
    <w:rsid w:val="00BB0F2B"/>
    <w:rsid w:val="00BB6D1E"/>
    <w:rsid w:val="00BC3A55"/>
    <w:rsid w:val="00BE48EF"/>
    <w:rsid w:val="00BE4FF3"/>
    <w:rsid w:val="00BF50F7"/>
    <w:rsid w:val="00C02F29"/>
    <w:rsid w:val="00C1073F"/>
    <w:rsid w:val="00C17718"/>
    <w:rsid w:val="00C20AFE"/>
    <w:rsid w:val="00C22A2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2A20"/>
    <w:rsid w:val="00D063C2"/>
    <w:rsid w:val="00D06A87"/>
    <w:rsid w:val="00D148DC"/>
    <w:rsid w:val="00D17FDC"/>
    <w:rsid w:val="00D21D8C"/>
    <w:rsid w:val="00D27CBC"/>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2394"/>
    <w:rsid w:val="00ED447D"/>
    <w:rsid w:val="00ED5BDC"/>
    <w:rsid w:val="00EE425D"/>
    <w:rsid w:val="00EE4971"/>
    <w:rsid w:val="00EE6CB0"/>
    <w:rsid w:val="00EF090E"/>
    <w:rsid w:val="00EF38CA"/>
    <w:rsid w:val="00EF5572"/>
    <w:rsid w:val="00F033DA"/>
    <w:rsid w:val="00F13691"/>
    <w:rsid w:val="00F13FB1"/>
    <w:rsid w:val="00F27CD8"/>
    <w:rsid w:val="00F30351"/>
    <w:rsid w:val="00F3323E"/>
    <w:rsid w:val="00F341F4"/>
    <w:rsid w:val="00F34F9D"/>
    <w:rsid w:val="00F35CCE"/>
    <w:rsid w:val="00F3695F"/>
    <w:rsid w:val="00F5524B"/>
    <w:rsid w:val="00F60538"/>
    <w:rsid w:val="00F61DD2"/>
    <w:rsid w:val="00F66AFF"/>
    <w:rsid w:val="00F71433"/>
    <w:rsid w:val="00F730FA"/>
    <w:rsid w:val="00F97C5B"/>
    <w:rsid w:val="00FA18CF"/>
    <w:rsid w:val="00FA3D50"/>
    <w:rsid w:val="00FB721C"/>
    <w:rsid w:val="00FB7FBD"/>
    <w:rsid w:val="00FC2063"/>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40647F"/>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91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CDE2-2BE0-4F28-B417-7796F0F7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11</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Hall</cp:lastModifiedBy>
  <cp:revision>6</cp:revision>
  <cp:lastPrinted>2019-08-27T05:42:00Z</cp:lastPrinted>
  <dcterms:created xsi:type="dcterms:W3CDTF">2023-01-07T17:02:00Z</dcterms:created>
  <dcterms:modified xsi:type="dcterms:W3CDTF">2023-01-08T17:51:00Z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