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eastAsia="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w:t>
      </w:r>
      <w:proofErr w:type="gramStart"/>
      <w:r w:rsidRPr="002F43FA">
        <w:rPr>
          <w:rFonts w:ascii="Avenir Next" w:hAnsi="Avenir Next" w:cs="Arial"/>
          <w:sz w:val="22"/>
          <w:szCs w:val="22"/>
          <w:lang w:val="en-GB"/>
        </w:rPr>
        <w:t>are</w:t>
      </w:r>
      <w:proofErr w:type="gramEnd"/>
      <w:r w:rsidRPr="002F43F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570D2B" w:rsidRDefault="00500836" w:rsidP="00500836">
      <w:pPr>
        <w:pStyle w:val="ListParagraph"/>
        <w:numPr>
          <w:ilvl w:val="0"/>
          <w:numId w:val="22"/>
        </w:numPr>
        <w:ind w:left="426"/>
        <w:jc w:val="both"/>
        <w:rPr>
          <w:rFonts w:ascii="Avenir Next" w:hAnsi="Avenir Next" w:cs="Arial"/>
          <w:sz w:val="22"/>
          <w:szCs w:val="22"/>
          <w:highlight w:val="yellow"/>
          <w:lang w:val="en-GB"/>
        </w:rPr>
      </w:pPr>
      <w:r w:rsidRPr="00570D2B">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570D2B" w:rsidRDefault="00D03AE2" w:rsidP="00D03AE2">
      <w:pPr>
        <w:pStyle w:val="ListParagraph"/>
        <w:numPr>
          <w:ilvl w:val="0"/>
          <w:numId w:val="23"/>
        </w:numPr>
        <w:ind w:left="426"/>
        <w:jc w:val="both"/>
        <w:rPr>
          <w:rFonts w:ascii="Avenir Next" w:hAnsi="Avenir Next" w:cs="Arial"/>
          <w:sz w:val="22"/>
          <w:szCs w:val="22"/>
          <w:highlight w:val="yellow"/>
        </w:rPr>
      </w:pPr>
      <w:r w:rsidRPr="00570D2B">
        <w:rPr>
          <w:rFonts w:ascii="Avenir Next" w:hAnsi="Avenir Next" w:cs="Arial"/>
          <w:sz w:val="22"/>
          <w:szCs w:val="22"/>
          <w:highlight w:val="yellow"/>
        </w:rPr>
        <w:t>T</w:t>
      </w:r>
      <w:r w:rsidR="00582326" w:rsidRPr="00570D2B">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570D2B" w:rsidRDefault="00771D67" w:rsidP="00992661">
      <w:pPr>
        <w:pStyle w:val="ListParagraph"/>
        <w:numPr>
          <w:ilvl w:val="0"/>
          <w:numId w:val="24"/>
        </w:numPr>
        <w:ind w:left="426"/>
        <w:rPr>
          <w:rFonts w:ascii="Avenir Next" w:hAnsi="Avenir Next" w:cs="Arial"/>
          <w:sz w:val="22"/>
          <w:szCs w:val="22"/>
          <w:highlight w:val="yellow"/>
        </w:rPr>
      </w:pPr>
      <w:r w:rsidRPr="00570D2B">
        <w:rPr>
          <w:rFonts w:ascii="Avenir Next" w:hAnsi="Avenir Next" w:cs="Arial"/>
          <w:sz w:val="22"/>
          <w:szCs w:val="22"/>
          <w:highlight w:val="yellow"/>
        </w:rPr>
        <w:t xml:space="preserve">The CCAA is available to companies with debts </w:t>
      </w:r>
      <w:r w:rsidR="00992661" w:rsidRPr="00570D2B">
        <w:rPr>
          <w:rFonts w:ascii="Avenir Next" w:hAnsi="Avenir Next" w:cs="Arial"/>
          <w:sz w:val="22"/>
          <w:szCs w:val="22"/>
          <w:highlight w:val="yellow"/>
        </w:rPr>
        <w:t xml:space="preserve">of </w:t>
      </w:r>
      <w:r w:rsidRPr="00570D2B">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proofErr w:type="gramStart"/>
      <w:r w:rsidRPr="00B4609D">
        <w:rPr>
          <w:rFonts w:ascii="Avenir Next" w:hAnsi="Avenir Next" w:cs="Arial"/>
          <w:sz w:val="22"/>
          <w:szCs w:val="22"/>
        </w:rPr>
        <w:t>provide</w:t>
      </w:r>
      <w:proofErr w:type="gramEnd"/>
      <w:r w:rsidRPr="00B4609D">
        <w:rPr>
          <w:rFonts w:ascii="Avenir Next" w:hAnsi="Avenir Next" w:cs="Arial"/>
          <w:sz w:val="22"/>
          <w:szCs w:val="22"/>
        </w:rPr>
        <w:t xml:space="preserv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proofErr w:type="gramStart"/>
      <w:r w:rsidRPr="00B4609D">
        <w:rPr>
          <w:rFonts w:ascii="Avenir Next" w:hAnsi="Avenir Next" w:cs="Arial"/>
          <w:sz w:val="22"/>
          <w:szCs w:val="22"/>
        </w:rPr>
        <w:t>allow</w:t>
      </w:r>
      <w:proofErr w:type="gramEnd"/>
      <w:r w:rsidRPr="00B4609D">
        <w:rPr>
          <w:rFonts w:ascii="Avenir Next" w:hAnsi="Avenir Next" w:cs="Arial"/>
          <w:sz w:val="22"/>
          <w:szCs w:val="22"/>
        </w:rPr>
        <w:t xml:space="preserve">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proofErr w:type="gramStart"/>
      <w:r w:rsidRPr="00B4609D">
        <w:rPr>
          <w:rFonts w:ascii="Avenir Next" w:hAnsi="Avenir Next" w:cs="Arial"/>
          <w:sz w:val="22"/>
          <w:szCs w:val="22"/>
        </w:rPr>
        <w:t>provide</w:t>
      </w:r>
      <w:proofErr w:type="gramEnd"/>
      <w:r w:rsidRPr="00B4609D">
        <w:rPr>
          <w:rFonts w:ascii="Avenir Next" w:hAnsi="Avenir Next" w:cs="Arial"/>
          <w:sz w:val="22"/>
          <w:szCs w:val="22"/>
        </w:rPr>
        <w:t xml:space="preserv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570D2B" w:rsidRDefault="00B4609D" w:rsidP="00B4609D">
      <w:pPr>
        <w:pStyle w:val="ListParagraph"/>
        <w:numPr>
          <w:ilvl w:val="0"/>
          <w:numId w:val="25"/>
        </w:numPr>
        <w:ind w:left="426"/>
        <w:jc w:val="both"/>
        <w:rPr>
          <w:rFonts w:ascii="Avenir Next" w:hAnsi="Avenir Next" w:cs="Arial"/>
          <w:sz w:val="22"/>
          <w:szCs w:val="22"/>
          <w:highlight w:val="yellow"/>
        </w:rPr>
      </w:pPr>
      <w:proofErr w:type="gramStart"/>
      <w:r w:rsidRPr="00570D2B">
        <w:rPr>
          <w:rFonts w:ascii="Avenir Next" w:hAnsi="Avenir Next" w:cs="Arial"/>
          <w:sz w:val="22"/>
          <w:szCs w:val="22"/>
          <w:highlight w:val="yellow"/>
        </w:rPr>
        <w:t>all</w:t>
      </w:r>
      <w:proofErr w:type="gramEnd"/>
      <w:r w:rsidRPr="00570D2B">
        <w:rPr>
          <w:rFonts w:ascii="Avenir Next" w:hAnsi="Avenir Next" w:cs="Arial"/>
          <w:sz w:val="22"/>
          <w:szCs w:val="22"/>
          <w:highlight w:val="yellow"/>
        </w:rPr>
        <w:t xml:space="preserve"> of the above statements</w:t>
      </w:r>
      <w:r w:rsidR="00D40715" w:rsidRPr="00570D2B">
        <w:rPr>
          <w:rFonts w:ascii="Avenir Next" w:hAnsi="Avenir Next" w:cs="Arial"/>
          <w:sz w:val="22"/>
          <w:szCs w:val="22"/>
          <w:highlight w:val="yellow"/>
        </w:rPr>
        <w:t xml:space="preserve"> are correct</w:t>
      </w:r>
      <w:r w:rsidRPr="00570D2B">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570D2B"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570D2B">
        <w:rPr>
          <w:rFonts w:ascii="Avenir Next" w:hAnsi="Avenir Next" w:cs="Arial"/>
          <w:sz w:val="22"/>
          <w:szCs w:val="22"/>
          <w:highlight w:val="yellow"/>
          <w:lang w:val="en-GB"/>
        </w:rPr>
        <w:t>A</w:t>
      </w:r>
      <w:r w:rsidR="00012B29" w:rsidRPr="00570D2B">
        <w:rPr>
          <w:rFonts w:ascii="Avenir Next" w:hAnsi="Avenir Next" w:cs="Arial"/>
          <w:sz w:val="22"/>
          <w:szCs w:val="22"/>
          <w:highlight w:val="yellow"/>
          <w:lang w:val="en-GB"/>
        </w:rPr>
        <w:t xml:space="preserve"> person whose liabilities to creditors provable as claims under the BIA amount to at least CAD 10,000</w:t>
      </w:r>
      <w:r w:rsidRPr="00570D2B">
        <w:rPr>
          <w:rFonts w:ascii="Avenir Next" w:hAnsi="Avenir Next" w:cs="Arial"/>
          <w:sz w:val="22"/>
          <w:szCs w:val="22"/>
          <w:highlight w:val="yellow"/>
          <w:lang w:val="en-GB"/>
        </w:rPr>
        <w:t>.</w:t>
      </w:r>
      <w:r w:rsidR="00012B29" w:rsidRPr="00570D2B">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r>
        <w:rPr>
          <w:rFonts w:ascii="Avenir Next" w:hAnsi="Avenir Next" w:cs="Arial"/>
          <w:sz w:val="22"/>
          <w:szCs w:val="22"/>
          <w:lang w:val="en-GB"/>
        </w:rPr>
        <w:t>i</w:t>
      </w:r>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FA014C" w:rsidRDefault="00351EF7" w:rsidP="00351EF7">
      <w:pPr>
        <w:pStyle w:val="ListParagraph"/>
        <w:numPr>
          <w:ilvl w:val="0"/>
          <w:numId w:val="27"/>
        </w:numPr>
        <w:ind w:left="426"/>
        <w:jc w:val="both"/>
        <w:rPr>
          <w:rFonts w:ascii="Avenir Next" w:hAnsi="Avenir Next" w:cs="Arial"/>
          <w:sz w:val="22"/>
          <w:szCs w:val="22"/>
          <w:highlight w:val="yellow"/>
          <w:lang w:val="en-GB"/>
        </w:rPr>
      </w:pPr>
      <w:proofErr w:type="gramStart"/>
      <w:r w:rsidRPr="00FA014C">
        <w:rPr>
          <w:rFonts w:ascii="Avenir Next" w:hAnsi="Avenir Next" w:cs="Arial"/>
          <w:sz w:val="22"/>
          <w:szCs w:val="22"/>
          <w:highlight w:val="yellow"/>
          <w:lang w:val="en-GB"/>
        </w:rPr>
        <w:t>continue</w:t>
      </w:r>
      <w:proofErr w:type="gramEnd"/>
      <w:r w:rsidRPr="00FA014C">
        <w:rPr>
          <w:rFonts w:ascii="Avenir Next" w:hAnsi="Avenir Next" w:cs="Arial"/>
          <w:sz w:val="22"/>
          <w:szCs w:val="22"/>
          <w:highlight w:val="yellow"/>
          <w:lang w:val="en-GB"/>
        </w:rPr>
        <w:t xml:space="preserv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proofErr w:type="gramStart"/>
      <w:r w:rsidRPr="00351EF7">
        <w:rPr>
          <w:rFonts w:ascii="Avenir Next" w:hAnsi="Avenir Next" w:cs="Arial"/>
          <w:sz w:val="22"/>
          <w:szCs w:val="22"/>
          <w:lang w:val="en-GB"/>
        </w:rPr>
        <w:t>no</w:t>
      </w:r>
      <w:proofErr w:type="gramEnd"/>
      <w:r w:rsidRPr="00351EF7">
        <w:rPr>
          <w:rFonts w:ascii="Avenir Next" w:hAnsi="Avenir Next" w:cs="Arial"/>
          <w:sz w:val="22"/>
          <w:szCs w:val="22"/>
          <w:lang w:val="en-GB"/>
        </w:rPr>
        <w:t xml:space="preserve">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proofErr w:type="gramStart"/>
      <w:r w:rsidRPr="00351EF7">
        <w:rPr>
          <w:rFonts w:ascii="Avenir Next" w:hAnsi="Avenir Next" w:cs="Arial"/>
          <w:sz w:val="22"/>
          <w:szCs w:val="22"/>
          <w:lang w:val="en-GB"/>
        </w:rPr>
        <w:t>cannot</w:t>
      </w:r>
      <w:proofErr w:type="gramEnd"/>
      <w:r w:rsidRPr="00351EF7">
        <w:rPr>
          <w:rFonts w:ascii="Avenir Next" w:hAnsi="Avenir Next" w:cs="Arial"/>
          <w:sz w:val="22"/>
          <w:szCs w:val="22"/>
          <w:lang w:val="en-GB"/>
        </w:rPr>
        <w:t xml:space="preserve">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proofErr w:type="gramStart"/>
      <w:r w:rsidRPr="00351EF7">
        <w:rPr>
          <w:rFonts w:ascii="Avenir Next" w:hAnsi="Avenir Next" w:cs="Arial"/>
          <w:sz w:val="22"/>
          <w:szCs w:val="22"/>
          <w:lang w:val="en-GB"/>
        </w:rPr>
        <w:t>cannot</w:t>
      </w:r>
      <w:proofErr w:type="gramEnd"/>
      <w:r w:rsidRPr="00351EF7">
        <w:rPr>
          <w:rFonts w:ascii="Avenir Next" w:hAnsi="Avenir Next" w:cs="Arial"/>
          <w:sz w:val="22"/>
          <w:szCs w:val="22"/>
          <w:lang w:val="en-GB"/>
        </w:rPr>
        <w:t xml:space="preserve">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True</w:t>
      </w:r>
      <w:r w:rsidR="00F47A63" w:rsidRPr="002F43FA">
        <w:rPr>
          <w:rFonts w:ascii="Avenir Next" w:hAnsi="Avenir Next" w:cs="Arial"/>
          <w:iCs/>
          <w:sz w:val="22"/>
          <w:szCs w:val="22"/>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FA014C"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FA014C">
        <w:rPr>
          <w:rFonts w:ascii="Avenir Next" w:hAnsi="Avenir Next" w:cs="Arial"/>
          <w:iCs/>
          <w:sz w:val="22"/>
          <w:szCs w:val="22"/>
          <w:highlight w:val="yellow"/>
          <w:lang w:val="en-GB"/>
        </w:rPr>
        <w:t>False</w:t>
      </w:r>
      <w:r w:rsidR="00F47A63" w:rsidRPr="00FA014C">
        <w:rPr>
          <w:rFonts w:ascii="Avenir Next" w:hAnsi="Avenir Next" w:cs="Arial"/>
          <w:iCs/>
          <w:sz w:val="22"/>
          <w:szCs w:val="22"/>
          <w:highlight w:val="yellow"/>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FA014C"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FA014C">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FA014C"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FA014C">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FA014C"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FA014C">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7EAF4DE2" w:rsidR="006F4E04" w:rsidRDefault="00FA014C" w:rsidP="009B7C9D">
      <w:pPr>
        <w:jc w:val="both"/>
        <w:rPr>
          <w:rFonts w:ascii="Avenir Next" w:hAnsi="Avenir Next" w:cs="Arial"/>
          <w:color w:val="FF0000"/>
          <w:sz w:val="22"/>
          <w:szCs w:val="22"/>
          <w:lang w:val="en-GB"/>
        </w:rPr>
      </w:pPr>
      <w:r>
        <w:rPr>
          <w:rFonts w:ascii="Avenir Next" w:hAnsi="Avenir Next" w:cs="Arial"/>
          <w:color w:val="FF0000"/>
          <w:sz w:val="22"/>
          <w:szCs w:val="22"/>
          <w:lang w:val="en-GB"/>
        </w:rPr>
        <w:t>Three recognised purposes of the BIA are:</w:t>
      </w:r>
    </w:p>
    <w:p w14:paraId="264BD150" w14:textId="6583C586" w:rsidR="00FA014C" w:rsidRDefault="00FA014C" w:rsidP="009B7C9D">
      <w:pPr>
        <w:jc w:val="both"/>
        <w:rPr>
          <w:rFonts w:ascii="Avenir Next" w:hAnsi="Avenir Next" w:cs="Arial"/>
          <w:color w:val="FF0000"/>
          <w:sz w:val="22"/>
          <w:szCs w:val="22"/>
          <w:lang w:val="en-GB"/>
        </w:rPr>
      </w:pPr>
    </w:p>
    <w:p w14:paraId="0B3D9FE4" w14:textId="3E1D1730" w:rsidR="00FA014C" w:rsidRDefault="00FA014C" w:rsidP="00FA014C">
      <w:pPr>
        <w:pStyle w:val="ListParagraph"/>
        <w:numPr>
          <w:ilvl w:val="0"/>
          <w:numId w:val="31"/>
        </w:numPr>
        <w:jc w:val="both"/>
        <w:rPr>
          <w:rFonts w:ascii="Avenir Next" w:hAnsi="Avenir Next" w:cs="Arial"/>
          <w:color w:val="FF0000"/>
          <w:sz w:val="22"/>
          <w:szCs w:val="22"/>
          <w:lang w:val="en-GB"/>
        </w:rPr>
      </w:pPr>
      <w:r>
        <w:rPr>
          <w:rFonts w:ascii="Avenir Next" w:hAnsi="Avenir Next" w:cs="Arial"/>
          <w:color w:val="FF0000"/>
          <w:sz w:val="22"/>
          <w:szCs w:val="22"/>
          <w:lang w:val="en-GB"/>
        </w:rPr>
        <w:t>Enabling an investigation into the affairs of a bankrupt;</w:t>
      </w:r>
    </w:p>
    <w:p w14:paraId="7D0F6D8B" w14:textId="251A9AEE" w:rsidR="00FA014C" w:rsidRDefault="00FA014C" w:rsidP="00FA014C">
      <w:pPr>
        <w:pStyle w:val="ListParagraph"/>
        <w:numPr>
          <w:ilvl w:val="0"/>
          <w:numId w:val="31"/>
        </w:numPr>
        <w:jc w:val="both"/>
        <w:rPr>
          <w:rFonts w:ascii="Avenir Next" w:hAnsi="Avenir Next" w:cs="Arial"/>
          <w:color w:val="FF0000"/>
          <w:sz w:val="22"/>
          <w:szCs w:val="22"/>
          <w:lang w:val="en-GB"/>
        </w:rPr>
      </w:pPr>
      <w:r>
        <w:rPr>
          <w:rFonts w:ascii="Avenir Next" w:hAnsi="Avenir Next" w:cs="Arial"/>
          <w:color w:val="FF0000"/>
          <w:sz w:val="22"/>
          <w:szCs w:val="22"/>
          <w:lang w:val="en-GB"/>
        </w:rPr>
        <w:t>Providing for financial rehabilitation of insolvents; and</w:t>
      </w:r>
    </w:p>
    <w:p w14:paraId="08B65449" w14:textId="4407C254" w:rsidR="00FA014C" w:rsidRPr="00FA014C" w:rsidRDefault="00FA014C" w:rsidP="00FA014C">
      <w:pPr>
        <w:pStyle w:val="ListParagraph"/>
        <w:numPr>
          <w:ilvl w:val="0"/>
          <w:numId w:val="31"/>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Providing for collective proceeding and orderly and fair distribution of bankrupt property amongst unsecured creditors </w:t>
      </w:r>
      <w:proofErr w:type="spellStart"/>
      <w:r w:rsidRPr="00FA014C">
        <w:rPr>
          <w:rFonts w:ascii="Avenir Next" w:hAnsi="Avenir Next" w:cs="Arial"/>
          <w:i/>
          <w:color w:val="FF0000"/>
          <w:sz w:val="22"/>
          <w:szCs w:val="22"/>
          <w:lang w:val="en-GB"/>
        </w:rPr>
        <w:t>pari</w:t>
      </w:r>
      <w:proofErr w:type="spellEnd"/>
      <w:r w:rsidRPr="00FA014C">
        <w:rPr>
          <w:rFonts w:ascii="Avenir Next" w:hAnsi="Avenir Next" w:cs="Arial"/>
          <w:i/>
          <w:color w:val="FF0000"/>
          <w:sz w:val="22"/>
          <w:szCs w:val="22"/>
          <w:lang w:val="en-GB"/>
        </w:rPr>
        <w:t xml:space="preserve"> </w:t>
      </w:r>
      <w:proofErr w:type="spellStart"/>
      <w:r w:rsidRPr="00FA014C">
        <w:rPr>
          <w:rFonts w:ascii="Avenir Next" w:hAnsi="Avenir Next" w:cs="Arial"/>
          <w:i/>
          <w:color w:val="FF0000"/>
          <w:sz w:val="22"/>
          <w:szCs w:val="22"/>
          <w:lang w:val="en-GB"/>
        </w:rPr>
        <w:t>passu</w:t>
      </w:r>
      <w:proofErr w:type="spellEnd"/>
      <w:r>
        <w:rPr>
          <w:rFonts w:ascii="Avenir Next" w:hAnsi="Avenir Next" w:cs="Arial"/>
          <w:color w:val="FF0000"/>
          <w:sz w:val="22"/>
          <w:szCs w:val="22"/>
          <w:lang w:val="en-GB"/>
        </w:rPr>
        <w:t>.</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3114D5B5" w14:textId="77777777" w:rsidR="00FA014C" w:rsidRDefault="00FA014C" w:rsidP="006F4E04">
      <w:pPr>
        <w:jc w:val="both"/>
        <w:rPr>
          <w:rFonts w:ascii="Avenir Next" w:hAnsi="Avenir Next" w:cs="Arial"/>
          <w:color w:val="FF0000"/>
          <w:sz w:val="22"/>
          <w:szCs w:val="22"/>
          <w:lang w:val="en-GB"/>
        </w:rPr>
      </w:pPr>
      <w:bookmarkStart w:id="0" w:name="_Hlk17709135"/>
      <w:r>
        <w:rPr>
          <w:rFonts w:ascii="Avenir Next" w:hAnsi="Avenir Next" w:cs="Arial"/>
          <w:color w:val="FF0000"/>
          <w:sz w:val="22"/>
          <w:szCs w:val="22"/>
          <w:lang w:val="en-GB"/>
        </w:rPr>
        <w:t xml:space="preserve">Certain property of individuals is exempt from seizure under provincial legislation and exempt from being distributed to creditors. </w:t>
      </w:r>
    </w:p>
    <w:p w14:paraId="140512AF" w14:textId="77777777" w:rsidR="00FA014C" w:rsidRDefault="00FA014C" w:rsidP="006F4E04">
      <w:pPr>
        <w:jc w:val="both"/>
        <w:rPr>
          <w:rFonts w:ascii="Avenir Next" w:hAnsi="Avenir Next" w:cs="Arial"/>
          <w:color w:val="FF0000"/>
          <w:sz w:val="22"/>
          <w:szCs w:val="22"/>
          <w:lang w:val="en-GB"/>
        </w:rPr>
      </w:pPr>
    </w:p>
    <w:p w14:paraId="793404A4" w14:textId="434C4C70" w:rsidR="006F4E04" w:rsidRPr="00FA014C" w:rsidRDefault="00FA014C" w:rsidP="00FA014C">
      <w:pPr>
        <w:jc w:val="both"/>
        <w:rPr>
          <w:rFonts w:ascii="Avenir Next" w:hAnsi="Avenir Next" w:cs="Arial"/>
          <w:color w:val="FF0000"/>
          <w:sz w:val="22"/>
          <w:szCs w:val="22"/>
          <w:lang w:val="en-GB"/>
        </w:rPr>
      </w:pPr>
      <w:r>
        <w:rPr>
          <w:rFonts w:ascii="Avenir Next" w:hAnsi="Avenir Next" w:cs="Arial"/>
          <w:color w:val="FF0000"/>
          <w:sz w:val="22"/>
          <w:szCs w:val="22"/>
          <w:lang w:val="en-GB"/>
        </w:rPr>
        <w:t>Additionally, individuals can keep a portion of income earned in order to maintain a reasonable standard of living, pursuant to standards set by the Superintendent of Bankruptcy.</w:t>
      </w: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2C84B4EE" w:rsidR="006F4E04" w:rsidRDefault="005E799B" w:rsidP="006F4E04">
      <w:pPr>
        <w:jc w:val="both"/>
        <w:rPr>
          <w:rFonts w:ascii="Avenir Next" w:hAnsi="Avenir Next" w:cs="Arial"/>
          <w:color w:val="FF0000"/>
          <w:sz w:val="22"/>
          <w:szCs w:val="22"/>
          <w:lang w:val="en-GB"/>
        </w:rPr>
      </w:pPr>
      <w:r>
        <w:rPr>
          <w:rFonts w:ascii="Avenir Next" w:hAnsi="Avenir Next" w:cs="Arial"/>
          <w:color w:val="FF0000"/>
          <w:sz w:val="22"/>
          <w:szCs w:val="22"/>
          <w:lang w:val="en-GB"/>
        </w:rPr>
        <w:t>Three types of court-officers that can be appointed in insolvency proceedings are:</w:t>
      </w:r>
    </w:p>
    <w:p w14:paraId="7A1DE334" w14:textId="49765F0F" w:rsidR="005E799B" w:rsidRDefault="005E799B" w:rsidP="006F4E04">
      <w:pPr>
        <w:jc w:val="both"/>
        <w:rPr>
          <w:rFonts w:ascii="Avenir Next" w:hAnsi="Avenir Next" w:cs="Arial"/>
          <w:color w:val="FF0000"/>
          <w:sz w:val="22"/>
          <w:szCs w:val="22"/>
          <w:lang w:val="en-GB"/>
        </w:rPr>
      </w:pPr>
    </w:p>
    <w:p w14:paraId="5D298F40" w14:textId="3FE960F1" w:rsidR="005E799B" w:rsidRDefault="005E799B" w:rsidP="005E799B">
      <w:pPr>
        <w:pStyle w:val="ListParagraph"/>
        <w:numPr>
          <w:ilvl w:val="0"/>
          <w:numId w:val="32"/>
        </w:numPr>
        <w:jc w:val="both"/>
        <w:rPr>
          <w:rFonts w:ascii="Avenir Next" w:hAnsi="Avenir Next" w:cs="Arial"/>
          <w:color w:val="FF0000"/>
          <w:sz w:val="22"/>
          <w:szCs w:val="22"/>
          <w:lang w:val="en-GB"/>
        </w:rPr>
      </w:pPr>
      <w:r>
        <w:rPr>
          <w:rFonts w:ascii="Avenir Next" w:hAnsi="Avenir Next" w:cs="Arial"/>
          <w:color w:val="FF0000"/>
          <w:sz w:val="22"/>
          <w:szCs w:val="22"/>
          <w:lang w:val="en-GB"/>
        </w:rPr>
        <w:t>Trustees in bankruptcy;</w:t>
      </w:r>
    </w:p>
    <w:p w14:paraId="7738E3E6" w14:textId="4F60D065" w:rsidR="005E799B" w:rsidRDefault="00116518" w:rsidP="005E799B">
      <w:pPr>
        <w:pStyle w:val="ListParagraph"/>
        <w:numPr>
          <w:ilvl w:val="0"/>
          <w:numId w:val="32"/>
        </w:numPr>
        <w:jc w:val="both"/>
        <w:rPr>
          <w:rFonts w:ascii="Avenir Next" w:hAnsi="Avenir Next" w:cs="Arial"/>
          <w:color w:val="FF0000"/>
          <w:sz w:val="22"/>
          <w:szCs w:val="22"/>
          <w:lang w:val="en-GB"/>
        </w:rPr>
      </w:pPr>
      <w:r>
        <w:rPr>
          <w:rFonts w:ascii="Avenir Next" w:hAnsi="Avenir Next" w:cs="Arial"/>
          <w:color w:val="FF0000"/>
          <w:sz w:val="22"/>
          <w:szCs w:val="22"/>
          <w:lang w:val="en-GB"/>
        </w:rPr>
        <w:t>M</w:t>
      </w:r>
      <w:r w:rsidR="005E799B">
        <w:rPr>
          <w:rFonts w:ascii="Avenir Next" w:hAnsi="Avenir Next" w:cs="Arial"/>
          <w:color w:val="FF0000"/>
          <w:sz w:val="22"/>
          <w:szCs w:val="22"/>
          <w:lang w:val="en-GB"/>
        </w:rPr>
        <w:t xml:space="preserve">onitors in CCAA proceedings; or </w:t>
      </w:r>
    </w:p>
    <w:p w14:paraId="2F9CD5C1" w14:textId="4A601D7F" w:rsidR="005E799B" w:rsidRPr="005E799B" w:rsidRDefault="00116518" w:rsidP="005E799B">
      <w:pPr>
        <w:pStyle w:val="ListParagraph"/>
        <w:numPr>
          <w:ilvl w:val="0"/>
          <w:numId w:val="32"/>
        </w:numPr>
        <w:jc w:val="both"/>
        <w:rPr>
          <w:rFonts w:ascii="Avenir Next" w:hAnsi="Avenir Next" w:cs="Arial"/>
          <w:color w:val="FF0000"/>
          <w:sz w:val="22"/>
          <w:szCs w:val="22"/>
          <w:lang w:val="en-GB"/>
        </w:rPr>
      </w:pPr>
      <w:r>
        <w:rPr>
          <w:rFonts w:ascii="Avenir Next" w:hAnsi="Avenir Next" w:cs="Arial"/>
          <w:color w:val="FF0000"/>
          <w:sz w:val="22"/>
          <w:szCs w:val="22"/>
          <w:lang w:val="en-GB"/>
        </w:rPr>
        <w:t>Court-appointed receiver, pursuant to section 243 of the BIA.</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7AE9DD80" w:rsidR="006F4E04" w:rsidRDefault="0034070A" w:rsidP="000101F5">
      <w:pPr>
        <w:jc w:val="both"/>
        <w:rPr>
          <w:rFonts w:ascii="Avenir Next" w:hAnsi="Avenir Next" w:cs="Arial"/>
          <w:color w:val="FF0000"/>
          <w:sz w:val="22"/>
          <w:szCs w:val="22"/>
          <w:lang w:val="en-GB"/>
        </w:rPr>
      </w:pPr>
      <w:r>
        <w:rPr>
          <w:rFonts w:ascii="Avenir Next" w:hAnsi="Avenir Next" w:cs="Arial"/>
          <w:color w:val="FF0000"/>
          <w:sz w:val="22"/>
          <w:szCs w:val="22"/>
          <w:lang w:val="en-GB"/>
        </w:rPr>
        <w:t>A person is defined in section 2 of the BIA as including:</w:t>
      </w:r>
    </w:p>
    <w:p w14:paraId="09846E1B" w14:textId="121E4D1D" w:rsidR="0034070A" w:rsidRDefault="0034070A" w:rsidP="0034070A">
      <w:pPr>
        <w:jc w:val="both"/>
        <w:rPr>
          <w:rFonts w:ascii="Avenir Next" w:hAnsi="Avenir Next" w:cs="Arial"/>
          <w:color w:val="FF0000"/>
          <w:sz w:val="22"/>
          <w:szCs w:val="22"/>
          <w:lang w:val="en-GB"/>
        </w:rPr>
      </w:pPr>
    </w:p>
    <w:p w14:paraId="2F80FEF1" w14:textId="7AA36D9A" w:rsidR="0034070A" w:rsidRDefault="0034070A" w:rsidP="0034070A">
      <w:pPr>
        <w:pStyle w:val="ListParagraph"/>
        <w:numPr>
          <w:ilvl w:val="0"/>
          <w:numId w:val="34"/>
        </w:numPr>
        <w:jc w:val="both"/>
        <w:rPr>
          <w:rFonts w:ascii="Avenir Next" w:hAnsi="Avenir Next" w:cs="Arial"/>
          <w:color w:val="FF0000"/>
          <w:sz w:val="22"/>
          <w:szCs w:val="22"/>
          <w:lang w:val="en-GB"/>
        </w:rPr>
      </w:pPr>
      <w:r>
        <w:rPr>
          <w:rFonts w:ascii="Avenir Next" w:hAnsi="Avenir Next" w:cs="Arial"/>
          <w:color w:val="FF0000"/>
          <w:sz w:val="22"/>
          <w:szCs w:val="22"/>
          <w:lang w:val="en-GB"/>
        </w:rPr>
        <w:t>A partnership;</w:t>
      </w:r>
    </w:p>
    <w:p w14:paraId="6AB0B7A3" w14:textId="7E1AC665" w:rsidR="0034070A" w:rsidRDefault="0034070A" w:rsidP="0034070A">
      <w:pPr>
        <w:pStyle w:val="ListParagraph"/>
        <w:numPr>
          <w:ilvl w:val="0"/>
          <w:numId w:val="34"/>
        </w:numPr>
        <w:jc w:val="both"/>
        <w:rPr>
          <w:rFonts w:ascii="Avenir Next" w:hAnsi="Avenir Next" w:cs="Arial"/>
          <w:color w:val="FF0000"/>
          <w:sz w:val="22"/>
          <w:szCs w:val="22"/>
          <w:lang w:val="en-GB"/>
        </w:rPr>
      </w:pPr>
      <w:r>
        <w:rPr>
          <w:rFonts w:ascii="Avenir Next" w:hAnsi="Avenir Next" w:cs="Arial"/>
          <w:color w:val="FF0000"/>
          <w:sz w:val="22"/>
          <w:szCs w:val="22"/>
          <w:lang w:val="en-GB"/>
        </w:rPr>
        <w:t>An unincorporated association;</w:t>
      </w:r>
    </w:p>
    <w:p w14:paraId="6439FDA3" w14:textId="0A4BEAA8" w:rsidR="0034070A" w:rsidRDefault="0034070A" w:rsidP="0034070A">
      <w:pPr>
        <w:pStyle w:val="ListParagraph"/>
        <w:numPr>
          <w:ilvl w:val="0"/>
          <w:numId w:val="34"/>
        </w:numPr>
        <w:jc w:val="both"/>
        <w:rPr>
          <w:rFonts w:ascii="Avenir Next" w:hAnsi="Avenir Next" w:cs="Arial"/>
          <w:color w:val="FF0000"/>
          <w:sz w:val="22"/>
          <w:szCs w:val="22"/>
          <w:lang w:val="en-GB"/>
        </w:rPr>
      </w:pPr>
      <w:r>
        <w:rPr>
          <w:rFonts w:ascii="Avenir Next" w:hAnsi="Avenir Next" w:cs="Arial"/>
          <w:color w:val="FF0000"/>
          <w:sz w:val="22"/>
          <w:szCs w:val="22"/>
          <w:lang w:val="en-GB"/>
        </w:rPr>
        <w:t>A corporation;</w:t>
      </w:r>
    </w:p>
    <w:p w14:paraId="3A539F02" w14:textId="77777777" w:rsidR="0034070A" w:rsidRDefault="0034070A" w:rsidP="0034070A">
      <w:pPr>
        <w:pStyle w:val="ListParagraph"/>
        <w:numPr>
          <w:ilvl w:val="0"/>
          <w:numId w:val="34"/>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 cooperative society or cooperative organisation, </w:t>
      </w:r>
    </w:p>
    <w:p w14:paraId="4F272CDC" w14:textId="21E2645A" w:rsidR="00C57600" w:rsidRPr="0034070A" w:rsidRDefault="0034070A" w:rsidP="0007402F">
      <w:pPr>
        <w:pStyle w:val="ListParagraph"/>
        <w:numPr>
          <w:ilvl w:val="0"/>
          <w:numId w:val="34"/>
        </w:numPr>
        <w:jc w:val="both"/>
        <w:rPr>
          <w:rFonts w:ascii="Avenir Next" w:hAnsi="Avenir Next" w:cs="Arial"/>
          <w:color w:val="FF0000"/>
          <w:sz w:val="22"/>
          <w:szCs w:val="22"/>
          <w:lang w:val="en-GB"/>
        </w:rPr>
      </w:pPr>
      <w:proofErr w:type="gramStart"/>
      <w:r w:rsidRPr="0034070A">
        <w:rPr>
          <w:rFonts w:ascii="Avenir Next" w:hAnsi="Avenir Next" w:cs="Arial"/>
          <w:color w:val="FF0000"/>
          <w:sz w:val="22"/>
          <w:szCs w:val="22"/>
          <w:lang w:val="en-GB"/>
        </w:rPr>
        <w:t>their</w:t>
      </w:r>
      <w:proofErr w:type="gramEnd"/>
      <w:r w:rsidRPr="0034070A">
        <w:rPr>
          <w:rFonts w:ascii="Avenir Next" w:hAnsi="Avenir Next" w:cs="Arial"/>
          <w:color w:val="FF0000"/>
          <w:sz w:val="22"/>
          <w:szCs w:val="22"/>
          <w:lang w:val="en-GB"/>
        </w:rPr>
        <w:t xml:space="preserve"> successors, heirs, executors, liquidators of the succession, administrators or other legal representatives of a person.</w:t>
      </w: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r w:rsidR="00ED5260">
        <w:rPr>
          <w:rFonts w:ascii="Avenir Next" w:hAnsi="Avenir Next" w:cs="Arial"/>
          <w:sz w:val="22"/>
          <w:szCs w:val="22"/>
          <w:lang w:val="en-GB"/>
        </w:rPr>
        <w:t>i</w:t>
      </w:r>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5189858A" w14:textId="7B75C912" w:rsidR="00F47A63" w:rsidRDefault="00234BC5" w:rsidP="00D67759">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Receivers are licensed professionals provided with authority to deal with a debtor company's assets. They have powers to operate and manage businesses in place of existing management, and can close the business if receivers conclude that continued operations will likely erode creditor recoveries, or where there are insufficient funds to continue the operations.  Receivership developed as an equitable remedy in Canady via the common law in order to protect secured creditors. Amendments </w:t>
      </w:r>
      <w:r>
        <w:rPr>
          <w:rFonts w:ascii="Avenir Next" w:hAnsi="Avenir Next" w:cs="Arial"/>
          <w:color w:val="FF0000"/>
          <w:sz w:val="22"/>
          <w:szCs w:val="22"/>
          <w:lang w:val="en-GB"/>
        </w:rPr>
        <w:lastRenderedPageBreak/>
        <w:t>have been implemented to the BIA to incorporate the common law developments in relation to receivership law. There are two types of receivers:</w:t>
      </w:r>
    </w:p>
    <w:p w14:paraId="70AFC2AE" w14:textId="0AA461C6" w:rsidR="00234BC5" w:rsidRDefault="00234BC5" w:rsidP="00D67759">
      <w:pPr>
        <w:jc w:val="both"/>
        <w:rPr>
          <w:rFonts w:ascii="Avenir Next" w:hAnsi="Avenir Next" w:cs="Arial"/>
          <w:color w:val="FF0000"/>
          <w:sz w:val="22"/>
          <w:szCs w:val="22"/>
          <w:lang w:val="en-GB"/>
        </w:rPr>
      </w:pPr>
    </w:p>
    <w:p w14:paraId="5F479549" w14:textId="33F3D1A9" w:rsidR="00234BC5" w:rsidRDefault="00234BC5" w:rsidP="00234BC5">
      <w:pPr>
        <w:pStyle w:val="ListParagraph"/>
        <w:numPr>
          <w:ilvl w:val="0"/>
          <w:numId w:val="35"/>
        </w:numPr>
        <w:jc w:val="both"/>
        <w:rPr>
          <w:rFonts w:ascii="Avenir Next" w:hAnsi="Avenir Next" w:cs="Arial"/>
          <w:color w:val="FF0000"/>
          <w:sz w:val="22"/>
          <w:szCs w:val="22"/>
          <w:lang w:val="en-GB"/>
        </w:rPr>
      </w:pPr>
      <w:proofErr w:type="gramStart"/>
      <w:r w:rsidRPr="00234BC5">
        <w:rPr>
          <w:rFonts w:ascii="Avenir Next" w:hAnsi="Avenir Next" w:cs="Arial"/>
          <w:color w:val="FF0000"/>
          <w:sz w:val="22"/>
          <w:szCs w:val="22"/>
          <w:u w:val="single"/>
          <w:lang w:val="en-GB"/>
        </w:rPr>
        <w:t>private</w:t>
      </w:r>
      <w:proofErr w:type="gramEnd"/>
      <w:r w:rsidRPr="00234BC5">
        <w:rPr>
          <w:rFonts w:ascii="Avenir Next" w:hAnsi="Avenir Next" w:cs="Arial"/>
          <w:color w:val="FF0000"/>
          <w:sz w:val="22"/>
          <w:szCs w:val="22"/>
          <w:u w:val="single"/>
          <w:lang w:val="en-GB"/>
        </w:rPr>
        <w:t xml:space="preserve"> receivers</w:t>
      </w:r>
      <w:r>
        <w:rPr>
          <w:rFonts w:ascii="Avenir Next" w:hAnsi="Avenir Next" w:cs="Arial"/>
          <w:color w:val="FF0000"/>
          <w:sz w:val="22"/>
          <w:szCs w:val="22"/>
          <w:lang w:val="en-GB"/>
        </w:rPr>
        <w:t xml:space="preserve">: </w:t>
      </w:r>
      <w:r w:rsidR="000C68A1">
        <w:rPr>
          <w:rFonts w:ascii="Avenir Next" w:hAnsi="Avenir Next" w:cs="Arial"/>
          <w:color w:val="FF0000"/>
          <w:sz w:val="22"/>
          <w:szCs w:val="22"/>
          <w:lang w:val="en-GB"/>
        </w:rPr>
        <w:t>the right to privately appoint a receiver will arise in the security agreement between the debtor and secured creditor. A secured creditor has a contractual right to appoint the receiver should the debtor be unable to meet its obligations. The privately appointed receiver owes duties principally to the secured creditor appointed it – they also owe a general duty to act in good faith, honestly and in a commercially reasonable way. They must attempt to maximise potential recoveries and obtain the best price for a debtor's assets in each case. Private receivers are mostly used for small businesses or discrete assets pools where there will not typically be competing creditor claims or debtor disputes.</w:t>
      </w:r>
    </w:p>
    <w:p w14:paraId="2BBF0A93" w14:textId="5F2B77D1" w:rsidR="000C68A1" w:rsidRDefault="000C68A1" w:rsidP="000C68A1">
      <w:pPr>
        <w:pStyle w:val="ListParagraph"/>
        <w:jc w:val="both"/>
        <w:rPr>
          <w:rFonts w:ascii="Avenir Next" w:hAnsi="Avenir Next" w:cs="Arial"/>
          <w:color w:val="FF0000"/>
          <w:sz w:val="22"/>
          <w:szCs w:val="22"/>
          <w:lang w:val="en-GB"/>
        </w:rPr>
      </w:pPr>
    </w:p>
    <w:p w14:paraId="5A03BC27" w14:textId="0A06E496" w:rsidR="006F4E04" w:rsidRPr="000C68A1" w:rsidRDefault="000C68A1" w:rsidP="006F4E04">
      <w:pPr>
        <w:pStyle w:val="ListParagraph"/>
        <w:numPr>
          <w:ilvl w:val="0"/>
          <w:numId w:val="35"/>
        </w:numPr>
        <w:jc w:val="both"/>
        <w:rPr>
          <w:rFonts w:ascii="Avenir Next" w:hAnsi="Avenir Next" w:cs="Arial"/>
          <w:color w:val="FF0000"/>
          <w:sz w:val="22"/>
          <w:szCs w:val="22"/>
          <w:lang w:val="en-GB"/>
        </w:rPr>
      </w:pPr>
      <w:r w:rsidRPr="000C68A1">
        <w:rPr>
          <w:rFonts w:ascii="Avenir Next" w:hAnsi="Avenir Next" w:cs="Arial"/>
          <w:color w:val="FF0000"/>
          <w:sz w:val="22"/>
          <w:szCs w:val="22"/>
          <w:u w:val="single"/>
          <w:lang w:val="en-GB"/>
        </w:rPr>
        <w:t>Court-appointed receivers</w:t>
      </w:r>
      <w:r>
        <w:rPr>
          <w:rFonts w:ascii="Avenir Next" w:hAnsi="Avenir Next" w:cs="Arial"/>
          <w:color w:val="FF0000"/>
          <w:sz w:val="22"/>
          <w:szCs w:val="22"/>
          <w:lang w:val="en-GB"/>
        </w:rPr>
        <w:t xml:space="preserve">: pursuant to section 243 of the BIA, a secured creditor may apply to the Court for a receiver to be appointed. That receiver will have national authority to seize control of the debtor's business when </w:t>
      </w:r>
      <w:proofErr w:type="gramStart"/>
      <w:r>
        <w:rPr>
          <w:rFonts w:ascii="Avenir Next" w:hAnsi="Avenir Next" w:cs="Arial"/>
          <w:color w:val="FF0000"/>
          <w:sz w:val="22"/>
          <w:szCs w:val="22"/>
          <w:lang w:val="en-GB"/>
        </w:rPr>
        <w:t>It</w:t>
      </w:r>
      <w:proofErr w:type="gramEnd"/>
      <w:r>
        <w:rPr>
          <w:rFonts w:ascii="Avenir Next" w:hAnsi="Avenir Next" w:cs="Arial"/>
          <w:color w:val="FF0000"/>
          <w:sz w:val="22"/>
          <w:szCs w:val="22"/>
          <w:lang w:val="en-GB"/>
        </w:rPr>
        <w:t xml:space="preserve"> cannot meet its obligations under the security agreement. Further, the Courts of Justice Act of individual provinces are another means by which a Court may appoint a receiver, on application of an interested party, which can include unsecured creditors or shareholders where it is just and convenient. Such appointments often occur in more complex cases, including those where competing claims between creditors or disputes amongst creditor and debtor, or where it appears likely that Court assistance will be required in on ongoing basis. Court-appointed receivers derive power from legislation. They are officers of the court and have duties to all creditors of a debtor. They must report to and take instruction from the Court, not the creditor that had them appointed.</w:t>
      </w: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5AD514EF" w14:textId="24CD217A" w:rsidR="007E70EC" w:rsidRDefault="001A7BBF" w:rsidP="004D67B3">
      <w:pPr>
        <w:jc w:val="both"/>
        <w:rPr>
          <w:rFonts w:ascii="Avenir Next" w:hAnsi="Avenir Next" w:cs="Arial"/>
          <w:color w:val="FF0000"/>
          <w:sz w:val="22"/>
          <w:szCs w:val="22"/>
          <w:lang w:val="en-GB"/>
        </w:rPr>
      </w:pPr>
      <w:r>
        <w:rPr>
          <w:rFonts w:ascii="Avenir Next" w:hAnsi="Avenir Next" w:cs="Arial"/>
          <w:color w:val="FF0000"/>
          <w:sz w:val="22"/>
          <w:szCs w:val="22"/>
          <w:lang w:val="en-GB"/>
        </w:rPr>
        <w:t>There are various methods for entering bankruptcy in Canada. Three such methods are identified below, but before explaining those, it is important to bear in mind just what cons</w:t>
      </w:r>
      <w:r w:rsidR="00F123D1">
        <w:rPr>
          <w:rFonts w:ascii="Avenir Next" w:hAnsi="Avenir Next" w:cs="Arial"/>
          <w:color w:val="FF0000"/>
          <w:sz w:val="22"/>
          <w:szCs w:val="22"/>
          <w:lang w:val="en-GB"/>
        </w:rPr>
        <w:t>titutes an "act of bankruptcy" – which is typically a requirement of any attempt to push a company into some form of bankruptcy proceeding. An "act of bankruptcy" typically involves two forms of conduct: (i) proving that a debtor violated certain commercial morality norms by attempting to frustrate legitimate efforts by creditors to collect debts or (ii) showing that a debtor is in fact insolvent. Acts of bankruptcy are listed in section 42 of the BIA, and includes things like a debtor making a fraudulent gift of property or where a debtor transfers any property or creates a charge over it (i.e. fraudulent preference).</w:t>
      </w:r>
    </w:p>
    <w:p w14:paraId="6C8A1976" w14:textId="3CCDFC51" w:rsidR="00F123D1" w:rsidRDefault="00F123D1" w:rsidP="004D67B3">
      <w:pPr>
        <w:jc w:val="both"/>
        <w:rPr>
          <w:rFonts w:ascii="Avenir Next" w:hAnsi="Avenir Next" w:cs="Arial"/>
          <w:color w:val="FF0000"/>
          <w:sz w:val="22"/>
          <w:szCs w:val="22"/>
          <w:lang w:val="en-GB"/>
        </w:rPr>
      </w:pPr>
    </w:p>
    <w:p w14:paraId="45558D16" w14:textId="67CC5402" w:rsidR="00F123D1" w:rsidRDefault="00F123D1" w:rsidP="004D67B3">
      <w:pPr>
        <w:jc w:val="both"/>
        <w:rPr>
          <w:rFonts w:ascii="Avenir Next" w:hAnsi="Avenir Next" w:cs="Arial"/>
          <w:color w:val="FF0000"/>
          <w:sz w:val="22"/>
          <w:szCs w:val="22"/>
          <w:lang w:val="en-GB"/>
        </w:rPr>
      </w:pPr>
      <w:r>
        <w:rPr>
          <w:rFonts w:ascii="Avenir Next" w:hAnsi="Avenir Next" w:cs="Arial"/>
          <w:color w:val="FF0000"/>
          <w:sz w:val="22"/>
          <w:szCs w:val="22"/>
          <w:lang w:val="en-GB"/>
        </w:rPr>
        <w:t>Three different methods for entering bankruptcy are:</w:t>
      </w:r>
    </w:p>
    <w:p w14:paraId="24BFC060" w14:textId="7823A194" w:rsidR="00F123D1" w:rsidRDefault="00F123D1" w:rsidP="004D67B3">
      <w:pPr>
        <w:jc w:val="both"/>
        <w:rPr>
          <w:rFonts w:ascii="Avenir Next" w:hAnsi="Avenir Next" w:cs="Arial"/>
          <w:color w:val="FF0000"/>
          <w:sz w:val="22"/>
          <w:szCs w:val="22"/>
          <w:lang w:val="en-GB"/>
        </w:rPr>
      </w:pPr>
    </w:p>
    <w:p w14:paraId="09FAA4FA" w14:textId="0E6737AF" w:rsidR="00F123D1" w:rsidRDefault="00F123D1" w:rsidP="00283164">
      <w:pPr>
        <w:pStyle w:val="ListParagraph"/>
        <w:numPr>
          <w:ilvl w:val="0"/>
          <w:numId w:val="37"/>
        </w:numPr>
        <w:jc w:val="both"/>
        <w:rPr>
          <w:rFonts w:ascii="Avenir Next" w:hAnsi="Avenir Next" w:cs="Arial"/>
          <w:color w:val="FF0000"/>
          <w:sz w:val="22"/>
          <w:szCs w:val="22"/>
          <w:lang w:val="en-GB"/>
        </w:rPr>
      </w:pPr>
      <w:r w:rsidRPr="00283164">
        <w:rPr>
          <w:rFonts w:ascii="Avenir Next" w:hAnsi="Avenir Next" w:cs="Arial"/>
          <w:color w:val="FF0000"/>
          <w:sz w:val="22"/>
          <w:szCs w:val="22"/>
          <w:u w:val="single"/>
          <w:lang w:val="en-GB"/>
        </w:rPr>
        <w:t>Voluntary bankruptcy</w:t>
      </w:r>
      <w:r w:rsidRPr="00283164">
        <w:rPr>
          <w:rFonts w:ascii="Avenir Next" w:hAnsi="Avenir Next" w:cs="Arial"/>
          <w:color w:val="FF0000"/>
          <w:sz w:val="22"/>
          <w:szCs w:val="22"/>
          <w:lang w:val="en-GB"/>
        </w:rPr>
        <w:t xml:space="preserve">: </w:t>
      </w:r>
      <w:proofErr w:type="gramStart"/>
      <w:r w:rsidRPr="00283164">
        <w:rPr>
          <w:rFonts w:ascii="Avenir Next" w:hAnsi="Avenir Next" w:cs="Arial"/>
          <w:color w:val="FF0000"/>
          <w:sz w:val="22"/>
          <w:szCs w:val="22"/>
          <w:lang w:val="en-GB"/>
        </w:rPr>
        <w:t>debtor's</w:t>
      </w:r>
      <w:proofErr w:type="gramEnd"/>
      <w:r w:rsidRPr="00283164">
        <w:rPr>
          <w:rFonts w:ascii="Avenir Next" w:hAnsi="Avenir Next" w:cs="Arial"/>
          <w:color w:val="FF0000"/>
          <w:sz w:val="22"/>
          <w:szCs w:val="22"/>
          <w:lang w:val="en-GB"/>
        </w:rPr>
        <w:t xml:space="preserve"> may voluntarily assign property into bankruptcy proceedings. The debtor must fall under the BIA definition of an "insolvent person" to do this. The debtor executes an assignment of property to the benefit of creditors accompanied by a sworn statement disclosing the debtor's property, creditors and their claims. No Court applications are made – these documents are filed with an Official Receiver.</w:t>
      </w:r>
    </w:p>
    <w:p w14:paraId="28CFE115" w14:textId="77777777" w:rsidR="00283164" w:rsidRPr="00283164" w:rsidRDefault="00283164" w:rsidP="00283164">
      <w:pPr>
        <w:pStyle w:val="ListParagraph"/>
        <w:jc w:val="both"/>
        <w:rPr>
          <w:rFonts w:ascii="Avenir Next" w:hAnsi="Avenir Next" w:cs="Arial"/>
          <w:color w:val="FF0000"/>
          <w:sz w:val="22"/>
          <w:szCs w:val="22"/>
          <w:lang w:val="en-GB"/>
        </w:rPr>
      </w:pPr>
    </w:p>
    <w:p w14:paraId="48DA6AE1" w14:textId="19C6CE40" w:rsidR="00DD1E9F" w:rsidRPr="00283164" w:rsidRDefault="00DD1E9F" w:rsidP="00283164">
      <w:pPr>
        <w:pStyle w:val="ListParagraph"/>
        <w:numPr>
          <w:ilvl w:val="0"/>
          <w:numId w:val="37"/>
        </w:numPr>
        <w:jc w:val="both"/>
        <w:rPr>
          <w:rFonts w:ascii="Avenir Next" w:hAnsi="Avenir Next" w:cs="Arial"/>
          <w:color w:val="FF0000"/>
          <w:sz w:val="22"/>
          <w:szCs w:val="22"/>
          <w:lang w:val="en-GB"/>
        </w:rPr>
      </w:pPr>
      <w:r w:rsidRPr="00283164">
        <w:rPr>
          <w:rFonts w:ascii="Avenir Next" w:hAnsi="Avenir Next" w:cs="Arial"/>
          <w:color w:val="FF0000"/>
          <w:sz w:val="22"/>
          <w:szCs w:val="22"/>
          <w:u w:val="single"/>
          <w:lang w:val="en-GB"/>
        </w:rPr>
        <w:t>Involuntary bankruptcy</w:t>
      </w:r>
      <w:r w:rsidRPr="00283164">
        <w:rPr>
          <w:rFonts w:ascii="Avenir Next" w:hAnsi="Avenir Next" w:cs="Arial"/>
          <w:color w:val="FF0000"/>
          <w:sz w:val="22"/>
          <w:szCs w:val="22"/>
          <w:lang w:val="en-GB"/>
        </w:rPr>
        <w:t>: by creditor application, it must be shown that the creditor is owed more than CAD 1,000 of unsecured debt and that a debtor has committed an "act of bankruptcy" within 6 months  of the date of filing the application (per section 43(1) of the BIA).</w:t>
      </w:r>
    </w:p>
    <w:p w14:paraId="3773A050" w14:textId="20FA1A2E" w:rsidR="006F4E04" w:rsidRPr="00283164" w:rsidRDefault="00DD1E9F" w:rsidP="004D67B3">
      <w:pPr>
        <w:pStyle w:val="ListParagraph"/>
        <w:numPr>
          <w:ilvl w:val="0"/>
          <w:numId w:val="37"/>
        </w:numPr>
        <w:jc w:val="both"/>
        <w:rPr>
          <w:rFonts w:ascii="Avenir Next" w:hAnsi="Avenir Next" w:cs="Arial"/>
          <w:color w:val="FF0000"/>
          <w:sz w:val="22"/>
          <w:szCs w:val="22"/>
          <w:lang w:val="en-GB"/>
        </w:rPr>
      </w:pPr>
      <w:r w:rsidRPr="00283164">
        <w:rPr>
          <w:rFonts w:ascii="Avenir Next" w:hAnsi="Avenir Next" w:cs="Arial"/>
          <w:color w:val="FF0000"/>
          <w:sz w:val="22"/>
          <w:szCs w:val="22"/>
          <w:u w:val="single"/>
          <w:lang w:val="en-GB"/>
        </w:rPr>
        <w:lastRenderedPageBreak/>
        <w:t>Failure of BIA Proposal</w:t>
      </w:r>
      <w:r w:rsidRPr="00283164">
        <w:rPr>
          <w:rFonts w:ascii="Avenir Next" w:hAnsi="Avenir Next" w:cs="Arial"/>
          <w:color w:val="FF0000"/>
          <w:sz w:val="22"/>
          <w:szCs w:val="22"/>
          <w:lang w:val="en-GB"/>
        </w:rPr>
        <w:t xml:space="preserve">: </w:t>
      </w:r>
      <w:r w:rsidR="00C01ADC" w:rsidRPr="00283164">
        <w:rPr>
          <w:rFonts w:ascii="Avenir Next" w:hAnsi="Avenir Next" w:cs="Arial"/>
          <w:color w:val="FF0000"/>
          <w:sz w:val="22"/>
          <w:szCs w:val="22"/>
          <w:lang w:val="en-GB"/>
        </w:rPr>
        <w:t>the BIA permits debtors to reach compromises with creditors. If a corporate proposal is rejected by creditors, for example, the debtor is then deemed to have assigned into bankruptcy. Similarly, if the corporate proposal is rejected by the Court, a debtor is also deemed to have assigned into bankruptcy.</w:t>
      </w: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1261FCE8" w:rsidR="006F4E04" w:rsidRPr="00282F3C" w:rsidRDefault="00967D38" w:rsidP="006F4E04">
      <w:pPr>
        <w:jc w:val="both"/>
        <w:rPr>
          <w:rFonts w:ascii="Avenir Next" w:hAnsi="Avenir Next" w:cs="Arial"/>
          <w:color w:val="FF0000"/>
          <w:sz w:val="22"/>
          <w:szCs w:val="22"/>
          <w:lang w:val="en-GB"/>
        </w:rPr>
      </w:pPr>
      <w:r w:rsidRPr="00282F3C">
        <w:rPr>
          <w:rFonts w:ascii="Avenir Next" w:hAnsi="Avenir Next" w:cs="Arial"/>
          <w:color w:val="FF0000"/>
          <w:sz w:val="22"/>
          <w:szCs w:val="22"/>
          <w:lang w:val="en-GB"/>
        </w:rPr>
        <w:t>In order to obtain recognition of the foreign proceeding in Canada, formal proof of three main requirements need to be satisfied: (i) that the proceeding in question is a "foreign proceeding" pursuant to the statutory definition; (ii) that the applicant is a "foreign representative" pursuant to the statutory definition and (iii) that the foreign proceeding is a "foreign main proceeding" or "foreign non-main proceeding" based on an analysis of COMI – see sections 269-272 of the BIA and sections 46-49 of the CCAA.</w:t>
      </w:r>
    </w:p>
    <w:p w14:paraId="34880986" w14:textId="316928E2" w:rsidR="00967D38" w:rsidRPr="00282F3C" w:rsidRDefault="00967D38" w:rsidP="006F4E04">
      <w:pPr>
        <w:jc w:val="both"/>
        <w:rPr>
          <w:rFonts w:ascii="Avenir Next" w:hAnsi="Avenir Next" w:cs="Arial"/>
          <w:color w:val="FF0000"/>
          <w:sz w:val="22"/>
          <w:szCs w:val="22"/>
          <w:lang w:val="en-GB"/>
        </w:rPr>
      </w:pPr>
    </w:p>
    <w:p w14:paraId="2A524603" w14:textId="4FD482D3" w:rsidR="00967D38" w:rsidRPr="00282F3C" w:rsidRDefault="00967D38" w:rsidP="006F4E04">
      <w:pPr>
        <w:jc w:val="both"/>
        <w:rPr>
          <w:rFonts w:ascii="Avenir Next" w:hAnsi="Avenir Next" w:cs="Arial"/>
          <w:color w:val="FF0000"/>
          <w:sz w:val="22"/>
          <w:szCs w:val="22"/>
          <w:lang w:val="en-GB"/>
        </w:rPr>
      </w:pPr>
      <w:r w:rsidRPr="00282F3C">
        <w:rPr>
          <w:rFonts w:ascii="Avenir Next" w:hAnsi="Avenir Next" w:cs="Arial"/>
          <w:color w:val="FF0000"/>
          <w:sz w:val="22"/>
          <w:szCs w:val="22"/>
          <w:lang w:val="en-GB"/>
        </w:rPr>
        <w:t xml:space="preserve">To commence a recognition application in Canada, a foreign representative must file sufficient evidence of the foreign law to enable a Canadian Court to determine that they are a foreign representative and that the proceeding is in fact also a foreign proceeding. Canadian case law shows that each of those terms are afforded broad and purposive interpretations, which should enable the foreign rep on these facts to </w:t>
      </w:r>
      <w:r w:rsidR="00282F3C" w:rsidRPr="00282F3C">
        <w:rPr>
          <w:rFonts w:ascii="Avenir Next" w:hAnsi="Avenir Next" w:cs="Arial"/>
          <w:color w:val="FF0000"/>
          <w:sz w:val="22"/>
          <w:szCs w:val="22"/>
          <w:lang w:val="en-GB"/>
        </w:rPr>
        <w:t>meet the requirements for recognition of the foreign proceeding without too much difficulty. The Canadian Courts will focus on the substantive effect of the foreign law, and not the strict wording.</w:t>
      </w:r>
    </w:p>
    <w:p w14:paraId="26ABC4A0" w14:textId="5F6E8979" w:rsidR="00282F3C" w:rsidRPr="00282F3C" w:rsidRDefault="00282F3C" w:rsidP="006F4E04">
      <w:pPr>
        <w:jc w:val="both"/>
        <w:rPr>
          <w:rFonts w:ascii="Avenir Next" w:hAnsi="Avenir Next" w:cs="Arial"/>
          <w:color w:val="FF0000"/>
          <w:sz w:val="22"/>
          <w:szCs w:val="22"/>
          <w:lang w:val="en-GB"/>
        </w:rPr>
      </w:pPr>
    </w:p>
    <w:p w14:paraId="669B34F1" w14:textId="4F911902" w:rsidR="006F4E04" w:rsidRPr="00282F3C" w:rsidRDefault="00282F3C" w:rsidP="00282F3C">
      <w:pPr>
        <w:jc w:val="both"/>
        <w:rPr>
          <w:rFonts w:ascii="Avenir Next" w:hAnsi="Avenir Next" w:cs="Arial"/>
          <w:color w:val="808080" w:themeColor="background1" w:themeShade="80"/>
          <w:sz w:val="22"/>
          <w:szCs w:val="22"/>
          <w:lang w:val="en-GB"/>
        </w:rPr>
      </w:pPr>
      <w:r w:rsidRPr="00282F3C">
        <w:rPr>
          <w:rFonts w:ascii="Avenir Next" w:hAnsi="Avenir Next" w:cs="Arial"/>
          <w:color w:val="FF0000"/>
          <w:sz w:val="22"/>
          <w:szCs w:val="22"/>
          <w:lang w:val="en-GB"/>
        </w:rPr>
        <w:t xml:space="preserve">Once the recognition requirements are satisfied, automatic recognition arises and is in fact compulsory, quite like the Model Law – whereby, the Canadian Court must grant an order recognising the foreign proceeding. The Court will also automatically issue a stay of proceedings, should it determine that the proceeding is found to be a foreign main proceeding. Where it is found that the </w:t>
      </w:r>
      <w:r w:rsidRPr="00282F3C">
        <w:rPr>
          <w:rFonts w:ascii="Avenir Next" w:hAnsi="Avenir Next" w:cs="Arial"/>
          <w:color w:val="FF0000"/>
          <w:sz w:val="22"/>
          <w:szCs w:val="22"/>
          <w:lang w:val="en-GB"/>
        </w:rPr>
        <w:lastRenderedPageBreak/>
        <w:t>foreign proceeding is a foreign non-main proceeding, a stay may be required and the Court retains a discretion to make an order necessary to protect a debtor's property or creditor's interests.</w:t>
      </w: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0C1C2262" w:rsidR="006F4E04" w:rsidRDefault="00282F3C" w:rsidP="006F4E04">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As with the Model Law, there is not statutory definition of what is COMI in either of the CCAA or the BIA. Like the Model Law, however, each of those acts contains an informative rebuttable presumption. For individuals, absent contrary proof, COMI is the debtor's ordinary place of residence. For a company like in this factual scenario, </w:t>
      </w:r>
      <w:r w:rsidR="00A92FD0">
        <w:rPr>
          <w:rFonts w:ascii="Avenir Next" w:hAnsi="Avenir Next" w:cs="Arial"/>
          <w:color w:val="FF0000"/>
          <w:sz w:val="22"/>
          <w:szCs w:val="22"/>
          <w:lang w:val="en-GB"/>
        </w:rPr>
        <w:t>subject to contrary proof, a company's COMI is its registered office (see sections 268 of the BIA and section 45 of the CCAA).</w:t>
      </w:r>
    </w:p>
    <w:p w14:paraId="2E5FB4B0" w14:textId="5FDC7648" w:rsidR="00A92FD0" w:rsidRDefault="00A92FD0" w:rsidP="006F4E04">
      <w:pPr>
        <w:jc w:val="both"/>
        <w:rPr>
          <w:rFonts w:ascii="Avenir Next" w:hAnsi="Avenir Next" w:cs="Arial"/>
          <w:color w:val="FF0000"/>
          <w:sz w:val="22"/>
          <w:szCs w:val="22"/>
          <w:lang w:val="en-GB"/>
        </w:rPr>
      </w:pPr>
    </w:p>
    <w:p w14:paraId="27B27EB3" w14:textId="51A984CE" w:rsidR="00A92FD0" w:rsidRDefault="00A92FD0" w:rsidP="006F4E04">
      <w:pPr>
        <w:jc w:val="both"/>
        <w:rPr>
          <w:rFonts w:ascii="Avenir Next" w:hAnsi="Avenir Next" w:cs="Arial"/>
          <w:color w:val="FF0000"/>
          <w:sz w:val="22"/>
          <w:szCs w:val="22"/>
          <w:lang w:val="en-GB"/>
        </w:rPr>
      </w:pPr>
      <w:proofErr w:type="spellStart"/>
      <w:r>
        <w:rPr>
          <w:rFonts w:ascii="Avenir Next" w:hAnsi="Avenir Next" w:cs="Arial"/>
          <w:color w:val="FF0000"/>
          <w:sz w:val="22"/>
          <w:szCs w:val="22"/>
          <w:lang w:val="en-GB"/>
        </w:rPr>
        <w:t>Court's</w:t>
      </w:r>
      <w:proofErr w:type="spellEnd"/>
      <w:r>
        <w:rPr>
          <w:rFonts w:ascii="Avenir Next" w:hAnsi="Avenir Next" w:cs="Arial"/>
          <w:color w:val="FF0000"/>
          <w:sz w:val="22"/>
          <w:szCs w:val="22"/>
          <w:lang w:val="en-GB"/>
        </w:rPr>
        <w:t xml:space="preserve"> have identified three considerations of primary importance, when considered as a whole, in determining a debtor's COMI</w:t>
      </w:r>
      <w:r w:rsidR="00471BD5">
        <w:rPr>
          <w:rFonts w:ascii="Avenir Next" w:hAnsi="Avenir Next" w:cs="Arial"/>
          <w:color w:val="FF0000"/>
          <w:sz w:val="22"/>
          <w:szCs w:val="22"/>
          <w:lang w:val="en-GB"/>
        </w:rPr>
        <w:t xml:space="preserve"> (e.g. in </w:t>
      </w:r>
      <w:r w:rsidR="00471BD5" w:rsidRPr="00471BD5">
        <w:rPr>
          <w:rFonts w:ascii="Avenir Next" w:hAnsi="Avenir Next" w:cs="Arial"/>
          <w:color w:val="FF0000"/>
          <w:sz w:val="22"/>
          <w:szCs w:val="22"/>
          <w:u w:val="single"/>
          <w:lang w:val="en-GB"/>
        </w:rPr>
        <w:t xml:space="preserve">Re Mt </w:t>
      </w:r>
      <w:proofErr w:type="spellStart"/>
      <w:r w:rsidR="00471BD5" w:rsidRPr="00471BD5">
        <w:rPr>
          <w:rFonts w:ascii="Avenir Next" w:hAnsi="Avenir Next" w:cs="Arial"/>
          <w:color w:val="FF0000"/>
          <w:sz w:val="22"/>
          <w:szCs w:val="22"/>
          <w:u w:val="single"/>
          <w:lang w:val="en-GB"/>
        </w:rPr>
        <w:t>Gox</w:t>
      </w:r>
      <w:proofErr w:type="spellEnd"/>
      <w:r w:rsidR="00471BD5">
        <w:rPr>
          <w:rFonts w:ascii="Avenir Next" w:hAnsi="Avenir Next" w:cs="Arial"/>
          <w:color w:val="FF0000"/>
          <w:sz w:val="22"/>
          <w:szCs w:val="22"/>
          <w:lang w:val="en-GB"/>
        </w:rPr>
        <w:t xml:space="preserve"> [2014], ONSC 5811)</w:t>
      </w:r>
      <w:r>
        <w:rPr>
          <w:rFonts w:ascii="Avenir Next" w:hAnsi="Avenir Next" w:cs="Arial"/>
          <w:color w:val="FF0000"/>
          <w:sz w:val="22"/>
          <w:szCs w:val="22"/>
          <w:lang w:val="en-GB"/>
        </w:rPr>
        <w:t>:</w:t>
      </w:r>
    </w:p>
    <w:p w14:paraId="3641F676" w14:textId="58900416" w:rsidR="00A92FD0" w:rsidRDefault="00A92FD0" w:rsidP="006F4E04">
      <w:pPr>
        <w:jc w:val="both"/>
        <w:rPr>
          <w:rFonts w:ascii="Avenir Next" w:hAnsi="Avenir Next" w:cs="Arial"/>
          <w:color w:val="FF0000"/>
          <w:sz w:val="22"/>
          <w:szCs w:val="22"/>
          <w:lang w:val="en-GB"/>
        </w:rPr>
      </w:pPr>
    </w:p>
    <w:p w14:paraId="27F9A107" w14:textId="58AF2635" w:rsidR="00A92FD0" w:rsidRDefault="00A92FD0" w:rsidP="00A92FD0">
      <w:pPr>
        <w:pStyle w:val="ListParagraph"/>
        <w:numPr>
          <w:ilvl w:val="0"/>
          <w:numId w:val="38"/>
        </w:numPr>
        <w:jc w:val="both"/>
        <w:rPr>
          <w:rFonts w:ascii="Avenir Next" w:hAnsi="Avenir Next" w:cs="Arial"/>
          <w:color w:val="FF0000"/>
          <w:sz w:val="22"/>
          <w:szCs w:val="22"/>
          <w:lang w:val="en-GB"/>
        </w:rPr>
      </w:pPr>
      <w:r>
        <w:rPr>
          <w:rFonts w:ascii="Avenir Next" w:hAnsi="Avenir Next" w:cs="Arial"/>
          <w:color w:val="FF0000"/>
          <w:sz w:val="22"/>
          <w:szCs w:val="22"/>
          <w:lang w:val="en-GB"/>
        </w:rPr>
        <w:t>Location that significant creditors consider to be the centre of a company's operations'</w:t>
      </w:r>
    </w:p>
    <w:p w14:paraId="5259AB13" w14:textId="46D7B1CC" w:rsidR="00A92FD0" w:rsidRDefault="00A92FD0" w:rsidP="00A92FD0">
      <w:pPr>
        <w:pStyle w:val="ListParagraph"/>
        <w:numPr>
          <w:ilvl w:val="0"/>
          <w:numId w:val="38"/>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Location of a debtor's principal assets or operations; and </w:t>
      </w:r>
    </w:p>
    <w:p w14:paraId="5BCCB14E" w14:textId="04D995C6" w:rsidR="00A92FD0" w:rsidRDefault="00A92FD0" w:rsidP="00A92FD0">
      <w:pPr>
        <w:pStyle w:val="ListParagraph"/>
        <w:numPr>
          <w:ilvl w:val="0"/>
          <w:numId w:val="38"/>
        </w:numPr>
        <w:jc w:val="both"/>
        <w:rPr>
          <w:rFonts w:ascii="Avenir Next" w:hAnsi="Avenir Next" w:cs="Arial"/>
          <w:color w:val="FF0000"/>
          <w:sz w:val="22"/>
          <w:szCs w:val="22"/>
          <w:lang w:val="en-GB"/>
        </w:rPr>
      </w:pPr>
      <w:r>
        <w:rPr>
          <w:rFonts w:ascii="Avenir Next" w:hAnsi="Avenir Next" w:cs="Arial"/>
          <w:color w:val="FF0000"/>
          <w:sz w:val="22"/>
          <w:szCs w:val="22"/>
          <w:lang w:val="en-GB"/>
        </w:rPr>
        <w:t>Location of the debtor's head office.</w:t>
      </w:r>
    </w:p>
    <w:p w14:paraId="2A536F40" w14:textId="001AE540" w:rsidR="00A92FD0" w:rsidRDefault="00A92FD0" w:rsidP="00A92FD0">
      <w:pPr>
        <w:jc w:val="both"/>
        <w:rPr>
          <w:rFonts w:ascii="Avenir Next" w:hAnsi="Avenir Next" w:cs="Arial"/>
          <w:color w:val="FF0000"/>
          <w:sz w:val="22"/>
          <w:szCs w:val="22"/>
          <w:lang w:val="en-GB"/>
        </w:rPr>
      </w:pPr>
    </w:p>
    <w:p w14:paraId="59D55ED1" w14:textId="499A947E" w:rsidR="00A92FD0" w:rsidRDefault="00A92FD0" w:rsidP="00A92FD0">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On these facts, the registered office of the debtor and its head office (where senior management are situate) and assets are located in the jurisdiction of the foreign proceeding – this suggests that the COMI is the location of the foreign proceeding. It has operations around the world, including in Canada (including fulfilment offices and warehouses), and </w:t>
      </w:r>
      <w:r w:rsidR="00471BD5">
        <w:rPr>
          <w:rFonts w:ascii="Avenir Next" w:hAnsi="Avenir Next" w:cs="Arial"/>
          <w:color w:val="FF0000"/>
          <w:sz w:val="22"/>
          <w:szCs w:val="22"/>
          <w:lang w:val="en-GB"/>
        </w:rPr>
        <w:t>significant creditors (including secured) and potential fraud claims against Canadian-based personnel – absent the strong indication that COMI of this debtor is the location of the foreign proceedings, these factors might lean the other way, indicating it may be Canada (this is unlikely)</w:t>
      </w:r>
      <w:r>
        <w:rPr>
          <w:rFonts w:ascii="Avenir Next" w:hAnsi="Avenir Next" w:cs="Arial"/>
          <w:color w:val="FF0000"/>
          <w:sz w:val="22"/>
          <w:szCs w:val="22"/>
          <w:lang w:val="en-GB"/>
        </w:rPr>
        <w:t>.</w:t>
      </w:r>
      <w:r w:rsidR="00471BD5">
        <w:rPr>
          <w:rFonts w:ascii="Avenir Next" w:hAnsi="Avenir Next" w:cs="Arial"/>
          <w:color w:val="FF0000"/>
          <w:sz w:val="22"/>
          <w:szCs w:val="22"/>
          <w:lang w:val="en-GB"/>
        </w:rPr>
        <w:t xml:space="preserve"> Instead, the debtor would be considered to have an establishment in Canada, but its COMI is in the jurisdiction of the foreign proceeding.</w:t>
      </w:r>
    </w:p>
    <w:p w14:paraId="12CAF46E" w14:textId="77777777" w:rsidR="00A92FD0" w:rsidRDefault="00A92FD0" w:rsidP="00A92FD0">
      <w:pPr>
        <w:jc w:val="both"/>
        <w:rPr>
          <w:rFonts w:ascii="Avenir Next" w:hAnsi="Avenir Next" w:cs="Arial"/>
          <w:color w:val="FF0000"/>
          <w:sz w:val="22"/>
          <w:szCs w:val="22"/>
          <w:lang w:val="en-GB"/>
        </w:rPr>
      </w:pPr>
    </w:p>
    <w:p w14:paraId="69BDE481" w14:textId="7D9F466E" w:rsidR="006F4E04" w:rsidRPr="00A92FD0" w:rsidRDefault="00A92FD0" w:rsidP="00A92FD0">
      <w:pPr>
        <w:jc w:val="both"/>
        <w:rPr>
          <w:rFonts w:ascii="Avenir Next" w:hAnsi="Avenir Next" w:cs="Arial"/>
          <w:color w:val="FF0000"/>
          <w:sz w:val="22"/>
          <w:szCs w:val="22"/>
          <w:lang w:val="en-GB"/>
        </w:rPr>
      </w:pPr>
      <w:bookmarkStart w:id="1" w:name="_GoBack"/>
      <w:bookmarkEnd w:id="1"/>
      <w:r>
        <w:rPr>
          <w:rFonts w:ascii="Avenir Next" w:hAnsi="Avenir Next" w:cs="Arial"/>
          <w:color w:val="FF0000"/>
          <w:sz w:val="22"/>
          <w:szCs w:val="22"/>
          <w:lang w:val="en-GB"/>
        </w:rPr>
        <w:t xml:space="preserve">Once a debtor's COMI is determined, a foreign proceeding will be determined to be a foreign main proceeding if the COMI is located where the foreign proceeding is, or foreign non-main, if the proceedings is not situated where the COMI is. </w:t>
      </w:r>
      <w:r w:rsidR="00471BD5">
        <w:rPr>
          <w:rFonts w:ascii="Avenir Next" w:hAnsi="Avenir Next" w:cs="Arial"/>
          <w:color w:val="FF0000"/>
          <w:sz w:val="22"/>
          <w:szCs w:val="22"/>
          <w:lang w:val="en-GB"/>
        </w:rPr>
        <w:t xml:space="preserve">On these facts, the foreign proceeding would be treated as a foreign main proceeding given that is the location of its COMI. </w:t>
      </w:r>
      <w:r>
        <w:rPr>
          <w:rFonts w:ascii="Avenir Next" w:hAnsi="Avenir Next" w:cs="Arial"/>
          <w:color w:val="FF0000"/>
          <w:sz w:val="22"/>
          <w:szCs w:val="22"/>
          <w:lang w:val="en-GB"/>
        </w:rPr>
        <w:t>This determination impacts the rights and relief that may be sought from the Canadian courts</w:t>
      </w:r>
      <w:r w:rsidR="00471BD5">
        <w:rPr>
          <w:rFonts w:ascii="Avenir Next" w:hAnsi="Avenir Next" w:cs="Arial"/>
          <w:color w:val="FF0000"/>
          <w:sz w:val="22"/>
          <w:szCs w:val="22"/>
          <w:lang w:val="en-GB"/>
        </w:rPr>
        <w:t xml:space="preserve"> – for example, an automatic stay is obtained in Canada (per sections 271 of the BIA and 48 of the CCAA)</w:t>
      </w:r>
      <w:r>
        <w:rPr>
          <w:rFonts w:ascii="Avenir Next" w:hAnsi="Avenir Next" w:cs="Arial"/>
          <w:color w:val="FF0000"/>
          <w:sz w:val="22"/>
          <w:szCs w:val="22"/>
          <w:lang w:val="en-GB"/>
        </w:rPr>
        <w:t>.</w:t>
      </w: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1B74C8A7" w14:textId="6F817BFC" w:rsidR="00B10EC0" w:rsidRDefault="00B10EC0" w:rsidP="006F4E04">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Recognition as foreign </w:t>
      </w:r>
      <w:r>
        <w:rPr>
          <w:rFonts w:ascii="Avenir Next" w:hAnsi="Avenir Next" w:cs="Arial"/>
          <w:color w:val="FF0000"/>
          <w:sz w:val="22"/>
          <w:szCs w:val="22"/>
          <w:lang w:val="en-GB"/>
        </w:rPr>
        <w:t xml:space="preserve">main </w:t>
      </w:r>
      <w:r>
        <w:rPr>
          <w:rFonts w:ascii="Avenir Next" w:hAnsi="Avenir Next" w:cs="Arial"/>
          <w:color w:val="FF0000"/>
          <w:sz w:val="22"/>
          <w:szCs w:val="22"/>
          <w:lang w:val="en-GB"/>
        </w:rPr>
        <w:t>proceeding</w:t>
      </w:r>
      <w:r>
        <w:rPr>
          <w:rFonts w:ascii="Avenir Next" w:hAnsi="Avenir Next" w:cs="Arial"/>
          <w:color w:val="FF0000"/>
          <w:sz w:val="22"/>
          <w:szCs w:val="22"/>
          <w:lang w:val="en-GB"/>
        </w:rPr>
        <w:t xml:space="preserve"> (or even non-main)</w:t>
      </w:r>
      <w:r>
        <w:rPr>
          <w:rFonts w:ascii="Avenir Next" w:hAnsi="Avenir Next" w:cs="Arial"/>
          <w:color w:val="FF0000"/>
          <w:sz w:val="22"/>
          <w:szCs w:val="22"/>
          <w:lang w:val="en-GB"/>
        </w:rPr>
        <w:t>, affords the</w:t>
      </w:r>
      <w:r>
        <w:rPr>
          <w:rFonts w:ascii="Avenir Next" w:hAnsi="Avenir Next" w:cs="Arial"/>
          <w:color w:val="FF0000"/>
          <w:sz w:val="22"/>
          <w:szCs w:val="22"/>
          <w:lang w:val="en-GB"/>
        </w:rPr>
        <w:t xml:space="preserve"> foreign rep standing to appear in the Canadian Courts (section 49(1) CCAA). Further, recognition requires the Canadian Courts to cooperate with the foreign rep and foreign Court. Both of the BIA and CCAA contain broad discretionary powers in circumstances where a recognition order has been made, and a foreign rep has applied to the Court for relief – provided the Court is satisfied that it's necessary to protect debtor company property or is in the interests of creditors, the Canadian Court can make any order it deems appropriate (per sections 272(1) of the BIA and 49(1) of the CCAA). Such orders include for the examination of witnesses and provision of information regarding property and affairs.  </w:t>
      </w:r>
    </w:p>
    <w:p w14:paraId="4FA54508" w14:textId="77777777" w:rsidR="00B10EC0" w:rsidRDefault="00B10EC0" w:rsidP="006F4E04">
      <w:pPr>
        <w:jc w:val="both"/>
        <w:rPr>
          <w:rFonts w:ascii="Avenir Next" w:hAnsi="Avenir Next" w:cs="Arial"/>
          <w:color w:val="FF0000"/>
          <w:sz w:val="22"/>
          <w:szCs w:val="22"/>
          <w:lang w:val="en-GB"/>
        </w:rPr>
      </w:pPr>
    </w:p>
    <w:p w14:paraId="0C9B8539" w14:textId="1034C9AE" w:rsidR="00F47A63" w:rsidRPr="00B10EC0" w:rsidRDefault="00471BD5" w:rsidP="00B10EC0">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If, as is the case here, the foreign proceeding was treated by the Canadian </w:t>
      </w:r>
      <w:r w:rsidR="00B10EC0">
        <w:rPr>
          <w:rFonts w:ascii="Avenir Next" w:hAnsi="Avenir Next" w:cs="Arial"/>
          <w:color w:val="FF0000"/>
          <w:sz w:val="22"/>
          <w:szCs w:val="22"/>
          <w:lang w:val="en-GB"/>
        </w:rPr>
        <w:t>courts</w:t>
      </w:r>
      <w:r>
        <w:rPr>
          <w:rFonts w:ascii="Avenir Next" w:hAnsi="Avenir Next" w:cs="Arial"/>
          <w:color w:val="FF0000"/>
          <w:sz w:val="22"/>
          <w:szCs w:val="22"/>
          <w:lang w:val="en-GB"/>
        </w:rPr>
        <w:t xml:space="preserve"> as a foreign main proceeding, the Canadian court is not strictly limited to Canadian entitlements and remedies in the relief it can grant</w:t>
      </w:r>
      <w:r w:rsidR="00B10EC0">
        <w:rPr>
          <w:rFonts w:ascii="Avenir Next" w:hAnsi="Avenir Next" w:cs="Arial"/>
          <w:color w:val="FF0000"/>
          <w:sz w:val="22"/>
          <w:szCs w:val="22"/>
          <w:lang w:val="en-GB"/>
        </w:rPr>
        <w:t xml:space="preserve">. Subject to a public policy exemption, and ensuring that the orders made are consistent with those in any concurrent proceedings under the BIA and CCAA (see e.g. </w:t>
      </w:r>
      <w:proofErr w:type="spellStart"/>
      <w:r w:rsidR="00B10EC0" w:rsidRPr="00B10EC0">
        <w:rPr>
          <w:rFonts w:ascii="Avenir Next" w:hAnsi="Avenir Next" w:cs="Arial"/>
          <w:color w:val="FF0000"/>
          <w:sz w:val="22"/>
          <w:szCs w:val="22"/>
          <w:u w:val="single"/>
          <w:lang w:val="en-GB"/>
        </w:rPr>
        <w:t>Nishiyama</w:t>
      </w:r>
      <w:proofErr w:type="spellEnd"/>
      <w:r w:rsidR="00B10EC0">
        <w:rPr>
          <w:rFonts w:ascii="Avenir Next" w:hAnsi="Avenir Next" w:cs="Arial"/>
          <w:i/>
          <w:color w:val="FF0000"/>
          <w:sz w:val="22"/>
          <w:szCs w:val="22"/>
          <w:lang w:val="en-GB"/>
        </w:rPr>
        <w:t xml:space="preserve"> </w:t>
      </w:r>
      <w:r w:rsidR="00B10EC0">
        <w:rPr>
          <w:rFonts w:ascii="Avenir Next" w:hAnsi="Avenir Next" w:cs="Arial"/>
          <w:color w:val="FF0000"/>
          <w:sz w:val="22"/>
          <w:szCs w:val="22"/>
          <w:lang w:val="en-GB"/>
        </w:rPr>
        <w:t xml:space="preserve">(2020 BCSC 224)), the Canadian Court is not limited to exercising its discretion to only provide similar remedies as are available under Canadian insolvency laws. The Canadian courts have, in fact, ordered relief in foreign main proceeding where ancillary Canadian proceedings would not be afforded the same relief (see e.g. </w:t>
      </w:r>
      <w:r w:rsidR="00B10EC0">
        <w:rPr>
          <w:rFonts w:ascii="Avenir Next" w:hAnsi="Avenir Next" w:cs="Arial"/>
          <w:color w:val="FF0000"/>
          <w:sz w:val="22"/>
          <w:szCs w:val="22"/>
          <w:u w:val="single"/>
          <w:lang w:val="en-GB"/>
        </w:rPr>
        <w:t xml:space="preserve">Re Hartford Computer Hardware </w:t>
      </w:r>
      <w:proofErr w:type="spellStart"/>
      <w:r w:rsidR="00B10EC0">
        <w:rPr>
          <w:rFonts w:ascii="Avenir Next" w:hAnsi="Avenir Next" w:cs="Arial"/>
          <w:color w:val="FF0000"/>
          <w:sz w:val="22"/>
          <w:szCs w:val="22"/>
          <w:u w:val="single"/>
          <w:lang w:val="en-GB"/>
        </w:rPr>
        <w:t>Inc</w:t>
      </w:r>
      <w:proofErr w:type="spellEnd"/>
      <w:r w:rsidR="00B10EC0">
        <w:rPr>
          <w:rFonts w:ascii="Avenir Next" w:hAnsi="Avenir Next" w:cs="Arial"/>
          <w:color w:val="FF0000"/>
          <w:sz w:val="22"/>
          <w:szCs w:val="22"/>
          <w:lang w:val="en-GB"/>
        </w:rPr>
        <w:t>, 2012 ONSC 964.</w:t>
      </w: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53369" w14:textId="77777777" w:rsidR="00A225B6" w:rsidRDefault="00A225B6" w:rsidP="00241B44">
      <w:r>
        <w:separator/>
      </w:r>
    </w:p>
  </w:endnote>
  <w:endnote w:type="continuationSeparator" w:id="0">
    <w:p w14:paraId="2F2EBCF9" w14:textId="77777777" w:rsidR="00A225B6" w:rsidRDefault="00A225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8000002F" w:usb1="5000204A" w:usb2="00000000" w:usb3="00000000" w:csb0="0000009B" w:csb1="00000000"/>
  </w:font>
  <w:font w:name="Avenir Next Demi Bold">
    <w:altName w:val="Trebuchet MS"/>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5AB2B01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10EC0">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1F59BECD" w14:textId="4F0A3917"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9303" w14:textId="77777777" w:rsidR="00A225B6" w:rsidRDefault="00A225B6" w:rsidP="00241B44">
      <w:r>
        <w:separator/>
      </w:r>
    </w:p>
  </w:footnote>
  <w:footnote w:type="continuationSeparator" w:id="0">
    <w:p w14:paraId="5AFC5DF6" w14:textId="77777777" w:rsidR="00A225B6" w:rsidRDefault="00A225B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8124FC"/>
    <w:multiLevelType w:val="hybridMultilevel"/>
    <w:tmpl w:val="888A832A"/>
    <w:lvl w:ilvl="0" w:tplc="89AC1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6B0D18"/>
    <w:multiLevelType w:val="hybridMultilevel"/>
    <w:tmpl w:val="C33448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9510A9"/>
    <w:multiLevelType w:val="hybridMultilevel"/>
    <w:tmpl w:val="0D7E1E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021554"/>
    <w:multiLevelType w:val="hybridMultilevel"/>
    <w:tmpl w:val="10DAC6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0F70A8"/>
    <w:multiLevelType w:val="hybridMultilevel"/>
    <w:tmpl w:val="D0B2DC16"/>
    <w:lvl w:ilvl="0" w:tplc="8D660D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8" w15:restartNumberingAfterBreak="0">
    <w:nsid w:val="5BDC425A"/>
    <w:multiLevelType w:val="hybridMultilevel"/>
    <w:tmpl w:val="F7AADF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A9930C3"/>
    <w:multiLevelType w:val="hybridMultilevel"/>
    <w:tmpl w:val="BF3E50B4"/>
    <w:lvl w:ilvl="0" w:tplc="CA803FCC">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C76369"/>
    <w:multiLevelType w:val="hybridMultilevel"/>
    <w:tmpl w:val="0D7E1E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9"/>
  </w:num>
  <w:num w:numId="2">
    <w:abstractNumId w:val="5"/>
  </w:num>
  <w:num w:numId="3">
    <w:abstractNumId w:val="19"/>
  </w:num>
  <w:num w:numId="4">
    <w:abstractNumId w:val="14"/>
  </w:num>
  <w:num w:numId="5">
    <w:abstractNumId w:val="6"/>
  </w:num>
  <w:num w:numId="6">
    <w:abstractNumId w:val="32"/>
  </w:num>
  <w:num w:numId="7">
    <w:abstractNumId w:val="12"/>
  </w:num>
  <w:num w:numId="8">
    <w:abstractNumId w:val="25"/>
  </w:num>
  <w:num w:numId="9">
    <w:abstractNumId w:val="30"/>
  </w:num>
  <w:num w:numId="10">
    <w:abstractNumId w:val="9"/>
  </w:num>
  <w:num w:numId="11">
    <w:abstractNumId w:val="10"/>
  </w:num>
  <w:num w:numId="12">
    <w:abstractNumId w:val="0"/>
  </w:num>
  <w:num w:numId="13">
    <w:abstractNumId w:val="15"/>
  </w:num>
  <w:num w:numId="14">
    <w:abstractNumId w:val="3"/>
  </w:num>
  <w:num w:numId="15">
    <w:abstractNumId w:val="35"/>
  </w:num>
  <w:num w:numId="16">
    <w:abstractNumId w:val="22"/>
  </w:num>
  <w:num w:numId="17">
    <w:abstractNumId w:val="26"/>
  </w:num>
  <w:num w:numId="18">
    <w:abstractNumId w:val="21"/>
  </w:num>
  <w:num w:numId="19">
    <w:abstractNumId w:val="17"/>
  </w:num>
  <w:num w:numId="20">
    <w:abstractNumId w:val="16"/>
  </w:num>
  <w:num w:numId="21">
    <w:abstractNumId w:val="2"/>
  </w:num>
  <w:num w:numId="22">
    <w:abstractNumId w:val="34"/>
  </w:num>
  <w:num w:numId="23">
    <w:abstractNumId w:val="11"/>
  </w:num>
  <w:num w:numId="24">
    <w:abstractNumId w:val="7"/>
  </w:num>
  <w:num w:numId="25">
    <w:abstractNumId w:val="27"/>
  </w:num>
  <w:num w:numId="26">
    <w:abstractNumId w:val="31"/>
  </w:num>
  <w:num w:numId="27">
    <w:abstractNumId w:val="20"/>
  </w:num>
  <w:num w:numId="28">
    <w:abstractNumId w:val="1"/>
  </w:num>
  <w:num w:numId="29">
    <w:abstractNumId w:val="24"/>
  </w:num>
  <w:num w:numId="30">
    <w:abstractNumId w:val="37"/>
  </w:num>
  <w:num w:numId="31">
    <w:abstractNumId w:val="8"/>
  </w:num>
  <w:num w:numId="32">
    <w:abstractNumId w:val="28"/>
  </w:num>
  <w:num w:numId="33">
    <w:abstractNumId w:val="23"/>
  </w:num>
  <w:num w:numId="34">
    <w:abstractNumId w:val="4"/>
  </w:num>
  <w:num w:numId="35">
    <w:abstractNumId w:val="13"/>
  </w:num>
  <w:num w:numId="36">
    <w:abstractNumId w:val="33"/>
  </w:num>
  <w:num w:numId="37">
    <w:abstractNumId w:val="36"/>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C68A1"/>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518"/>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BBF"/>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4BC5"/>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4F1"/>
    <w:rsid w:val="00282F3C"/>
    <w:rsid w:val="00283164"/>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0A"/>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1BD5"/>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0D2B"/>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3B5"/>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E799B"/>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619A1"/>
    <w:rsid w:val="00864762"/>
    <w:rsid w:val="00864AC2"/>
    <w:rsid w:val="008665AF"/>
    <w:rsid w:val="0086705F"/>
    <w:rsid w:val="00867701"/>
    <w:rsid w:val="00870768"/>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67D38"/>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59D8"/>
    <w:rsid w:val="00A76786"/>
    <w:rsid w:val="00A77FB4"/>
    <w:rsid w:val="00A81029"/>
    <w:rsid w:val="00A82010"/>
    <w:rsid w:val="00A845F5"/>
    <w:rsid w:val="00A85685"/>
    <w:rsid w:val="00A86EA2"/>
    <w:rsid w:val="00A87A88"/>
    <w:rsid w:val="00A92FD0"/>
    <w:rsid w:val="00A96489"/>
    <w:rsid w:val="00AA45DE"/>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10EC0"/>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45E"/>
    <w:rsid w:val="00BD5C7A"/>
    <w:rsid w:val="00BE0F37"/>
    <w:rsid w:val="00BE4005"/>
    <w:rsid w:val="00BE4FF3"/>
    <w:rsid w:val="00BF2335"/>
    <w:rsid w:val="00BF499E"/>
    <w:rsid w:val="00BF50F7"/>
    <w:rsid w:val="00C01ADC"/>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258B8"/>
    <w:rsid w:val="00D40715"/>
    <w:rsid w:val="00D40B41"/>
    <w:rsid w:val="00D41FDB"/>
    <w:rsid w:val="00D42444"/>
    <w:rsid w:val="00D457B9"/>
    <w:rsid w:val="00D47A2B"/>
    <w:rsid w:val="00D47FBB"/>
    <w:rsid w:val="00D522CF"/>
    <w:rsid w:val="00D53719"/>
    <w:rsid w:val="00D61596"/>
    <w:rsid w:val="00D62306"/>
    <w:rsid w:val="00D63EFD"/>
    <w:rsid w:val="00D651F8"/>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1E9F"/>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52ED"/>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D1"/>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014C"/>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4005-22E6-4870-A1F1-614220BE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5302</TotalTime>
  <Pages>10</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 Hall</cp:lastModifiedBy>
  <cp:revision>8</cp:revision>
  <cp:lastPrinted>2019-08-27T05:42:00Z</cp:lastPrinted>
  <dcterms:created xsi:type="dcterms:W3CDTF">2022-12-30T22:43:00Z</dcterms:created>
  <dcterms:modified xsi:type="dcterms:W3CDTF">2023-01-07T16:59:00Z</dcterms:modified>
</cp:coreProperties>
</file>