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Prrafode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Prrafodelista"/>
        <w:ind w:left="426"/>
        <w:jc w:val="both"/>
        <w:rPr>
          <w:rFonts w:ascii="Avenir Next" w:hAnsi="Avenir Next" w:cs="Arial"/>
          <w:sz w:val="22"/>
          <w:szCs w:val="22"/>
          <w:lang w:val="en-GB"/>
        </w:rPr>
      </w:pPr>
    </w:p>
    <w:p w14:paraId="327576EE" w14:textId="4AC8B157" w:rsidR="00D66F96" w:rsidRPr="008E3C96" w:rsidRDefault="00D66F96" w:rsidP="005B7C95">
      <w:pPr>
        <w:pStyle w:val="Prrafode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Prrafodelista"/>
        <w:ind w:left="426"/>
        <w:jc w:val="both"/>
        <w:rPr>
          <w:rFonts w:ascii="Avenir Next" w:hAnsi="Avenir Next" w:cs="Arial"/>
          <w:sz w:val="22"/>
          <w:szCs w:val="22"/>
          <w:lang w:val="en-GB"/>
        </w:rPr>
      </w:pPr>
    </w:p>
    <w:p w14:paraId="5F606333" w14:textId="3F76D48E" w:rsidR="00D66F96" w:rsidRPr="008E3C96" w:rsidRDefault="00D66F96" w:rsidP="005B7C95">
      <w:pPr>
        <w:pStyle w:val="Prrafode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Prrafodelista"/>
        <w:ind w:left="426"/>
        <w:jc w:val="both"/>
        <w:rPr>
          <w:rFonts w:ascii="Avenir Next" w:hAnsi="Avenir Next" w:cs="Arial"/>
          <w:sz w:val="22"/>
          <w:szCs w:val="22"/>
          <w:lang w:val="en-GB"/>
        </w:rPr>
      </w:pPr>
    </w:p>
    <w:p w14:paraId="0FCA7419" w14:textId="77777777" w:rsidR="00D66F96" w:rsidRPr="00C16637" w:rsidRDefault="00D66F96" w:rsidP="005B7C95">
      <w:pPr>
        <w:pStyle w:val="Prrafodelista"/>
        <w:numPr>
          <w:ilvl w:val="0"/>
          <w:numId w:val="26"/>
        </w:numPr>
        <w:ind w:left="426"/>
        <w:jc w:val="both"/>
        <w:rPr>
          <w:rFonts w:ascii="Avenir Next" w:hAnsi="Avenir Next" w:cs="Arial"/>
          <w:sz w:val="22"/>
          <w:szCs w:val="22"/>
          <w:highlight w:val="yellow"/>
          <w:lang w:val="en-GB"/>
        </w:rPr>
      </w:pPr>
      <w:r w:rsidRPr="00C16637">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552D70" w:rsidRDefault="00A26868" w:rsidP="00876D0D">
      <w:pPr>
        <w:pStyle w:val="Prrafodelista"/>
        <w:numPr>
          <w:ilvl w:val="0"/>
          <w:numId w:val="3"/>
        </w:numPr>
        <w:ind w:left="426"/>
        <w:jc w:val="both"/>
        <w:rPr>
          <w:rFonts w:ascii="Avenir Next" w:hAnsi="Avenir Next" w:cs="Arial"/>
          <w:iCs/>
          <w:sz w:val="22"/>
          <w:szCs w:val="22"/>
          <w:highlight w:val="yellow"/>
          <w:lang w:val="en-GB"/>
        </w:rPr>
      </w:pPr>
      <w:r w:rsidRPr="00552D70">
        <w:rPr>
          <w:rFonts w:ascii="Avenir Next" w:hAnsi="Avenir Next" w:cs="Arial"/>
          <w:iCs/>
          <w:sz w:val="22"/>
          <w:szCs w:val="22"/>
          <w:highlight w:val="yellow"/>
          <w:lang w:val="en-GB"/>
        </w:rPr>
        <w:t>t</w:t>
      </w:r>
      <w:r w:rsidR="00302D76" w:rsidRPr="00552D70">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Prrafodelista"/>
        <w:ind w:left="426"/>
        <w:jc w:val="both"/>
        <w:rPr>
          <w:rFonts w:ascii="Avenir Next" w:hAnsi="Avenir Next" w:cs="Arial"/>
          <w:iCs/>
          <w:sz w:val="22"/>
          <w:szCs w:val="22"/>
          <w:lang w:val="en-GB"/>
        </w:rPr>
      </w:pPr>
    </w:p>
    <w:p w14:paraId="74C0E9B6" w14:textId="32988A54" w:rsidR="005B79F4" w:rsidRPr="008E3C96" w:rsidRDefault="00A26868" w:rsidP="00D21F62">
      <w:pPr>
        <w:pStyle w:val="Prrafodelista"/>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876D0D">
      <w:pPr>
        <w:pStyle w:val="Prrafodelista"/>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Prrafodelista"/>
        <w:ind w:left="426"/>
        <w:jc w:val="both"/>
        <w:rPr>
          <w:rFonts w:ascii="Avenir Next" w:hAnsi="Avenir Next" w:cs="Arial"/>
          <w:iCs/>
          <w:sz w:val="22"/>
          <w:szCs w:val="22"/>
          <w:lang w:val="en-GB"/>
        </w:rPr>
      </w:pPr>
    </w:p>
    <w:p w14:paraId="5447959C" w14:textId="5271DBEE" w:rsidR="00302D76" w:rsidRPr="008E3C96" w:rsidRDefault="00A26868" w:rsidP="00302D76">
      <w:pPr>
        <w:pStyle w:val="Prrafodelista"/>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Prrafodelista"/>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lastRenderedPageBreak/>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Prrafodelista"/>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552D70" w:rsidRDefault="00302D76" w:rsidP="005B7C95">
      <w:pPr>
        <w:pStyle w:val="Prrafodelista"/>
        <w:numPr>
          <w:ilvl w:val="0"/>
          <w:numId w:val="27"/>
        </w:numPr>
        <w:ind w:left="426"/>
        <w:jc w:val="both"/>
        <w:rPr>
          <w:rFonts w:ascii="Avenir Next" w:hAnsi="Avenir Next" w:cs="Arial"/>
          <w:iCs/>
          <w:sz w:val="22"/>
          <w:szCs w:val="22"/>
          <w:highlight w:val="yellow"/>
          <w:lang w:val="en-GB"/>
        </w:rPr>
      </w:pPr>
      <w:r w:rsidRPr="00552D70">
        <w:rPr>
          <w:rFonts w:ascii="Avenir Next" w:hAnsi="Avenir Next"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Prrafodelista"/>
        <w:ind w:left="426"/>
        <w:jc w:val="both"/>
        <w:rPr>
          <w:rFonts w:ascii="Avenir Next" w:hAnsi="Avenir Next" w:cs="Arial"/>
          <w:iCs/>
          <w:sz w:val="22"/>
          <w:szCs w:val="22"/>
          <w:lang w:val="en-GB"/>
        </w:rPr>
      </w:pPr>
    </w:p>
    <w:p w14:paraId="2E108863" w14:textId="6CFAAD40" w:rsidR="00302D76" w:rsidRPr="008E3C96" w:rsidRDefault="00302D76" w:rsidP="005B7C95">
      <w:pPr>
        <w:pStyle w:val="Prrafodelista"/>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Prrafodelista"/>
        <w:ind w:left="426"/>
        <w:jc w:val="both"/>
        <w:rPr>
          <w:rFonts w:ascii="Avenir Next" w:hAnsi="Avenir Next" w:cs="Arial"/>
          <w:iCs/>
          <w:sz w:val="22"/>
          <w:szCs w:val="22"/>
          <w:lang w:val="en-GB"/>
        </w:rPr>
      </w:pPr>
    </w:p>
    <w:p w14:paraId="4B4D02E6" w14:textId="77777777" w:rsidR="00302D76" w:rsidRPr="008E3C96" w:rsidRDefault="00302D76" w:rsidP="005B7C95">
      <w:pPr>
        <w:pStyle w:val="Prrafodelista"/>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Prrafodelista"/>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552D70" w:rsidRDefault="00971896" w:rsidP="003C4BCB">
      <w:pPr>
        <w:pStyle w:val="Prrafodelista"/>
        <w:numPr>
          <w:ilvl w:val="0"/>
          <w:numId w:val="5"/>
        </w:numPr>
        <w:ind w:left="426"/>
        <w:jc w:val="both"/>
        <w:rPr>
          <w:rFonts w:ascii="Avenir Next" w:hAnsi="Avenir Next" w:cs="Arial"/>
          <w:sz w:val="22"/>
          <w:szCs w:val="22"/>
          <w:highlight w:val="yellow"/>
          <w:lang w:val="en-GB"/>
        </w:rPr>
      </w:pPr>
      <w:r w:rsidRPr="00552D70">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552D70">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Prrafodelista"/>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Prrafodelista"/>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Prrafodelista"/>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Prrafodelista"/>
        <w:ind w:left="426"/>
        <w:jc w:val="both"/>
        <w:rPr>
          <w:rFonts w:ascii="Avenir Next" w:hAnsi="Avenir Next" w:cs="Arial"/>
          <w:sz w:val="22"/>
          <w:szCs w:val="22"/>
          <w:lang w:val="en-GB"/>
        </w:rPr>
      </w:pPr>
    </w:p>
    <w:p w14:paraId="26A80627" w14:textId="6CEDA8AC" w:rsidR="00302D76" w:rsidRPr="008E3C96" w:rsidRDefault="00302D76" w:rsidP="008E3C96">
      <w:pPr>
        <w:pStyle w:val="Prrafodelista"/>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Article 40 EIR Recast (“Advance payment of costs and expenses”).</w:t>
      </w:r>
    </w:p>
    <w:p w14:paraId="746CAF10" w14:textId="77777777" w:rsidR="00302D76" w:rsidRPr="008E3C96" w:rsidRDefault="00302D76" w:rsidP="008E3C96">
      <w:pPr>
        <w:pStyle w:val="Prrafodelista"/>
        <w:ind w:left="426"/>
        <w:jc w:val="both"/>
        <w:rPr>
          <w:rFonts w:ascii="Avenir Next" w:hAnsi="Avenir Next" w:cs="Arial"/>
          <w:sz w:val="22"/>
          <w:szCs w:val="22"/>
          <w:lang w:val="en-GB"/>
        </w:rPr>
      </w:pPr>
    </w:p>
    <w:p w14:paraId="1700C230" w14:textId="7924230F" w:rsidR="00302D76" w:rsidRPr="008E3C96" w:rsidRDefault="00302D76" w:rsidP="008E3C96">
      <w:pPr>
        <w:pStyle w:val="Prrafodelista"/>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Prrafodelista"/>
        <w:ind w:left="426"/>
        <w:jc w:val="both"/>
        <w:rPr>
          <w:rFonts w:ascii="Avenir Next" w:hAnsi="Avenir Next" w:cs="Arial"/>
          <w:sz w:val="22"/>
          <w:szCs w:val="22"/>
          <w:lang w:val="en-GB"/>
        </w:rPr>
      </w:pPr>
    </w:p>
    <w:p w14:paraId="448D3B2E" w14:textId="77777777" w:rsidR="00CA7069" w:rsidRPr="00777DE6" w:rsidRDefault="00CA7069" w:rsidP="008E3C96">
      <w:pPr>
        <w:pStyle w:val="Prrafodelista"/>
        <w:numPr>
          <w:ilvl w:val="0"/>
          <w:numId w:val="28"/>
        </w:numPr>
        <w:ind w:left="426"/>
        <w:jc w:val="both"/>
        <w:rPr>
          <w:rFonts w:ascii="Avenir Next" w:hAnsi="Avenir Next" w:cs="Arial"/>
          <w:sz w:val="22"/>
          <w:szCs w:val="22"/>
          <w:highlight w:val="yellow"/>
          <w:lang w:val="en-GB"/>
        </w:rPr>
      </w:pPr>
      <w:r w:rsidRPr="00777DE6">
        <w:rPr>
          <w:rFonts w:ascii="Avenir Next" w:hAnsi="Avenir Next" w:cs="Arial"/>
          <w:sz w:val="22"/>
          <w:szCs w:val="22"/>
          <w:highlight w:val="yellow"/>
          <w:lang w:val="en-GB"/>
        </w:rPr>
        <w:t>Article 31 EIR Recast (“</w:t>
      </w:r>
      <w:r w:rsidRPr="00777DE6">
        <w:rPr>
          <w:rFonts w:ascii="Avenir Next" w:hAnsi="Avenir Next" w:cs="Arial"/>
          <w:bCs/>
          <w:sz w:val="22"/>
          <w:szCs w:val="22"/>
          <w:highlight w:val="yellow"/>
          <w:lang w:val="en-GB"/>
        </w:rPr>
        <w:t>Honouring of an obligation to a debtor”</w:t>
      </w:r>
      <w:r w:rsidRPr="00777DE6">
        <w:rPr>
          <w:rFonts w:ascii="Avenir Next" w:hAnsi="Avenir Next" w:cs="Arial"/>
          <w:sz w:val="22"/>
          <w:szCs w:val="22"/>
          <w:highlight w:val="yellow"/>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Prrafode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Prrafodelista"/>
        <w:ind w:left="426"/>
        <w:jc w:val="both"/>
        <w:rPr>
          <w:rFonts w:ascii="Avenir Next" w:hAnsi="Avenir Next" w:cs="Arial"/>
          <w:sz w:val="22"/>
          <w:szCs w:val="22"/>
          <w:lang w:val="en-GB"/>
        </w:rPr>
      </w:pPr>
    </w:p>
    <w:p w14:paraId="59E5541F" w14:textId="24AE7A7F" w:rsidR="00113E29" w:rsidRPr="008E3C96" w:rsidRDefault="00CA7069" w:rsidP="00CA7069">
      <w:pPr>
        <w:pStyle w:val="Prrafode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353235" w:rsidRDefault="00CA7069" w:rsidP="003C4BCB">
      <w:pPr>
        <w:pStyle w:val="Prrafodelista"/>
        <w:numPr>
          <w:ilvl w:val="0"/>
          <w:numId w:val="7"/>
        </w:numPr>
        <w:ind w:left="426"/>
        <w:jc w:val="both"/>
        <w:rPr>
          <w:rFonts w:ascii="Avenir Next" w:hAnsi="Avenir Next" w:cs="Arial"/>
          <w:sz w:val="22"/>
          <w:szCs w:val="22"/>
          <w:highlight w:val="yellow"/>
          <w:lang w:val="en-GB"/>
        </w:rPr>
      </w:pPr>
      <w:r w:rsidRPr="00353235">
        <w:rPr>
          <w:rFonts w:ascii="Avenir Next" w:hAnsi="Avenir Next" w:cs="Arial"/>
          <w:sz w:val="22"/>
          <w:szCs w:val="22"/>
          <w:highlight w:val="yellow"/>
          <w:lang w:val="en-GB"/>
        </w:rPr>
        <w:t xml:space="preserve">Each Member State will define </w:t>
      </w:r>
      <w:r w:rsidR="001A68CC" w:rsidRPr="00353235">
        <w:rPr>
          <w:rFonts w:ascii="Avenir Next" w:hAnsi="Avenir Next" w:cs="Arial"/>
          <w:sz w:val="22"/>
          <w:szCs w:val="22"/>
          <w:highlight w:val="yellow"/>
          <w:lang w:val="en-GB"/>
        </w:rPr>
        <w:t>“</w:t>
      </w:r>
      <w:r w:rsidRPr="00353235">
        <w:rPr>
          <w:rFonts w:ascii="Avenir Next" w:hAnsi="Avenir Next" w:cs="Arial"/>
          <w:sz w:val="22"/>
          <w:szCs w:val="22"/>
          <w:highlight w:val="yellow"/>
          <w:lang w:val="en-GB"/>
        </w:rPr>
        <w:t>insolvency</w:t>
      </w:r>
      <w:r w:rsidR="001A68CC" w:rsidRPr="00353235">
        <w:rPr>
          <w:rFonts w:ascii="Avenir Next" w:hAnsi="Avenir Next" w:cs="Arial"/>
          <w:sz w:val="22"/>
          <w:szCs w:val="22"/>
          <w:highlight w:val="yellow"/>
          <w:lang w:val="en-GB"/>
        </w:rPr>
        <w:t>”</w:t>
      </w:r>
      <w:r w:rsidRPr="00353235">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Prrafode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0B18B8" w:rsidRDefault="00CA7069" w:rsidP="00CA7069">
      <w:pPr>
        <w:pStyle w:val="Prrafodelista"/>
        <w:numPr>
          <w:ilvl w:val="0"/>
          <w:numId w:val="8"/>
        </w:numPr>
        <w:ind w:left="426"/>
        <w:jc w:val="both"/>
        <w:rPr>
          <w:rFonts w:ascii="Avenir Next" w:hAnsi="Avenir Next" w:cs="Arial"/>
          <w:sz w:val="22"/>
          <w:szCs w:val="22"/>
          <w:highlight w:val="yellow"/>
          <w:lang w:val="en-GB"/>
        </w:rPr>
      </w:pPr>
      <w:r w:rsidRPr="000B18B8">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Prrafodelista"/>
        <w:ind w:left="426"/>
        <w:jc w:val="both"/>
        <w:rPr>
          <w:rFonts w:ascii="Avenir Next" w:hAnsi="Avenir Next" w:cs="Arial"/>
          <w:sz w:val="22"/>
          <w:szCs w:val="22"/>
          <w:lang w:val="en-GB"/>
        </w:rPr>
      </w:pPr>
    </w:p>
    <w:p w14:paraId="757169A8" w14:textId="47F05D2D" w:rsidR="00113E29" w:rsidRPr="008E3C96" w:rsidRDefault="0034705B" w:rsidP="003C4BCB">
      <w:pPr>
        <w:pStyle w:val="Prrafodelista"/>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Prrafodelista"/>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Prrafodelista"/>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Prrafodelista"/>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Prrafodelista"/>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Prrafodelista"/>
        <w:ind w:left="426"/>
        <w:jc w:val="both"/>
        <w:rPr>
          <w:rFonts w:ascii="Avenir Next" w:hAnsi="Avenir Next" w:cs="Arial"/>
          <w:sz w:val="22"/>
          <w:szCs w:val="22"/>
          <w:lang w:val="en-GB"/>
        </w:rPr>
      </w:pPr>
    </w:p>
    <w:p w14:paraId="02DEF131" w14:textId="169791F5" w:rsidR="00C15FA2" w:rsidRPr="008E3C96" w:rsidRDefault="00C15FA2" w:rsidP="008E3C96">
      <w:pPr>
        <w:pStyle w:val="Prrafodelista"/>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Prrafodelista"/>
        <w:ind w:left="426"/>
        <w:jc w:val="both"/>
        <w:rPr>
          <w:rFonts w:ascii="Avenir Next" w:hAnsi="Avenir Next" w:cs="Arial"/>
          <w:sz w:val="22"/>
          <w:szCs w:val="22"/>
          <w:lang w:val="en-GB"/>
        </w:rPr>
      </w:pPr>
    </w:p>
    <w:p w14:paraId="3DD7A10B" w14:textId="18EC073B" w:rsidR="00C15FA2" w:rsidRPr="008E3C96" w:rsidRDefault="00C15FA2" w:rsidP="008E3C96">
      <w:pPr>
        <w:pStyle w:val="Prrafodelista"/>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Prrafodelista"/>
        <w:ind w:left="426"/>
        <w:jc w:val="both"/>
        <w:rPr>
          <w:rFonts w:ascii="Avenir Next" w:hAnsi="Avenir Next" w:cs="Arial"/>
          <w:sz w:val="22"/>
          <w:szCs w:val="22"/>
          <w:lang w:val="en-GB"/>
        </w:rPr>
      </w:pPr>
    </w:p>
    <w:p w14:paraId="1449FE57" w14:textId="77777777" w:rsidR="00C15FA2" w:rsidRPr="00645BFA" w:rsidRDefault="00C15FA2" w:rsidP="008E3C96">
      <w:pPr>
        <w:pStyle w:val="Prrafodelista"/>
        <w:numPr>
          <w:ilvl w:val="0"/>
          <w:numId w:val="29"/>
        </w:numPr>
        <w:ind w:left="426"/>
        <w:jc w:val="both"/>
        <w:rPr>
          <w:rFonts w:ascii="Avenir Next" w:hAnsi="Avenir Next" w:cs="Arial"/>
          <w:sz w:val="22"/>
          <w:szCs w:val="22"/>
          <w:highlight w:val="yellow"/>
          <w:lang w:val="en-GB"/>
        </w:rPr>
      </w:pPr>
      <w:r w:rsidRPr="00645BFA">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A82895" w:rsidRDefault="00EC242E" w:rsidP="008E3C96">
      <w:pPr>
        <w:pStyle w:val="Prrafodelista"/>
        <w:numPr>
          <w:ilvl w:val="0"/>
          <w:numId w:val="30"/>
        </w:numPr>
        <w:ind w:left="426"/>
        <w:jc w:val="both"/>
        <w:rPr>
          <w:rFonts w:ascii="Avenir Next" w:hAnsi="Avenir Next" w:cs="Arial"/>
          <w:sz w:val="22"/>
          <w:szCs w:val="22"/>
          <w:highlight w:val="yellow"/>
          <w:lang w:val="en-GB"/>
        </w:rPr>
      </w:pPr>
      <w:r w:rsidRPr="00A82895">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Prrafodelista"/>
        <w:ind w:left="426"/>
        <w:jc w:val="both"/>
        <w:rPr>
          <w:rFonts w:ascii="Avenir Next" w:hAnsi="Avenir Next" w:cs="Arial"/>
          <w:sz w:val="22"/>
          <w:szCs w:val="22"/>
          <w:lang w:val="en-GB"/>
        </w:rPr>
      </w:pPr>
    </w:p>
    <w:p w14:paraId="145983AE" w14:textId="77777777" w:rsidR="00EC242E" w:rsidRPr="008E3C96" w:rsidRDefault="00EC242E" w:rsidP="008E3C96">
      <w:pPr>
        <w:pStyle w:val="Prrafodelista"/>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Prrafodelista"/>
        <w:ind w:left="426"/>
        <w:jc w:val="both"/>
        <w:rPr>
          <w:rFonts w:ascii="Avenir Next" w:hAnsi="Avenir Next" w:cs="Arial"/>
          <w:sz w:val="22"/>
          <w:szCs w:val="22"/>
          <w:lang w:val="en-GB"/>
        </w:rPr>
      </w:pPr>
    </w:p>
    <w:p w14:paraId="0701B637" w14:textId="77777777" w:rsidR="00EC242E" w:rsidRPr="008E3C96" w:rsidRDefault="00EC242E" w:rsidP="008E3C96">
      <w:pPr>
        <w:pStyle w:val="Prrafodelista"/>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Prrafodelista"/>
        <w:ind w:left="426"/>
        <w:jc w:val="both"/>
        <w:rPr>
          <w:rFonts w:ascii="Avenir Next" w:hAnsi="Avenir Next" w:cs="Arial"/>
          <w:sz w:val="22"/>
          <w:szCs w:val="22"/>
          <w:lang w:val="en-GB"/>
        </w:rPr>
      </w:pPr>
    </w:p>
    <w:p w14:paraId="1D2436EF" w14:textId="2009EE5E" w:rsidR="00EC242E" w:rsidRPr="008E3C96" w:rsidRDefault="00EC242E" w:rsidP="008E3C96">
      <w:pPr>
        <w:pStyle w:val="Prrafodelista"/>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Prrafodelista"/>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916F18" w:rsidRDefault="00EC242E" w:rsidP="00EC242E">
      <w:pPr>
        <w:pStyle w:val="Prrafodelista"/>
        <w:numPr>
          <w:ilvl w:val="0"/>
          <w:numId w:val="9"/>
        </w:numPr>
        <w:ind w:left="426"/>
        <w:jc w:val="both"/>
        <w:rPr>
          <w:rFonts w:ascii="Avenir Next" w:hAnsi="Avenir Next" w:cs="Arial"/>
          <w:sz w:val="22"/>
          <w:szCs w:val="22"/>
          <w:highlight w:val="yellow"/>
          <w:lang w:val="en-GB"/>
        </w:rPr>
      </w:pPr>
      <w:r w:rsidRPr="00916F18">
        <w:rPr>
          <w:rFonts w:ascii="Avenir Next" w:hAnsi="Avenir Next" w:cs="Arial"/>
          <w:sz w:val="22"/>
          <w:szCs w:val="22"/>
          <w:highlight w:val="yellow"/>
          <w:lang w:val="en-GB"/>
        </w:rPr>
        <w:t xml:space="preserve">The contested transactions cannot be avoided if </w:t>
      </w:r>
      <w:proofErr w:type="spellStart"/>
      <w:r w:rsidRPr="00916F18">
        <w:rPr>
          <w:rFonts w:ascii="Avenir Next" w:hAnsi="Avenir Next" w:cs="Arial"/>
          <w:sz w:val="22"/>
          <w:szCs w:val="22"/>
          <w:highlight w:val="yellow"/>
          <w:lang w:val="en-GB"/>
        </w:rPr>
        <w:t>Canetier</w:t>
      </w:r>
      <w:proofErr w:type="spellEnd"/>
      <w:r w:rsidRPr="00916F18">
        <w:rPr>
          <w:rFonts w:ascii="Avenir Next" w:hAnsi="Avenir Next" w:cs="Arial"/>
          <w:sz w:val="22"/>
          <w:szCs w:val="22"/>
          <w:highlight w:val="yellow"/>
          <w:lang w:val="en-GB"/>
        </w:rPr>
        <w:t xml:space="preserve"> SARL can prove that the </w:t>
      </w:r>
      <w:proofErr w:type="spellStart"/>
      <w:r w:rsidRPr="00916F18">
        <w:rPr>
          <w:rFonts w:ascii="Avenir Next" w:hAnsi="Avenir Next" w:cs="Arial"/>
          <w:i/>
          <w:sz w:val="22"/>
          <w:szCs w:val="22"/>
          <w:highlight w:val="yellow"/>
          <w:lang w:val="en-GB"/>
        </w:rPr>
        <w:t>lex</w:t>
      </w:r>
      <w:proofErr w:type="spellEnd"/>
      <w:r w:rsidRPr="00916F18">
        <w:rPr>
          <w:rFonts w:ascii="Avenir Next" w:hAnsi="Avenir Next" w:cs="Arial"/>
          <w:i/>
          <w:sz w:val="22"/>
          <w:szCs w:val="22"/>
          <w:highlight w:val="yellow"/>
          <w:lang w:val="en-GB"/>
        </w:rPr>
        <w:t xml:space="preserve"> </w:t>
      </w:r>
      <w:proofErr w:type="spellStart"/>
      <w:r w:rsidRPr="00916F18">
        <w:rPr>
          <w:rFonts w:ascii="Avenir Next" w:hAnsi="Avenir Next" w:cs="Arial"/>
          <w:i/>
          <w:sz w:val="22"/>
          <w:szCs w:val="22"/>
          <w:highlight w:val="yellow"/>
          <w:lang w:val="en-GB"/>
        </w:rPr>
        <w:t>causae</w:t>
      </w:r>
      <w:proofErr w:type="spellEnd"/>
      <w:r w:rsidRPr="00916F18">
        <w:rPr>
          <w:rFonts w:ascii="Avenir Next" w:hAnsi="Avenir Next"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Prrafodelista"/>
        <w:ind w:left="426"/>
        <w:jc w:val="both"/>
        <w:rPr>
          <w:rFonts w:ascii="Avenir Next" w:hAnsi="Avenir Next" w:cs="Arial"/>
          <w:sz w:val="22"/>
          <w:szCs w:val="22"/>
          <w:lang w:val="en-GB"/>
        </w:rPr>
      </w:pPr>
    </w:p>
    <w:p w14:paraId="22DD9FEF" w14:textId="18795AB2" w:rsidR="00054E15" w:rsidRPr="008E3C96" w:rsidRDefault="00054E15" w:rsidP="00054E15">
      <w:pPr>
        <w:pStyle w:val="Prrafodelista"/>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proves that such transactions cannot be challenged on the basis of the insolvency provisions of Italian law (Article 16 EIR Recast).</w:t>
      </w:r>
    </w:p>
    <w:p w14:paraId="53AE8D5A" w14:textId="77777777" w:rsidR="00054E15" w:rsidRPr="008E3C96" w:rsidRDefault="00054E15" w:rsidP="00183ED8">
      <w:pPr>
        <w:pStyle w:val="Prrafodelista"/>
        <w:ind w:left="426"/>
        <w:jc w:val="both"/>
        <w:rPr>
          <w:rFonts w:ascii="Avenir Next" w:hAnsi="Avenir Next" w:cs="Arial"/>
          <w:sz w:val="22"/>
          <w:szCs w:val="22"/>
          <w:lang w:val="en-GB"/>
        </w:rPr>
      </w:pPr>
    </w:p>
    <w:p w14:paraId="2DD3E669" w14:textId="77777777" w:rsidR="00EC242E" w:rsidRPr="008E3C96" w:rsidRDefault="00EC242E" w:rsidP="00EC242E">
      <w:pPr>
        <w:pStyle w:val="Prrafodelista"/>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on the basis of a provision of the </w:t>
      </w:r>
      <w:proofErr w:type="spellStart"/>
      <w:r w:rsidRPr="008E3C96">
        <w:rPr>
          <w:rFonts w:ascii="Avenir Next" w:hAnsi="Avenir Next" w:cs="Arial"/>
          <w:i/>
          <w:sz w:val="22"/>
          <w:szCs w:val="22"/>
          <w:lang w:val="en-GB"/>
        </w:rPr>
        <w:t>lex</w:t>
      </w:r>
      <w:proofErr w:type="spellEnd"/>
      <w:r w:rsidRPr="008E3C96">
        <w:rPr>
          <w:rFonts w:ascii="Avenir Next" w:hAnsi="Avenir Next" w:cs="Arial"/>
          <w:i/>
          <w:sz w:val="22"/>
          <w:szCs w:val="22"/>
          <w:lang w:val="en-GB"/>
        </w:rPr>
        <w:t xml:space="preserve">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Prrafodelista"/>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3ED9152A" w14:textId="1CCC0002" w:rsidR="003C60F9" w:rsidRDefault="00636C15" w:rsidP="00636C15">
      <w:pPr>
        <w:ind w:left="720" w:hanging="720"/>
        <w:jc w:val="both"/>
        <w:rPr>
          <w:rFonts w:ascii="Avenir Next" w:hAnsi="Avenir Next" w:cs="Arial"/>
          <w:color w:val="7B7B7B" w:themeColor="accent3" w:themeShade="BF"/>
          <w:sz w:val="22"/>
          <w:szCs w:val="22"/>
        </w:rPr>
      </w:pPr>
      <w:r w:rsidRPr="008E3C96">
        <w:rPr>
          <w:rFonts w:ascii="Avenir Next" w:hAnsi="Avenir Next" w:cs="Arial"/>
          <w:color w:val="7B7B7B" w:themeColor="accent3" w:themeShade="BF"/>
          <w:sz w:val="22"/>
          <w:szCs w:val="22"/>
        </w:rPr>
        <w:t>[</w:t>
      </w:r>
      <w:r w:rsidR="003C60F9">
        <w:rPr>
          <w:rFonts w:ascii="Avenir Next" w:hAnsi="Avenir Next" w:cs="Arial"/>
          <w:color w:val="7B7B7B" w:themeColor="accent3" w:themeShade="BF"/>
          <w:sz w:val="22"/>
          <w:szCs w:val="22"/>
        </w:rPr>
        <w:t>Statement 1. This statement clearly refers to the tools to determine de Center of Main Interest (COMI). COMI has been defined in the EIR recast 2015 in Article 3 ibidem. The recast clearly states:</w:t>
      </w:r>
    </w:p>
    <w:p w14:paraId="592913C2" w14:textId="77777777" w:rsidR="003C60F9" w:rsidRDefault="003C60F9" w:rsidP="00636C15">
      <w:pPr>
        <w:ind w:left="720" w:hanging="720"/>
        <w:jc w:val="both"/>
        <w:rPr>
          <w:rFonts w:ascii="Avenir Next" w:hAnsi="Avenir Next" w:cs="Arial"/>
          <w:color w:val="7B7B7B" w:themeColor="accent3" w:themeShade="BF"/>
          <w:sz w:val="22"/>
          <w:szCs w:val="22"/>
        </w:rPr>
      </w:pPr>
    </w:p>
    <w:p w14:paraId="000345D0" w14:textId="4FF80354" w:rsidR="003C60F9" w:rsidRDefault="003C60F9" w:rsidP="003C60F9">
      <w:pPr>
        <w:ind w:left="720"/>
        <w:jc w:val="both"/>
        <w:rPr>
          <w:rFonts w:ascii="Avenir Next" w:hAnsi="Avenir Next" w:cs="Arial"/>
          <w:i/>
          <w:iCs/>
          <w:color w:val="7B7B7B" w:themeColor="accent3" w:themeShade="BF"/>
          <w:sz w:val="22"/>
          <w:szCs w:val="22"/>
        </w:rPr>
      </w:pPr>
      <w:r w:rsidRPr="003C60F9">
        <w:rPr>
          <w:rFonts w:ascii="Avenir Next" w:hAnsi="Avenir Next" w:cs="Arial"/>
          <w:i/>
          <w:iCs/>
          <w:color w:val="7B7B7B" w:themeColor="accent3" w:themeShade="BF"/>
          <w:sz w:val="22"/>
          <w:szCs w:val="22"/>
        </w:rPr>
        <w:t>“</w:t>
      </w:r>
      <w:r>
        <w:rPr>
          <w:rFonts w:ascii="Avenir Next" w:hAnsi="Avenir Next" w:cs="Arial"/>
          <w:i/>
          <w:iCs/>
          <w:color w:val="7B7B7B" w:themeColor="accent3" w:themeShade="BF"/>
          <w:sz w:val="22"/>
          <w:szCs w:val="22"/>
        </w:rPr>
        <w:t>(…)</w:t>
      </w:r>
      <w:r w:rsidRPr="003C60F9">
        <w:rPr>
          <w:rFonts w:ascii="Avenir Next" w:hAnsi="Avenir Next" w:cs="Arial"/>
          <w:i/>
          <w:iCs/>
          <w:color w:val="7B7B7B" w:themeColor="accent3" w:themeShade="BF"/>
          <w:sz w:val="22"/>
          <w:szCs w:val="22"/>
        </w:rPr>
        <w:t xml:space="preserve">In the case of a company or legal person, </w:t>
      </w:r>
      <w:r w:rsidRPr="003C60F9">
        <w:rPr>
          <w:rFonts w:ascii="Avenir Next" w:hAnsi="Avenir Next" w:cs="Arial"/>
          <w:i/>
          <w:iCs/>
          <w:color w:val="7B7B7B" w:themeColor="accent3" w:themeShade="BF"/>
          <w:sz w:val="22"/>
          <w:szCs w:val="22"/>
          <w:u w:val="single"/>
        </w:rPr>
        <w:t>the place of the registered office</w:t>
      </w:r>
      <w:r w:rsidRPr="003C60F9">
        <w:rPr>
          <w:rFonts w:ascii="Avenir Next" w:hAnsi="Avenir Next" w:cs="Arial"/>
          <w:i/>
          <w:iCs/>
          <w:color w:val="7B7B7B" w:themeColor="accent3" w:themeShade="BF"/>
          <w:sz w:val="22"/>
          <w:szCs w:val="22"/>
        </w:rPr>
        <w:t xml:space="preserve"> shall be presumed to be the </w:t>
      </w:r>
      <w:proofErr w:type="spellStart"/>
      <w:r w:rsidRPr="003C60F9">
        <w:rPr>
          <w:rFonts w:ascii="Avenir Next" w:hAnsi="Avenir Next" w:cs="Arial"/>
          <w:i/>
          <w:iCs/>
          <w:color w:val="7B7B7B" w:themeColor="accent3" w:themeShade="BF"/>
          <w:sz w:val="22"/>
          <w:szCs w:val="22"/>
        </w:rPr>
        <w:t>centre</w:t>
      </w:r>
      <w:proofErr w:type="spellEnd"/>
      <w:r w:rsidRPr="003C60F9">
        <w:rPr>
          <w:rFonts w:ascii="Avenir Next" w:hAnsi="Avenir Next" w:cs="Arial"/>
          <w:i/>
          <w:iCs/>
          <w:color w:val="7B7B7B" w:themeColor="accent3" w:themeShade="BF"/>
          <w:sz w:val="22"/>
          <w:szCs w:val="22"/>
        </w:rPr>
        <w:t xml:space="preserve"> of its main interests in the absence of proof to the contrary. That presumption shall only apply if the registered office has not been moved to another Member State within the 3-month period prior to the request for the opening of insolvency proceedings</w:t>
      </w:r>
      <w:r>
        <w:rPr>
          <w:rFonts w:ascii="Avenir Next" w:hAnsi="Avenir Next" w:cs="Arial"/>
          <w:i/>
          <w:iCs/>
          <w:color w:val="7B7B7B" w:themeColor="accent3" w:themeShade="BF"/>
          <w:sz w:val="22"/>
          <w:szCs w:val="22"/>
        </w:rPr>
        <w:t>.</w:t>
      </w:r>
    </w:p>
    <w:p w14:paraId="78A490B8" w14:textId="77777777" w:rsidR="003C60F9" w:rsidRDefault="003C60F9" w:rsidP="003C60F9">
      <w:pPr>
        <w:ind w:left="720"/>
        <w:jc w:val="both"/>
        <w:rPr>
          <w:rFonts w:ascii="Avenir Next" w:hAnsi="Avenir Next" w:cs="Arial"/>
          <w:i/>
          <w:iCs/>
          <w:color w:val="7B7B7B" w:themeColor="accent3" w:themeShade="BF"/>
          <w:sz w:val="22"/>
          <w:szCs w:val="22"/>
        </w:rPr>
      </w:pPr>
    </w:p>
    <w:p w14:paraId="314538C4" w14:textId="5C50CF90" w:rsidR="003C60F9" w:rsidRDefault="003C60F9" w:rsidP="003C60F9">
      <w:pPr>
        <w:ind w:left="720"/>
        <w:jc w:val="both"/>
        <w:rPr>
          <w:rFonts w:ascii="Avenir Next" w:hAnsi="Avenir Next" w:cs="Arial"/>
          <w:i/>
          <w:iCs/>
          <w:color w:val="7B7B7B" w:themeColor="accent3" w:themeShade="BF"/>
          <w:sz w:val="22"/>
          <w:szCs w:val="22"/>
          <w:lang w:val="es-CO"/>
        </w:rPr>
      </w:pPr>
      <w:r w:rsidRPr="003C60F9">
        <w:rPr>
          <w:rFonts w:ascii="Avenir Next" w:hAnsi="Avenir Next" w:cs="Arial"/>
          <w:i/>
          <w:iCs/>
          <w:color w:val="7B7B7B" w:themeColor="accent3" w:themeShade="BF"/>
          <w:sz w:val="22"/>
          <w:szCs w:val="22"/>
          <w:lang w:val="es-CO"/>
        </w:rPr>
        <w:t xml:space="preserve">In the case of an individual exercising an independent business or professional activity, the centre of main interests shall be presumed to be that </w:t>
      </w:r>
      <w:r w:rsidRPr="003C60F9">
        <w:rPr>
          <w:rFonts w:ascii="Avenir Next" w:hAnsi="Avenir Next" w:cs="Arial"/>
          <w:i/>
          <w:iCs/>
          <w:color w:val="7B7B7B" w:themeColor="accent3" w:themeShade="BF"/>
          <w:sz w:val="22"/>
          <w:szCs w:val="22"/>
          <w:u w:val="single"/>
          <w:lang w:val="es-CO"/>
        </w:rPr>
        <w:t xml:space="preserve">individual's principal place of business </w:t>
      </w:r>
      <w:r w:rsidRPr="003C60F9">
        <w:rPr>
          <w:rFonts w:ascii="Avenir Next" w:hAnsi="Avenir Next" w:cs="Arial"/>
          <w:i/>
          <w:iCs/>
          <w:color w:val="7B7B7B" w:themeColor="accent3" w:themeShade="BF"/>
          <w:sz w:val="22"/>
          <w:szCs w:val="22"/>
          <w:lang w:val="es-CO"/>
        </w:rPr>
        <w:t xml:space="preserve">in the absence of proof to the contrary. That presumption shall only apply if the individual's principal place of business has not been moved to </w:t>
      </w:r>
      <w:r w:rsidRPr="003C60F9">
        <w:rPr>
          <w:rFonts w:ascii="Avenir Next" w:hAnsi="Avenir Next" w:cs="Arial"/>
          <w:i/>
          <w:iCs/>
          <w:color w:val="7B7B7B" w:themeColor="accent3" w:themeShade="BF"/>
          <w:sz w:val="22"/>
          <w:szCs w:val="22"/>
          <w:lang w:val="es-CO"/>
        </w:rPr>
        <w:lastRenderedPageBreak/>
        <w:t>another Member State within the 3-month period prior to the request for the opening of insolvency proceedings.</w:t>
      </w:r>
    </w:p>
    <w:p w14:paraId="2337B6BC" w14:textId="77777777" w:rsidR="003C60F9" w:rsidRDefault="003C60F9" w:rsidP="003C60F9">
      <w:pPr>
        <w:ind w:left="720"/>
        <w:jc w:val="both"/>
        <w:rPr>
          <w:rFonts w:ascii="Avenir Next" w:hAnsi="Avenir Next" w:cs="Arial"/>
          <w:i/>
          <w:iCs/>
          <w:color w:val="7B7B7B" w:themeColor="accent3" w:themeShade="BF"/>
          <w:sz w:val="22"/>
          <w:szCs w:val="22"/>
          <w:lang w:val="es-CO"/>
        </w:rPr>
      </w:pPr>
    </w:p>
    <w:p w14:paraId="1435AE8E" w14:textId="0CFC85FA" w:rsidR="003C60F9" w:rsidRDefault="003C60F9" w:rsidP="003C60F9">
      <w:pPr>
        <w:ind w:left="720"/>
        <w:jc w:val="both"/>
        <w:rPr>
          <w:rFonts w:ascii="Avenir Next" w:hAnsi="Avenir Next" w:cs="Arial"/>
          <w:i/>
          <w:iCs/>
          <w:color w:val="7B7B7B" w:themeColor="accent3" w:themeShade="BF"/>
          <w:sz w:val="22"/>
          <w:szCs w:val="22"/>
          <w:lang w:val="es-CO"/>
        </w:rPr>
      </w:pPr>
      <w:r w:rsidRPr="003C60F9">
        <w:rPr>
          <w:rFonts w:ascii="Avenir Next" w:hAnsi="Avenir Next" w:cs="Arial"/>
          <w:i/>
          <w:iCs/>
          <w:color w:val="7B7B7B" w:themeColor="accent3" w:themeShade="BF"/>
          <w:sz w:val="22"/>
          <w:szCs w:val="22"/>
          <w:lang w:val="es-CO"/>
        </w:rPr>
        <w:t xml:space="preserve">In the case of any other individual, the centre of main interests shall be presumed to be </w:t>
      </w:r>
      <w:r w:rsidRPr="003C60F9">
        <w:rPr>
          <w:rFonts w:ascii="Avenir Next" w:hAnsi="Avenir Next" w:cs="Arial"/>
          <w:i/>
          <w:iCs/>
          <w:color w:val="7B7B7B" w:themeColor="accent3" w:themeShade="BF"/>
          <w:sz w:val="22"/>
          <w:szCs w:val="22"/>
          <w:u w:val="single"/>
          <w:lang w:val="es-CO"/>
        </w:rPr>
        <w:t>the place of the individual's habitual residence</w:t>
      </w:r>
      <w:r w:rsidRPr="003C60F9">
        <w:rPr>
          <w:rFonts w:ascii="Avenir Next" w:hAnsi="Avenir Next" w:cs="Arial"/>
          <w:i/>
          <w:iCs/>
          <w:color w:val="7B7B7B" w:themeColor="accent3" w:themeShade="BF"/>
          <w:sz w:val="22"/>
          <w:szCs w:val="22"/>
          <w:lang w:val="es-CO"/>
        </w:rPr>
        <w:t xml:space="preserve"> in the absence of proof to the contrary. This presumption shall only apply if the habitual residence has not been moved to another Member State within the 6-month period prior to the request for the opening of insolvency proceedings.</w:t>
      </w:r>
      <w:r>
        <w:rPr>
          <w:rFonts w:ascii="Avenir Next" w:hAnsi="Avenir Next" w:cs="Arial"/>
          <w:i/>
          <w:iCs/>
          <w:color w:val="7B7B7B" w:themeColor="accent3" w:themeShade="BF"/>
          <w:sz w:val="22"/>
          <w:szCs w:val="22"/>
          <w:lang w:val="es-CO"/>
        </w:rPr>
        <w:t>”</w:t>
      </w:r>
    </w:p>
    <w:p w14:paraId="4A12D812" w14:textId="77777777" w:rsidR="003C60F9" w:rsidRDefault="003C60F9" w:rsidP="003C60F9">
      <w:pPr>
        <w:ind w:left="720"/>
        <w:jc w:val="both"/>
        <w:rPr>
          <w:rFonts w:ascii="Avenir Next" w:hAnsi="Avenir Next" w:cs="Arial"/>
          <w:i/>
          <w:iCs/>
          <w:color w:val="7B7B7B" w:themeColor="accent3" w:themeShade="BF"/>
          <w:sz w:val="22"/>
          <w:szCs w:val="22"/>
          <w:lang w:val="es-CO"/>
        </w:rPr>
      </w:pPr>
    </w:p>
    <w:p w14:paraId="7D8A44E1" w14:textId="77777777" w:rsidR="003C60F9" w:rsidRDefault="003C60F9" w:rsidP="003C60F9">
      <w:pPr>
        <w:ind w:left="720"/>
        <w:jc w:val="both"/>
        <w:rPr>
          <w:rFonts w:ascii="Avenir Next" w:hAnsi="Avenir Next" w:cs="Arial"/>
          <w:color w:val="7B7B7B" w:themeColor="accent3" w:themeShade="BF"/>
          <w:sz w:val="22"/>
          <w:szCs w:val="22"/>
          <w:lang w:val="es-CO"/>
        </w:rPr>
      </w:pPr>
      <w:r>
        <w:rPr>
          <w:rFonts w:ascii="Avenir Next" w:hAnsi="Avenir Next" w:cs="Arial"/>
          <w:color w:val="7B7B7B" w:themeColor="accent3" w:themeShade="BF"/>
          <w:sz w:val="22"/>
          <w:szCs w:val="22"/>
          <w:lang w:val="es-CO"/>
        </w:rPr>
        <w:t>Therefore, it has been clear that the statement refers to the presumptions that the EIR recast 2015 offers to establish the debtor’s COMI.</w:t>
      </w:r>
    </w:p>
    <w:p w14:paraId="48DAF38B" w14:textId="77777777" w:rsidR="003C60F9" w:rsidRDefault="003C60F9" w:rsidP="003C60F9">
      <w:pPr>
        <w:jc w:val="both"/>
        <w:rPr>
          <w:rFonts w:ascii="Avenir Next" w:hAnsi="Avenir Next" w:cs="Arial"/>
          <w:color w:val="7B7B7B" w:themeColor="accent3" w:themeShade="BF"/>
          <w:sz w:val="22"/>
          <w:szCs w:val="22"/>
          <w:lang w:val="es-CO"/>
        </w:rPr>
      </w:pPr>
    </w:p>
    <w:p w14:paraId="2EF22B9C" w14:textId="77777777" w:rsidR="004419B8" w:rsidRDefault="003C60F9" w:rsidP="003C60F9">
      <w:pPr>
        <w:jc w:val="both"/>
        <w:rPr>
          <w:rFonts w:ascii="Avenir Next" w:hAnsi="Avenir Next" w:cs="Arial"/>
          <w:color w:val="7B7B7B" w:themeColor="accent3" w:themeShade="BF"/>
          <w:sz w:val="22"/>
          <w:szCs w:val="22"/>
          <w:lang w:val="es-CO"/>
        </w:rPr>
      </w:pPr>
      <w:r>
        <w:rPr>
          <w:rFonts w:ascii="Avenir Next" w:hAnsi="Avenir Next" w:cs="Arial"/>
          <w:color w:val="7B7B7B" w:themeColor="accent3" w:themeShade="BF"/>
          <w:sz w:val="22"/>
          <w:szCs w:val="22"/>
          <w:lang w:val="es-CO"/>
        </w:rPr>
        <w:t xml:space="preserve">Statement 2. </w:t>
      </w:r>
      <w:r w:rsidR="004419B8">
        <w:rPr>
          <w:rFonts w:ascii="Avenir Next" w:hAnsi="Avenir Next" w:cs="Arial"/>
          <w:color w:val="7B7B7B" w:themeColor="accent3" w:themeShade="BF"/>
          <w:sz w:val="22"/>
          <w:szCs w:val="22"/>
          <w:lang w:val="es-CO"/>
        </w:rPr>
        <w:t xml:space="preserve">The statement referes to one of the IER Recast 2015 objective and material scope itself. This particulary can be found on the </w:t>
      </w:r>
      <w:r w:rsidR="004419B8" w:rsidRPr="004419B8">
        <w:rPr>
          <w:rFonts w:ascii="Avenir Next" w:hAnsi="Avenir Next" w:cs="Arial"/>
          <w:color w:val="7B7B7B" w:themeColor="accent3" w:themeShade="BF"/>
          <w:sz w:val="22"/>
          <w:szCs w:val="22"/>
          <w:lang w:val="es-CO"/>
        </w:rPr>
        <w:t>preamble</w:t>
      </w:r>
      <w:r w:rsidR="004419B8">
        <w:rPr>
          <w:rFonts w:ascii="Avenir Next" w:hAnsi="Avenir Next" w:cs="Arial"/>
          <w:color w:val="7B7B7B" w:themeColor="accent3" w:themeShade="BF"/>
          <w:sz w:val="22"/>
          <w:szCs w:val="22"/>
          <w:lang w:val="es-CO"/>
        </w:rPr>
        <w:t xml:space="preserve"> in which it’s stated:</w:t>
      </w:r>
    </w:p>
    <w:p w14:paraId="12F08674" w14:textId="77777777" w:rsidR="004419B8" w:rsidRDefault="004419B8" w:rsidP="003C60F9">
      <w:pPr>
        <w:jc w:val="both"/>
        <w:rPr>
          <w:rFonts w:ascii="Avenir Next" w:hAnsi="Avenir Next" w:cs="Arial"/>
          <w:color w:val="7B7B7B" w:themeColor="accent3" w:themeShade="BF"/>
          <w:sz w:val="22"/>
          <w:szCs w:val="22"/>
          <w:lang w:val="es-CO"/>
        </w:rPr>
      </w:pPr>
    </w:p>
    <w:p w14:paraId="18915215" w14:textId="1FAA60F0" w:rsidR="004419B8" w:rsidRPr="004419B8" w:rsidRDefault="004419B8" w:rsidP="004419B8">
      <w:pPr>
        <w:ind w:left="720"/>
        <w:jc w:val="both"/>
        <w:rPr>
          <w:rFonts w:ascii="Avenir Next" w:hAnsi="Avenir Next" w:cs="Arial"/>
          <w:i/>
          <w:iCs/>
          <w:color w:val="7B7B7B" w:themeColor="accent3" w:themeShade="BF"/>
          <w:sz w:val="22"/>
          <w:szCs w:val="22"/>
          <w:lang w:val="es-CO"/>
        </w:rPr>
      </w:pPr>
      <w:r w:rsidRPr="004419B8">
        <w:rPr>
          <w:rFonts w:ascii="Avenir Next" w:hAnsi="Avenir Next" w:cs="Arial"/>
          <w:i/>
          <w:iCs/>
          <w:color w:val="7B7B7B" w:themeColor="accent3" w:themeShade="BF"/>
          <w:sz w:val="22"/>
          <w:szCs w:val="22"/>
          <w:lang w:val="es-CO"/>
        </w:rPr>
        <w:t>“(10) The scope of this Regulation should extend to proceedings which promote the rescue of economically viable but distressed businesses and which give a second chance to entrepreneurs. It should, in particular, extend to proceedings which provide for restructuring of a debtor at a stage where there is only a likelihood of insolvency, and to proceedings which leave the debtor fully or partially in control of its assets and affairs. It should also extend to proceedings providing for a debt discharge or a debt adjustment in relation to consumers and selfemployed persons, for example by reducing the amount to be paid by the debtor or by extending the payment period granted to the debtor. Since such proceedings do not necessarily entail the appointment of an insolvency practitioner, they should be covered by this Regulation if they take place under the control or supervision of a court. In this context, the term ‘control’ should include situations where the court only intervenes on appeal by a creditor or other interested parties.“</w:t>
      </w:r>
    </w:p>
    <w:p w14:paraId="7C6A59C5" w14:textId="77777777" w:rsidR="004419B8" w:rsidRDefault="004419B8" w:rsidP="003C60F9">
      <w:pPr>
        <w:jc w:val="both"/>
        <w:rPr>
          <w:rFonts w:ascii="Avenir Next" w:hAnsi="Avenir Next" w:cs="Arial"/>
          <w:color w:val="7B7B7B" w:themeColor="accent3" w:themeShade="BF"/>
          <w:sz w:val="22"/>
          <w:szCs w:val="22"/>
        </w:rPr>
      </w:pPr>
    </w:p>
    <w:p w14:paraId="5C7DD9F3" w14:textId="217D350C" w:rsidR="00636C15" w:rsidRPr="003C60F9" w:rsidRDefault="004419B8" w:rsidP="003C60F9">
      <w:pPr>
        <w:jc w:val="both"/>
        <w:rPr>
          <w:rFonts w:ascii="Avenir Next" w:hAnsi="Avenir Next" w:cs="Arial"/>
          <w:i/>
          <w:iCs/>
          <w:color w:val="7B7B7B" w:themeColor="accent3" w:themeShade="BF"/>
          <w:sz w:val="22"/>
          <w:szCs w:val="22"/>
          <w:lang w:val="es-CO"/>
        </w:rPr>
      </w:pPr>
      <w:r>
        <w:rPr>
          <w:rFonts w:ascii="Avenir Next" w:hAnsi="Avenir Next" w:cs="Arial"/>
          <w:color w:val="7B7B7B" w:themeColor="accent3" w:themeShade="BF"/>
          <w:sz w:val="22"/>
          <w:szCs w:val="22"/>
        </w:rPr>
        <w:t>Therefore, it has become clear that one of the main goals of the recast is to avoid the liquidation of a business and to try to give the best effort to rescue a viable company.</w:t>
      </w:r>
      <w:r w:rsidR="00636C15" w:rsidRPr="008E3C96">
        <w:rPr>
          <w:rFonts w:ascii="Avenir Next" w:hAnsi="Avenir Next" w:cs="Arial"/>
          <w:color w:val="7B7B7B" w:themeColor="accent3" w:themeShade="BF"/>
          <w:sz w:val="22"/>
          <w:szCs w:val="22"/>
        </w:rPr>
        <w:t>]</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7F772E2C" w14:textId="4EC17EDC" w:rsidR="004419B8" w:rsidRDefault="00636C15" w:rsidP="00636C15">
      <w:pPr>
        <w:ind w:left="720" w:hanging="720"/>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4419B8">
        <w:rPr>
          <w:rFonts w:ascii="Avenir Next" w:hAnsi="Avenir Next" w:cs="Arial"/>
          <w:color w:val="7B7B7B" w:themeColor="accent3" w:themeShade="BF"/>
          <w:sz w:val="22"/>
          <w:szCs w:val="22"/>
          <w:lang w:val="en-GB"/>
        </w:rPr>
        <w:t>I. EIR recast has several examples within its “modified universalism” approach, just like it has been stated even since the preamble:</w:t>
      </w:r>
    </w:p>
    <w:p w14:paraId="68EE270F" w14:textId="77777777" w:rsidR="004419B8" w:rsidRDefault="004419B8" w:rsidP="004419B8">
      <w:pPr>
        <w:ind w:left="720"/>
        <w:jc w:val="both"/>
        <w:rPr>
          <w:rFonts w:ascii="Avenir Next" w:hAnsi="Avenir Next" w:cs="Arial"/>
          <w:color w:val="7B7B7B" w:themeColor="accent3" w:themeShade="BF"/>
          <w:sz w:val="22"/>
          <w:szCs w:val="22"/>
          <w:lang w:val="es-CO"/>
        </w:rPr>
      </w:pPr>
    </w:p>
    <w:p w14:paraId="5D2B734F" w14:textId="48F16F12" w:rsidR="004419B8" w:rsidRPr="004419B8" w:rsidRDefault="004419B8" w:rsidP="004419B8">
      <w:pPr>
        <w:ind w:left="720"/>
        <w:jc w:val="both"/>
        <w:rPr>
          <w:rFonts w:ascii="Avenir Next" w:hAnsi="Avenir Next" w:cs="Arial"/>
          <w:i/>
          <w:iCs/>
          <w:color w:val="7B7B7B" w:themeColor="accent3" w:themeShade="BF"/>
          <w:sz w:val="22"/>
          <w:szCs w:val="22"/>
          <w:lang w:val="es-CO"/>
        </w:rPr>
      </w:pPr>
      <w:r>
        <w:rPr>
          <w:rFonts w:ascii="Avenir Next" w:hAnsi="Avenir Next" w:cs="Arial"/>
          <w:i/>
          <w:iCs/>
          <w:color w:val="7B7B7B" w:themeColor="accent3" w:themeShade="BF"/>
          <w:sz w:val="22"/>
          <w:szCs w:val="22"/>
          <w:lang w:val="es-CO"/>
        </w:rPr>
        <w:t>“</w:t>
      </w:r>
      <w:r w:rsidRPr="004419B8">
        <w:rPr>
          <w:rFonts w:ascii="Avenir Next" w:hAnsi="Avenir Next" w:cs="Arial"/>
          <w:i/>
          <w:iCs/>
          <w:color w:val="7B7B7B" w:themeColor="accent3" w:themeShade="BF"/>
          <w:sz w:val="22"/>
          <w:szCs w:val="22"/>
          <w:lang w:val="es-CO"/>
        </w:rPr>
        <w:t xml:space="preserve">This Regulation enables the main insolvency proceedings to be opened in the Member State where the debtor has the centre of its main interests. Those proceedings have universal scope and are aimed at encompassing all the debtor's assets. To protect the diversity of interests, this Regulation permits secondary insolvency proceedings to be opened to run in parallel with the main insolvency </w:t>
      </w:r>
      <w:r w:rsidRPr="004419B8">
        <w:rPr>
          <w:rFonts w:ascii="Avenir Next" w:hAnsi="Avenir Next" w:cs="Arial"/>
          <w:i/>
          <w:iCs/>
          <w:color w:val="7B7B7B" w:themeColor="accent3" w:themeShade="BF"/>
          <w:sz w:val="22"/>
          <w:szCs w:val="22"/>
          <w:lang w:val="es-CO"/>
        </w:rPr>
        <w:lastRenderedPageBreak/>
        <w:t>proceedings. Secondary insolvency proceedings may be opened in the Member State where the debtor has an establishment. The effects of secondary insolvency proceedings are limited to the assets located in that State. Mandatory rules of coordination with the main insolvency proceedings satisfy the need for unity in the Union.</w:t>
      </w:r>
      <w:r w:rsidR="007E6634">
        <w:rPr>
          <w:rFonts w:ascii="Avenir Next" w:hAnsi="Avenir Next" w:cs="Arial"/>
          <w:i/>
          <w:iCs/>
          <w:color w:val="7B7B7B" w:themeColor="accent3" w:themeShade="BF"/>
          <w:sz w:val="22"/>
          <w:szCs w:val="22"/>
          <w:lang w:val="es-CO"/>
        </w:rPr>
        <w:t>”</w:t>
      </w:r>
    </w:p>
    <w:p w14:paraId="121274AD" w14:textId="77777777" w:rsidR="007E6634" w:rsidRDefault="007E6634" w:rsidP="00636C15">
      <w:pPr>
        <w:ind w:left="720" w:hanging="720"/>
        <w:jc w:val="both"/>
        <w:rPr>
          <w:rFonts w:ascii="Avenir Next" w:hAnsi="Avenir Next" w:cs="Arial"/>
          <w:color w:val="7B7B7B" w:themeColor="accent3" w:themeShade="BF"/>
          <w:sz w:val="22"/>
          <w:szCs w:val="22"/>
          <w:lang w:val="en-GB"/>
        </w:rPr>
      </w:pPr>
    </w:p>
    <w:p w14:paraId="0683BD82" w14:textId="77777777" w:rsidR="007E6634" w:rsidRDefault="007E6634" w:rsidP="00636C1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 Following up, the article 23 states:</w:t>
      </w:r>
    </w:p>
    <w:p w14:paraId="1CDEE602" w14:textId="77777777" w:rsidR="007E6634" w:rsidRDefault="007E6634" w:rsidP="00636C15">
      <w:pPr>
        <w:ind w:left="720" w:hanging="720"/>
        <w:jc w:val="both"/>
        <w:rPr>
          <w:rFonts w:ascii="Avenir Next" w:hAnsi="Avenir Next" w:cs="Arial"/>
          <w:color w:val="7B7B7B" w:themeColor="accent3" w:themeShade="BF"/>
          <w:sz w:val="22"/>
          <w:szCs w:val="22"/>
          <w:lang w:val="en-GB"/>
        </w:rPr>
      </w:pPr>
    </w:p>
    <w:p w14:paraId="729D3F5B" w14:textId="6EABC62B" w:rsidR="007E6634" w:rsidRPr="007E6634" w:rsidRDefault="007E6634" w:rsidP="007E6634">
      <w:pPr>
        <w:ind w:left="720"/>
        <w:jc w:val="both"/>
        <w:rPr>
          <w:rFonts w:ascii="Avenir Next" w:hAnsi="Avenir Next" w:cs="Arial"/>
          <w:i/>
          <w:iCs/>
          <w:color w:val="7B7B7B" w:themeColor="accent3" w:themeShade="BF"/>
          <w:sz w:val="22"/>
          <w:szCs w:val="22"/>
          <w:lang w:val="es-CO"/>
        </w:rPr>
      </w:pPr>
      <w:r>
        <w:rPr>
          <w:rFonts w:ascii="Avenir Next" w:hAnsi="Avenir Next" w:cs="Arial"/>
          <w:i/>
          <w:iCs/>
          <w:color w:val="7B7B7B" w:themeColor="accent3" w:themeShade="BF"/>
          <w:sz w:val="22"/>
          <w:szCs w:val="22"/>
          <w:lang w:val="es-CO"/>
        </w:rPr>
        <w:t>“</w:t>
      </w:r>
      <w:r w:rsidRPr="007E6634">
        <w:rPr>
          <w:rFonts w:ascii="Avenir Next" w:hAnsi="Avenir Next" w:cs="Arial"/>
          <w:i/>
          <w:iCs/>
          <w:color w:val="7B7B7B" w:themeColor="accent3" w:themeShade="BF"/>
          <w:sz w:val="22"/>
          <w:szCs w:val="22"/>
          <w:lang w:val="es-CO"/>
        </w:rPr>
        <w:t>A creditor which, after the opening of the proceedings referred to in Article 3(1), obtains by any means, in particular through enforcement, total or partial satisfaction of its claim on the assets belonging to a debtor situated within the territory of another Member State, shall return what it has obtained to the insolvency practitioner, subject to Articles 8 and 10.</w:t>
      </w:r>
      <w:r>
        <w:rPr>
          <w:rFonts w:ascii="Avenir Next" w:hAnsi="Avenir Next" w:cs="Arial"/>
          <w:i/>
          <w:iCs/>
          <w:color w:val="7B7B7B" w:themeColor="accent3" w:themeShade="BF"/>
          <w:sz w:val="22"/>
          <w:szCs w:val="22"/>
          <w:lang w:val="es-CO"/>
        </w:rPr>
        <w:t>”</w:t>
      </w:r>
      <w:r w:rsidRPr="007E6634">
        <w:rPr>
          <w:rFonts w:ascii="Avenir Next" w:hAnsi="Avenir Next" w:cs="Arial"/>
          <w:i/>
          <w:iCs/>
          <w:color w:val="7B7B7B" w:themeColor="accent3" w:themeShade="BF"/>
          <w:sz w:val="22"/>
          <w:szCs w:val="22"/>
          <w:lang w:val="es-CO"/>
        </w:rPr>
        <w:t xml:space="preserve"> </w:t>
      </w:r>
    </w:p>
    <w:p w14:paraId="44C40B54" w14:textId="77777777" w:rsidR="007E6634" w:rsidRDefault="007E6634" w:rsidP="00636C15">
      <w:pPr>
        <w:ind w:left="720" w:hanging="720"/>
        <w:jc w:val="both"/>
        <w:rPr>
          <w:rFonts w:ascii="Avenir Next" w:hAnsi="Avenir Next" w:cs="Arial"/>
          <w:color w:val="7B7B7B" w:themeColor="accent3" w:themeShade="BF"/>
          <w:sz w:val="22"/>
          <w:szCs w:val="22"/>
          <w:lang w:val="en-GB"/>
        </w:rPr>
      </w:pPr>
    </w:p>
    <w:p w14:paraId="09336D25" w14:textId="77777777" w:rsidR="007E6634" w:rsidRDefault="007E6634" w:rsidP="00636C1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III. Finally, it needs to be highlighted the fact that there is a complete chapter in the recast that refers to the possibility of secondary insolvency proceedings, as it’s shown:</w:t>
      </w:r>
    </w:p>
    <w:p w14:paraId="2C0EAAD3" w14:textId="77777777" w:rsidR="007E6634" w:rsidRDefault="007E6634" w:rsidP="00636C15">
      <w:pPr>
        <w:ind w:left="720" w:hanging="720"/>
        <w:jc w:val="both"/>
        <w:rPr>
          <w:rFonts w:ascii="Avenir Next" w:hAnsi="Avenir Next" w:cs="Arial"/>
          <w:color w:val="7B7B7B" w:themeColor="accent3" w:themeShade="BF"/>
          <w:sz w:val="22"/>
          <w:szCs w:val="22"/>
          <w:lang w:val="en-GB"/>
        </w:rPr>
      </w:pPr>
    </w:p>
    <w:p w14:paraId="24919399" w14:textId="1B91A46C" w:rsidR="007E6634" w:rsidRPr="007E6634" w:rsidRDefault="007E6634" w:rsidP="007E6634">
      <w:pPr>
        <w:ind w:left="720" w:hanging="720"/>
        <w:jc w:val="both"/>
        <w:rPr>
          <w:rFonts w:ascii="Avenir Next" w:hAnsi="Avenir Next" w:cs="Arial"/>
          <w:i/>
          <w:iCs/>
          <w:color w:val="7B7B7B" w:themeColor="accent3" w:themeShade="BF"/>
          <w:sz w:val="22"/>
          <w:szCs w:val="22"/>
          <w:lang w:val="es-CO"/>
        </w:rPr>
      </w:pPr>
      <w:r>
        <w:rPr>
          <w:rFonts w:ascii="Avenir Next" w:hAnsi="Avenir Next" w:cs="Arial"/>
          <w:color w:val="7B7B7B" w:themeColor="accent3" w:themeShade="BF"/>
          <w:sz w:val="22"/>
          <w:szCs w:val="22"/>
          <w:lang w:val="es-CO"/>
        </w:rPr>
        <w:t xml:space="preserve"> </w:t>
      </w:r>
      <w:r>
        <w:rPr>
          <w:rFonts w:ascii="Avenir Next" w:hAnsi="Avenir Next" w:cs="Arial"/>
          <w:color w:val="7B7B7B" w:themeColor="accent3" w:themeShade="BF"/>
          <w:sz w:val="22"/>
          <w:szCs w:val="22"/>
          <w:lang w:val="es-CO"/>
        </w:rPr>
        <w:tab/>
      </w:r>
      <w:r w:rsidRPr="007E6634">
        <w:rPr>
          <w:rFonts w:ascii="Avenir Next" w:hAnsi="Avenir Next" w:cs="Arial"/>
          <w:i/>
          <w:iCs/>
          <w:color w:val="7B7B7B" w:themeColor="accent3" w:themeShade="BF"/>
          <w:sz w:val="22"/>
          <w:szCs w:val="22"/>
          <w:lang w:val="es-CO"/>
        </w:rPr>
        <w:t>“CHAPTER III</w:t>
      </w:r>
    </w:p>
    <w:p w14:paraId="1822C052" w14:textId="05764068" w:rsidR="007E6634" w:rsidRPr="007E6634" w:rsidRDefault="007E6634" w:rsidP="007E6634">
      <w:pPr>
        <w:ind w:left="720" w:hanging="720"/>
        <w:jc w:val="both"/>
        <w:rPr>
          <w:rFonts w:ascii="Avenir Next" w:hAnsi="Avenir Next" w:cs="Arial"/>
          <w:i/>
          <w:iCs/>
          <w:color w:val="7B7B7B" w:themeColor="accent3" w:themeShade="BF"/>
          <w:sz w:val="22"/>
          <w:szCs w:val="22"/>
          <w:lang w:val="es-CO"/>
        </w:rPr>
      </w:pPr>
      <w:r w:rsidRPr="007E6634">
        <w:rPr>
          <w:rFonts w:ascii="Avenir Next" w:hAnsi="Avenir Next" w:cs="Arial"/>
          <w:i/>
          <w:iCs/>
          <w:color w:val="7B7B7B" w:themeColor="accent3" w:themeShade="BF"/>
          <w:sz w:val="22"/>
          <w:szCs w:val="22"/>
          <w:lang w:val="es-CO"/>
        </w:rPr>
        <w:t xml:space="preserve"> </w:t>
      </w:r>
    </w:p>
    <w:p w14:paraId="0670AC78" w14:textId="7FD828CC" w:rsidR="007E6634" w:rsidRPr="007E6634" w:rsidRDefault="007E6634" w:rsidP="007E6634">
      <w:pPr>
        <w:ind w:left="720"/>
        <w:jc w:val="both"/>
        <w:rPr>
          <w:rFonts w:ascii="Avenir Next" w:hAnsi="Avenir Next" w:cs="Arial"/>
          <w:i/>
          <w:iCs/>
          <w:color w:val="7B7B7B" w:themeColor="accent3" w:themeShade="BF"/>
          <w:sz w:val="22"/>
          <w:szCs w:val="22"/>
          <w:lang w:val="es-CO"/>
        </w:rPr>
      </w:pPr>
      <w:r w:rsidRPr="007E6634">
        <w:rPr>
          <w:rFonts w:ascii="Avenir Next" w:hAnsi="Avenir Next" w:cs="Arial"/>
          <w:i/>
          <w:iCs/>
          <w:color w:val="7B7B7B" w:themeColor="accent3" w:themeShade="BF"/>
          <w:sz w:val="22"/>
          <w:szCs w:val="22"/>
          <w:lang w:val="es-CO"/>
        </w:rPr>
        <w:t xml:space="preserve">SECONDARY INSOLVENCY PROCEEDINGS </w:t>
      </w:r>
    </w:p>
    <w:p w14:paraId="22A2209C" w14:textId="77777777" w:rsidR="007E6634" w:rsidRPr="007E6634" w:rsidRDefault="007E6634" w:rsidP="007E6634">
      <w:pPr>
        <w:ind w:left="720"/>
        <w:jc w:val="both"/>
        <w:rPr>
          <w:rFonts w:ascii="Avenir Next" w:hAnsi="Avenir Next" w:cs="Arial"/>
          <w:i/>
          <w:iCs/>
          <w:color w:val="7B7B7B" w:themeColor="accent3" w:themeShade="BF"/>
          <w:sz w:val="22"/>
          <w:szCs w:val="22"/>
          <w:lang w:val="es-CO"/>
        </w:rPr>
      </w:pPr>
    </w:p>
    <w:p w14:paraId="16675D5F" w14:textId="734FDC93" w:rsidR="00636C15" w:rsidRPr="007E6634" w:rsidRDefault="007E6634" w:rsidP="007E6634">
      <w:pPr>
        <w:ind w:left="720"/>
        <w:jc w:val="both"/>
        <w:rPr>
          <w:rFonts w:ascii="Avenir Next" w:hAnsi="Avenir Next" w:cs="Arial"/>
          <w:color w:val="7B7B7B" w:themeColor="accent3" w:themeShade="BF"/>
          <w:sz w:val="22"/>
          <w:szCs w:val="22"/>
          <w:lang w:val="es-CO"/>
        </w:rPr>
      </w:pPr>
      <w:r w:rsidRPr="007E6634">
        <w:rPr>
          <w:rFonts w:ascii="Avenir Next" w:hAnsi="Avenir Next" w:cs="Arial"/>
          <w:i/>
          <w:iCs/>
          <w:color w:val="7B7B7B" w:themeColor="accent3" w:themeShade="BF"/>
          <w:sz w:val="22"/>
          <w:szCs w:val="22"/>
          <w:lang w:val="es-CO"/>
        </w:rPr>
        <w:t>Article 34 Opening of proceedings Where main insolvency proceedings have been opened by a court of a Member State and recognised in another Member State, a court of that other Member State which has jurisdiction pursuant to Article 3(2) may open secondary insolvency proceedings in accordance with the provisions set out in this Chapter. Where the main insolvency proceedings required that the debtor be insolvent, the debtor's insolvency shall not be re-examined in the Member State in which secondary insolvency proceedings may be opened. The effects of secondary insolvency proceedings shall be restricted to the assets of the debtor situated within the territory of the Member State in which those proceedings have been opened.”</w:t>
      </w:r>
      <w:r w:rsidR="00636C15" w:rsidRPr="008E3C96">
        <w:rPr>
          <w:rFonts w:ascii="Avenir Next" w:hAnsi="Avenir Next" w:cs="Arial"/>
          <w:color w:val="7B7B7B" w:themeColor="accent3" w:themeShade="BF"/>
          <w:sz w:val="22"/>
          <w:szCs w:val="22"/>
          <w:lang w:val="en-GB"/>
        </w:rPr>
        <w:t>]</w:t>
      </w: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7CC72B6B" w14:textId="77777777" w:rsidR="00A75650" w:rsidRDefault="00C72848" w:rsidP="002A37BB">
      <w:pPr>
        <w:ind w:left="720" w:hanging="720"/>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7E6634">
        <w:rPr>
          <w:rFonts w:ascii="Avenir Next" w:hAnsi="Avenir Next" w:cs="Arial"/>
          <w:color w:val="7B7B7B" w:themeColor="accent3" w:themeShade="BF"/>
          <w:sz w:val="22"/>
          <w:szCs w:val="22"/>
          <w:lang w:val="en-GB"/>
        </w:rPr>
        <w:t xml:space="preserve">One of the main challenge upon dealing with several proceedings is </w:t>
      </w:r>
      <w:r w:rsidR="00A75650" w:rsidRPr="00A75650">
        <w:rPr>
          <w:rFonts w:ascii="Avenir Next" w:hAnsi="Avenir Next" w:cs="Arial"/>
          <w:color w:val="7B7B7B" w:themeColor="accent3" w:themeShade="BF"/>
          <w:sz w:val="22"/>
          <w:szCs w:val="22"/>
          <w:lang w:val="en-GB"/>
        </w:rPr>
        <w:t>definitely</w:t>
      </w:r>
      <w:r w:rsidR="00A75650">
        <w:rPr>
          <w:rFonts w:ascii="Avenir Next" w:hAnsi="Avenir Next" w:cs="Arial"/>
          <w:color w:val="7B7B7B" w:themeColor="accent3" w:themeShade="BF"/>
          <w:sz w:val="22"/>
          <w:szCs w:val="22"/>
          <w:lang w:val="en-GB"/>
        </w:rPr>
        <w:t xml:space="preserve"> co-operation and communication between actors involved. Therefore, the recast is right to include the following provisions:</w:t>
      </w:r>
    </w:p>
    <w:p w14:paraId="5E115BA1" w14:textId="77777777" w:rsidR="00A75650" w:rsidRDefault="00A75650" w:rsidP="002A37BB">
      <w:pPr>
        <w:ind w:left="720" w:hanging="720"/>
        <w:jc w:val="both"/>
        <w:rPr>
          <w:rFonts w:ascii="Avenir Next" w:hAnsi="Avenir Next" w:cs="Arial"/>
          <w:color w:val="7B7B7B" w:themeColor="accent3" w:themeShade="BF"/>
          <w:sz w:val="22"/>
          <w:szCs w:val="22"/>
          <w:lang w:val="en-GB"/>
        </w:rPr>
      </w:pPr>
    </w:p>
    <w:p w14:paraId="36639B02" w14:textId="1B90A0E6" w:rsidR="00A75650" w:rsidRDefault="00A75650" w:rsidP="00A75650">
      <w:pPr>
        <w:ind w:left="720"/>
        <w:jc w:val="both"/>
        <w:rPr>
          <w:rFonts w:ascii="Avenir Next" w:hAnsi="Avenir Next" w:cs="Arial"/>
          <w:i/>
          <w:iCs/>
          <w:color w:val="7B7B7B" w:themeColor="accent3" w:themeShade="BF"/>
          <w:sz w:val="22"/>
          <w:szCs w:val="22"/>
          <w:lang w:val="es-CO"/>
        </w:rPr>
      </w:pPr>
      <w:r w:rsidRPr="00A75650">
        <w:rPr>
          <w:rFonts w:ascii="Avenir Next" w:hAnsi="Avenir Next" w:cs="Arial"/>
          <w:i/>
          <w:iCs/>
          <w:color w:val="7B7B7B" w:themeColor="accent3" w:themeShade="BF"/>
          <w:sz w:val="22"/>
          <w:szCs w:val="22"/>
          <w:lang w:val="en-GB"/>
        </w:rPr>
        <w:t xml:space="preserve">I. </w:t>
      </w:r>
      <w:r w:rsidRPr="00A75650">
        <w:rPr>
          <w:rFonts w:ascii="Avenir Next" w:hAnsi="Avenir Next" w:cs="Arial"/>
          <w:i/>
          <w:iCs/>
          <w:color w:val="7B7B7B" w:themeColor="accent3" w:themeShade="BF"/>
          <w:sz w:val="22"/>
          <w:szCs w:val="22"/>
          <w:lang w:val="es-CO"/>
        </w:rPr>
        <w:t xml:space="preserve">Article 41 Cooperation and communication between insolvency practitioners 1. The insolvency practitioner in the main insolvency proceedings and the insolvency </w:t>
      </w:r>
      <w:r w:rsidRPr="00A75650">
        <w:rPr>
          <w:rFonts w:ascii="Avenir Next" w:hAnsi="Avenir Next" w:cs="Arial"/>
          <w:i/>
          <w:iCs/>
          <w:color w:val="7B7B7B" w:themeColor="accent3" w:themeShade="BF"/>
          <w:sz w:val="22"/>
          <w:szCs w:val="22"/>
          <w:lang w:val="es-CO"/>
        </w:rPr>
        <w:lastRenderedPageBreak/>
        <w:t>practitioner or practitioners in secondary insolvency proceedings concerning the same debtor shall cooperate with each other to the extent such cooperation is not incompatible with the rules applicable to the respective proceedings. Such cooperation may take any form, including the conclusion of agreements or protocols.</w:t>
      </w:r>
      <w:r>
        <w:rPr>
          <w:rFonts w:ascii="Avenir Next" w:hAnsi="Avenir Next" w:cs="Arial"/>
          <w:i/>
          <w:iCs/>
          <w:color w:val="7B7B7B" w:themeColor="accent3" w:themeShade="BF"/>
          <w:sz w:val="22"/>
          <w:szCs w:val="22"/>
          <w:lang w:val="es-CO"/>
        </w:rPr>
        <w:t xml:space="preserve"> (…)</w:t>
      </w:r>
    </w:p>
    <w:p w14:paraId="43CC9D62" w14:textId="77777777" w:rsidR="00A75650" w:rsidRDefault="00A75650" w:rsidP="00A75650">
      <w:pPr>
        <w:ind w:left="720"/>
        <w:jc w:val="both"/>
        <w:rPr>
          <w:rFonts w:ascii="Avenir Next" w:hAnsi="Avenir Next" w:cs="Arial"/>
          <w:i/>
          <w:iCs/>
          <w:color w:val="7B7B7B" w:themeColor="accent3" w:themeShade="BF"/>
          <w:sz w:val="22"/>
          <w:szCs w:val="22"/>
          <w:lang w:val="es-CO"/>
        </w:rPr>
      </w:pPr>
    </w:p>
    <w:p w14:paraId="14519C84" w14:textId="36A8BB44" w:rsidR="00A75650" w:rsidRPr="00A75650" w:rsidRDefault="00A75650" w:rsidP="00A75650">
      <w:pPr>
        <w:ind w:left="720"/>
        <w:jc w:val="both"/>
        <w:rPr>
          <w:rFonts w:ascii="Avenir Next" w:hAnsi="Avenir Next" w:cs="Arial"/>
          <w:i/>
          <w:iCs/>
          <w:color w:val="7B7B7B" w:themeColor="accent3" w:themeShade="BF"/>
          <w:sz w:val="22"/>
          <w:szCs w:val="22"/>
          <w:lang w:val="es-CO"/>
        </w:rPr>
      </w:pPr>
      <w:r>
        <w:rPr>
          <w:rFonts w:ascii="Avenir Next" w:hAnsi="Avenir Next" w:cs="Arial"/>
          <w:i/>
          <w:iCs/>
          <w:color w:val="7B7B7B" w:themeColor="accent3" w:themeShade="BF"/>
          <w:sz w:val="22"/>
          <w:szCs w:val="22"/>
          <w:lang w:val="es-CO"/>
        </w:rPr>
        <w:t xml:space="preserve">II. Articule 42. </w:t>
      </w:r>
      <w:r w:rsidRPr="00A75650">
        <w:rPr>
          <w:rFonts w:ascii="Avenir Next" w:hAnsi="Avenir Next" w:cs="Arial"/>
          <w:i/>
          <w:iCs/>
          <w:color w:val="7B7B7B" w:themeColor="accent3" w:themeShade="BF"/>
          <w:sz w:val="22"/>
          <w:szCs w:val="22"/>
          <w:lang w:val="es-CO"/>
        </w:rPr>
        <w:t xml:space="preserve">Cooperation and communication between courts 1. In order to facilitate the coordination of main, territorial and secondary insolvency proceedings concerning the same debtor, a court before which a request to open insolvency proceedings is pending, or which has opened such proceedings, shall cooperate with any other court before which a request to open insolvency proceedings is pending, or which has opened such proceedings, to the extent that such cooperation is not incompatible with the rules applicable to each of the proceedings. For that purpose, the courts may, where appropriate, appoint an independent person or body acting on its instructions, provided that it is not incompatible with the rules applicable to them. </w:t>
      </w:r>
      <w:r>
        <w:rPr>
          <w:rFonts w:ascii="Avenir Next" w:hAnsi="Avenir Next" w:cs="Arial"/>
          <w:i/>
          <w:iCs/>
          <w:color w:val="7B7B7B" w:themeColor="accent3" w:themeShade="BF"/>
          <w:sz w:val="22"/>
          <w:szCs w:val="22"/>
          <w:lang w:val="es-CO"/>
        </w:rPr>
        <w:t>(…)</w:t>
      </w:r>
    </w:p>
    <w:p w14:paraId="5EA30562" w14:textId="77777777" w:rsidR="00A75650" w:rsidRDefault="00A75650" w:rsidP="00A75650">
      <w:pPr>
        <w:ind w:left="720"/>
        <w:jc w:val="both"/>
        <w:rPr>
          <w:rFonts w:ascii="Avenir Next" w:hAnsi="Avenir Next" w:cs="Arial"/>
          <w:i/>
          <w:iCs/>
          <w:color w:val="7B7B7B" w:themeColor="accent3" w:themeShade="BF"/>
          <w:sz w:val="22"/>
          <w:szCs w:val="22"/>
          <w:lang w:val="es-CO"/>
        </w:rPr>
      </w:pPr>
    </w:p>
    <w:p w14:paraId="78DB9FD8" w14:textId="0B795659" w:rsidR="00C72848" w:rsidRPr="00A75650" w:rsidRDefault="00A75650" w:rsidP="00A75650">
      <w:pPr>
        <w:ind w:left="720"/>
        <w:jc w:val="both"/>
        <w:rPr>
          <w:rFonts w:ascii="Avenir Next" w:hAnsi="Avenir Next" w:cs="Arial"/>
          <w:i/>
          <w:iCs/>
          <w:color w:val="7B7B7B" w:themeColor="accent3" w:themeShade="BF"/>
          <w:sz w:val="22"/>
          <w:szCs w:val="22"/>
          <w:lang w:val="es-CO"/>
        </w:rPr>
      </w:pPr>
      <w:r>
        <w:rPr>
          <w:rFonts w:ascii="Avenir Next" w:hAnsi="Avenir Next" w:cs="Arial"/>
          <w:i/>
          <w:iCs/>
          <w:color w:val="7B7B7B" w:themeColor="accent3" w:themeShade="BF"/>
          <w:sz w:val="22"/>
          <w:szCs w:val="22"/>
          <w:lang w:val="es-CO"/>
        </w:rPr>
        <w:t xml:space="preserve">III. Article 43. </w:t>
      </w:r>
      <w:r w:rsidRPr="00A75650">
        <w:rPr>
          <w:rFonts w:ascii="Avenir Next" w:hAnsi="Avenir Next" w:cs="Arial"/>
          <w:i/>
          <w:iCs/>
          <w:color w:val="7B7B7B" w:themeColor="accent3" w:themeShade="BF"/>
          <w:sz w:val="22"/>
          <w:szCs w:val="22"/>
          <w:lang w:val="es-CO"/>
        </w:rPr>
        <w:t>Cooperation and communication between insolvency practitioners and courts 1. In order to facilitate the coordination of main, territorial and secondary insolvency proceedings opened in respect of the same debtor: (a) an insolvency practitioner in main insolvency proceedings shall cooperate and communicate with any court before which a request to open secondary insolvency proceedings is pending or which has opened such proceedings; (b) an insolvency practitioner in territorial or secondary insolvency proceedings shall cooperate and communicate with the court before which a request to open main insolvency proceedings is pending or which has opened such proceedings; and (c) an insolvency practitioner in territorial or secondary insolvency proceedings shall cooperate and communicate with the court before which a request to open other territorial or secondary insolvency proceedings is pending or which has opened such proceedings;</w:t>
      </w:r>
      <w:r w:rsidR="00514A3F">
        <w:rPr>
          <w:rFonts w:ascii="Avenir Next" w:hAnsi="Avenir Next" w:cs="Arial"/>
          <w:i/>
          <w:iCs/>
          <w:color w:val="7B7B7B" w:themeColor="accent3" w:themeShade="BF"/>
          <w:sz w:val="22"/>
          <w:szCs w:val="22"/>
          <w:lang w:val="es-CO"/>
        </w:rPr>
        <w:t>(…)</w:t>
      </w:r>
      <w:r w:rsidR="00C72848" w:rsidRPr="008E3C96">
        <w:rPr>
          <w:rFonts w:ascii="Avenir Next" w:hAnsi="Avenir Next" w:cs="Arial"/>
          <w:color w:val="7B7B7B" w:themeColor="accent3" w:themeShade="BF"/>
          <w:sz w:val="22"/>
          <w:szCs w:val="22"/>
          <w:lang w:val="en-GB"/>
        </w:rPr>
        <w:t>]</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0479EB01" w14:textId="6E3446A9" w:rsidR="00471E05" w:rsidRPr="00471E05" w:rsidRDefault="009954B2" w:rsidP="00471E05">
      <w:pPr>
        <w:ind w:left="720" w:hanging="720"/>
        <w:jc w:val="both"/>
        <w:rPr>
          <w:rFonts w:ascii="Avenir Next" w:hAnsi="Avenir Next" w:cs="Arial"/>
          <w:color w:val="7B7B7B" w:themeColor="accent3" w:themeShade="BF"/>
          <w:sz w:val="22"/>
          <w:szCs w:val="22"/>
          <w:lang w:val="es-CO"/>
        </w:rPr>
      </w:pPr>
      <w:r w:rsidRPr="008E3C96">
        <w:rPr>
          <w:rFonts w:ascii="Avenir Next" w:hAnsi="Avenir Next" w:cs="Arial"/>
          <w:color w:val="7B7B7B" w:themeColor="accent3" w:themeShade="BF"/>
          <w:sz w:val="22"/>
          <w:szCs w:val="22"/>
          <w:lang w:val="en-GB"/>
        </w:rPr>
        <w:t>[</w:t>
      </w:r>
      <w:r w:rsidR="005B0486">
        <w:rPr>
          <w:rFonts w:ascii="Avenir Next" w:hAnsi="Avenir Next" w:cs="Arial"/>
          <w:color w:val="7B7B7B" w:themeColor="accent3" w:themeShade="BF"/>
          <w:sz w:val="22"/>
          <w:szCs w:val="22"/>
          <w:lang w:val="en-GB"/>
        </w:rPr>
        <w:t>Article 38 allows the main insolvency practitioner to give an undertaking</w:t>
      </w:r>
      <w:r w:rsidR="00471E05">
        <w:rPr>
          <w:rFonts w:ascii="Avenir Next" w:hAnsi="Avenir Next" w:cs="Arial"/>
          <w:color w:val="7B7B7B" w:themeColor="accent3" w:themeShade="BF"/>
          <w:sz w:val="22"/>
          <w:szCs w:val="22"/>
          <w:lang w:val="en-GB"/>
        </w:rPr>
        <w:t xml:space="preserve"> to a local creditor (located in a second state)</w:t>
      </w:r>
      <w:r w:rsidR="005B0486">
        <w:rPr>
          <w:rFonts w:ascii="Avenir Next" w:hAnsi="Avenir Next" w:cs="Arial"/>
          <w:color w:val="7B7B7B" w:themeColor="accent3" w:themeShade="BF"/>
          <w:sz w:val="22"/>
          <w:szCs w:val="22"/>
          <w:lang w:val="en-GB"/>
        </w:rPr>
        <w:t xml:space="preserve"> that, if the </w:t>
      </w:r>
      <w:r w:rsidR="005B0486" w:rsidRPr="005B0486">
        <w:rPr>
          <w:rFonts w:ascii="Avenir Next" w:hAnsi="Avenir Next" w:cs="Arial"/>
          <w:color w:val="7B7B7B" w:themeColor="accent3" w:themeShade="BF"/>
          <w:sz w:val="22"/>
          <w:szCs w:val="22"/>
          <w:lang w:val="es-CO"/>
        </w:rPr>
        <w:t>undertaking adequately protects the general interests of local creditors</w:t>
      </w:r>
      <w:r w:rsidR="00471E05">
        <w:rPr>
          <w:rFonts w:ascii="Avenir Next" w:hAnsi="Avenir Next" w:cs="Arial"/>
          <w:color w:val="7B7B7B" w:themeColor="accent3" w:themeShade="BF"/>
          <w:sz w:val="22"/>
          <w:szCs w:val="22"/>
          <w:lang w:val="es-CO"/>
        </w:rPr>
        <w:t xml:space="preserve"> and the reveiweing court considers it (Art. 36 and 38)</w:t>
      </w:r>
      <w:r w:rsidR="005B0486">
        <w:rPr>
          <w:rFonts w:ascii="Avenir Next" w:hAnsi="Avenir Next" w:cs="Arial"/>
          <w:color w:val="7B7B7B" w:themeColor="accent3" w:themeShade="BF"/>
          <w:sz w:val="22"/>
          <w:szCs w:val="22"/>
          <w:lang w:val="es-CO"/>
        </w:rPr>
        <w:t xml:space="preserve">, </w:t>
      </w:r>
      <w:r w:rsidR="00471E05">
        <w:rPr>
          <w:rFonts w:ascii="Avenir Next" w:hAnsi="Avenir Next" w:cs="Arial"/>
          <w:color w:val="7B7B7B" w:themeColor="accent3" w:themeShade="BF"/>
          <w:sz w:val="22"/>
          <w:szCs w:val="22"/>
          <w:lang w:val="es-CO"/>
        </w:rPr>
        <w:t xml:space="preserve">avoids the </w:t>
      </w:r>
      <w:r w:rsidR="00471E05" w:rsidRPr="00471E05">
        <w:rPr>
          <w:rFonts w:ascii="Avenir Next" w:hAnsi="Avenir Next" w:cs="Arial"/>
          <w:color w:val="7B7B7B" w:themeColor="accent3" w:themeShade="BF"/>
          <w:sz w:val="22"/>
          <w:szCs w:val="22"/>
          <w:lang w:val="es-CO"/>
        </w:rPr>
        <w:t xml:space="preserve">initiation </w:t>
      </w:r>
      <w:r w:rsidR="00471E05">
        <w:rPr>
          <w:rFonts w:ascii="Avenir Next" w:hAnsi="Avenir Next" w:cs="Arial"/>
          <w:color w:val="7B7B7B" w:themeColor="accent3" w:themeShade="BF"/>
          <w:sz w:val="22"/>
          <w:szCs w:val="22"/>
          <w:lang w:val="es-CO"/>
        </w:rPr>
        <w:t>of</w:t>
      </w:r>
      <w:r w:rsidR="005B0486">
        <w:rPr>
          <w:rFonts w:ascii="Avenir Next" w:hAnsi="Avenir Next" w:cs="Arial"/>
          <w:color w:val="7B7B7B" w:themeColor="accent3" w:themeShade="BF"/>
          <w:sz w:val="22"/>
          <w:szCs w:val="22"/>
          <w:lang w:val="es-CO"/>
        </w:rPr>
        <w:t xml:space="preserve"> a secondary insolvency procedure.</w:t>
      </w:r>
    </w:p>
    <w:p w14:paraId="296A8396" w14:textId="693D1EB8" w:rsidR="009954B2" w:rsidRPr="00471E05" w:rsidRDefault="00471E05" w:rsidP="00471E05">
      <w:pPr>
        <w:ind w:left="720" w:hanging="720"/>
        <w:jc w:val="both"/>
        <w:rPr>
          <w:rFonts w:ascii="Avenir Next" w:hAnsi="Avenir Next" w:cs="Arial"/>
          <w:color w:val="7B7B7B" w:themeColor="accent3" w:themeShade="BF"/>
          <w:sz w:val="22"/>
          <w:szCs w:val="22"/>
          <w:lang w:val="es-CO"/>
        </w:rPr>
      </w:pPr>
      <w:r>
        <w:rPr>
          <w:rFonts w:ascii="Avenir Next" w:hAnsi="Avenir Next" w:cs="Arial"/>
          <w:color w:val="7B7B7B" w:themeColor="accent3" w:themeShade="BF"/>
          <w:sz w:val="22"/>
          <w:szCs w:val="22"/>
          <w:lang w:val="en-GB"/>
        </w:rPr>
        <w:t xml:space="preserve">The second instrument is the stay of the opening of the secondary proceeding, which allows the </w:t>
      </w:r>
      <w:r w:rsidRPr="00471E05">
        <w:rPr>
          <w:rFonts w:ascii="Avenir Next" w:hAnsi="Avenir Next" w:cs="Arial"/>
          <w:color w:val="7B7B7B" w:themeColor="accent3" w:themeShade="BF"/>
          <w:sz w:val="22"/>
          <w:szCs w:val="22"/>
          <w:lang w:val="es-CO"/>
        </w:rPr>
        <w:t>insolvency practitione</w:t>
      </w:r>
      <w:r>
        <w:rPr>
          <w:rFonts w:ascii="Avenir Next" w:hAnsi="Avenir Next" w:cs="Arial"/>
          <w:color w:val="7B7B7B" w:themeColor="accent3" w:themeShade="BF"/>
          <w:sz w:val="22"/>
          <w:szCs w:val="22"/>
          <w:lang w:val="es-CO"/>
        </w:rPr>
        <w:t xml:space="preserve">r to request it to avoid the opening of a secondary insolvency proceeding. This instrument is temporary and it can be lifted when: I) it has been reached an agreement. II) </w:t>
      </w:r>
      <w:r w:rsidRPr="00471E05">
        <w:rPr>
          <w:rFonts w:ascii="Avenir Next" w:hAnsi="Avenir Next" w:cs="Arial"/>
          <w:color w:val="7B7B7B" w:themeColor="accent3" w:themeShade="BF"/>
          <w:sz w:val="22"/>
          <w:szCs w:val="22"/>
          <w:lang w:val="es-CO"/>
        </w:rPr>
        <w:t xml:space="preserve">if the continuation of a stay is detrimental to </w:t>
      </w:r>
      <w:r w:rsidRPr="00471E05">
        <w:rPr>
          <w:rFonts w:ascii="Avenir Next" w:hAnsi="Avenir Next" w:cs="Arial"/>
          <w:color w:val="7B7B7B" w:themeColor="accent3" w:themeShade="BF"/>
          <w:sz w:val="22"/>
          <w:szCs w:val="22"/>
          <w:lang w:val="es-CO"/>
        </w:rPr>
        <w:lastRenderedPageBreak/>
        <w:t>creditors</w:t>
      </w:r>
      <w:r>
        <w:rPr>
          <w:rFonts w:ascii="Avenir Next" w:hAnsi="Avenir Next" w:cs="Arial"/>
          <w:color w:val="7B7B7B" w:themeColor="accent3" w:themeShade="BF"/>
          <w:sz w:val="22"/>
          <w:szCs w:val="22"/>
          <w:lang w:val="es-CO"/>
        </w:rPr>
        <w:t xml:space="preserve"> </w:t>
      </w:r>
      <w:r w:rsidRPr="00471E05">
        <w:rPr>
          <w:rFonts w:ascii="Avenir Next" w:hAnsi="Avenir Next" w:cs="Arial"/>
          <w:color w:val="7B7B7B" w:themeColor="accent3" w:themeShade="BF"/>
          <w:sz w:val="22"/>
          <w:szCs w:val="22"/>
          <w:lang w:val="es-CO"/>
        </w:rPr>
        <w:t xml:space="preserve">rights </w:t>
      </w:r>
      <w:r>
        <w:rPr>
          <w:rFonts w:ascii="Avenir Next" w:hAnsi="Avenir Next" w:cs="Arial"/>
          <w:color w:val="7B7B7B" w:themeColor="accent3" w:themeShade="BF"/>
          <w:sz w:val="22"/>
          <w:szCs w:val="22"/>
          <w:lang w:val="es-CO"/>
        </w:rPr>
        <w:t>and III) I</w:t>
      </w:r>
      <w:r w:rsidRPr="00471E05">
        <w:rPr>
          <w:rFonts w:ascii="Avenir Next" w:hAnsi="Avenir Next" w:cs="Arial"/>
          <w:color w:val="7B7B7B" w:themeColor="accent3" w:themeShade="BF"/>
          <w:sz w:val="22"/>
          <w:szCs w:val="22"/>
          <w:lang w:val="es-CO"/>
        </w:rPr>
        <w:t>nsolvency practitioner or the debtor in possession has infringed on the prohibition on disposal of the debtor’s assets or on removal of them from the territory of the Member State where a stay was given</w:t>
      </w:r>
      <w:r>
        <w:rPr>
          <w:rFonts w:ascii="Avenir Next" w:hAnsi="Avenir Next" w:cs="Arial"/>
          <w:color w:val="7B7B7B" w:themeColor="accent3" w:themeShade="BF"/>
          <w:sz w:val="22"/>
          <w:szCs w:val="22"/>
          <w:lang w:val="es-CO"/>
        </w:rPr>
        <w:t>.</w:t>
      </w:r>
      <w:r w:rsidR="009954B2" w:rsidRPr="008E3C96">
        <w:rPr>
          <w:rFonts w:ascii="Avenir Next" w:hAnsi="Avenir Next" w:cs="Arial"/>
          <w:color w:val="7B7B7B" w:themeColor="accent3" w:themeShade="BF"/>
          <w:sz w:val="22"/>
          <w:szCs w:val="22"/>
          <w:lang w:val="en-GB"/>
        </w:rPr>
        <w:t>]</w:t>
      </w: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4024A332" w14:textId="38D1672C" w:rsidR="00544127" w:rsidRPr="008E3C96" w:rsidRDefault="00DF75F8" w:rsidP="002A37BB">
      <w:pPr>
        <w:jc w:val="both"/>
        <w:rPr>
          <w:rFonts w:ascii="Avenir Next" w:hAnsi="Avenir Next" w:cs="Arial"/>
          <w:sz w:val="22"/>
          <w:szCs w:val="22"/>
        </w:rPr>
      </w:pPr>
      <w:r w:rsidRPr="008E3C96">
        <w:rPr>
          <w:rFonts w:ascii="Avenir Next" w:hAnsi="Avenir Next" w:cs="Arial"/>
          <w:color w:val="7B7B7B" w:themeColor="accent3" w:themeShade="BF"/>
          <w:sz w:val="22"/>
          <w:szCs w:val="22"/>
          <w:lang w:val="en-GB"/>
        </w:rPr>
        <w:t>[</w:t>
      </w:r>
      <w:r w:rsidR="00C445F6">
        <w:rPr>
          <w:rFonts w:ascii="Avenir Next" w:hAnsi="Avenir Next" w:cs="Arial"/>
          <w:color w:val="7B7B7B" w:themeColor="accent3" w:themeShade="BF"/>
          <w:sz w:val="22"/>
          <w:szCs w:val="22"/>
          <w:lang w:val="en-GB"/>
        </w:rPr>
        <w:t xml:space="preserve">Despite the EIR 2000 success, there were several aspects that needed revision that were later adopted such as </w:t>
      </w:r>
      <w:r w:rsidR="00A854BD">
        <w:rPr>
          <w:rFonts w:ascii="Avenir Next" w:hAnsi="Avenir Next" w:cs="Arial"/>
          <w:color w:val="7B7B7B" w:themeColor="accent3" w:themeShade="BF"/>
          <w:sz w:val="22"/>
          <w:szCs w:val="22"/>
          <w:lang w:val="en-GB"/>
        </w:rPr>
        <w:t>the</w:t>
      </w:r>
      <w:r w:rsidR="00C445F6">
        <w:rPr>
          <w:rFonts w:ascii="Avenir Next" w:hAnsi="Avenir Next" w:cs="Arial"/>
          <w:color w:val="7B7B7B" w:themeColor="accent3" w:themeShade="BF"/>
          <w:sz w:val="22"/>
          <w:szCs w:val="22"/>
          <w:lang w:val="en-GB"/>
        </w:rPr>
        <w:t xml:space="preserve"> broadening scope to restructuring proceeding, stronger rules for cooperation between insolvency </w:t>
      </w:r>
      <w:r w:rsidR="00C445F6" w:rsidRPr="00C445F6">
        <w:rPr>
          <w:rFonts w:ascii="Avenir Next" w:hAnsi="Avenir Next" w:cs="Arial"/>
          <w:color w:val="7B7B7B" w:themeColor="accent3" w:themeShade="BF"/>
          <w:sz w:val="22"/>
          <w:szCs w:val="22"/>
          <w:lang w:val="en-GB"/>
        </w:rPr>
        <w:t xml:space="preserve">practitioners </w:t>
      </w:r>
      <w:r w:rsidR="00C445F6">
        <w:rPr>
          <w:rFonts w:ascii="Avenir Next" w:hAnsi="Avenir Next" w:cs="Arial"/>
          <w:color w:val="7B7B7B" w:themeColor="accent3" w:themeShade="BF"/>
          <w:sz w:val="22"/>
          <w:szCs w:val="22"/>
          <w:lang w:val="en-GB"/>
        </w:rPr>
        <w:t xml:space="preserve">and courts (Art. 41-43), the possibility of proceedings with regard to members of the same group of companies  (Chapter V), the improvement of creditor information, modernisation of the legal rules within data-protection, a new emphasis </w:t>
      </w:r>
      <w:r w:rsidR="00A854BD">
        <w:rPr>
          <w:rFonts w:ascii="Avenir Next" w:hAnsi="Avenir Next" w:cs="Arial"/>
          <w:color w:val="7B7B7B" w:themeColor="accent3" w:themeShade="BF"/>
          <w:sz w:val="22"/>
          <w:szCs w:val="22"/>
          <w:lang w:val="en-GB"/>
        </w:rPr>
        <w:t xml:space="preserve">on </w:t>
      </w:r>
      <w:r w:rsidR="00C445F6">
        <w:rPr>
          <w:rFonts w:ascii="Avenir Next" w:hAnsi="Avenir Next" w:cs="Arial"/>
          <w:color w:val="7B7B7B" w:themeColor="accent3" w:themeShade="BF"/>
          <w:sz w:val="22"/>
          <w:szCs w:val="22"/>
          <w:lang w:val="en-GB"/>
        </w:rPr>
        <w:t>restructuring unlike the clear traditional liquidation approach, the territorial scope which was a member-states limited (despite latter being extended through CJEU view)</w:t>
      </w:r>
      <w:r w:rsidR="00841215">
        <w:rPr>
          <w:rFonts w:ascii="Avenir Next" w:hAnsi="Avenir Next" w:cs="Arial"/>
          <w:color w:val="7B7B7B" w:themeColor="accent3" w:themeShade="BF"/>
          <w:sz w:val="22"/>
          <w:szCs w:val="22"/>
          <w:lang w:val="en-GB"/>
        </w:rPr>
        <w:t xml:space="preserve">, </w:t>
      </w:r>
      <w:r w:rsidR="00C445F6">
        <w:rPr>
          <w:rFonts w:ascii="Avenir Next" w:hAnsi="Avenir Next" w:cs="Arial"/>
          <w:color w:val="7B7B7B" w:themeColor="accent3" w:themeShade="BF"/>
          <w:sz w:val="22"/>
          <w:szCs w:val="22"/>
          <w:lang w:val="en-GB"/>
        </w:rPr>
        <w:t>a precise definition of “COMI”</w:t>
      </w:r>
      <w:r w:rsidR="00841215">
        <w:rPr>
          <w:rFonts w:ascii="Avenir Next" w:hAnsi="Avenir Next" w:cs="Arial"/>
          <w:color w:val="7B7B7B" w:themeColor="accent3" w:themeShade="BF"/>
          <w:sz w:val="22"/>
          <w:szCs w:val="22"/>
          <w:lang w:val="en-GB"/>
        </w:rPr>
        <w:t xml:space="preserve"> and </w:t>
      </w:r>
      <w:r w:rsidR="00302D7B">
        <w:rPr>
          <w:rFonts w:ascii="Avenir Next" w:hAnsi="Avenir Next" w:cs="Arial"/>
          <w:color w:val="7B7B7B" w:themeColor="accent3" w:themeShade="BF"/>
          <w:sz w:val="22"/>
          <w:szCs w:val="22"/>
          <w:lang w:val="en-GB"/>
        </w:rPr>
        <w:t>the lack of p</w:t>
      </w:r>
      <w:r w:rsidR="00302D7B" w:rsidRPr="00302D7B">
        <w:rPr>
          <w:rFonts w:ascii="Avenir Next" w:hAnsi="Avenir Next" w:cs="Arial"/>
          <w:color w:val="7B7B7B" w:themeColor="accent3" w:themeShade="BF"/>
          <w:sz w:val="22"/>
          <w:szCs w:val="22"/>
          <w:lang w:val="en-GB"/>
        </w:rPr>
        <w:t>rovisions dealing with insolvency of multinational enterprise groups</w:t>
      </w:r>
      <w:r w:rsidR="00302D7B">
        <w:rPr>
          <w:rFonts w:ascii="Avenir Next" w:hAnsi="Avenir Next" w:cs="Arial"/>
          <w:color w:val="7B7B7B" w:themeColor="accent3" w:themeShade="BF"/>
          <w:sz w:val="22"/>
          <w:szCs w:val="22"/>
          <w:lang w:val="en-GB"/>
        </w:rPr>
        <w:t>,</w:t>
      </w:r>
      <w:r w:rsidR="00302D7B" w:rsidRPr="00302D7B">
        <w:rPr>
          <w:rFonts w:ascii="Avenir Next" w:hAnsi="Avenir Next" w:cs="Arial"/>
          <w:color w:val="7B7B7B" w:themeColor="accent3" w:themeShade="BF"/>
          <w:sz w:val="22"/>
          <w:szCs w:val="22"/>
          <w:lang w:val="en-GB"/>
        </w:rPr>
        <w:t xml:space="preserve"> </w:t>
      </w:r>
      <w:r w:rsidR="00A854BD">
        <w:rPr>
          <w:rFonts w:ascii="Avenir Next" w:hAnsi="Avenir Next" w:cs="Arial"/>
          <w:color w:val="7B7B7B" w:themeColor="accent3" w:themeShade="BF"/>
          <w:sz w:val="22"/>
          <w:szCs w:val="22"/>
          <w:lang w:val="en-GB"/>
        </w:rPr>
        <w:t>among others.</w:t>
      </w:r>
      <w:r w:rsidRPr="008E3C96">
        <w:rPr>
          <w:rFonts w:ascii="Avenir Next" w:hAnsi="Avenir Next" w:cs="Arial"/>
          <w:color w:val="7B7B7B" w:themeColor="accent3" w:themeShade="BF"/>
          <w:sz w:val="22"/>
          <w:szCs w:val="22"/>
          <w:lang w:val="en-GB"/>
        </w:rPr>
        <w:t>]</w:t>
      </w:r>
    </w:p>
    <w:p w14:paraId="2DE9020F" w14:textId="77777777" w:rsidR="00A854BD" w:rsidRDefault="00A854BD" w:rsidP="002A37BB">
      <w:pPr>
        <w:ind w:left="720" w:hanging="720"/>
        <w:jc w:val="both"/>
        <w:rPr>
          <w:rFonts w:ascii="AvenirNext" w:hAnsi="AvenirNext" w:cs="Times New Roman"/>
          <w:sz w:val="22"/>
          <w:szCs w:val="22"/>
        </w:rPr>
      </w:pPr>
    </w:p>
    <w:p w14:paraId="755D6AFF" w14:textId="5ECE5D95"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45466157" w14:textId="1E507483" w:rsidR="009501D6" w:rsidRDefault="00DF75F8" w:rsidP="002A37BB">
      <w:pPr>
        <w:jc w:val="both"/>
        <w:rPr>
          <w:rFonts w:ascii="Avenir Next" w:hAnsi="Avenir Next" w:cs="Arial"/>
          <w:color w:val="7B7B7B" w:themeColor="accent3" w:themeShade="BF"/>
          <w:sz w:val="22"/>
          <w:szCs w:val="22"/>
          <w:lang w:val="es-CO"/>
        </w:rPr>
      </w:pPr>
      <w:r w:rsidRPr="008E3C96">
        <w:rPr>
          <w:rFonts w:ascii="Avenir Next" w:hAnsi="Avenir Next" w:cs="Arial"/>
          <w:color w:val="7B7B7B" w:themeColor="accent3" w:themeShade="BF"/>
          <w:sz w:val="22"/>
          <w:szCs w:val="22"/>
          <w:lang w:val="en-GB"/>
        </w:rPr>
        <w:t>[</w:t>
      </w:r>
      <w:r w:rsidR="009501D6">
        <w:rPr>
          <w:rFonts w:ascii="Avenir Next" w:hAnsi="Avenir Next" w:cs="Arial"/>
          <w:color w:val="7B7B7B" w:themeColor="accent3" w:themeShade="BF"/>
          <w:sz w:val="22"/>
          <w:szCs w:val="22"/>
          <w:lang w:val="en-GB"/>
        </w:rPr>
        <w:t xml:space="preserve">I. With modern globalization and business expanding into complex legal forms, there was </w:t>
      </w:r>
      <w:r w:rsidR="009501D6" w:rsidRPr="009501D6">
        <w:rPr>
          <w:rFonts w:ascii="Avenir Next" w:hAnsi="Avenir Next" w:cs="Arial"/>
          <w:color w:val="7B7B7B" w:themeColor="accent3" w:themeShade="BF"/>
          <w:sz w:val="22"/>
          <w:szCs w:val="22"/>
          <w:lang w:val="en-GB"/>
        </w:rPr>
        <w:t xml:space="preserve">undoubtedly </w:t>
      </w:r>
      <w:r w:rsidR="009501D6">
        <w:rPr>
          <w:rFonts w:ascii="Avenir Next" w:hAnsi="Avenir Next" w:cs="Arial"/>
          <w:color w:val="7B7B7B" w:themeColor="accent3" w:themeShade="BF"/>
          <w:sz w:val="22"/>
          <w:szCs w:val="22"/>
          <w:lang w:val="en-GB"/>
        </w:rPr>
        <w:t xml:space="preserve">a need to establish a set of articles to deal with a group of companies that encounters an insolvency scenario. Although the EIR 2015 Recast contains an entire chapter (Chapter V) to deal with a group of companies, the approach has being </w:t>
      </w:r>
      <w:r w:rsidR="009501D6" w:rsidRPr="009501D6">
        <w:rPr>
          <w:rFonts w:ascii="Avenir Next" w:hAnsi="Avenir Next" w:cs="Arial"/>
          <w:color w:val="7B7B7B" w:themeColor="accent3" w:themeShade="BF"/>
          <w:sz w:val="22"/>
          <w:szCs w:val="22"/>
          <w:lang w:val="en-GB"/>
        </w:rPr>
        <w:t>insufficient</w:t>
      </w:r>
      <w:r w:rsidR="009501D6">
        <w:rPr>
          <w:rFonts w:ascii="Avenir Next" w:hAnsi="Avenir Next" w:cs="Arial"/>
          <w:color w:val="7B7B7B" w:themeColor="accent3" w:themeShade="BF"/>
          <w:sz w:val="22"/>
          <w:szCs w:val="22"/>
          <w:lang w:val="en-GB"/>
        </w:rPr>
        <w:t xml:space="preserve">. There is not a procedural consolidation and is limited to a set of recommendation upon the coordination between courts, </w:t>
      </w:r>
      <w:r w:rsidR="009501D6" w:rsidRPr="009501D6">
        <w:rPr>
          <w:rFonts w:ascii="Avenir Next" w:hAnsi="Avenir Next" w:cs="Arial"/>
          <w:color w:val="7B7B7B" w:themeColor="accent3" w:themeShade="BF"/>
          <w:sz w:val="22"/>
          <w:szCs w:val="22"/>
          <w:lang w:val="es-CO"/>
        </w:rPr>
        <w:t>practitioners</w:t>
      </w:r>
      <w:r w:rsidR="009501D6">
        <w:rPr>
          <w:rFonts w:ascii="Avenir Next" w:hAnsi="Avenir Next" w:cs="Arial"/>
          <w:color w:val="7B7B7B" w:themeColor="accent3" w:themeShade="BF"/>
          <w:sz w:val="22"/>
          <w:szCs w:val="22"/>
          <w:lang w:val="es-CO"/>
        </w:rPr>
        <w:t xml:space="preserve"> and courts and practitioners. There is not a COMI for group of companies established and </w:t>
      </w:r>
      <w:r w:rsidR="003E37D6">
        <w:rPr>
          <w:rFonts w:ascii="Avenir Next" w:hAnsi="Avenir Next" w:cs="Arial"/>
          <w:color w:val="7B7B7B" w:themeColor="accent3" w:themeShade="BF"/>
          <w:sz w:val="22"/>
          <w:szCs w:val="22"/>
          <w:lang w:val="es-CO"/>
        </w:rPr>
        <w:t>it</w:t>
      </w:r>
      <w:r w:rsidR="009501D6">
        <w:rPr>
          <w:rFonts w:ascii="Avenir Next" w:hAnsi="Avenir Next" w:cs="Arial"/>
          <w:color w:val="7B7B7B" w:themeColor="accent3" w:themeShade="BF"/>
          <w:sz w:val="22"/>
          <w:szCs w:val="22"/>
          <w:lang w:val="es-CO"/>
        </w:rPr>
        <w:t xml:space="preserve"> can’t be requested by creditors of public authorities, only by a practitioner  which clearly limits its application.</w:t>
      </w:r>
    </w:p>
    <w:p w14:paraId="055E3859" w14:textId="77777777" w:rsidR="009501D6" w:rsidRDefault="009501D6" w:rsidP="002A37BB">
      <w:pPr>
        <w:jc w:val="both"/>
        <w:rPr>
          <w:rFonts w:ascii="Avenir Next" w:hAnsi="Avenir Next" w:cs="Arial"/>
          <w:color w:val="7B7B7B" w:themeColor="accent3" w:themeShade="BF"/>
          <w:sz w:val="22"/>
          <w:szCs w:val="22"/>
          <w:lang w:val="es-CO"/>
        </w:rPr>
      </w:pPr>
    </w:p>
    <w:p w14:paraId="23E8256D" w14:textId="74E3D166" w:rsidR="001D7D8B" w:rsidRDefault="009501D6" w:rsidP="002A37BB">
      <w:pPr>
        <w:jc w:val="both"/>
        <w:rPr>
          <w:rFonts w:ascii="Avenir Next" w:hAnsi="Avenir Next" w:cs="Arial"/>
          <w:color w:val="7B7B7B" w:themeColor="accent3" w:themeShade="BF"/>
          <w:sz w:val="22"/>
          <w:szCs w:val="22"/>
          <w:lang w:val="es-CO"/>
        </w:rPr>
      </w:pPr>
      <w:r>
        <w:rPr>
          <w:rFonts w:ascii="Avenir Next" w:hAnsi="Avenir Next" w:cs="Arial"/>
          <w:color w:val="7B7B7B" w:themeColor="accent3" w:themeShade="BF"/>
          <w:sz w:val="22"/>
          <w:szCs w:val="22"/>
          <w:lang w:val="es-CO"/>
        </w:rPr>
        <w:t>The best way to approach this flaw s</w:t>
      </w:r>
      <w:r w:rsidR="00302D7B">
        <w:rPr>
          <w:rFonts w:ascii="Avenir Next" w:hAnsi="Avenir Next" w:cs="Arial"/>
          <w:color w:val="7B7B7B" w:themeColor="accent3" w:themeShade="BF"/>
          <w:sz w:val="22"/>
          <w:szCs w:val="22"/>
          <w:lang w:val="es-CO"/>
        </w:rPr>
        <w:t xml:space="preserve">hould be to establish clearly on its articles the mechanism in which the group of companies would deal with insolvency. In other words, it shouln’t be limited to recomendation but to a well detailed procedure in which the whole group of companies exchange and intervene. In this procedure would be defined where </w:t>
      </w:r>
      <w:r w:rsidR="00302D7B">
        <w:rPr>
          <w:rFonts w:ascii="Avenir Next" w:hAnsi="Avenir Next" w:cs="Arial"/>
          <w:color w:val="7B7B7B" w:themeColor="accent3" w:themeShade="BF"/>
          <w:sz w:val="22"/>
          <w:szCs w:val="22"/>
          <w:lang w:val="es-CO"/>
        </w:rPr>
        <w:lastRenderedPageBreak/>
        <w:t>the COMI should be, it should extend the ability to request the oppening and perfectly estab</w:t>
      </w:r>
      <w:r w:rsidR="006F6A9A">
        <w:rPr>
          <w:rFonts w:ascii="Avenir Next" w:hAnsi="Avenir Next" w:cs="Arial"/>
          <w:color w:val="7B7B7B" w:themeColor="accent3" w:themeShade="BF"/>
          <w:sz w:val="22"/>
          <w:szCs w:val="22"/>
          <w:lang w:val="es-CO"/>
        </w:rPr>
        <w:t>l</w:t>
      </w:r>
      <w:r w:rsidR="00302D7B">
        <w:rPr>
          <w:rFonts w:ascii="Avenir Next" w:hAnsi="Avenir Next" w:cs="Arial"/>
          <w:color w:val="7B7B7B" w:themeColor="accent3" w:themeShade="BF"/>
          <w:sz w:val="22"/>
          <w:szCs w:val="22"/>
          <w:lang w:val="es-CO"/>
        </w:rPr>
        <w:t>ish the steps of the procedure to integrate the insolvency as a whole.</w:t>
      </w:r>
    </w:p>
    <w:p w14:paraId="759604E8" w14:textId="77777777" w:rsidR="001D7D8B" w:rsidRDefault="001D7D8B" w:rsidP="002A37BB">
      <w:pPr>
        <w:jc w:val="both"/>
        <w:rPr>
          <w:rFonts w:ascii="Avenir Next" w:hAnsi="Avenir Next" w:cs="Arial"/>
          <w:color w:val="7B7B7B" w:themeColor="accent3" w:themeShade="BF"/>
          <w:sz w:val="22"/>
          <w:szCs w:val="22"/>
          <w:lang w:val="es-CO"/>
        </w:rPr>
      </w:pPr>
    </w:p>
    <w:p w14:paraId="1ECE669C" w14:textId="7C69E223" w:rsidR="00DC2BA6" w:rsidRDefault="001D7D8B" w:rsidP="002A37BB">
      <w:pPr>
        <w:jc w:val="both"/>
        <w:rPr>
          <w:rFonts w:ascii="Avenir Next" w:hAnsi="Avenir Next" w:cs="Arial"/>
          <w:color w:val="7B7B7B" w:themeColor="accent3" w:themeShade="BF"/>
          <w:sz w:val="22"/>
          <w:szCs w:val="22"/>
          <w:lang w:val="es-CO"/>
        </w:rPr>
      </w:pPr>
      <w:r>
        <w:rPr>
          <w:rFonts w:ascii="Avenir Next" w:hAnsi="Avenir Next" w:cs="Arial"/>
          <w:color w:val="7B7B7B" w:themeColor="accent3" w:themeShade="BF"/>
          <w:sz w:val="22"/>
          <w:szCs w:val="22"/>
          <w:lang w:val="es-CO"/>
        </w:rPr>
        <w:t xml:space="preserve">II. As a second flaw, the extension of the </w:t>
      </w:r>
      <w:r>
        <w:rPr>
          <w:rFonts w:ascii="Avenir Next" w:hAnsi="Avenir Next" w:cs="Arial"/>
          <w:i/>
          <w:iCs/>
          <w:color w:val="7B7B7B" w:themeColor="accent3" w:themeShade="BF"/>
          <w:sz w:val="22"/>
          <w:szCs w:val="22"/>
          <w:lang w:val="es-CO"/>
        </w:rPr>
        <w:t xml:space="preserve">lex concursus </w:t>
      </w:r>
      <w:r>
        <w:rPr>
          <w:rFonts w:ascii="Avenir Next" w:hAnsi="Avenir Next" w:cs="Arial"/>
          <w:color w:val="7B7B7B" w:themeColor="accent3" w:themeShade="BF"/>
          <w:sz w:val="22"/>
          <w:szCs w:val="22"/>
          <w:lang w:val="es-CO"/>
        </w:rPr>
        <w:t xml:space="preserve">is, somehow, limited. There are various exceptions to its appliance (rights in rem, contract of employment, detrimental acts, pending lawsuits) and the fact that the recast allows secondary proceedings limites the effects on assets that are not on the jurisdiction in which the main proceeding is taking place. This is considered a flaw because the main goal of an insolvency proceeding should be to seek for the continuance of the company (if it’s posible)  by </w:t>
      </w:r>
      <w:r w:rsidRPr="001D7D8B">
        <w:rPr>
          <w:rFonts w:ascii="Avenir Next" w:hAnsi="Avenir Next" w:cs="Arial"/>
          <w:color w:val="7B7B7B" w:themeColor="accent3" w:themeShade="BF"/>
          <w:sz w:val="22"/>
          <w:szCs w:val="22"/>
          <w:lang w:val="es-CO"/>
        </w:rPr>
        <w:t>maximize efficiency</w:t>
      </w:r>
      <w:r>
        <w:rPr>
          <w:rFonts w:ascii="Avenir Next" w:hAnsi="Avenir Next" w:cs="Arial"/>
          <w:color w:val="7B7B7B" w:themeColor="accent3" w:themeShade="BF"/>
          <w:sz w:val="22"/>
          <w:szCs w:val="22"/>
          <w:lang w:val="es-CO"/>
        </w:rPr>
        <w:t xml:space="preserve"> of the resources available</w:t>
      </w:r>
      <w:r w:rsidR="00DC2BA6">
        <w:rPr>
          <w:rFonts w:ascii="Avenir Next" w:hAnsi="Avenir Next" w:cs="Arial"/>
          <w:color w:val="7B7B7B" w:themeColor="accent3" w:themeShade="BF"/>
          <w:sz w:val="22"/>
          <w:szCs w:val="22"/>
          <w:lang w:val="es-CO"/>
        </w:rPr>
        <w:t xml:space="preserve"> and the protection of credit. By having these limitations on the main proceeding these goals may not be reached and the use of assets may be ineffecient and more complex.</w:t>
      </w:r>
    </w:p>
    <w:p w14:paraId="7D11C284" w14:textId="77777777" w:rsidR="00DC2BA6" w:rsidRDefault="00DC2BA6" w:rsidP="002A37BB">
      <w:pPr>
        <w:jc w:val="both"/>
        <w:rPr>
          <w:rFonts w:ascii="Avenir Next" w:hAnsi="Avenir Next" w:cs="Arial"/>
          <w:color w:val="7B7B7B" w:themeColor="accent3" w:themeShade="BF"/>
          <w:sz w:val="22"/>
          <w:szCs w:val="22"/>
          <w:lang w:val="es-CO"/>
        </w:rPr>
      </w:pPr>
    </w:p>
    <w:p w14:paraId="7940D274" w14:textId="7BE57D6B" w:rsidR="00DF75F8" w:rsidRPr="009501D6" w:rsidRDefault="00DC2BA6" w:rsidP="002A37BB">
      <w:pPr>
        <w:jc w:val="both"/>
        <w:rPr>
          <w:rFonts w:ascii="Avenir Next" w:hAnsi="Avenir Next" w:cs="Arial"/>
          <w:color w:val="7B7B7B" w:themeColor="accent3" w:themeShade="BF"/>
          <w:sz w:val="22"/>
          <w:szCs w:val="22"/>
          <w:lang w:val="es-CO"/>
        </w:rPr>
      </w:pPr>
      <w:r>
        <w:rPr>
          <w:rFonts w:ascii="Avenir Next" w:hAnsi="Avenir Next" w:cs="Arial"/>
          <w:color w:val="7B7B7B" w:themeColor="accent3" w:themeShade="BF"/>
          <w:sz w:val="22"/>
          <w:szCs w:val="22"/>
          <w:lang w:val="es-CO"/>
        </w:rPr>
        <w:t xml:space="preserve">Although these flaw may be seen as an utopian scope because it has being clear that </w:t>
      </w:r>
      <w:r w:rsidR="006D1B43">
        <w:rPr>
          <w:rFonts w:ascii="Avenir Next" w:hAnsi="Avenir Next" w:cs="Arial"/>
          <w:color w:val="7B7B7B" w:themeColor="accent3" w:themeShade="BF"/>
          <w:sz w:val="22"/>
          <w:szCs w:val="22"/>
          <w:lang w:val="es-CO"/>
        </w:rPr>
        <w:t>this</w:t>
      </w:r>
      <w:r>
        <w:rPr>
          <w:rFonts w:ascii="Avenir Next" w:hAnsi="Avenir Next" w:cs="Arial"/>
          <w:color w:val="7B7B7B" w:themeColor="accent3" w:themeShade="BF"/>
          <w:sz w:val="22"/>
          <w:szCs w:val="22"/>
          <w:lang w:val="es-CO"/>
        </w:rPr>
        <w:t xml:space="preserve"> is the best practical way to deal with insolvency, the optimal approach should be a universal scope in which all the creditors and assets appear into a single proceeding. The political</w:t>
      </w:r>
      <w:r w:rsidR="006D1B43">
        <w:rPr>
          <w:rFonts w:ascii="Avenir Next" w:hAnsi="Avenir Next" w:cs="Arial"/>
          <w:color w:val="7B7B7B" w:themeColor="accent3" w:themeShade="BF"/>
          <w:sz w:val="22"/>
          <w:szCs w:val="22"/>
          <w:lang w:val="es-CO"/>
        </w:rPr>
        <w:t>s matters</w:t>
      </w:r>
      <w:r>
        <w:rPr>
          <w:rFonts w:ascii="Avenir Next" w:hAnsi="Avenir Next" w:cs="Arial"/>
          <w:color w:val="7B7B7B" w:themeColor="accent3" w:themeShade="BF"/>
          <w:sz w:val="22"/>
          <w:szCs w:val="22"/>
          <w:lang w:val="es-CO"/>
        </w:rPr>
        <w:t xml:space="preserve"> and the regulatory differences makes this approach almost imposible but with modern globalization it should be a goal to reach in which the effects of the main procedure applies to every creditor and asset, despite its location.</w:t>
      </w:r>
      <w:r w:rsidR="00DF75F8" w:rsidRPr="008E3C96">
        <w:rPr>
          <w:rFonts w:ascii="Avenir Next" w:hAnsi="Avenir Next" w:cs="Arial"/>
          <w:color w:val="7B7B7B" w:themeColor="accent3" w:themeShade="BF"/>
          <w:sz w:val="22"/>
          <w:szCs w:val="22"/>
          <w:lang w:val="en-GB"/>
        </w:rPr>
        <w:t>]</w:t>
      </w: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66634194" w14:textId="32314806" w:rsidR="00240625" w:rsidRDefault="00DF75F8" w:rsidP="002A37BB">
      <w:pPr>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E15798">
        <w:rPr>
          <w:rFonts w:ascii="Avenir Next" w:hAnsi="Avenir Next" w:cs="Arial"/>
          <w:color w:val="7B7B7B" w:themeColor="accent3" w:themeShade="BF"/>
          <w:sz w:val="22"/>
          <w:szCs w:val="22"/>
          <w:lang w:val="en-GB"/>
        </w:rPr>
        <w:t xml:space="preserve">I. </w:t>
      </w:r>
      <w:r w:rsidR="00240625">
        <w:rPr>
          <w:rFonts w:ascii="Avenir Next" w:hAnsi="Avenir Next" w:cs="Arial"/>
          <w:color w:val="7B7B7B" w:themeColor="accent3" w:themeShade="BF"/>
          <w:sz w:val="22"/>
          <w:szCs w:val="22"/>
          <w:lang w:val="en-GB"/>
        </w:rPr>
        <w:t xml:space="preserve">The European Insolvency Regulation goal was to achieve an harmonization by applying different principles. The Directive basically acknowledge that it can’t be harmonized because the diversity in member states legal systems. </w:t>
      </w:r>
    </w:p>
    <w:p w14:paraId="54487AAD" w14:textId="77777777" w:rsidR="00240625" w:rsidRDefault="00240625" w:rsidP="002A37BB">
      <w:pPr>
        <w:jc w:val="both"/>
        <w:rPr>
          <w:rFonts w:ascii="Avenir Next" w:hAnsi="Avenir Next" w:cs="Arial"/>
          <w:color w:val="7B7B7B" w:themeColor="accent3" w:themeShade="BF"/>
          <w:sz w:val="22"/>
          <w:szCs w:val="22"/>
          <w:lang w:val="en-GB"/>
        </w:rPr>
      </w:pPr>
    </w:p>
    <w:p w14:paraId="22AFBB82" w14:textId="407F7A5B" w:rsidR="00161DEE" w:rsidRDefault="00E15798" w:rsidP="00161DE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II. </w:t>
      </w:r>
      <w:r w:rsidR="00240625">
        <w:rPr>
          <w:rFonts w:ascii="Avenir Next" w:hAnsi="Avenir Next" w:cs="Arial"/>
          <w:color w:val="7B7B7B" w:themeColor="accent3" w:themeShade="BF"/>
          <w:sz w:val="22"/>
          <w:szCs w:val="22"/>
          <w:lang w:val="en-GB"/>
        </w:rPr>
        <w:t>The</w:t>
      </w:r>
      <w:r w:rsidR="00161DEE">
        <w:rPr>
          <w:rFonts w:ascii="Avenir Next" w:hAnsi="Avenir Next" w:cs="Arial"/>
          <w:color w:val="7B7B7B" w:themeColor="accent3" w:themeShade="BF"/>
          <w:sz w:val="22"/>
          <w:szCs w:val="22"/>
          <w:lang w:val="en-GB"/>
        </w:rPr>
        <w:t xml:space="preserve"> Regulation stated different important changes such as: </w:t>
      </w:r>
    </w:p>
    <w:p w14:paraId="3DAC31EC" w14:textId="77777777" w:rsidR="00161DEE" w:rsidRDefault="00161DEE" w:rsidP="00161DEE">
      <w:pPr>
        <w:jc w:val="both"/>
        <w:rPr>
          <w:rFonts w:ascii="Avenir Next" w:hAnsi="Avenir Next" w:cs="Arial"/>
          <w:color w:val="7B7B7B" w:themeColor="accent3" w:themeShade="BF"/>
          <w:sz w:val="22"/>
          <w:szCs w:val="22"/>
          <w:lang w:val="en-GB"/>
        </w:rPr>
      </w:pPr>
    </w:p>
    <w:p w14:paraId="0D593A81" w14:textId="5CE74D41" w:rsidR="00161DEE" w:rsidRDefault="00161DEE" w:rsidP="00161DEE">
      <w:pPr>
        <w:ind w:left="720"/>
        <w:jc w:val="both"/>
        <w:rPr>
          <w:rFonts w:ascii="Avenir Next" w:hAnsi="Avenir Next" w:cs="Arial"/>
          <w:i/>
          <w:iCs/>
          <w:color w:val="7B7B7B" w:themeColor="accent3" w:themeShade="BF"/>
          <w:sz w:val="22"/>
          <w:szCs w:val="22"/>
          <w:lang w:val="es-CO"/>
        </w:rPr>
      </w:pPr>
      <w:r w:rsidRPr="00161DEE">
        <w:rPr>
          <w:rFonts w:ascii="Avenir Next" w:hAnsi="Avenir Next" w:cs="Arial"/>
          <w:i/>
          <w:iCs/>
          <w:color w:val="7B7B7B" w:themeColor="accent3" w:themeShade="BF"/>
          <w:sz w:val="22"/>
          <w:szCs w:val="22"/>
          <w:lang w:val="es-CO"/>
        </w:rPr>
        <w:t>(i) to introduce flexibility in national preventive restructuring procedures by limiting the need for court formalities to where they are necessary and proportionate; (ii) to provide for a stay of individual enforcement actions; (iii) to protect the interests of dissenting creditors, namely that the court should reject any restructuring plan that would likely reduce the rights of dissenting creditors below what they could reasonably expect to receive, were the debtor’s business is not restructured; (iv) to ensure that the preventive restructuring process be on a debtor-in-possession model; (v) to include the possibility of cross- class cram-down provisions and; (vi) to protect new and interim financing</w:t>
      </w:r>
      <w:r>
        <w:rPr>
          <w:rFonts w:ascii="Avenir Next" w:hAnsi="Avenir Next" w:cs="Arial"/>
          <w:i/>
          <w:iCs/>
          <w:color w:val="7B7B7B" w:themeColor="accent3" w:themeShade="BF"/>
          <w:sz w:val="22"/>
          <w:szCs w:val="22"/>
          <w:lang w:val="es-CO"/>
        </w:rPr>
        <w:t>.”</w:t>
      </w:r>
    </w:p>
    <w:p w14:paraId="31747CDF" w14:textId="308B9313" w:rsidR="00161DEE" w:rsidRDefault="00161DEE" w:rsidP="00161DEE">
      <w:pPr>
        <w:jc w:val="both"/>
        <w:rPr>
          <w:rFonts w:ascii="Avenir Next" w:hAnsi="Avenir Next" w:cs="Arial"/>
          <w:i/>
          <w:iCs/>
          <w:color w:val="7B7B7B" w:themeColor="accent3" w:themeShade="BF"/>
          <w:sz w:val="22"/>
          <w:szCs w:val="22"/>
          <w:lang w:val="es-CO"/>
        </w:rPr>
      </w:pPr>
    </w:p>
    <w:p w14:paraId="4E83D7AF" w14:textId="67E1C7D7" w:rsidR="00DF75F8" w:rsidRPr="00161DEE" w:rsidRDefault="00161DEE" w:rsidP="002A37BB">
      <w:pPr>
        <w:jc w:val="both"/>
        <w:rPr>
          <w:rFonts w:ascii="Avenir Next" w:hAnsi="Avenir Next" w:cs="Arial"/>
          <w:color w:val="7B7B7B" w:themeColor="accent3" w:themeShade="BF"/>
          <w:sz w:val="22"/>
          <w:szCs w:val="22"/>
          <w:lang w:val="es-CO"/>
        </w:rPr>
      </w:pPr>
      <w:r>
        <w:rPr>
          <w:rFonts w:ascii="Avenir Next" w:hAnsi="Avenir Next" w:cs="Arial"/>
          <w:color w:val="7B7B7B" w:themeColor="accent3" w:themeShade="BF"/>
          <w:sz w:val="22"/>
          <w:szCs w:val="22"/>
          <w:lang w:val="es-CO"/>
        </w:rPr>
        <w:lastRenderedPageBreak/>
        <w:t xml:space="preserve">But ultimately, the Directive couldn’t </w:t>
      </w:r>
      <w:r w:rsidRPr="00161DEE">
        <w:rPr>
          <w:rFonts w:ascii="Avenir Next" w:hAnsi="Avenir Next" w:cs="Arial"/>
          <w:color w:val="7B7B7B" w:themeColor="accent3" w:themeShade="BF"/>
          <w:sz w:val="22"/>
          <w:szCs w:val="22"/>
          <w:lang w:val="es-CO"/>
        </w:rPr>
        <w:t>harmonise core aspects of substantive insolvency law</w:t>
      </w:r>
      <w:r>
        <w:rPr>
          <w:rFonts w:ascii="Avenir Next" w:hAnsi="Avenir Next" w:cs="Arial"/>
          <w:color w:val="7B7B7B" w:themeColor="accent3" w:themeShade="BF"/>
          <w:sz w:val="22"/>
          <w:szCs w:val="22"/>
          <w:lang w:val="es-CO"/>
        </w:rPr>
        <w:t xml:space="preserve"> and limites to </w:t>
      </w:r>
      <w:r w:rsidR="00E15798">
        <w:rPr>
          <w:rFonts w:ascii="Avenir Next" w:hAnsi="Avenir Next" w:cs="Arial"/>
          <w:color w:val="7B7B7B" w:themeColor="accent3" w:themeShade="BF"/>
          <w:sz w:val="22"/>
          <w:szCs w:val="22"/>
          <w:lang w:val="es-CO"/>
        </w:rPr>
        <w:t xml:space="preserve">establish </w:t>
      </w:r>
      <w:r>
        <w:rPr>
          <w:rFonts w:ascii="Avenir Next" w:hAnsi="Avenir Next" w:cs="Arial"/>
          <w:color w:val="7B7B7B" w:themeColor="accent3" w:themeShade="BF"/>
          <w:sz w:val="22"/>
          <w:szCs w:val="22"/>
          <w:lang w:val="es-CO"/>
        </w:rPr>
        <w:t>principles that should apply to the different insolvency state laws</w:t>
      </w:r>
      <w:r w:rsidR="00240625">
        <w:rPr>
          <w:rFonts w:ascii="Avenir Next" w:hAnsi="Avenir Next" w:cs="Arial"/>
          <w:color w:val="7B7B7B" w:themeColor="accent3" w:themeShade="BF"/>
          <w:sz w:val="22"/>
          <w:szCs w:val="22"/>
          <w:lang w:val="en-GB"/>
        </w:rPr>
        <w:t>.</w:t>
      </w:r>
      <w:r w:rsidR="00DF75F8" w:rsidRPr="008E3C96">
        <w:rPr>
          <w:rFonts w:ascii="Avenir Next" w:hAnsi="Avenir Next" w:cs="Arial"/>
          <w:color w:val="7B7B7B" w:themeColor="accent3" w:themeShade="BF"/>
          <w:sz w:val="22"/>
          <w:szCs w:val="22"/>
          <w:lang w:val="en-GB"/>
        </w:rPr>
        <w:t>]</w:t>
      </w: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76F28A48" w14:textId="77777777" w:rsidR="00E050E4" w:rsidRDefault="002F75A3" w:rsidP="002A37BB">
      <w:pPr>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D76E6E">
        <w:rPr>
          <w:rFonts w:ascii="Avenir Next" w:hAnsi="Avenir Next" w:cs="Arial"/>
          <w:color w:val="7B7B7B" w:themeColor="accent3" w:themeShade="BF"/>
          <w:sz w:val="22"/>
          <w:szCs w:val="22"/>
          <w:lang w:val="en-GB"/>
        </w:rPr>
        <w:t xml:space="preserve">The Strasbourg High Court does have jurisdiction to open the requested proceeding. The EIR 2000, </w:t>
      </w:r>
      <w:r w:rsidR="00E050E4">
        <w:rPr>
          <w:rFonts w:ascii="Avenir Next" w:hAnsi="Avenir Next" w:cs="Arial"/>
          <w:color w:val="7B7B7B" w:themeColor="accent3" w:themeShade="BF"/>
          <w:sz w:val="22"/>
          <w:szCs w:val="22"/>
          <w:lang w:val="en-GB"/>
        </w:rPr>
        <w:t>states:</w:t>
      </w:r>
    </w:p>
    <w:p w14:paraId="65AF2FB8" w14:textId="77777777" w:rsidR="00E050E4" w:rsidRDefault="00E050E4" w:rsidP="002A37BB">
      <w:pPr>
        <w:jc w:val="both"/>
        <w:rPr>
          <w:rFonts w:ascii="Avenir Next" w:hAnsi="Avenir Next" w:cs="Arial"/>
          <w:color w:val="7B7B7B" w:themeColor="accent3" w:themeShade="BF"/>
          <w:sz w:val="22"/>
          <w:szCs w:val="22"/>
          <w:lang w:val="en-GB"/>
        </w:rPr>
      </w:pPr>
    </w:p>
    <w:p w14:paraId="30093C1C" w14:textId="47730C65" w:rsidR="00E050E4" w:rsidRPr="00E050E4" w:rsidRDefault="00E050E4" w:rsidP="00E050E4">
      <w:pPr>
        <w:ind w:left="720"/>
        <w:jc w:val="both"/>
        <w:rPr>
          <w:rFonts w:ascii="Avenir Next" w:hAnsi="Avenir Next" w:cs="Arial"/>
          <w:i/>
          <w:iCs/>
          <w:color w:val="7B7B7B" w:themeColor="accent3" w:themeShade="BF"/>
          <w:sz w:val="22"/>
          <w:szCs w:val="22"/>
          <w:lang w:val="es-CO"/>
        </w:rPr>
      </w:pPr>
      <w:r>
        <w:rPr>
          <w:rFonts w:ascii="Avenir Next" w:hAnsi="Avenir Next" w:cs="Arial"/>
          <w:i/>
          <w:iCs/>
          <w:color w:val="7B7B7B" w:themeColor="accent3" w:themeShade="BF"/>
          <w:sz w:val="22"/>
          <w:szCs w:val="22"/>
          <w:lang w:val="es-CO"/>
        </w:rPr>
        <w:t>“</w:t>
      </w:r>
      <w:r w:rsidRPr="00E050E4">
        <w:rPr>
          <w:rFonts w:ascii="Avenir Next" w:hAnsi="Avenir Next" w:cs="Arial"/>
          <w:i/>
          <w:iCs/>
          <w:color w:val="7B7B7B" w:themeColor="accent3" w:themeShade="BF"/>
          <w:sz w:val="22"/>
          <w:szCs w:val="22"/>
          <w:lang w:val="es-CO"/>
        </w:rPr>
        <w:t>1. The courts of the Member State within the territory of which the centre of a debtor’s main interests is situated shall have jurisdiction to open insolvency proceedings. In the case of a company or legal person, the place of the registered office shall be presumed to be the centre of its main interests in the abscence of proof to the contrary.</w:t>
      </w:r>
      <w:r>
        <w:rPr>
          <w:rFonts w:ascii="Avenir Next" w:hAnsi="Avenir Next" w:cs="Arial"/>
          <w:i/>
          <w:iCs/>
          <w:color w:val="7B7B7B" w:themeColor="accent3" w:themeShade="BF"/>
          <w:sz w:val="22"/>
          <w:szCs w:val="22"/>
          <w:lang w:val="es-CO"/>
        </w:rPr>
        <w:t>”</w:t>
      </w:r>
    </w:p>
    <w:p w14:paraId="6295BCF7" w14:textId="184C5370" w:rsidR="00E050E4" w:rsidRPr="00E050E4" w:rsidRDefault="00E050E4" w:rsidP="00E050E4">
      <w:pPr>
        <w:jc w:val="both"/>
        <w:rPr>
          <w:rFonts w:ascii="Avenir Next" w:hAnsi="Avenir Next" w:cs="Arial"/>
          <w:color w:val="7B7B7B" w:themeColor="accent3" w:themeShade="BF"/>
          <w:sz w:val="22"/>
          <w:szCs w:val="22"/>
          <w:lang w:val="es-CO"/>
        </w:rPr>
      </w:pPr>
    </w:p>
    <w:p w14:paraId="22A59DA0" w14:textId="756AD3B4" w:rsidR="00E050E4" w:rsidRPr="00E050E4" w:rsidRDefault="00E050E4" w:rsidP="00E050E4">
      <w:pPr>
        <w:jc w:val="both"/>
        <w:rPr>
          <w:rFonts w:ascii="Avenir Next" w:hAnsi="Avenir Next" w:cs="Arial"/>
          <w:color w:val="7B7B7B" w:themeColor="accent3" w:themeShade="BF"/>
          <w:sz w:val="22"/>
          <w:szCs w:val="22"/>
          <w:lang w:val="es-CO"/>
        </w:rPr>
      </w:pPr>
      <w:r>
        <w:rPr>
          <w:rFonts w:ascii="Avenir Next" w:hAnsi="Avenir Next" w:cs="Arial"/>
          <w:color w:val="7B7B7B" w:themeColor="accent3" w:themeShade="BF"/>
          <w:sz w:val="22"/>
          <w:szCs w:val="22"/>
          <w:lang w:val="es-CO"/>
        </w:rPr>
        <w:lastRenderedPageBreak/>
        <w:t xml:space="preserve">This was confirmed </w:t>
      </w:r>
      <w:r w:rsidR="00E15798">
        <w:rPr>
          <w:rFonts w:ascii="Avenir Next" w:hAnsi="Avenir Next" w:cs="Arial"/>
          <w:color w:val="7B7B7B" w:themeColor="accent3" w:themeShade="BF"/>
          <w:sz w:val="22"/>
          <w:szCs w:val="22"/>
          <w:lang w:val="es-CO"/>
        </w:rPr>
        <w:t>in</w:t>
      </w:r>
      <w:r>
        <w:rPr>
          <w:rFonts w:ascii="Avenir Next" w:hAnsi="Avenir Next" w:cs="Arial"/>
          <w:color w:val="7B7B7B" w:themeColor="accent3" w:themeShade="BF"/>
          <w:sz w:val="22"/>
          <w:szCs w:val="22"/>
          <w:lang w:val="es-CO"/>
        </w:rPr>
        <w:t xml:space="preserve"> </w:t>
      </w:r>
      <w:r w:rsidRPr="00E050E4">
        <w:rPr>
          <w:rFonts w:ascii="Avenir Next" w:hAnsi="Avenir Next" w:cs="Arial"/>
          <w:color w:val="7B7B7B" w:themeColor="accent3" w:themeShade="BF"/>
          <w:sz w:val="22"/>
          <w:szCs w:val="22"/>
          <w:lang w:val="es-CO"/>
        </w:rPr>
        <w:t>Case C-341/04, ECLI:EU:C:2006:281 (May 2, 2006)</w:t>
      </w:r>
      <w:r>
        <w:rPr>
          <w:rFonts w:ascii="Avenir Next" w:hAnsi="Avenir Next" w:cs="Arial"/>
          <w:color w:val="7B7B7B" w:themeColor="accent3" w:themeShade="BF"/>
          <w:sz w:val="22"/>
          <w:szCs w:val="22"/>
          <w:lang w:val="es-CO"/>
        </w:rPr>
        <w:t xml:space="preserve"> EUROFOOD in which the </w:t>
      </w:r>
      <w:r w:rsidRPr="00E050E4">
        <w:rPr>
          <w:rFonts w:ascii="Avenir Next" w:hAnsi="Avenir Next" w:cs="Arial"/>
          <w:color w:val="7B7B7B" w:themeColor="accent3" w:themeShade="BF"/>
          <w:sz w:val="22"/>
          <w:szCs w:val="22"/>
          <w:lang w:val="es-CO"/>
        </w:rPr>
        <w:t xml:space="preserve">CJEU </w:t>
      </w:r>
      <w:r>
        <w:rPr>
          <w:rFonts w:ascii="Avenir Next" w:hAnsi="Avenir Next" w:cs="Arial"/>
          <w:color w:val="7B7B7B" w:themeColor="accent3" w:themeShade="BF"/>
          <w:sz w:val="22"/>
          <w:szCs w:val="22"/>
          <w:lang w:val="es-CO"/>
        </w:rPr>
        <w:t>decided:</w:t>
      </w:r>
    </w:p>
    <w:p w14:paraId="4A5C1757" w14:textId="2E39B1F9" w:rsidR="00E050E4" w:rsidRDefault="00E050E4" w:rsidP="00E050E4">
      <w:pPr>
        <w:jc w:val="both"/>
        <w:rPr>
          <w:rFonts w:ascii="Avenir Next" w:hAnsi="Avenir Next" w:cs="Arial"/>
          <w:color w:val="7B7B7B" w:themeColor="accent3" w:themeShade="BF"/>
          <w:sz w:val="22"/>
          <w:szCs w:val="22"/>
          <w:lang w:val="es-CO"/>
        </w:rPr>
      </w:pPr>
    </w:p>
    <w:p w14:paraId="3BD6F5E5" w14:textId="37EF6FCA" w:rsidR="00E050E4" w:rsidRPr="00E050E4" w:rsidRDefault="00E050E4" w:rsidP="00E050E4">
      <w:pPr>
        <w:ind w:left="720"/>
        <w:jc w:val="both"/>
        <w:rPr>
          <w:rFonts w:ascii="Avenir Next" w:hAnsi="Avenir Next" w:cs="Arial"/>
          <w:i/>
          <w:iCs/>
          <w:color w:val="7B7B7B" w:themeColor="accent3" w:themeShade="BF"/>
          <w:sz w:val="22"/>
          <w:szCs w:val="22"/>
          <w:lang w:val="es-CO"/>
        </w:rPr>
      </w:pPr>
      <w:r w:rsidRPr="00E050E4">
        <w:rPr>
          <w:rFonts w:ascii="Avenir Next" w:hAnsi="Avenir Next" w:cs="Arial"/>
          <w:i/>
          <w:iCs/>
          <w:color w:val="7B7B7B" w:themeColor="accent3" w:themeShade="BF"/>
          <w:sz w:val="22"/>
          <w:szCs w:val="22"/>
          <w:lang w:val="es-CO"/>
        </w:rPr>
        <w:t xml:space="preserve">“1. Where a debtor is a subsidiary company whose registered office and that of its parent company are situated in two different Member States, the presumption laid down in the second sentence of Article 3(1) of Council Regulation (EC) No 1346/2000 of 29 May 2000 on insolvency proceedings, whereby the centre of main interests of that subsidiary is situated in the Member State where its registered office is situated, can be rebutted only if factors which are both objective and ascertainable by third parties enable it to be established that an actual situation exists which is different from that which location at that registered office is deemed to reflect. That could be so in particular in the case of a company not carrying out any business in the territory of the Member State in which its registered office is situated. By contrast, where a company carries on its business in the territory of the Member State where its registered office is situated, the mere fact that its economic choices are or can be controlled by a parent company in another Member State is not enough to rebut the presumption laid down by that Regulation.” </w:t>
      </w:r>
    </w:p>
    <w:p w14:paraId="04FBD983" w14:textId="4CD41CCE" w:rsidR="00E050E4" w:rsidRDefault="00E050E4" w:rsidP="00E050E4">
      <w:pPr>
        <w:jc w:val="both"/>
        <w:rPr>
          <w:rFonts w:ascii="Avenir Next" w:hAnsi="Avenir Next" w:cs="Arial"/>
          <w:color w:val="7B7B7B" w:themeColor="accent3" w:themeShade="BF"/>
          <w:sz w:val="22"/>
          <w:szCs w:val="22"/>
          <w:lang w:val="es-CO"/>
        </w:rPr>
      </w:pPr>
    </w:p>
    <w:p w14:paraId="0D37BBBB" w14:textId="1E48A145" w:rsidR="002F75A3" w:rsidRPr="00E050E4" w:rsidRDefault="00E050E4" w:rsidP="002A37BB">
      <w:pPr>
        <w:jc w:val="both"/>
        <w:rPr>
          <w:rFonts w:ascii="Avenir Next" w:hAnsi="Avenir Next" w:cs="Arial"/>
          <w:color w:val="7B7B7B" w:themeColor="accent3" w:themeShade="BF"/>
          <w:sz w:val="22"/>
          <w:szCs w:val="22"/>
          <w:lang w:val="es-CO"/>
        </w:rPr>
      </w:pPr>
      <w:r>
        <w:rPr>
          <w:rFonts w:ascii="Avenir Next" w:hAnsi="Avenir Next" w:cs="Arial"/>
          <w:color w:val="7B7B7B" w:themeColor="accent3" w:themeShade="BF"/>
          <w:sz w:val="22"/>
          <w:szCs w:val="22"/>
          <w:lang w:val="es-CO"/>
        </w:rPr>
        <w:t xml:space="preserve">So, if we apply what the EIR 2000 states and what CJEU decided, its clear that the company is registed in France and therefore the </w:t>
      </w:r>
      <w:r>
        <w:rPr>
          <w:rFonts w:ascii="Avenir Next" w:hAnsi="Avenir Next" w:cs="Arial"/>
          <w:color w:val="7B7B7B" w:themeColor="accent3" w:themeShade="BF"/>
          <w:sz w:val="22"/>
          <w:szCs w:val="22"/>
          <w:lang w:val="en-GB"/>
        </w:rPr>
        <w:t>Strasbourg Court can open the proceeding. Although a party could argue that the main warehouse is located in Ireland, that would be a different discussion that would need strong factors that debunk the presumption above.</w:t>
      </w:r>
      <w:r w:rsidR="002F75A3" w:rsidRPr="008E3C96">
        <w:rPr>
          <w:rFonts w:ascii="Avenir Next" w:hAnsi="Avenir Next" w:cs="Arial"/>
          <w:color w:val="7B7B7B" w:themeColor="accent3" w:themeShade="BF"/>
          <w:sz w:val="22"/>
          <w:szCs w:val="22"/>
          <w:lang w:val="en-GB"/>
        </w:rPr>
        <w:t>]</w:t>
      </w: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65359C80" w14:textId="77777777" w:rsidR="00876D0D" w:rsidRDefault="002D3473" w:rsidP="002A37BB">
      <w:pPr>
        <w:autoSpaceDE w:val="0"/>
        <w:autoSpaceDN w:val="0"/>
        <w:adjustRightInd w:val="0"/>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876D0D">
        <w:rPr>
          <w:rFonts w:ascii="Avenir Next" w:hAnsi="Avenir Next" w:cs="Arial"/>
          <w:color w:val="7B7B7B" w:themeColor="accent3" w:themeShade="BF"/>
          <w:sz w:val="22"/>
          <w:szCs w:val="22"/>
          <w:lang w:val="en-GB"/>
        </w:rPr>
        <w:t>The first aspect to take into account is what precisely the EIR 2015 Recast states:</w:t>
      </w:r>
    </w:p>
    <w:p w14:paraId="291E7D86" w14:textId="77777777" w:rsidR="00876D0D" w:rsidRDefault="00876D0D" w:rsidP="002A37BB">
      <w:pPr>
        <w:autoSpaceDE w:val="0"/>
        <w:autoSpaceDN w:val="0"/>
        <w:adjustRightInd w:val="0"/>
        <w:jc w:val="both"/>
        <w:rPr>
          <w:rFonts w:ascii="Avenir Next" w:hAnsi="Avenir Next" w:cs="Arial"/>
          <w:color w:val="7B7B7B" w:themeColor="accent3" w:themeShade="BF"/>
          <w:sz w:val="22"/>
          <w:szCs w:val="22"/>
          <w:lang w:val="en-GB"/>
        </w:rPr>
      </w:pPr>
    </w:p>
    <w:p w14:paraId="78CA0890" w14:textId="500B56CA" w:rsidR="00876D0D" w:rsidRPr="00876D0D" w:rsidRDefault="00876D0D" w:rsidP="00876D0D">
      <w:pPr>
        <w:autoSpaceDE w:val="0"/>
        <w:autoSpaceDN w:val="0"/>
        <w:adjustRightInd w:val="0"/>
        <w:ind w:left="720"/>
        <w:jc w:val="both"/>
        <w:rPr>
          <w:rFonts w:ascii="Avenir Next" w:hAnsi="Avenir Next" w:cs="Arial"/>
          <w:i/>
          <w:iCs/>
          <w:color w:val="7B7B7B" w:themeColor="accent3" w:themeShade="BF"/>
          <w:sz w:val="22"/>
          <w:szCs w:val="22"/>
          <w:lang w:val="en-GB"/>
        </w:rPr>
      </w:pPr>
      <w:r w:rsidRPr="00876D0D">
        <w:rPr>
          <w:rFonts w:ascii="Avenir Next" w:hAnsi="Avenir Next" w:cs="Arial"/>
          <w:i/>
          <w:iCs/>
          <w:color w:val="7B7B7B" w:themeColor="accent3" w:themeShade="BF"/>
          <w:sz w:val="22"/>
          <w:szCs w:val="22"/>
          <w:lang w:val="en-GB"/>
        </w:rPr>
        <w:t>1. The courts of the Member State within the territory of which the centre of the debtor's main interests is situated shall have jurisdiction to open insolvency proceedings (‘main insolvency proceedings’). The centre of main interests shall be the place where the debtor conducts the administration of its interests on a regular basis and which is ascertainable by third parties.</w:t>
      </w:r>
    </w:p>
    <w:p w14:paraId="42C9795A" w14:textId="77777777" w:rsidR="00876D0D" w:rsidRPr="00876D0D" w:rsidRDefault="00876D0D" w:rsidP="00876D0D">
      <w:pPr>
        <w:autoSpaceDE w:val="0"/>
        <w:autoSpaceDN w:val="0"/>
        <w:adjustRightInd w:val="0"/>
        <w:ind w:left="720"/>
        <w:jc w:val="both"/>
        <w:rPr>
          <w:rFonts w:ascii="Avenir Next" w:hAnsi="Avenir Next" w:cs="Arial"/>
          <w:i/>
          <w:iCs/>
          <w:color w:val="7B7B7B" w:themeColor="accent3" w:themeShade="BF"/>
          <w:sz w:val="22"/>
          <w:szCs w:val="22"/>
          <w:lang w:val="en-GB"/>
        </w:rPr>
      </w:pPr>
    </w:p>
    <w:p w14:paraId="09534758" w14:textId="63156D12" w:rsidR="00876D0D" w:rsidRPr="00876D0D" w:rsidRDefault="00876D0D" w:rsidP="00876D0D">
      <w:pPr>
        <w:autoSpaceDE w:val="0"/>
        <w:autoSpaceDN w:val="0"/>
        <w:adjustRightInd w:val="0"/>
        <w:ind w:left="720"/>
        <w:jc w:val="both"/>
        <w:rPr>
          <w:rFonts w:ascii="Avenir Next" w:hAnsi="Avenir Next" w:cs="Arial"/>
          <w:i/>
          <w:iCs/>
          <w:color w:val="7B7B7B" w:themeColor="accent3" w:themeShade="BF"/>
          <w:sz w:val="22"/>
          <w:szCs w:val="22"/>
          <w:lang w:val="en-GB"/>
        </w:rPr>
      </w:pPr>
      <w:r w:rsidRPr="00876D0D">
        <w:rPr>
          <w:rFonts w:ascii="Avenir Next" w:hAnsi="Avenir Next" w:cs="Arial"/>
          <w:i/>
          <w:iCs/>
          <w:color w:val="7B7B7B" w:themeColor="accent3" w:themeShade="BF"/>
          <w:sz w:val="22"/>
          <w:szCs w:val="22"/>
          <w:lang w:val="en-GB"/>
        </w:rPr>
        <w:t>In the case of a company or legal person, the place of the registered office shall be presumed to be the centre of its main interests in the absence of proof to the contrary. That presumption shall only apply if the registered office has not been moved to another Member State within the 3-month period prior to the request for the opening of insolvency</w:t>
      </w:r>
    </w:p>
    <w:p w14:paraId="32FF3BEE" w14:textId="77777777" w:rsidR="00876D0D" w:rsidRDefault="00876D0D" w:rsidP="00876D0D">
      <w:pPr>
        <w:autoSpaceDE w:val="0"/>
        <w:autoSpaceDN w:val="0"/>
        <w:adjustRightInd w:val="0"/>
        <w:ind w:left="720"/>
        <w:jc w:val="both"/>
        <w:rPr>
          <w:rFonts w:ascii="Avenir Next" w:hAnsi="Avenir Next" w:cs="Arial"/>
          <w:color w:val="7B7B7B" w:themeColor="accent3" w:themeShade="BF"/>
          <w:sz w:val="22"/>
          <w:szCs w:val="22"/>
          <w:lang w:val="en-GB"/>
        </w:rPr>
      </w:pPr>
      <w:r w:rsidRPr="00876D0D">
        <w:rPr>
          <w:rFonts w:ascii="Avenir Next" w:hAnsi="Avenir Next" w:cs="Arial"/>
          <w:i/>
          <w:iCs/>
          <w:color w:val="7B7B7B" w:themeColor="accent3" w:themeShade="BF"/>
          <w:sz w:val="22"/>
          <w:szCs w:val="22"/>
          <w:lang w:val="en-GB"/>
        </w:rPr>
        <w:t>proceedings.</w:t>
      </w:r>
    </w:p>
    <w:p w14:paraId="2E0AF9B9" w14:textId="77777777" w:rsidR="00876D0D" w:rsidRDefault="00876D0D" w:rsidP="00876D0D">
      <w:pPr>
        <w:autoSpaceDE w:val="0"/>
        <w:autoSpaceDN w:val="0"/>
        <w:adjustRightInd w:val="0"/>
        <w:jc w:val="both"/>
        <w:rPr>
          <w:rFonts w:ascii="Avenir Next" w:hAnsi="Avenir Next" w:cs="Arial"/>
          <w:color w:val="7B7B7B" w:themeColor="accent3" w:themeShade="BF"/>
          <w:sz w:val="22"/>
          <w:szCs w:val="22"/>
          <w:lang w:val="en-GB"/>
        </w:rPr>
      </w:pPr>
    </w:p>
    <w:p w14:paraId="03A0C219" w14:textId="5AE22E25" w:rsidR="00876D0D" w:rsidRDefault="00876D0D" w:rsidP="00876D0D">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EIR 2015 Recast clearly states that there is a presumption in which a company’s COMI shall be the place where its registered. In this case, the company is registered in France and has not changed in a three month period prior to the request. </w:t>
      </w:r>
    </w:p>
    <w:p w14:paraId="6712ACBC" w14:textId="77777777" w:rsidR="00876D0D" w:rsidRDefault="00876D0D" w:rsidP="00876D0D">
      <w:pPr>
        <w:autoSpaceDE w:val="0"/>
        <w:autoSpaceDN w:val="0"/>
        <w:adjustRightInd w:val="0"/>
        <w:jc w:val="both"/>
        <w:rPr>
          <w:rFonts w:ascii="Avenir Next" w:hAnsi="Avenir Next" w:cs="Arial"/>
          <w:color w:val="7B7B7B" w:themeColor="accent3" w:themeShade="BF"/>
          <w:sz w:val="22"/>
          <w:szCs w:val="22"/>
          <w:lang w:val="en-GB"/>
        </w:rPr>
      </w:pPr>
    </w:p>
    <w:p w14:paraId="626FA5C6" w14:textId="4B6B2AD9" w:rsidR="002D3473" w:rsidRPr="00876D0D" w:rsidRDefault="00876D0D" w:rsidP="00876D0D">
      <w:pPr>
        <w:autoSpaceDE w:val="0"/>
        <w:autoSpaceDN w:val="0"/>
        <w:adjustRightInd w:val="0"/>
        <w:jc w:val="both"/>
        <w:rPr>
          <w:rFonts w:ascii="Avenir Next" w:hAnsi="Avenir Next" w:cs="Arial"/>
          <w:color w:val="7B7B7B" w:themeColor="accent3" w:themeShade="BF"/>
          <w:sz w:val="22"/>
          <w:szCs w:val="22"/>
          <w:lang w:val="es-CO"/>
        </w:rPr>
      </w:pPr>
      <w:r>
        <w:rPr>
          <w:rFonts w:ascii="Avenir Next" w:hAnsi="Avenir Next" w:cs="Arial"/>
          <w:color w:val="7B7B7B" w:themeColor="accent3" w:themeShade="BF"/>
          <w:sz w:val="22"/>
          <w:szCs w:val="22"/>
          <w:lang w:val="en-GB"/>
        </w:rPr>
        <w:t xml:space="preserve">As the prior question, the fact that is a presumption means that it can be </w:t>
      </w:r>
      <w:proofErr w:type="spellStart"/>
      <w:r>
        <w:rPr>
          <w:rFonts w:ascii="Avenir Next" w:hAnsi="Avenir Next" w:cs="Arial"/>
          <w:color w:val="7B7B7B" w:themeColor="accent3" w:themeShade="BF"/>
          <w:sz w:val="22"/>
          <w:szCs w:val="22"/>
          <w:lang w:val="en-GB"/>
        </w:rPr>
        <w:t>rebuted</w:t>
      </w:r>
      <w:proofErr w:type="spellEnd"/>
      <w:r>
        <w:rPr>
          <w:rFonts w:ascii="Avenir Next" w:hAnsi="Avenir Next" w:cs="Arial"/>
          <w:color w:val="7B7B7B" w:themeColor="accent3" w:themeShade="BF"/>
          <w:sz w:val="22"/>
          <w:szCs w:val="22"/>
          <w:lang w:val="en-GB"/>
        </w:rPr>
        <w:t xml:space="preserve">. So, if a party is interested into demonstrating that the company’s COMI is not in France, it would need to prove these allegations. In the particular case, it would be difficult that a court access this kind of request because having a big warehouse in Ireland doesn’t mean that the main operations are conducted in that country, as it was stated in </w:t>
      </w:r>
      <w:r w:rsidRPr="00876D0D">
        <w:rPr>
          <w:rFonts w:ascii="Avenir Next" w:hAnsi="Avenir Next" w:cs="Arial"/>
          <w:color w:val="7B7B7B" w:themeColor="accent3" w:themeShade="BF"/>
          <w:sz w:val="22"/>
          <w:szCs w:val="22"/>
          <w:lang w:val="es-CO"/>
        </w:rPr>
        <w:t>Case C-396/09, ECLI:EU:C:2011:671 (Oct. 20, 2011)</w:t>
      </w:r>
      <w:r>
        <w:rPr>
          <w:rFonts w:ascii="Avenir Next" w:hAnsi="Avenir Next" w:cs="Arial"/>
          <w:color w:val="7B7B7B" w:themeColor="accent3" w:themeShade="BF"/>
          <w:sz w:val="22"/>
          <w:szCs w:val="22"/>
          <w:lang w:val="es-CO"/>
        </w:rPr>
        <w:t xml:space="preserve"> I</w:t>
      </w:r>
      <w:r w:rsidRPr="00876D0D">
        <w:rPr>
          <w:rFonts w:ascii="Avenir Next" w:hAnsi="Avenir Next" w:cs="Arial"/>
          <w:color w:val="7B7B7B" w:themeColor="accent3" w:themeShade="BF"/>
          <w:sz w:val="22"/>
          <w:szCs w:val="22"/>
          <w:lang w:val="es-CO"/>
        </w:rPr>
        <w:t>nteredil Srl v Fallimento</w:t>
      </w:r>
      <w:r>
        <w:rPr>
          <w:rFonts w:ascii="Avenir Next" w:hAnsi="Avenir Next" w:cs="Arial"/>
          <w:color w:val="7B7B7B" w:themeColor="accent3" w:themeShade="BF"/>
          <w:sz w:val="22"/>
          <w:szCs w:val="22"/>
          <w:lang w:val="es-CO"/>
        </w:rPr>
        <w:t>. Therefore, the interested party needs to prove that the center of management is, in fact, in Ireland</w:t>
      </w:r>
      <w:r w:rsidR="00E15798">
        <w:rPr>
          <w:rFonts w:ascii="Avenir Next" w:hAnsi="Avenir Next" w:cs="Arial"/>
          <w:color w:val="7B7B7B" w:themeColor="accent3" w:themeShade="BF"/>
          <w:sz w:val="22"/>
          <w:szCs w:val="22"/>
          <w:lang w:val="es-CO"/>
        </w:rPr>
        <w:t xml:space="preserve"> or any other state</w:t>
      </w:r>
      <w:r>
        <w:rPr>
          <w:rFonts w:ascii="Avenir Next" w:hAnsi="Avenir Next" w:cs="Arial"/>
          <w:color w:val="7B7B7B" w:themeColor="accent3" w:themeShade="BF"/>
          <w:sz w:val="22"/>
          <w:szCs w:val="22"/>
          <w:lang w:val="es-CO"/>
        </w:rPr>
        <w:t>, which, in this case, does not seems to be so.</w:t>
      </w:r>
      <w:r w:rsidR="002D3473" w:rsidRPr="008E3C96">
        <w:rPr>
          <w:rFonts w:ascii="Avenir Next" w:hAnsi="Avenir Next" w:cs="Arial"/>
          <w:color w:val="7B7B7B" w:themeColor="accent3" w:themeShade="BF"/>
          <w:sz w:val="22"/>
          <w:szCs w:val="22"/>
          <w:lang w:val="en-GB"/>
        </w:rPr>
        <w:t>]</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5DA31602" w14:textId="77777777" w:rsidR="00210268" w:rsidRDefault="0033768C" w:rsidP="002A37BB">
      <w:pPr>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210268">
        <w:rPr>
          <w:rFonts w:ascii="Avenir Next" w:hAnsi="Avenir Next" w:cs="Arial"/>
          <w:color w:val="7B7B7B" w:themeColor="accent3" w:themeShade="BF"/>
          <w:sz w:val="22"/>
          <w:szCs w:val="22"/>
          <w:lang w:val="en-GB"/>
        </w:rPr>
        <w:t>The applicable law for this question shall be found in Article 3(2) which states:</w:t>
      </w:r>
    </w:p>
    <w:p w14:paraId="386D4522" w14:textId="77777777" w:rsidR="00210268" w:rsidRDefault="00210268" w:rsidP="002A37BB">
      <w:pPr>
        <w:jc w:val="both"/>
        <w:rPr>
          <w:rFonts w:ascii="Avenir Next" w:hAnsi="Avenir Next" w:cs="Arial"/>
          <w:color w:val="7B7B7B" w:themeColor="accent3" w:themeShade="BF"/>
          <w:sz w:val="22"/>
          <w:szCs w:val="22"/>
          <w:lang w:val="en-GB"/>
        </w:rPr>
      </w:pPr>
    </w:p>
    <w:p w14:paraId="2D686526" w14:textId="3BDAC172" w:rsidR="00210268" w:rsidRPr="00210268" w:rsidRDefault="00210268" w:rsidP="00210268">
      <w:pPr>
        <w:ind w:left="720"/>
        <w:jc w:val="both"/>
        <w:rPr>
          <w:rFonts w:ascii="Avenir Next" w:hAnsi="Avenir Next" w:cs="Arial"/>
          <w:i/>
          <w:iCs/>
          <w:color w:val="7B7B7B" w:themeColor="accent3" w:themeShade="BF"/>
          <w:sz w:val="22"/>
          <w:szCs w:val="22"/>
          <w:lang w:val="es-CO"/>
        </w:rPr>
      </w:pPr>
      <w:r>
        <w:rPr>
          <w:rFonts w:ascii="Avenir Next" w:hAnsi="Avenir Next" w:cs="Arial"/>
          <w:i/>
          <w:iCs/>
          <w:color w:val="7B7B7B" w:themeColor="accent3" w:themeShade="BF"/>
          <w:sz w:val="22"/>
          <w:szCs w:val="22"/>
          <w:lang w:val="es-CO"/>
        </w:rPr>
        <w:t>“</w:t>
      </w:r>
      <w:r w:rsidRPr="00210268">
        <w:rPr>
          <w:rFonts w:ascii="Avenir Next" w:hAnsi="Avenir Next" w:cs="Arial"/>
          <w:i/>
          <w:iCs/>
          <w:color w:val="7B7B7B" w:themeColor="accent3" w:themeShade="BF"/>
          <w:sz w:val="22"/>
          <w:szCs w:val="22"/>
          <w:lang w:val="es-CO"/>
        </w:rPr>
        <w:t>2. Where the centre of the debtor's main interests is situated within the territory of a Member State, the courts of another Member State shall have jurisdiction to open insolvency proceedings against that debtor only if it possesses an establishment within the territory of that other Member State. The effects of those proceedings shall be restricted to the assets of the debtor situated in the territory of the latter Member State.</w:t>
      </w:r>
      <w:r>
        <w:rPr>
          <w:rFonts w:ascii="Avenir Next" w:hAnsi="Avenir Next" w:cs="Arial"/>
          <w:i/>
          <w:iCs/>
          <w:color w:val="7B7B7B" w:themeColor="accent3" w:themeShade="BF"/>
          <w:sz w:val="22"/>
          <w:szCs w:val="22"/>
          <w:lang w:val="es-CO"/>
        </w:rPr>
        <w:t>”</w:t>
      </w:r>
    </w:p>
    <w:p w14:paraId="61958EFA" w14:textId="77777777" w:rsidR="00210268" w:rsidRDefault="00210268" w:rsidP="002A37BB">
      <w:pPr>
        <w:jc w:val="both"/>
        <w:rPr>
          <w:rFonts w:ascii="Avenir Next" w:hAnsi="Avenir Next" w:cs="Arial"/>
          <w:color w:val="7B7B7B" w:themeColor="accent3" w:themeShade="BF"/>
          <w:sz w:val="22"/>
          <w:szCs w:val="22"/>
          <w:lang w:val="en-GB"/>
        </w:rPr>
      </w:pPr>
    </w:p>
    <w:p w14:paraId="3A817C5E" w14:textId="4C982E7B" w:rsidR="00210268" w:rsidRPr="00210268" w:rsidRDefault="00210268" w:rsidP="00210268">
      <w:pPr>
        <w:jc w:val="both"/>
        <w:rPr>
          <w:rFonts w:ascii="Avenir Next" w:hAnsi="Avenir Next" w:cs="Arial"/>
          <w:i/>
          <w:iCs/>
          <w:color w:val="7B7B7B" w:themeColor="accent3" w:themeShade="BF"/>
          <w:sz w:val="22"/>
          <w:szCs w:val="22"/>
          <w:lang w:val="es-CO"/>
        </w:rPr>
      </w:pPr>
      <w:r>
        <w:rPr>
          <w:rFonts w:ascii="Avenir Next" w:hAnsi="Avenir Next" w:cs="Arial"/>
          <w:color w:val="7B7B7B" w:themeColor="accent3" w:themeShade="BF"/>
          <w:sz w:val="22"/>
          <w:szCs w:val="22"/>
          <w:lang w:val="en-GB"/>
        </w:rPr>
        <w:t>According to the facts of the case, the company has an establishment in Italy. This “establishment” can be defined as defined in Article 2</w:t>
      </w:r>
      <w:r w:rsidRPr="00210268">
        <w:rPr>
          <w:rFonts w:ascii="Avenir Next" w:hAnsi="Avenir Next" w:cs="Arial"/>
          <w:color w:val="7B7B7B" w:themeColor="accent3" w:themeShade="BF"/>
          <w:sz w:val="22"/>
          <w:szCs w:val="22"/>
          <w:lang w:val="es-CO"/>
        </w:rPr>
        <w:t>(10)</w:t>
      </w:r>
      <w:r>
        <w:rPr>
          <w:rFonts w:ascii="Avenir Next" w:hAnsi="Avenir Next" w:cs="Arial"/>
          <w:color w:val="7B7B7B" w:themeColor="accent3" w:themeShade="BF"/>
          <w:sz w:val="22"/>
          <w:szCs w:val="22"/>
          <w:lang w:val="es-CO"/>
        </w:rPr>
        <w:t>:</w:t>
      </w:r>
      <w:r w:rsidRPr="00210268">
        <w:rPr>
          <w:rFonts w:ascii="Avenir Next" w:hAnsi="Avenir Next" w:cs="Arial"/>
          <w:color w:val="7B7B7B" w:themeColor="accent3" w:themeShade="BF"/>
          <w:sz w:val="22"/>
          <w:szCs w:val="22"/>
          <w:lang w:val="es-CO"/>
        </w:rPr>
        <w:t xml:space="preserve"> </w:t>
      </w:r>
      <w:r w:rsidRPr="00210268">
        <w:rPr>
          <w:rFonts w:ascii="Avenir Next" w:hAnsi="Avenir Next" w:cs="Arial"/>
          <w:i/>
          <w:iCs/>
          <w:color w:val="7B7B7B" w:themeColor="accent3" w:themeShade="BF"/>
          <w:sz w:val="22"/>
          <w:szCs w:val="22"/>
          <w:lang w:val="es-CO"/>
        </w:rPr>
        <w:t xml:space="preserve">‘establishment’ means any place of operations where a debtor carries out or has carried out in the 3-month period prior to the request to open main insolvency proceedings a non-transitory economic activity with human means and assets; </w:t>
      </w:r>
    </w:p>
    <w:p w14:paraId="71D3F4F6" w14:textId="77777777" w:rsidR="00210268" w:rsidRDefault="00210268" w:rsidP="002A37BB">
      <w:pPr>
        <w:jc w:val="both"/>
        <w:rPr>
          <w:rFonts w:ascii="Avenir Next" w:hAnsi="Avenir Next" w:cs="Arial"/>
          <w:color w:val="7B7B7B" w:themeColor="accent3" w:themeShade="BF"/>
          <w:sz w:val="22"/>
          <w:szCs w:val="22"/>
          <w:lang w:val="en-GB"/>
        </w:rPr>
      </w:pPr>
    </w:p>
    <w:p w14:paraId="1AF8857E" w14:textId="7BCC5DE6" w:rsidR="00210268" w:rsidRDefault="00210268"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So, if we take into account that the company has assets and human resources in Italy we could agree that it can, in fact, start a secondary proceeding</w:t>
      </w:r>
      <w:r w:rsidR="00E15798">
        <w:rPr>
          <w:rFonts w:ascii="Avenir Next" w:hAnsi="Avenir Next" w:cs="Arial"/>
          <w:color w:val="7B7B7B" w:themeColor="accent3" w:themeShade="BF"/>
          <w:sz w:val="22"/>
          <w:szCs w:val="22"/>
          <w:lang w:val="en-GB"/>
        </w:rPr>
        <w:t>, only taking into account the concept of establishment</w:t>
      </w:r>
      <w:bookmarkStart w:id="1" w:name="_GoBack"/>
      <w:bookmarkEnd w:id="1"/>
      <w:r>
        <w:rPr>
          <w:rFonts w:ascii="Avenir Next" w:hAnsi="Avenir Next" w:cs="Arial"/>
          <w:color w:val="7B7B7B" w:themeColor="accent3" w:themeShade="BF"/>
          <w:sz w:val="22"/>
          <w:szCs w:val="22"/>
          <w:lang w:val="en-GB"/>
        </w:rPr>
        <w:t>.</w:t>
      </w:r>
    </w:p>
    <w:p w14:paraId="0B09F3E1" w14:textId="77777777" w:rsidR="00210268" w:rsidRDefault="00210268" w:rsidP="002A37BB">
      <w:pPr>
        <w:jc w:val="both"/>
        <w:rPr>
          <w:rFonts w:ascii="Avenir Next" w:hAnsi="Avenir Next" w:cs="Arial"/>
          <w:color w:val="7B7B7B" w:themeColor="accent3" w:themeShade="BF"/>
          <w:sz w:val="22"/>
          <w:szCs w:val="22"/>
          <w:lang w:val="en-GB"/>
        </w:rPr>
      </w:pPr>
    </w:p>
    <w:p w14:paraId="5A6F8AC0" w14:textId="0A1F0441" w:rsidR="00210268" w:rsidRPr="00210268" w:rsidRDefault="00210268" w:rsidP="00210268">
      <w:pPr>
        <w:jc w:val="both"/>
        <w:rPr>
          <w:rFonts w:ascii="Avenir Next" w:hAnsi="Avenir Next" w:cs="Arial"/>
          <w:color w:val="7B7B7B" w:themeColor="accent3" w:themeShade="BF"/>
          <w:sz w:val="22"/>
          <w:szCs w:val="22"/>
          <w:lang w:val="es-CO"/>
        </w:rPr>
      </w:pPr>
      <w:r>
        <w:rPr>
          <w:rFonts w:ascii="Avenir Next" w:hAnsi="Avenir Next" w:cs="Arial"/>
          <w:color w:val="7B7B7B" w:themeColor="accent3" w:themeShade="BF"/>
          <w:sz w:val="22"/>
          <w:szCs w:val="22"/>
          <w:lang w:val="en-GB"/>
        </w:rPr>
        <w:t xml:space="preserve">This was confirmed in </w:t>
      </w:r>
      <w:r w:rsidRPr="00210268">
        <w:rPr>
          <w:rFonts w:ascii="Avenir Next" w:hAnsi="Avenir Next" w:cs="Arial"/>
          <w:color w:val="7B7B7B" w:themeColor="accent3" w:themeShade="BF"/>
          <w:sz w:val="22"/>
          <w:szCs w:val="22"/>
          <w:lang w:val="es-CO"/>
        </w:rPr>
        <w:t xml:space="preserve">Case C-327/13, </w:t>
      </w:r>
      <w:r w:rsidRPr="00210268">
        <w:rPr>
          <w:rFonts w:ascii="Avenir Next" w:hAnsi="Avenir Next" w:cs="Arial"/>
          <w:i/>
          <w:iCs/>
          <w:color w:val="7B7B7B" w:themeColor="accent3" w:themeShade="BF"/>
          <w:sz w:val="22"/>
          <w:szCs w:val="22"/>
          <w:lang w:val="es-CO"/>
        </w:rPr>
        <w:t>Burgo Group SpA v Illochroma SA</w:t>
      </w:r>
      <w:r w:rsidRPr="00210268">
        <w:rPr>
          <w:rFonts w:ascii="Avenir Next" w:hAnsi="Avenir Next" w:cs="Arial"/>
          <w:color w:val="7B7B7B" w:themeColor="accent3" w:themeShade="BF"/>
          <w:sz w:val="22"/>
          <w:szCs w:val="22"/>
          <w:lang w:val="es-CO"/>
        </w:rPr>
        <w:t>, ECLI:EU:C:2014:2158 (Sep. 4, 2014)</w:t>
      </w:r>
      <w:r>
        <w:rPr>
          <w:rFonts w:ascii="Avenir Next" w:hAnsi="Avenir Next" w:cs="Arial"/>
          <w:color w:val="7B7B7B" w:themeColor="accent3" w:themeShade="BF"/>
          <w:sz w:val="22"/>
          <w:szCs w:val="22"/>
          <w:lang w:val="es-CO"/>
        </w:rPr>
        <w:t>.</w:t>
      </w:r>
      <w:r w:rsidRPr="00210268">
        <w:rPr>
          <w:rFonts w:ascii="Avenir Next" w:hAnsi="Avenir Next" w:cs="Arial"/>
          <w:color w:val="7B7B7B" w:themeColor="accent3" w:themeShade="BF"/>
          <w:sz w:val="22"/>
          <w:szCs w:val="22"/>
          <w:lang w:val="es-CO"/>
        </w:rPr>
        <w:t xml:space="preserve"> </w:t>
      </w:r>
    </w:p>
    <w:p w14:paraId="137B56A7" w14:textId="77777777" w:rsidR="00210268" w:rsidRDefault="00210268" w:rsidP="002A37BB">
      <w:pPr>
        <w:jc w:val="both"/>
        <w:rPr>
          <w:rFonts w:ascii="Avenir Next" w:hAnsi="Avenir Next" w:cs="Arial"/>
          <w:color w:val="7B7B7B" w:themeColor="accent3" w:themeShade="BF"/>
          <w:sz w:val="22"/>
          <w:szCs w:val="22"/>
          <w:lang w:val="en-GB"/>
        </w:rPr>
      </w:pPr>
    </w:p>
    <w:p w14:paraId="77CE8695" w14:textId="4FEBAC0D" w:rsidR="0077498C" w:rsidRPr="008E3C96" w:rsidRDefault="00210268" w:rsidP="002A37BB">
      <w:p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lastRenderedPageBreak/>
        <w:t>However, ultimately the proceeding can’t take place because the goal that the party is looking for is securing an Italy distribution raking. The secondary proceedings are only focused on the assets that the company has abroad, not for taking advantage of local insolvency law (Italian, in this case). There be said, there is not information in the case that suggest that the insolvency procedure pursues a right over an asset and therefore it can’t be opened.</w:t>
      </w:r>
      <w:r w:rsidR="0033768C" w:rsidRPr="008E3C96">
        <w:rPr>
          <w:rFonts w:ascii="Avenir Next" w:hAnsi="Avenir Next" w:cs="Arial"/>
          <w:color w:val="7B7B7B" w:themeColor="accent3" w:themeShade="BF"/>
          <w:sz w:val="22"/>
          <w:szCs w:val="22"/>
          <w:lang w:val="en-GB"/>
        </w:rPr>
        <w:t>]</w:t>
      </w:r>
    </w:p>
    <w:p w14:paraId="09FB5033" w14:textId="77777777" w:rsidR="00187A34" w:rsidRPr="008500BD" w:rsidRDefault="00187A34" w:rsidP="00210268">
      <w:pP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29332" w14:textId="77777777" w:rsidR="0013612A" w:rsidRDefault="0013612A" w:rsidP="00241B44">
      <w:r>
        <w:separator/>
      </w:r>
    </w:p>
  </w:endnote>
  <w:endnote w:type="continuationSeparator" w:id="0">
    <w:p w14:paraId="023ADC97" w14:textId="77777777" w:rsidR="0013612A" w:rsidRDefault="0013612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㟹讛ތ"/>
    <w:panose1 w:val="020B0503020202020204"/>
    <w:charset w:val="00"/>
    <w:family w:val="swiss"/>
    <w:pitch w:val="variable"/>
    <w:sig w:usb0="8000002F" w:usb1="5000204A" w:usb2="00000000" w:usb3="00000000" w:csb0="0000009B" w:csb1="00000000"/>
  </w:font>
  <w:font w:name="Avenir Next Demi Bold">
    <w:altName w:val="﷽﷽﷽﷽﷽﷽﷽"/>
    <w:panose1 w:val="020B0703020202020204"/>
    <w:charset w:val="00"/>
    <w:family w:val="swiss"/>
    <w:pitch w:val="variable"/>
    <w:sig w:usb0="8000002F" w:usb1="5000204A" w:usb2="00000000" w:usb3="00000000" w:csb0="0000009B" w:csb1="00000000"/>
  </w:font>
  <w:font w:name="AvenirNext">
    <w:altName w:val="Cambria"/>
    <w:panose1 w:val="020B0503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876D0D" w:rsidRPr="00FC7B47" w:rsidRDefault="00876D0D"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876D0D" w:rsidRPr="00FC7B47" w:rsidRDefault="00876D0D" w:rsidP="00FC7B47">
    <w:pPr>
      <w:pStyle w:val="Piedepgina"/>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rial" w:hAnsi="Arial"/>
        <w:sz w:val="18"/>
        <w:szCs w:val="18"/>
      </w:rPr>
    </w:sdtEndPr>
    <w:sdtContent>
      <w:p w14:paraId="0A05F8FD" w14:textId="25250B7C" w:rsidR="00876D0D" w:rsidRPr="009B4976" w:rsidRDefault="00876D0D" w:rsidP="00D509A5">
        <w:pPr>
          <w:pStyle w:val="Piedepgina"/>
          <w:framePr w:wrap="none" w:vAnchor="text" w:hAnchor="margin" w:xAlign="right" w:y="1"/>
          <w:rPr>
            <w:rStyle w:val="Nmerodepgina"/>
            <w:rFonts w:ascii="Arial" w:hAnsi="Arial" w:cs="Arial"/>
            <w:sz w:val="18"/>
            <w:szCs w:val="18"/>
          </w:rPr>
        </w:pPr>
        <w:r w:rsidRPr="00E36039">
          <w:rPr>
            <w:rStyle w:val="Nmerodepgina"/>
            <w:rFonts w:ascii="Avenir Next" w:hAnsi="Avenir Next" w:cs="Arial"/>
            <w:sz w:val="22"/>
            <w:szCs w:val="22"/>
          </w:rPr>
          <w:t xml:space="preserve">Page </w:t>
        </w:r>
        <w:r w:rsidRPr="00E36039">
          <w:rPr>
            <w:rStyle w:val="Nmerodepgina"/>
            <w:rFonts w:ascii="Avenir Next" w:hAnsi="Avenir Next" w:cs="Arial"/>
            <w:sz w:val="22"/>
            <w:szCs w:val="22"/>
          </w:rPr>
          <w:fldChar w:fldCharType="begin"/>
        </w:r>
        <w:r w:rsidRPr="00E36039">
          <w:rPr>
            <w:rStyle w:val="Nmerodepgina"/>
            <w:rFonts w:ascii="Avenir Next" w:hAnsi="Avenir Next" w:cs="Arial"/>
            <w:sz w:val="22"/>
            <w:szCs w:val="22"/>
          </w:rPr>
          <w:instrText xml:space="preserve"> PAGE </w:instrText>
        </w:r>
        <w:r w:rsidRPr="00E36039">
          <w:rPr>
            <w:rStyle w:val="Nmerodepgina"/>
            <w:rFonts w:ascii="Avenir Next" w:hAnsi="Avenir Next" w:cs="Arial"/>
            <w:sz w:val="22"/>
            <w:szCs w:val="22"/>
          </w:rPr>
          <w:fldChar w:fldCharType="separate"/>
        </w:r>
        <w:r w:rsidRPr="00E36039">
          <w:rPr>
            <w:rStyle w:val="Nmerodepgina"/>
            <w:rFonts w:ascii="Avenir Next" w:hAnsi="Avenir Next" w:cs="Arial"/>
            <w:noProof/>
            <w:sz w:val="22"/>
            <w:szCs w:val="22"/>
          </w:rPr>
          <w:t>9</w:t>
        </w:r>
        <w:r w:rsidRPr="00E36039">
          <w:rPr>
            <w:rStyle w:val="Nmerodepgina"/>
            <w:rFonts w:ascii="Avenir Next" w:hAnsi="Avenir Next" w:cs="Arial"/>
            <w:sz w:val="22"/>
            <w:szCs w:val="22"/>
          </w:rPr>
          <w:fldChar w:fldCharType="end"/>
        </w:r>
      </w:p>
    </w:sdtContent>
  </w:sdt>
  <w:p w14:paraId="30F05E79" w14:textId="61AF5B9D" w:rsidR="00876D0D" w:rsidRPr="00E36039" w:rsidRDefault="00876D0D" w:rsidP="009B4976">
    <w:pPr>
      <w:pStyle w:val="Piedepgina"/>
      <w:ind w:right="360"/>
      <w:rPr>
        <w:rFonts w:ascii="Avenir Next" w:hAnsi="Avenir Next" w:cs="Arial"/>
        <w:sz w:val="22"/>
        <w:szCs w:val="22"/>
        <w:lang w:val="en-GB"/>
      </w:rPr>
    </w:pPr>
    <w:r w:rsidRPr="00C16637">
      <w:rPr>
        <w:rFonts w:ascii="Avenir Next" w:hAnsi="Avenir Next" w:cs="Arial"/>
        <w:sz w:val="22"/>
        <w:szCs w:val="22"/>
        <w:lang w:val="en-GB"/>
      </w:rPr>
      <w:t>202223-857.assessment2B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BEA3E" w14:textId="77777777" w:rsidR="0013612A" w:rsidRDefault="0013612A" w:rsidP="00241B44">
      <w:r>
        <w:separator/>
      </w:r>
    </w:p>
  </w:footnote>
  <w:footnote w:type="continuationSeparator" w:id="0">
    <w:p w14:paraId="54D499CD" w14:textId="77777777" w:rsidR="0013612A" w:rsidRDefault="0013612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CD5"/>
    <w:multiLevelType w:val="multilevel"/>
    <w:tmpl w:val="A7D2B6D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22"/>
  </w:num>
  <w:num w:numId="3">
    <w:abstractNumId w:val="16"/>
  </w:num>
  <w:num w:numId="4">
    <w:abstractNumId w:val="27"/>
  </w:num>
  <w:num w:numId="5">
    <w:abstractNumId w:val="21"/>
  </w:num>
  <w:num w:numId="6">
    <w:abstractNumId w:val="24"/>
  </w:num>
  <w:num w:numId="7">
    <w:abstractNumId w:val="7"/>
  </w:num>
  <w:num w:numId="8">
    <w:abstractNumId w:val="19"/>
  </w:num>
  <w:num w:numId="9">
    <w:abstractNumId w:val="18"/>
  </w:num>
  <w:num w:numId="10">
    <w:abstractNumId w:val="14"/>
  </w:num>
  <w:num w:numId="11">
    <w:abstractNumId w:val="20"/>
  </w:num>
  <w:num w:numId="12">
    <w:abstractNumId w:val="3"/>
  </w:num>
  <w:num w:numId="13">
    <w:abstractNumId w:val="11"/>
  </w:num>
  <w:num w:numId="14">
    <w:abstractNumId w:val="17"/>
  </w:num>
  <w:num w:numId="15">
    <w:abstractNumId w:val="15"/>
  </w:num>
  <w:num w:numId="16">
    <w:abstractNumId w:val="10"/>
  </w:num>
  <w:num w:numId="17">
    <w:abstractNumId w:val="13"/>
  </w:num>
  <w:num w:numId="18">
    <w:abstractNumId w:val="4"/>
  </w:num>
  <w:num w:numId="19">
    <w:abstractNumId w:val="1"/>
  </w:num>
  <w:num w:numId="20">
    <w:abstractNumId w:val="6"/>
  </w:num>
  <w:num w:numId="21">
    <w:abstractNumId w:val="1"/>
  </w:num>
  <w:num w:numId="22">
    <w:abstractNumId w:val="8"/>
  </w:num>
  <w:num w:numId="23">
    <w:abstractNumId w:val="23"/>
  </w:num>
  <w:num w:numId="24">
    <w:abstractNumId w:val="25"/>
  </w:num>
  <w:num w:numId="25">
    <w:abstractNumId w:val="5"/>
  </w:num>
  <w:num w:numId="26">
    <w:abstractNumId w:val="28"/>
  </w:num>
  <w:num w:numId="27">
    <w:abstractNumId w:val="9"/>
  </w:num>
  <w:num w:numId="28">
    <w:abstractNumId w:val="2"/>
  </w:num>
  <w:num w:numId="29">
    <w:abstractNumId w:val="12"/>
  </w:num>
  <w:num w:numId="30">
    <w:abstractNumId w:val="26"/>
  </w:num>
  <w:num w:numId="3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50C7"/>
    <w:rsid w:val="00026F16"/>
    <w:rsid w:val="00037621"/>
    <w:rsid w:val="00041B32"/>
    <w:rsid w:val="00044D46"/>
    <w:rsid w:val="00045088"/>
    <w:rsid w:val="00045904"/>
    <w:rsid w:val="00054E15"/>
    <w:rsid w:val="00065166"/>
    <w:rsid w:val="00082609"/>
    <w:rsid w:val="000851CC"/>
    <w:rsid w:val="00087CD6"/>
    <w:rsid w:val="00093BE8"/>
    <w:rsid w:val="000A68ED"/>
    <w:rsid w:val="000A7BF9"/>
    <w:rsid w:val="000B18B8"/>
    <w:rsid w:val="000B5FF1"/>
    <w:rsid w:val="000B609F"/>
    <w:rsid w:val="000C6BB5"/>
    <w:rsid w:val="000D55A8"/>
    <w:rsid w:val="000E4841"/>
    <w:rsid w:val="000F1677"/>
    <w:rsid w:val="000F3D6C"/>
    <w:rsid w:val="000F4A14"/>
    <w:rsid w:val="00101707"/>
    <w:rsid w:val="00113E29"/>
    <w:rsid w:val="0011473D"/>
    <w:rsid w:val="0011548B"/>
    <w:rsid w:val="00115C85"/>
    <w:rsid w:val="00123855"/>
    <w:rsid w:val="00126A4D"/>
    <w:rsid w:val="0013612A"/>
    <w:rsid w:val="0014171F"/>
    <w:rsid w:val="0014622C"/>
    <w:rsid w:val="00152348"/>
    <w:rsid w:val="0015456D"/>
    <w:rsid w:val="00155FA2"/>
    <w:rsid w:val="00161DEE"/>
    <w:rsid w:val="00161F1B"/>
    <w:rsid w:val="00162829"/>
    <w:rsid w:val="00174DC4"/>
    <w:rsid w:val="00175A7D"/>
    <w:rsid w:val="00180548"/>
    <w:rsid w:val="00180AC4"/>
    <w:rsid w:val="00180CCE"/>
    <w:rsid w:val="0018267A"/>
    <w:rsid w:val="00182779"/>
    <w:rsid w:val="001830DF"/>
    <w:rsid w:val="00183ED8"/>
    <w:rsid w:val="00187A34"/>
    <w:rsid w:val="001966D9"/>
    <w:rsid w:val="001A68CC"/>
    <w:rsid w:val="001A7E9A"/>
    <w:rsid w:val="001B0F70"/>
    <w:rsid w:val="001B5016"/>
    <w:rsid w:val="001B6DDC"/>
    <w:rsid w:val="001C45FC"/>
    <w:rsid w:val="001D0469"/>
    <w:rsid w:val="001D4862"/>
    <w:rsid w:val="001D6E1C"/>
    <w:rsid w:val="001D7D8B"/>
    <w:rsid w:val="001E25B9"/>
    <w:rsid w:val="001E49E0"/>
    <w:rsid w:val="001E5F8A"/>
    <w:rsid w:val="001E7B5A"/>
    <w:rsid w:val="001F7412"/>
    <w:rsid w:val="00202DFE"/>
    <w:rsid w:val="00203720"/>
    <w:rsid w:val="0020725B"/>
    <w:rsid w:val="00210268"/>
    <w:rsid w:val="002110F1"/>
    <w:rsid w:val="00222FB5"/>
    <w:rsid w:val="00240625"/>
    <w:rsid w:val="0024116D"/>
    <w:rsid w:val="00241B44"/>
    <w:rsid w:val="00241FA3"/>
    <w:rsid w:val="00244C44"/>
    <w:rsid w:val="00245EFB"/>
    <w:rsid w:val="0025386E"/>
    <w:rsid w:val="002638B0"/>
    <w:rsid w:val="0026647A"/>
    <w:rsid w:val="002668D3"/>
    <w:rsid w:val="0027299F"/>
    <w:rsid w:val="002729AB"/>
    <w:rsid w:val="00284EBE"/>
    <w:rsid w:val="0029433F"/>
    <w:rsid w:val="00294829"/>
    <w:rsid w:val="0029690F"/>
    <w:rsid w:val="00297C8A"/>
    <w:rsid w:val="002A10A2"/>
    <w:rsid w:val="002A2A60"/>
    <w:rsid w:val="002A37BB"/>
    <w:rsid w:val="002B1C45"/>
    <w:rsid w:val="002C13C8"/>
    <w:rsid w:val="002C3547"/>
    <w:rsid w:val="002D0021"/>
    <w:rsid w:val="002D3473"/>
    <w:rsid w:val="002E4CF1"/>
    <w:rsid w:val="002F1956"/>
    <w:rsid w:val="002F3440"/>
    <w:rsid w:val="002F75A3"/>
    <w:rsid w:val="00302D76"/>
    <w:rsid w:val="00302D7B"/>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53235"/>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C60F9"/>
    <w:rsid w:val="003D0A6D"/>
    <w:rsid w:val="003D17A2"/>
    <w:rsid w:val="003D1974"/>
    <w:rsid w:val="003D4A79"/>
    <w:rsid w:val="003E0B16"/>
    <w:rsid w:val="003E37D6"/>
    <w:rsid w:val="003E4DB0"/>
    <w:rsid w:val="003E67D1"/>
    <w:rsid w:val="00404329"/>
    <w:rsid w:val="00405DC1"/>
    <w:rsid w:val="00415F1F"/>
    <w:rsid w:val="004202D2"/>
    <w:rsid w:val="0042108F"/>
    <w:rsid w:val="00430FED"/>
    <w:rsid w:val="00434A8C"/>
    <w:rsid w:val="00437297"/>
    <w:rsid w:val="004419B8"/>
    <w:rsid w:val="00444284"/>
    <w:rsid w:val="0044574C"/>
    <w:rsid w:val="00445CE6"/>
    <w:rsid w:val="004534C2"/>
    <w:rsid w:val="0045446F"/>
    <w:rsid w:val="0045683E"/>
    <w:rsid w:val="00457CA3"/>
    <w:rsid w:val="00465BFF"/>
    <w:rsid w:val="00470681"/>
    <w:rsid w:val="00471E05"/>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4A3F"/>
    <w:rsid w:val="005177FE"/>
    <w:rsid w:val="0052263B"/>
    <w:rsid w:val="00524728"/>
    <w:rsid w:val="005331CA"/>
    <w:rsid w:val="00537970"/>
    <w:rsid w:val="00540E3A"/>
    <w:rsid w:val="00544127"/>
    <w:rsid w:val="00544F6E"/>
    <w:rsid w:val="005463A9"/>
    <w:rsid w:val="00552D70"/>
    <w:rsid w:val="00553EB2"/>
    <w:rsid w:val="00560534"/>
    <w:rsid w:val="0056391B"/>
    <w:rsid w:val="005650E2"/>
    <w:rsid w:val="00567AD7"/>
    <w:rsid w:val="00575B2D"/>
    <w:rsid w:val="005833D0"/>
    <w:rsid w:val="005846F3"/>
    <w:rsid w:val="0058622F"/>
    <w:rsid w:val="00591280"/>
    <w:rsid w:val="00592F82"/>
    <w:rsid w:val="005A0CCA"/>
    <w:rsid w:val="005A726D"/>
    <w:rsid w:val="005B0486"/>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45BFA"/>
    <w:rsid w:val="00654B27"/>
    <w:rsid w:val="00654C2F"/>
    <w:rsid w:val="00656DA7"/>
    <w:rsid w:val="00657087"/>
    <w:rsid w:val="006603F1"/>
    <w:rsid w:val="006639DB"/>
    <w:rsid w:val="006661EF"/>
    <w:rsid w:val="006723E9"/>
    <w:rsid w:val="00677AEB"/>
    <w:rsid w:val="00680EF2"/>
    <w:rsid w:val="00687A1D"/>
    <w:rsid w:val="00696ED8"/>
    <w:rsid w:val="00697EA1"/>
    <w:rsid w:val="006A2646"/>
    <w:rsid w:val="006A6530"/>
    <w:rsid w:val="006B435A"/>
    <w:rsid w:val="006B4C64"/>
    <w:rsid w:val="006C4FAA"/>
    <w:rsid w:val="006D1B43"/>
    <w:rsid w:val="006D217A"/>
    <w:rsid w:val="006D6BD5"/>
    <w:rsid w:val="006E481A"/>
    <w:rsid w:val="006E5287"/>
    <w:rsid w:val="006E5298"/>
    <w:rsid w:val="006F0106"/>
    <w:rsid w:val="006F2B12"/>
    <w:rsid w:val="006F4A78"/>
    <w:rsid w:val="006F6A9A"/>
    <w:rsid w:val="006F734A"/>
    <w:rsid w:val="00700D83"/>
    <w:rsid w:val="00704852"/>
    <w:rsid w:val="007074E9"/>
    <w:rsid w:val="00713DA4"/>
    <w:rsid w:val="00714BF1"/>
    <w:rsid w:val="00721383"/>
    <w:rsid w:val="0073158B"/>
    <w:rsid w:val="007333CC"/>
    <w:rsid w:val="0073399A"/>
    <w:rsid w:val="00745D6F"/>
    <w:rsid w:val="007603F5"/>
    <w:rsid w:val="00764DB0"/>
    <w:rsid w:val="0076764D"/>
    <w:rsid w:val="0077498C"/>
    <w:rsid w:val="007772BD"/>
    <w:rsid w:val="00777DE6"/>
    <w:rsid w:val="007809BC"/>
    <w:rsid w:val="00782DF0"/>
    <w:rsid w:val="00782EE1"/>
    <w:rsid w:val="00784128"/>
    <w:rsid w:val="00793173"/>
    <w:rsid w:val="007A107A"/>
    <w:rsid w:val="007A2A33"/>
    <w:rsid w:val="007A6B8D"/>
    <w:rsid w:val="007A7B20"/>
    <w:rsid w:val="007C1FCC"/>
    <w:rsid w:val="007C50AA"/>
    <w:rsid w:val="007C6201"/>
    <w:rsid w:val="007D7C92"/>
    <w:rsid w:val="007E1154"/>
    <w:rsid w:val="007E39B3"/>
    <w:rsid w:val="007E44C4"/>
    <w:rsid w:val="007E6634"/>
    <w:rsid w:val="007E6BA4"/>
    <w:rsid w:val="007F41F8"/>
    <w:rsid w:val="007F6A57"/>
    <w:rsid w:val="00800B1B"/>
    <w:rsid w:val="00800B76"/>
    <w:rsid w:val="008017F0"/>
    <w:rsid w:val="0080454E"/>
    <w:rsid w:val="00804C32"/>
    <w:rsid w:val="00804DA6"/>
    <w:rsid w:val="00806302"/>
    <w:rsid w:val="00807119"/>
    <w:rsid w:val="008150D0"/>
    <w:rsid w:val="0082424D"/>
    <w:rsid w:val="0082483F"/>
    <w:rsid w:val="008279C0"/>
    <w:rsid w:val="00835422"/>
    <w:rsid w:val="00841051"/>
    <w:rsid w:val="00841215"/>
    <w:rsid w:val="008500BD"/>
    <w:rsid w:val="00857862"/>
    <w:rsid w:val="00860723"/>
    <w:rsid w:val="00864593"/>
    <w:rsid w:val="0086548F"/>
    <w:rsid w:val="008723F3"/>
    <w:rsid w:val="00874240"/>
    <w:rsid w:val="00876D0D"/>
    <w:rsid w:val="00881DE6"/>
    <w:rsid w:val="008837A6"/>
    <w:rsid w:val="0089145D"/>
    <w:rsid w:val="0089362E"/>
    <w:rsid w:val="00894C1D"/>
    <w:rsid w:val="00897A78"/>
    <w:rsid w:val="008A4DF2"/>
    <w:rsid w:val="008A6CFE"/>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16F18"/>
    <w:rsid w:val="00935A21"/>
    <w:rsid w:val="00942123"/>
    <w:rsid w:val="009501D6"/>
    <w:rsid w:val="0095207B"/>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07E6F"/>
    <w:rsid w:val="00A11E80"/>
    <w:rsid w:val="00A16616"/>
    <w:rsid w:val="00A17858"/>
    <w:rsid w:val="00A2274A"/>
    <w:rsid w:val="00A235B7"/>
    <w:rsid w:val="00A26868"/>
    <w:rsid w:val="00A27A7A"/>
    <w:rsid w:val="00A33FA6"/>
    <w:rsid w:val="00A407EF"/>
    <w:rsid w:val="00A46B4C"/>
    <w:rsid w:val="00A50055"/>
    <w:rsid w:val="00A5117B"/>
    <w:rsid w:val="00A54CB5"/>
    <w:rsid w:val="00A60074"/>
    <w:rsid w:val="00A620A6"/>
    <w:rsid w:val="00A62FDA"/>
    <w:rsid w:val="00A6627C"/>
    <w:rsid w:val="00A71019"/>
    <w:rsid w:val="00A75650"/>
    <w:rsid w:val="00A7758E"/>
    <w:rsid w:val="00A81029"/>
    <w:rsid w:val="00A82895"/>
    <w:rsid w:val="00A83E9F"/>
    <w:rsid w:val="00A854BD"/>
    <w:rsid w:val="00A96489"/>
    <w:rsid w:val="00AA55B5"/>
    <w:rsid w:val="00AB685C"/>
    <w:rsid w:val="00AB6C2D"/>
    <w:rsid w:val="00AC08F7"/>
    <w:rsid w:val="00AC3839"/>
    <w:rsid w:val="00AC4C4F"/>
    <w:rsid w:val="00AC7082"/>
    <w:rsid w:val="00AD2931"/>
    <w:rsid w:val="00AD513F"/>
    <w:rsid w:val="00AD6870"/>
    <w:rsid w:val="00AE2316"/>
    <w:rsid w:val="00AE74BA"/>
    <w:rsid w:val="00AF228E"/>
    <w:rsid w:val="00B016A8"/>
    <w:rsid w:val="00B070D2"/>
    <w:rsid w:val="00B12499"/>
    <w:rsid w:val="00B12EF7"/>
    <w:rsid w:val="00B14819"/>
    <w:rsid w:val="00B15E2F"/>
    <w:rsid w:val="00B17AA9"/>
    <w:rsid w:val="00B30D9A"/>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D73DA"/>
    <w:rsid w:val="00BE4FF3"/>
    <w:rsid w:val="00BF50F7"/>
    <w:rsid w:val="00C00B20"/>
    <w:rsid w:val="00C00E77"/>
    <w:rsid w:val="00C02F29"/>
    <w:rsid w:val="00C15FA2"/>
    <w:rsid w:val="00C16637"/>
    <w:rsid w:val="00C20AFE"/>
    <w:rsid w:val="00C22A25"/>
    <w:rsid w:val="00C35671"/>
    <w:rsid w:val="00C35B77"/>
    <w:rsid w:val="00C35F52"/>
    <w:rsid w:val="00C376EB"/>
    <w:rsid w:val="00C445F6"/>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CAC"/>
    <w:rsid w:val="00CC5335"/>
    <w:rsid w:val="00CC5BA4"/>
    <w:rsid w:val="00CD4998"/>
    <w:rsid w:val="00CE1035"/>
    <w:rsid w:val="00CE4206"/>
    <w:rsid w:val="00CE6E50"/>
    <w:rsid w:val="00CF2819"/>
    <w:rsid w:val="00CF4F9D"/>
    <w:rsid w:val="00CF70DC"/>
    <w:rsid w:val="00D019C8"/>
    <w:rsid w:val="00D148DC"/>
    <w:rsid w:val="00D17FDC"/>
    <w:rsid w:val="00D21F62"/>
    <w:rsid w:val="00D26E26"/>
    <w:rsid w:val="00D43B3A"/>
    <w:rsid w:val="00D509A5"/>
    <w:rsid w:val="00D56B4E"/>
    <w:rsid w:val="00D608A4"/>
    <w:rsid w:val="00D60E46"/>
    <w:rsid w:val="00D63EFD"/>
    <w:rsid w:val="00D651FD"/>
    <w:rsid w:val="00D66F96"/>
    <w:rsid w:val="00D75351"/>
    <w:rsid w:val="00D76E6E"/>
    <w:rsid w:val="00D84752"/>
    <w:rsid w:val="00D86B3B"/>
    <w:rsid w:val="00D8748A"/>
    <w:rsid w:val="00D9187D"/>
    <w:rsid w:val="00D93196"/>
    <w:rsid w:val="00D95496"/>
    <w:rsid w:val="00DA0DC0"/>
    <w:rsid w:val="00DB1D76"/>
    <w:rsid w:val="00DB243C"/>
    <w:rsid w:val="00DB482A"/>
    <w:rsid w:val="00DB56F2"/>
    <w:rsid w:val="00DB6EF5"/>
    <w:rsid w:val="00DC2BA6"/>
    <w:rsid w:val="00DC3089"/>
    <w:rsid w:val="00DC4420"/>
    <w:rsid w:val="00DD0802"/>
    <w:rsid w:val="00DD2E11"/>
    <w:rsid w:val="00DD47EF"/>
    <w:rsid w:val="00DE03AF"/>
    <w:rsid w:val="00DE121C"/>
    <w:rsid w:val="00DE6633"/>
    <w:rsid w:val="00DF0864"/>
    <w:rsid w:val="00DF75F8"/>
    <w:rsid w:val="00DF7A3A"/>
    <w:rsid w:val="00E00C00"/>
    <w:rsid w:val="00E03AF0"/>
    <w:rsid w:val="00E050E4"/>
    <w:rsid w:val="00E07C5A"/>
    <w:rsid w:val="00E15798"/>
    <w:rsid w:val="00E15BA9"/>
    <w:rsid w:val="00E26E19"/>
    <w:rsid w:val="00E30C8A"/>
    <w:rsid w:val="00E31DF3"/>
    <w:rsid w:val="00E36039"/>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C242E"/>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814B4"/>
    <w:rsid w:val="00F83464"/>
    <w:rsid w:val="00F93BE7"/>
    <w:rsid w:val="00F97C5B"/>
    <w:rsid w:val="00FA3D50"/>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56251366">
      <w:bodyDiv w:val="1"/>
      <w:marLeft w:val="0"/>
      <w:marRight w:val="0"/>
      <w:marTop w:val="0"/>
      <w:marBottom w:val="0"/>
      <w:divBdr>
        <w:top w:val="none" w:sz="0" w:space="0" w:color="auto"/>
        <w:left w:val="none" w:sz="0" w:space="0" w:color="auto"/>
        <w:bottom w:val="none" w:sz="0" w:space="0" w:color="auto"/>
        <w:right w:val="none" w:sz="0" w:space="0" w:color="auto"/>
      </w:divBdr>
      <w:divsChild>
        <w:div w:id="879245369">
          <w:marLeft w:val="0"/>
          <w:marRight w:val="0"/>
          <w:marTop w:val="0"/>
          <w:marBottom w:val="0"/>
          <w:divBdr>
            <w:top w:val="none" w:sz="0" w:space="0" w:color="auto"/>
            <w:left w:val="none" w:sz="0" w:space="0" w:color="auto"/>
            <w:bottom w:val="none" w:sz="0" w:space="0" w:color="auto"/>
            <w:right w:val="none" w:sz="0" w:space="0" w:color="auto"/>
          </w:divBdr>
          <w:divsChild>
            <w:div w:id="2008244222">
              <w:marLeft w:val="0"/>
              <w:marRight w:val="0"/>
              <w:marTop w:val="0"/>
              <w:marBottom w:val="0"/>
              <w:divBdr>
                <w:top w:val="none" w:sz="0" w:space="0" w:color="auto"/>
                <w:left w:val="none" w:sz="0" w:space="0" w:color="auto"/>
                <w:bottom w:val="none" w:sz="0" w:space="0" w:color="auto"/>
                <w:right w:val="none" w:sz="0" w:space="0" w:color="auto"/>
              </w:divBdr>
              <w:divsChild>
                <w:div w:id="18981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269">
      <w:bodyDiv w:val="1"/>
      <w:marLeft w:val="0"/>
      <w:marRight w:val="0"/>
      <w:marTop w:val="0"/>
      <w:marBottom w:val="0"/>
      <w:divBdr>
        <w:top w:val="none" w:sz="0" w:space="0" w:color="auto"/>
        <w:left w:val="none" w:sz="0" w:space="0" w:color="auto"/>
        <w:bottom w:val="none" w:sz="0" w:space="0" w:color="auto"/>
        <w:right w:val="none" w:sz="0" w:space="0" w:color="auto"/>
      </w:divBdr>
    </w:div>
    <w:div w:id="65153197">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118958496">
      <w:bodyDiv w:val="1"/>
      <w:marLeft w:val="0"/>
      <w:marRight w:val="0"/>
      <w:marTop w:val="0"/>
      <w:marBottom w:val="0"/>
      <w:divBdr>
        <w:top w:val="none" w:sz="0" w:space="0" w:color="auto"/>
        <w:left w:val="none" w:sz="0" w:space="0" w:color="auto"/>
        <w:bottom w:val="none" w:sz="0" w:space="0" w:color="auto"/>
        <w:right w:val="none" w:sz="0" w:space="0" w:color="auto"/>
      </w:divBdr>
      <w:divsChild>
        <w:div w:id="1155024030">
          <w:marLeft w:val="0"/>
          <w:marRight w:val="0"/>
          <w:marTop w:val="0"/>
          <w:marBottom w:val="0"/>
          <w:divBdr>
            <w:top w:val="none" w:sz="0" w:space="0" w:color="auto"/>
            <w:left w:val="none" w:sz="0" w:space="0" w:color="auto"/>
            <w:bottom w:val="none" w:sz="0" w:space="0" w:color="auto"/>
            <w:right w:val="none" w:sz="0" w:space="0" w:color="auto"/>
          </w:divBdr>
          <w:divsChild>
            <w:div w:id="1225481695">
              <w:marLeft w:val="0"/>
              <w:marRight w:val="0"/>
              <w:marTop w:val="0"/>
              <w:marBottom w:val="0"/>
              <w:divBdr>
                <w:top w:val="none" w:sz="0" w:space="0" w:color="auto"/>
                <w:left w:val="none" w:sz="0" w:space="0" w:color="auto"/>
                <w:bottom w:val="none" w:sz="0" w:space="0" w:color="auto"/>
                <w:right w:val="none" w:sz="0" w:space="0" w:color="auto"/>
              </w:divBdr>
              <w:divsChild>
                <w:div w:id="4943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4548">
      <w:bodyDiv w:val="1"/>
      <w:marLeft w:val="0"/>
      <w:marRight w:val="0"/>
      <w:marTop w:val="0"/>
      <w:marBottom w:val="0"/>
      <w:divBdr>
        <w:top w:val="none" w:sz="0" w:space="0" w:color="auto"/>
        <w:left w:val="none" w:sz="0" w:space="0" w:color="auto"/>
        <w:bottom w:val="none" w:sz="0" w:space="0" w:color="auto"/>
        <w:right w:val="none" w:sz="0" w:space="0" w:color="auto"/>
      </w:divBdr>
      <w:divsChild>
        <w:div w:id="917787831">
          <w:marLeft w:val="0"/>
          <w:marRight w:val="0"/>
          <w:marTop w:val="0"/>
          <w:marBottom w:val="0"/>
          <w:divBdr>
            <w:top w:val="none" w:sz="0" w:space="0" w:color="auto"/>
            <w:left w:val="none" w:sz="0" w:space="0" w:color="auto"/>
            <w:bottom w:val="none" w:sz="0" w:space="0" w:color="auto"/>
            <w:right w:val="none" w:sz="0" w:space="0" w:color="auto"/>
          </w:divBdr>
          <w:divsChild>
            <w:div w:id="1021860071">
              <w:marLeft w:val="0"/>
              <w:marRight w:val="0"/>
              <w:marTop w:val="0"/>
              <w:marBottom w:val="0"/>
              <w:divBdr>
                <w:top w:val="none" w:sz="0" w:space="0" w:color="auto"/>
                <w:left w:val="none" w:sz="0" w:space="0" w:color="auto"/>
                <w:bottom w:val="none" w:sz="0" w:space="0" w:color="auto"/>
                <w:right w:val="none" w:sz="0" w:space="0" w:color="auto"/>
              </w:divBdr>
              <w:divsChild>
                <w:div w:id="10523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2151">
      <w:bodyDiv w:val="1"/>
      <w:marLeft w:val="0"/>
      <w:marRight w:val="0"/>
      <w:marTop w:val="0"/>
      <w:marBottom w:val="0"/>
      <w:divBdr>
        <w:top w:val="none" w:sz="0" w:space="0" w:color="auto"/>
        <w:left w:val="none" w:sz="0" w:space="0" w:color="auto"/>
        <w:bottom w:val="none" w:sz="0" w:space="0" w:color="auto"/>
        <w:right w:val="none" w:sz="0" w:space="0" w:color="auto"/>
      </w:divBdr>
      <w:divsChild>
        <w:div w:id="1918008979">
          <w:marLeft w:val="0"/>
          <w:marRight w:val="0"/>
          <w:marTop w:val="0"/>
          <w:marBottom w:val="0"/>
          <w:divBdr>
            <w:top w:val="none" w:sz="0" w:space="0" w:color="auto"/>
            <w:left w:val="none" w:sz="0" w:space="0" w:color="auto"/>
            <w:bottom w:val="none" w:sz="0" w:space="0" w:color="auto"/>
            <w:right w:val="none" w:sz="0" w:space="0" w:color="auto"/>
          </w:divBdr>
          <w:divsChild>
            <w:div w:id="1150248506">
              <w:marLeft w:val="0"/>
              <w:marRight w:val="0"/>
              <w:marTop w:val="0"/>
              <w:marBottom w:val="0"/>
              <w:divBdr>
                <w:top w:val="none" w:sz="0" w:space="0" w:color="auto"/>
                <w:left w:val="none" w:sz="0" w:space="0" w:color="auto"/>
                <w:bottom w:val="none" w:sz="0" w:space="0" w:color="auto"/>
                <w:right w:val="none" w:sz="0" w:space="0" w:color="auto"/>
              </w:divBdr>
              <w:divsChild>
                <w:div w:id="577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0642">
      <w:bodyDiv w:val="1"/>
      <w:marLeft w:val="0"/>
      <w:marRight w:val="0"/>
      <w:marTop w:val="0"/>
      <w:marBottom w:val="0"/>
      <w:divBdr>
        <w:top w:val="none" w:sz="0" w:space="0" w:color="auto"/>
        <w:left w:val="none" w:sz="0" w:space="0" w:color="auto"/>
        <w:bottom w:val="none" w:sz="0" w:space="0" w:color="auto"/>
        <w:right w:val="none" w:sz="0" w:space="0" w:color="auto"/>
      </w:divBdr>
    </w:div>
    <w:div w:id="245891475">
      <w:bodyDiv w:val="1"/>
      <w:marLeft w:val="0"/>
      <w:marRight w:val="0"/>
      <w:marTop w:val="0"/>
      <w:marBottom w:val="0"/>
      <w:divBdr>
        <w:top w:val="none" w:sz="0" w:space="0" w:color="auto"/>
        <w:left w:val="none" w:sz="0" w:space="0" w:color="auto"/>
        <w:bottom w:val="none" w:sz="0" w:space="0" w:color="auto"/>
        <w:right w:val="none" w:sz="0" w:space="0" w:color="auto"/>
      </w:divBdr>
      <w:divsChild>
        <w:div w:id="2137217794">
          <w:marLeft w:val="0"/>
          <w:marRight w:val="0"/>
          <w:marTop w:val="0"/>
          <w:marBottom w:val="0"/>
          <w:divBdr>
            <w:top w:val="none" w:sz="0" w:space="0" w:color="auto"/>
            <w:left w:val="none" w:sz="0" w:space="0" w:color="auto"/>
            <w:bottom w:val="none" w:sz="0" w:space="0" w:color="auto"/>
            <w:right w:val="none" w:sz="0" w:space="0" w:color="auto"/>
          </w:divBdr>
          <w:divsChild>
            <w:div w:id="2127650389">
              <w:marLeft w:val="0"/>
              <w:marRight w:val="0"/>
              <w:marTop w:val="0"/>
              <w:marBottom w:val="0"/>
              <w:divBdr>
                <w:top w:val="none" w:sz="0" w:space="0" w:color="auto"/>
                <w:left w:val="none" w:sz="0" w:space="0" w:color="auto"/>
                <w:bottom w:val="none" w:sz="0" w:space="0" w:color="auto"/>
                <w:right w:val="none" w:sz="0" w:space="0" w:color="auto"/>
              </w:divBdr>
              <w:divsChild>
                <w:div w:id="2004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98704">
      <w:bodyDiv w:val="1"/>
      <w:marLeft w:val="0"/>
      <w:marRight w:val="0"/>
      <w:marTop w:val="0"/>
      <w:marBottom w:val="0"/>
      <w:divBdr>
        <w:top w:val="none" w:sz="0" w:space="0" w:color="auto"/>
        <w:left w:val="none" w:sz="0" w:space="0" w:color="auto"/>
        <w:bottom w:val="none" w:sz="0" w:space="0" w:color="auto"/>
        <w:right w:val="none" w:sz="0" w:space="0" w:color="auto"/>
      </w:divBdr>
      <w:divsChild>
        <w:div w:id="672028852">
          <w:marLeft w:val="0"/>
          <w:marRight w:val="0"/>
          <w:marTop w:val="0"/>
          <w:marBottom w:val="0"/>
          <w:divBdr>
            <w:top w:val="none" w:sz="0" w:space="0" w:color="auto"/>
            <w:left w:val="none" w:sz="0" w:space="0" w:color="auto"/>
            <w:bottom w:val="none" w:sz="0" w:space="0" w:color="auto"/>
            <w:right w:val="none" w:sz="0" w:space="0" w:color="auto"/>
          </w:divBdr>
          <w:divsChild>
            <w:div w:id="150484263">
              <w:marLeft w:val="0"/>
              <w:marRight w:val="0"/>
              <w:marTop w:val="0"/>
              <w:marBottom w:val="0"/>
              <w:divBdr>
                <w:top w:val="none" w:sz="0" w:space="0" w:color="auto"/>
                <w:left w:val="none" w:sz="0" w:space="0" w:color="auto"/>
                <w:bottom w:val="none" w:sz="0" w:space="0" w:color="auto"/>
                <w:right w:val="none" w:sz="0" w:space="0" w:color="auto"/>
              </w:divBdr>
              <w:divsChild>
                <w:div w:id="1690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53171">
      <w:bodyDiv w:val="1"/>
      <w:marLeft w:val="0"/>
      <w:marRight w:val="0"/>
      <w:marTop w:val="0"/>
      <w:marBottom w:val="0"/>
      <w:divBdr>
        <w:top w:val="none" w:sz="0" w:space="0" w:color="auto"/>
        <w:left w:val="none" w:sz="0" w:space="0" w:color="auto"/>
        <w:bottom w:val="none" w:sz="0" w:space="0" w:color="auto"/>
        <w:right w:val="none" w:sz="0" w:space="0" w:color="auto"/>
      </w:divBdr>
    </w:div>
    <w:div w:id="277218521">
      <w:bodyDiv w:val="1"/>
      <w:marLeft w:val="0"/>
      <w:marRight w:val="0"/>
      <w:marTop w:val="0"/>
      <w:marBottom w:val="0"/>
      <w:divBdr>
        <w:top w:val="none" w:sz="0" w:space="0" w:color="auto"/>
        <w:left w:val="none" w:sz="0" w:space="0" w:color="auto"/>
        <w:bottom w:val="none" w:sz="0" w:space="0" w:color="auto"/>
        <w:right w:val="none" w:sz="0" w:space="0" w:color="auto"/>
      </w:divBdr>
      <w:divsChild>
        <w:div w:id="682589910">
          <w:marLeft w:val="0"/>
          <w:marRight w:val="0"/>
          <w:marTop w:val="0"/>
          <w:marBottom w:val="0"/>
          <w:divBdr>
            <w:top w:val="none" w:sz="0" w:space="0" w:color="auto"/>
            <w:left w:val="none" w:sz="0" w:space="0" w:color="auto"/>
            <w:bottom w:val="none" w:sz="0" w:space="0" w:color="auto"/>
            <w:right w:val="none" w:sz="0" w:space="0" w:color="auto"/>
          </w:divBdr>
          <w:divsChild>
            <w:div w:id="178593385">
              <w:marLeft w:val="0"/>
              <w:marRight w:val="0"/>
              <w:marTop w:val="0"/>
              <w:marBottom w:val="0"/>
              <w:divBdr>
                <w:top w:val="none" w:sz="0" w:space="0" w:color="auto"/>
                <w:left w:val="none" w:sz="0" w:space="0" w:color="auto"/>
                <w:bottom w:val="none" w:sz="0" w:space="0" w:color="auto"/>
                <w:right w:val="none" w:sz="0" w:space="0" w:color="auto"/>
              </w:divBdr>
              <w:divsChild>
                <w:div w:id="1724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6898">
      <w:bodyDiv w:val="1"/>
      <w:marLeft w:val="0"/>
      <w:marRight w:val="0"/>
      <w:marTop w:val="0"/>
      <w:marBottom w:val="0"/>
      <w:divBdr>
        <w:top w:val="none" w:sz="0" w:space="0" w:color="auto"/>
        <w:left w:val="none" w:sz="0" w:space="0" w:color="auto"/>
        <w:bottom w:val="none" w:sz="0" w:space="0" w:color="auto"/>
        <w:right w:val="none" w:sz="0" w:space="0" w:color="auto"/>
      </w:divBdr>
    </w:div>
    <w:div w:id="310062884">
      <w:bodyDiv w:val="1"/>
      <w:marLeft w:val="0"/>
      <w:marRight w:val="0"/>
      <w:marTop w:val="0"/>
      <w:marBottom w:val="0"/>
      <w:divBdr>
        <w:top w:val="none" w:sz="0" w:space="0" w:color="auto"/>
        <w:left w:val="none" w:sz="0" w:space="0" w:color="auto"/>
        <w:bottom w:val="none" w:sz="0" w:space="0" w:color="auto"/>
        <w:right w:val="none" w:sz="0" w:space="0" w:color="auto"/>
      </w:divBdr>
    </w:div>
    <w:div w:id="346295924">
      <w:bodyDiv w:val="1"/>
      <w:marLeft w:val="0"/>
      <w:marRight w:val="0"/>
      <w:marTop w:val="0"/>
      <w:marBottom w:val="0"/>
      <w:divBdr>
        <w:top w:val="none" w:sz="0" w:space="0" w:color="auto"/>
        <w:left w:val="none" w:sz="0" w:space="0" w:color="auto"/>
        <w:bottom w:val="none" w:sz="0" w:space="0" w:color="auto"/>
        <w:right w:val="none" w:sz="0" w:space="0" w:color="auto"/>
      </w:divBdr>
    </w:div>
    <w:div w:id="346710602">
      <w:bodyDiv w:val="1"/>
      <w:marLeft w:val="0"/>
      <w:marRight w:val="0"/>
      <w:marTop w:val="0"/>
      <w:marBottom w:val="0"/>
      <w:divBdr>
        <w:top w:val="none" w:sz="0" w:space="0" w:color="auto"/>
        <w:left w:val="none" w:sz="0" w:space="0" w:color="auto"/>
        <w:bottom w:val="none" w:sz="0" w:space="0" w:color="auto"/>
        <w:right w:val="none" w:sz="0" w:space="0" w:color="auto"/>
      </w:divBdr>
    </w:div>
    <w:div w:id="361831117">
      <w:bodyDiv w:val="1"/>
      <w:marLeft w:val="0"/>
      <w:marRight w:val="0"/>
      <w:marTop w:val="0"/>
      <w:marBottom w:val="0"/>
      <w:divBdr>
        <w:top w:val="none" w:sz="0" w:space="0" w:color="auto"/>
        <w:left w:val="none" w:sz="0" w:space="0" w:color="auto"/>
        <w:bottom w:val="none" w:sz="0" w:space="0" w:color="auto"/>
        <w:right w:val="none" w:sz="0" w:space="0" w:color="auto"/>
      </w:divBdr>
      <w:divsChild>
        <w:div w:id="439688241">
          <w:marLeft w:val="0"/>
          <w:marRight w:val="0"/>
          <w:marTop w:val="0"/>
          <w:marBottom w:val="0"/>
          <w:divBdr>
            <w:top w:val="none" w:sz="0" w:space="0" w:color="auto"/>
            <w:left w:val="none" w:sz="0" w:space="0" w:color="auto"/>
            <w:bottom w:val="none" w:sz="0" w:space="0" w:color="auto"/>
            <w:right w:val="none" w:sz="0" w:space="0" w:color="auto"/>
          </w:divBdr>
          <w:divsChild>
            <w:div w:id="1498039191">
              <w:marLeft w:val="0"/>
              <w:marRight w:val="0"/>
              <w:marTop w:val="0"/>
              <w:marBottom w:val="0"/>
              <w:divBdr>
                <w:top w:val="none" w:sz="0" w:space="0" w:color="auto"/>
                <w:left w:val="none" w:sz="0" w:space="0" w:color="auto"/>
                <w:bottom w:val="none" w:sz="0" w:space="0" w:color="auto"/>
                <w:right w:val="none" w:sz="0" w:space="0" w:color="auto"/>
              </w:divBdr>
              <w:divsChild>
                <w:div w:id="13405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67766">
      <w:bodyDiv w:val="1"/>
      <w:marLeft w:val="0"/>
      <w:marRight w:val="0"/>
      <w:marTop w:val="0"/>
      <w:marBottom w:val="0"/>
      <w:divBdr>
        <w:top w:val="none" w:sz="0" w:space="0" w:color="auto"/>
        <w:left w:val="none" w:sz="0" w:space="0" w:color="auto"/>
        <w:bottom w:val="none" w:sz="0" w:space="0" w:color="auto"/>
        <w:right w:val="none" w:sz="0" w:space="0" w:color="auto"/>
      </w:divBdr>
    </w:div>
    <w:div w:id="518937240">
      <w:bodyDiv w:val="1"/>
      <w:marLeft w:val="0"/>
      <w:marRight w:val="0"/>
      <w:marTop w:val="0"/>
      <w:marBottom w:val="0"/>
      <w:divBdr>
        <w:top w:val="none" w:sz="0" w:space="0" w:color="auto"/>
        <w:left w:val="none" w:sz="0" w:space="0" w:color="auto"/>
        <w:bottom w:val="none" w:sz="0" w:space="0" w:color="auto"/>
        <w:right w:val="none" w:sz="0" w:space="0" w:color="auto"/>
      </w:divBdr>
      <w:divsChild>
        <w:div w:id="1241598552">
          <w:marLeft w:val="0"/>
          <w:marRight w:val="0"/>
          <w:marTop w:val="0"/>
          <w:marBottom w:val="0"/>
          <w:divBdr>
            <w:top w:val="none" w:sz="0" w:space="0" w:color="auto"/>
            <w:left w:val="none" w:sz="0" w:space="0" w:color="auto"/>
            <w:bottom w:val="none" w:sz="0" w:space="0" w:color="auto"/>
            <w:right w:val="none" w:sz="0" w:space="0" w:color="auto"/>
          </w:divBdr>
          <w:divsChild>
            <w:div w:id="536085559">
              <w:marLeft w:val="0"/>
              <w:marRight w:val="0"/>
              <w:marTop w:val="0"/>
              <w:marBottom w:val="0"/>
              <w:divBdr>
                <w:top w:val="none" w:sz="0" w:space="0" w:color="auto"/>
                <w:left w:val="none" w:sz="0" w:space="0" w:color="auto"/>
                <w:bottom w:val="none" w:sz="0" w:space="0" w:color="auto"/>
                <w:right w:val="none" w:sz="0" w:space="0" w:color="auto"/>
              </w:divBdr>
              <w:divsChild>
                <w:div w:id="9188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44608655">
      <w:bodyDiv w:val="1"/>
      <w:marLeft w:val="0"/>
      <w:marRight w:val="0"/>
      <w:marTop w:val="0"/>
      <w:marBottom w:val="0"/>
      <w:divBdr>
        <w:top w:val="none" w:sz="0" w:space="0" w:color="auto"/>
        <w:left w:val="none" w:sz="0" w:space="0" w:color="auto"/>
        <w:bottom w:val="none" w:sz="0" w:space="0" w:color="auto"/>
        <w:right w:val="none" w:sz="0" w:space="0" w:color="auto"/>
      </w:divBdr>
    </w:div>
    <w:div w:id="567618520">
      <w:bodyDiv w:val="1"/>
      <w:marLeft w:val="0"/>
      <w:marRight w:val="0"/>
      <w:marTop w:val="0"/>
      <w:marBottom w:val="0"/>
      <w:divBdr>
        <w:top w:val="none" w:sz="0" w:space="0" w:color="auto"/>
        <w:left w:val="none" w:sz="0" w:space="0" w:color="auto"/>
        <w:bottom w:val="none" w:sz="0" w:space="0" w:color="auto"/>
        <w:right w:val="none" w:sz="0" w:space="0" w:color="auto"/>
      </w:divBdr>
    </w:div>
    <w:div w:id="639186543">
      <w:bodyDiv w:val="1"/>
      <w:marLeft w:val="0"/>
      <w:marRight w:val="0"/>
      <w:marTop w:val="0"/>
      <w:marBottom w:val="0"/>
      <w:divBdr>
        <w:top w:val="none" w:sz="0" w:space="0" w:color="auto"/>
        <w:left w:val="none" w:sz="0" w:space="0" w:color="auto"/>
        <w:bottom w:val="none" w:sz="0" w:space="0" w:color="auto"/>
        <w:right w:val="none" w:sz="0" w:space="0" w:color="auto"/>
      </w:divBdr>
    </w:div>
    <w:div w:id="642276665">
      <w:bodyDiv w:val="1"/>
      <w:marLeft w:val="0"/>
      <w:marRight w:val="0"/>
      <w:marTop w:val="0"/>
      <w:marBottom w:val="0"/>
      <w:divBdr>
        <w:top w:val="none" w:sz="0" w:space="0" w:color="auto"/>
        <w:left w:val="none" w:sz="0" w:space="0" w:color="auto"/>
        <w:bottom w:val="none" w:sz="0" w:space="0" w:color="auto"/>
        <w:right w:val="none" w:sz="0" w:space="0" w:color="auto"/>
      </w:divBdr>
    </w:div>
    <w:div w:id="685060703">
      <w:bodyDiv w:val="1"/>
      <w:marLeft w:val="0"/>
      <w:marRight w:val="0"/>
      <w:marTop w:val="0"/>
      <w:marBottom w:val="0"/>
      <w:divBdr>
        <w:top w:val="none" w:sz="0" w:space="0" w:color="auto"/>
        <w:left w:val="none" w:sz="0" w:space="0" w:color="auto"/>
        <w:bottom w:val="none" w:sz="0" w:space="0" w:color="auto"/>
        <w:right w:val="none" w:sz="0" w:space="0" w:color="auto"/>
      </w:divBdr>
    </w:div>
    <w:div w:id="721947047">
      <w:bodyDiv w:val="1"/>
      <w:marLeft w:val="0"/>
      <w:marRight w:val="0"/>
      <w:marTop w:val="0"/>
      <w:marBottom w:val="0"/>
      <w:divBdr>
        <w:top w:val="none" w:sz="0" w:space="0" w:color="auto"/>
        <w:left w:val="none" w:sz="0" w:space="0" w:color="auto"/>
        <w:bottom w:val="none" w:sz="0" w:space="0" w:color="auto"/>
        <w:right w:val="none" w:sz="0" w:space="0" w:color="auto"/>
      </w:divBdr>
    </w:div>
    <w:div w:id="731540940">
      <w:bodyDiv w:val="1"/>
      <w:marLeft w:val="0"/>
      <w:marRight w:val="0"/>
      <w:marTop w:val="0"/>
      <w:marBottom w:val="0"/>
      <w:divBdr>
        <w:top w:val="none" w:sz="0" w:space="0" w:color="auto"/>
        <w:left w:val="none" w:sz="0" w:space="0" w:color="auto"/>
        <w:bottom w:val="none" w:sz="0" w:space="0" w:color="auto"/>
        <w:right w:val="none" w:sz="0" w:space="0" w:color="auto"/>
      </w:divBdr>
    </w:div>
    <w:div w:id="82898439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1067707">
      <w:bodyDiv w:val="1"/>
      <w:marLeft w:val="0"/>
      <w:marRight w:val="0"/>
      <w:marTop w:val="0"/>
      <w:marBottom w:val="0"/>
      <w:divBdr>
        <w:top w:val="none" w:sz="0" w:space="0" w:color="auto"/>
        <w:left w:val="none" w:sz="0" w:space="0" w:color="auto"/>
        <w:bottom w:val="none" w:sz="0" w:space="0" w:color="auto"/>
        <w:right w:val="none" w:sz="0" w:space="0" w:color="auto"/>
      </w:divBdr>
    </w:div>
    <w:div w:id="888692402">
      <w:bodyDiv w:val="1"/>
      <w:marLeft w:val="0"/>
      <w:marRight w:val="0"/>
      <w:marTop w:val="0"/>
      <w:marBottom w:val="0"/>
      <w:divBdr>
        <w:top w:val="none" w:sz="0" w:space="0" w:color="auto"/>
        <w:left w:val="none" w:sz="0" w:space="0" w:color="auto"/>
        <w:bottom w:val="none" w:sz="0" w:space="0" w:color="auto"/>
        <w:right w:val="none" w:sz="0" w:space="0" w:color="auto"/>
      </w:divBdr>
      <w:divsChild>
        <w:div w:id="1014191398">
          <w:marLeft w:val="0"/>
          <w:marRight w:val="0"/>
          <w:marTop w:val="0"/>
          <w:marBottom w:val="0"/>
          <w:divBdr>
            <w:top w:val="none" w:sz="0" w:space="0" w:color="auto"/>
            <w:left w:val="none" w:sz="0" w:space="0" w:color="auto"/>
            <w:bottom w:val="none" w:sz="0" w:space="0" w:color="auto"/>
            <w:right w:val="none" w:sz="0" w:space="0" w:color="auto"/>
          </w:divBdr>
          <w:divsChild>
            <w:div w:id="1533229118">
              <w:marLeft w:val="0"/>
              <w:marRight w:val="0"/>
              <w:marTop w:val="0"/>
              <w:marBottom w:val="0"/>
              <w:divBdr>
                <w:top w:val="none" w:sz="0" w:space="0" w:color="auto"/>
                <w:left w:val="none" w:sz="0" w:space="0" w:color="auto"/>
                <w:bottom w:val="none" w:sz="0" w:space="0" w:color="auto"/>
                <w:right w:val="none" w:sz="0" w:space="0" w:color="auto"/>
              </w:divBdr>
              <w:divsChild>
                <w:div w:id="8483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2796">
      <w:bodyDiv w:val="1"/>
      <w:marLeft w:val="0"/>
      <w:marRight w:val="0"/>
      <w:marTop w:val="0"/>
      <w:marBottom w:val="0"/>
      <w:divBdr>
        <w:top w:val="none" w:sz="0" w:space="0" w:color="auto"/>
        <w:left w:val="none" w:sz="0" w:space="0" w:color="auto"/>
        <w:bottom w:val="none" w:sz="0" w:space="0" w:color="auto"/>
        <w:right w:val="none" w:sz="0" w:space="0" w:color="auto"/>
      </w:divBdr>
    </w:div>
    <w:div w:id="904218968">
      <w:bodyDiv w:val="1"/>
      <w:marLeft w:val="0"/>
      <w:marRight w:val="0"/>
      <w:marTop w:val="0"/>
      <w:marBottom w:val="0"/>
      <w:divBdr>
        <w:top w:val="none" w:sz="0" w:space="0" w:color="auto"/>
        <w:left w:val="none" w:sz="0" w:space="0" w:color="auto"/>
        <w:bottom w:val="none" w:sz="0" w:space="0" w:color="auto"/>
        <w:right w:val="none" w:sz="0" w:space="0" w:color="auto"/>
      </w:divBdr>
    </w:div>
    <w:div w:id="908492489">
      <w:bodyDiv w:val="1"/>
      <w:marLeft w:val="0"/>
      <w:marRight w:val="0"/>
      <w:marTop w:val="0"/>
      <w:marBottom w:val="0"/>
      <w:divBdr>
        <w:top w:val="none" w:sz="0" w:space="0" w:color="auto"/>
        <w:left w:val="none" w:sz="0" w:space="0" w:color="auto"/>
        <w:bottom w:val="none" w:sz="0" w:space="0" w:color="auto"/>
        <w:right w:val="none" w:sz="0" w:space="0" w:color="auto"/>
      </w:divBdr>
    </w:div>
    <w:div w:id="932859701">
      <w:bodyDiv w:val="1"/>
      <w:marLeft w:val="0"/>
      <w:marRight w:val="0"/>
      <w:marTop w:val="0"/>
      <w:marBottom w:val="0"/>
      <w:divBdr>
        <w:top w:val="none" w:sz="0" w:space="0" w:color="auto"/>
        <w:left w:val="none" w:sz="0" w:space="0" w:color="auto"/>
        <w:bottom w:val="none" w:sz="0" w:space="0" w:color="auto"/>
        <w:right w:val="none" w:sz="0" w:space="0" w:color="auto"/>
      </w:divBdr>
    </w:div>
    <w:div w:id="1013845714">
      <w:bodyDiv w:val="1"/>
      <w:marLeft w:val="0"/>
      <w:marRight w:val="0"/>
      <w:marTop w:val="0"/>
      <w:marBottom w:val="0"/>
      <w:divBdr>
        <w:top w:val="none" w:sz="0" w:space="0" w:color="auto"/>
        <w:left w:val="none" w:sz="0" w:space="0" w:color="auto"/>
        <w:bottom w:val="none" w:sz="0" w:space="0" w:color="auto"/>
        <w:right w:val="none" w:sz="0" w:space="0" w:color="auto"/>
      </w:divBdr>
      <w:divsChild>
        <w:div w:id="429207330">
          <w:marLeft w:val="0"/>
          <w:marRight w:val="0"/>
          <w:marTop w:val="0"/>
          <w:marBottom w:val="0"/>
          <w:divBdr>
            <w:top w:val="none" w:sz="0" w:space="0" w:color="auto"/>
            <w:left w:val="none" w:sz="0" w:space="0" w:color="auto"/>
            <w:bottom w:val="none" w:sz="0" w:space="0" w:color="auto"/>
            <w:right w:val="none" w:sz="0" w:space="0" w:color="auto"/>
          </w:divBdr>
          <w:divsChild>
            <w:div w:id="1155999480">
              <w:marLeft w:val="0"/>
              <w:marRight w:val="0"/>
              <w:marTop w:val="0"/>
              <w:marBottom w:val="0"/>
              <w:divBdr>
                <w:top w:val="none" w:sz="0" w:space="0" w:color="auto"/>
                <w:left w:val="none" w:sz="0" w:space="0" w:color="auto"/>
                <w:bottom w:val="none" w:sz="0" w:space="0" w:color="auto"/>
                <w:right w:val="none" w:sz="0" w:space="0" w:color="auto"/>
              </w:divBdr>
              <w:divsChild>
                <w:div w:id="9666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063211453">
      <w:bodyDiv w:val="1"/>
      <w:marLeft w:val="0"/>
      <w:marRight w:val="0"/>
      <w:marTop w:val="0"/>
      <w:marBottom w:val="0"/>
      <w:divBdr>
        <w:top w:val="none" w:sz="0" w:space="0" w:color="auto"/>
        <w:left w:val="none" w:sz="0" w:space="0" w:color="auto"/>
        <w:bottom w:val="none" w:sz="0" w:space="0" w:color="auto"/>
        <w:right w:val="none" w:sz="0" w:space="0" w:color="auto"/>
      </w:divBdr>
      <w:divsChild>
        <w:div w:id="1527595992">
          <w:marLeft w:val="0"/>
          <w:marRight w:val="0"/>
          <w:marTop w:val="0"/>
          <w:marBottom w:val="0"/>
          <w:divBdr>
            <w:top w:val="none" w:sz="0" w:space="0" w:color="auto"/>
            <w:left w:val="none" w:sz="0" w:space="0" w:color="auto"/>
            <w:bottom w:val="none" w:sz="0" w:space="0" w:color="auto"/>
            <w:right w:val="none" w:sz="0" w:space="0" w:color="auto"/>
          </w:divBdr>
          <w:divsChild>
            <w:div w:id="597101071">
              <w:marLeft w:val="0"/>
              <w:marRight w:val="0"/>
              <w:marTop w:val="0"/>
              <w:marBottom w:val="0"/>
              <w:divBdr>
                <w:top w:val="none" w:sz="0" w:space="0" w:color="auto"/>
                <w:left w:val="none" w:sz="0" w:space="0" w:color="auto"/>
                <w:bottom w:val="none" w:sz="0" w:space="0" w:color="auto"/>
                <w:right w:val="none" w:sz="0" w:space="0" w:color="auto"/>
              </w:divBdr>
              <w:divsChild>
                <w:div w:id="1236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3644">
      <w:bodyDiv w:val="1"/>
      <w:marLeft w:val="0"/>
      <w:marRight w:val="0"/>
      <w:marTop w:val="0"/>
      <w:marBottom w:val="0"/>
      <w:divBdr>
        <w:top w:val="none" w:sz="0" w:space="0" w:color="auto"/>
        <w:left w:val="none" w:sz="0" w:space="0" w:color="auto"/>
        <w:bottom w:val="none" w:sz="0" w:space="0" w:color="auto"/>
        <w:right w:val="none" w:sz="0" w:space="0" w:color="auto"/>
      </w:divBdr>
    </w:div>
    <w:div w:id="1100181409">
      <w:bodyDiv w:val="1"/>
      <w:marLeft w:val="0"/>
      <w:marRight w:val="0"/>
      <w:marTop w:val="0"/>
      <w:marBottom w:val="0"/>
      <w:divBdr>
        <w:top w:val="none" w:sz="0" w:space="0" w:color="auto"/>
        <w:left w:val="none" w:sz="0" w:space="0" w:color="auto"/>
        <w:bottom w:val="none" w:sz="0" w:space="0" w:color="auto"/>
        <w:right w:val="none" w:sz="0" w:space="0" w:color="auto"/>
      </w:divBdr>
    </w:div>
    <w:div w:id="1196039189">
      <w:bodyDiv w:val="1"/>
      <w:marLeft w:val="0"/>
      <w:marRight w:val="0"/>
      <w:marTop w:val="0"/>
      <w:marBottom w:val="0"/>
      <w:divBdr>
        <w:top w:val="none" w:sz="0" w:space="0" w:color="auto"/>
        <w:left w:val="none" w:sz="0" w:space="0" w:color="auto"/>
        <w:bottom w:val="none" w:sz="0" w:space="0" w:color="auto"/>
        <w:right w:val="none" w:sz="0" w:space="0" w:color="auto"/>
      </w:divBdr>
    </w:div>
    <w:div w:id="1221987583">
      <w:bodyDiv w:val="1"/>
      <w:marLeft w:val="0"/>
      <w:marRight w:val="0"/>
      <w:marTop w:val="0"/>
      <w:marBottom w:val="0"/>
      <w:divBdr>
        <w:top w:val="none" w:sz="0" w:space="0" w:color="auto"/>
        <w:left w:val="none" w:sz="0" w:space="0" w:color="auto"/>
        <w:bottom w:val="none" w:sz="0" w:space="0" w:color="auto"/>
        <w:right w:val="none" w:sz="0" w:space="0" w:color="auto"/>
      </w:divBdr>
    </w:div>
    <w:div w:id="1311784846">
      <w:bodyDiv w:val="1"/>
      <w:marLeft w:val="0"/>
      <w:marRight w:val="0"/>
      <w:marTop w:val="0"/>
      <w:marBottom w:val="0"/>
      <w:divBdr>
        <w:top w:val="none" w:sz="0" w:space="0" w:color="auto"/>
        <w:left w:val="none" w:sz="0" w:space="0" w:color="auto"/>
        <w:bottom w:val="none" w:sz="0" w:space="0" w:color="auto"/>
        <w:right w:val="none" w:sz="0" w:space="0" w:color="auto"/>
      </w:divBdr>
      <w:divsChild>
        <w:div w:id="1057316816">
          <w:marLeft w:val="0"/>
          <w:marRight w:val="0"/>
          <w:marTop w:val="0"/>
          <w:marBottom w:val="0"/>
          <w:divBdr>
            <w:top w:val="none" w:sz="0" w:space="0" w:color="auto"/>
            <w:left w:val="none" w:sz="0" w:space="0" w:color="auto"/>
            <w:bottom w:val="none" w:sz="0" w:space="0" w:color="auto"/>
            <w:right w:val="none" w:sz="0" w:space="0" w:color="auto"/>
          </w:divBdr>
          <w:divsChild>
            <w:div w:id="918365098">
              <w:marLeft w:val="0"/>
              <w:marRight w:val="0"/>
              <w:marTop w:val="0"/>
              <w:marBottom w:val="0"/>
              <w:divBdr>
                <w:top w:val="none" w:sz="0" w:space="0" w:color="auto"/>
                <w:left w:val="none" w:sz="0" w:space="0" w:color="auto"/>
                <w:bottom w:val="none" w:sz="0" w:space="0" w:color="auto"/>
                <w:right w:val="none" w:sz="0" w:space="0" w:color="auto"/>
              </w:divBdr>
              <w:divsChild>
                <w:div w:id="1727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1460">
      <w:bodyDiv w:val="1"/>
      <w:marLeft w:val="0"/>
      <w:marRight w:val="0"/>
      <w:marTop w:val="0"/>
      <w:marBottom w:val="0"/>
      <w:divBdr>
        <w:top w:val="none" w:sz="0" w:space="0" w:color="auto"/>
        <w:left w:val="none" w:sz="0" w:space="0" w:color="auto"/>
        <w:bottom w:val="none" w:sz="0" w:space="0" w:color="auto"/>
        <w:right w:val="none" w:sz="0" w:space="0" w:color="auto"/>
      </w:divBdr>
      <w:divsChild>
        <w:div w:id="1125351338">
          <w:marLeft w:val="0"/>
          <w:marRight w:val="0"/>
          <w:marTop w:val="0"/>
          <w:marBottom w:val="0"/>
          <w:divBdr>
            <w:top w:val="none" w:sz="0" w:space="0" w:color="auto"/>
            <w:left w:val="none" w:sz="0" w:space="0" w:color="auto"/>
            <w:bottom w:val="none" w:sz="0" w:space="0" w:color="auto"/>
            <w:right w:val="none" w:sz="0" w:space="0" w:color="auto"/>
          </w:divBdr>
          <w:divsChild>
            <w:div w:id="1455174371">
              <w:marLeft w:val="0"/>
              <w:marRight w:val="0"/>
              <w:marTop w:val="0"/>
              <w:marBottom w:val="0"/>
              <w:divBdr>
                <w:top w:val="none" w:sz="0" w:space="0" w:color="auto"/>
                <w:left w:val="none" w:sz="0" w:space="0" w:color="auto"/>
                <w:bottom w:val="none" w:sz="0" w:space="0" w:color="auto"/>
                <w:right w:val="none" w:sz="0" w:space="0" w:color="auto"/>
              </w:divBdr>
              <w:divsChild>
                <w:div w:id="21145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18234">
      <w:bodyDiv w:val="1"/>
      <w:marLeft w:val="0"/>
      <w:marRight w:val="0"/>
      <w:marTop w:val="0"/>
      <w:marBottom w:val="0"/>
      <w:divBdr>
        <w:top w:val="none" w:sz="0" w:space="0" w:color="auto"/>
        <w:left w:val="none" w:sz="0" w:space="0" w:color="auto"/>
        <w:bottom w:val="none" w:sz="0" w:space="0" w:color="auto"/>
        <w:right w:val="none" w:sz="0" w:space="0" w:color="auto"/>
      </w:divBdr>
    </w:div>
    <w:div w:id="1399748942">
      <w:bodyDiv w:val="1"/>
      <w:marLeft w:val="0"/>
      <w:marRight w:val="0"/>
      <w:marTop w:val="0"/>
      <w:marBottom w:val="0"/>
      <w:divBdr>
        <w:top w:val="none" w:sz="0" w:space="0" w:color="auto"/>
        <w:left w:val="none" w:sz="0" w:space="0" w:color="auto"/>
        <w:bottom w:val="none" w:sz="0" w:space="0" w:color="auto"/>
        <w:right w:val="none" w:sz="0" w:space="0" w:color="auto"/>
      </w:divBdr>
    </w:div>
    <w:div w:id="1409309801">
      <w:bodyDiv w:val="1"/>
      <w:marLeft w:val="0"/>
      <w:marRight w:val="0"/>
      <w:marTop w:val="0"/>
      <w:marBottom w:val="0"/>
      <w:divBdr>
        <w:top w:val="none" w:sz="0" w:space="0" w:color="auto"/>
        <w:left w:val="none" w:sz="0" w:space="0" w:color="auto"/>
        <w:bottom w:val="none" w:sz="0" w:space="0" w:color="auto"/>
        <w:right w:val="none" w:sz="0" w:space="0" w:color="auto"/>
      </w:divBdr>
      <w:divsChild>
        <w:div w:id="2078672458">
          <w:marLeft w:val="0"/>
          <w:marRight w:val="0"/>
          <w:marTop w:val="0"/>
          <w:marBottom w:val="0"/>
          <w:divBdr>
            <w:top w:val="none" w:sz="0" w:space="0" w:color="auto"/>
            <w:left w:val="none" w:sz="0" w:space="0" w:color="auto"/>
            <w:bottom w:val="none" w:sz="0" w:space="0" w:color="auto"/>
            <w:right w:val="none" w:sz="0" w:space="0" w:color="auto"/>
          </w:divBdr>
          <w:divsChild>
            <w:div w:id="2068797349">
              <w:marLeft w:val="0"/>
              <w:marRight w:val="0"/>
              <w:marTop w:val="0"/>
              <w:marBottom w:val="0"/>
              <w:divBdr>
                <w:top w:val="none" w:sz="0" w:space="0" w:color="auto"/>
                <w:left w:val="none" w:sz="0" w:space="0" w:color="auto"/>
                <w:bottom w:val="none" w:sz="0" w:space="0" w:color="auto"/>
                <w:right w:val="none" w:sz="0" w:space="0" w:color="auto"/>
              </w:divBdr>
              <w:divsChild>
                <w:div w:id="8529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69552">
      <w:bodyDiv w:val="1"/>
      <w:marLeft w:val="0"/>
      <w:marRight w:val="0"/>
      <w:marTop w:val="0"/>
      <w:marBottom w:val="0"/>
      <w:divBdr>
        <w:top w:val="none" w:sz="0" w:space="0" w:color="auto"/>
        <w:left w:val="none" w:sz="0" w:space="0" w:color="auto"/>
        <w:bottom w:val="none" w:sz="0" w:space="0" w:color="auto"/>
        <w:right w:val="none" w:sz="0" w:space="0" w:color="auto"/>
      </w:divBdr>
    </w:div>
    <w:div w:id="1469396905">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50593668">
      <w:bodyDiv w:val="1"/>
      <w:marLeft w:val="0"/>
      <w:marRight w:val="0"/>
      <w:marTop w:val="0"/>
      <w:marBottom w:val="0"/>
      <w:divBdr>
        <w:top w:val="none" w:sz="0" w:space="0" w:color="auto"/>
        <w:left w:val="none" w:sz="0" w:space="0" w:color="auto"/>
        <w:bottom w:val="none" w:sz="0" w:space="0" w:color="auto"/>
        <w:right w:val="none" w:sz="0" w:space="0" w:color="auto"/>
      </w:divBdr>
    </w:div>
    <w:div w:id="1663460688">
      <w:bodyDiv w:val="1"/>
      <w:marLeft w:val="0"/>
      <w:marRight w:val="0"/>
      <w:marTop w:val="0"/>
      <w:marBottom w:val="0"/>
      <w:divBdr>
        <w:top w:val="none" w:sz="0" w:space="0" w:color="auto"/>
        <w:left w:val="none" w:sz="0" w:space="0" w:color="auto"/>
        <w:bottom w:val="none" w:sz="0" w:space="0" w:color="auto"/>
        <w:right w:val="none" w:sz="0" w:space="0" w:color="auto"/>
      </w:divBdr>
    </w:div>
    <w:div w:id="1681346594">
      <w:bodyDiv w:val="1"/>
      <w:marLeft w:val="0"/>
      <w:marRight w:val="0"/>
      <w:marTop w:val="0"/>
      <w:marBottom w:val="0"/>
      <w:divBdr>
        <w:top w:val="none" w:sz="0" w:space="0" w:color="auto"/>
        <w:left w:val="none" w:sz="0" w:space="0" w:color="auto"/>
        <w:bottom w:val="none" w:sz="0" w:space="0" w:color="auto"/>
        <w:right w:val="none" w:sz="0" w:space="0" w:color="auto"/>
      </w:divBdr>
      <w:divsChild>
        <w:div w:id="726226746">
          <w:marLeft w:val="0"/>
          <w:marRight w:val="0"/>
          <w:marTop w:val="0"/>
          <w:marBottom w:val="0"/>
          <w:divBdr>
            <w:top w:val="none" w:sz="0" w:space="0" w:color="auto"/>
            <w:left w:val="none" w:sz="0" w:space="0" w:color="auto"/>
            <w:bottom w:val="none" w:sz="0" w:space="0" w:color="auto"/>
            <w:right w:val="none" w:sz="0" w:space="0" w:color="auto"/>
          </w:divBdr>
          <w:divsChild>
            <w:div w:id="1710761871">
              <w:marLeft w:val="0"/>
              <w:marRight w:val="0"/>
              <w:marTop w:val="0"/>
              <w:marBottom w:val="0"/>
              <w:divBdr>
                <w:top w:val="none" w:sz="0" w:space="0" w:color="auto"/>
                <w:left w:val="none" w:sz="0" w:space="0" w:color="auto"/>
                <w:bottom w:val="none" w:sz="0" w:space="0" w:color="auto"/>
                <w:right w:val="none" w:sz="0" w:space="0" w:color="auto"/>
              </w:divBdr>
              <w:divsChild>
                <w:div w:id="6537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9558">
      <w:bodyDiv w:val="1"/>
      <w:marLeft w:val="0"/>
      <w:marRight w:val="0"/>
      <w:marTop w:val="0"/>
      <w:marBottom w:val="0"/>
      <w:divBdr>
        <w:top w:val="none" w:sz="0" w:space="0" w:color="auto"/>
        <w:left w:val="none" w:sz="0" w:space="0" w:color="auto"/>
        <w:bottom w:val="none" w:sz="0" w:space="0" w:color="auto"/>
        <w:right w:val="none" w:sz="0" w:space="0" w:color="auto"/>
      </w:divBdr>
      <w:divsChild>
        <w:div w:id="209927855">
          <w:marLeft w:val="0"/>
          <w:marRight w:val="0"/>
          <w:marTop w:val="0"/>
          <w:marBottom w:val="0"/>
          <w:divBdr>
            <w:top w:val="none" w:sz="0" w:space="0" w:color="auto"/>
            <w:left w:val="none" w:sz="0" w:space="0" w:color="auto"/>
            <w:bottom w:val="none" w:sz="0" w:space="0" w:color="auto"/>
            <w:right w:val="none" w:sz="0" w:space="0" w:color="auto"/>
          </w:divBdr>
          <w:divsChild>
            <w:div w:id="343702764">
              <w:marLeft w:val="0"/>
              <w:marRight w:val="0"/>
              <w:marTop w:val="0"/>
              <w:marBottom w:val="0"/>
              <w:divBdr>
                <w:top w:val="none" w:sz="0" w:space="0" w:color="auto"/>
                <w:left w:val="none" w:sz="0" w:space="0" w:color="auto"/>
                <w:bottom w:val="none" w:sz="0" w:space="0" w:color="auto"/>
                <w:right w:val="none" w:sz="0" w:space="0" w:color="auto"/>
              </w:divBdr>
              <w:divsChild>
                <w:div w:id="748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705524063">
      <w:bodyDiv w:val="1"/>
      <w:marLeft w:val="0"/>
      <w:marRight w:val="0"/>
      <w:marTop w:val="0"/>
      <w:marBottom w:val="0"/>
      <w:divBdr>
        <w:top w:val="none" w:sz="0" w:space="0" w:color="auto"/>
        <w:left w:val="none" w:sz="0" w:space="0" w:color="auto"/>
        <w:bottom w:val="none" w:sz="0" w:space="0" w:color="auto"/>
        <w:right w:val="none" w:sz="0" w:space="0" w:color="auto"/>
      </w:divBdr>
      <w:divsChild>
        <w:div w:id="47807149">
          <w:marLeft w:val="0"/>
          <w:marRight w:val="0"/>
          <w:marTop w:val="0"/>
          <w:marBottom w:val="0"/>
          <w:divBdr>
            <w:top w:val="none" w:sz="0" w:space="0" w:color="auto"/>
            <w:left w:val="none" w:sz="0" w:space="0" w:color="auto"/>
            <w:bottom w:val="none" w:sz="0" w:space="0" w:color="auto"/>
            <w:right w:val="none" w:sz="0" w:space="0" w:color="auto"/>
          </w:divBdr>
          <w:divsChild>
            <w:div w:id="1251084549">
              <w:marLeft w:val="0"/>
              <w:marRight w:val="0"/>
              <w:marTop w:val="0"/>
              <w:marBottom w:val="0"/>
              <w:divBdr>
                <w:top w:val="none" w:sz="0" w:space="0" w:color="auto"/>
                <w:left w:val="none" w:sz="0" w:space="0" w:color="auto"/>
                <w:bottom w:val="none" w:sz="0" w:space="0" w:color="auto"/>
                <w:right w:val="none" w:sz="0" w:space="0" w:color="auto"/>
              </w:divBdr>
              <w:divsChild>
                <w:div w:id="18421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74882">
      <w:bodyDiv w:val="1"/>
      <w:marLeft w:val="0"/>
      <w:marRight w:val="0"/>
      <w:marTop w:val="0"/>
      <w:marBottom w:val="0"/>
      <w:divBdr>
        <w:top w:val="none" w:sz="0" w:space="0" w:color="auto"/>
        <w:left w:val="none" w:sz="0" w:space="0" w:color="auto"/>
        <w:bottom w:val="none" w:sz="0" w:space="0" w:color="auto"/>
        <w:right w:val="none" w:sz="0" w:space="0" w:color="auto"/>
      </w:divBdr>
      <w:divsChild>
        <w:div w:id="101657522">
          <w:marLeft w:val="0"/>
          <w:marRight w:val="0"/>
          <w:marTop w:val="0"/>
          <w:marBottom w:val="0"/>
          <w:divBdr>
            <w:top w:val="none" w:sz="0" w:space="0" w:color="auto"/>
            <w:left w:val="none" w:sz="0" w:space="0" w:color="auto"/>
            <w:bottom w:val="none" w:sz="0" w:space="0" w:color="auto"/>
            <w:right w:val="none" w:sz="0" w:space="0" w:color="auto"/>
          </w:divBdr>
          <w:divsChild>
            <w:div w:id="1113862037">
              <w:marLeft w:val="0"/>
              <w:marRight w:val="0"/>
              <w:marTop w:val="0"/>
              <w:marBottom w:val="0"/>
              <w:divBdr>
                <w:top w:val="none" w:sz="0" w:space="0" w:color="auto"/>
                <w:left w:val="none" w:sz="0" w:space="0" w:color="auto"/>
                <w:bottom w:val="none" w:sz="0" w:space="0" w:color="auto"/>
                <w:right w:val="none" w:sz="0" w:space="0" w:color="auto"/>
              </w:divBdr>
              <w:divsChild>
                <w:div w:id="18110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89146">
      <w:bodyDiv w:val="1"/>
      <w:marLeft w:val="0"/>
      <w:marRight w:val="0"/>
      <w:marTop w:val="0"/>
      <w:marBottom w:val="0"/>
      <w:divBdr>
        <w:top w:val="none" w:sz="0" w:space="0" w:color="auto"/>
        <w:left w:val="none" w:sz="0" w:space="0" w:color="auto"/>
        <w:bottom w:val="none" w:sz="0" w:space="0" w:color="auto"/>
        <w:right w:val="none" w:sz="0" w:space="0" w:color="auto"/>
      </w:divBdr>
    </w:div>
    <w:div w:id="1819152300">
      <w:bodyDiv w:val="1"/>
      <w:marLeft w:val="0"/>
      <w:marRight w:val="0"/>
      <w:marTop w:val="0"/>
      <w:marBottom w:val="0"/>
      <w:divBdr>
        <w:top w:val="none" w:sz="0" w:space="0" w:color="auto"/>
        <w:left w:val="none" w:sz="0" w:space="0" w:color="auto"/>
        <w:bottom w:val="none" w:sz="0" w:space="0" w:color="auto"/>
        <w:right w:val="none" w:sz="0" w:space="0" w:color="auto"/>
      </w:divBdr>
    </w:div>
    <w:div w:id="1827429729">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67980643">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16234964">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1967931980">
      <w:bodyDiv w:val="1"/>
      <w:marLeft w:val="0"/>
      <w:marRight w:val="0"/>
      <w:marTop w:val="0"/>
      <w:marBottom w:val="0"/>
      <w:divBdr>
        <w:top w:val="none" w:sz="0" w:space="0" w:color="auto"/>
        <w:left w:val="none" w:sz="0" w:space="0" w:color="auto"/>
        <w:bottom w:val="none" w:sz="0" w:space="0" w:color="auto"/>
        <w:right w:val="none" w:sz="0" w:space="0" w:color="auto"/>
      </w:divBdr>
    </w:div>
    <w:div w:id="1968274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35618754">
      <w:bodyDiv w:val="1"/>
      <w:marLeft w:val="0"/>
      <w:marRight w:val="0"/>
      <w:marTop w:val="0"/>
      <w:marBottom w:val="0"/>
      <w:divBdr>
        <w:top w:val="none" w:sz="0" w:space="0" w:color="auto"/>
        <w:left w:val="none" w:sz="0" w:space="0" w:color="auto"/>
        <w:bottom w:val="none" w:sz="0" w:space="0" w:color="auto"/>
        <w:right w:val="none" w:sz="0" w:space="0" w:color="auto"/>
      </w:divBdr>
    </w:div>
    <w:div w:id="208372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CA76B-CE53-B147-8EAB-32338178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16</Pages>
  <Words>5703</Words>
  <Characters>31370</Characters>
  <Application>Microsoft Office Word</Application>
  <DocSecurity>0</DocSecurity>
  <Lines>261</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Amir Saker</cp:lastModifiedBy>
  <cp:revision>10</cp:revision>
  <cp:lastPrinted>2019-08-27T05:42:00Z</cp:lastPrinted>
  <dcterms:created xsi:type="dcterms:W3CDTF">2022-12-29T18:49:00Z</dcterms:created>
  <dcterms:modified xsi:type="dcterms:W3CDTF">2023-01-02T17:06:00Z</dcterms:modified>
</cp:coreProperties>
</file>