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w:t>
      </w:r>
      <w:proofErr w:type="spellStart"/>
      <w:r w:rsidRPr="006925C1">
        <w:rPr>
          <w:rFonts w:ascii="Avenir Next" w:hAnsi="Avenir Next" w:cs="Arial"/>
          <w:sz w:val="22"/>
          <w:szCs w:val="22"/>
          <w:lang w:val="en-GB"/>
        </w:rPr>
        <w:t>etc</w:t>
      </w:r>
      <w:proofErr w:type="spellEnd"/>
      <w:r w:rsidRPr="006925C1">
        <w:rPr>
          <w:rFonts w:ascii="Avenir Next" w:hAnsi="Avenir Next" w:cs="Arial"/>
          <w:sz w:val="22"/>
          <w:szCs w:val="22"/>
          <w:lang w:val="en-GB"/>
        </w:rPr>
        <w:t xml:space="preserve">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080817"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080817">
        <w:rPr>
          <w:rFonts w:ascii="Avenir Next" w:hAnsi="Avenir Next" w:cs="Arial"/>
          <w:sz w:val="22"/>
          <w:szCs w:val="22"/>
          <w:highlight w:val="yellow"/>
          <w:lang w:val="en-GB"/>
        </w:rPr>
        <w:t>w</w:t>
      </w:r>
      <w:r w:rsidR="00C91062" w:rsidRPr="00080817">
        <w:rPr>
          <w:rFonts w:ascii="Avenir Next" w:hAnsi="Avenir Next" w:cs="Arial"/>
          <w:sz w:val="22"/>
          <w:szCs w:val="22"/>
          <w:highlight w:val="yellow"/>
          <w:lang w:val="en-GB"/>
        </w:rPr>
        <w:t>ithin</w:t>
      </w:r>
      <w:proofErr w:type="gramEnd"/>
      <w:r w:rsidR="00C91062" w:rsidRPr="00080817">
        <w:rPr>
          <w:rFonts w:ascii="Avenir Next" w:hAnsi="Avenir Next" w:cs="Arial"/>
          <w:sz w:val="22"/>
          <w:szCs w:val="22"/>
          <w:highlight w:val="yellow"/>
          <w:lang w:val="en-GB"/>
        </w:rPr>
        <w:t xml:space="preserve"> 8 weeks of the commencement of the administration</w:t>
      </w:r>
      <w:r w:rsidR="00763348" w:rsidRPr="00080817">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o</w:t>
      </w:r>
      <w:r w:rsidR="00C91062" w:rsidRPr="006925C1">
        <w:rPr>
          <w:rFonts w:ascii="Avenir Next" w:hAnsi="Avenir Next" w:cs="Arial"/>
          <w:sz w:val="22"/>
          <w:szCs w:val="22"/>
          <w:lang w:val="en-GB"/>
        </w:rPr>
        <w:t>n</w:t>
      </w:r>
      <w:proofErr w:type="gramEnd"/>
      <w:r w:rsidR="00C91062" w:rsidRPr="006925C1">
        <w:rPr>
          <w:rFonts w:ascii="Avenir Next" w:hAnsi="Avenir Next" w:cs="Arial"/>
          <w:sz w:val="22"/>
          <w:szCs w:val="22"/>
          <w:lang w:val="en-GB"/>
        </w:rPr>
        <w:t xml:space="preserve">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080817" w:rsidRDefault="00E443D7" w:rsidP="00B04033">
      <w:pPr>
        <w:pStyle w:val="ListParagraph"/>
        <w:numPr>
          <w:ilvl w:val="0"/>
          <w:numId w:val="2"/>
        </w:numPr>
        <w:ind w:left="426"/>
        <w:jc w:val="both"/>
        <w:rPr>
          <w:rFonts w:ascii="Avenir Next" w:hAnsi="Avenir Next" w:cs="Arial"/>
          <w:sz w:val="22"/>
          <w:szCs w:val="22"/>
          <w:highlight w:val="yellow"/>
          <w:lang w:val="en-GB"/>
        </w:rPr>
      </w:pPr>
      <w:r w:rsidRPr="00080817">
        <w:rPr>
          <w:rFonts w:ascii="Avenir Next" w:hAnsi="Avenir Next" w:cs="Arial"/>
          <w:sz w:val="22"/>
          <w:szCs w:val="22"/>
          <w:highlight w:val="yellow"/>
          <w:lang w:val="en-GB"/>
        </w:rPr>
        <w:t>One year</w:t>
      </w:r>
      <w:r w:rsidR="00763348" w:rsidRPr="00080817">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1F445C" w:rsidRDefault="00AE5B6F" w:rsidP="00B04033">
      <w:pPr>
        <w:pStyle w:val="ListParagraph"/>
        <w:numPr>
          <w:ilvl w:val="0"/>
          <w:numId w:val="3"/>
        </w:numPr>
        <w:ind w:left="426"/>
        <w:jc w:val="both"/>
        <w:rPr>
          <w:rFonts w:ascii="Avenir Next" w:hAnsi="Avenir Next" w:cs="Arial"/>
          <w:sz w:val="22"/>
          <w:szCs w:val="22"/>
          <w:highlight w:val="yellow"/>
          <w:lang w:val="en-GB"/>
        </w:rPr>
      </w:pPr>
      <w:r w:rsidRPr="001F445C">
        <w:rPr>
          <w:rFonts w:ascii="Avenir Next" w:hAnsi="Avenir Next" w:cs="Arial"/>
          <w:sz w:val="22"/>
          <w:szCs w:val="22"/>
          <w:highlight w:val="yellow"/>
          <w:lang w:val="en-GB"/>
        </w:rPr>
        <w:lastRenderedPageBreak/>
        <w:t>T</w:t>
      </w:r>
      <w:r w:rsidR="008D1616" w:rsidRPr="001F445C">
        <w:rPr>
          <w:rFonts w:ascii="Avenir Next" w:hAnsi="Avenir Next" w:cs="Arial"/>
          <w:sz w:val="22"/>
          <w:szCs w:val="22"/>
          <w:highlight w:val="yellow"/>
          <w:lang w:val="en-GB"/>
        </w:rPr>
        <w:t>he company is, or is likely to become, unable to pay their debts, as defined under s</w:t>
      </w:r>
      <w:r w:rsidR="00E833F4" w:rsidRPr="001F445C">
        <w:rPr>
          <w:rFonts w:ascii="Avenir Next" w:hAnsi="Avenir Next" w:cs="Arial"/>
          <w:sz w:val="22"/>
          <w:szCs w:val="22"/>
          <w:highlight w:val="yellow"/>
          <w:lang w:val="en-GB"/>
        </w:rPr>
        <w:t>ection</w:t>
      </w:r>
      <w:r w:rsidR="008D1616" w:rsidRPr="001F445C">
        <w:rPr>
          <w:rFonts w:ascii="Avenir Next" w:hAnsi="Avenir Next" w:cs="Arial"/>
          <w:sz w:val="22"/>
          <w:szCs w:val="22"/>
          <w:highlight w:val="yellow"/>
          <w:lang w:val="en-GB"/>
        </w:rPr>
        <w:t xml:space="preserve"> 123 of the Insolvency Act 1986</w:t>
      </w:r>
      <w:r w:rsidR="00763348" w:rsidRPr="001F445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1F445C" w:rsidRDefault="00C91062" w:rsidP="00B04033">
      <w:pPr>
        <w:pStyle w:val="ListParagraph"/>
        <w:numPr>
          <w:ilvl w:val="0"/>
          <w:numId w:val="4"/>
        </w:numPr>
        <w:ind w:left="426"/>
        <w:jc w:val="both"/>
        <w:rPr>
          <w:rFonts w:ascii="Avenir Next" w:hAnsi="Avenir Next" w:cs="Arial"/>
          <w:sz w:val="22"/>
          <w:szCs w:val="22"/>
          <w:highlight w:val="yellow"/>
          <w:lang w:val="en-GB"/>
        </w:rPr>
      </w:pPr>
      <w:r w:rsidRPr="001F445C">
        <w:rPr>
          <w:rFonts w:ascii="Avenir Next" w:hAnsi="Avenir Next" w:cs="Arial"/>
          <w:sz w:val="22"/>
          <w:szCs w:val="22"/>
          <w:highlight w:val="yellow"/>
          <w:lang w:val="en-GB"/>
        </w:rPr>
        <w:t>The purchaser</w:t>
      </w:r>
      <w:r w:rsidR="00763348" w:rsidRPr="001F445C">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1F445C" w:rsidRDefault="00BA1CFD" w:rsidP="00B04033">
      <w:pPr>
        <w:pStyle w:val="ListParagraph"/>
        <w:numPr>
          <w:ilvl w:val="0"/>
          <w:numId w:val="5"/>
        </w:numPr>
        <w:ind w:left="426"/>
        <w:jc w:val="both"/>
        <w:rPr>
          <w:rFonts w:ascii="Avenir Next" w:hAnsi="Avenir Next" w:cs="Arial"/>
          <w:sz w:val="22"/>
          <w:szCs w:val="22"/>
          <w:highlight w:val="yellow"/>
          <w:lang w:val="en-GB"/>
        </w:rPr>
      </w:pPr>
      <w:r w:rsidRPr="001F445C">
        <w:rPr>
          <w:rFonts w:ascii="Avenir Next" w:hAnsi="Avenir Next" w:cs="Arial"/>
          <w:sz w:val="22"/>
          <w:szCs w:val="22"/>
          <w:highlight w:val="yellow"/>
          <w:lang w:val="en-GB"/>
        </w:rPr>
        <w:t>Administration</w:t>
      </w:r>
      <w:r w:rsidR="00763348" w:rsidRPr="001F445C">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1F445C" w:rsidRDefault="001F3C98" w:rsidP="00B04033">
      <w:pPr>
        <w:pStyle w:val="ListParagraph"/>
        <w:numPr>
          <w:ilvl w:val="0"/>
          <w:numId w:val="6"/>
        </w:numPr>
        <w:ind w:left="426"/>
        <w:jc w:val="both"/>
        <w:rPr>
          <w:rFonts w:ascii="Avenir Next" w:hAnsi="Avenir Next" w:cs="Arial"/>
          <w:sz w:val="22"/>
          <w:szCs w:val="22"/>
          <w:highlight w:val="yellow"/>
          <w:lang w:val="en-GB"/>
        </w:rPr>
      </w:pPr>
      <w:r w:rsidRPr="001F445C">
        <w:rPr>
          <w:rFonts w:ascii="Avenir Next" w:hAnsi="Avenir Next" w:cs="Arial"/>
          <w:sz w:val="22"/>
          <w:szCs w:val="22"/>
          <w:highlight w:val="yellow"/>
          <w:lang w:val="en-GB"/>
        </w:rPr>
        <w:t xml:space="preserve">GBP </w:t>
      </w:r>
      <w:r w:rsidR="00BA1CFD" w:rsidRPr="001F445C">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1F445C" w:rsidRDefault="00BA1CFD" w:rsidP="00B04033">
      <w:pPr>
        <w:pStyle w:val="ListParagraph"/>
        <w:numPr>
          <w:ilvl w:val="0"/>
          <w:numId w:val="7"/>
        </w:numPr>
        <w:ind w:left="426"/>
        <w:jc w:val="both"/>
        <w:rPr>
          <w:rFonts w:ascii="Avenir Next" w:hAnsi="Avenir Next" w:cs="Arial"/>
          <w:sz w:val="22"/>
          <w:szCs w:val="22"/>
          <w:highlight w:val="yellow"/>
          <w:lang w:val="en-GB"/>
        </w:rPr>
      </w:pPr>
      <w:r w:rsidRPr="001F445C">
        <w:rPr>
          <w:rFonts w:ascii="Avenir Next" w:hAnsi="Avenir Next" w:cs="Arial"/>
          <w:sz w:val="22"/>
          <w:szCs w:val="22"/>
          <w:highlight w:val="yellow"/>
          <w:lang w:val="en-GB"/>
        </w:rPr>
        <w:lastRenderedPageBreak/>
        <w:t>Wrongful trading</w:t>
      </w:r>
      <w:r w:rsidR="00763348" w:rsidRPr="001F445C">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1F445C" w:rsidRDefault="00876F56" w:rsidP="00B04033">
      <w:pPr>
        <w:pStyle w:val="ListParagraph"/>
        <w:numPr>
          <w:ilvl w:val="0"/>
          <w:numId w:val="8"/>
        </w:numPr>
        <w:ind w:left="426"/>
        <w:jc w:val="both"/>
        <w:rPr>
          <w:rFonts w:ascii="Avenir Next" w:hAnsi="Avenir Next" w:cs="Arial"/>
          <w:sz w:val="22"/>
          <w:szCs w:val="22"/>
          <w:highlight w:val="yellow"/>
          <w:lang w:val="en-GB"/>
        </w:rPr>
      </w:pPr>
      <w:r w:rsidRPr="001F445C">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6E438B" w:rsidRDefault="00E833F4" w:rsidP="00B04033">
      <w:pPr>
        <w:pStyle w:val="ListParagraph"/>
        <w:numPr>
          <w:ilvl w:val="0"/>
          <w:numId w:val="9"/>
        </w:numPr>
        <w:ind w:left="426"/>
        <w:jc w:val="both"/>
        <w:rPr>
          <w:rFonts w:ascii="Avenir Next" w:hAnsi="Avenir Next" w:cs="Arial"/>
          <w:sz w:val="22"/>
          <w:szCs w:val="22"/>
          <w:highlight w:val="yellow"/>
          <w:lang w:val="en-GB"/>
        </w:rPr>
      </w:pPr>
      <w:r w:rsidRPr="006E438B">
        <w:rPr>
          <w:rFonts w:ascii="Avenir Next" w:hAnsi="Avenir Next" w:cs="Arial"/>
          <w:sz w:val="22"/>
          <w:szCs w:val="22"/>
          <w:highlight w:val="yellow"/>
          <w:lang w:val="en-GB"/>
        </w:rPr>
        <w:t>A</w:t>
      </w:r>
      <w:r w:rsidR="000D10C6" w:rsidRPr="006E438B">
        <w:rPr>
          <w:rFonts w:ascii="Avenir Next" w:hAnsi="Avenir Next"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6E438B">
        <w:rPr>
          <w:rFonts w:ascii="Avenir Next" w:hAnsi="Avenir Next" w:cs="Arial"/>
          <w:sz w:val="22"/>
          <w:szCs w:val="22"/>
          <w:highlight w:val="yellow"/>
          <w:lang w:val="en-GB"/>
        </w:rPr>
        <w:t>Brexit</w:t>
      </w:r>
      <w:proofErr w:type="spellEnd"/>
      <w:r w:rsidR="000D10C6" w:rsidRPr="006E438B">
        <w:rPr>
          <w:rFonts w:ascii="Avenir Next" w:hAnsi="Avenir Next" w:cs="Arial"/>
          <w:sz w:val="22"/>
          <w:szCs w:val="22"/>
          <w:highlight w:val="yellow"/>
          <w:lang w:val="en-GB"/>
        </w:rPr>
        <w: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is automatically recognised by the courts in the UK if appointed before </w:t>
      </w:r>
      <w:proofErr w:type="spellStart"/>
      <w:r w:rsidRPr="006925C1">
        <w:rPr>
          <w:rFonts w:ascii="Avenir Next" w:hAnsi="Avenir Next" w:cs="Arial"/>
          <w:sz w:val="22"/>
          <w:szCs w:val="22"/>
          <w:lang w:val="en-GB"/>
        </w:rPr>
        <w:t>Brexit</w:t>
      </w:r>
      <w:proofErr w:type="spellEnd"/>
      <w:r w:rsidRPr="006925C1">
        <w:rPr>
          <w:rFonts w:ascii="Avenir Next" w:hAnsi="Avenir Next" w:cs="Arial"/>
          <w:sz w:val="22"/>
          <w:szCs w:val="22"/>
          <w:lang w:val="en-GB"/>
        </w:rPr>
        <w: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 xml:space="preserve">appointed after </w:t>
      </w:r>
      <w:proofErr w:type="spellStart"/>
      <w:r w:rsidR="00AC317D" w:rsidRPr="006925C1">
        <w:rPr>
          <w:rFonts w:ascii="Avenir Next" w:hAnsi="Avenir Next" w:cs="Arial"/>
          <w:sz w:val="22"/>
          <w:szCs w:val="22"/>
          <w:lang w:val="en-GB"/>
        </w:rPr>
        <w:t>Brexit</w:t>
      </w:r>
      <w:proofErr w:type="spellEnd"/>
      <w:r w:rsidR="00AC317D" w:rsidRPr="006925C1">
        <w:rPr>
          <w:rFonts w:ascii="Avenir Next" w:hAnsi="Avenir Next" w:cs="Arial"/>
          <w:sz w:val="22"/>
          <w:szCs w:val="22"/>
          <w:lang w:val="en-GB"/>
        </w:rPr>
        <w:t xml:space="preserve">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E438B" w:rsidRDefault="0020204E" w:rsidP="00B04033">
      <w:pPr>
        <w:pStyle w:val="ListParagraph"/>
        <w:numPr>
          <w:ilvl w:val="0"/>
          <w:numId w:val="10"/>
        </w:numPr>
        <w:ind w:left="426"/>
        <w:jc w:val="both"/>
        <w:rPr>
          <w:rFonts w:ascii="Avenir Next" w:hAnsi="Avenir Next" w:cs="Arial"/>
          <w:sz w:val="22"/>
          <w:szCs w:val="22"/>
          <w:lang w:val="en-GB"/>
        </w:rPr>
      </w:pPr>
      <w:r w:rsidRPr="006E438B">
        <w:rPr>
          <w:rFonts w:ascii="Avenir Next" w:hAnsi="Avenir Next" w:cs="Arial"/>
          <w:sz w:val="22"/>
          <w:szCs w:val="22"/>
          <w:lang w:val="en-GB"/>
        </w:rPr>
        <w:t>12 months</w:t>
      </w:r>
      <w:r w:rsidR="00763348" w:rsidRPr="006E438B">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E438B" w:rsidRDefault="0020204E" w:rsidP="00B04033">
      <w:pPr>
        <w:pStyle w:val="ListParagraph"/>
        <w:numPr>
          <w:ilvl w:val="0"/>
          <w:numId w:val="10"/>
        </w:numPr>
        <w:ind w:left="426"/>
        <w:jc w:val="both"/>
        <w:rPr>
          <w:rFonts w:ascii="Avenir Next" w:hAnsi="Avenir Next" w:cs="Arial"/>
          <w:sz w:val="22"/>
          <w:szCs w:val="22"/>
          <w:highlight w:val="yellow"/>
          <w:lang w:val="en-GB"/>
        </w:rPr>
      </w:pPr>
      <w:r w:rsidRPr="006E438B">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6643C9E1" w14:textId="77777777" w:rsidR="00AA3652" w:rsidRDefault="00AA3652" w:rsidP="006624AB">
      <w:pPr>
        <w:jc w:val="both"/>
        <w:rPr>
          <w:rFonts w:ascii="Avenir Next" w:hAnsi="Avenir Next" w:cs="Arial"/>
          <w:color w:val="FF0000"/>
          <w:sz w:val="22"/>
          <w:szCs w:val="22"/>
          <w:lang w:val="en-GB"/>
        </w:rPr>
      </w:pPr>
      <w:r>
        <w:rPr>
          <w:rFonts w:ascii="Avenir Next" w:hAnsi="Avenir Next" w:cs="Arial"/>
          <w:color w:val="FF0000"/>
          <w:sz w:val="22"/>
          <w:szCs w:val="22"/>
          <w:lang w:val="en-GB"/>
        </w:rPr>
        <w:t>Under section 423 of the Insolvency Act 1986 (the "</w:t>
      </w:r>
      <w:r w:rsidRPr="00AA3652">
        <w:rPr>
          <w:rFonts w:ascii="Avenir Next" w:hAnsi="Avenir Next" w:cs="Arial"/>
          <w:b/>
          <w:color w:val="FF0000"/>
          <w:sz w:val="22"/>
          <w:szCs w:val="22"/>
          <w:lang w:val="en-GB"/>
        </w:rPr>
        <w:t>IA</w:t>
      </w:r>
      <w:r>
        <w:rPr>
          <w:rFonts w:ascii="Avenir Next" w:hAnsi="Avenir Next" w:cs="Arial"/>
          <w:color w:val="FF0000"/>
          <w:sz w:val="22"/>
          <w:szCs w:val="22"/>
          <w:lang w:val="en-GB"/>
        </w:rPr>
        <w:t>") (which concerns transactions defrauding creditors), the following may attack transactions which are designed to defraud creditors:</w:t>
      </w:r>
    </w:p>
    <w:p w14:paraId="6643C9E1" w14:textId="77777777" w:rsidR="00AA3652" w:rsidRDefault="00AA3652" w:rsidP="006624AB">
      <w:pPr>
        <w:jc w:val="both"/>
        <w:rPr>
          <w:rFonts w:ascii="Avenir Next" w:hAnsi="Avenir Next" w:cs="Arial"/>
          <w:color w:val="FF0000"/>
          <w:sz w:val="22"/>
          <w:szCs w:val="22"/>
          <w:lang w:val="en-GB"/>
        </w:rPr>
      </w:pPr>
    </w:p>
    <w:p w14:paraId="3D32CD86" w14:textId="77777777" w:rsidR="00AA3652" w:rsidRDefault="00AA3652" w:rsidP="00AA3652">
      <w:pPr>
        <w:pStyle w:val="ListParagraph"/>
        <w:numPr>
          <w:ilvl w:val="0"/>
          <w:numId w:val="18"/>
        </w:numPr>
        <w:jc w:val="both"/>
        <w:rPr>
          <w:rFonts w:ascii="Avenir Next" w:hAnsi="Avenir Next" w:cs="Arial"/>
          <w:color w:val="FF0000"/>
          <w:sz w:val="22"/>
          <w:szCs w:val="22"/>
          <w:lang w:val="en-GB"/>
        </w:rPr>
      </w:pPr>
      <w:r>
        <w:rPr>
          <w:rFonts w:ascii="Avenir Next" w:hAnsi="Avenir Next" w:cs="Arial"/>
          <w:color w:val="FF0000"/>
          <w:sz w:val="22"/>
          <w:szCs w:val="22"/>
          <w:lang w:val="en-GB"/>
        </w:rPr>
        <w:t>If a company is in administration or being wound up, the administrator, liquidator and any victim of the transaction, like the creditor (with leave of the Court);</w:t>
      </w:r>
    </w:p>
    <w:p w14:paraId="71740882" w14:textId="77777777" w:rsidR="00AA3652" w:rsidRDefault="00AA3652" w:rsidP="00AA3652">
      <w:pPr>
        <w:pStyle w:val="ListParagraph"/>
        <w:numPr>
          <w:ilvl w:val="0"/>
          <w:numId w:val="18"/>
        </w:numPr>
        <w:jc w:val="both"/>
        <w:rPr>
          <w:rFonts w:ascii="Avenir Next" w:hAnsi="Avenir Next" w:cs="Arial"/>
          <w:color w:val="FF0000"/>
          <w:sz w:val="22"/>
          <w:szCs w:val="22"/>
          <w:lang w:val="en-GB"/>
        </w:rPr>
      </w:pPr>
      <w:r>
        <w:rPr>
          <w:rFonts w:ascii="Avenir Next" w:hAnsi="Avenir Next" w:cs="Arial"/>
          <w:color w:val="FF0000"/>
          <w:sz w:val="22"/>
          <w:szCs w:val="22"/>
          <w:lang w:val="en-GB"/>
        </w:rPr>
        <w:t>Where a victim is bound by the CVA, the CVA's supervisor or any victim of the fraud (whether bound or not by the CVA); or</w:t>
      </w:r>
    </w:p>
    <w:p w14:paraId="4CD2ADC9" w14:textId="77777777" w:rsidR="00AA3652" w:rsidRDefault="00AA3652" w:rsidP="00AA3652">
      <w:pPr>
        <w:pStyle w:val="ListParagraph"/>
        <w:numPr>
          <w:ilvl w:val="0"/>
          <w:numId w:val="18"/>
        </w:numPr>
        <w:jc w:val="both"/>
        <w:rPr>
          <w:rFonts w:ascii="Avenir Next" w:hAnsi="Avenir Next" w:cs="Arial"/>
          <w:color w:val="FF0000"/>
          <w:sz w:val="22"/>
          <w:szCs w:val="22"/>
          <w:lang w:val="en-GB"/>
        </w:rPr>
      </w:pPr>
      <w:r>
        <w:rPr>
          <w:rFonts w:ascii="Avenir Next" w:hAnsi="Avenir Next" w:cs="Arial"/>
          <w:color w:val="FF0000"/>
          <w:sz w:val="22"/>
          <w:szCs w:val="22"/>
          <w:lang w:val="en-GB"/>
        </w:rPr>
        <w:t>Victims of the transaction, in any other case.</w:t>
      </w:r>
    </w:p>
    <w:p w14:paraId="4F135FF6" w14:textId="0881DE83" w:rsidR="00AA3652" w:rsidRDefault="00AA3652" w:rsidP="00AA3652">
      <w:pPr>
        <w:jc w:val="both"/>
        <w:rPr>
          <w:rFonts w:ascii="Avenir Next" w:hAnsi="Avenir Next" w:cs="Arial"/>
          <w:color w:val="FF0000"/>
          <w:sz w:val="22"/>
          <w:szCs w:val="22"/>
          <w:lang w:val="en-GB"/>
        </w:rPr>
      </w:pPr>
    </w:p>
    <w:p w14:paraId="7941FC56" w14:textId="350D3348" w:rsidR="00AA3652" w:rsidRDefault="00AA3652" w:rsidP="00AA3652">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An application for a disqualification order under </w:t>
      </w:r>
      <w:r>
        <w:rPr>
          <w:rFonts w:ascii="Avenir Next" w:hAnsi="Avenir Next" w:cs="Arial"/>
          <w:color w:val="FF0000"/>
          <w:sz w:val="22"/>
          <w:szCs w:val="22"/>
          <w:lang w:val="en-GB"/>
        </w:rPr>
        <w:t>section 6 of</w:t>
      </w:r>
      <w:r>
        <w:rPr>
          <w:rFonts w:ascii="Avenir Next" w:hAnsi="Avenir Next" w:cs="Arial"/>
          <w:color w:val="FF0000"/>
          <w:sz w:val="22"/>
          <w:szCs w:val="22"/>
          <w:lang w:val="en-GB"/>
        </w:rPr>
        <w:t xml:space="preserve"> the Company Directors Disqualification Act 1986 (the "</w:t>
      </w:r>
      <w:r w:rsidRPr="00AA3652">
        <w:rPr>
          <w:rFonts w:ascii="Avenir Next" w:hAnsi="Avenir Next" w:cs="Arial"/>
          <w:b/>
          <w:color w:val="FF0000"/>
          <w:sz w:val="22"/>
          <w:szCs w:val="22"/>
          <w:lang w:val="en-GB"/>
        </w:rPr>
        <w:t>CDDA</w:t>
      </w:r>
      <w:r>
        <w:rPr>
          <w:rFonts w:ascii="Avenir Next" w:hAnsi="Avenir Next" w:cs="Arial"/>
          <w:color w:val="FF0000"/>
          <w:sz w:val="22"/>
          <w:szCs w:val="22"/>
          <w:lang w:val="en-GB"/>
        </w:rPr>
        <w:t>") may be made by the Secretary of State or the Secretary of State so directs in the case of persons who are or have been a director which is being wound up in England and Wales, by the official receiver (pursuant to section 7 of the CDDA).</w:t>
      </w:r>
    </w:p>
    <w:p w14:paraId="78D1ACB2" w14:textId="09A5192B" w:rsidR="00AA3652" w:rsidRDefault="00AA3652" w:rsidP="00AA3652">
      <w:pPr>
        <w:jc w:val="both"/>
        <w:rPr>
          <w:rFonts w:ascii="Avenir Next" w:hAnsi="Avenir Next" w:cs="Arial"/>
          <w:color w:val="FF0000"/>
          <w:sz w:val="22"/>
          <w:szCs w:val="22"/>
          <w:lang w:val="en-GB"/>
        </w:rPr>
      </w:pPr>
    </w:p>
    <w:p w14:paraId="7061C9D6" w14:textId="3E3C3D79" w:rsidR="00AE5B6F" w:rsidRPr="00AA3652" w:rsidRDefault="00201120" w:rsidP="00AA3652">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If a company is in administration and it appears that a director knew or ought to have concluded that there was no reasonable prospect that the company would avoid entering insolvent administration or going into insolvent liquidation, the administrator may apply to the Court for a declaration that the director is liable to make such contribution (if any) to the Company's assets as the Court thinks proper (pursuant to section </w:t>
      </w:r>
      <w:proofErr w:type="gramStart"/>
      <w:r>
        <w:rPr>
          <w:rFonts w:ascii="Avenir Next" w:hAnsi="Avenir Next" w:cs="Arial"/>
          <w:color w:val="FF0000"/>
          <w:sz w:val="22"/>
          <w:szCs w:val="22"/>
          <w:lang w:val="en-GB"/>
        </w:rPr>
        <w:t>246ZB(</w:t>
      </w:r>
      <w:proofErr w:type="gramEnd"/>
      <w:r>
        <w:rPr>
          <w:rFonts w:ascii="Avenir Next" w:hAnsi="Avenir Next" w:cs="Arial"/>
          <w:color w:val="FF0000"/>
          <w:sz w:val="22"/>
          <w:szCs w:val="22"/>
          <w:lang w:val="en-GB"/>
        </w:rPr>
        <w:t>1) and (2) of the IA).</w:t>
      </w:r>
      <w:r w:rsidR="00AA3652" w:rsidRPr="00AA3652">
        <w:rPr>
          <w:rFonts w:ascii="Avenir Next" w:hAnsi="Avenir Next" w:cs="Arial"/>
          <w:color w:val="FF0000"/>
          <w:sz w:val="22"/>
          <w:szCs w:val="22"/>
          <w:lang w:val="en-GB"/>
        </w:rPr>
        <w:t xml:space="preserve">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54AF527" w:rsidR="00EA3B38" w:rsidRDefault="00201120"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The payment holiday under Part A1 of the IA does not apply to the following debts when the company is subject of a moratorium:</w:t>
      </w:r>
    </w:p>
    <w:p w14:paraId="67ABA525" w14:textId="17C4ECD1" w:rsidR="00201120" w:rsidRDefault="00201120" w:rsidP="00EA3B38">
      <w:pPr>
        <w:jc w:val="both"/>
        <w:rPr>
          <w:rFonts w:ascii="Avenir Next" w:hAnsi="Avenir Next" w:cs="Arial"/>
          <w:color w:val="FF0000"/>
          <w:sz w:val="22"/>
          <w:szCs w:val="22"/>
          <w:lang w:val="en-GB"/>
        </w:rPr>
      </w:pPr>
    </w:p>
    <w:p w14:paraId="78BDD9FA" w14:textId="3D60783C" w:rsidR="00201120" w:rsidRDefault="00201120" w:rsidP="00201120">
      <w:pPr>
        <w:pStyle w:val="ListParagraph"/>
        <w:numPr>
          <w:ilvl w:val="0"/>
          <w:numId w:val="19"/>
        </w:numPr>
        <w:jc w:val="both"/>
        <w:rPr>
          <w:rFonts w:ascii="Avenir Next" w:hAnsi="Avenir Next" w:cs="Arial"/>
          <w:color w:val="FF0000"/>
          <w:sz w:val="22"/>
          <w:szCs w:val="22"/>
          <w:lang w:val="en-GB"/>
        </w:rPr>
      </w:pPr>
      <w:r>
        <w:rPr>
          <w:rFonts w:ascii="Avenir Next" w:hAnsi="Avenir Next" w:cs="Arial"/>
          <w:color w:val="FF0000"/>
          <w:sz w:val="22"/>
          <w:szCs w:val="22"/>
          <w:lang w:val="en-GB"/>
        </w:rPr>
        <w:t>Goods and services supplied during period of the moratorium;</w:t>
      </w:r>
    </w:p>
    <w:p w14:paraId="3FEBFE3E" w14:textId="342199E2" w:rsidR="00201120" w:rsidRDefault="00201120" w:rsidP="00201120">
      <w:pPr>
        <w:pStyle w:val="ListParagraph"/>
        <w:numPr>
          <w:ilvl w:val="0"/>
          <w:numId w:val="19"/>
        </w:numPr>
        <w:jc w:val="both"/>
        <w:rPr>
          <w:rFonts w:ascii="Avenir Next" w:hAnsi="Avenir Next" w:cs="Arial"/>
          <w:color w:val="FF0000"/>
          <w:sz w:val="22"/>
          <w:szCs w:val="22"/>
          <w:lang w:val="en-GB"/>
        </w:rPr>
      </w:pPr>
      <w:r>
        <w:rPr>
          <w:rFonts w:ascii="Avenir Next" w:hAnsi="Avenir Next" w:cs="Arial"/>
          <w:color w:val="FF0000"/>
          <w:sz w:val="22"/>
          <w:szCs w:val="22"/>
          <w:lang w:val="en-GB"/>
        </w:rPr>
        <w:t>Salaries and wages pursuant to employment contracts;</w:t>
      </w:r>
    </w:p>
    <w:p w14:paraId="08193963" w14:textId="3E19A19A" w:rsidR="00201120" w:rsidRDefault="00201120" w:rsidP="00201120">
      <w:pPr>
        <w:pStyle w:val="ListParagraph"/>
        <w:numPr>
          <w:ilvl w:val="0"/>
          <w:numId w:val="19"/>
        </w:numPr>
        <w:jc w:val="both"/>
        <w:rPr>
          <w:rFonts w:ascii="Avenir Next" w:hAnsi="Avenir Next" w:cs="Arial"/>
          <w:color w:val="FF0000"/>
          <w:sz w:val="22"/>
          <w:szCs w:val="22"/>
          <w:lang w:val="en-GB"/>
        </w:rPr>
      </w:pPr>
      <w:r>
        <w:rPr>
          <w:rFonts w:ascii="Avenir Next" w:hAnsi="Avenir Next" w:cs="Arial"/>
          <w:color w:val="FF0000"/>
          <w:sz w:val="22"/>
          <w:szCs w:val="22"/>
          <w:lang w:val="en-GB"/>
        </w:rPr>
        <w:t>Redundancy payments;</w:t>
      </w:r>
    </w:p>
    <w:p w14:paraId="7859719A" w14:textId="7575DD41" w:rsidR="00201120" w:rsidRDefault="00201120" w:rsidP="00201120">
      <w:pPr>
        <w:pStyle w:val="ListParagraph"/>
        <w:numPr>
          <w:ilvl w:val="0"/>
          <w:numId w:val="19"/>
        </w:numPr>
        <w:jc w:val="both"/>
        <w:rPr>
          <w:rFonts w:ascii="Avenir Next" w:hAnsi="Avenir Next" w:cs="Arial"/>
          <w:color w:val="FF0000"/>
          <w:sz w:val="22"/>
          <w:szCs w:val="22"/>
          <w:lang w:val="en-GB"/>
        </w:rPr>
      </w:pPr>
      <w:r>
        <w:rPr>
          <w:rFonts w:ascii="Avenir Next" w:hAnsi="Avenir Next" w:cs="Arial"/>
          <w:color w:val="FF0000"/>
          <w:sz w:val="22"/>
          <w:szCs w:val="22"/>
          <w:lang w:val="en-GB"/>
        </w:rPr>
        <w:t>Remuneration or expenses of the monitor;</w:t>
      </w:r>
    </w:p>
    <w:p w14:paraId="017FA31F" w14:textId="73739FBB" w:rsidR="00201120" w:rsidRPr="00201120" w:rsidRDefault="00201120" w:rsidP="00201120">
      <w:pPr>
        <w:pStyle w:val="ListParagraph"/>
        <w:numPr>
          <w:ilvl w:val="0"/>
          <w:numId w:val="19"/>
        </w:numPr>
        <w:jc w:val="both"/>
        <w:rPr>
          <w:rFonts w:ascii="Avenir Next" w:hAnsi="Avenir Next" w:cs="Arial"/>
          <w:color w:val="FF0000"/>
          <w:sz w:val="22"/>
          <w:szCs w:val="22"/>
          <w:lang w:val="en-GB"/>
        </w:rPr>
      </w:pPr>
      <w:r>
        <w:rPr>
          <w:rFonts w:ascii="Avenir Next" w:hAnsi="Avenir Next" w:cs="Arial"/>
          <w:color w:val="FF0000"/>
          <w:sz w:val="22"/>
          <w:szCs w:val="22"/>
          <w:lang w:val="en-GB"/>
        </w:rPr>
        <w:t>Rent during period of the moratorium.</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lastRenderedPageBreak/>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407227FD" w:rsidR="00EA3B38" w:rsidRDefault="007D2A38"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An administrator is empowered to do anything necessary or expedient for the management of the company's affairs, business or property (pursuant to section 59 of Schedule B1 of the IA). This comes with it, a wide array of powers specified in Schedule 1 of the IA.</w:t>
      </w:r>
    </w:p>
    <w:p w14:paraId="7674E98A" w14:textId="1B543B3A" w:rsidR="007D2A38" w:rsidRDefault="007D2A38" w:rsidP="00EA3B38">
      <w:pPr>
        <w:jc w:val="both"/>
        <w:rPr>
          <w:rFonts w:ascii="Avenir Next" w:hAnsi="Avenir Next" w:cs="Arial"/>
          <w:color w:val="FF0000"/>
          <w:sz w:val="22"/>
          <w:szCs w:val="22"/>
          <w:lang w:val="en-GB"/>
        </w:rPr>
      </w:pPr>
    </w:p>
    <w:p w14:paraId="31491905" w14:textId="77777777" w:rsidR="00E85D21" w:rsidRDefault="00E85D21"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Section 233 of the IA relates to the supply of gas, electricity water and communication services. </w:t>
      </w:r>
    </w:p>
    <w:p w14:paraId="109F9170" w14:textId="77777777" w:rsidR="00E85D21" w:rsidRDefault="00E85D21" w:rsidP="00EA3B38">
      <w:pPr>
        <w:jc w:val="both"/>
        <w:rPr>
          <w:rFonts w:ascii="Avenir Next" w:hAnsi="Avenir Next" w:cs="Arial"/>
          <w:color w:val="FF0000"/>
          <w:sz w:val="22"/>
          <w:szCs w:val="22"/>
          <w:lang w:val="en-GB"/>
        </w:rPr>
      </w:pPr>
    </w:p>
    <w:p w14:paraId="0970E5C2" w14:textId="13C6B14E" w:rsidR="007D2A38" w:rsidRDefault="00E85D21"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Section 233A generally prevents a supplier from relying upon any insolvency-related term in a supply contract that would otherwise enable the supply to terminate the contract, alter its terms or compel higher payment for continued supply (or payment of arrears before continued service is provided), by reason of the company's entry into administration. Any provision that seeks to terminate the contract or enable the supplier to do anything during the period of a company's insolvency proceedings will be of no effect, due to section 233B. Further, a supplier of goods or services cannot require a personal guarantee from the administrator, like it can under section 233. An administrator can therefore require the suppliers of goods and services to continue to supply those goods and services during the administration.</w:t>
      </w:r>
    </w:p>
    <w:p w14:paraId="488CCB7C" w14:textId="0664837D" w:rsidR="00D078BF" w:rsidRDefault="00D078BF" w:rsidP="00EA3B38">
      <w:pPr>
        <w:jc w:val="both"/>
        <w:rPr>
          <w:rFonts w:ascii="Avenir Next" w:hAnsi="Avenir Next" w:cs="Arial"/>
          <w:color w:val="FF0000"/>
          <w:sz w:val="22"/>
          <w:szCs w:val="22"/>
          <w:lang w:val="en-GB"/>
        </w:rPr>
      </w:pPr>
    </w:p>
    <w:p w14:paraId="001F3387" w14:textId="6722345E" w:rsidR="007D2A38" w:rsidRDefault="00D078BF"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Section 233B therefore </w:t>
      </w:r>
      <w:proofErr w:type="spellStart"/>
      <w:r>
        <w:rPr>
          <w:rFonts w:ascii="Avenir Next" w:hAnsi="Avenir Next" w:cs="Arial"/>
          <w:color w:val="FF0000"/>
          <w:sz w:val="22"/>
          <w:szCs w:val="22"/>
          <w:lang w:val="en-GB"/>
        </w:rPr>
        <w:t>compliements</w:t>
      </w:r>
      <w:proofErr w:type="spellEnd"/>
      <w:r>
        <w:rPr>
          <w:rFonts w:ascii="Avenir Next" w:hAnsi="Avenir Next" w:cs="Arial"/>
          <w:color w:val="FF0000"/>
          <w:sz w:val="22"/>
          <w:szCs w:val="22"/>
          <w:lang w:val="en-GB"/>
        </w:rPr>
        <w:t xml:space="preserve"> sections 233 and 233A, which prohibit the termination by any utility, communication and IT suppliers, and opens up the restriction on termination of supply to all other suppliers (there are some limited exceptions for things like insurers, banks, investment exchanges, overseas companies with corresponding functions, etc.).</w:t>
      </w:r>
    </w:p>
    <w:p w14:paraId="70BECF44" w14:textId="5909FBCC"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5319FE20" w:rsidR="00EA3B38" w:rsidRDefault="0001702B"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Pursuant to section 115 of the IA (and Rules 6.42 and 7.108), certain expenses of the liquidation are afforded priority ahead of a company's preferential creditors, floating charge holders and unsecured creditors. The following </w:t>
      </w:r>
      <w:r w:rsidRPr="0042679A">
        <w:rPr>
          <w:rFonts w:ascii="Avenir Next" w:hAnsi="Avenir Next" w:cs="Arial"/>
          <w:color w:val="FF0000"/>
          <w:sz w:val="22"/>
          <w:szCs w:val="22"/>
          <w:u w:val="single"/>
          <w:lang w:val="en-GB"/>
        </w:rPr>
        <w:t>expenses</w:t>
      </w:r>
      <w:r>
        <w:rPr>
          <w:rFonts w:ascii="Avenir Next" w:hAnsi="Avenir Next" w:cs="Arial"/>
          <w:color w:val="FF0000"/>
          <w:sz w:val="22"/>
          <w:szCs w:val="22"/>
          <w:lang w:val="en-GB"/>
        </w:rPr>
        <w:t xml:space="preserve"> are payable in priority to creditors and in the </w:t>
      </w:r>
      <w:r w:rsidRPr="0042679A">
        <w:rPr>
          <w:rFonts w:ascii="Avenir Next" w:hAnsi="Avenir Next" w:cs="Arial"/>
          <w:color w:val="FF0000"/>
          <w:sz w:val="22"/>
          <w:szCs w:val="22"/>
          <w:lang w:val="en-GB"/>
        </w:rPr>
        <w:t>following</w:t>
      </w:r>
      <w:r>
        <w:rPr>
          <w:rFonts w:ascii="Avenir Next" w:hAnsi="Avenir Next" w:cs="Arial"/>
          <w:color w:val="FF0000"/>
          <w:sz w:val="22"/>
          <w:szCs w:val="22"/>
          <w:lang w:val="en-GB"/>
        </w:rPr>
        <w:t xml:space="preserve"> priority order:</w:t>
      </w:r>
    </w:p>
    <w:p w14:paraId="2736E672" w14:textId="20BEE5A8" w:rsidR="0001702B" w:rsidRDefault="0001702B" w:rsidP="00EA3B38">
      <w:pPr>
        <w:jc w:val="both"/>
        <w:rPr>
          <w:rFonts w:ascii="Avenir Next" w:hAnsi="Avenir Next" w:cs="Arial"/>
          <w:color w:val="FF0000"/>
          <w:sz w:val="22"/>
          <w:szCs w:val="22"/>
          <w:lang w:val="en-GB"/>
        </w:rPr>
      </w:pPr>
    </w:p>
    <w:p w14:paraId="567D2DAE" w14:textId="18CF9E6F" w:rsid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Liquidator expenses for preserving, realising or getting in any company assets, including conducting legal proceedings;</w:t>
      </w:r>
    </w:p>
    <w:p w14:paraId="6FFDD6B2" w14:textId="1BA1E881" w:rsid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Cost of security given by the liquidator;</w:t>
      </w:r>
    </w:p>
    <w:p w14:paraId="2D614AF2" w14:textId="1EB2D4E7" w:rsid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Payments to persons for preparation of statements of affairs;</w:t>
      </w:r>
    </w:p>
    <w:p w14:paraId="4D9E5911" w14:textId="0F66D42C" w:rsid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Necessary disbursements incurred in course of winding up, including expenses of the liquidation committee;</w:t>
      </w:r>
    </w:p>
    <w:p w14:paraId="76E65CB8" w14:textId="1AE06167" w:rsid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Remuneration of employees of the liquidator who perform any services for the company;</w:t>
      </w:r>
    </w:p>
    <w:p w14:paraId="2D057B2B" w14:textId="7103B22F" w:rsid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Liquidators remuneration;</w:t>
      </w:r>
    </w:p>
    <w:p w14:paraId="35D7A10C" w14:textId="515FF4B9" w:rsid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Corporate tax payable on chargeable gains arising on the realisation of company assets;</w:t>
      </w:r>
    </w:p>
    <w:p w14:paraId="06F53212" w14:textId="087AAD1F" w:rsidR="0001702B" w:rsidRPr="0001702B" w:rsidRDefault="0001702B" w:rsidP="0001702B">
      <w:pPr>
        <w:pStyle w:val="ListParagraph"/>
        <w:numPr>
          <w:ilvl w:val="0"/>
          <w:numId w:val="20"/>
        </w:numPr>
        <w:jc w:val="both"/>
        <w:rPr>
          <w:rFonts w:ascii="Avenir Next" w:hAnsi="Avenir Next" w:cs="Arial"/>
          <w:color w:val="FF0000"/>
          <w:sz w:val="22"/>
          <w:szCs w:val="22"/>
          <w:lang w:val="en-GB"/>
        </w:rPr>
      </w:pPr>
      <w:r>
        <w:rPr>
          <w:rFonts w:ascii="Avenir Next" w:hAnsi="Avenir Next" w:cs="Arial"/>
          <w:color w:val="FF0000"/>
          <w:sz w:val="22"/>
          <w:szCs w:val="22"/>
          <w:lang w:val="en-GB"/>
        </w:rPr>
        <w:t>Any other properly incurred expense of the liquidator in carrying out their functions.</w:t>
      </w:r>
    </w:p>
    <w:p w14:paraId="6A3FC38E" w14:textId="0FA8D297" w:rsidR="0001702B" w:rsidRDefault="0001702B" w:rsidP="00EA3B38">
      <w:pPr>
        <w:jc w:val="both"/>
        <w:rPr>
          <w:rFonts w:ascii="Avenir Next" w:hAnsi="Avenir Next" w:cs="Arial"/>
          <w:color w:val="FF0000"/>
          <w:sz w:val="22"/>
          <w:szCs w:val="22"/>
          <w:lang w:val="en-GB"/>
        </w:rPr>
      </w:pPr>
    </w:p>
    <w:p w14:paraId="5AA3B422" w14:textId="7235A2D6" w:rsidR="0001702B" w:rsidRDefault="0001702B"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w:t>
      </w:r>
      <w:r w:rsidRPr="0042679A">
        <w:rPr>
          <w:rFonts w:ascii="Avenir Next" w:hAnsi="Avenir Next" w:cs="Arial"/>
          <w:color w:val="FF0000"/>
          <w:sz w:val="22"/>
          <w:szCs w:val="22"/>
          <w:u w:val="single"/>
          <w:lang w:val="en-GB"/>
        </w:rPr>
        <w:t>preferential debts</w:t>
      </w:r>
      <w:r>
        <w:rPr>
          <w:rFonts w:ascii="Avenir Next" w:hAnsi="Avenir Next" w:cs="Arial"/>
          <w:color w:val="FF0000"/>
          <w:sz w:val="22"/>
          <w:szCs w:val="22"/>
          <w:lang w:val="en-GB"/>
        </w:rPr>
        <w:t xml:space="preserve"> regime applies to all insolvency proceedings under the IA, including liquidation. Once the expenses of the liquidation have been paid in full, the company's assets can then be used to pay preferential creditors. Preferential creditors </w:t>
      </w:r>
      <w:r w:rsidR="004C6E46">
        <w:rPr>
          <w:rFonts w:ascii="Avenir Next" w:hAnsi="Avenir Next" w:cs="Arial"/>
          <w:color w:val="FF0000"/>
          <w:sz w:val="22"/>
          <w:szCs w:val="22"/>
          <w:lang w:val="en-GB"/>
        </w:rPr>
        <w:t xml:space="preserve">largely </w:t>
      </w:r>
      <w:r>
        <w:rPr>
          <w:rFonts w:ascii="Avenir Next" w:hAnsi="Avenir Next" w:cs="Arial"/>
          <w:color w:val="FF0000"/>
          <w:sz w:val="22"/>
          <w:szCs w:val="22"/>
          <w:lang w:val="en-GB"/>
        </w:rPr>
        <w:t>include:</w:t>
      </w:r>
    </w:p>
    <w:p w14:paraId="3E69BEAD" w14:textId="3C396F47" w:rsidR="0001702B" w:rsidRDefault="0001702B" w:rsidP="00EA3B38">
      <w:pPr>
        <w:jc w:val="both"/>
        <w:rPr>
          <w:rFonts w:ascii="Avenir Next" w:hAnsi="Avenir Next" w:cs="Arial"/>
          <w:color w:val="FF0000"/>
          <w:sz w:val="22"/>
          <w:szCs w:val="22"/>
          <w:lang w:val="en-GB"/>
        </w:rPr>
      </w:pPr>
    </w:p>
    <w:p w14:paraId="026EC3E7" w14:textId="78309D65" w:rsidR="0001702B" w:rsidRDefault="0001702B" w:rsidP="0001702B">
      <w:pPr>
        <w:pStyle w:val="ListParagraph"/>
        <w:numPr>
          <w:ilvl w:val="0"/>
          <w:numId w:val="21"/>
        </w:numPr>
        <w:jc w:val="both"/>
        <w:rPr>
          <w:rFonts w:ascii="Avenir Next" w:hAnsi="Avenir Next" w:cs="Arial"/>
          <w:color w:val="FF0000"/>
          <w:sz w:val="22"/>
          <w:szCs w:val="22"/>
          <w:lang w:val="en-GB"/>
        </w:rPr>
      </w:pPr>
      <w:r>
        <w:rPr>
          <w:rFonts w:ascii="Avenir Next" w:hAnsi="Avenir Next" w:cs="Arial"/>
          <w:color w:val="FF0000"/>
          <w:sz w:val="22"/>
          <w:szCs w:val="22"/>
          <w:lang w:val="en-GB"/>
        </w:rPr>
        <w:lastRenderedPageBreak/>
        <w:t>Limited claims of employees (employees in the UK have more extensive protections afforded under the Employment Rights Act 1996); and</w:t>
      </w:r>
    </w:p>
    <w:p w14:paraId="763EEE38" w14:textId="660076EF" w:rsidR="0001702B" w:rsidRPr="0001702B" w:rsidRDefault="0001702B" w:rsidP="0001702B">
      <w:pPr>
        <w:pStyle w:val="ListParagraph"/>
        <w:numPr>
          <w:ilvl w:val="0"/>
          <w:numId w:val="21"/>
        </w:numPr>
        <w:jc w:val="both"/>
        <w:rPr>
          <w:rFonts w:ascii="Avenir Next" w:hAnsi="Avenir Next" w:cs="Arial"/>
          <w:color w:val="FF0000"/>
          <w:sz w:val="22"/>
          <w:szCs w:val="22"/>
          <w:lang w:val="en-GB"/>
        </w:rPr>
      </w:pPr>
      <w:r>
        <w:rPr>
          <w:rFonts w:ascii="Avenir Next" w:hAnsi="Avenir Next" w:cs="Arial"/>
          <w:color w:val="FF0000"/>
          <w:sz w:val="22"/>
          <w:szCs w:val="22"/>
          <w:lang w:val="en-GB"/>
        </w:rPr>
        <w:t>Some taxation liabilities.</w:t>
      </w:r>
    </w:p>
    <w:p w14:paraId="58B4B941" w14:textId="45A5E3A9" w:rsidR="0001702B" w:rsidRDefault="0001702B" w:rsidP="00EA3B38">
      <w:pPr>
        <w:jc w:val="both"/>
        <w:rPr>
          <w:rFonts w:ascii="Avenir Next" w:hAnsi="Avenir Next" w:cs="Arial"/>
          <w:color w:val="FF0000"/>
          <w:sz w:val="22"/>
          <w:szCs w:val="22"/>
          <w:lang w:val="en-GB"/>
        </w:rPr>
      </w:pPr>
    </w:p>
    <w:p w14:paraId="081BAD9A" w14:textId="7827AB04" w:rsidR="004C6E46" w:rsidRDefault="004C6E46"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Further, preferential debts are placed into two classes: ordinary (paid first) and secondary. Within each class, preferential debts rank equally, and abate in equal proportion where assets of a company are insufficient to fully pay all debts.</w:t>
      </w:r>
    </w:p>
    <w:p w14:paraId="24D8B5CF" w14:textId="3CEF0D59" w:rsidR="004C6E46" w:rsidRDefault="004C6E46" w:rsidP="00EA3B38">
      <w:pPr>
        <w:jc w:val="both"/>
        <w:rPr>
          <w:rFonts w:ascii="Avenir Next" w:hAnsi="Avenir Next" w:cs="Arial"/>
          <w:color w:val="FF0000"/>
          <w:sz w:val="22"/>
          <w:szCs w:val="22"/>
          <w:lang w:val="en-GB"/>
        </w:rPr>
      </w:pPr>
    </w:p>
    <w:p w14:paraId="39DFD624" w14:textId="11048940" w:rsidR="004C6E46" w:rsidRDefault="004C6E46"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Pursuant to Schedule 6 of the IA, the following are preferential debts:</w:t>
      </w:r>
    </w:p>
    <w:p w14:paraId="76121FE8" w14:textId="06C94F78" w:rsidR="004C6E46" w:rsidRDefault="004C6E46" w:rsidP="00EA3B38">
      <w:pPr>
        <w:jc w:val="both"/>
        <w:rPr>
          <w:rFonts w:ascii="Avenir Next" w:hAnsi="Avenir Next" w:cs="Arial"/>
          <w:color w:val="FF0000"/>
          <w:sz w:val="22"/>
          <w:szCs w:val="22"/>
          <w:lang w:val="en-GB"/>
        </w:rPr>
      </w:pPr>
    </w:p>
    <w:p w14:paraId="2918C136" w14:textId="77777777" w:rsidR="0042679A" w:rsidRDefault="0042679A" w:rsidP="004C6E46">
      <w:pPr>
        <w:pStyle w:val="ListParagraph"/>
        <w:numPr>
          <w:ilvl w:val="0"/>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Ordinary:</w:t>
      </w:r>
    </w:p>
    <w:p w14:paraId="73FA5F5F" w14:textId="44F5E9D7"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Amounts owed by employee's contribution to employee pension schemes, which are contributions deducted from company earnings paid in the four months before commencement of liquidation;</w:t>
      </w:r>
    </w:p>
    <w:p w14:paraId="6A8F190D" w14:textId="23F180C3"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Amounts owed by employer's contribution to employee pension schemes, in 12 month period preceding the relevant date;</w:t>
      </w:r>
    </w:p>
    <w:p w14:paraId="02E589C4" w14:textId="1B0CAAF3"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Employee remuneration (including annual leave and sick leave) for period of four months prior to liquidation commencing to a max of GBP 800.</w:t>
      </w:r>
    </w:p>
    <w:p w14:paraId="37E287EC" w14:textId="2CD9C25D"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Accrued holiday remuneration for any period prior to liquidation;</w:t>
      </w:r>
    </w:p>
    <w:p w14:paraId="390228BA" w14:textId="603DEE3D"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Monies advanced to pay wages or holiday remuneration;</w:t>
      </w:r>
    </w:p>
    <w:p w14:paraId="42E993B2" w14:textId="033CCC3B"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Coal and steel production levies;</w:t>
      </w:r>
    </w:p>
    <w:p w14:paraId="4E7392FA" w14:textId="08EDC5D9"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Claims re orders to pay reserved forces;</w:t>
      </w:r>
    </w:p>
    <w:p w14:paraId="5CF26EA9" w14:textId="32E4475A" w:rsidR="0042679A" w:rsidRDefault="0042679A" w:rsidP="004C6E46">
      <w:pPr>
        <w:pStyle w:val="ListParagraph"/>
        <w:numPr>
          <w:ilvl w:val="0"/>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Secondary (pursuant to section 386 of the IA, and which are paid following ordinary preferential debts): </w:t>
      </w:r>
    </w:p>
    <w:p w14:paraId="24CBD4BC" w14:textId="3B162E13"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Eligible deposits;</w:t>
      </w:r>
    </w:p>
    <w:p w14:paraId="5D11A4B4" w14:textId="48834326" w:rsid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Certain eligible deposits made through a non-UK branch of a credit union and which would have been eligible had it been made through a UK branch of that credit union. Debts owed to the taxation authority.</w:t>
      </w:r>
    </w:p>
    <w:p w14:paraId="6EB3F406" w14:textId="1E4063E6" w:rsidR="004C6E46" w:rsidRPr="004C6E46" w:rsidRDefault="004C6E46" w:rsidP="0042679A">
      <w:pPr>
        <w:pStyle w:val="ListParagraph"/>
        <w:numPr>
          <w:ilvl w:val="1"/>
          <w:numId w:val="22"/>
        </w:numPr>
        <w:jc w:val="both"/>
        <w:rPr>
          <w:rFonts w:ascii="Avenir Next" w:hAnsi="Avenir Next" w:cs="Arial"/>
          <w:color w:val="FF0000"/>
          <w:sz w:val="22"/>
          <w:szCs w:val="22"/>
          <w:lang w:val="en-GB"/>
        </w:rPr>
      </w:pPr>
      <w:r>
        <w:rPr>
          <w:rFonts w:ascii="Avenir Next" w:hAnsi="Avenir Next" w:cs="Arial"/>
          <w:color w:val="FF0000"/>
          <w:sz w:val="22"/>
          <w:szCs w:val="22"/>
          <w:lang w:val="en-GB"/>
        </w:rPr>
        <w:t>Income tax deductions, VAT payments, construction industry scheme deductions and student loan repayments.</w:t>
      </w:r>
    </w:p>
    <w:p w14:paraId="6337B166" w14:textId="1BFD8309" w:rsidR="0001702B" w:rsidRDefault="0001702B" w:rsidP="00EA3B38">
      <w:pPr>
        <w:jc w:val="both"/>
        <w:rPr>
          <w:rFonts w:ascii="Avenir Next" w:hAnsi="Avenir Next" w:cs="Arial"/>
          <w:color w:val="FF0000"/>
          <w:sz w:val="22"/>
          <w:szCs w:val="22"/>
          <w:lang w:val="en-GB"/>
        </w:rPr>
      </w:pPr>
    </w:p>
    <w:p w14:paraId="6798B893" w14:textId="796E0242" w:rsidR="0042679A" w:rsidRDefault="0042679A"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Following preferential debts being paid, </w:t>
      </w:r>
      <w:r w:rsidRPr="0042679A">
        <w:rPr>
          <w:rFonts w:ascii="Avenir Next" w:hAnsi="Avenir Next" w:cs="Arial"/>
          <w:color w:val="FF0000"/>
          <w:sz w:val="22"/>
          <w:szCs w:val="22"/>
          <w:u w:val="single"/>
          <w:lang w:val="en-GB"/>
        </w:rPr>
        <w:t>floating charge holder</w:t>
      </w:r>
      <w:r>
        <w:rPr>
          <w:rFonts w:ascii="Avenir Next" w:hAnsi="Avenir Next" w:cs="Arial"/>
          <w:color w:val="FF0000"/>
          <w:sz w:val="22"/>
          <w:szCs w:val="22"/>
          <w:lang w:val="en-GB"/>
        </w:rPr>
        <w:t xml:space="preserve"> creditors are paid next. If there are multiple floating charge holders, priority will usually be determined by which floating charge was created first.  Liquidators must consider the application of 176A before any floating charge holder payments can be made.  The liquidator must make a prescribed part of the net property of the company available to satisfy the debts of unsecured creditors.  The prescribed part is 50% of the net property where a company's net property does not exceed GBP 10,000. Where net property exceeds GBP 10,000, the prescribed part is the sum of 50% of the first GBP 10,000 and 20% thereafter, to a max of GBP 800,000.</w:t>
      </w:r>
    </w:p>
    <w:p w14:paraId="0C598DEC" w14:textId="4FFA4553" w:rsidR="0042679A" w:rsidRDefault="0042679A" w:rsidP="00EA3B38">
      <w:pPr>
        <w:jc w:val="both"/>
        <w:rPr>
          <w:rFonts w:ascii="Avenir Next" w:hAnsi="Avenir Next" w:cs="Arial"/>
          <w:color w:val="FF0000"/>
          <w:sz w:val="22"/>
          <w:szCs w:val="22"/>
          <w:lang w:val="en-GB"/>
        </w:rPr>
      </w:pPr>
    </w:p>
    <w:p w14:paraId="4F425ED0" w14:textId="08B30D21" w:rsidR="0042679A" w:rsidRDefault="0042679A" w:rsidP="00EA3B38">
      <w:pPr>
        <w:jc w:val="both"/>
        <w:rPr>
          <w:rFonts w:ascii="Avenir Next" w:hAnsi="Avenir Next" w:cs="Arial"/>
          <w:color w:val="FF0000"/>
          <w:sz w:val="22"/>
          <w:szCs w:val="22"/>
          <w:lang w:val="en-GB"/>
        </w:rPr>
      </w:pPr>
      <w:r w:rsidRPr="0042679A">
        <w:rPr>
          <w:rFonts w:ascii="Avenir Next" w:hAnsi="Avenir Next" w:cs="Arial"/>
          <w:color w:val="FF0000"/>
          <w:sz w:val="22"/>
          <w:szCs w:val="22"/>
          <w:u w:val="single"/>
          <w:lang w:val="en-GB"/>
        </w:rPr>
        <w:t>Unsecured creditors</w:t>
      </w:r>
      <w:r>
        <w:rPr>
          <w:rFonts w:ascii="Avenir Next" w:hAnsi="Avenir Next" w:cs="Arial"/>
          <w:color w:val="FF0000"/>
          <w:sz w:val="22"/>
          <w:szCs w:val="22"/>
          <w:lang w:val="en-GB"/>
        </w:rPr>
        <w:t xml:space="preserve"> (those without any security) are paid last in the statutory priority regime.</w:t>
      </w:r>
    </w:p>
    <w:p w14:paraId="580B685A" w14:textId="139AD018" w:rsidR="0042679A" w:rsidRDefault="0042679A" w:rsidP="00EA3B38">
      <w:pPr>
        <w:jc w:val="both"/>
        <w:rPr>
          <w:rFonts w:ascii="Avenir Next" w:hAnsi="Avenir Next" w:cs="Arial"/>
          <w:color w:val="FF0000"/>
          <w:sz w:val="22"/>
          <w:szCs w:val="22"/>
          <w:lang w:val="en-GB"/>
        </w:rPr>
      </w:pPr>
    </w:p>
    <w:p w14:paraId="352DF273" w14:textId="2A4334F1" w:rsidR="0042679A" w:rsidRDefault="0042679A"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If all creditors are paid out in full (including interest), any surplus is distributed to shareholders normally pro rata based on their shareholding.</w:t>
      </w:r>
    </w:p>
    <w:p w14:paraId="352DF273" w14:textId="2A4334F1" w:rsidR="0042679A" w:rsidRDefault="0042679A" w:rsidP="00EA3B38">
      <w:pPr>
        <w:jc w:val="both"/>
        <w:rPr>
          <w:rFonts w:ascii="Avenir Next" w:hAnsi="Avenir Next" w:cs="Arial"/>
          <w:color w:val="FF0000"/>
          <w:sz w:val="22"/>
          <w:szCs w:val="22"/>
          <w:lang w:val="en-GB"/>
        </w:rPr>
      </w:pPr>
    </w:p>
    <w:p w14:paraId="1EF93DDC" w14:textId="0313C897" w:rsidR="0042679A" w:rsidRPr="00D078BF" w:rsidRDefault="0042679A" w:rsidP="00EA3B38">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If the company had been subject of a Part A1 moratorium for the 12 weeks preceding liquidation, the above priority regime would </w:t>
      </w:r>
      <w:r w:rsidR="009B55AC">
        <w:rPr>
          <w:rFonts w:ascii="Avenir Next" w:hAnsi="Avenir Next" w:cs="Arial"/>
          <w:color w:val="FF0000"/>
          <w:sz w:val="22"/>
          <w:szCs w:val="22"/>
          <w:lang w:val="en-GB"/>
        </w:rPr>
        <w:t>be altered slightly. In particular, section 174A provides that certain pre-moratorium or moratorium debts (not forming part of the payment holiday), such as debts owed to employees or financial services debts, will be paid in the subsequent liquidation in priority of the liquidator's fees and expenses – thereby affording what are unsecured debts a form of super priority.</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5F1D4EBE" w:rsidR="007E2919"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0262C830" w14:textId="77777777" w:rsidR="009B55AC" w:rsidRPr="006E0D3B" w:rsidRDefault="009B55AC"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69FF2105" w:rsidR="00EA3B38" w:rsidRDefault="009B55AC" w:rsidP="00EA3B38">
      <w:pPr>
        <w:jc w:val="both"/>
        <w:rPr>
          <w:rFonts w:ascii="Avenir Next" w:hAnsi="Avenir Next" w:cs="Arial"/>
          <w:color w:val="FF0000"/>
          <w:sz w:val="22"/>
          <w:szCs w:val="22"/>
        </w:rPr>
      </w:pPr>
      <w:r>
        <w:rPr>
          <w:rFonts w:ascii="Avenir Next" w:hAnsi="Avenir Next" w:cs="Arial"/>
          <w:color w:val="FF0000"/>
          <w:sz w:val="22"/>
          <w:szCs w:val="22"/>
        </w:rPr>
        <w:t xml:space="preserve">The issues concerns whether the liquidator can do anything to set aside or avoid the floating charge granted to the bank. </w:t>
      </w:r>
      <w:proofErr w:type="spellStart"/>
      <w:r>
        <w:rPr>
          <w:rFonts w:ascii="Avenir Next" w:hAnsi="Avenir Next" w:cs="Arial"/>
          <w:color w:val="FF0000"/>
          <w:sz w:val="22"/>
          <w:szCs w:val="22"/>
        </w:rPr>
        <w:t>Seection</w:t>
      </w:r>
      <w:proofErr w:type="spellEnd"/>
      <w:r>
        <w:rPr>
          <w:rFonts w:ascii="Avenir Next" w:hAnsi="Avenir Next" w:cs="Arial"/>
          <w:color w:val="FF0000"/>
          <w:sz w:val="22"/>
          <w:szCs w:val="22"/>
        </w:rPr>
        <w:t xml:space="preserve"> 245 of the IA applies to floating charges, and it applies where a company is in liquidation or administration and is aimed at preventing pre-existing unsecured creditors from obtaining security by way of floating charge shortly before the company enters formal insolvency procedures. It will not prevent a lender from providing fresh funding to the company taking a floating charge in respect of that funding; but it may be applicable on these facts. The debenture (and floating charge) was demanded in respect of pre-existing debt, and section 245 may render the floating charge as invalid as it was given by the company at a relevant time where no new consideration was provided for it.</w:t>
      </w:r>
      <w:r w:rsidR="00D07148">
        <w:rPr>
          <w:rFonts w:ascii="Avenir Next" w:hAnsi="Avenir Next" w:cs="Arial"/>
          <w:color w:val="FF0000"/>
          <w:sz w:val="22"/>
          <w:szCs w:val="22"/>
        </w:rPr>
        <w:t xml:space="preserve"> As the bank does not here appear to be connected to the company, the relevant time is any time within the 12 months prior to commencement of insolvency, but only where at the time of creation of the floating charge, the company was either unable to pay its debts (per section 123 of the IA) or became unable to do so as a result of the transaction.</w:t>
      </w:r>
    </w:p>
    <w:p w14:paraId="7BA2B7D9" w14:textId="5FF705DC" w:rsidR="00D07148" w:rsidRDefault="00D07148" w:rsidP="00EA3B38">
      <w:pPr>
        <w:jc w:val="both"/>
        <w:rPr>
          <w:rFonts w:ascii="Avenir Next" w:hAnsi="Avenir Next" w:cs="Arial"/>
          <w:color w:val="FF0000"/>
          <w:sz w:val="22"/>
          <w:szCs w:val="22"/>
        </w:rPr>
      </w:pPr>
    </w:p>
    <w:p w14:paraId="1A247685" w14:textId="723EB8E1" w:rsidR="009B55AC" w:rsidRPr="009B55AC" w:rsidRDefault="00D07148" w:rsidP="00EA3B38">
      <w:pPr>
        <w:jc w:val="both"/>
        <w:rPr>
          <w:rFonts w:ascii="Avenir Next" w:hAnsi="Avenir Next" w:cs="Arial"/>
          <w:color w:val="FF0000"/>
          <w:sz w:val="22"/>
          <w:szCs w:val="22"/>
        </w:rPr>
      </w:pPr>
      <w:r>
        <w:rPr>
          <w:rFonts w:ascii="Avenir Next" w:hAnsi="Avenir Next" w:cs="Arial"/>
          <w:color w:val="FF0000"/>
          <w:sz w:val="22"/>
          <w:szCs w:val="22"/>
        </w:rPr>
        <w:t>As consideration was not provided by the bank (by way of money, goods or services a</w:t>
      </w:r>
      <w:r w:rsidR="0048243D">
        <w:rPr>
          <w:rFonts w:ascii="Avenir Next" w:hAnsi="Avenir Next" w:cs="Arial"/>
          <w:color w:val="FF0000"/>
          <w:sz w:val="22"/>
          <w:szCs w:val="22"/>
        </w:rPr>
        <w:t xml:space="preserve">t </w:t>
      </w:r>
      <w:r>
        <w:rPr>
          <w:rFonts w:ascii="Avenir Next" w:hAnsi="Avenir Next" w:cs="Arial"/>
          <w:color w:val="FF0000"/>
          <w:sz w:val="22"/>
          <w:szCs w:val="22"/>
        </w:rPr>
        <w:t>or after the creation of the charge or the discharge or reduction of debt), the liquidator should be able to have the charge rendered invalid.</w:t>
      </w:r>
      <w:r w:rsidR="0048243D">
        <w:rPr>
          <w:rFonts w:ascii="Avenir Next" w:hAnsi="Avenir Next" w:cs="Arial"/>
          <w:color w:val="FF0000"/>
          <w:sz w:val="22"/>
          <w:szCs w:val="22"/>
        </w:rPr>
        <w:t xml:space="preserve"> An alternative would be to challenge the preference made by way of section 239 of the Act, which would also require that it be shown that the company was giving a preference, influenced by a desire to produce the preference.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AEC1234" w:rsidR="00EA3B38" w:rsidRDefault="00790C31" w:rsidP="00EA3B38">
      <w:pPr>
        <w:jc w:val="both"/>
        <w:rPr>
          <w:rFonts w:ascii="Avenir Next" w:hAnsi="Avenir Next" w:cs="Arial"/>
          <w:color w:val="FF0000"/>
          <w:sz w:val="22"/>
          <w:szCs w:val="22"/>
        </w:rPr>
      </w:pPr>
      <w:r>
        <w:rPr>
          <w:rFonts w:ascii="Avenir Next" w:hAnsi="Avenir Next" w:cs="Arial"/>
          <w:color w:val="FF0000"/>
          <w:sz w:val="22"/>
          <w:szCs w:val="22"/>
        </w:rPr>
        <w:t>There are two potential ways the liquida</w:t>
      </w:r>
      <w:bookmarkStart w:id="1" w:name="_GoBack"/>
      <w:bookmarkEnd w:id="1"/>
      <w:r>
        <w:rPr>
          <w:rFonts w:ascii="Avenir Next" w:hAnsi="Avenir Next" w:cs="Arial"/>
          <w:color w:val="FF0000"/>
          <w:sz w:val="22"/>
          <w:szCs w:val="22"/>
        </w:rPr>
        <w:t>tor could attack the sale of these machines.</w:t>
      </w:r>
    </w:p>
    <w:p w14:paraId="2D833626" w14:textId="68AE9721" w:rsidR="00790C31" w:rsidRDefault="00790C31" w:rsidP="00EA3B38">
      <w:pPr>
        <w:jc w:val="both"/>
        <w:rPr>
          <w:rFonts w:ascii="Avenir Next" w:hAnsi="Avenir Next" w:cs="Arial"/>
          <w:color w:val="FF0000"/>
          <w:sz w:val="22"/>
          <w:szCs w:val="22"/>
        </w:rPr>
      </w:pPr>
    </w:p>
    <w:p w14:paraId="0CE8CE05" w14:textId="3E39A9CE" w:rsidR="00790C31" w:rsidRDefault="00790C31" w:rsidP="00EA3B38">
      <w:pPr>
        <w:jc w:val="both"/>
        <w:rPr>
          <w:rFonts w:ascii="Avenir Next" w:hAnsi="Avenir Next" w:cs="Arial"/>
          <w:color w:val="FF0000"/>
          <w:sz w:val="22"/>
          <w:szCs w:val="22"/>
        </w:rPr>
      </w:pPr>
      <w:r>
        <w:rPr>
          <w:rFonts w:ascii="Avenir Next" w:hAnsi="Avenir Next" w:cs="Arial"/>
          <w:color w:val="FF0000"/>
          <w:sz w:val="22"/>
          <w:szCs w:val="22"/>
        </w:rPr>
        <w:t xml:space="preserve">First, the liquidator may seek to attack the sale pursuant to section 423 of the IA (Transactions defrauding creditors). This may be available where the liquidator can show that the company entered into the transaction with the </w:t>
      </w:r>
      <w:proofErr w:type="spellStart"/>
      <w:r>
        <w:rPr>
          <w:rFonts w:ascii="Avenir Next" w:hAnsi="Avenir Next" w:cs="Arial"/>
          <w:color w:val="FF0000"/>
          <w:sz w:val="22"/>
          <w:szCs w:val="22"/>
        </w:rPr>
        <w:t>Ms</w:t>
      </w:r>
      <w:proofErr w:type="spellEnd"/>
      <w:r>
        <w:rPr>
          <w:rFonts w:ascii="Avenir Next" w:hAnsi="Avenir Next" w:cs="Arial"/>
          <w:color w:val="FF0000"/>
          <w:sz w:val="22"/>
          <w:szCs w:val="22"/>
        </w:rPr>
        <w:t xml:space="preserve"> Perkins (a director – connected person) at an undervalue (defined in section 238 as those which the company received no or considerably less consideration than it provided) and that the transaction was made for the purposes either of putting those machines (assets) beyond the reach of creditors or otherwise prejudicing the interests of creditors. On these facts, the transaction clearly took place at </w:t>
      </w:r>
      <w:proofErr w:type="gramStart"/>
      <w:r>
        <w:rPr>
          <w:rFonts w:ascii="Avenir Next" w:hAnsi="Avenir Next" w:cs="Arial"/>
          <w:color w:val="FF0000"/>
          <w:sz w:val="22"/>
          <w:szCs w:val="22"/>
        </w:rPr>
        <w:t>an undervalue</w:t>
      </w:r>
      <w:proofErr w:type="gramEnd"/>
      <w:r>
        <w:rPr>
          <w:rFonts w:ascii="Avenir Next" w:hAnsi="Avenir Next" w:cs="Arial"/>
          <w:color w:val="FF0000"/>
          <w:sz w:val="22"/>
          <w:szCs w:val="22"/>
        </w:rPr>
        <w:t xml:space="preserve"> (sold for 15,000 less than the purchase price one year earlier) and it is arguably prejudicial to creditors, given that a potentially higher value (and hence more money would have been available in the liquidation) could have been obtained.</w:t>
      </w:r>
    </w:p>
    <w:p w14:paraId="4534246B" w14:textId="35F7CDA1" w:rsidR="00790C31" w:rsidRDefault="00790C31" w:rsidP="00EA3B38">
      <w:pPr>
        <w:jc w:val="both"/>
        <w:rPr>
          <w:rFonts w:ascii="Avenir Next" w:hAnsi="Avenir Next" w:cs="Arial"/>
          <w:color w:val="FF0000"/>
          <w:sz w:val="22"/>
          <w:szCs w:val="22"/>
        </w:rPr>
      </w:pPr>
    </w:p>
    <w:p w14:paraId="7E987AD1" w14:textId="4BD497A5" w:rsidR="00790C31" w:rsidRPr="00D07148" w:rsidRDefault="00790C31" w:rsidP="00EA3B38">
      <w:pPr>
        <w:jc w:val="both"/>
        <w:rPr>
          <w:rFonts w:ascii="Avenir Next" w:hAnsi="Avenir Next" w:cs="Arial"/>
          <w:color w:val="FF0000"/>
          <w:sz w:val="22"/>
          <w:szCs w:val="22"/>
        </w:rPr>
      </w:pPr>
      <w:r>
        <w:rPr>
          <w:rFonts w:ascii="Avenir Next" w:hAnsi="Avenir Next" w:cs="Arial"/>
          <w:color w:val="FF0000"/>
          <w:sz w:val="22"/>
          <w:szCs w:val="22"/>
        </w:rPr>
        <w:t>Second, if it could be shown that the sale was entered into in order to ensure that creditors do not have access to the asset in liquidation, then the avoidance provisions contained in section 238 and 239 may also be open to the liquidator. We do not have enough information on these facts to decide if this is reasonably open to the liquidator, but the fact that the counterparty to an undervalued sale is a director of the company is highly questionable.</w:t>
      </w:r>
      <w:r w:rsidR="0048243D">
        <w:rPr>
          <w:rFonts w:ascii="Avenir Next" w:hAnsi="Avenir Next" w:cs="Arial"/>
          <w:color w:val="FF0000"/>
          <w:sz w:val="22"/>
          <w:szCs w:val="22"/>
        </w:rPr>
        <w:t xml:space="preserve"> The deprivation, however, must be triggered by the insolvency of the company. A commercial good faith argument is available to the counterparty in face of such an allegation, however, this transaction does not lend itself obviously to any commercial good faith nature.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0C6A8B6" w14:textId="47D49C6B" w:rsidR="00126A4D" w:rsidRDefault="005C607E" w:rsidP="00087F21">
      <w:pPr>
        <w:autoSpaceDE w:val="0"/>
        <w:autoSpaceDN w:val="0"/>
        <w:adjustRightInd w:val="0"/>
        <w:jc w:val="both"/>
        <w:rPr>
          <w:rFonts w:ascii="Avenir Next" w:hAnsi="Avenir Next" w:cs="Arial"/>
          <w:color w:val="FF0000"/>
          <w:sz w:val="22"/>
          <w:szCs w:val="22"/>
        </w:rPr>
      </w:pPr>
      <w:r w:rsidRPr="005C607E">
        <w:rPr>
          <w:rFonts w:ascii="Avenir Next" w:hAnsi="Avenir Next" w:cs="Arial"/>
          <w:color w:val="FF0000"/>
          <w:sz w:val="22"/>
          <w:szCs w:val="22"/>
        </w:rPr>
        <w:t>These payments may b</w:t>
      </w:r>
      <w:r>
        <w:rPr>
          <w:rFonts w:ascii="Avenir Next" w:hAnsi="Avenir Next" w:cs="Arial"/>
          <w:color w:val="FF0000"/>
          <w:sz w:val="22"/>
          <w:szCs w:val="22"/>
        </w:rPr>
        <w:t xml:space="preserve">e challenged via the avoidance provisions, including sections 238 and 239. It must however be shown that the payments were made because of the insolvency, otherwise the transactions will not be able to be avoided. Further, as the transaction is not bone fide, and potentially has as part of its purposes, the deprivation of an insolvent party's property, the bone fide transaction </w:t>
      </w:r>
      <w:proofErr w:type="spellStart"/>
      <w:r>
        <w:rPr>
          <w:rFonts w:ascii="Avenir Next" w:hAnsi="Avenir Next" w:cs="Arial"/>
          <w:color w:val="FF0000"/>
          <w:sz w:val="22"/>
          <w:szCs w:val="22"/>
        </w:rPr>
        <w:t>defence</w:t>
      </w:r>
      <w:proofErr w:type="spellEnd"/>
      <w:r>
        <w:rPr>
          <w:rFonts w:ascii="Avenir Next" w:hAnsi="Avenir Next" w:cs="Arial"/>
          <w:color w:val="FF0000"/>
          <w:sz w:val="22"/>
          <w:szCs w:val="22"/>
        </w:rPr>
        <w:t xml:space="preserve"> will not assist Hard and Fast Ltd (nor will the commercial good faith argument).</w:t>
      </w:r>
    </w:p>
    <w:p w14:paraId="42817DA0" w14:textId="62EBCA26" w:rsidR="005C607E" w:rsidRDefault="005C607E" w:rsidP="00087F21">
      <w:pPr>
        <w:autoSpaceDE w:val="0"/>
        <w:autoSpaceDN w:val="0"/>
        <w:adjustRightInd w:val="0"/>
        <w:jc w:val="both"/>
        <w:rPr>
          <w:rFonts w:ascii="Avenir Next" w:hAnsi="Avenir Next" w:cs="Arial"/>
          <w:color w:val="FF0000"/>
          <w:sz w:val="22"/>
          <w:szCs w:val="22"/>
        </w:rPr>
      </w:pPr>
    </w:p>
    <w:p w14:paraId="0AB6F19E" w14:textId="2D838A4F" w:rsidR="005C607E" w:rsidRDefault="005C607E" w:rsidP="00087F21">
      <w:pPr>
        <w:autoSpaceDE w:val="0"/>
        <w:autoSpaceDN w:val="0"/>
        <w:adjustRightInd w:val="0"/>
        <w:jc w:val="both"/>
        <w:rPr>
          <w:rFonts w:ascii="Avenir Next" w:hAnsi="Avenir Next" w:cs="Arial"/>
          <w:color w:val="FF0000"/>
          <w:sz w:val="22"/>
          <w:szCs w:val="22"/>
        </w:rPr>
      </w:pPr>
      <w:r>
        <w:rPr>
          <w:rFonts w:ascii="Avenir Next" w:hAnsi="Avenir Next" w:cs="Arial"/>
          <w:color w:val="FF0000"/>
          <w:sz w:val="22"/>
          <w:szCs w:val="22"/>
        </w:rPr>
        <w:t xml:space="preserve">A section 238 challenge is open on these facts because the transaction was entered into at </w:t>
      </w:r>
      <w:proofErr w:type="gramStart"/>
      <w:r>
        <w:rPr>
          <w:rFonts w:ascii="Avenir Next" w:hAnsi="Avenir Next" w:cs="Arial"/>
          <w:color w:val="FF0000"/>
          <w:sz w:val="22"/>
          <w:szCs w:val="22"/>
        </w:rPr>
        <w:t>an undervalue</w:t>
      </w:r>
      <w:proofErr w:type="gramEnd"/>
      <w:r>
        <w:rPr>
          <w:rFonts w:ascii="Avenir Next" w:hAnsi="Avenir Next" w:cs="Arial"/>
          <w:color w:val="FF0000"/>
          <w:sz w:val="22"/>
          <w:szCs w:val="22"/>
        </w:rPr>
        <w:t xml:space="preserve"> (in that no value was afforded to the company – no debt was forgiven) and was otherwise prejudicial to creditors.</w:t>
      </w:r>
    </w:p>
    <w:p w14:paraId="46E0EA99" w14:textId="5E41DAE7" w:rsidR="005C607E" w:rsidRDefault="005C607E" w:rsidP="00087F21">
      <w:pPr>
        <w:autoSpaceDE w:val="0"/>
        <w:autoSpaceDN w:val="0"/>
        <w:adjustRightInd w:val="0"/>
        <w:jc w:val="both"/>
        <w:rPr>
          <w:rFonts w:ascii="Avenir Next" w:hAnsi="Avenir Next" w:cs="Arial"/>
          <w:color w:val="FF0000"/>
          <w:sz w:val="22"/>
          <w:szCs w:val="22"/>
        </w:rPr>
      </w:pPr>
    </w:p>
    <w:p w14:paraId="1F77AF27" w14:textId="30C020D6" w:rsidR="005C607E" w:rsidRPr="005C607E" w:rsidRDefault="005C607E" w:rsidP="00087F21">
      <w:pPr>
        <w:autoSpaceDE w:val="0"/>
        <w:autoSpaceDN w:val="0"/>
        <w:adjustRightInd w:val="0"/>
        <w:jc w:val="both"/>
        <w:rPr>
          <w:rFonts w:ascii="Avenir Next" w:hAnsi="Avenir Next" w:cs="Arial"/>
          <w:color w:val="FF0000"/>
          <w:sz w:val="22"/>
          <w:szCs w:val="22"/>
        </w:rPr>
      </w:pPr>
      <w:r>
        <w:rPr>
          <w:rFonts w:ascii="Avenir Next" w:hAnsi="Avenir Next" w:cs="Arial"/>
          <w:color w:val="FF0000"/>
          <w:sz w:val="22"/>
          <w:szCs w:val="22"/>
        </w:rPr>
        <w:t>Unfortunately, the change in terms and urgent payment for continued provision of services will not be rendered invalid by Hard and Fast pursuant to sections 233, 233A and 233B, as those provisions apply to administration, CVAs, moratorium and or restructuring plans (and not in liquidations).</w:t>
      </w:r>
    </w:p>
    <w:p w14:paraId="79548899" w14:textId="77777777" w:rsidR="005C607E" w:rsidRPr="006925C1" w:rsidRDefault="005C607E"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A36D91C"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5C607E">
          <w:rPr>
            <w:rStyle w:val="PageNumber"/>
            <w:rFonts w:ascii="Avenir Next" w:hAnsi="Avenir Next" w:cs="Arial"/>
            <w:noProof/>
            <w:sz w:val="22"/>
            <w:szCs w:val="22"/>
          </w:rPr>
          <w:t>10</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D62B7"/>
    <w:multiLevelType w:val="hybridMultilevel"/>
    <w:tmpl w:val="5DCCAEB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129CC"/>
    <w:multiLevelType w:val="hybridMultilevel"/>
    <w:tmpl w:val="9E604F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2291F"/>
    <w:multiLevelType w:val="hybridMultilevel"/>
    <w:tmpl w:val="01EC37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621169"/>
    <w:multiLevelType w:val="hybridMultilevel"/>
    <w:tmpl w:val="92CE7A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5E3376"/>
    <w:multiLevelType w:val="hybridMultilevel"/>
    <w:tmpl w:val="518CC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3"/>
  </w:num>
  <w:num w:numId="6">
    <w:abstractNumId w:val="2"/>
  </w:num>
  <w:num w:numId="7">
    <w:abstractNumId w:val="14"/>
  </w:num>
  <w:num w:numId="8">
    <w:abstractNumId w:val="19"/>
  </w:num>
  <w:num w:numId="9">
    <w:abstractNumId w:val="11"/>
  </w:num>
  <w:num w:numId="10">
    <w:abstractNumId w:val="20"/>
  </w:num>
  <w:num w:numId="11">
    <w:abstractNumId w:val="5"/>
  </w:num>
  <w:num w:numId="12">
    <w:abstractNumId w:val="17"/>
  </w:num>
  <w:num w:numId="13">
    <w:abstractNumId w:val="12"/>
  </w:num>
  <w:num w:numId="14">
    <w:abstractNumId w:val="4"/>
  </w:num>
  <w:num w:numId="15">
    <w:abstractNumId w:val="15"/>
  </w:num>
  <w:num w:numId="16">
    <w:abstractNumId w:val="18"/>
  </w:num>
  <w:num w:numId="17">
    <w:abstractNumId w:val="8"/>
  </w:num>
  <w:num w:numId="18">
    <w:abstractNumId w:val="9"/>
  </w:num>
  <w:num w:numId="19">
    <w:abstractNumId w:val="7"/>
  </w:num>
  <w:num w:numId="20">
    <w:abstractNumId w:val="21"/>
  </w:num>
  <w:num w:numId="21">
    <w:abstractNumId w:val="16"/>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702B"/>
    <w:rsid w:val="00020557"/>
    <w:rsid w:val="00021FC2"/>
    <w:rsid w:val="000250C7"/>
    <w:rsid w:val="00026F16"/>
    <w:rsid w:val="00037621"/>
    <w:rsid w:val="00044D46"/>
    <w:rsid w:val="00045088"/>
    <w:rsid w:val="00045904"/>
    <w:rsid w:val="000502FD"/>
    <w:rsid w:val="00065166"/>
    <w:rsid w:val="00080817"/>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445C"/>
    <w:rsid w:val="001F7412"/>
    <w:rsid w:val="0020090A"/>
    <w:rsid w:val="00201120"/>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2679A"/>
    <w:rsid w:val="00430FED"/>
    <w:rsid w:val="00434A8C"/>
    <w:rsid w:val="00435114"/>
    <w:rsid w:val="00437297"/>
    <w:rsid w:val="00444284"/>
    <w:rsid w:val="00445CE6"/>
    <w:rsid w:val="004534C2"/>
    <w:rsid w:val="0045446F"/>
    <w:rsid w:val="0045683E"/>
    <w:rsid w:val="00461F95"/>
    <w:rsid w:val="00474C2B"/>
    <w:rsid w:val="00477C72"/>
    <w:rsid w:val="0048243D"/>
    <w:rsid w:val="00491675"/>
    <w:rsid w:val="00493855"/>
    <w:rsid w:val="00495E79"/>
    <w:rsid w:val="004A2D83"/>
    <w:rsid w:val="004A57DD"/>
    <w:rsid w:val="004A7B51"/>
    <w:rsid w:val="004A7D71"/>
    <w:rsid w:val="004A7EF3"/>
    <w:rsid w:val="004B11FD"/>
    <w:rsid w:val="004B23A2"/>
    <w:rsid w:val="004C6E46"/>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C607E"/>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38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0C31"/>
    <w:rsid w:val="00793173"/>
    <w:rsid w:val="007A2A33"/>
    <w:rsid w:val="007A5171"/>
    <w:rsid w:val="007B5C89"/>
    <w:rsid w:val="007C1FCC"/>
    <w:rsid w:val="007C6201"/>
    <w:rsid w:val="007D2A38"/>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B55AC"/>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A3652"/>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07148"/>
    <w:rsid w:val="00D078BF"/>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85D21"/>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337"/>
    <w:rsid w:val="00FE1D12"/>
    <w:rsid w:val="00FE2122"/>
    <w:rsid w:val="00FE2A86"/>
    <w:rsid w:val="00FE2DE2"/>
    <w:rsid w:val="00FE4FC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purl.org/dc/elements/1.1/"/>
    <ds:schemaRef ds:uri="http://schemas.microsoft.com/office/2006/metadata/properties"/>
    <ds:schemaRef ds:uri="aa83e3e4-888c-4ce0-bc3e-c79df2587106"/>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ee216d15-0d94-4154-823d-f705f9e225b9"/>
    <ds:schemaRef ds:uri="http://www.w3.org/XML/1998/namespace"/>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8FF0B945-10C1-47FB-999C-7170D0C5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Hall</cp:lastModifiedBy>
  <cp:revision>4</cp:revision>
  <cp:lastPrinted>2019-08-27T05:42:00Z</cp:lastPrinted>
  <dcterms:created xsi:type="dcterms:W3CDTF">2022-12-29T20:32:00Z</dcterms:created>
  <dcterms:modified xsi:type="dcterms:W3CDTF">2022-12-30T18:17:00Z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