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w:t>
      </w:r>
      <w:proofErr w:type="gramStart"/>
      <w:r w:rsidRPr="006C65F4">
        <w:rPr>
          <w:rFonts w:ascii="Avenir Next" w:hAnsi="Avenir Next" w:cs="Arial"/>
          <w:sz w:val="22"/>
          <w:szCs w:val="22"/>
          <w:lang w:val="en-GB"/>
        </w:rPr>
        <w:t>a</w:t>
      </w:r>
      <w:proofErr w:type="gramEnd"/>
      <w:r w:rsidRPr="006C65F4">
        <w:rPr>
          <w:rFonts w:ascii="Avenir Next" w:hAnsi="Avenir Next" w:cs="Arial"/>
          <w:sz w:val="22"/>
          <w:szCs w:val="22"/>
          <w:lang w:val="en-GB"/>
        </w:rPr>
        <w:t xml:space="preserve">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w:t>
      </w:r>
      <w:proofErr w:type="gramStart"/>
      <w:r w:rsidRPr="00CE0ECD">
        <w:rPr>
          <w:rFonts w:ascii="Avenir Next" w:hAnsi="Avenir Next" w:cs="Arial"/>
          <w:sz w:val="22"/>
          <w:szCs w:val="22"/>
          <w:lang w:val="en-GB"/>
        </w:rPr>
        <w:t>are</w:t>
      </w:r>
      <w:proofErr w:type="gramEnd"/>
      <w:r w:rsidRPr="00CE0EC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E46080" w:rsidRDefault="00CE0ECD" w:rsidP="00B77B19">
      <w:pPr>
        <w:pStyle w:val="AODocTxt"/>
        <w:numPr>
          <w:ilvl w:val="0"/>
          <w:numId w:val="14"/>
        </w:numPr>
        <w:spacing w:before="0" w:line="240" w:lineRule="auto"/>
        <w:ind w:left="426"/>
        <w:rPr>
          <w:rFonts w:ascii="Avenir Next" w:hAnsi="Avenir Next"/>
          <w:highlight w:val="yellow"/>
        </w:rPr>
      </w:pPr>
      <w:r w:rsidRPr="00E46080">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E46080">
        <w:rPr>
          <w:rFonts w:ascii="Avenir Next" w:hAnsi="Avenir Next"/>
          <w:highlight w:val="yellow"/>
        </w:rPr>
        <w:t>(b)</w:t>
      </w:r>
      <w:r w:rsidRPr="00E46080">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6A76F6" w:rsidRDefault="00CE0ECD" w:rsidP="00097D56">
      <w:pPr>
        <w:pStyle w:val="AODocTxt"/>
        <w:numPr>
          <w:ilvl w:val="0"/>
          <w:numId w:val="16"/>
        </w:numPr>
        <w:spacing w:before="0" w:line="240" w:lineRule="auto"/>
        <w:ind w:left="426"/>
        <w:rPr>
          <w:rFonts w:ascii="Avenir Next" w:hAnsi="Avenir Next"/>
          <w:highlight w:val="yellow"/>
        </w:rPr>
      </w:pPr>
      <w:r w:rsidRPr="006A76F6">
        <w:rPr>
          <w:rFonts w:ascii="Avenir Next" w:hAnsi="Avenir Next"/>
          <w:highlight w:val="yellow"/>
        </w:rPr>
        <w:t xml:space="preserve">A </w:t>
      </w:r>
      <w:r w:rsidR="00D06A30" w:rsidRPr="006A76F6">
        <w:rPr>
          <w:rFonts w:ascii="Avenir Next" w:hAnsi="Avenir Next"/>
          <w:highlight w:val="yellow"/>
        </w:rPr>
        <w:t>10</w:t>
      </w:r>
      <w:r w:rsidRPr="006A76F6">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6A76F6" w:rsidRDefault="00CE0ECD" w:rsidP="00A82B32">
      <w:pPr>
        <w:pStyle w:val="AODocTxt"/>
        <w:numPr>
          <w:ilvl w:val="0"/>
          <w:numId w:val="18"/>
        </w:numPr>
        <w:spacing w:before="0" w:line="240" w:lineRule="auto"/>
        <w:ind w:left="426"/>
        <w:rPr>
          <w:rFonts w:ascii="Avenir Next" w:hAnsi="Avenir Next"/>
          <w:highlight w:val="yellow"/>
        </w:rPr>
      </w:pPr>
      <w:r w:rsidRPr="006A76F6">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Pr="006A76F6" w:rsidRDefault="00CE0ECD" w:rsidP="00A82B32">
      <w:pPr>
        <w:pStyle w:val="AODocTxt"/>
        <w:numPr>
          <w:ilvl w:val="0"/>
          <w:numId w:val="18"/>
        </w:numPr>
        <w:spacing w:before="0" w:line="240" w:lineRule="auto"/>
        <w:ind w:left="426"/>
        <w:rPr>
          <w:rFonts w:ascii="Avenir Next" w:hAnsi="Avenir Next"/>
        </w:rPr>
      </w:pPr>
      <w:r w:rsidRPr="006A76F6">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w:t>
      </w:r>
      <w:proofErr w:type="spellStart"/>
      <w:r w:rsidRPr="00B77B19">
        <w:rPr>
          <w:rFonts w:ascii="Avenir Next" w:hAnsi="Avenir Next"/>
        </w:rPr>
        <w:t>cramdowns</w:t>
      </w:r>
      <w:proofErr w:type="spellEnd"/>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Class definition is often a battleground when a debtor tries to </w:t>
      </w:r>
      <w:proofErr w:type="spellStart"/>
      <w:r w:rsidRPr="00B77B19">
        <w:rPr>
          <w:rFonts w:ascii="Avenir Next" w:hAnsi="Avenir Next"/>
        </w:rPr>
        <w:t>cramdown</w:t>
      </w:r>
      <w:proofErr w:type="spellEnd"/>
      <w:r w:rsidRPr="00B77B19">
        <w:rPr>
          <w:rFonts w:ascii="Avenir Next" w:hAnsi="Avenir Next"/>
        </w:rPr>
        <w:t xml:space="preserve">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Dissenting creditors are permitted to challenge the classification of a creditor supporting the </w:t>
      </w:r>
      <w:proofErr w:type="spellStart"/>
      <w:r w:rsidRPr="00B77B19">
        <w:rPr>
          <w:rFonts w:ascii="Avenir Next" w:hAnsi="Avenir Next"/>
        </w:rPr>
        <w:t>cramdown</w:t>
      </w:r>
      <w:proofErr w:type="spellEnd"/>
      <w:r w:rsidRPr="00B77B19">
        <w:rPr>
          <w:rFonts w:ascii="Avenir Next" w:hAnsi="Avenir Next"/>
        </w:rPr>
        <w:t>.</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570A22" w:rsidRDefault="00CE0ECD" w:rsidP="00E421C6">
      <w:pPr>
        <w:pStyle w:val="AODocTxt"/>
        <w:numPr>
          <w:ilvl w:val="0"/>
          <w:numId w:val="20"/>
        </w:numPr>
        <w:spacing w:before="0" w:line="240" w:lineRule="auto"/>
        <w:ind w:left="426"/>
        <w:rPr>
          <w:rFonts w:ascii="Avenir Next" w:hAnsi="Avenir Next"/>
          <w:highlight w:val="yellow"/>
        </w:rPr>
      </w:pPr>
      <w:r w:rsidRPr="00570A22">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570A22" w:rsidRDefault="00CE0ECD" w:rsidP="00E421C6">
      <w:pPr>
        <w:pStyle w:val="AODocTxt"/>
        <w:numPr>
          <w:ilvl w:val="0"/>
          <w:numId w:val="22"/>
        </w:numPr>
        <w:spacing w:before="0" w:line="240" w:lineRule="auto"/>
        <w:ind w:left="426"/>
        <w:rPr>
          <w:rFonts w:ascii="Avenir Next" w:hAnsi="Avenir Next"/>
          <w:highlight w:val="yellow"/>
        </w:rPr>
      </w:pPr>
      <w:r w:rsidRPr="00570A22">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031427" w:rsidRDefault="00CE0ECD" w:rsidP="000346E7">
      <w:pPr>
        <w:pStyle w:val="AODocTxt"/>
        <w:numPr>
          <w:ilvl w:val="0"/>
          <w:numId w:val="24"/>
        </w:numPr>
        <w:spacing w:before="0" w:line="240" w:lineRule="auto"/>
        <w:ind w:left="426"/>
        <w:rPr>
          <w:rFonts w:ascii="Avenir Next" w:hAnsi="Avenir Next"/>
          <w:highlight w:val="yellow"/>
        </w:rPr>
      </w:pPr>
      <w:r w:rsidRPr="00031427">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031427" w:rsidRDefault="00CE0ECD" w:rsidP="004830F8">
      <w:pPr>
        <w:pStyle w:val="AODocTxt"/>
        <w:numPr>
          <w:ilvl w:val="0"/>
          <w:numId w:val="26"/>
        </w:numPr>
        <w:spacing w:before="0" w:line="240" w:lineRule="auto"/>
        <w:ind w:left="426"/>
        <w:rPr>
          <w:rFonts w:ascii="Avenir Next" w:hAnsi="Avenir Next"/>
          <w:highlight w:val="yellow"/>
        </w:rPr>
      </w:pPr>
      <w:r w:rsidRPr="00031427">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031427" w:rsidRDefault="00CE0ECD" w:rsidP="004830F8">
      <w:pPr>
        <w:pStyle w:val="AODocTxt"/>
        <w:numPr>
          <w:ilvl w:val="0"/>
          <w:numId w:val="28"/>
        </w:numPr>
        <w:spacing w:before="0" w:line="240" w:lineRule="auto"/>
        <w:ind w:left="426"/>
        <w:rPr>
          <w:rFonts w:ascii="Avenir Next" w:hAnsi="Avenir Next"/>
          <w:highlight w:val="yellow"/>
        </w:rPr>
      </w:pPr>
      <w:r w:rsidRPr="00031427">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031427" w:rsidRDefault="00CE0ECD" w:rsidP="00AA0280">
      <w:pPr>
        <w:pStyle w:val="AODocTxt"/>
        <w:numPr>
          <w:ilvl w:val="0"/>
          <w:numId w:val="30"/>
        </w:numPr>
        <w:spacing w:before="0" w:line="240" w:lineRule="auto"/>
        <w:ind w:left="426"/>
        <w:rPr>
          <w:rFonts w:ascii="Avenir Next" w:hAnsi="Avenir Next"/>
          <w:highlight w:val="yellow"/>
        </w:rPr>
      </w:pPr>
      <w:r w:rsidRPr="00031427">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1F6DAFC3" w:rsidR="00E41578" w:rsidRPr="00CA212A" w:rsidRDefault="00CA212A" w:rsidP="00E41578">
      <w:pPr>
        <w:jc w:val="both"/>
        <w:rPr>
          <w:rFonts w:ascii="Avenir Next" w:hAnsi="Avenir Next" w:cs="Arial"/>
          <w:color w:val="FF0000"/>
          <w:sz w:val="22"/>
          <w:szCs w:val="22"/>
          <w:lang w:val="en-GB"/>
        </w:rPr>
      </w:pPr>
      <w:r w:rsidRPr="00CA212A">
        <w:rPr>
          <w:rFonts w:ascii="Avenir Next" w:hAnsi="Avenir Next" w:cs="Arial"/>
          <w:color w:val="FF0000"/>
          <w:sz w:val="22"/>
          <w:szCs w:val="22"/>
          <w:lang w:val="en-GB"/>
        </w:rPr>
        <w:t>Setoff enables a creditor to net off the claims it has against a debtor with the money it owes the debtor. As this concept can improve the position of a creditor as against other unsecured creditors who are not owed by money by that debtor (decreasing the obligation to the estate by the whole amount owed by the debtor instead of the lesser amount the debtor would pay on an unsecured claim), the setoff procedure is not permitted under many circumstances.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7CB73EF9" w:rsidR="00622C36" w:rsidRPr="00CA212A" w:rsidRDefault="00CA212A" w:rsidP="00CA212A">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You should review the Federal Rules of Bankruptcy Procedure, which in many instances, incorporate reference to the Federal Rules of Civil Procedure. In addition, each bankruptcy court will have local rules of procedure that ought to be consulted when preparing a filing for bankruptcy. </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57E07488" w:rsidR="003A5537" w:rsidRPr="00CA212A" w:rsidRDefault="00CA212A" w:rsidP="00CA212A">
      <w:pPr>
        <w:jc w:val="both"/>
        <w:rPr>
          <w:rFonts w:ascii="Avenir Next" w:hAnsi="Avenir Next" w:cs="Arial"/>
          <w:color w:val="FF0000"/>
          <w:sz w:val="22"/>
          <w:szCs w:val="22"/>
          <w:lang w:val="en-GB"/>
        </w:rPr>
      </w:pPr>
      <w:r>
        <w:rPr>
          <w:rFonts w:ascii="Avenir Next" w:hAnsi="Avenir Next" w:cs="Arial"/>
          <w:color w:val="FF0000"/>
          <w:sz w:val="22"/>
          <w:szCs w:val="22"/>
          <w:lang w:val="en-GB"/>
        </w:rPr>
        <w:t>The absolute priority rule requires that payment is made in full to each category of claims before the next category can be paid anything. In the circumstances of a Chapter 11 plan, the absolute priority rule can be deviated from provided consent is obtained from affected creditors. The rule cannot be deviated from in the circumstances of a Chapter 7 proceeding.</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65A35A5F" w:rsidR="00E41578" w:rsidRPr="00CA212A" w:rsidRDefault="00CA212A" w:rsidP="00E4157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 priming lien is a post-petition </w:t>
      </w:r>
      <w:r w:rsidR="007A1D24">
        <w:rPr>
          <w:rFonts w:ascii="Avenir Next" w:hAnsi="Avenir Next" w:cs="Arial"/>
          <w:color w:val="FF0000"/>
          <w:sz w:val="22"/>
          <w:szCs w:val="22"/>
          <w:lang w:val="en-GB"/>
        </w:rPr>
        <w:t>lien</w:t>
      </w:r>
      <w:r>
        <w:rPr>
          <w:rFonts w:ascii="Avenir Next" w:hAnsi="Avenir Next" w:cs="Arial"/>
          <w:color w:val="FF0000"/>
          <w:sz w:val="22"/>
          <w:szCs w:val="22"/>
          <w:lang w:val="en-GB"/>
        </w:rPr>
        <w:t xml:space="preserve"> that is senior or equal to a pre-petition lien over estate property to secure post-petition financing.</w:t>
      </w:r>
      <w:r w:rsidR="007A1D24">
        <w:rPr>
          <w:rFonts w:ascii="Avenir Next" w:hAnsi="Avenir Next" w:cs="Arial"/>
          <w:color w:val="FF0000"/>
          <w:sz w:val="22"/>
          <w:szCs w:val="22"/>
          <w:lang w:val="en-GB"/>
        </w:rPr>
        <w:t xml:space="preserve"> In order to for a priming lien to be granted to secure DIP financing, </w:t>
      </w:r>
      <w:r w:rsidR="007A1D24">
        <w:rPr>
          <w:rFonts w:ascii="Avenir Next" w:hAnsi="Avenir Next" w:cs="Arial"/>
          <w:color w:val="FF0000"/>
          <w:sz w:val="22"/>
          <w:szCs w:val="22"/>
          <w:lang w:val="en-GB"/>
        </w:rPr>
        <w:lastRenderedPageBreak/>
        <w:t>the Court must be satisfied that financing cannot be obtained on any other terms – the debtor must also show that the interests of the secured creditor being primed is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34B7D4CD" w14:textId="77777777" w:rsidR="007A1D24" w:rsidRDefault="007A1D24" w:rsidP="00E41578">
      <w:pPr>
        <w:jc w:val="both"/>
        <w:rPr>
          <w:rFonts w:ascii="Avenir Next" w:hAnsi="Avenir Next" w:cs="Arial"/>
          <w:color w:val="FF0000"/>
          <w:sz w:val="22"/>
          <w:szCs w:val="22"/>
          <w:lang w:val="en-GB"/>
        </w:rPr>
      </w:pPr>
      <w:r w:rsidRPr="007A1D24">
        <w:rPr>
          <w:rFonts w:ascii="Avenir Next" w:hAnsi="Avenir Next" w:cs="Arial"/>
          <w:color w:val="FF0000"/>
          <w:sz w:val="22"/>
          <w:szCs w:val="22"/>
          <w:lang w:val="en-GB"/>
        </w:rPr>
        <w:t>A</w:t>
      </w:r>
      <w:r>
        <w:rPr>
          <w:rFonts w:ascii="Avenir Next" w:hAnsi="Avenir Next" w:cs="Arial"/>
          <w:color w:val="FF0000"/>
          <w:sz w:val="22"/>
          <w:szCs w:val="22"/>
          <w:lang w:val="en-GB"/>
        </w:rPr>
        <w:t xml:space="preserve"> preference is a transfer of debtor's property that is made in a suspect period prior to the petition date that must be returned to the estate where it exceeds the amount the recipient would receive in a Chapter 7 liquidation were the transfer not made.</w:t>
      </w:r>
    </w:p>
    <w:p w14:paraId="33F853F5" w14:textId="77777777" w:rsidR="007A1D24" w:rsidRDefault="007A1D24" w:rsidP="00E41578">
      <w:pPr>
        <w:jc w:val="both"/>
        <w:rPr>
          <w:rFonts w:ascii="Avenir Next" w:hAnsi="Avenir Next" w:cs="Arial"/>
          <w:color w:val="FF0000"/>
          <w:sz w:val="22"/>
          <w:szCs w:val="22"/>
          <w:lang w:val="en-GB"/>
        </w:rPr>
      </w:pPr>
    </w:p>
    <w:p w14:paraId="08CA68F5" w14:textId="77777777" w:rsidR="007A1D24" w:rsidRDefault="007A1D24" w:rsidP="00E41578">
      <w:pPr>
        <w:jc w:val="both"/>
        <w:rPr>
          <w:rFonts w:ascii="Avenir Next" w:hAnsi="Avenir Next" w:cs="Arial"/>
          <w:color w:val="FF0000"/>
          <w:sz w:val="22"/>
          <w:szCs w:val="22"/>
          <w:lang w:val="en-GB"/>
        </w:rPr>
      </w:pPr>
      <w:r>
        <w:rPr>
          <w:rFonts w:ascii="Avenir Next" w:hAnsi="Avenir Next" w:cs="Arial"/>
          <w:color w:val="FF0000"/>
          <w:sz w:val="22"/>
          <w:szCs w:val="22"/>
          <w:lang w:val="en-GB"/>
        </w:rPr>
        <w:t>There is no need to show fault by either the debtor or the creditor. The elements of a preference claim to be proved, are:</w:t>
      </w:r>
    </w:p>
    <w:p w14:paraId="774F9DD4" w14:textId="77777777" w:rsidR="007A1D24" w:rsidRDefault="007A1D24" w:rsidP="00E41578">
      <w:pPr>
        <w:jc w:val="both"/>
        <w:rPr>
          <w:rFonts w:ascii="Avenir Next" w:hAnsi="Avenir Next" w:cs="Arial"/>
          <w:color w:val="FF0000"/>
          <w:sz w:val="22"/>
          <w:szCs w:val="22"/>
          <w:lang w:val="en-GB"/>
        </w:rPr>
      </w:pPr>
    </w:p>
    <w:p w14:paraId="3FC21346" w14:textId="1186F187" w:rsidR="007A1D24" w:rsidRDefault="007A1D24" w:rsidP="007A1D24">
      <w:pPr>
        <w:pStyle w:val="ListParagraph"/>
        <w:numPr>
          <w:ilvl w:val="0"/>
          <w:numId w:val="33"/>
        </w:numPr>
        <w:jc w:val="both"/>
        <w:rPr>
          <w:rFonts w:ascii="Avenir Next" w:hAnsi="Avenir Next" w:cs="Arial"/>
          <w:color w:val="FF0000"/>
          <w:sz w:val="22"/>
          <w:szCs w:val="22"/>
          <w:lang w:val="en-GB"/>
        </w:rPr>
      </w:pPr>
      <w:r>
        <w:rPr>
          <w:rFonts w:ascii="Avenir Next" w:hAnsi="Avenir Next" w:cs="Arial"/>
          <w:color w:val="FF0000"/>
          <w:sz w:val="22"/>
          <w:szCs w:val="22"/>
          <w:lang w:val="en-GB"/>
        </w:rPr>
        <w:t>The transfer of an interest of a debtor in the property;</w:t>
      </w:r>
    </w:p>
    <w:p w14:paraId="7842B491" w14:textId="3D736D7E" w:rsidR="00E41578" w:rsidRDefault="007A1D24" w:rsidP="007A1D24">
      <w:pPr>
        <w:pStyle w:val="ListParagraph"/>
        <w:numPr>
          <w:ilvl w:val="0"/>
          <w:numId w:val="33"/>
        </w:numPr>
        <w:jc w:val="both"/>
        <w:rPr>
          <w:rFonts w:ascii="Avenir Next" w:hAnsi="Avenir Next" w:cs="Arial"/>
          <w:color w:val="FF0000"/>
          <w:sz w:val="22"/>
          <w:szCs w:val="22"/>
          <w:lang w:val="en-GB"/>
        </w:rPr>
      </w:pPr>
      <w:r>
        <w:rPr>
          <w:rFonts w:ascii="Avenir Next" w:hAnsi="Avenir Next" w:cs="Arial"/>
          <w:color w:val="FF0000"/>
          <w:sz w:val="22"/>
          <w:szCs w:val="22"/>
          <w:lang w:val="en-GB"/>
        </w:rPr>
        <w:t>To or benefiting a creditor;</w:t>
      </w:r>
    </w:p>
    <w:p w14:paraId="28AF5191" w14:textId="77777777" w:rsidR="007A1D24" w:rsidRDefault="007A1D24" w:rsidP="00E41578">
      <w:pPr>
        <w:pStyle w:val="ListParagraph"/>
        <w:numPr>
          <w:ilvl w:val="0"/>
          <w:numId w:val="33"/>
        </w:numPr>
        <w:jc w:val="both"/>
        <w:rPr>
          <w:rFonts w:ascii="Avenir Next" w:hAnsi="Avenir Next" w:cs="Arial"/>
          <w:color w:val="FF0000"/>
          <w:sz w:val="22"/>
          <w:szCs w:val="22"/>
          <w:lang w:val="en-GB"/>
        </w:rPr>
      </w:pPr>
      <w:r>
        <w:rPr>
          <w:rFonts w:ascii="Avenir Next" w:hAnsi="Avenir Next" w:cs="Arial"/>
          <w:color w:val="FF0000"/>
          <w:sz w:val="22"/>
          <w:szCs w:val="22"/>
          <w:lang w:val="en-GB"/>
        </w:rPr>
        <w:t>Made:</w:t>
      </w:r>
    </w:p>
    <w:p w14:paraId="122A97D6" w14:textId="3DC55CD5" w:rsidR="00E41578" w:rsidRDefault="007A1D24" w:rsidP="007A1D24">
      <w:pPr>
        <w:pStyle w:val="ListParagraph"/>
        <w:numPr>
          <w:ilvl w:val="1"/>
          <w:numId w:val="33"/>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for or because of an pre-existing debt owed to the creditor by the debtor </w:t>
      </w:r>
      <w:r w:rsidRPr="007A1D24">
        <w:rPr>
          <w:rFonts w:ascii="Avenir Next" w:hAnsi="Avenir Next" w:cs="Arial"/>
          <w:color w:val="FF0000"/>
          <w:sz w:val="22"/>
          <w:szCs w:val="22"/>
          <w:u w:val="single"/>
          <w:lang w:val="en-GB"/>
        </w:rPr>
        <w:t>prior</w:t>
      </w:r>
      <w:r>
        <w:rPr>
          <w:rFonts w:ascii="Avenir Next" w:hAnsi="Avenir Next" w:cs="Arial"/>
          <w:color w:val="FF0000"/>
          <w:sz w:val="22"/>
          <w:szCs w:val="22"/>
          <w:lang w:val="en-GB"/>
        </w:rPr>
        <w:t xml:space="preserve"> to the transfer;</w:t>
      </w:r>
    </w:p>
    <w:p w14:paraId="0EA93580" w14:textId="3E83F58D" w:rsidR="007A1D24" w:rsidRDefault="007A1D24" w:rsidP="007A1D24">
      <w:pPr>
        <w:pStyle w:val="ListParagraph"/>
        <w:numPr>
          <w:ilvl w:val="1"/>
          <w:numId w:val="33"/>
        </w:numPr>
        <w:jc w:val="both"/>
        <w:rPr>
          <w:rFonts w:ascii="Avenir Next" w:hAnsi="Avenir Next" w:cs="Arial"/>
          <w:color w:val="FF0000"/>
          <w:sz w:val="22"/>
          <w:szCs w:val="22"/>
          <w:lang w:val="en-GB"/>
        </w:rPr>
      </w:pPr>
      <w:r>
        <w:rPr>
          <w:rFonts w:ascii="Avenir Next" w:hAnsi="Avenir Next" w:cs="Arial"/>
          <w:color w:val="FF0000"/>
          <w:sz w:val="22"/>
          <w:szCs w:val="22"/>
          <w:lang w:val="en-GB"/>
        </w:rPr>
        <w:t>when the debtor was insolvent;</w:t>
      </w:r>
    </w:p>
    <w:p w14:paraId="67700666" w14:textId="26FAE252" w:rsidR="007A1D24" w:rsidRDefault="007A1D24" w:rsidP="007A1D24">
      <w:pPr>
        <w:pStyle w:val="ListParagraph"/>
        <w:numPr>
          <w:ilvl w:val="1"/>
          <w:numId w:val="33"/>
        </w:numPr>
        <w:jc w:val="both"/>
        <w:rPr>
          <w:rFonts w:ascii="Avenir Next" w:hAnsi="Avenir Next" w:cs="Arial"/>
          <w:color w:val="FF0000"/>
          <w:sz w:val="22"/>
          <w:szCs w:val="22"/>
          <w:lang w:val="en-GB"/>
        </w:rPr>
      </w:pPr>
      <w:r>
        <w:rPr>
          <w:rFonts w:ascii="Avenir Next" w:hAnsi="Avenir Next" w:cs="Arial"/>
          <w:color w:val="FF0000"/>
          <w:sz w:val="22"/>
          <w:szCs w:val="22"/>
          <w:lang w:val="en-GB"/>
        </w:rPr>
        <w:t>during the suspect period;</w:t>
      </w:r>
    </w:p>
    <w:p w14:paraId="01C92A00" w14:textId="28F9DAA4" w:rsidR="007A1D24" w:rsidRPr="007A1D24" w:rsidRDefault="007A1D24" w:rsidP="007A1D24">
      <w:pPr>
        <w:pStyle w:val="ListParagraph"/>
        <w:numPr>
          <w:ilvl w:val="0"/>
          <w:numId w:val="33"/>
        </w:numPr>
        <w:jc w:val="both"/>
        <w:rPr>
          <w:rFonts w:ascii="Avenir Next" w:hAnsi="Avenir Next" w:cs="Arial"/>
          <w:color w:val="FF0000"/>
          <w:sz w:val="22"/>
          <w:szCs w:val="22"/>
          <w:lang w:val="en-GB"/>
        </w:rPr>
      </w:pPr>
      <w:proofErr w:type="gramStart"/>
      <w:r>
        <w:rPr>
          <w:rFonts w:ascii="Avenir Next" w:hAnsi="Avenir Next" w:cs="Arial"/>
          <w:color w:val="FF0000"/>
          <w:sz w:val="22"/>
          <w:szCs w:val="22"/>
          <w:lang w:val="en-GB"/>
        </w:rPr>
        <w:t>enabling</w:t>
      </w:r>
      <w:proofErr w:type="gramEnd"/>
      <w:r>
        <w:rPr>
          <w:rFonts w:ascii="Avenir Next" w:hAnsi="Avenir Next" w:cs="Arial"/>
          <w:color w:val="FF0000"/>
          <w:sz w:val="22"/>
          <w:szCs w:val="22"/>
          <w:lang w:val="en-GB"/>
        </w:rPr>
        <w:t xml:space="preserve"> a creditor to receive more than it would in a Chapter 7 liquidation.</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48AAFD41" w:rsidR="00E41578" w:rsidRDefault="00874F0B" w:rsidP="00E41578">
      <w:pPr>
        <w:jc w:val="both"/>
        <w:rPr>
          <w:rFonts w:ascii="Avenir Next" w:hAnsi="Avenir Next" w:cs="Arial"/>
          <w:color w:val="FF0000"/>
          <w:sz w:val="22"/>
          <w:szCs w:val="22"/>
          <w:lang w:val="en-GB"/>
        </w:rPr>
      </w:pPr>
      <w:r>
        <w:rPr>
          <w:rFonts w:ascii="Avenir Next" w:hAnsi="Avenir Next" w:cs="Arial"/>
          <w:color w:val="FF0000"/>
          <w:sz w:val="22"/>
          <w:szCs w:val="22"/>
          <w:lang w:val="en-GB"/>
        </w:rPr>
        <w:t>A final order is an order disposing of all issuing, and it leaving nothing further to be decided in the case. It can be made by the bankruptcy court in circumstances where the parties have consented to the bankruptcy Court's jurisdiction (see for e.g. Wellness Int'l Network, Ltd. V Sharif, 135 S Ct 1932 (2015), implemented by Federal Rules of Bankruptcy P 7008.) or by issuing a report and recommendation for review by the district court</w:t>
      </w:r>
      <w:r w:rsidR="00442DA0">
        <w:rPr>
          <w:rFonts w:ascii="Avenir Next" w:hAnsi="Avenir Next" w:cs="Arial"/>
          <w:color w:val="FF0000"/>
          <w:sz w:val="22"/>
          <w:szCs w:val="22"/>
          <w:lang w:val="en-GB"/>
        </w:rPr>
        <w:t>, which then sees the district court treating the bankruptcy court's order as proposed findings of fact and conclusions of law</w:t>
      </w:r>
      <w:r>
        <w:rPr>
          <w:rFonts w:ascii="Avenir Next" w:hAnsi="Avenir Next" w:cs="Arial"/>
          <w:color w:val="FF0000"/>
          <w:sz w:val="22"/>
          <w:szCs w:val="22"/>
          <w:lang w:val="en-GB"/>
        </w:rPr>
        <w:t xml:space="preserve"> (see for e.g. Federal Rules of Bankruptcy P 8018.1). This is contrasted with non-final or interlocutory orders, which may resolve only some issues or claims in the case. However, the US Supreme Court has ruled that bankruptcy orders resolving discrete issues or disputes are final orders for the purpose of appeals.</w:t>
      </w:r>
    </w:p>
    <w:p w14:paraId="6106D0CD" w14:textId="4B5B0157" w:rsidR="00874F0B" w:rsidRDefault="00874F0B" w:rsidP="00E41578">
      <w:pPr>
        <w:jc w:val="both"/>
        <w:rPr>
          <w:rFonts w:ascii="Avenir Next" w:hAnsi="Avenir Next" w:cs="Arial"/>
          <w:color w:val="FF0000"/>
          <w:sz w:val="22"/>
          <w:szCs w:val="22"/>
          <w:lang w:val="en-GB"/>
        </w:rPr>
      </w:pPr>
    </w:p>
    <w:p w14:paraId="7D4F3B59" w14:textId="1485B1F6" w:rsidR="00874F0B" w:rsidRDefault="00874F0B" w:rsidP="00E41578">
      <w:pPr>
        <w:jc w:val="both"/>
        <w:rPr>
          <w:rFonts w:ascii="Avenir Next" w:hAnsi="Avenir Next" w:cs="Arial"/>
          <w:color w:val="FF0000"/>
          <w:sz w:val="22"/>
          <w:szCs w:val="22"/>
          <w:lang w:val="en-GB"/>
        </w:rPr>
      </w:pPr>
      <w:r>
        <w:rPr>
          <w:rFonts w:ascii="Avenir Next" w:hAnsi="Avenir Next" w:cs="Arial"/>
          <w:color w:val="FF0000"/>
          <w:sz w:val="22"/>
          <w:szCs w:val="22"/>
          <w:lang w:val="en-GB"/>
        </w:rPr>
        <w:t>A final order may be appealed as a right, whereas non-final or interlocutory orders can only be appealed with leave of the appellate Court.</w:t>
      </w:r>
    </w:p>
    <w:p w14:paraId="6808D9F2" w14:textId="168AE726" w:rsidR="00874F0B" w:rsidRDefault="00874F0B" w:rsidP="00E41578">
      <w:pPr>
        <w:jc w:val="both"/>
        <w:rPr>
          <w:rFonts w:ascii="Avenir Next" w:hAnsi="Avenir Next" w:cs="Arial"/>
          <w:color w:val="FF0000"/>
          <w:sz w:val="22"/>
          <w:szCs w:val="22"/>
          <w:lang w:val="en-GB"/>
        </w:rPr>
      </w:pPr>
    </w:p>
    <w:p w14:paraId="69D262A3" w14:textId="4E1BB288" w:rsidR="00874F0B" w:rsidRDefault="00874F0B" w:rsidP="00E41578">
      <w:pPr>
        <w:jc w:val="both"/>
        <w:rPr>
          <w:rFonts w:ascii="Avenir Next" w:hAnsi="Avenir Next" w:cs="Arial"/>
          <w:color w:val="FF0000"/>
          <w:sz w:val="22"/>
          <w:szCs w:val="22"/>
          <w:lang w:val="en-GB"/>
        </w:rPr>
      </w:pPr>
      <w:r>
        <w:rPr>
          <w:rFonts w:ascii="Avenir Next" w:hAnsi="Avenir Next" w:cs="Arial"/>
          <w:color w:val="FF0000"/>
          <w:sz w:val="22"/>
          <w:szCs w:val="22"/>
          <w:lang w:val="en-GB"/>
        </w:rPr>
        <w:t>Appeals from the bankruptcy court are generally heard by the district court for the district in which they sit.</w:t>
      </w:r>
      <w:r w:rsidR="00612839">
        <w:rPr>
          <w:rFonts w:ascii="Avenir Next" w:hAnsi="Avenir Next" w:cs="Arial"/>
          <w:color w:val="FF0000"/>
          <w:sz w:val="22"/>
          <w:szCs w:val="22"/>
          <w:lang w:val="en-GB"/>
        </w:rPr>
        <w:t xml:space="preserve"> Though, in some circuits appeals can be heard by a Bankruptcy Appellate Panel</w:t>
      </w:r>
      <w:r w:rsidR="00442DA0">
        <w:rPr>
          <w:rFonts w:ascii="Avenir Next" w:hAnsi="Avenir Next" w:cs="Arial"/>
          <w:color w:val="FF0000"/>
          <w:sz w:val="22"/>
          <w:szCs w:val="22"/>
          <w:lang w:val="en-GB"/>
        </w:rPr>
        <w:t xml:space="preserve">, which comprise judges from the bankruptcy courts within the circuit. Further appeals from the circuit court or BAP go to the circuit court of appeals. </w:t>
      </w:r>
      <w:r w:rsidR="00612839">
        <w:rPr>
          <w:rFonts w:ascii="Avenir Next" w:hAnsi="Avenir Next" w:cs="Arial"/>
          <w:color w:val="FF0000"/>
          <w:sz w:val="22"/>
          <w:szCs w:val="22"/>
          <w:lang w:val="en-GB"/>
        </w:rPr>
        <w:t xml:space="preserve"> </w:t>
      </w:r>
    </w:p>
    <w:p w14:paraId="5A4FD253" w14:textId="77777777" w:rsidR="00442DA0" w:rsidRDefault="00442DA0" w:rsidP="000778B1">
      <w:pPr>
        <w:pStyle w:val="AODocTxt"/>
        <w:spacing w:before="0" w:line="240" w:lineRule="auto"/>
        <w:rPr>
          <w:rFonts w:ascii="Avenir Next" w:eastAsia="Times New Roman" w:hAnsi="Avenir Next" w:cs="Arial"/>
          <w:color w:val="FF0000"/>
          <w:lang w:val="en-GB"/>
        </w:rPr>
      </w:pPr>
    </w:p>
    <w:p w14:paraId="30BE2020" w14:textId="1A5F6FC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lastRenderedPageBreak/>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176A3F4" w14:textId="005FC689" w:rsidR="00E01803" w:rsidRPr="00A3639B" w:rsidRDefault="00442DA0" w:rsidP="00442DA0">
      <w:pPr>
        <w:jc w:val="both"/>
        <w:rPr>
          <w:rFonts w:ascii="Avenir Next" w:hAnsi="Avenir Next" w:cs="Arial"/>
          <w:color w:val="FF0000"/>
          <w:sz w:val="22"/>
          <w:szCs w:val="22"/>
          <w:lang w:val="en-GB"/>
        </w:rPr>
      </w:pPr>
      <w:r w:rsidRPr="00A3639B">
        <w:rPr>
          <w:rFonts w:ascii="Avenir Next" w:hAnsi="Avenir Next" w:cs="Arial"/>
          <w:color w:val="FF0000"/>
          <w:sz w:val="22"/>
          <w:szCs w:val="22"/>
          <w:lang w:val="en-GB"/>
        </w:rPr>
        <w:t>The provisions of the Bankruptcy Code that automatically apply to debtor property within the US upon recognition of a foreign main proceeding are</w:t>
      </w:r>
      <w:r w:rsidR="00A3639B">
        <w:rPr>
          <w:rFonts w:ascii="Avenir Next" w:hAnsi="Avenir Next" w:cs="Arial"/>
          <w:color w:val="FF0000"/>
          <w:sz w:val="22"/>
          <w:szCs w:val="22"/>
          <w:lang w:val="en-GB"/>
        </w:rPr>
        <w:t xml:space="preserve"> (11 USC, </w:t>
      </w:r>
      <w:r w:rsidR="00A3639B" w:rsidRPr="00A3639B">
        <w:rPr>
          <w:rFonts w:ascii="Arial" w:hAnsi="Arial" w:cs="Arial"/>
          <w:bCs/>
          <w:color w:val="202124"/>
          <w:shd w:val="clear" w:color="auto" w:fill="FFFFFF"/>
        </w:rPr>
        <w:t>§</w:t>
      </w:r>
      <w:r w:rsidR="00A3639B">
        <w:rPr>
          <w:rFonts w:ascii="Arial" w:hAnsi="Arial" w:cs="Arial"/>
          <w:bCs/>
          <w:color w:val="202124"/>
          <w:shd w:val="clear" w:color="auto" w:fill="FFFFFF"/>
        </w:rPr>
        <w:t xml:space="preserve"> </w:t>
      </w:r>
      <w:r w:rsidR="00A3639B" w:rsidRPr="00A3639B">
        <w:rPr>
          <w:rFonts w:ascii="Avenir Next" w:hAnsi="Avenir Next" w:cs="Arial"/>
          <w:color w:val="FF0000"/>
          <w:sz w:val="22"/>
          <w:szCs w:val="22"/>
          <w:lang w:val="en-GB"/>
        </w:rPr>
        <w:t>1520</w:t>
      </w:r>
      <w:r w:rsidR="00A3639B">
        <w:rPr>
          <w:rFonts w:ascii="Avenir Next" w:hAnsi="Avenir Next" w:cs="Arial"/>
          <w:color w:val="FF0000"/>
          <w:sz w:val="22"/>
          <w:szCs w:val="22"/>
          <w:lang w:val="en-GB"/>
        </w:rPr>
        <w:t>)</w:t>
      </w:r>
      <w:r w:rsidRPr="00A3639B">
        <w:rPr>
          <w:rFonts w:ascii="Avenir Next" w:hAnsi="Avenir Next" w:cs="Arial"/>
          <w:color w:val="FF0000"/>
          <w:sz w:val="22"/>
          <w:szCs w:val="22"/>
          <w:lang w:val="en-GB"/>
        </w:rPr>
        <w:t>:</w:t>
      </w:r>
    </w:p>
    <w:p w14:paraId="48FB0693" w14:textId="61D4B868" w:rsidR="00442DA0" w:rsidRPr="00A3639B" w:rsidRDefault="00442DA0" w:rsidP="00442DA0">
      <w:pPr>
        <w:jc w:val="both"/>
        <w:rPr>
          <w:rFonts w:ascii="Avenir Next" w:hAnsi="Avenir Next" w:cs="Arial"/>
          <w:color w:val="FF0000"/>
          <w:sz w:val="22"/>
          <w:szCs w:val="22"/>
          <w:lang w:val="en-GB"/>
        </w:rPr>
      </w:pPr>
    </w:p>
    <w:p w14:paraId="38B348E5" w14:textId="0FFA43DB" w:rsidR="00442DA0" w:rsidRPr="00A3639B" w:rsidRDefault="00442DA0" w:rsidP="00A3639B">
      <w:pPr>
        <w:pStyle w:val="ListParagraph"/>
        <w:numPr>
          <w:ilvl w:val="0"/>
          <w:numId w:val="36"/>
        </w:numPr>
        <w:jc w:val="both"/>
        <w:rPr>
          <w:rFonts w:ascii="Avenir Next" w:hAnsi="Avenir Next" w:cs="Arial"/>
          <w:color w:val="FF0000"/>
          <w:sz w:val="22"/>
          <w:szCs w:val="22"/>
          <w:lang w:val="en-GB"/>
        </w:rPr>
      </w:pPr>
      <w:r w:rsidRPr="00A3639B">
        <w:rPr>
          <w:rFonts w:ascii="Avenir Next" w:hAnsi="Avenir Next" w:cs="Arial"/>
          <w:color w:val="FF0000"/>
          <w:sz w:val="22"/>
          <w:szCs w:val="22"/>
          <w:lang w:val="en-GB"/>
        </w:rPr>
        <w:t>automatic stay</w:t>
      </w:r>
      <w:r w:rsidR="00A3639B">
        <w:rPr>
          <w:rFonts w:ascii="Avenir Next" w:hAnsi="Avenir Next" w:cs="Arial"/>
          <w:color w:val="FF0000"/>
          <w:sz w:val="22"/>
          <w:szCs w:val="22"/>
          <w:lang w:val="en-GB"/>
        </w:rPr>
        <w:t>;</w:t>
      </w:r>
    </w:p>
    <w:p w14:paraId="6572B3C0" w14:textId="5A29B813" w:rsidR="00A3639B" w:rsidRDefault="00A3639B" w:rsidP="00A3639B">
      <w:pPr>
        <w:pStyle w:val="ListParagraph"/>
        <w:numPr>
          <w:ilvl w:val="0"/>
          <w:numId w:val="36"/>
        </w:numPr>
        <w:jc w:val="both"/>
        <w:rPr>
          <w:rFonts w:ascii="Avenir Next" w:hAnsi="Avenir Next" w:cs="Arial"/>
          <w:color w:val="FF0000"/>
          <w:sz w:val="22"/>
          <w:szCs w:val="22"/>
          <w:lang w:val="en-GB"/>
        </w:rPr>
      </w:pPr>
      <w:r>
        <w:rPr>
          <w:rFonts w:ascii="Avenir Next" w:hAnsi="Avenir Next" w:cs="Arial"/>
          <w:color w:val="FF0000"/>
          <w:sz w:val="22"/>
          <w:szCs w:val="22"/>
          <w:lang w:val="en-GB"/>
        </w:rPr>
        <w:t>operation of a debtor's business in the ordinary course by the foreign rep;</w:t>
      </w:r>
    </w:p>
    <w:p w14:paraId="0D87A62B" w14:textId="06AC2C42" w:rsidR="00A3639B" w:rsidRDefault="00A3639B" w:rsidP="00A3639B">
      <w:pPr>
        <w:pStyle w:val="ListParagraph"/>
        <w:numPr>
          <w:ilvl w:val="0"/>
          <w:numId w:val="36"/>
        </w:numPr>
        <w:jc w:val="both"/>
        <w:rPr>
          <w:rFonts w:ascii="Avenir Next" w:hAnsi="Avenir Next" w:cs="Arial"/>
          <w:color w:val="FF0000"/>
          <w:sz w:val="22"/>
          <w:szCs w:val="22"/>
          <w:lang w:val="en-GB"/>
        </w:rPr>
      </w:pPr>
      <w:r>
        <w:rPr>
          <w:rFonts w:ascii="Avenir Next" w:hAnsi="Avenir Next" w:cs="Arial"/>
          <w:color w:val="FF0000"/>
          <w:sz w:val="22"/>
          <w:szCs w:val="22"/>
          <w:lang w:val="en-GB"/>
        </w:rPr>
        <w:t>sae, use or transfer of property outside the ordinary course; and</w:t>
      </w:r>
    </w:p>
    <w:p w14:paraId="162AA151" w14:textId="0E9DEE7D" w:rsidR="00A3639B" w:rsidRDefault="00A3639B" w:rsidP="00A3639B">
      <w:pPr>
        <w:pStyle w:val="ListParagraph"/>
        <w:numPr>
          <w:ilvl w:val="0"/>
          <w:numId w:val="36"/>
        </w:numPr>
        <w:jc w:val="both"/>
        <w:rPr>
          <w:rFonts w:ascii="Avenir Next" w:hAnsi="Avenir Next" w:cs="Arial"/>
          <w:color w:val="FF0000"/>
          <w:sz w:val="22"/>
          <w:szCs w:val="22"/>
          <w:lang w:val="en-GB"/>
        </w:rPr>
      </w:pPr>
      <w:proofErr w:type="gramStart"/>
      <w:r>
        <w:rPr>
          <w:rFonts w:ascii="Avenir Next" w:hAnsi="Avenir Next" w:cs="Arial"/>
          <w:color w:val="FF0000"/>
          <w:sz w:val="22"/>
          <w:szCs w:val="22"/>
          <w:lang w:val="en-GB"/>
        </w:rPr>
        <w:t>avoidance</w:t>
      </w:r>
      <w:proofErr w:type="gramEnd"/>
      <w:r>
        <w:rPr>
          <w:rFonts w:ascii="Avenir Next" w:hAnsi="Avenir Next" w:cs="Arial"/>
          <w:color w:val="FF0000"/>
          <w:sz w:val="22"/>
          <w:szCs w:val="22"/>
          <w:lang w:val="en-GB"/>
        </w:rPr>
        <w:t xml:space="preserve"> of any post-petition transfers and perfection of security interests.</w:t>
      </w:r>
    </w:p>
    <w:p w14:paraId="5BD2E2A3" w14:textId="4ADE9F66" w:rsidR="00A3639B" w:rsidRDefault="00A3639B" w:rsidP="00A3639B">
      <w:pPr>
        <w:jc w:val="both"/>
        <w:rPr>
          <w:rFonts w:ascii="Avenir Next" w:hAnsi="Avenir Next" w:cs="Arial"/>
          <w:color w:val="FF0000"/>
          <w:sz w:val="22"/>
          <w:szCs w:val="22"/>
          <w:lang w:val="en-GB"/>
        </w:rPr>
      </w:pPr>
    </w:p>
    <w:p w14:paraId="5995DE66" w14:textId="36E97F82" w:rsidR="00A3639B" w:rsidRDefault="00A3639B" w:rsidP="00A3639B">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above relief may also be granted for non-main proceedings on a discretionary basis. In addition, for both foreign main or non-main proceedings, the following relief can be granted on a discretionary basis </w:t>
      </w:r>
      <w:r>
        <w:rPr>
          <w:rFonts w:ascii="Avenir Next" w:hAnsi="Avenir Next" w:cs="Arial"/>
          <w:color w:val="FF0000"/>
          <w:sz w:val="22"/>
          <w:szCs w:val="22"/>
          <w:lang w:val="en-GB"/>
        </w:rPr>
        <w:t xml:space="preserve">(11 USC, </w:t>
      </w:r>
      <w:r w:rsidRPr="00A3639B">
        <w:rPr>
          <w:rFonts w:ascii="Arial" w:hAnsi="Arial" w:cs="Arial"/>
          <w:bCs/>
          <w:color w:val="202124"/>
          <w:shd w:val="clear" w:color="auto" w:fill="FFFFFF"/>
        </w:rPr>
        <w:t>§</w:t>
      </w:r>
      <w:r>
        <w:rPr>
          <w:rFonts w:ascii="Arial" w:hAnsi="Arial" w:cs="Arial"/>
          <w:bCs/>
          <w:color w:val="202124"/>
          <w:shd w:val="clear" w:color="auto" w:fill="FFFFFF"/>
        </w:rPr>
        <w:t xml:space="preserve"> </w:t>
      </w:r>
      <w:r>
        <w:rPr>
          <w:rFonts w:ascii="Avenir Next" w:hAnsi="Avenir Next" w:cs="Arial"/>
          <w:color w:val="FF0000"/>
          <w:sz w:val="22"/>
          <w:szCs w:val="22"/>
          <w:lang w:val="en-GB"/>
        </w:rPr>
        <w:t>1521</w:t>
      </w:r>
      <w:r>
        <w:rPr>
          <w:rFonts w:ascii="Avenir Next" w:hAnsi="Avenir Next" w:cs="Arial"/>
          <w:color w:val="FF0000"/>
          <w:sz w:val="22"/>
          <w:szCs w:val="22"/>
          <w:lang w:val="en-GB"/>
        </w:rPr>
        <w:t>)</w:t>
      </w:r>
      <w:r>
        <w:rPr>
          <w:rFonts w:ascii="Avenir Next" w:hAnsi="Avenir Next" w:cs="Arial"/>
          <w:color w:val="FF0000"/>
          <w:sz w:val="22"/>
          <w:szCs w:val="22"/>
          <w:lang w:val="en-GB"/>
        </w:rPr>
        <w:t>:</w:t>
      </w:r>
    </w:p>
    <w:p w14:paraId="3FBBAEBE" w14:textId="3D921AF5" w:rsidR="00A3639B" w:rsidRDefault="00A3639B" w:rsidP="00A3639B">
      <w:pPr>
        <w:jc w:val="both"/>
        <w:rPr>
          <w:rFonts w:ascii="Avenir Next" w:hAnsi="Avenir Next" w:cs="Arial"/>
          <w:color w:val="FF0000"/>
          <w:sz w:val="22"/>
          <w:szCs w:val="22"/>
          <w:lang w:val="en-GB"/>
        </w:rPr>
      </w:pPr>
    </w:p>
    <w:p w14:paraId="29210578" w14:textId="157466CF" w:rsidR="00A3639B" w:rsidRDefault="00A3639B" w:rsidP="00A3639B">
      <w:pPr>
        <w:pStyle w:val="ListParagraph"/>
        <w:numPr>
          <w:ilvl w:val="0"/>
          <w:numId w:val="37"/>
        </w:numPr>
        <w:jc w:val="both"/>
        <w:rPr>
          <w:rFonts w:ascii="Avenir Next" w:hAnsi="Avenir Next" w:cs="Arial"/>
          <w:color w:val="FF0000"/>
          <w:sz w:val="22"/>
          <w:szCs w:val="22"/>
          <w:lang w:val="en-GB"/>
        </w:rPr>
      </w:pPr>
      <w:r>
        <w:rPr>
          <w:rFonts w:ascii="Avenir Next" w:hAnsi="Avenir Next" w:cs="Arial"/>
          <w:color w:val="FF0000"/>
          <w:sz w:val="22"/>
          <w:szCs w:val="22"/>
          <w:lang w:val="en-GB"/>
        </w:rPr>
        <w:t>authorising discovery re a debtor's assets and affairs;</w:t>
      </w:r>
    </w:p>
    <w:p w14:paraId="2D98D669" w14:textId="7F1E4CEB" w:rsidR="00A3639B" w:rsidRDefault="00A3639B" w:rsidP="00A3639B">
      <w:pPr>
        <w:pStyle w:val="ListParagraph"/>
        <w:numPr>
          <w:ilvl w:val="0"/>
          <w:numId w:val="37"/>
        </w:numPr>
        <w:jc w:val="both"/>
        <w:rPr>
          <w:rFonts w:ascii="Avenir Next" w:hAnsi="Avenir Next" w:cs="Arial"/>
          <w:color w:val="FF0000"/>
          <w:sz w:val="22"/>
          <w:szCs w:val="22"/>
          <w:lang w:val="en-GB"/>
        </w:rPr>
      </w:pPr>
      <w:r>
        <w:rPr>
          <w:rFonts w:ascii="Avenir Next" w:hAnsi="Avenir Next" w:cs="Arial"/>
          <w:color w:val="FF0000"/>
          <w:sz w:val="22"/>
          <w:szCs w:val="22"/>
          <w:lang w:val="en-GB"/>
        </w:rPr>
        <w:t>entrusting the admin of the debtor's US-based assets to the foreign rep or some other person'</w:t>
      </w:r>
    </w:p>
    <w:p w14:paraId="4879CFFA" w14:textId="7B0C162E" w:rsidR="00A3639B" w:rsidRDefault="00A3639B" w:rsidP="00A3639B">
      <w:pPr>
        <w:pStyle w:val="ListParagraph"/>
        <w:numPr>
          <w:ilvl w:val="0"/>
          <w:numId w:val="37"/>
        </w:numPr>
        <w:jc w:val="both"/>
        <w:rPr>
          <w:rFonts w:ascii="Avenir Next" w:hAnsi="Avenir Next" w:cs="Arial"/>
          <w:color w:val="FF0000"/>
          <w:sz w:val="22"/>
          <w:szCs w:val="22"/>
          <w:lang w:val="en-GB"/>
        </w:rPr>
      </w:pPr>
      <w:r>
        <w:rPr>
          <w:rFonts w:ascii="Avenir Next" w:hAnsi="Avenir Next" w:cs="Arial"/>
          <w:color w:val="FF0000"/>
          <w:sz w:val="22"/>
          <w:szCs w:val="22"/>
          <w:lang w:val="en-GB"/>
        </w:rPr>
        <w:t>extension of any provisional relief; or</w:t>
      </w:r>
    </w:p>
    <w:p w14:paraId="19BBD80D" w14:textId="3BF8300B" w:rsidR="00A3639B" w:rsidRPr="00A3639B" w:rsidRDefault="00A3639B" w:rsidP="00A3639B">
      <w:pPr>
        <w:pStyle w:val="ListParagraph"/>
        <w:numPr>
          <w:ilvl w:val="0"/>
          <w:numId w:val="37"/>
        </w:numPr>
        <w:jc w:val="both"/>
        <w:rPr>
          <w:rFonts w:ascii="Avenir Next" w:hAnsi="Avenir Next" w:cs="Arial"/>
          <w:color w:val="FF0000"/>
          <w:sz w:val="22"/>
          <w:szCs w:val="22"/>
          <w:lang w:val="en-GB"/>
        </w:rPr>
      </w:pPr>
      <w:proofErr w:type="gramStart"/>
      <w:r>
        <w:rPr>
          <w:rFonts w:ascii="Avenir Next" w:hAnsi="Avenir Next" w:cs="Arial"/>
          <w:color w:val="FF0000"/>
          <w:sz w:val="22"/>
          <w:szCs w:val="22"/>
          <w:lang w:val="en-GB"/>
        </w:rPr>
        <w:t>any</w:t>
      </w:r>
      <w:proofErr w:type="gramEnd"/>
      <w:r>
        <w:rPr>
          <w:rFonts w:ascii="Avenir Next" w:hAnsi="Avenir Next" w:cs="Arial"/>
          <w:color w:val="FF0000"/>
          <w:sz w:val="22"/>
          <w:szCs w:val="22"/>
          <w:lang w:val="en-GB"/>
        </w:rPr>
        <w:t xml:space="preserve"> other necessary relief.</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1E5C0A7A" w14:textId="77777777" w:rsidR="0055512A" w:rsidRDefault="00BC4B9A" w:rsidP="00E41578">
      <w:pPr>
        <w:jc w:val="both"/>
        <w:rPr>
          <w:rFonts w:ascii="Avenir Next" w:hAnsi="Avenir Next" w:cs="Arial"/>
          <w:color w:val="FF0000"/>
          <w:sz w:val="22"/>
          <w:szCs w:val="22"/>
          <w:lang w:val="en-GB"/>
        </w:rPr>
      </w:pPr>
      <w:r>
        <w:rPr>
          <w:rFonts w:ascii="Avenir Next" w:hAnsi="Avenir Next" w:cs="Arial"/>
          <w:color w:val="FF0000"/>
          <w:sz w:val="22"/>
          <w:szCs w:val="22"/>
          <w:lang w:val="en-GB"/>
        </w:rPr>
        <w:t>In the ordinary course of business, directors owe a fiduciary duty of loyalty to the corporation's best interests and a duty of care in making educated decisions.</w:t>
      </w:r>
      <w:r w:rsidR="0055512A">
        <w:rPr>
          <w:rFonts w:ascii="Avenir Next" w:hAnsi="Avenir Next" w:cs="Arial"/>
          <w:color w:val="FF0000"/>
          <w:sz w:val="22"/>
          <w:szCs w:val="22"/>
          <w:lang w:val="en-GB"/>
        </w:rPr>
        <w:t xml:space="preserve"> </w:t>
      </w:r>
    </w:p>
    <w:p w14:paraId="32794ECA" w14:textId="77777777" w:rsidR="0055512A" w:rsidRDefault="0055512A" w:rsidP="00E41578">
      <w:pPr>
        <w:jc w:val="both"/>
        <w:rPr>
          <w:rFonts w:ascii="Avenir Next" w:hAnsi="Avenir Next" w:cs="Arial"/>
          <w:color w:val="FF0000"/>
          <w:sz w:val="22"/>
          <w:szCs w:val="22"/>
          <w:lang w:val="en-GB"/>
        </w:rPr>
      </w:pPr>
    </w:p>
    <w:p w14:paraId="417344D2" w14:textId="417EA47E" w:rsidR="00E41578" w:rsidRDefault="0055512A" w:rsidP="00E4157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Whether a corporation is solvent, insolvent or potentially insolvent, these duties are owed to shareholders (not creditors – as confirmed by the </w:t>
      </w:r>
      <w:r w:rsidRPr="0055512A">
        <w:rPr>
          <w:rFonts w:ascii="Avenir Next" w:hAnsi="Avenir Next" w:cs="Arial"/>
          <w:color w:val="FF0000"/>
          <w:sz w:val="22"/>
          <w:szCs w:val="22"/>
          <w:u w:val="single"/>
          <w:lang w:val="en-GB"/>
        </w:rPr>
        <w:t xml:space="preserve">Delaware Supreme Court in North Am </w:t>
      </w:r>
      <w:proofErr w:type="spellStart"/>
      <w:r w:rsidRPr="0055512A">
        <w:rPr>
          <w:rFonts w:ascii="Avenir Next" w:hAnsi="Avenir Next" w:cs="Arial"/>
          <w:color w:val="FF0000"/>
          <w:sz w:val="22"/>
          <w:szCs w:val="22"/>
          <w:u w:val="single"/>
          <w:lang w:val="en-GB"/>
        </w:rPr>
        <w:t>Catholoic</w:t>
      </w:r>
      <w:proofErr w:type="spellEnd"/>
      <w:r w:rsidRPr="0055512A">
        <w:rPr>
          <w:rFonts w:ascii="Avenir Next" w:hAnsi="Avenir Next" w:cs="Arial"/>
          <w:color w:val="FF0000"/>
          <w:sz w:val="22"/>
          <w:szCs w:val="22"/>
          <w:u w:val="single"/>
          <w:lang w:val="en-GB"/>
        </w:rPr>
        <w:t xml:space="preserve"> Educat</w:t>
      </w:r>
      <w:r>
        <w:rPr>
          <w:rFonts w:ascii="Avenir Next" w:hAnsi="Avenir Next" w:cs="Arial"/>
          <w:color w:val="FF0000"/>
          <w:sz w:val="22"/>
          <w:szCs w:val="22"/>
          <w:u w:val="single"/>
          <w:lang w:val="en-GB"/>
        </w:rPr>
        <w:t xml:space="preserve">ional Programming Foundation, </w:t>
      </w:r>
      <w:proofErr w:type="spellStart"/>
      <w:r>
        <w:rPr>
          <w:rFonts w:ascii="Avenir Next" w:hAnsi="Avenir Next" w:cs="Arial"/>
          <w:color w:val="FF0000"/>
          <w:sz w:val="22"/>
          <w:szCs w:val="22"/>
          <w:u w:val="single"/>
          <w:lang w:val="en-GB"/>
        </w:rPr>
        <w:t>In</w:t>
      </w:r>
      <w:r w:rsidRPr="0055512A">
        <w:rPr>
          <w:rFonts w:ascii="Avenir Next" w:hAnsi="Avenir Next" w:cs="Arial"/>
          <w:color w:val="FF0000"/>
          <w:sz w:val="22"/>
          <w:szCs w:val="22"/>
          <w:u w:val="single"/>
          <w:lang w:val="en-GB"/>
        </w:rPr>
        <w:t>c</w:t>
      </w:r>
      <w:proofErr w:type="spellEnd"/>
      <w:r w:rsidRPr="0055512A">
        <w:rPr>
          <w:rFonts w:ascii="Avenir Next" w:hAnsi="Avenir Next" w:cs="Arial"/>
          <w:color w:val="FF0000"/>
          <w:sz w:val="22"/>
          <w:szCs w:val="22"/>
          <w:u w:val="single"/>
          <w:lang w:val="en-GB"/>
        </w:rPr>
        <w:t xml:space="preserve"> v </w:t>
      </w:r>
      <w:proofErr w:type="spellStart"/>
      <w:r w:rsidRPr="0055512A">
        <w:rPr>
          <w:rFonts w:ascii="Avenir Next" w:hAnsi="Avenir Next" w:cs="Arial"/>
          <w:color w:val="FF0000"/>
          <w:sz w:val="22"/>
          <w:szCs w:val="22"/>
          <w:u w:val="single"/>
          <w:lang w:val="en-GB"/>
        </w:rPr>
        <w:t>Gheewalla</w:t>
      </w:r>
      <w:proofErr w:type="spellEnd"/>
      <w:r>
        <w:rPr>
          <w:rFonts w:ascii="Avenir Next" w:hAnsi="Avenir Next" w:cs="Arial"/>
          <w:color w:val="FF0000"/>
          <w:sz w:val="22"/>
          <w:szCs w:val="22"/>
          <w:lang w:val="en-GB"/>
        </w:rPr>
        <w:t>, 930 A.2d 92, 103).</w:t>
      </w:r>
    </w:p>
    <w:p w14:paraId="578B2DA2" w14:textId="4BDEEAFC" w:rsidR="00BC4B9A" w:rsidRDefault="00BC4B9A" w:rsidP="00E41578">
      <w:pPr>
        <w:jc w:val="both"/>
        <w:rPr>
          <w:rFonts w:ascii="Avenir Next" w:hAnsi="Avenir Next" w:cs="Arial"/>
          <w:color w:val="FF0000"/>
          <w:sz w:val="22"/>
          <w:szCs w:val="22"/>
          <w:lang w:val="en-GB"/>
        </w:rPr>
      </w:pPr>
    </w:p>
    <w:p w14:paraId="4A07A2C3" w14:textId="69AD06C8" w:rsidR="00E01803" w:rsidRPr="0055512A" w:rsidRDefault="00BC4B9A" w:rsidP="0055512A">
      <w:pPr>
        <w:jc w:val="both"/>
        <w:rPr>
          <w:rFonts w:ascii="Avenir Next" w:hAnsi="Avenir Next" w:cs="Arial"/>
          <w:color w:val="FF0000"/>
          <w:sz w:val="22"/>
          <w:szCs w:val="22"/>
          <w:lang w:val="en-GB"/>
        </w:rPr>
      </w:pPr>
      <w:r>
        <w:rPr>
          <w:rFonts w:ascii="Avenir Next" w:hAnsi="Avenir Next" w:cs="Arial"/>
          <w:color w:val="FF0000"/>
          <w:sz w:val="22"/>
          <w:szCs w:val="22"/>
          <w:lang w:val="en-GB"/>
        </w:rPr>
        <w:t>The business judgment rule protects directors from liability for errors of judgment. This rule operates as a rebuttable presumption whereby, the board of directors is presumed to have acted in good faith on the basis of reasonable information.</w:t>
      </w:r>
      <w:r w:rsidR="0055512A">
        <w:rPr>
          <w:rFonts w:ascii="Avenir Next" w:hAnsi="Avenir Next" w:cs="Arial"/>
          <w:color w:val="FF0000"/>
          <w:sz w:val="22"/>
          <w:szCs w:val="22"/>
          <w:lang w:val="en-GB"/>
        </w:rPr>
        <w:t xml:space="preserve"> The presumption can be displaced by showing that the majority of the board were not in fact informed reasonably or did not honestly believe that their decision was in the best interests of the company or were not acting in good faith.</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03F765D5" w:rsidR="00F03051" w:rsidRDefault="008A442D"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The requirements include:</w:t>
      </w:r>
    </w:p>
    <w:p w14:paraId="450A4524" w14:textId="357353A1" w:rsidR="008A442D" w:rsidRDefault="008A442D" w:rsidP="00F03051">
      <w:pPr>
        <w:jc w:val="both"/>
        <w:rPr>
          <w:rFonts w:ascii="Avenir Next" w:hAnsi="Avenir Next" w:cs="Arial"/>
          <w:color w:val="FF0000"/>
          <w:sz w:val="22"/>
          <w:szCs w:val="22"/>
          <w:lang w:val="en-GB"/>
        </w:rPr>
      </w:pPr>
    </w:p>
    <w:p w14:paraId="245C0FDF" w14:textId="616200BB" w:rsidR="008A442D" w:rsidRDefault="008A442D" w:rsidP="008A442D">
      <w:pPr>
        <w:pStyle w:val="ListParagraph"/>
        <w:numPr>
          <w:ilvl w:val="0"/>
          <w:numId w:val="38"/>
        </w:numPr>
        <w:jc w:val="both"/>
        <w:rPr>
          <w:rFonts w:ascii="Avenir Next" w:hAnsi="Avenir Next" w:cs="Arial"/>
          <w:color w:val="FF0000"/>
          <w:sz w:val="22"/>
          <w:szCs w:val="22"/>
          <w:lang w:val="en-GB"/>
        </w:rPr>
      </w:pPr>
      <w:proofErr w:type="gramStart"/>
      <w:r w:rsidRPr="008A442D">
        <w:rPr>
          <w:rFonts w:ascii="Avenir Next" w:hAnsi="Avenir Next" w:cs="Arial"/>
          <w:color w:val="FF0000"/>
          <w:sz w:val="22"/>
          <w:szCs w:val="22"/>
          <w:u w:val="single"/>
          <w:lang w:val="en-GB"/>
        </w:rPr>
        <w:t>non-contingent</w:t>
      </w:r>
      <w:proofErr w:type="gramEnd"/>
      <w:r w:rsidRPr="008A442D">
        <w:rPr>
          <w:rFonts w:ascii="Avenir Next" w:hAnsi="Avenir Next" w:cs="Arial"/>
          <w:color w:val="FF0000"/>
          <w:sz w:val="22"/>
          <w:szCs w:val="22"/>
          <w:u w:val="single"/>
          <w:lang w:val="en-GB"/>
        </w:rPr>
        <w:t xml:space="preserve"> claim</w:t>
      </w:r>
      <w:r>
        <w:rPr>
          <w:rFonts w:ascii="Avenir Next" w:hAnsi="Avenir Next" w:cs="Arial"/>
          <w:color w:val="FF0000"/>
          <w:sz w:val="22"/>
          <w:szCs w:val="22"/>
          <w:lang w:val="en-GB"/>
        </w:rPr>
        <w:t xml:space="preserve">: a claim that does not depend on the occurrence of a future event. This could include, for example, an </w:t>
      </w:r>
      <w:proofErr w:type="spellStart"/>
      <w:r>
        <w:rPr>
          <w:rFonts w:ascii="Avenir Next" w:hAnsi="Avenir Next" w:cs="Arial"/>
          <w:color w:val="FF0000"/>
          <w:sz w:val="22"/>
          <w:szCs w:val="22"/>
          <w:lang w:val="en-GB"/>
        </w:rPr>
        <w:t>unmatured</w:t>
      </w:r>
      <w:proofErr w:type="spellEnd"/>
      <w:r>
        <w:rPr>
          <w:rFonts w:ascii="Avenir Next" w:hAnsi="Avenir Next" w:cs="Arial"/>
          <w:color w:val="FF0000"/>
          <w:sz w:val="22"/>
          <w:szCs w:val="22"/>
          <w:lang w:val="en-GB"/>
        </w:rPr>
        <w:t xml:space="preserve"> debt (where payment is not yet due) where all other requirements for liability, save for time, have occurred.</w:t>
      </w:r>
    </w:p>
    <w:p w14:paraId="6A3DFC4F" w14:textId="77777777" w:rsidR="008A442D" w:rsidRPr="008A442D" w:rsidRDefault="008A442D" w:rsidP="008A442D">
      <w:pPr>
        <w:pStyle w:val="ListParagraph"/>
        <w:jc w:val="both"/>
        <w:rPr>
          <w:rFonts w:ascii="Avenir Next" w:hAnsi="Avenir Next" w:cs="Arial"/>
          <w:color w:val="FF0000"/>
          <w:sz w:val="22"/>
          <w:szCs w:val="22"/>
          <w:lang w:val="en-GB"/>
        </w:rPr>
      </w:pPr>
    </w:p>
    <w:p w14:paraId="07C2EE9D" w14:textId="34443258" w:rsidR="008A442D" w:rsidRDefault="008A442D" w:rsidP="008A442D">
      <w:pPr>
        <w:pStyle w:val="ListParagraph"/>
        <w:numPr>
          <w:ilvl w:val="0"/>
          <w:numId w:val="38"/>
        </w:numPr>
        <w:jc w:val="both"/>
        <w:rPr>
          <w:rFonts w:ascii="Avenir Next" w:hAnsi="Avenir Next" w:cs="Arial"/>
          <w:color w:val="FF0000"/>
          <w:sz w:val="22"/>
          <w:szCs w:val="22"/>
          <w:lang w:val="en-GB"/>
        </w:rPr>
      </w:pPr>
      <w:proofErr w:type="gramStart"/>
      <w:r w:rsidRPr="008A442D">
        <w:rPr>
          <w:rFonts w:ascii="Avenir Next" w:hAnsi="Avenir Next" w:cs="Arial"/>
          <w:color w:val="FF0000"/>
          <w:sz w:val="22"/>
          <w:szCs w:val="22"/>
          <w:u w:val="single"/>
          <w:lang w:val="en-GB"/>
        </w:rPr>
        <w:lastRenderedPageBreak/>
        <w:t>the</w:t>
      </w:r>
      <w:proofErr w:type="gramEnd"/>
      <w:r w:rsidRPr="008A442D">
        <w:rPr>
          <w:rFonts w:ascii="Avenir Next" w:hAnsi="Avenir Next" w:cs="Arial"/>
          <w:color w:val="FF0000"/>
          <w:sz w:val="22"/>
          <w:szCs w:val="22"/>
          <w:u w:val="single"/>
          <w:lang w:val="en-GB"/>
        </w:rPr>
        <w:t xml:space="preserve"> claim is not subject to a bone fide dispute as to liability or amount</w:t>
      </w:r>
      <w:r>
        <w:rPr>
          <w:rFonts w:ascii="Avenir Next" w:hAnsi="Avenir Next" w:cs="Arial"/>
          <w:color w:val="FF0000"/>
          <w:sz w:val="22"/>
          <w:szCs w:val="22"/>
          <w:lang w:val="en-GB"/>
        </w:rPr>
        <w:t xml:space="preserve">: a </w:t>
      </w:r>
      <w:r w:rsidRPr="00402743">
        <w:rPr>
          <w:rFonts w:ascii="Avenir Next" w:hAnsi="Avenir Next" w:cs="Arial"/>
          <w:i/>
          <w:color w:val="FF0000"/>
          <w:sz w:val="22"/>
          <w:szCs w:val="22"/>
          <w:lang w:val="en-GB"/>
        </w:rPr>
        <w:t>bone fide</w:t>
      </w:r>
      <w:r>
        <w:rPr>
          <w:rFonts w:ascii="Avenir Next" w:hAnsi="Avenir Next" w:cs="Arial"/>
          <w:color w:val="FF0000"/>
          <w:sz w:val="22"/>
          <w:szCs w:val="22"/>
          <w:lang w:val="en-GB"/>
        </w:rPr>
        <w:t xml:space="preserve"> dispute will exist over a debt where there is an objectively reasonably basis for a dispute in respect of a matter of fact or law.</w:t>
      </w:r>
      <w:r w:rsidR="00402743">
        <w:rPr>
          <w:rFonts w:ascii="Avenir Next" w:hAnsi="Avenir Next" w:cs="Arial"/>
          <w:color w:val="FF0000"/>
          <w:sz w:val="22"/>
          <w:szCs w:val="22"/>
          <w:lang w:val="en-GB"/>
        </w:rPr>
        <w:t xml:space="preserve"> Should the debtor subjectively believe they do not owe the debt or that the amount claimed is incorrect or insufficient, a </w:t>
      </w:r>
      <w:r w:rsidR="00402743" w:rsidRPr="00402743">
        <w:rPr>
          <w:rFonts w:ascii="Avenir Next" w:hAnsi="Avenir Next" w:cs="Arial"/>
          <w:i/>
          <w:color w:val="FF0000"/>
          <w:sz w:val="22"/>
          <w:szCs w:val="22"/>
          <w:lang w:val="en-GB"/>
        </w:rPr>
        <w:t>bone fide</w:t>
      </w:r>
      <w:r w:rsidR="00402743">
        <w:rPr>
          <w:rFonts w:ascii="Avenir Next" w:hAnsi="Avenir Next" w:cs="Arial"/>
          <w:color w:val="FF0000"/>
          <w:sz w:val="22"/>
          <w:szCs w:val="22"/>
          <w:lang w:val="en-GB"/>
        </w:rPr>
        <w:t xml:space="preserve"> dispute will not exist.  Any disputed portion of an amount claimed cannot be used to reach the following monetary threshold.</w:t>
      </w:r>
    </w:p>
    <w:p w14:paraId="647513BA" w14:textId="77777777" w:rsidR="00402743" w:rsidRPr="00402743" w:rsidRDefault="00402743" w:rsidP="00402743">
      <w:pPr>
        <w:pStyle w:val="ListParagraph"/>
        <w:rPr>
          <w:rFonts w:ascii="Avenir Next" w:hAnsi="Avenir Next" w:cs="Arial"/>
          <w:color w:val="FF0000"/>
          <w:sz w:val="22"/>
          <w:szCs w:val="22"/>
          <w:lang w:val="en-GB"/>
        </w:rPr>
      </w:pPr>
    </w:p>
    <w:p w14:paraId="3A833F16" w14:textId="3626EA49" w:rsidR="00E01803" w:rsidRPr="00402743" w:rsidRDefault="00402743" w:rsidP="000778B1">
      <w:pPr>
        <w:pStyle w:val="ListParagraph"/>
        <w:numPr>
          <w:ilvl w:val="0"/>
          <w:numId w:val="38"/>
        </w:numPr>
        <w:jc w:val="both"/>
        <w:rPr>
          <w:rFonts w:ascii="Avenir Next" w:hAnsi="Avenir Next" w:cs="Arial"/>
          <w:color w:val="FF0000"/>
          <w:sz w:val="22"/>
          <w:szCs w:val="22"/>
          <w:u w:val="single"/>
          <w:lang w:val="en-GB"/>
        </w:rPr>
      </w:pPr>
      <w:r w:rsidRPr="00402743">
        <w:rPr>
          <w:rFonts w:ascii="Avenir Next" w:hAnsi="Avenir Next" w:cs="Arial"/>
          <w:color w:val="FF0000"/>
          <w:sz w:val="22"/>
          <w:szCs w:val="22"/>
          <w:u w:val="single"/>
          <w:lang w:val="en-GB"/>
        </w:rPr>
        <w:t xml:space="preserve">Unsecured or </w:t>
      </w:r>
      <w:proofErr w:type="spellStart"/>
      <w:r w:rsidRPr="00402743">
        <w:rPr>
          <w:rFonts w:ascii="Avenir Next" w:hAnsi="Avenir Next" w:cs="Arial"/>
          <w:color w:val="FF0000"/>
          <w:sz w:val="22"/>
          <w:szCs w:val="22"/>
          <w:u w:val="single"/>
          <w:lang w:val="en-GB"/>
        </w:rPr>
        <w:t>undersecured</w:t>
      </w:r>
      <w:proofErr w:type="spellEnd"/>
      <w:r w:rsidRPr="00402743">
        <w:rPr>
          <w:rFonts w:ascii="Avenir Next" w:hAnsi="Avenir Next" w:cs="Arial"/>
          <w:color w:val="FF0000"/>
          <w:sz w:val="22"/>
          <w:szCs w:val="22"/>
          <w:u w:val="single"/>
          <w:lang w:val="en-GB"/>
        </w:rPr>
        <w:t>, whether separately or in total with all other petitioning creditors' claims, must exceed at least USD 16,750 (or such amount as is periodically increased with inflation)</w:t>
      </w:r>
      <w:r w:rsidRPr="00402743">
        <w:rPr>
          <w:rFonts w:ascii="Avenir Next" w:hAnsi="Avenir Next" w:cs="Arial"/>
          <w:color w:val="FF0000"/>
          <w:sz w:val="22"/>
          <w:szCs w:val="22"/>
          <w:lang w:val="en-GB"/>
        </w:rPr>
        <w:t>.</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w:t>
      </w:r>
      <w:proofErr w:type="spellStart"/>
      <w:r w:rsidRPr="00E01803">
        <w:rPr>
          <w:rFonts w:ascii="Avenir Next" w:hAnsi="Avenir Next"/>
        </w:rPr>
        <w:t>Inc</w:t>
      </w:r>
      <w:proofErr w:type="spellEnd"/>
      <w:r w:rsidRPr="00E01803">
        <w:rPr>
          <w:rFonts w:ascii="Avenir Next" w:hAnsi="Avenir Next"/>
        </w:rPr>
        <w:t xml:space="preserve"> is engaged in day-trading stocks from leased office space with two employees.  It funds its trading through a margin loan from its broker, where the shares it purchases are held as collateral.  For a while, Speculation </w:t>
      </w:r>
      <w:proofErr w:type="spellStart"/>
      <w:r w:rsidRPr="00E01803">
        <w:rPr>
          <w:rFonts w:ascii="Avenir Next" w:hAnsi="Avenir Next"/>
        </w:rPr>
        <w:t>Inc</w:t>
      </w:r>
      <w:proofErr w:type="spellEnd"/>
      <w:r w:rsidRPr="00E01803">
        <w:rPr>
          <w:rFonts w:ascii="Avenir Next" w:hAnsi="Avenir Next"/>
        </w:rPr>
        <w:t xml:space="preserve"> was very successful in trading, and the US Department of Justice (DOJ) has announced an investigation into whether its success was due to illegally trading on insider information.  More recently, Speculation </w:t>
      </w:r>
      <w:proofErr w:type="spellStart"/>
      <w:r w:rsidRPr="00E01803">
        <w:rPr>
          <w:rFonts w:ascii="Avenir Next" w:hAnsi="Avenir Next"/>
        </w:rPr>
        <w:t>Inc</w:t>
      </w:r>
      <w:proofErr w:type="spellEnd"/>
      <w:r w:rsidRPr="00E01803">
        <w:rPr>
          <w:rFonts w:ascii="Avenir Next" w:hAnsi="Avenir Next"/>
        </w:rPr>
        <w:t xml:space="preserve">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w:t>
      </w:r>
      <w:proofErr w:type="spellStart"/>
      <w:r w:rsidRPr="00E01803">
        <w:rPr>
          <w:rFonts w:ascii="Avenir Next" w:hAnsi="Avenir Next"/>
        </w:rPr>
        <w:t>Inc</w:t>
      </w:r>
      <w:proofErr w:type="spellEnd"/>
      <w:r w:rsidRPr="00E01803">
        <w:rPr>
          <w:rFonts w:ascii="Avenir Next" w:hAnsi="Avenir Next"/>
        </w:rPr>
        <w:t xml:space="preserve"> on each of </w:t>
      </w:r>
      <w:r w:rsidR="00325A8F">
        <w:rPr>
          <w:rFonts w:ascii="Avenir Next" w:hAnsi="Avenir Next"/>
        </w:rPr>
        <w:t xml:space="preserve">the </w:t>
      </w:r>
      <w:r w:rsidRPr="00E01803">
        <w:rPr>
          <w:rFonts w:ascii="Avenir Next" w:hAnsi="Avenir Next"/>
        </w:rPr>
        <w:t xml:space="preserve">(i) DOJ investigation, (ii) margin loan default; (iii) delinquent lease and </w:t>
      </w:r>
      <w:proofErr w:type="gramStart"/>
      <w:r w:rsidRPr="00E01803">
        <w:rPr>
          <w:rFonts w:ascii="Avenir Next" w:hAnsi="Avenir Next"/>
        </w:rPr>
        <w:t>(iv) employment</w:t>
      </w:r>
      <w:proofErr w:type="gramEnd"/>
      <w:r w:rsidRPr="00E01803">
        <w:rPr>
          <w:rFonts w:ascii="Avenir Next" w:hAnsi="Avenir Next"/>
        </w:rPr>
        <w:t xml:space="preserve"> discrimination lawsuit?</w:t>
      </w:r>
    </w:p>
    <w:p w14:paraId="580E45AA" w14:textId="1D616C00" w:rsidR="00484B73" w:rsidRDefault="00484B73" w:rsidP="000778B1">
      <w:pPr>
        <w:pStyle w:val="AODocTxt"/>
        <w:spacing w:before="0" w:line="240" w:lineRule="auto"/>
        <w:rPr>
          <w:rFonts w:ascii="Avenir Next" w:hAnsi="Avenir Next"/>
        </w:rPr>
      </w:pPr>
    </w:p>
    <w:p w14:paraId="69D8C215" w14:textId="710BB3B2" w:rsidR="00402743" w:rsidRDefault="00402743"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On filing of the Chapter 11 proceeding, an estate is created consisting of all Speculation </w:t>
      </w:r>
      <w:proofErr w:type="spellStart"/>
      <w:r>
        <w:rPr>
          <w:rFonts w:ascii="Avenir Next" w:hAnsi="Avenir Next" w:cs="Arial"/>
          <w:color w:val="FF0000"/>
          <w:sz w:val="22"/>
          <w:szCs w:val="22"/>
          <w:lang w:val="en-GB"/>
        </w:rPr>
        <w:t>Inc's</w:t>
      </w:r>
      <w:proofErr w:type="spellEnd"/>
      <w:r>
        <w:rPr>
          <w:rFonts w:ascii="Avenir Next" w:hAnsi="Avenir Next" w:cs="Arial"/>
          <w:color w:val="FF0000"/>
          <w:sz w:val="22"/>
          <w:szCs w:val="22"/>
          <w:lang w:val="en-GB"/>
        </w:rPr>
        <w:t xml:space="preserve"> property interests as of the petition date. </w:t>
      </w:r>
      <w:r w:rsidR="00AE4E94">
        <w:rPr>
          <w:rFonts w:ascii="Avenir Next" w:hAnsi="Avenir Next" w:cs="Arial"/>
          <w:color w:val="FF0000"/>
          <w:sz w:val="22"/>
          <w:szCs w:val="22"/>
          <w:lang w:val="en-GB"/>
        </w:rPr>
        <w:t xml:space="preserve">A worldwide stay comes into immediate effect as of the date of filing the petition, providing Speculation Inc. with breathing space to formulate a restructuring plan, negotiate with creditors and to realise the value of assets in an orderly process. </w:t>
      </w:r>
    </w:p>
    <w:p w14:paraId="0227D5C1" w14:textId="77777777" w:rsidR="00402743" w:rsidRDefault="00402743" w:rsidP="00F03051">
      <w:pPr>
        <w:jc w:val="both"/>
        <w:rPr>
          <w:rFonts w:ascii="Avenir Next" w:hAnsi="Avenir Next" w:cs="Arial"/>
          <w:color w:val="FF0000"/>
          <w:sz w:val="22"/>
          <w:szCs w:val="22"/>
          <w:lang w:val="en-GB"/>
        </w:rPr>
      </w:pPr>
    </w:p>
    <w:p w14:paraId="1747F499" w14:textId="0C606A40" w:rsidR="00F03051" w:rsidRDefault="00402743"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A Chapter 11 petition filing in these circumstances, would have the following effect:</w:t>
      </w:r>
    </w:p>
    <w:p w14:paraId="561D7B0A" w14:textId="599DC5B3" w:rsidR="00402743" w:rsidRDefault="00402743" w:rsidP="00F03051">
      <w:pPr>
        <w:jc w:val="both"/>
        <w:rPr>
          <w:rFonts w:ascii="Avenir Next" w:hAnsi="Avenir Next" w:cs="Arial"/>
          <w:color w:val="FF0000"/>
          <w:sz w:val="22"/>
          <w:szCs w:val="22"/>
          <w:lang w:val="en-GB"/>
        </w:rPr>
      </w:pPr>
    </w:p>
    <w:p w14:paraId="14B65792" w14:textId="07D69D70" w:rsidR="00402743" w:rsidRDefault="00402743" w:rsidP="00402743">
      <w:pPr>
        <w:pStyle w:val="ListParagraph"/>
        <w:numPr>
          <w:ilvl w:val="0"/>
          <w:numId w:val="39"/>
        </w:numPr>
        <w:jc w:val="both"/>
        <w:rPr>
          <w:rFonts w:ascii="Avenir Next" w:hAnsi="Avenir Next" w:cs="Arial"/>
          <w:color w:val="FF0000"/>
          <w:sz w:val="22"/>
          <w:szCs w:val="22"/>
          <w:lang w:val="en-GB"/>
        </w:rPr>
      </w:pPr>
      <w:r w:rsidRPr="00AE4E94">
        <w:rPr>
          <w:rFonts w:ascii="Avenir Next" w:hAnsi="Avenir Next" w:cs="Arial"/>
          <w:color w:val="FF0000"/>
          <w:sz w:val="22"/>
          <w:szCs w:val="22"/>
          <w:u w:val="single"/>
          <w:lang w:val="en-GB"/>
        </w:rPr>
        <w:t>DOJ investigation</w:t>
      </w:r>
      <w:r w:rsidR="00AE4E94">
        <w:rPr>
          <w:rFonts w:ascii="Avenir Next" w:hAnsi="Avenir Next" w:cs="Arial"/>
          <w:color w:val="FF0000"/>
          <w:sz w:val="22"/>
          <w:szCs w:val="22"/>
          <w:lang w:val="en-GB"/>
        </w:rPr>
        <w:t>: the filing will have no impact on staying this investigation.</w:t>
      </w:r>
    </w:p>
    <w:p w14:paraId="4F6282D7" w14:textId="77777777" w:rsidR="00AE4E94" w:rsidRDefault="00AE4E94" w:rsidP="00AE4E94">
      <w:pPr>
        <w:pStyle w:val="ListParagraph"/>
        <w:ind w:left="1080"/>
        <w:jc w:val="both"/>
        <w:rPr>
          <w:rFonts w:ascii="Avenir Next" w:hAnsi="Avenir Next" w:cs="Arial"/>
          <w:color w:val="FF0000"/>
          <w:sz w:val="22"/>
          <w:szCs w:val="22"/>
          <w:lang w:val="en-GB"/>
        </w:rPr>
      </w:pPr>
    </w:p>
    <w:p w14:paraId="43BE3E87" w14:textId="7AB9B0A9" w:rsidR="00AE4E94" w:rsidRDefault="00AE4E94" w:rsidP="00402743">
      <w:pPr>
        <w:pStyle w:val="ListParagraph"/>
        <w:numPr>
          <w:ilvl w:val="0"/>
          <w:numId w:val="39"/>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Margin loan default</w:t>
      </w:r>
      <w:r w:rsidRPr="00AE4E94">
        <w:rPr>
          <w:rFonts w:ascii="Avenir Next" w:hAnsi="Avenir Next" w:cs="Arial"/>
          <w:color w:val="FF0000"/>
          <w:sz w:val="22"/>
          <w:szCs w:val="22"/>
          <w:lang w:val="en-GB"/>
        </w:rPr>
        <w:t>:</w:t>
      </w:r>
      <w:r>
        <w:rPr>
          <w:rFonts w:ascii="Avenir Next" w:hAnsi="Avenir Next" w:cs="Arial"/>
          <w:color w:val="FF0000"/>
          <w:sz w:val="22"/>
          <w:szCs w:val="22"/>
          <w:lang w:val="en-GB"/>
        </w:rPr>
        <w:t xml:space="preserve"> </w:t>
      </w:r>
      <w:r w:rsidRPr="00AE4E94">
        <w:rPr>
          <w:rFonts w:ascii="Avenir Next" w:hAnsi="Avenir Next" w:cs="Arial"/>
          <w:color w:val="FF0000"/>
          <w:sz w:val="22"/>
          <w:szCs w:val="22"/>
          <w:lang w:val="en-GB"/>
        </w:rPr>
        <w:t>the filing</w:t>
      </w:r>
      <w:r>
        <w:rPr>
          <w:rFonts w:ascii="Avenir Next" w:hAnsi="Avenir Next" w:cs="Arial"/>
          <w:color w:val="FF0000"/>
          <w:sz w:val="22"/>
          <w:szCs w:val="22"/>
          <w:lang w:val="en-GB"/>
        </w:rPr>
        <w:t xml:space="preserve"> should stay any attempts by the broker to commence litigation, or to enforce or obtain possession or control of the share collateral. If however the contract between the broker and Speculation Inc. is treated as one of a commodity, forward, security or financial repo contract, the stay will not operate in those circumstances.</w:t>
      </w:r>
    </w:p>
    <w:p w14:paraId="540D7DC5" w14:textId="4CCB466C" w:rsidR="00AE4E94" w:rsidRPr="00AE4E94" w:rsidRDefault="00AE4E94" w:rsidP="00AE4E94">
      <w:pPr>
        <w:jc w:val="both"/>
        <w:rPr>
          <w:rFonts w:ascii="Avenir Next" w:hAnsi="Avenir Next" w:cs="Arial"/>
          <w:color w:val="FF0000"/>
          <w:sz w:val="22"/>
          <w:szCs w:val="22"/>
          <w:lang w:val="en-GB"/>
        </w:rPr>
      </w:pPr>
    </w:p>
    <w:p w14:paraId="6DC16431" w14:textId="2E0D1A26" w:rsidR="00AE4E94" w:rsidRDefault="00AE4E94" w:rsidP="00402743">
      <w:pPr>
        <w:pStyle w:val="ListParagraph"/>
        <w:numPr>
          <w:ilvl w:val="0"/>
          <w:numId w:val="39"/>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Delinquent lease</w:t>
      </w:r>
      <w:r w:rsidRPr="00AE4E94">
        <w:rPr>
          <w:rFonts w:ascii="Avenir Next" w:hAnsi="Avenir Next" w:cs="Arial"/>
          <w:color w:val="FF0000"/>
          <w:sz w:val="22"/>
          <w:szCs w:val="22"/>
          <w:lang w:val="en-GB"/>
        </w:rPr>
        <w:t>:</w:t>
      </w:r>
      <w:r>
        <w:rPr>
          <w:rFonts w:ascii="Avenir Next" w:hAnsi="Avenir Next" w:cs="Arial"/>
          <w:color w:val="FF0000"/>
          <w:sz w:val="22"/>
          <w:szCs w:val="22"/>
          <w:lang w:val="en-GB"/>
        </w:rPr>
        <w:t xml:space="preserve"> </w:t>
      </w:r>
      <w:r w:rsidRPr="00AE4E94">
        <w:rPr>
          <w:rFonts w:ascii="Avenir Next" w:hAnsi="Avenir Next" w:cs="Arial"/>
          <w:color w:val="FF0000"/>
          <w:sz w:val="22"/>
          <w:szCs w:val="22"/>
          <w:lang w:val="en-GB"/>
        </w:rPr>
        <w:t>the filing</w:t>
      </w:r>
      <w:r>
        <w:rPr>
          <w:rFonts w:ascii="Avenir Next" w:hAnsi="Avenir Next" w:cs="Arial"/>
          <w:color w:val="FF0000"/>
          <w:sz w:val="22"/>
          <w:szCs w:val="22"/>
          <w:lang w:val="en-GB"/>
        </w:rPr>
        <w:t xml:space="preserve"> will stay any attempts by </w:t>
      </w:r>
      <w:r>
        <w:rPr>
          <w:rFonts w:ascii="Avenir Next" w:hAnsi="Avenir Next" w:cs="Arial"/>
          <w:color w:val="FF0000"/>
          <w:sz w:val="22"/>
          <w:szCs w:val="22"/>
          <w:lang w:val="en-GB"/>
        </w:rPr>
        <w:t>landlord to claim the rent owed to it by Speculation Inc. The stay will not, however, prevent Speculation Inc. from being evicted where the lease has expired.</w:t>
      </w:r>
    </w:p>
    <w:p w14:paraId="47B0E0DF" w14:textId="403C68DD" w:rsidR="00AE4E94" w:rsidRPr="00AE4E94" w:rsidRDefault="00AE4E94" w:rsidP="00AE4E94">
      <w:pPr>
        <w:jc w:val="both"/>
        <w:rPr>
          <w:rFonts w:ascii="Avenir Next" w:hAnsi="Avenir Next" w:cs="Arial"/>
          <w:color w:val="FF0000"/>
          <w:sz w:val="22"/>
          <w:szCs w:val="22"/>
          <w:lang w:val="en-GB"/>
        </w:rPr>
      </w:pPr>
    </w:p>
    <w:p w14:paraId="5C793B3F" w14:textId="3C6962B6" w:rsidR="00E01803" w:rsidRPr="00FB698F" w:rsidRDefault="00AE4E94" w:rsidP="000778B1">
      <w:pPr>
        <w:pStyle w:val="ListParagraph"/>
        <w:numPr>
          <w:ilvl w:val="0"/>
          <w:numId w:val="39"/>
        </w:numPr>
        <w:jc w:val="both"/>
        <w:rPr>
          <w:rFonts w:ascii="Avenir Next" w:hAnsi="Avenir Next" w:cs="Arial"/>
          <w:color w:val="FF0000"/>
          <w:sz w:val="22"/>
          <w:szCs w:val="22"/>
          <w:lang w:val="en-GB"/>
        </w:rPr>
      </w:pPr>
      <w:r w:rsidRPr="00AE4E94">
        <w:rPr>
          <w:rFonts w:ascii="Avenir Next" w:hAnsi="Avenir Next" w:cs="Arial"/>
          <w:color w:val="FF0000"/>
          <w:sz w:val="22"/>
          <w:szCs w:val="22"/>
          <w:u w:val="single"/>
          <w:lang w:val="en-GB"/>
        </w:rPr>
        <w:t>Employment discrimination lawsuit</w:t>
      </w:r>
      <w:r>
        <w:rPr>
          <w:rFonts w:ascii="Avenir Next" w:hAnsi="Avenir Next" w:cs="Arial"/>
          <w:color w:val="FF0000"/>
          <w:sz w:val="22"/>
          <w:szCs w:val="22"/>
          <w:lang w:val="en-GB"/>
        </w:rPr>
        <w:t xml:space="preserve">: </w:t>
      </w:r>
      <w:r w:rsidR="00FB698F">
        <w:rPr>
          <w:rFonts w:ascii="Avenir Next" w:hAnsi="Avenir Next" w:cs="Arial"/>
          <w:color w:val="FF0000"/>
          <w:sz w:val="22"/>
          <w:szCs w:val="22"/>
          <w:lang w:val="en-GB"/>
        </w:rPr>
        <w:t>the filing will stay the lawsuit as it is a pre-petition litigation claim that is not subject to any statutory exceptions.</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10321A55"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00DD3C36">
        <w:rPr>
          <w:rFonts w:ascii="Avenir Next" w:hAnsi="Avenir Next"/>
        </w:rPr>
        <w:t xml:space="preserve">is </w:t>
      </w:r>
      <w:r w:rsidRPr="00E01803">
        <w:rPr>
          <w:rFonts w:ascii="Avenir Next" w:hAnsi="Avenir Next"/>
        </w:rPr>
        <w:t xml:space="preserve">an international cosmetics company incorporated in France, with its headquarters in Paris.  Stella’s products are made in Italy and shipped to its retail stores in Europe (including </w:t>
      </w:r>
      <w:r w:rsidRPr="00E01803">
        <w:rPr>
          <w:rFonts w:ascii="Avenir Next" w:hAnsi="Avenir Next"/>
        </w:rPr>
        <w:lastRenderedPageBreak/>
        <w:t>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1E600D04" w:rsidR="00F03051" w:rsidRDefault="00DD3C36"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Yes, an English scheme of arrangement could be recognised by a US bankruptcy Court under Chapter 15. Chapter 15 proceedings are ancillary as opposed to plenary proceedings, where the United States does not exercise jurisdiction over the entire estate (nor is an estate created), but rather, it is used to provide assistance to the foreign proceedings concerning the debtor. No reciprocity </w:t>
      </w:r>
      <w:r w:rsidR="000B0F3B">
        <w:rPr>
          <w:rFonts w:ascii="Avenir Next" w:hAnsi="Avenir Next" w:cs="Arial"/>
          <w:color w:val="FF0000"/>
          <w:sz w:val="22"/>
          <w:szCs w:val="22"/>
          <w:lang w:val="en-GB"/>
        </w:rPr>
        <w:t>of the proceedings is required in order for the proceeding to be effective.</w:t>
      </w:r>
    </w:p>
    <w:p w14:paraId="65E01A9B" w14:textId="4751F499" w:rsidR="000B0F3B" w:rsidRDefault="000B0F3B" w:rsidP="00F03051">
      <w:pPr>
        <w:jc w:val="both"/>
        <w:rPr>
          <w:rFonts w:ascii="Avenir Next" w:hAnsi="Avenir Next" w:cs="Arial"/>
          <w:color w:val="FF0000"/>
          <w:sz w:val="22"/>
          <w:szCs w:val="22"/>
          <w:lang w:val="en-GB"/>
        </w:rPr>
      </w:pPr>
    </w:p>
    <w:p w14:paraId="2E215F82" w14:textId="7130D198" w:rsidR="000B0F3B" w:rsidRDefault="000B0F3B"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A Chapter 15 case would commence by filing of a petition by a foreign representative of Stella. The stay on claims only arises upon the petition for recognition of a foreign main proceeding being granted and is limited to the property of Stella within the territorial jurisdiction of the United States (per section 1520(a</w:t>
      </w:r>
      <w:proofErr w:type="gramStart"/>
      <w:r>
        <w:rPr>
          <w:rFonts w:ascii="Avenir Next" w:hAnsi="Avenir Next" w:cs="Arial"/>
          <w:color w:val="FF0000"/>
          <w:sz w:val="22"/>
          <w:szCs w:val="22"/>
          <w:lang w:val="en-GB"/>
        </w:rPr>
        <w:t>)(</w:t>
      </w:r>
      <w:proofErr w:type="gramEnd"/>
      <w:r>
        <w:rPr>
          <w:rFonts w:ascii="Avenir Next" w:hAnsi="Avenir Next" w:cs="Arial"/>
          <w:color w:val="FF0000"/>
          <w:sz w:val="22"/>
          <w:szCs w:val="22"/>
          <w:lang w:val="en-GB"/>
        </w:rPr>
        <w:t>1)). The US Bankruptcy Court may grant a stay or some other form of assistance on an interim basis pending recognition, or following recognition of a non-main proceeding.</w:t>
      </w:r>
    </w:p>
    <w:p w14:paraId="78E59626" w14:textId="78336C64" w:rsidR="000B0F3B" w:rsidRDefault="000B0F3B" w:rsidP="00F03051">
      <w:pPr>
        <w:jc w:val="both"/>
        <w:rPr>
          <w:rFonts w:ascii="Avenir Next" w:hAnsi="Avenir Next" w:cs="Arial"/>
          <w:color w:val="FF0000"/>
          <w:sz w:val="22"/>
          <w:szCs w:val="22"/>
          <w:lang w:val="en-GB"/>
        </w:rPr>
      </w:pPr>
    </w:p>
    <w:p w14:paraId="542F5BFB" w14:textId="77777777" w:rsidR="000B0F3B" w:rsidRDefault="000B0F3B"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requirements for recognition include that the foreign rep establish that a foreign Court or administrative proceeding with respect to Stella is pending and that the </w:t>
      </w:r>
      <w:proofErr w:type="spellStart"/>
      <w:r>
        <w:rPr>
          <w:rFonts w:ascii="Avenir Next" w:hAnsi="Avenir Next" w:cs="Arial"/>
          <w:color w:val="FF0000"/>
          <w:sz w:val="22"/>
          <w:szCs w:val="22"/>
          <w:lang w:val="en-GB"/>
        </w:rPr>
        <w:t>forein</w:t>
      </w:r>
      <w:proofErr w:type="spellEnd"/>
      <w:r>
        <w:rPr>
          <w:rFonts w:ascii="Avenir Next" w:hAnsi="Avenir Next" w:cs="Arial"/>
          <w:color w:val="FF0000"/>
          <w:sz w:val="22"/>
          <w:szCs w:val="22"/>
          <w:lang w:val="en-GB"/>
        </w:rPr>
        <w:t xml:space="preserve"> rep is </w:t>
      </w:r>
      <w:proofErr w:type="spellStart"/>
      <w:r>
        <w:rPr>
          <w:rFonts w:ascii="Avenir Next" w:hAnsi="Avenir Next" w:cs="Arial"/>
          <w:color w:val="FF0000"/>
          <w:sz w:val="22"/>
          <w:szCs w:val="22"/>
          <w:lang w:val="en-GB"/>
        </w:rPr>
        <w:t>empoqered</w:t>
      </w:r>
      <w:proofErr w:type="spellEnd"/>
      <w:r>
        <w:rPr>
          <w:rFonts w:ascii="Avenir Next" w:hAnsi="Avenir Next" w:cs="Arial"/>
          <w:color w:val="FF0000"/>
          <w:sz w:val="22"/>
          <w:szCs w:val="22"/>
          <w:lang w:val="en-GB"/>
        </w:rPr>
        <w:t xml:space="preserve"> to act by the proceeding (per section 101(23) Bankruptcy Code). A foreign proceeding does not need to resemble a US bankruptcy case to be recognised. A "foreign proceeding" is defined by the Bankruptcy code as "a collective judicial or administrative proceeding in a foreign country . . . under a law relating to insolvency or adjustment of debt in which proceeding the assets and affairs of the debtor are subject to control or supervision by a foreign court, for the purposes of reorganization or liquidation" (per section 102 (23)). Proceedings include English schemes of arrangement have been granted recognition. It is only where a recognition or assistance is manifestly contrary to US public policy, where a proceeding wo</w:t>
      </w:r>
      <w:bookmarkStart w:id="1" w:name="_GoBack"/>
      <w:bookmarkEnd w:id="1"/>
      <w:r>
        <w:rPr>
          <w:rFonts w:ascii="Avenir Next" w:hAnsi="Avenir Next" w:cs="Arial"/>
          <w:color w:val="FF0000"/>
          <w:sz w:val="22"/>
          <w:szCs w:val="22"/>
          <w:lang w:val="en-GB"/>
        </w:rPr>
        <w:t>uld be refused recognition.</w:t>
      </w:r>
    </w:p>
    <w:p w14:paraId="6ED984AA" w14:textId="77777777" w:rsidR="000B0F3B" w:rsidRDefault="000B0F3B" w:rsidP="00F03051">
      <w:pPr>
        <w:jc w:val="both"/>
        <w:rPr>
          <w:rFonts w:ascii="Avenir Next" w:hAnsi="Avenir Next" w:cs="Arial"/>
          <w:color w:val="FF0000"/>
          <w:sz w:val="22"/>
          <w:szCs w:val="22"/>
          <w:lang w:val="en-GB"/>
        </w:rPr>
      </w:pPr>
    </w:p>
    <w:p w14:paraId="43E6C48E" w14:textId="1E7F8E3B" w:rsidR="00B838E4" w:rsidRDefault="000B0F3B"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As to whether recognition would be characterised as foreign main or foreign non-main (which impacts the scope of relief available), the proceeding would be foreign main if those proceedings are commenced in Stella's centre of main interest ("</w:t>
      </w:r>
      <w:r w:rsidRPr="000B0F3B">
        <w:rPr>
          <w:rFonts w:ascii="Avenir Next" w:hAnsi="Avenir Next" w:cs="Arial"/>
          <w:b/>
          <w:color w:val="FF0000"/>
          <w:sz w:val="22"/>
          <w:szCs w:val="22"/>
          <w:lang w:val="en-GB"/>
        </w:rPr>
        <w:t>COMI</w:t>
      </w:r>
      <w:r>
        <w:rPr>
          <w:rFonts w:ascii="Avenir Next" w:hAnsi="Avenir Next" w:cs="Arial"/>
          <w:color w:val="FF0000"/>
          <w:sz w:val="22"/>
          <w:szCs w:val="22"/>
          <w:lang w:val="en-GB"/>
        </w:rPr>
        <w:t xml:space="preserve">"). </w:t>
      </w:r>
      <w:proofErr w:type="gramStart"/>
      <w:r>
        <w:rPr>
          <w:rFonts w:ascii="Avenir Next" w:hAnsi="Avenir Next" w:cs="Arial"/>
          <w:color w:val="FF0000"/>
          <w:sz w:val="22"/>
          <w:szCs w:val="22"/>
          <w:lang w:val="en-GB"/>
        </w:rPr>
        <w:t>Whilst  COMI</w:t>
      </w:r>
      <w:proofErr w:type="gramEnd"/>
      <w:r>
        <w:rPr>
          <w:rFonts w:ascii="Avenir Next" w:hAnsi="Avenir Next" w:cs="Arial"/>
          <w:color w:val="FF0000"/>
          <w:sz w:val="22"/>
          <w:szCs w:val="22"/>
          <w:lang w:val="en-GB"/>
        </w:rPr>
        <w:t xml:space="preserve"> is foreign to US law, a debtor's COMI is presumed to be its place of incorporation – this being a rebuttable presumption. </w:t>
      </w:r>
      <w:r w:rsidR="00B838E4">
        <w:rPr>
          <w:rFonts w:ascii="Avenir Next" w:hAnsi="Avenir Next" w:cs="Arial"/>
          <w:color w:val="FF0000"/>
          <w:sz w:val="22"/>
          <w:szCs w:val="22"/>
          <w:lang w:val="en-GB"/>
        </w:rPr>
        <w:t xml:space="preserve">A debtor's COMI is to be determined by its creditors or other third parties based on objective evidence (per </w:t>
      </w:r>
      <w:r w:rsidR="00B838E4" w:rsidRPr="00B838E4">
        <w:rPr>
          <w:rFonts w:ascii="Avenir Next" w:hAnsi="Avenir Next" w:cs="Arial"/>
          <w:color w:val="FF0000"/>
          <w:sz w:val="22"/>
          <w:szCs w:val="22"/>
          <w:u w:val="single"/>
          <w:lang w:val="en-GB"/>
        </w:rPr>
        <w:t>Morning Minx</w:t>
      </w:r>
      <w:r w:rsidR="00B838E4">
        <w:rPr>
          <w:rFonts w:ascii="Avenir Next" w:hAnsi="Avenir Next" w:cs="Arial"/>
          <w:color w:val="FF0000"/>
          <w:sz w:val="22"/>
          <w:szCs w:val="22"/>
          <w:lang w:val="en-GB"/>
        </w:rPr>
        <w:t>, 714 F.3d at 134).</w:t>
      </w:r>
    </w:p>
    <w:p w14:paraId="2B52326B" w14:textId="77777777" w:rsidR="00B838E4" w:rsidRDefault="00B838E4" w:rsidP="00F03051">
      <w:pPr>
        <w:jc w:val="both"/>
        <w:rPr>
          <w:rFonts w:ascii="Avenir Next" w:hAnsi="Avenir Next" w:cs="Arial"/>
          <w:color w:val="FF0000"/>
          <w:sz w:val="22"/>
          <w:szCs w:val="22"/>
          <w:lang w:val="en-GB"/>
        </w:rPr>
      </w:pPr>
    </w:p>
    <w:p w14:paraId="67D22340" w14:textId="41C12FC3" w:rsidR="000B0F3B" w:rsidRDefault="000B0F3B" w:rsidP="00F03051">
      <w:pPr>
        <w:jc w:val="both"/>
        <w:rPr>
          <w:rFonts w:ascii="Avenir Next" w:hAnsi="Avenir Next" w:cs="Arial"/>
          <w:color w:val="FF0000"/>
          <w:sz w:val="22"/>
          <w:szCs w:val="22"/>
        </w:rPr>
      </w:pPr>
      <w:r>
        <w:rPr>
          <w:rFonts w:ascii="Avenir Next" w:hAnsi="Avenir Next" w:cs="Arial"/>
          <w:color w:val="FF0000"/>
          <w:sz w:val="22"/>
          <w:szCs w:val="22"/>
          <w:lang w:val="en-GB"/>
        </w:rPr>
        <w:t xml:space="preserve">Relevant factors include its location of headquarters, management, primary assets, </w:t>
      </w:r>
      <w:proofErr w:type="spellStart"/>
      <w:r>
        <w:rPr>
          <w:rFonts w:ascii="Avenir Next" w:hAnsi="Avenir Next" w:cs="Arial"/>
          <w:color w:val="FF0000"/>
          <w:sz w:val="22"/>
          <w:szCs w:val="22"/>
          <w:lang w:val="en-GB"/>
        </w:rPr>
        <w:t>majorty</w:t>
      </w:r>
      <w:proofErr w:type="spellEnd"/>
      <w:r>
        <w:rPr>
          <w:rFonts w:ascii="Avenir Next" w:hAnsi="Avenir Next" w:cs="Arial"/>
          <w:color w:val="FF0000"/>
          <w:sz w:val="22"/>
          <w:szCs w:val="22"/>
          <w:lang w:val="en-GB"/>
        </w:rPr>
        <w:t xml:space="preserve"> of debtor's creditors (or those affected by the relief requested) and jurisdiction whose law will apply to most disputes (see for e.g. </w:t>
      </w:r>
      <w:r>
        <w:rPr>
          <w:rFonts w:ascii="Avenir Next" w:hAnsi="Avenir Next" w:cs="Arial"/>
          <w:color w:val="FF0000"/>
          <w:sz w:val="22"/>
          <w:szCs w:val="22"/>
          <w:u w:val="single"/>
          <w:lang w:val="en-GB"/>
        </w:rPr>
        <w:t xml:space="preserve">In re </w:t>
      </w:r>
      <w:proofErr w:type="spellStart"/>
      <w:r>
        <w:rPr>
          <w:rFonts w:ascii="Avenir Next" w:hAnsi="Avenir Next" w:cs="Arial"/>
          <w:color w:val="FF0000"/>
          <w:sz w:val="22"/>
          <w:szCs w:val="22"/>
          <w:u w:val="single"/>
          <w:lang w:val="en-GB"/>
        </w:rPr>
        <w:t>SPhinX</w:t>
      </w:r>
      <w:proofErr w:type="spellEnd"/>
      <w:r w:rsidR="00B838E4">
        <w:rPr>
          <w:rFonts w:ascii="Avenir Next" w:hAnsi="Avenir Next" w:cs="Arial"/>
          <w:color w:val="FF0000"/>
          <w:sz w:val="22"/>
          <w:szCs w:val="22"/>
          <w:u w:val="single"/>
          <w:lang w:val="en-GB"/>
        </w:rPr>
        <w:t>, Ltd</w:t>
      </w:r>
      <w:r w:rsidR="00B838E4">
        <w:rPr>
          <w:rFonts w:ascii="Avenir Next" w:hAnsi="Avenir Next" w:cs="Arial"/>
          <w:color w:val="FF0000"/>
          <w:sz w:val="22"/>
          <w:szCs w:val="22"/>
          <w:lang w:val="en-GB"/>
        </w:rPr>
        <w:t>, 351 BR 103, 117.)</w:t>
      </w:r>
      <w:r>
        <w:rPr>
          <w:rFonts w:ascii="Avenir Next" w:hAnsi="Avenir Next" w:cs="Arial"/>
          <w:color w:val="FF0000"/>
          <w:sz w:val="22"/>
          <w:szCs w:val="22"/>
          <w:lang w:val="en-GB"/>
        </w:rPr>
        <w:t>.</w:t>
      </w:r>
      <w:r w:rsidR="00B838E4">
        <w:rPr>
          <w:rFonts w:ascii="Avenir Next" w:hAnsi="Avenir Next" w:cs="Arial"/>
          <w:color w:val="FF0000"/>
          <w:sz w:val="22"/>
          <w:szCs w:val="22"/>
          <w:lang w:val="en-GB"/>
        </w:rPr>
        <w:t xml:space="preserve"> On these facts, COMI is presumed for Stella to be Paris, France, given that is the location of its headquarters. Other potential locations could include those where it has assets (Italy, where it manufacturers its goods, or </w:t>
      </w:r>
      <w:r w:rsidR="00B838E4" w:rsidRPr="00B838E4">
        <w:rPr>
          <w:rFonts w:ascii="Avenir Next" w:hAnsi="Avenir Next" w:cs="Arial"/>
          <w:color w:val="FF0000"/>
          <w:sz w:val="22"/>
          <w:szCs w:val="22"/>
        </w:rPr>
        <w:t>Europe (including England), Asia, and North America</w:t>
      </w:r>
      <w:r w:rsidR="00B838E4">
        <w:rPr>
          <w:rFonts w:ascii="Avenir Next" w:hAnsi="Avenir Next" w:cs="Arial"/>
          <w:color w:val="FF0000"/>
          <w:sz w:val="22"/>
          <w:szCs w:val="22"/>
        </w:rPr>
        <w:t>, where it has retail stores and sells its goods) or England. It is possible that the COMI could be England based on the following factors:</w:t>
      </w:r>
    </w:p>
    <w:p w14:paraId="1740998F" w14:textId="05AEC1AE" w:rsidR="00B838E4" w:rsidRDefault="00B838E4" w:rsidP="00F03051">
      <w:pPr>
        <w:jc w:val="both"/>
        <w:rPr>
          <w:rFonts w:ascii="Avenir Next" w:hAnsi="Avenir Next" w:cs="Arial"/>
          <w:color w:val="FF0000"/>
          <w:sz w:val="22"/>
          <w:szCs w:val="22"/>
        </w:rPr>
      </w:pPr>
    </w:p>
    <w:p w14:paraId="1C48DDC5" w14:textId="4C01496C" w:rsidR="00B838E4" w:rsidRDefault="00B838E4" w:rsidP="00B838E4">
      <w:pPr>
        <w:pStyle w:val="ListParagraph"/>
        <w:numPr>
          <w:ilvl w:val="0"/>
          <w:numId w:val="40"/>
        </w:numPr>
        <w:jc w:val="both"/>
        <w:rPr>
          <w:rFonts w:ascii="Avenir Next" w:hAnsi="Avenir Next" w:cs="Arial"/>
          <w:color w:val="FF0000"/>
          <w:sz w:val="22"/>
          <w:szCs w:val="22"/>
          <w:lang w:val="en-GB"/>
        </w:rPr>
      </w:pPr>
      <w:r>
        <w:rPr>
          <w:rFonts w:ascii="Avenir Next" w:hAnsi="Avenir Next" w:cs="Arial"/>
          <w:color w:val="FF0000"/>
          <w:sz w:val="22"/>
          <w:szCs w:val="22"/>
          <w:lang w:val="en-GB"/>
        </w:rPr>
        <w:t>it has primary assets (stores, goods) in England;</w:t>
      </w:r>
    </w:p>
    <w:p w14:paraId="4700780A" w14:textId="7FC6C514" w:rsidR="00E01803" w:rsidRDefault="00B838E4" w:rsidP="000778B1">
      <w:pPr>
        <w:pStyle w:val="ListParagraph"/>
        <w:numPr>
          <w:ilvl w:val="0"/>
          <w:numId w:val="40"/>
        </w:numPr>
        <w:jc w:val="both"/>
        <w:rPr>
          <w:rFonts w:ascii="Avenir Next" w:hAnsi="Avenir Next" w:cs="Arial"/>
          <w:color w:val="FF0000"/>
          <w:sz w:val="22"/>
          <w:szCs w:val="22"/>
          <w:lang w:val="en-GB"/>
        </w:rPr>
      </w:pPr>
      <w:proofErr w:type="gramStart"/>
      <w:r>
        <w:rPr>
          <w:rFonts w:ascii="Avenir Next" w:hAnsi="Avenir Next" w:cs="Arial"/>
          <w:color w:val="FF0000"/>
          <w:sz w:val="22"/>
          <w:szCs w:val="22"/>
          <w:lang w:val="en-GB"/>
        </w:rPr>
        <w:t>the</w:t>
      </w:r>
      <w:proofErr w:type="gramEnd"/>
      <w:r>
        <w:rPr>
          <w:rFonts w:ascii="Avenir Next" w:hAnsi="Avenir Next" w:cs="Arial"/>
          <w:color w:val="FF0000"/>
          <w:sz w:val="22"/>
          <w:szCs w:val="22"/>
          <w:lang w:val="en-GB"/>
        </w:rPr>
        <w:t xml:space="preserve"> Eurobonds are governed by UK law.</w:t>
      </w:r>
    </w:p>
    <w:p w14:paraId="07837DD1" w14:textId="1A3FBC78" w:rsidR="00B838E4" w:rsidRDefault="00B838E4" w:rsidP="00B838E4">
      <w:pPr>
        <w:jc w:val="both"/>
        <w:rPr>
          <w:rFonts w:ascii="Avenir Next" w:hAnsi="Avenir Next" w:cs="Arial"/>
          <w:color w:val="FF0000"/>
          <w:sz w:val="22"/>
          <w:szCs w:val="22"/>
          <w:lang w:val="en-GB"/>
        </w:rPr>
      </w:pPr>
    </w:p>
    <w:p w14:paraId="1A2E0AE2" w14:textId="7A137AC5" w:rsidR="00B838E4" w:rsidRDefault="00B838E4" w:rsidP="00B838E4">
      <w:pPr>
        <w:jc w:val="both"/>
        <w:rPr>
          <w:rFonts w:ascii="Avenir Next" w:hAnsi="Avenir Next" w:cs="Arial"/>
          <w:color w:val="FF0000"/>
          <w:sz w:val="22"/>
          <w:szCs w:val="22"/>
          <w:lang w:val="en-GB"/>
        </w:rPr>
      </w:pPr>
      <w:r>
        <w:rPr>
          <w:rFonts w:ascii="Avenir Next" w:hAnsi="Avenir Next" w:cs="Arial"/>
          <w:color w:val="FF0000"/>
          <w:sz w:val="22"/>
          <w:szCs w:val="22"/>
          <w:lang w:val="en-GB"/>
        </w:rPr>
        <w:t>Should Stella have a majority of creditors in the UK, or those creditors most impacted by the Eurobond restructure be based in the UK, these also favour England being the COMI for Stella.</w:t>
      </w:r>
    </w:p>
    <w:p w14:paraId="5859DD50" w14:textId="1636A900" w:rsidR="00B838E4" w:rsidRDefault="00B838E4" w:rsidP="00B838E4">
      <w:pPr>
        <w:jc w:val="both"/>
        <w:rPr>
          <w:rFonts w:ascii="Avenir Next" w:hAnsi="Avenir Next" w:cs="Arial"/>
          <w:color w:val="FF0000"/>
          <w:sz w:val="22"/>
          <w:szCs w:val="22"/>
          <w:lang w:val="en-GB"/>
        </w:rPr>
      </w:pPr>
    </w:p>
    <w:p w14:paraId="49FE104F" w14:textId="623DE044" w:rsidR="00B838E4" w:rsidRPr="00B838E4" w:rsidRDefault="00B838E4" w:rsidP="00B838E4">
      <w:pPr>
        <w:jc w:val="both"/>
        <w:rPr>
          <w:rFonts w:ascii="Avenir Next" w:hAnsi="Avenir Next" w:cs="Arial"/>
          <w:color w:val="FF0000"/>
          <w:sz w:val="22"/>
          <w:szCs w:val="22"/>
          <w:lang w:val="en-GB"/>
        </w:rPr>
      </w:pPr>
      <w:r>
        <w:rPr>
          <w:rFonts w:ascii="Avenir Next" w:hAnsi="Avenir Next" w:cs="Arial"/>
          <w:color w:val="FF0000"/>
          <w:sz w:val="22"/>
          <w:szCs w:val="22"/>
          <w:lang w:val="en-GB"/>
        </w:rPr>
        <w:lastRenderedPageBreak/>
        <w:t>If COMI is not England, the English scheme of arrangement would be treated as a foreign non-main proceeding on the basis that Stella has an establishment in the jurisdiction (it carries out non-transitory economic activity through retail stores and sales of its products in England), pursuant to 11 USC section 1502(2).</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w:t>
      </w:r>
      <w:proofErr w:type="spellStart"/>
      <w:r w:rsidRPr="00E01803">
        <w:rPr>
          <w:rFonts w:ascii="Avenir Next" w:hAnsi="Avenir Next"/>
        </w:rPr>
        <w:t>Inc</w:t>
      </w:r>
      <w:proofErr w:type="spellEnd"/>
      <w:r w:rsidRPr="00E01803">
        <w:rPr>
          <w:rFonts w:ascii="Avenir Next" w:hAnsi="Avenir Next"/>
        </w:rPr>
        <w:t xml:space="preserve">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092CCA5C" w14:textId="07368F1A" w:rsidR="00E01803" w:rsidRDefault="00E754A1" w:rsidP="00E754A1">
      <w:pPr>
        <w:jc w:val="both"/>
        <w:rPr>
          <w:rFonts w:ascii="Avenir Next" w:hAnsi="Avenir Next"/>
        </w:rPr>
      </w:pPr>
      <w:r>
        <w:rPr>
          <w:rFonts w:ascii="Avenir Next" w:hAnsi="Avenir Next" w:cs="Arial"/>
          <w:color w:val="FF0000"/>
          <w:sz w:val="22"/>
          <w:szCs w:val="22"/>
          <w:lang w:val="en-GB"/>
        </w:rPr>
        <w:t>Yes, the license is an executory contract</w:t>
      </w:r>
      <w:r w:rsidR="00B33418">
        <w:rPr>
          <w:rFonts w:ascii="Avenir Next" w:hAnsi="Avenir Next" w:cs="Arial"/>
          <w:color w:val="FF0000"/>
          <w:sz w:val="22"/>
          <w:szCs w:val="22"/>
          <w:lang w:val="en-GB"/>
        </w:rPr>
        <w:t xml:space="preserve"> pursuant to section 365 of the Bankruptcy Code</w:t>
      </w:r>
      <w:r>
        <w:rPr>
          <w:rFonts w:ascii="Avenir Next" w:hAnsi="Avenir Next" w:cs="Arial"/>
          <w:color w:val="FF0000"/>
          <w:sz w:val="22"/>
          <w:szCs w:val="22"/>
          <w:lang w:val="en-GB"/>
        </w:rPr>
        <w:t xml:space="preserve"> as there are material unperformed obligations on both sides (</w:t>
      </w:r>
      <w:proofErr w:type="spellStart"/>
      <w:r>
        <w:rPr>
          <w:rFonts w:ascii="Avenir Next" w:hAnsi="Avenir Next" w:cs="Arial"/>
          <w:color w:val="FF0000"/>
          <w:sz w:val="22"/>
          <w:szCs w:val="22"/>
          <w:lang w:val="en-GB"/>
        </w:rPr>
        <w:t>GameMart's</w:t>
      </w:r>
      <w:proofErr w:type="spellEnd"/>
      <w:r>
        <w:rPr>
          <w:rFonts w:ascii="Avenir Next" w:hAnsi="Avenir Next" w:cs="Arial"/>
          <w:color w:val="FF0000"/>
          <w:sz w:val="22"/>
          <w:szCs w:val="22"/>
          <w:lang w:val="en-GB"/>
        </w:rPr>
        <w:t xml:space="preserve"> obligation is to pay royalties; </w:t>
      </w:r>
      <w:proofErr w:type="spellStart"/>
      <w:r>
        <w:rPr>
          <w:rFonts w:ascii="Avenir Next" w:hAnsi="Avenir Next" w:cs="Arial"/>
          <w:color w:val="FF0000"/>
          <w:sz w:val="22"/>
          <w:szCs w:val="22"/>
          <w:lang w:val="en-GB"/>
        </w:rPr>
        <w:t>ToyCo's</w:t>
      </w:r>
      <w:proofErr w:type="spellEnd"/>
      <w:r>
        <w:rPr>
          <w:rFonts w:ascii="Avenir Next" w:hAnsi="Avenir Next" w:cs="Arial"/>
          <w:color w:val="FF0000"/>
          <w:sz w:val="22"/>
          <w:szCs w:val="22"/>
          <w:lang w:val="en-GB"/>
        </w:rPr>
        <w:t xml:space="preserve"> obligation is to continue to exclusively license the manufacture of </w:t>
      </w:r>
      <w:proofErr w:type="spellStart"/>
      <w:r>
        <w:rPr>
          <w:rFonts w:ascii="Avenir Next" w:hAnsi="Avenir Next" w:cs="Arial"/>
          <w:color w:val="FF0000"/>
          <w:sz w:val="22"/>
          <w:szCs w:val="22"/>
          <w:lang w:val="en-GB"/>
        </w:rPr>
        <w:t>Xblox</w:t>
      </w:r>
      <w:proofErr w:type="spellEnd"/>
      <w:r>
        <w:rPr>
          <w:rFonts w:ascii="Avenir Next" w:hAnsi="Avenir Next" w:cs="Arial"/>
          <w:color w:val="FF0000"/>
          <w:sz w:val="22"/>
          <w:szCs w:val="22"/>
          <w:lang w:val="en-GB"/>
        </w:rPr>
        <w:t xml:space="preserve"> to </w:t>
      </w:r>
      <w:proofErr w:type="spellStart"/>
      <w:r>
        <w:rPr>
          <w:rFonts w:ascii="Avenir Next" w:hAnsi="Avenir Next" w:cs="Arial"/>
          <w:color w:val="FF0000"/>
          <w:sz w:val="22"/>
          <w:szCs w:val="22"/>
          <w:lang w:val="en-GB"/>
        </w:rPr>
        <w:t>GameMart</w:t>
      </w:r>
      <w:proofErr w:type="spellEnd"/>
      <w:r>
        <w:rPr>
          <w:rFonts w:ascii="Avenir Next" w:hAnsi="Avenir Next" w:cs="Arial"/>
          <w:color w:val="FF0000"/>
          <w:sz w:val="22"/>
          <w:szCs w:val="22"/>
          <w:lang w:val="en-GB"/>
        </w:rPr>
        <w:t>).</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6A044D3E" w:rsidR="00E01803" w:rsidRPr="00E754A1" w:rsidRDefault="00E754A1" w:rsidP="00E754A1">
      <w:pPr>
        <w:jc w:val="both"/>
        <w:rPr>
          <w:rFonts w:ascii="Avenir Next" w:hAnsi="Avenir Next" w:cs="Arial"/>
          <w:color w:val="7B7B7B" w:themeColor="accent3" w:themeShade="BF"/>
          <w:sz w:val="22"/>
          <w:szCs w:val="22"/>
          <w:lang w:val="en-GB"/>
        </w:rPr>
      </w:pPr>
      <w:r>
        <w:rPr>
          <w:rFonts w:ascii="Avenir Next" w:hAnsi="Avenir Next" w:cs="Arial"/>
          <w:color w:val="FF0000"/>
          <w:sz w:val="22"/>
          <w:szCs w:val="22"/>
          <w:lang w:val="en-GB"/>
        </w:rPr>
        <w:t xml:space="preserve">Whilst the license is an executory contract, the license cannot be transferred by way of a 363 sale without </w:t>
      </w:r>
      <w:proofErr w:type="spellStart"/>
      <w:r>
        <w:rPr>
          <w:rFonts w:ascii="Avenir Next" w:hAnsi="Avenir Next" w:cs="Arial"/>
          <w:color w:val="FF0000"/>
          <w:sz w:val="22"/>
          <w:szCs w:val="22"/>
          <w:lang w:val="en-GB"/>
        </w:rPr>
        <w:t>ToyCO's</w:t>
      </w:r>
      <w:proofErr w:type="spellEnd"/>
      <w:r>
        <w:rPr>
          <w:rFonts w:ascii="Avenir Next" w:hAnsi="Avenir Next" w:cs="Arial"/>
          <w:color w:val="FF0000"/>
          <w:sz w:val="22"/>
          <w:szCs w:val="22"/>
          <w:lang w:val="en-GB"/>
        </w:rPr>
        <w:t xml:space="preserve"> consent because IP licenses are not assignable absent licensor consent (see section 365(n) Bankruptcy Code).</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7AB749E0" w:rsidR="00F03051" w:rsidRPr="00E754A1" w:rsidRDefault="00E754A1" w:rsidP="00F03051">
      <w:pPr>
        <w:jc w:val="both"/>
        <w:rPr>
          <w:rFonts w:ascii="Avenir Next" w:hAnsi="Avenir Next" w:cs="Arial"/>
          <w:color w:val="FF0000"/>
          <w:sz w:val="22"/>
          <w:szCs w:val="22"/>
          <w:lang w:val="en-GB"/>
        </w:rPr>
      </w:pPr>
      <w:r>
        <w:rPr>
          <w:rFonts w:ascii="Avenir Next" w:hAnsi="Avenir Next" w:cs="Arial"/>
          <w:color w:val="FF0000"/>
          <w:sz w:val="22"/>
          <w:szCs w:val="22"/>
          <w:lang w:val="en-GB"/>
        </w:rPr>
        <w:t>Yes, the lease is assignable without consent</w:t>
      </w:r>
      <w:r w:rsidR="00B33418">
        <w:rPr>
          <w:rFonts w:ascii="Avenir Next" w:hAnsi="Avenir Next" w:cs="Arial"/>
          <w:color w:val="FF0000"/>
          <w:sz w:val="22"/>
          <w:szCs w:val="22"/>
          <w:lang w:val="en-GB"/>
        </w:rPr>
        <w:t xml:space="preserve"> under section 365 of the Bankruptcy Code</w:t>
      </w:r>
      <w:r>
        <w:rPr>
          <w:rFonts w:ascii="Avenir Next" w:hAnsi="Avenir Next" w:cs="Arial"/>
          <w:color w:val="FF0000"/>
          <w:sz w:val="22"/>
          <w:szCs w:val="22"/>
          <w:lang w:val="en-GB"/>
        </w:rPr>
        <w:t xml:space="preserve">, notwithstanding the landlord approval provision </w:t>
      </w:r>
      <w:r w:rsidR="00B33418">
        <w:rPr>
          <w:rFonts w:ascii="Avenir Next" w:hAnsi="Avenir Next" w:cs="Arial"/>
          <w:color w:val="FF0000"/>
          <w:sz w:val="22"/>
          <w:szCs w:val="22"/>
          <w:lang w:val="en-GB"/>
        </w:rPr>
        <w:t>contained within the lease.</w:t>
      </w:r>
    </w:p>
    <w:p w14:paraId="3A35E819" w14:textId="2E6F8A29"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6F61823"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B33418">
          <w:rPr>
            <w:rStyle w:val="PageNumber"/>
            <w:rFonts w:ascii="Avenir Next" w:hAnsi="Avenir Next" w:cs="Arial"/>
            <w:noProof/>
            <w:sz w:val="22"/>
            <w:szCs w:val="22"/>
          </w:rPr>
          <w:t>10</w:t>
        </w:r>
        <w:r w:rsidRPr="00494B81">
          <w:rPr>
            <w:rStyle w:val="PageNumber"/>
            <w:rFonts w:ascii="Avenir Next" w:hAnsi="Avenir Next" w:cs="Arial"/>
            <w:sz w:val="22"/>
            <w:szCs w:val="22"/>
          </w:rPr>
          <w:fldChar w:fldCharType="end"/>
        </w:r>
      </w:p>
    </w:sdtContent>
  </w:sdt>
  <w:p w14:paraId="30F05E79" w14:textId="12C1949A" w:rsidR="00241FA3" w:rsidRPr="00494B81" w:rsidRDefault="002B5A03" w:rsidP="009B4976">
    <w:pPr>
      <w:pStyle w:val="Footer"/>
      <w:ind w:right="360"/>
      <w:rPr>
        <w:rFonts w:ascii="Avenir Next" w:hAnsi="Avenir Next" w:cs="Arial"/>
        <w:sz w:val="22"/>
        <w:szCs w:val="22"/>
        <w:lang w:val="en-GB"/>
      </w:rPr>
    </w:pPr>
    <w:r>
      <w:rPr>
        <w:rFonts w:ascii="Avenir Next" w:hAnsi="Avenir Next" w:cs="Arial"/>
        <w:sz w:val="22"/>
        <w:szCs w:val="22"/>
        <w:lang w:val="en-GB"/>
      </w:rPr>
      <w:t>202223-820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74EA5"/>
    <w:multiLevelType w:val="hybridMultilevel"/>
    <w:tmpl w:val="27520242"/>
    <w:lvl w:ilvl="0" w:tplc="72DCF2CC">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2D2F00"/>
    <w:multiLevelType w:val="hybridMultilevel"/>
    <w:tmpl w:val="9C00183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922AE"/>
    <w:multiLevelType w:val="hybridMultilevel"/>
    <w:tmpl w:val="8850F37A"/>
    <w:lvl w:ilvl="0" w:tplc="64741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130551"/>
    <w:multiLevelType w:val="hybridMultilevel"/>
    <w:tmpl w:val="7A7699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20A75"/>
    <w:multiLevelType w:val="hybridMultilevel"/>
    <w:tmpl w:val="8DFA1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E752E"/>
    <w:multiLevelType w:val="hybridMultilevel"/>
    <w:tmpl w:val="CA188C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5A758B"/>
    <w:multiLevelType w:val="hybridMultilevel"/>
    <w:tmpl w:val="C7825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C2806"/>
    <w:multiLevelType w:val="hybridMultilevel"/>
    <w:tmpl w:val="520271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0210C"/>
    <w:multiLevelType w:val="hybridMultilevel"/>
    <w:tmpl w:val="E3887D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4"/>
  </w:num>
  <w:num w:numId="4">
    <w:abstractNumId w:val="8"/>
  </w:num>
  <w:num w:numId="5">
    <w:abstractNumId w:val="10"/>
  </w:num>
  <w:num w:numId="6">
    <w:abstractNumId w:val="32"/>
  </w:num>
  <w:num w:numId="7">
    <w:abstractNumId w:val="5"/>
  </w:num>
  <w:num w:numId="8">
    <w:abstractNumId w:val="37"/>
  </w:num>
  <w:num w:numId="9">
    <w:abstractNumId w:val="11"/>
  </w:num>
  <w:num w:numId="10">
    <w:abstractNumId w:val="26"/>
  </w:num>
  <w:num w:numId="11">
    <w:abstractNumId w:val="13"/>
  </w:num>
  <w:num w:numId="12">
    <w:abstractNumId w:val="23"/>
  </w:num>
  <w:num w:numId="13">
    <w:abstractNumId w:val="0"/>
  </w:num>
  <w:num w:numId="14">
    <w:abstractNumId w:val="9"/>
  </w:num>
  <w:num w:numId="15">
    <w:abstractNumId w:val="17"/>
  </w:num>
  <w:num w:numId="16">
    <w:abstractNumId w:val="7"/>
  </w:num>
  <w:num w:numId="17">
    <w:abstractNumId w:val="3"/>
  </w:num>
  <w:num w:numId="18">
    <w:abstractNumId w:val="2"/>
  </w:num>
  <w:num w:numId="19">
    <w:abstractNumId w:val="30"/>
  </w:num>
  <w:num w:numId="20">
    <w:abstractNumId w:val="6"/>
  </w:num>
  <w:num w:numId="21">
    <w:abstractNumId w:val="25"/>
  </w:num>
  <w:num w:numId="22">
    <w:abstractNumId w:val="39"/>
  </w:num>
  <w:num w:numId="23">
    <w:abstractNumId w:val="12"/>
  </w:num>
  <w:num w:numId="24">
    <w:abstractNumId w:val="31"/>
  </w:num>
  <w:num w:numId="25">
    <w:abstractNumId w:val="18"/>
  </w:num>
  <w:num w:numId="26">
    <w:abstractNumId w:val="21"/>
  </w:num>
  <w:num w:numId="27">
    <w:abstractNumId w:val="14"/>
  </w:num>
  <w:num w:numId="28">
    <w:abstractNumId w:val="35"/>
  </w:num>
  <w:num w:numId="29">
    <w:abstractNumId w:val="1"/>
  </w:num>
  <w:num w:numId="30">
    <w:abstractNumId w:val="16"/>
  </w:num>
  <w:num w:numId="31">
    <w:abstractNumId w:val="22"/>
  </w:num>
  <w:num w:numId="32">
    <w:abstractNumId w:val="15"/>
  </w:num>
  <w:num w:numId="33">
    <w:abstractNumId w:val="19"/>
  </w:num>
  <w:num w:numId="34">
    <w:abstractNumId w:val="36"/>
  </w:num>
  <w:num w:numId="35">
    <w:abstractNumId w:val="33"/>
  </w:num>
  <w:num w:numId="36">
    <w:abstractNumId w:val="38"/>
  </w:num>
  <w:num w:numId="37">
    <w:abstractNumId w:val="27"/>
  </w:num>
  <w:num w:numId="38">
    <w:abstractNumId w:val="28"/>
  </w:num>
  <w:num w:numId="39">
    <w:abstractNumId w:val="20"/>
  </w:num>
  <w:num w:numId="4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2E00"/>
    <w:rsid w:val="000250C7"/>
    <w:rsid w:val="00026F16"/>
    <w:rsid w:val="00031427"/>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0F3B"/>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A03"/>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2743"/>
    <w:rsid w:val="00404329"/>
    <w:rsid w:val="00405DC1"/>
    <w:rsid w:val="00415F1F"/>
    <w:rsid w:val="0042108F"/>
    <w:rsid w:val="004248F6"/>
    <w:rsid w:val="004273B0"/>
    <w:rsid w:val="00430FED"/>
    <w:rsid w:val="00434A8C"/>
    <w:rsid w:val="00437297"/>
    <w:rsid w:val="00442DA0"/>
    <w:rsid w:val="00444284"/>
    <w:rsid w:val="00445CE6"/>
    <w:rsid w:val="004534C2"/>
    <w:rsid w:val="0045446F"/>
    <w:rsid w:val="00455018"/>
    <w:rsid w:val="0045683E"/>
    <w:rsid w:val="00477C72"/>
    <w:rsid w:val="004830F8"/>
    <w:rsid w:val="00484B73"/>
    <w:rsid w:val="00491675"/>
    <w:rsid w:val="00493855"/>
    <w:rsid w:val="00494B81"/>
    <w:rsid w:val="00495E79"/>
    <w:rsid w:val="00495F48"/>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5512A"/>
    <w:rsid w:val="00560534"/>
    <w:rsid w:val="0056391B"/>
    <w:rsid w:val="005650E2"/>
    <w:rsid w:val="00567AD7"/>
    <w:rsid w:val="00570A22"/>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839"/>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A76F6"/>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60F7"/>
    <w:rsid w:val="00787BCC"/>
    <w:rsid w:val="00793173"/>
    <w:rsid w:val="007A1D24"/>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74F0B"/>
    <w:rsid w:val="00881DE6"/>
    <w:rsid w:val="008837A6"/>
    <w:rsid w:val="0089145D"/>
    <w:rsid w:val="00895EF1"/>
    <w:rsid w:val="008A442D"/>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3639B"/>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E4E94"/>
    <w:rsid w:val="00AF228E"/>
    <w:rsid w:val="00B016A8"/>
    <w:rsid w:val="00B01E81"/>
    <w:rsid w:val="00B10961"/>
    <w:rsid w:val="00B14819"/>
    <w:rsid w:val="00B15E2F"/>
    <w:rsid w:val="00B17AA9"/>
    <w:rsid w:val="00B27E6E"/>
    <w:rsid w:val="00B33418"/>
    <w:rsid w:val="00B44713"/>
    <w:rsid w:val="00B56103"/>
    <w:rsid w:val="00B64929"/>
    <w:rsid w:val="00B736DF"/>
    <w:rsid w:val="00B743D6"/>
    <w:rsid w:val="00B74FBD"/>
    <w:rsid w:val="00B77B19"/>
    <w:rsid w:val="00B77F46"/>
    <w:rsid w:val="00B82586"/>
    <w:rsid w:val="00B829A3"/>
    <w:rsid w:val="00B838E4"/>
    <w:rsid w:val="00B86DB1"/>
    <w:rsid w:val="00B87869"/>
    <w:rsid w:val="00B9639B"/>
    <w:rsid w:val="00BB0F2B"/>
    <w:rsid w:val="00BC4B9A"/>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212A"/>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87AFC"/>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D3C36"/>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46080"/>
    <w:rsid w:val="00E506BE"/>
    <w:rsid w:val="00E55547"/>
    <w:rsid w:val="00E6302B"/>
    <w:rsid w:val="00E6452F"/>
    <w:rsid w:val="00E64F45"/>
    <w:rsid w:val="00E6742D"/>
    <w:rsid w:val="00E71CB0"/>
    <w:rsid w:val="00E754A1"/>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0573F"/>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698F"/>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CCCA-30F0-4AE6-A931-76ABAFF4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Hall</cp:lastModifiedBy>
  <cp:revision>9</cp:revision>
  <cp:lastPrinted>2019-08-27T05:42:00Z</cp:lastPrinted>
  <dcterms:created xsi:type="dcterms:W3CDTF">2022-12-28T22:28:00Z</dcterms:created>
  <dcterms:modified xsi:type="dcterms:W3CDTF">2022-12-29T20:28:00Z</dcterms:modified>
</cp:coreProperties>
</file>