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B50712" w:rsidRDefault="002D2356" w:rsidP="008071D5">
      <w:pPr>
        <w:pStyle w:val="ListParagraph"/>
        <w:numPr>
          <w:ilvl w:val="0"/>
          <w:numId w:val="15"/>
        </w:numPr>
        <w:ind w:left="425" w:hanging="357"/>
        <w:jc w:val="both"/>
        <w:rPr>
          <w:rFonts w:ascii="Avenir Next" w:hAnsi="Avenir Next" w:cs="Arial"/>
          <w:sz w:val="22"/>
          <w:szCs w:val="22"/>
          <w:highlight w:val="yellow"/>
        </w:rPr>
      </w:pPr>
      <w:r w:rsidRPr="00B50712">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B50712">
        <w:rPr>
          <w:rFonts w:ascii="Avenir Next" w:hAnsi="Avenir Next" w:cs="Arial"/>
          <w:sz w:val="22"/>
          <w:szCs w:val="22"/>
          <w:highlight w:val="yellow"/>
          <w:vertAlign w:val="superscript"/>
        </w:rPr>
        <w:t>th</w:t>
      </w:r>
      <w:r w:rsidRPr="00B50712">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1915CB" w:rsidRDefault="002D2356" w:rsidP="008071D5">
      <w:pPr>
        <w:pStyle w:val="ListParagraph"/>
        <w:numPr>
          <w:ilvl w:val="0"/>
          <w:numId w:val="16"/>
        </w:numPr>
        <w:ind w:left="426"/>
        <w:jc w:val="both"/>
        <w:rPr>
          <w:rFonts w:ascii="Avenir Next" w:hAnsi="Avenir Next" w:cs="Arial"/>
          <w:sz w:val="22"/>
          <w:szCs w:val="22"/>
          <w:highlight w:val="yellow"/>
        </w:rPr>
      </w:pPr>
      <w:r w:rsidRPr="001915CB">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3A2258C0" w:rsidR="00884D7C" w:rsidRDefault="00884D7C" w:rsidP="00884D7C">
      <w:pPr>
        <w:jc w:val="both"/>
        <w:rPr>
          <w:rFonts w:ascii="Avenir Next" w:hAnsi="Avenir Next" w:cs="Arial"/>
          <w:sz w:val="22"/>
          <w:szCs w:val="22"/>
        </w:rPr>
      </w:pPr>
    </w:p>
    <w:p w14:paraId="52B38ED2" w14:textId="4D7AFCA8" w:rsidR="00082B6D" w:rsidRDefault="00082B6D" w:rsidP="00884D7C">
      <w:pPr>
        <w:jc w:val="both"/>
        <w:rPr>
          <w:rFonts w:ascii="Avenir Next" w:hAnsi="Avenir Next" w:cs="Arial"/>
          <w:sz w:val="22"/>
          <w:szCs w:val="22"/>
        </w:rPr>
      </w:pPr>
    </w:p>
    <w:p w14:paraId="023BA83B" w14:textId="45B181D3" w:rsidR="00082B6D" w:rsidRDefault="00082B6D" w:rsidP="00884D7C">
      <w:pPr>
        <w:jc w:val="both"/>
        <w:rPr>
          <w:rFonts w:ascii="Avenir Next" w:hAnsi="Avenir Next" w:cs="Arial"/>
          <w:sz w:val="22"/>
          <w:szCs w:val="22"/>
        </w:rPr>
      </w:pPr>
    </w:p>
    <w:p w14:paraId="45CE63CE" w14:textId="19D7B2C0" w:rsidR="00082B6D" w:rsidRDefault="00082B6D" w:rsidP="00884D7C">
      <w:pPr>
        <w:jc w:val="both"/>
        <w:rPr>
          <w:rFonts w:ascii="Avenir Next" w:hAnsi="Avenir Next" w:cs="Arial"/>
          <w:sz w:val="22"/>
          <w:szCs w:val="22"/>
        </w:rPr>
      </w:pPr>
    </w:p>
    <w:p w14:paraId="02F12C39" w14:textId="77777777" w:rsidR="00082B6D" w:rsidRPr="00884D7C" w:rsidRDefault="00082B6D"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0A0E14" w:rsidRDefault="002D2356" w:rsidP="008071D5">
      <w:pPr>
        <w:pStyle w:val="ListParagraph"/>
        <w:numPr>
          <w:ilvl w:val="0"/>
          <w:numId w:val="17"/>
        </w:numPr>
        <w:ind w:left="426"/>
        <w:jc w:val="both"/>
        <w:rPr>
          <w:rFonts w:ascii="Avenir Next" w:hAnsi="Avenir Next" w:cs="Arial"/>
          <w:sz w:val="22"/>
          <w:szCs w:val="22"/>
          <w:highlight w:val="yellow"/>
        </w:rPr>
      </w:pPr>
      <w:r w:rsidRPr="000A0E14">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082B6D" w:rsidRDefault="00466ED6" w:rsidP="008071D5">
      <w:pPr>
        <w:pStyle w:val="ListParagraph"/>
        <w:numPr>
          <w:ilvl w:val="0"/>
          <w:numId w:val="18"/>
        </w:numPr>
        <w:ind w:left="426"/>
        <w:jc w:val="both"/>
        <w:rPr>
          <w:rFonts w:ascii="Avenir Next" w:hAnsi="Avenir Next" w:cs="Arial"/>
          <w:sz w:val="22"/>
          <w:szCs w:val="22"/>
          <w:highlight w:val="yellow"/>
        </w:rPr>
      </w:pPr>
      <w:r w:rsidRPr="00082B6D">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82B6D" w:rsidRDefault="002D2356" w:rsidP="008071D5">
      <w:pPr>
        <w:pStyle w:val="ListParagraph"/>
        <w:numPr>
          <w:ilvl w:val="0"/>
          <w:numId w:val="19"/>
        </w:numPr>
        <w:ind w:left="425" w:hanging="357"/>
        <w:jc w:val="both"/>
        <w:rPr>
          <w:rFonts w:ascii="Avenir Next" w:hAnsi="Avenir Next" w:cs="Arial"/>
          <w:sz w:val="22"/>
          <w:szCs w:val="22"/>
          <w:highlight w:val="yellow"/>
        </w:rPr>
      </w:pPr>
      <w:r w:rsidRPr="00082B6D">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5A6D3E"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5A6D3E">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A6D3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5A6D3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0C16C347" w:rsidR="002D2356"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604E24AD" w14:textId="77777777" w:rsidR="004D4872" w:rsidRPr="004216EA" w:rsidRDefault="004D4872" w:rsidP="008071D5">
      <w:pPr>
        <w:jc w:val="both"/>
        <w:rPr>
          <w:rFonts w:ascii="Avenir Next" w:hAnsi="Avenir Next" w:cs="Arial"/>
          <w:sz w:val="22"/>
          <w:szCs w:val="22"/>
        </w:rPr>
      </w:pP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09123C"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09123C">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09123C">
        <w:rPr>
          <w:rFonts w:ascii="Avenir Next" w:eastAsiaTheme="minorHAnsi" w:hAnsi="Avenir Next" w:cs="Arial"/>
          <w:sz w:val="22"/>
          <w:szCs w:val="22"/>
          <w:highlight w:val="yellow"/>
          <w:lang w:val="en-GB"/>
        </w:rPr>
        <w:t xml:space="preserve"> </w:t>
      </w:r>
      <w:r w:rsidRPr="0009123C">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F37821"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F37821">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25132D8D" w:rsidR="00F5239B" w:rsidRPr="004D10F7" w:rsidRDefault="00F5239B" w:rsidP="008071D5">
      <w:pPr>
        <w:pStyle w:val="ListParagraph"/>
        <w:numPr>
          <w:ilvl w:val="0"/>
          <w:numId w:val="23"/>
        </w:numPr>
        <w:ind w:left="426"/>
        <w:jc w:val="both"/>
        <w:rPr>
          <w:rFonts w:ascii="Avenir Next" w:hAnsi="Avenir Next" w:cs="Arial"/>
          <w:sz w:val="22"/>
          <w:szCs w:val="22"/>
          <w:highlight w:val="yellow"/>
        </w:rPr>
      </w:pPr>
      <w:r w:rsidRPr="004D10F7">
        <w:rPr>
          <w:rFonts w:ascii="Avenir Next" w:hAnsi="Avenir Next" w:cs="Arial"/>
          <w:sz w:val="22"/>
          <w:szCs w:val="22"/>
          <w:highlight w:val="yellow"/>
        </w:rPr>
        <w:t xml:space="preserve">This statement is true because </w:t>
      </w:r>
      <w:r w:rsidR="007B5180" w:rsidRPr="004D10F7">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6BC73171" w14:textId="77777777" w:rsidR="00E82672" w:rsidRPr="00AB63DE" w:rsidRDefault="00E82672" w:rsidP="00E82672">
      <w:pPr>
        <w:pStyle w:val="ListParagraph"/>
        <w:ind w:left="426"/>
        <w:jc w:val="both"/>
        <w:rPr>
          <w:rFonts w:ascii="Avenir Next" w:hAnsi="Avenir Next" w:cs="Arial"/>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4F3B43" w:rsidRDefault="009355DB" w:rsidP="008071D5">
      <w:pPr>
        <w:pStyle w:val="ListParagraph"/>
        <w:numPr>
          <w:ilvl w:val="0"/>
          <w:numId w:val="24"/>
        </w:numPr>
        <w:ind w:left="426"/>
        <w:jc w:val="both"/>
        <w:rPr>
          <w:rFonts w:ascii="Avenir Next" w:hAnsi="Avenir Next" w:cs="Arial"/>
          <w:sz w:val="22"/>
          <w:szCs w:val="22"/>
          <w:highlight w:val="yellow"/>
        </w:rPr>
      </w:pPr>
      <w:r w:rsidRPr="004F3B43">
        <w:rPr>
          <w:rFonts w:ascii="Avenir Next" w:hAnsi="Avenir Next" w:cs="Arial"/>
          <w:sz w:val="22"/>
          <w:szCs w:val="22"/>
          <w:highlight w:val="yellow"/>
        </w:rPr>
        <w:t xml:space="preserve">This statement is true because </w:t>
      </w:r>
      <w:r w:rsidR="005C4FF2" w:rsidRPr="004F3B4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278551C0" w14:textId="77777777" w:rsidR="001879CA" w:rsidRDefault="001879CA">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131BAB3F"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0248136C" w:rsidR="0081547D" w:rsidRPr="00AB63DE" w:rsidRDefault="00CB4CE0" w:rsidP="00E3736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in </w:t>
      </w:r>
      <w:r w:rsidR="00611E92">
        <w:rPr>
          <w:rFonts w:ascii="Avenir Next" w:hAnsi="Avenir Next" w:cs="Arial"/>
          <w:color w:val="808080" w:themeColor="background1" w:themeShade="80"/>
          <w:sz w:val="22"/>
          <w:szCs w:val="22"/>
          <w:lang w:val="en-GB"/>
        </w:rPr>
        <w:t>Africa</w:t>
      </w:r>
      <w:r w:rsidR="006C69E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continue to apply</w:t>
      </w:r>
      <w:r w:rsidR="006C69ED">
        <w:rPr>
          <w:rFonts w:ascii="Avenir Next" w:hAnsi="Avenir Next" w:cs="Arial"/>
          <w:color w:val="808080" w:themeColor="background1" w:themeShade="80"/>
          <w:sz w:val="22"/>
          <w:szCs w:val="22"/>
          <w:lang w:val="en-GB"/>
        </w:rPr>
        <w:t xml:space="preserve"> and be influenced by</w:t>
      </w:r>
      <w:r>
        <w:rPr>
          <w:rFonts w:ascii="Avenir Next" w:hAnsi="Avenir Next" w:cs="Arial"/>
          <w:color w:val="808080" w:themeColor="background1" w:themeShade="80"/>
          <w:sz w:val="22"/>
          <w:szCs w:val="22"/>
          <w:lang w:val="en-GB"/>
        </w:rPr>
        <w:t xml:space="preserve"> the laws of </w:t>
      </w:r>
      <w:r w:rsidR="006C69ED">
        <w:rPr>
          <w:rFonts w:ascii="Avenir Next" w:hAnsi="Avenir Next" w:cs="Arial"/>
          <w:color w:val="808080" w:themeColor="background1" w:themeShade="80"/>
          <w:sz w:val="22"/>
          <w:szCs w:val="22"/>
          <w:lang w:val="en-GB"/>
        </w:rPr>
        <w:t xml:space="preserve">their colonial heritage. </w:t>
      </w:r>
      <w:r w:rsidR="003C6A64">
        <w:rPr>
          <w:rFonts w:ascii="Avenir Next" w:hAnsi="Avenir Next" w:cs="Arial"/>
          <w:color w:val="808080" w:themeColor="background1" w:themeShade="80"/>
          <w:sz w:val="22"/>
          <w:szCs w:val="22"/>
          <w:lang w:val="en-GB"/>
        </w:rPr>
        <w:t>According to</w:t>
      </w:r>
      <w:r w:rsidR="00E3736E">
        <w:rPr>
          <w:rFonts w:ascii="Avenir Next" w:hAnsi="Avenir Next" w:cs="Arial"/>
          <w:color w:val="808080" w:themeColor="background1" w:themeShade="80"/>
          <w:sz w:val="22"/>
          <w:szCs w:val="22"/>
          <w:lang w:val="en-GB"/>
        </w:rPr>
        <w:t xml:space="preserve"> the </w:t>
      </w:r>
      <w:proofErr w:type="spellStart"/>
      <w:r w:rsidR="00904257">
        <w:rPr>
          <w:rFonts w:ascii="Avenir Next" w:hAnsi="Avenir Next" w:cs="Arial"/>
          <w:color w:val="808080" w:themeColor="background1" w:themeShade="80"/>
          <w:sz w:val="22"/>
          <w:szCs w:val="22"/>
          <w:lang w:val="en-GB"/>
        </w:rPr>
        <w:t>LEXAfrica</w:t>
      </w:r>
      <w:proofErr w:type="spellEnd"/>
      <w:r w:rsidR="00904257">
        <w:rPr>
          <w:rFonts w:ascii="Avenir Next" w:hAnsi="Avenir Next" w:cs="Arial"/>
          <w:color w:val="808080" w:themeColor="background1" w:themeShade="80"/>
          <w:sz w:val="22"/>
          <w:szCs w:val="22"/>
          <w:lang w:val="en-GB"/>
        </w:rPr>
        <w:t xml:space="preserve"> </w:t>
      </w:r>
      <w:r w:rsidR="00E3736E">
        <w:rPr>
          <w:rFonts w:ascii="Avenir Next" w:hAnsi="Avenir Next" w:cs="Arial"/>
          <w:color w:val="808080" w:themeColor="background1" w:themeShade="80"/>
          <w:sz w:val="22"/>
          <w:szCs w:val="22"/>
          <w:lang w:val="en-GB"/>
        </w:rPr>
        <w:t>Guide to Insolvency and Business Restructuring in Africa</w:t>
      </w:r>
      <w:r w:rsidR="000F3DC1">
        <w:rPr>
          <w:rFonts w:ascii="Avenir Next" w:hAnsi="Avenir Next" w:cs="Arial"/>
          <w:color w:val="808080" w:themeColor="background1" w:themeShade="80"/>
          <w:sz w:val="22"/>
          <w:szCs w:val="22"/>
          <w:lang w:val="en-GB"/>
        </w:rPr>
        <w:t>,</w:t>
      </w:r>
      <w:r w:rsidR="00771DBA">
        <w:rPr>
          <w:rStyle w:val="FootnoteReference"/>
          <w:rFonts w:ascii="Avenir Next" w:hAnsi="Avenir Next" w:cs="Arial"/>
          <w:color w:val="808080" w:themeColor="background1" w:themeShade="80"/>
          <w:sz w:val="22"/>
          <w:szCs w:val="22"/>
          <w:lang w:val="en-GB"/>
        </w:rPr>
        <w:footnoteReference w:id="1"/>
      </w:r>
      <w:r w:rsidR="000F3DC1">
        <w:rPr>
          <w:rFonts w:ascii="Avenir Next" w:hAnsi="Avenir Next" w:cs="Arial"/>
          <w:color w:val="808080" w:themeColor="background1" w:themeShade="80"/>
          <w:sz w:val="22"/>
          <w:szCs w:val="22"/>
          <w:lang w:val="en-GB"/>
        </w:rPr>
        <w:t xml:space="preserve"> </w:t>
      </w:r>
      <w:r w:rsidR="003C6A64">
        <w:rPr>
          <w:rFonts w:ascii="Avenir Next" w:hAnsi="Avenir Next" w:cs="Arial"/>
          <w:color w:val="808080" w:themeColor="background1" w:themeShade="80"/>
          <w:sz w:val="22"/>
          <w:szCs w:val="22"/>
          <w:lang w:val="en-GB"/>
        </w:rPr>
        <w:t xml:space="preserve">the following </w:t>
      </w:r>
      <w:r w:rsidR="00B62723">
        <w:rPr>
          <w:rFonts w:ascii="Avenir Next" w:hAnsi="Avenir Next" w:cs="Arial"/>
          <w:color w:val="808080" w:themeColor="background1" w:themeShade="80"/>
          <w:sz w:val="22"/>
          <w:szCs w:val="22"/>
          <w:lang w:val="en-GB"/>
        </w:rPr>
        <w:t xml:space="preserve">list records a brief overview of the historical roots of </w:t>
      </w:r>
      <w:r w:rsidR="0024001E">
        <w:rPr>
          <w:rFonts w:ascii="Avenir Next" w:hAnsi="Avenir Next" w:cs="Arial"/>
          <w:color w:val="808080" w:themeColor="background1" w:themeShade="80"/>
          <w:sz w:val="22"/>
          <w:szCs w:val="22"/>
          <w:lang w:val="en-GB"/>
        </w:rPr>
        <w:t xml:space="preserve">a number of African countries: </w:t>
      </w:r>
      <w:r w:rsidR="00DA08D8">
        <w:rPr>
          <w:rFonts w:ascii="Avenir Next" w:hAnsi="Avenir Next" w:cs="Arial"/>
          <w:color w:val="808080" w:themeColor="background1" w:themeShade="80"/>
          <w:sz w:val="22"/>
          <w:szCs w:val="22"/>
          <w:lang w:val="en-GB"/>
        </w:rPr>
        <w:t xml:space="preserve"> </w:t>
      </w:r>
    </w:p>
    <w:p w14:paraId="0B17CF2F" w14:textId="2CDAED44" w:rsidR="0081547D" w:rsidRPr="0024001E" w:rsidRDefault="0081547D" w:rsidP="00692852">
      <w:pPr>
        <w:ind w:left="720" w:hanging="720"/>
        <w:jc w:val="both"/>
        <w:rPr>
          <w:rFonts w:ascii="Avenir Next" w:hAnsi="Avenir Next" w:cs="Arial"/>
          <w:color w:val="808080" w:themeColor="background1" w:themeShade="80"/>
          <w:sz w:val="14"/>
          <w:szCs w:val="14"/>
          <w:lang w:val="en-GB"/>
        </w:rPr>
      </w:pPr>
    </w:p>
    <w:p w14:paraId="65CD15AE" w14:textId="672C63EC" w:rsidR="005C6A56" w:rsidRDefault="00BC3761"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Angola</w:t>
      </w:r>
      <w:r w:rsidR="00DF31C8">
        <w:rPr>
          <w:rFonts w:ascii="Avenir Next" w:hAnsi="Avenir Next" w:cs="Arial"/>
          <w:color w:val="808080" w:themeColor="background1" w:themeShade="80"/>
          <w:sz w:val="22"/>
          <w:szCs w:val="22"/>
          <w:lang w:val="en-GB"/>
        </w:rPr>
        <w:t xml:space="preserve"> </w:t>
      </w:r>
      <w:r w:rsidR="00D970D2">
        <w:rPr>
          <w:rFonts w:ascii="Avenir Next" w:hAnsi="Avenir Next" w:cs="Arial"/>
          <w:color w:val="808080" w:themeColor="background1" w:themeShade="80"/>
          <w:sz w:val="22"/>
          <w:szCs w:val="22"/>
          <w:lang w:val="en-GB"/>
        </w:rPr>
        <w:t>– Roman-Germanic matrix</w:t>
      </w:r>
      <w:r w:rsidR="0024001E">
        <w:rPr>
          <w:rFonts w:ascii="Avenir Next" w:hAnsi="Avenir Next" w:cs="Arial"/>
          <w:color w:val="808080" w:themeColor="background1" w:themeShade="80"/>
          <w:sz w:val="22"/>
          <w:szCs w:val="22"/>
          <w:lang w:val="en-GB"/>
        </w:rPr>
        <w:t>;</w:t>
      </w:r>
    </w:p>
    <w:p w14:paraId="46D76B4D" w14:textId="2D024368" w:rsidR="00DF31C8" w:rsidRDefault="00DF31C8"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Botswana </w:t>
      </w:r>
      <w:r w:rsidR="00C0790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07905">
        <w:rPr>
          <w:rFonts w:ascii="Avenir Next" w:hAnsi="Avenir Next" w:cs="Arial"/>
          <w:color w:val="808080" w:themeColor="background1" w:themeShade="80"/>
          <w:sz w:val="22"/>
          <w:szCs w:val="22"/>
          <w:lang w:val="en-GB"/>
        </w:rPr>
        <w:t xml:space="preserve">mixture of Roman-Dutch and English common law </w:t>
      </w:r>
      <w:r w:rsidR="00516568">
        <w:rPr>
          <w:rFonts w:ascii="Avenir Next" w:hAnsi="Avenir Next" w:cs="Arial"/>
          <w:color w:val="808080" w:themeColor="background1" w:themeShade="80"/>
          <w:sz w:val="22"/>
          <w:szCs w:val="22"/>
          <w:lang w:val="en-GB"/>
        </w:rPr>
        <w:t>principles</w:t>
      </w:r>
      <w:r w:rsidR="009A3D3C">
        <w:rPr>
          <w:rFonts w:ascii="Avenir Next" w:hAnsi="Avenir Next" w:cs="Arial"/>
          <w:color w:val="808080" w:themeColor="background1" w:themeShade="80"/>
          <w:sz w:val="22"/>
          <w:szCs w:val="22"/>
          <w:lang w:val="en-GB"/>
        </w:rPr>
        <w:t xml:space="preserve">. </w:t>
      </w:r>
      <w:r w:rsidR="006F172E">
        <w:rPr>
          <w:rFonts w:ascii="Avenir Next" w:hAnsi="Avenir Next" w:cs="Arial"/>
          <w:color w:val="808080" w:themeColor="background1" w:themeShade="80"/>
          <w:sz w:val="22"/>
          <w:szCs w:val="22"/>
          <w:lang w:val="en-GB"/>
        </w:rPr>
        <w:t xml:space="preserve">Rural areas </w:t>
      </w:r>
      <w:r w:rsidR="00AE260F">
        <w:rPr>
          <w:rFonts w:ascii="Avenir Next" w:hAnsi="Avenir Next" w:cs="Arial"/>
          <w:color w:val="808080" w:themeColor="background1" w:themeShade="80"/>
          <w:sz w:val="22"/>
          <w:szCs w:val="22"/>
          <w:lang w:val="en-GB"/>
        </w:rPr>
        <w:t xml:space="preserve">are </w:t>
      </w:r>
      <w:r w:rsidR="00427583">
        <w:rPr>
          <w:rFonts w:ascii="Avenir Next" w:hAnsi="Avenir Next" w:cs="Arial"/>
          <w:color w:val="808080" w:themeColor="background1" w:themeShade="80"/>
          <w:sz w:val="22"/>
          <w:szCs w:val="22"/>
          <w:lang w:val="en-GB"/>
        </w:rPr>
        <w:t xml:space="preserve">typically </w:t>
      </w:r>
      <w:r w:rsidR="00AE260F">
        <w:rPr>
          <w:rFonts w:ascii="Avenir Next" w:hAnsi="Avenir Next" w:cs="Arial"/>
          <w:color w:val="808080" w:themeColor="background1" w:themeShade="80"/>
          <w:sz w:val="22"/>
          <w:szCs w:val="22"/>
          <w:lang w:val="en-GB"/>
        </w:rPr>
        <w:t>governed by tribal laws and customs</w:t>
      </w:r>
      <w:r w:rsidR="0024001E">
        <w:rPr>
          <w:rFonts w:ascii="Avenir Next" w:hAnsi="Avenir Next" w:cs="Arial"/>
          <w:color w:val="808080" w:themeColor="background1" w:themeShade="80"/>
          <w:sz w:val="22"/>
          <w:szCs w:val="22"/>
          <w:lang w:val="en-GB"/>
        </w:rPr>
        <w:t>;</w:t>
      </w:r>
    </w:p>
    <w:p w14:paraId="5E4F2E0A" w14:textId="4AE0AB1F" w:rsidR="00AE260F" w:rsidRDefault="00CE10F0"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Burkina Faso – French civil law system</w:t>
      </w:r>
      <w:r w:rsidR="0024001E">
        <w:rPr>
          <w:rFonts w:ascii="Avenir Next" w:hAnsi="Avenir Next" w:cs="Arial"/>
          <w:color w:val="808080" w:themeColor="background1" w:themeShade="80"/>
          <w:sz w:val="22"/>
          <w:szCs w:val="22"/>
          <w:lang w:val="en-GB"/>
        </w:rPr>
        <w:t>;</w:t>
      </w:r>
    </w:p>
    <w:p w14:paraId="6E009E0F" w14:textId="2811A2E6" w:rsidR="00C769EF" w:rsidRDefault="00C769EF"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3C619F">
        <w:rPr>
          <w:rFonts w:ascii="Calibri" w:hAnsi="Calibri" w:cs="Calibri"/>
          <w:color w:val="808080" w:themeColor="background1" w:themeShade="80"/>
          <w:sz w:val="22"/>
          <w:szCs w:val="22"/>
          <w:lang w:val="en-GB"/>
        </w:rPr>
        <w:t>ô</w:t>
      </w:r>
      <w:r w:rsidR="00350D56">
        <w:rPr>
          <w:rFonts w:ascii="Avenir Next" w:hAnsi="Avenir Next" w:cs="Arial"/>
          <w:color w:val="808080" w:themeColor="background1" w:themeShade="80"/>
          <w:sz w:val="22"/>
          <w:szCs w:val="22"/>
          <w:lang w:val="en-GB"/>
        </w:rPr>
        <w:t xml:space="preserve">te d’Ivoire </w:t>
      </w:r>
      <w:r w:rsidR="00E5581C">
        <w:rPr>
          <w:rFonts w:ascii="Avenir Next" w:hAnsi="Avenir Next" w:cs="Arial"/>
          <w:color w:val="808080" w:themeColor="background1" w:themeShade="80"/>
          <w:sz w:val="22"/>
          <w:szCs w:val="22"/>
          <w:lang w:val="en-GB"/>
        </w:rPr>
        <w:t>– inspired by French civil law</w:t>
      </w:r>
      <w:r w:rsidR="0024001E">
        <w:rPr>
          <w:rFonts w:ascii="Avenir Next" w:hAnsi="Avenir Next" w:cs="Arial"/>
          <w:color w:val="808080" w:themeColor="background1" w:themeShade="80"/>
          <w:sz w:val="22"/>
          <w:szCs w:val="22"/>
          <w:lang w:val="en-GB"/>
        </w:rPr>
        <w:t>;</w:t>
      </w:r>
    </w:p>
    <w:p w14:paraId="6A0A5B6C" w14:textId="56635A4A" w:rsidR="00E411C7" w:rsidRDefault="00E411C7"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Democratic Republic of the Congo </w:t>
      </w:r>
      <w:r w:rsidR="00EC5031">
        <w:rPr>
          <w:rFonts w:ascii="Avenir Next" w:hAnsi="Avenir Next" w:cs="Arial"/>
          <w:color w:val="808080" w:themeColor="background1" w:themeShade="80"/>
          <w:sz w:val="22"/>
          <w:szCs w:val="22"/>
          <w:lang w:val="en-GB"/>
        </w:rPr>
        <w:t>– Belgian law</w:t>
      </w:r>
      <w:r w:rsidR="000428C5">
        <w:rPr>
          <w:rFonts w:ascii="Avenir Next" w:hAnsi="Avenir Next" w:cs="Arial"/>
          <w:color w:val="808080" w:themeColor="background1" w:themeShade="80"/>
          <w:sz w:val="22"/>
          <w:szCs w:val="22"/>
          <w:lang w:val="en-GB"/>
        </w:rPr>
        <w:t>, due to the colonial occupation by Belgium</w:t>
      </w:r>
      <w:r w:rsidR="0024001E">
        <w:rPr>
          <w:rFonts w:ascii="Avenir Next" w:hAnsi="Avenir Next" w:cs="Arial"/>
          <w:color w:val="808080" w:themeColor="background1" w:themeShade="80"/>
          <w:sz w:val="22"/>
          <w:szCs w:val="22"/>
          <w:lang w:val="en-GB"/>
        </w:rPr>
        <w:t>;</w:t>
      </w:r>
    </w:p>
    <w:p w14:paraId="6D5733CB" w14:textId="3C8BAF16" w:rsidR="00BC2252" w:rsidRDefault="00BC2252"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Egypt </w:t>
      </w:r>
      <w:r w:rsidR="005C035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5C0350">
        <w:rPr>
          <w:rFonts w:ascii="Avenir Next" w:hAnsi="Avenir Next" w:cs="Arial"/>
          <w:color w:val="808080" w:themeColor="background1" w:themeShade="80"/>
          <w:sz w:val="22"/>
          <w:szCs w:val="22"/>
          <w:lang w:val="en-GB"/>
        </w:rPr>
        <w:t xml:space="preserve">French civil law and </w:t>
      </w:r>
      <w:r w:rsidR="00643ED6">
        <w:rPr>
          <w:rFonts w:ascii="Avenir Next" w:hAnsi="Avenir Next" w:cs="Arial"/>
          <w:color w:val="808080" w:themeColor="background1" w:themeShade="80"/>
          <w:sz w:val="22"/>
          <w:szCs w:val="22"/>
          <w:lang w:val="en-GB"/>
        </w:rPr>
        <w:t>Sharia</w:t>
      </w:r>
      <w:r w:rsidR="005C0350">
        <w:rPr>
          <w:rFonts w:ascii="Avenir Next" w:hAnsi="Avenir Next" w:cs="Arial"/>
          <w:color w:val="808080" w:themeColor="background1" w:themeShade="80"/>
          <w:sz w:val="22"/>
          <w:szCs w:val="22"/>
          <w:lang w:val="en-GB"/>
        </w:rPr>
        <w:t xml:space="preserve"> law</w:t>
      </w:r>
      <w:r w:rsidR="00643ED6">
        <w:rPr>
          <w:rFonts w:ascii="Avenir Next" w:hAnsi="Avenir Next" w:cs="Arial"/>
          <w:color w:val="808080" w:themeColor="background1" w:themeShade="80"/>
          <w:sz w:val="22"/>
          <w:szCs w:val="22"/>
          <w:lang w:val="en-GB"/>
        </w:rPr>
        <w:t>s</w:t>
      </w:r>
      <w:r w:rsidR="0024001E">
        <w:rPr>
          <w:rFonts w:ascii="Avenir Next" w:hAnsi="Avenir Next" w:cs="Arial"/>
          <w:color w:val="808080" w:themeColor="background1" w:themeShade="80"/>
          <w:sz w:val="22"/>
          <w:szCs w:val="22"/>
          <w:lang w:val="en-GB"/>
        </w:rPr>
        <w:t>;</w:t>
      </w:r>
    </w:p>
    <w:p w14:paraId="2DC44F61" w14:textId="55C8AF8A" w:rsidR="00172549" w:rsidRDefault="00172549"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Eswatini </w:t>
      </w:r>
      <w:r w:rsidR="00EF3FDB">
        <w:rPr>
          <w:rFonts w:ascii="Avenir Next" w:hAnsi="Avenir Next" w:cs="Arial"/>
          <w:color w:val="808080" w:themeColor="background1" w:themeShade="80"/>
          <w:sz w:val="22"/>
          <w:szCs w:val="22"/>
          <w:lang w:val="en-GB"/>
        </w:rPr>
        <w:t>– dual legal system, comprising of Roman-Dutch law</w:t>
      </w:r>
      <w:r w:rsidR="0040511A">
        <w:rPr>
          <w:rFonts w:ascii="Avenir Next" w:hAnsi="Avenir Next" w:cs="Arial"/>
          <w:color w:val="808080" w:themeColor="background1" w:themeShade="80"/>
          <w:sz w:val="22"/>
          <w:szCs w:val="22"/>
          <w:lang w:val="en-GB"/>
        </w:rPr>
        <w:t xml:space="preserve"> (which is codified in the country’s Constitution and legislation</w:t>
      </w:r>
      <w:r w:rsidR="00596474">
        <w:rPr>
          <w:rFonts w:ascii="Avenir Next" w:hAnsi="Avenir Next" w:cs="Arial"/>
          <w:color w:val="808080" w:themeColor="background1" w:themeShade="80"/>
          <w:sz w:val="22"/>
          <w:szCs w:val="22"/>
          <w:lang w:val="en-GB"/>
        </w:rPr>
        <w:t xml:space="preserve"> and applied by numerous </w:t>
      </w:r>
      <w:r w:rsidR="00316B20">
        <w:rPr>
          <w:rFonts w:ascii="Avenir Next" w:hAnsi="Avenir Next" w:cs="Arial"/>
          <w:color w:val="808080" w:themeColor="background1" w:themeShade="80"/>
          <w:sz w:val="22"/>
          <w:szCs w:val="22"/>
          <w:lang w:val="en-GB"/>
        </w:rPr>
        <w:t>courts and tribunals</w:t>
      </w:r>
      <w:r w:rsidR="0040511A">
        <w:rPr>
          <w:rFonts w:ascii="Avenir Next" w:hAnsi="Avenir Next" w:cs="Arial"/>
          <w:color w:val="808080" w:themeColor="background1" w:themeShade="80"/>
          <w:sz w:val="22"/>
          <w:szCs w:val="22"/>
          <w:lang w:val="en-GB"/>
        </w:rPr>
        <w:t xml:space="preserve">) </w:t>
      </w:r>
      <w:r w:rsidR="00C80942">
        <w:rPr>
          <w:rFonts w:ascii="Avenir Next" w:hAnsi="Avenir Next" w:cs="Arial"/>
          <w:color w:val="808080" w:themeColor="background1" w:themeShade="80"/>
          <w:sz w:val="22"/>
          <w:szCs w:val="22"/>
          <w:lang w:val="en-GB"/>
        </w:rPr>
        <w:t xml:space="preserve">and Swazi </w:t>
      </w:r>
      <w:r w:rsidR="00523D95">
        <w:rPr>
          <w:rFonts w:ascii="Avenir Next" w:hAnsi="Avenir Next" w:cs="Arial"/>
          <w:color w:val="808080" w:themeColor="background1" w:themeShade="80"/>
          <w:sz w:val="22"/>
          <w:szCs w:val="22"/>
          <w:lang w:val="en-GB"/>
        </w:rPr>
        <w:t xml:space="preserve">Customary Law (which is </w:t>
      </w:r>
      <w:r w:rsidR="00B01A95">
        <w:rPr>
          <w:rFonts w:ascii="Avenir Next" w:hAnsi="Avenir Next" w:cs="Arial"/>
          <w:color w:val="808080" w:themeColor="background1" w:themeShade="80"/>
          <w:sz w:val="22"/>
          <w:szCs w:val="22"/>
          <w:lang w:val="en-GB"/>
        </w:rPr>
        <w:t>applied by the Swazi Courts</w:t>
      </w:r>
      <w:r w:rsidR="00316B20">
        <w:rPr>
          <w:rFonts w:ascii="Avenir Next" w:hAnsi="Avenir Next" w:cs="Arial"/>
          <w:color w:val="808080" w:themeColor="background1" w:themeShade="80"/>
          <w:sz w:val="22"/>
          <w:szCs w:val="22"/>
          <w:lang w:val="en-GB"/>
        </w:rPr>
        <w:t>). Despite the dual legal system, the High Courts</w:t>
      </w:r>
      <w:r w:rsidR="00DE7120">
        <w:rPr>
          <w:rFonts w:ascii="Avenir Next" w:hAnsi="Avenir Next" w:cs="Arial"/>
          <w:color w:val="808080" w:themeColor="background1" w:themeShade="80"/>
          <w:sz w:val="22"/>
          <w:szCs w:val="22"/>
          <w:lang w:val="en-GB"/>
        </w:rPr>
        <w:t xml:space="preserve"> and the King</w:t>
      </w:r>
      <w:r w:rsidR="00316B20">
        <w:rPr>
          <w:rFonts w:ascii="Avenir Next" w:hAnsi="Avenir Next" w:cs="Arial"/>
          <w:color w:val="808080" w:themeColor="background1" w:themeShade="80"/>
          <w:sz w:val="22"/>
          <w:szCs w:val="22"/>
          <w:lang w:val="en-GB"/>
        </w:rPr>
        <w:t xml:space="preserve"> </w:t>
      </w:r>
      <w:r w:rsidR="001B057B">
        <w:rPr>
          <w:rFonts w:ascii="Avenir Next" w:hAnsi="Avenir Next" w:cs="Arial"/>
          <w:color w:val="808080" w:themeColor="background1" w:themeShade="80"/>
          <w:sz w:val="22"/>
          <w:szCs w:val="22"/>
          <w:lang w:val="en-GB"/>
        </w:rPr>
        <w:t xml:space="preserve">retain </w:t>
      </w:r>
      <w:r w:rsidR="00DE7120">
        <w:rPr>
          <w:rFonts w:ascii="Avenir Next" w:hAnsi="Avenir Next" w:cs="Arial"/>
          <w:color w:val="808080" w:themeColor="background1" w:themeShade="80"/>
          <w:sz w:val="22"/>
          <w:szCs w:val="22"/>
          <w:lang w:val="en-GB"/>
        </w:rPr>
        <w:t>supervisory powers over both legal systems</w:t>
      </w:r>
      <w:r w:rsidR="0024001E">
        <w:rPr>
          <w:rFonts w:ascii="Avenir Next" w:hAnsi="Avenir Next" w:cs="Arial"/>
          <w:color w:val="808080" w:themeColor="background1" w:themeShade="80"/>
          <w:sz w:val="22"/>
          <w:szCs w:val="22"/>
          <w:lang w:val="en-GB"/>
        </w:rPr>
        <w:t>;</w:t>
      </w:r>
    </w:p>
    <w:p w14:paraId="124F5F82" w14:textId="0F032517" w:rsidR="00DE7120" w:rsidRDefault="00C90EF8"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Ghana – common law</w:t>
      </w:r>
      <w:r w:rsidR="0024001E">
        <w:rPr>
          <w:rFonts w:ascii="Avenir Next" w:hAnsi="Avenir Next" w:cs="Arial"/>
          <w:color w:val="808080" w:themeColor="background1" w:themeShade="80"/>
          <w:sz w:val="22"/>
          <w:szCs w:val="22"/>
          <w:lang w:val="en-GB"/>
        </w:rPr>
        <w:t>;</w:t>
      </w:r>
    </w:p>
    <w:p w14:paraId="395C7196" w14:textId="06B2A2AC" w:rsidR="00C90EF8" w:rsidRDefault="004D09D5"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Republic of Guinea Conakry</w:t>
      </w:r>
      <w:r w:rsidR="00840924">
        <w:rPr>
          <w:rFonts w:ascii="Avenir Next" w:hAnsi="Avenir Next" w:cs="Arial"/>
          <w:color w:val="808080" w:themeColor="background1" w:themeShade="80"/>
          <w:sz w:val="22"/>
          <w:szCs w:val="22"/>
          <w:lang w:val="en-GB"/>
        </w:rPr>
        <w:t xml:space="preserve"> – French civil law and customary law</w:t>
      </w:r>
      <w:r w:rsidR="0024001E">
        <w:rPr>
          <w:rFonts w:ascii="Avenir Next" w:hAnsi="Avenir Next" w:cs="Arial"/>
          <w:color w:val="808080" w:themeColor="background1" w:themeShade="80"/>
          <w:sz w:val="22"/>
          <w:szCs w:val="22"/>
          <w:lang w:val="en-GB"/>
        </w:rPr>
        <w:t>;</w:t>
      </w:r>
    </w:p>
    <w:p w14:paraId="2E904E47" w14:textId="0E17669F" w:rsidR="00AD1171" w:rsidRDefault="00AD1171"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Kenya – common law</w:t>
      </w:r>
      <w:r w:rsidR="0024001E">
        <w:rPr>
          <w:rFonts w:ascii="Avenir Next" w:hAnsi="Avenir Next" w:cs="Arial"/>
          <w:color w:val="808080" w:themeColor="background1" w:themeShade="80"/>
          <w:sz w:val="22"/>
          <w:szCs w:val="22"/>
          <w:lang w:val="en-GB"/>
        </w:rPr>
        <w:t>;</w:t>
      </w:r>
    </w:p>
    <w:p w14:paraId="3C8D75F6" w14:textId="32C895D7" w:rsidR="00AD1171" w:rsidRDefault="00AC33FB"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Lesotho – Roman Dutch Law</w:t>
      </w:r>
      <w:r w:rsidR="0024001E">
        <w:rPr>
          <w:rFonts w:ascii="Avenir Next" w:hAnsi="Avenir Next" w:cs="Arial"/>
          <w:color w:val="808080" w:themeColor="background1" w:themeShade="80"/>
          <w:sz w:val="22"/>
          <w:szCs w:val="22"/>
          <w:lang w:val="en-GB"/>
        </w:rPr>
        <w:t>;</w:t>
      </w:r>
    </w:p>
    <w:p w14:paraId="7EBE290E" w14:textId="542915CC" w:rsidR="00AC33FB" w:rsidRDefault="00FA0EB4"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Malawi – English common law, but customary law may also be applied </w:t>
      </w:r>
      <w:r w:rsidR="008C6AC9">
        <w:rPr>
          <w:rFonts w:ascii="Avenir Next" w:hAnsi="Avenir Next" w:cs="Arial"/>
          <w:color w:val="808080" w:themeColor="background1" w:themeShade="80"/>
          <w:sz w:val="22"/>
          <w:szCs w:val="22"/>
          <w:lang w:val="en-GB"/>
        </w:rPr>
        <w:t>by the relevant courts</w:t>
      </w:r>
      <w:r w:rsidR="0024001E">
        <w:rPr>
          <w:rFonts w:ascii="Avenir Next" w:hAnsi="Avenir Next" w:cs="Arial"/>
          <w:color w:val="808080" w:themeColor="background1" w:themeShade="80"/>
          <w:sz w:val="22"/>
          <w:szCs w:val="22"/>
          <w:lang w:val="en-GB"/>
        </w:rPr>
        <w:t>;</w:t>
      </w:r>
    </w:p>
    <w:p w14:paraId="2CDC76DD" w14:textId="473611E5" w:rsidR="008C6AC9" w:rsidRDefault="008C6AC9"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Mali – French civil law</w:t>
      </w:r>
      <w:r w:rsidR="0024001E">
        <w:rPr>
          <w:rFonts w:ascii="Avenir Next" w:hAnsi="Avenir Next" w:cs="Arial"/>
          <w:color w:val="808080" w:themeColor="background1" w:themeShade="80"/>
          <w:sz w:val="22"/>
          <w:szCs w:val="22"/>
          <w:lang w:val="en-GB"/>
        </w:rPr>
        <w:t>;</w:t>
      </w:r>
    </w:p>
    <w:p w14:paraId="57C7EFBD" w14:textId="28978CF7" w:rsidR="008C6AC9" w:rsidRDefault="005A7D93"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Mauritius – </w:t>
      </w:r>
      <w:r w:rsidR="00391804">
        <w:rPr>
          <w:rFonts w:ascii="Avenir Next" w:hAnsi="Avenir Next" w:cs="Arial"/>
          <w:color w:val="808080" w:themeColor="background1" w:themeShade="80"/>
          <w:sz w:val="22"/>
          <w:szCs w:val="22"/>
          <w:lang w:val="en-GB"/>
        </w:rPr>
        <w:t>mixture of importing laws from English and French systems. For example, corporate, administrative, constitutional, etc, laws are based on English law, but private international law is based on French law</w:t>
      </w:r>
      <w:r w:rsidR="004E1802">
        <w:rPr>
          <w:rFonts w:ascii="Avenir Next" w:hAnsi="Avenir Next" w:cs="Arial"/>
          <w:color w:val="808080" w:themeColor="background1" w:themeShade="80"/>
          <w:sz w:val="22"/>
          <w:szCs w:val="22"/>
          <w:lang w:val="en-GB"/>
        </w:rPr>
        <w:t>;</w:t>
      </w:r>
    </w:p>
    <w:p w14:paraId="1672A790" w14:textId="5907B12D" w:rsidR="00391804" w:rsidRDefault="00902835"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Mozambique – Roman and German law mixture</w:t>
      </w:r>
      <w:r w:rsidR="004E1802">
        <w:rPr>
          <w:rFonts w:ascii="Avenir Next" w:hAnsi="Avenir Next" w:cs="Arial"/>
          <w:color w:val="808080" w:themeColor="background1" w:themeShade="80"/>
          <w:sz w:val="22"/>
          <w:szCs w:val="22"/>
          <w:lang w:val="en-GB"/>
        </w:rPr>
        <w:t>;</w:t>
      </w:r>
    </w:p>
    <w:p w14:paraId="46ABC2E4" w14:textId="1724F633" w:rsidR="00C64CE4" w:rsidRDefault="00C64CE4"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Namibia – substantial law based on </w:t>
      </w:r>
      <w:r w:rsidR="008D15FF">
        <w:rPr>
          <w:rFonts w:ascii="Avenir Next" w:hAnsi="Avenir Next" w:cs="Arial"/>
          <w:color w:val="808080" w:themeColor="background1" w:themeShade="80"/>
          <w:sz w:val="22"/>
          <w:szCs w:val="22"/>
          <w:lang w:val="en-GB"/>
        </w:rPr>
        <w:t xml:space="preserve">civil law, however, procedural law based on common law systems. Customary laws may also be recognised for </w:t>
      </w:r>
      <w:r w:rsidR="007F3EA5">
        <w:rPr>
          <w:rFonts w:ascii="Avenir Next" w:hAnsi="Avenir Next" w:cs="Arial"/>
          <w:color w:val="808080" w:themeColor="background1" w:themeShade="80"/>
          <w:sz w:val="22"/>
          <w:szCs w:val="22"/>
          <w:lang w:val="en-GB"/>
        </w:rPr>
        <w:t>Indigenous persons</w:t>
      </w:r>
      <w:r w:rsidR="004E1802">
        <w:rPr>
          <w:rFonts w:ascii="Avenir Next" w:hAnsi="Avenir Next" w:cs="Arial"/>
          <w:color w:val="808080" w:themeColor="background1" w:themeShade="80"/>
          <w:sz w:val="22"/>
          <w:szCs w:val="22"/>
          <w:lang w:val="en-GB"/>
        </w:rPr>
        <w:t>;</w:t>
      </w:r>
    </w:p>
    <w:p w14:paraId="556B134A" w14:textId="0005B6C2" w:rsidR="007F3EA5" w:rsidRDefault="00EE177A"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Nigeria </w:t>
      </w:r>
      <w:r w:rsidR="0063110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31106">
        <w:rPr>
          <w:rFonts w:ascii="Avenir Next" w:hAnsi="Avenir Next" w:cs="Arial"/>
          <w:color w:val="808080" w:themeColor="background1" w:themeShade="80"/>
          <w:sz w:val="22"/>
          <w:szCs w:val="22"/>
          <w:lang w:val="en-GB"/>
        </w:rPr>
        <w:t>predominately based on English common law and equity, however, customary laws and Sharia law</w:t>
      </w:r>
      <w:r w:rsidR="00D67E8B">
        <w:rPr>
          <w:rFonts w:ascii="Avenir Next" w:hAnsi="Avenir Next" w:cs="Arial"/>
          <w:color w:val="808080" w:themeColor="background1" w:themeShade="80"/>
          <w:sz w:val="22"/>
          <w:szCs w:val="22"/>
          <w:lang w:val="en-GB"/>
        </w:rPr>
        <w:t>s</w:t>
      </w:r>
      <w:r w:rsidR="00631106">
        <w:rPr>
          <w:rFonts w:ascii="Avenir Next" w:hAnsi="Avenir Next" w:cs="Arial"/>
          <w:color w:val="808080" w:themeColor="background1" w:themeShade="80"/>
          <w:sz w:val="22"/>
          <w:szCs w:val="22"/>
          <w:lang w:val="en-GB"/>
        </w:rPr>
        <w:t xml:space="preserve"> </w:t>
      </w:r>
      <w:r w:rsidR="00A42661">
        <w:rPr>
          <w:rFonts w:ascii="Avenir Next" w:hAnsi="Avenir Next" w:cs="Arial"/>
          <w:color w:val="808080" w:themeColor="background1" w:themeShade="80"/>
          <w:sz w:val="22"/>
          <w:szCs w:val="22"/>
          <w:lang w:val="en-GB"/>
        </w:rPr>
        <w:t>may be used in prescribed circumstances</w:t>
      </w:r>
      <w:r w:rsidR="004E1802">
        <w:rPr>
          <w:rFonts w:ascii="Avenir Next" w:hAnsi="Avenir Next" w:cs="Arial"/>
          <w:color w:val="808080" w:themeColor="background1" w:themeShade="80"/>
          <w:sz w:val="22"/>
          <w:szCs w:val="22"/>
          <w:lang w:val="en-GB"/>
        </w:rPr>
        <w:t>;</w:t>
      </w:r>
    </w:p>
    <w:p w14:paraId="1E62BCE7" w14:textId="7640D4BD" w:rsidR="00A42661" w:rsidRDefault="00A42661"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Senegal – French civil law system</w:t>
      </w:r>
      <w:r w:rsidR="004E1802">
        <w:rPr>
          <w:rFonts w:ascii="Avenir Next" w:hAnsi="Avenir Next" w:cs="Arial"/>
          <w:color w:val="808080" w:themeColor="background1" w:themeShade="80"/>
          <w:sz w:val="22"/>
          <w:szCs w:val="22"/>
          <w:lang w:val="en-GB"/>
        </w:rPr>
        <w:t>;</w:t>
      </w:r>
    </w:p>
    <w:p w14:paraId="561F43E0" w14:textId="302E5391" w:rsidR="00A42661" w:rsidRDefault="000B41F3"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South Africa – Roman Dutch law</w:t>
      </w:r>
      <w:r w:rsidR="00157719">
        <w:rPr>
          <w:rFonts w:ascii="Avenir Next" w:hAnsi="Avenir Next" w:cs="Arial"/>
          <w:color w:val="808080" w:themeColor="background1" w:themeShade="80"/>
          <w:sz w:val="22"/>
          <w:szCs w:val="22"/>
          <w:lang w:val="en-GB"/>
        </w:rPr>
        <w:t>, with English law influences</w:t>
      </w:r>
      <w:r w:rsidR="004E1802">
        <w:rPr>
          <w:rFonts w:ascii="Avenir Next" w:hAnsi="Avenir Next" w:cs="Arial"/>
          <w:color w:val="808080" w:themeColor="background1" w:themeShade="80"/>
          <w:sz w:val="22"/>
          <w:szCs w:val="22"/>
          <w:lang w:val="en-GB"/>
        </w:rPr>
        <w:t>;</w:t>
      </w:r>
    </w:p>
    <w:p w14:paraId="3FDF541B" w14:textId="7C48C181" w:rsidR="00157719" w:rsidRDefault="006C595B"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Tanzania – predominately based on common law, however, customary laws and Sharia law</w:t>
      </w:r>
      <w:r w:rsidR="00D67E8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may be used in prescribed circumstances</w:t>
      </w:r>
      <w:r w:rsidR="004E1802">
        <w:rPr>
          <w:rFonts w:ascii="Avenir Next" w:hAnsi="Avenir Next" w:cs="Arial"/>
          <w:color w:val="808080" w:themeColor="background1" w:themeShade="80"/>
          <w:sz w:val="22"/>
          <w:szCs w:val="22"/>
          <w:lang w:val="en-GB"/>
        </w:rPr>
        <w:t>;</w:t>
      </w:r>
    </w:p>
    <w:p w14:paraId="1AA98AB5" w14:textId="0E347E48" w:rsidR="006C595B" w:rsidRDefault="009825B1"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Uganda – English common law and equity </w:t>
      </w:r>
      <w:r w:rsidR="004E1802">
        <w:rPr>
          <w:rFonts w:ascii="Avenir Next" w:hAnsi="Avenir Next" w:cs="Arial"/>
          <w:color w:val="808080" w:themeColor="background1" w:themeShade="80"/>
          <w:sz w:val="22"/>
          <w:szCs w:val="22"/>
          <w:lang w:val="en-GB"/>
        </w:rPr>
        <w:t>;</w:t>
      </w:r>
    </w:p>
    <w:p w14:paraId="1569FF96" w14:textId="59096F3F" w:rsidR="009825B1" w:rsidRDefault="00A55B93" w:rsidP="008049B4">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Zambia – dual legal system</w:t>
      </w:r>
      <w:r w:rsidR="003D284D">
        <w:rPr>
          <w:rFonts w:ascii="Avenir Next" w:hAnsi="Avenir Next" w:cs="Arial"/>
          <w:color w:val="808080" w:themeColor="background1" w:themeShade="80"/>
          <w:sz w:val="22"/>
          <w:szCs w:val="22"/>
          <w:lang w:val="en-GB"/>
        </w:rPr>
        <w:t>, comprising of English common law and customary law</w:t>
      </w:r>
      <w:r w:rsidR="004E1802">
        <w:rPr>
          <w:rFonts w:ascii="Avenir Next" w:hAnsi="Avenir Next" w:cs="Arial"/>
          <w:color w:val="808080" w:themeColor="background1" w:themeShade="80"/>
          <w:sz w:val="22"/>
          <w:szCs w:val="22"/>
          <w:lang w:val="en-GB"/>
        </w:rPr>
        <w:t>; and</w:t>
      </w:r>
    </w:p>
    <w:p w14:paraId="4F4D3ACC" w14:textId="6977DAF8" w:rsidR="00FB3D80" w:rsidRPr="00B443F6" w:rsidRDefault="00FB3D80" w:rsidP="00B443F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Zimbabwe – Roman Dutch law</w:t>
      </w:r>
      <w:r w:rsidR="00895CB3">
        <w:rPr>
          <w:rFonts w:ascii="Avenir Next" w:hAnsi="Avenir Next" w:cs="Arial"/>
          <w:color w:val="808080" w:themeColor="background1" w:themeShade="80"/>
          <w:sz w:val="22"/>
          <w:szCs w:val="22"/>
          <w:lang w:val="en-GB"/>
        </w:rPr>
        <w:t>, with commercial law influenced by English law</w:t>
      </w:r>
      <w:r w:rsidR="004E1802">
        <w:rPr>
          <w:rFonts w:ascii="Avenir Next" w:hAnsi="Avenir Next" w:cs="Arial"/>
          <w:color w:val="808080" w:themeColor="background1" w:themeShade="80"/>
          <w:sz w:val="22"/>
          <w:szCs w:val="22"/>
          <w:lang w:val="en-GB"/>
        </w:rPr>
        <w:t>.</w:t>
      </w:r>
    </w:p>
    <w:p w14:paraId="4C128C97" w14:textId="2D28848F" w:rsidR="00771DBA" w:rsidRDefault="00E26934" w:rsidP="00D03FB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Notwithstanding the colonial heritage of many African countr</w:t>
      </w:r>
      <w:r w:rsidR="00D03FBE">
        <w:rPr>
          <w:rFonts w:ascii="Avenir Next" w:hAnsi="Avenir Next" w:cs="Arial"/>
          <w:color w:val="808080" w:themeColor="background1" w:themeShade="80"/>
          <w:sz w:val="22"/>
          <w:szCs w:val="22"/>
          <w:lang w:val="en-GB"/>
        </w:rPr>
        <w:t xml:space="preserve">ies’ laws, attempts to unify insolvency law across Africa </w:t>
      </w:r>
      <w:r w:rsidR="00524219">
        <w:rPr>
          <w:rFonts w:ascii="Avenir Next" w:hAnsi="Avenir Next" w:cs="Arial"/>
          <w:color w:val="808080" w:themeColor="background1" w:themeShade="80"/>
          <w:sz w:val="22"/>
          <w:szCs w:val="22"/>
          <w:lang w:val="en-GB"/>
        </w:rPr>
        <w:t>have led to</w:t>
      </w:r>
      <w:r w:rsidR="00A15467">
        <w:rPr>
          <w:rFonts w:ascii="Avenir Next" w:hAnsi="Avenir Next" w:cs="Arial"/>
          <w:color w:val="808080" w:themeColor="background1" w:themeShade="80"/>
          <w:sz w:val="22"/>
          <w:szCs w:val="22"/>
          <w:lang w:val="en-GB"/>
        </w:rPr>
        <w:t xml:space="preserve"> </w:t>
      </w:r>
      <w:r w:rsidR="00B30323">
        <w:rPr>
          <w:rFonts w:ascii="Avenir Next" w:hAnsi="Avenir Next" w:cs="Arial"/>
          <w:color w:val="808080" w:themeColor="background1" w:themeShade="80"/>
          <w:sz w:val="22"/>
          <w:szCs w:val="22"/>
          <w:lang w:val="en-GB"/>
        </w:rPr>
        <w:t xml:space="preserve">the </w:t>
      </w:r>
      <w:r w:rsidR="00A15467">
        <w:rPr>
          <w:rFonts w:ascii="Avenir Next" w:hAnsi="Avenir Next" w:cs="Arial"/>
          <w:color w:val="808080" w:themeColor="background1" w:themeShade="80"/>
          <w:sz w:val="22"/>
          <w:szCs w:val="22"/>
          <w:lang w:val="en-GB"/>
        </w:rPr>
        <w:t>adoption and enactment of</w:t>
      </w:r>
      <w:r w:rsidR="00524219">
        <w:rPr>
          <w:rFonts w:ascii="Avenir Next" w:hAnsi="Avenir Next" w:cs="Arial"/>
          <w:color w:val="808080" w:themeColor="background1" w:themeShade="80"/>
          <w:sz w:val="22"/>
          <w:szCs w:val="22"/>
          <w:lang w:val="en-GB"/>
        </w:rPr>
        <w:t xml:space="preserve"> the Uniform Act on the Organisation of Collective Procedures for the Discharge of Liabilities </w:t>
      </w:r>
      <w:r w:rsidR="00FD6A2B">
        <w:rPr>
          <w:rFonts w:ascii="Avenir Next" w:hAnsi="Avenir Next" w:cs="Arial"/>
          <w:color w:val="808080" w:themeColor="background1" w:themeShade="80"/>
          <w:sz w:val="22"/>
          <w:szCs w:val="22"/>
          <w:lang w:val="en-GB"/>
        </w:rPr>
        <w:t>(2015)</w:t>
      </w:r>
      <w:r w:rsidR="00A15467">
        <w:rPr>
          <w:rStyle w:val="FootnoteReference"/>
          <w:rFonts w:ascii="Avenir Next" w:hAnsi="Avenir Next" w:cs="Arial"/>
          <w:color w:val="808080" w:themeColor="background1" w:themeShade="80"/>
          <w:sz w:val="22"/>
          <w:szCs w:val="22"/>
          <w:lang w:val="en-GB"/>
        </w:rPr>
        <w:footnoteReference w:id="2"/>
      </w:r>
      <w:r w:rsidR="0010172C">
        <w:rPr>
          <w:rFonts w:ascii="Avenir Next" w:hAnsi="Avenir Next" w:cs="Arial"/>
          <w:color w:val="808080" w:themeColor="background1" w:themeShade="80"/>
          <w:sz w:val="22"/>
          <w:szCs w:val="22"/>
          <w:lang w:val="en-GB"/>
        </w:rPr>
        <w:t xml:space="preserve"> and the Uniform Act Org</w:t>
      </w:r>
      <w:r w:rsidR="00A15467">
        <w:rPr>
          <w:rFonts w:ascii="Avenir Next" w:hAnsi="Avenir Next" w:cs="Arial"/>
          <w:color w:val="808080" w:themeColor="background1" w:themeShade="80"/>
          <w:sz w:val="22"/>
          <w:szCs w:val="22"/>
          <w:lang w:val="en-GB"/>
        </w:rPr>
        <w:t>anising Simplified Recovery Procedures and Measures of Execution (1998)</w:t>
      </w:r>
      <w:r w:rsidR="00A15467">
        <w:rPr>
          <w:rStyle w:val="FootnoteReference"/>
          <w:rFonts w:ascii="Avenir Next" w:hAnsi="Avenir Next" w:cs="Arial"/>
          <w:color w:val="808080" w:themeColor="background1" w:themeShade="80"/>
          <w:sz w:val="22"/>
          <w:szCs w:val="22"/>
          <w:lang w:val="en-GB"/>
        </w:rPr>
        <w:footnoteReference w:id="3"/>
      </w:r>
      <w:r w:rsidR="00D4715A">
        <w:rPr>
          <w:rFonts w:ascii="Avenir Next" w:hAnsi="Avenir Next" w:cs="Arial"/>
          <w:color w:val="808080" w:themeColor="background1" w:themeShade="80"/>
          <w:sz w:val="22"/>
          <w:szCs w:val="22"/>
          <w:lang w:val="en-GB"/>
        </w:rPr>
        <w:t xml:space="preserve"> (collectively, the </w:t>
      </w:r>
      <w:r w:rsidR="00D4715A" w:rsidRPr="00D4715A">
        <w:rPr>
          <w:rFonts w:ascii="Avenir Next" w:hAnsi="Avenir Next" w:cs="Arial"/>
          <w:b/>
          <w:bCs/>
          <w:color w:val="808080" w:themeColor="background1" w:themeShade="80"/>
          <w:sz w:val="22"/>
          <w:szCs w:val="22"/>
          <w:lang w:val="en-GB"/>
        </w:rPr>
        <w:t>OHADA</w:t>
      </w:r>
      <w:r w:rsidR="00D4715A">
        <w:rPr>
          <w:rFonts w:ascii="Avenir Next" w:hAnsi="Avenir Next" w:cs="Arial"/>
          <w:color w:val="808080" w:themeColor="background1" w:themeShade="80"/>
          <w:sz w:val="22"/>
          <w:szCs w:val="22"/>
          <w:lang w:val="en-GB"/>
        </w:rPr>
        <w:t>).</w:t>
      </w:r>
      <w:r w:rsidR="00A15467">
        <w:rPr>
          <w:rFonts w:ascii="Avenir Next" w:hAnsi="Avenir Next" w:cs="Arial"/>
          <w:color w:val="808080" w:themeColor="background1" w:themeShade="80"/>
          <w:sz w:val="22"/>
          <w:szCs w:val="22"/>
          <w:lang w:val="en-GB"/>
        </w:rPr>
        <w:t xml:space="preserve"> </w:t>
      </w:r>
      <w:r w:rsidR="00D4715A">
        <w:rPr>
          <w:rFonts w:ascii="Avenir Next" w:hAnsi="Avenir Next" w:cs="Arial"/>
          <w:color w:val="808080" w:themeColor="background1" w:themeShade="80"/>
          <w:sz w:val="22"/>
          <w:szCs w:val="22"/>
          <w:lang w:val="en-GB"/>
        </w:rPr>
        <w:t xml:space="preserve">Currently, there are approximately 17 signatory States to the OHADA, including </w:t>
      </w:r>
      <w:r w:rsidR="007B5B5A">
        <w:rPr>
          <w:rFonts w:ascii="Avenir Next" w:hAnsi="Avenir Next" w:cs="Arial"/>
          <w:color w:val="808080" w:themeColor="background1" w:themeShade="80"/>
          <w:sz w:val="22"/>
          <w:szCs w:val="22"/>
          <w:lang w:val="en-GB"/>
        </w:rPr>
        <w:t>Cameroon, Congo and Guinea.</w:t>
      </w:r>
      <w:r w:rsidR="007B5B5A">
        <w:rPr>
          <w:rStyle w:val="FootnoteReference"/>
          <w:rFonts w:ascii="Avenir Next" w:hAnsi="Avenir Next" w:cs="Arial"/>
          <w:color w:val="808080" w:themeColor="background1" w:themeShade="80"/>
          <w:sz w:val="22"/>
          <w:szCs w:val="22"/>
          <w:lang w:val="en-GB"/>
        </w:rPr>
        <w:footnoteReference w:id="4"/>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B875DB">
        <w:rPr>
          <w:rFonts w:ascii="Avenir Next Demi Bold" w:hAnsi="Avenir Next Demi Bold" w:cs="Arial"/>
          <w:b/>
          <w:bCs/>
          <w:sz w:val="22"/>
          <w:szCs w:val="22"/>
          <w:lang w:val="en-GB"/>
        </w:rPr>
        <w:t xml:space="preserve">Question </w:t>
      </w:r>
      <w:r w:rsidR="00DE03AF" w:rsidRPr="00B875DB">
        <w:rPr>
          <w:rFonts w:ascii="Avenir Next Demi Bold" w:hAnsi="Avenir Next Demi Bold" w:cs="Arial"/>
          <w:b/>
          <w:bCs/>
          <w:sz w:val="22"/>
          <w:szCs w:val="22"/>
          <w:lang w:val="en-GB"/>
        </w:rPr>
        <w:t>2.2</w:t>
      </w:r>
      <w:r w:rsidR="00DE03AF" w:rsidRPr="00B875DB">
        <w:rPr>
          <w:rFonts w:ascii="Avenir Next Demi Bold" w:hAnsi="Avenir Next Demi Bold" w:cs="Arial"/>
          <w:b/>
          <w:bCs/>
          <w:sz w:val="22"/>
          <w:szCs w:val="22"/>
          <w:lang w:val="en-GB"/>
        </w:rPr>
        <w:tab/>
        <w:t>[</w:t>
      </w:r>
      <w:r w:rsidR="00D17FDC" w:rsidRPr="00B875DB">
        <w:rPr>
          <w:rFonts w:ascii="Avenir Next Demi Bold" w:hAnsi="Avenir Next Demi Bold" w:cs="Arial"/>
          <w:b/>
          <w:bCs/>
          <w:sz w:val="22"/>
          <w:szCs w:val="22"/>
          <w:lang w:val="en-GB"/>
        </w:rPr>
        <w:t>m</w:t>
      </w:r>
      <w:r w:rsidR="00DE03AF" w:rsidRPr="00B875DB">
        <w:rPr>
          <w:rFonts w:ascii="Avenir Next Demi Bold" w:hAnsi="Avenir Next Demi Bold" w:cs="Arial"/>
          <w:b/>
          <w:bCs/>
          <w:sz w:val="22"/>
          <w:szCs w:val="22"/>
          <w:lang w:val="en-GB"/>
        </w:rPr>
        <w:t xml:space="preserve">aximum </w:t>
      </w:r>
      <w:r w:rsidR="005800D0" w:rsidRPr="00B875DB">
        <w:rPr>
          <w:rFonts w:ascii="Avenir Next Demi Bold" w:hAnsi="Avenir Next Demi Bold" w:cs="Arial"/>
          <w:b/>
          <w:bCs/>
          <w:sz w:val="22"/>
          <w:szCs w:val="22"/>
          <w:lang w:val="en-GB"/>
        </w:rPr>
        <w:t>3</w:t>
      </w:r>
      <w:r w:rsidR="003A0BBE" w:rsidRPr="00B875DB">
        <w:rPr>
          <w:rFonts w:ascii="Avenir Next Demi Bold" w:hAnsi="Avenir Next Demi Bold" w:cs="Arial"/>
          <w:b/>
          <w:bCs/>
          <w:sz w:val="22"/>
          <w:szCs w:val="22"/>
          <w:lang w:val="en-GB"/>
        </w:rPr>
        <w:t xml:space="preserve"> </w:t>
      </w:r>
      <w:r w:rsidR="00DE03AF" w:rsidRPr="00B875DB">
        <w:rPr>
          <w:rFonts w:ascii="Avenir Next Demi Bold" w:hAnsi="Avenir Next Demi Bold" w:cs="Arial"/>
          <w:b/>
          <w:bCs/>
          <w:sz w:val="22"/>
          <w:szCs w:val="22"/>
          <w:lang w:val="en-GB"/>
        </w:rPr>
        <w:t>marks]</w:t>
      </w:r>
      <w:r w:rsidR="00DE03AF" w:rsidRPr="00692852">
        <w:rPr>
          <w:rFonts w:ascii="Avenir Next Demi Bold" w:hAnsi="Avenir Next Demi Bold" w:cs="Arial"/>
          <w:b/>
          <w:bCs/>
          <w:sz w:val="22"/>
          <w:szCs w:val="22"/>
          <w:lang w:val="en-GB"/>
        </w:rPr>
        <w:t xml:space="preserve">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5EAEAB5" w14:textId="343CE7B1" w:rsidR="00294EB4" w:rsidRDefault="00BE7FEB" w:rsidP="00A172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1997/98 financial crisis in East Asia,</w:t>
      </w:r>
      <w:r w:rsidR="00F86FED">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xml:space="preserve"> </w:t>
      </w:r>
      <w:r w:rsidR="00A17224">
        <w:rPr>
          <w:rFonts w:ascii="Avenir Next" w:hAnsi="Avenir Next" w:cs="Arial"/>
          <w:color w:val="808080" w:themeColor="background1" w:themeShade="80"/>
          <w:sz w:val="22"/>
          <w:szCs w:val="22"/>
          <w:lang w:val="en-GB"/>
        </w:rPr>
        <w:t>a number of multilateral agencies (</w:t>
      </w:r>
      <w:proofErr w:type="spellStart"/>
      <w:r w:rsidR="00A17224">
        <w:rPr>
          <w:rFonts w:ascii="Avenir Next" w:hAnsi="Avenir Next" w:cs="Arial"/>
          <w:color w:val="808080" w:themeColor="background1" w:themeShade="80"/>
          <w:sz w:val="22"/>
          <w:szCs w:val="22"/>
          <w:lang w:val="en-GB"/>
        </w:rPr>
        <w:t>eg</w:t>
      </w:r>
      <w:proofErr w:type="spellEnd"/>
      <w:r w:rsidR="00A17224">
        <w:rPr>
          <w:rFonts w:ascii="Avenir Next" w:hAnsi="Avenir Next" w:cs="Arial"/>
          <w:color w:val="808080" w:themeColor="background1" w:themeShade="80"/>
          <w:sz w:val="22"/>
          <w:szCs w:val="22"/>
          <w:lang w:val="en-GB"/>
        </w:rPr>
        <w:t xml:space="preserve"> IMF and the World Bank) sought to </w:t>
      </w:r>
      <w:r w:rsidR="00D2592E">
        <w:rPr>
          <w:rFonts w:ascii="Avenir Next" w:hAnsi="Avenir Next" w:cs="Arial"/>
          <w:color w:val="808080" w:themeColor="background1" w:themeShade="80"/>
          <w:sz w:val="22"/>
          <w:szCs w:val="22"/>
          <w:lang w:val="en-GB"/>
        </w:rPr>
        <w:t xml:space="preserve">promote </w:t>
      </w:r>
      <w:r w:rsidR="004B5623">
        <w:rPr>
          <w:rFonts w:ascii="Avenir Next" w:hAnsi="Avenir Next" w:cs="Arial"/>
          <w:color w:val="808080" w:themeColor="background1" w:themeShade="80"/>
          <w:sz w:val="22"/>
          <w:szCs w:val="22"/>
          <w:lang w:val="en-GB"/>
        </w:rPr>
        <w:t>“</w:t>
      </w:r>
      <w:r w:rsidR="004B5623" w:rsidRPr="006D254E">
        <w:rPr>
          <w:rFonts w:ascii="Avenir Next" w:hAnsi="Avenir Next" w:cs="Arial"/>
          <w:i/>
          <w:iCs/>
          <w:color w:val="808080" w:themeColor="background1" w:themeShade="80"/>
          <w:sz w:val="22"/>
          <w:szCs w:val="22"/>
          <w:lang w:val="en-GB"/>
        </w:rPr>
        <w:t>neo-liberal</w:t>
      </w:r>
      <w:r w:rsidR="00136333" w:rsidRPr="006D254E">
        <w:rPr>
          <w:rFonts w:ascii="Avenir Next" w:hAnsi="Avenir Next" w:cs="Arial"/>
          <w:i/>
          <w:iCs/>
          <w:color w:val="808080" w:themeColor="background1" w:themeShade="80"/>
          <w:sz w:val="22"/>
          <w:szCs w:val="22"/>
          <w:lang w:val="en-GB"/>
        </w:rPr>
        <w:t xml:space="preserve"> models of reform and market</w:t>
      </w:r>
      <w:r w:rsidR="00136333">
        <w:rPr>
          <w:rFonts w:ascii="Avenir Next" w:hAnsi="Avenir Next" w:cs="Arial"/>
          <w:color w:val="808080" w:themeColor="background1" w:themeShade="80"/>
          <w:sz w:val="22"/>
          <w:szCs w:val="22"/>
          <w:lang w:val="en-GB"/>
        </w:rPr>
        <w:t xml:space="preserve"> [liberalisation]</w:t>
      </w:r>
      <w:r w:rsidR="006D254E">
        <w:rPr>
          <w:rFonts w:ascii="Avenir Next" w:hAnsi="Avenir Next" w:cs="Arial"/>
          <w:color w:val="808080" w:themeColor="background1" w:themeShade="80"/>
          <w:sz w:val="22"/>
          <w:szCs w:val="22"/>
          <w:lang w:val="en-GB"/>
        </w:rPr>
        <w:t>.</w:t>
      </w:r>
      <w:r w:rsidR="00136333">
        <w:rPr>
          <w:rFonts w:ascii="Avenir Next" w:hAnsi="Avenir Next" w:cs="Arial"/>
          <w:color w:val="808080" w:themeColor="background1" w:themeShade="80"/>
          <w:sz w:val="22"/>
          <w:szCs w:val="22"/>
          <w:lang w:val="en-GB"/>
        </w:rPr>
        <w:t>”</w:t>
      </w:r>
      <w:r w:rsidR="008854C3">
        <w:rPr>
          <w:rStyle w:val="FootnoteReference"/>
          <w:rFonts w:ascii="Avenir Next" w:hAnsi="Avenir Next" w:cs="Arial"/>
          <w:color w:val="808080" w:themeColor="background1" w:themeShade="80"/>
          <w:sz w:val="22"/>
          <w:szCs w:val="22"/>
          <w:lang w:val="en-GB"/>
        </w:rPr>
        <w:footnoteReference w:id="6"/>
      </w:r>
      <w:r w:rsidR="006D254E">
        <w:rPr>
          <w:rFonts w:ascii="Avenir Next" w:hAnsi="Avenir Next" w:cs="Arial"/>
          <w:color w:val="808080" w:themeColor="background1" w:themeShade="80"/>
          <w:sz w:val="22"/>
          <w:szCs w:val="22"/>
          <w:lang w:val="en-GB"/>
        </w:rPr>
        <w:t xml:space="preserve"> </w:t>
      </w:r>
      <w:r w:rsidR="00EC7A10">
        <w:rPr>
          <w:rFonts w:ascii="Avenir Next" w:hAnsi="Avenir Next" w:cs="Arial"/>
          <w:color w:val="808080" w:themeColor="background1" w:themeShade="80"/>
          <w:sz w:val="22"/>
          <w:szCs w:val="22"/>
          <w:lang w:val="en-GB"/>
        </w:rPr>
        <w:t xml:space="preserve">The following are some </w:t>
      </w:r>
      <w:r w:rsidR="008400CE">
        <w:rPr>
          <w:rFonts w:ascii="Avenir Next" w:hAnsi="Avenir Next" w:cs="Arial"/>
          <w:color w:val="808080" w:themeColor="background1" w:themeShade="80"/>
          <w:sz w:val="22"/>
          <w:szCs w:val="22"/>
          <w:lang w:val="en-GB"/>
        </w:rPr>
        <w:t>example</w:t>
      </w:r>
      <w:r w:rsidR="00EC7A10">
        <w:rPr>
          <w:rFonts w:ascii="Avenir Next" w:hAnsi="Avenir Next" w:cs="Arial"/>
          <w:color w:val="808080" w:themeColor="background1" w:themeShade="80"/>
          <w:sz w:val="22"/>
          <w:szCs w:val="22"/>
          <w:lang w:val="en-GB"/>
        </w:rPr>
        <w:t>s</w:t>
      </w:r>
      <w:r w:rsidR="008400CE">
        <w:rPr>
          <w:rFonts w:ascii="Avenir Next" w:hAnsi="Avenir Next" w:cs="Arial"/>
          <w:color w:val="808080" w:themeColor="background1" w:themeShade="80"/>
          <w:sz w:val="22"/>
          <w:szCs w:val="22"/>
          <w:lang w:val="en-GB"/>
        </w:rPr>
        <w:t xml:space="preserve"> of countr</w:t>
      </w:r>
      <w:r w:rsidR="00EC7A10">
        <w:rPr>
          <w:rFonts w:ascii="Avenir Next" w:hAnsi="Avenir Next" w:cs="Arial"/>
          <w:color w:val="808080" w:themeColor="background1" w:themeShade="80"/>
          <w:sz w:val="22"/>
          <w:szCs w:val="22"/>
          <w:lang w:val="en-GB"/>
        </w:rPr>
        <w:t>ies</w:t>
      </w:r>
      <w:r w:rsidR="008400CE">
        <w:rPr>
          <w:rFonts w:ascii="Avenir Next" w:hAnsi="Avenir Next" w:cs="Arial"/>
          <w:color w:val="808080" w:themeColor="background1" w:themeShade="80"/>
          <w:sz w:val="22"/>
          <w:szCs w:val="22"/>
          <w:lang w:val="en-GB"/>
        </w:rPr>
        <w:t xml:space="preserve"> that </w:t>
      </w:r>
      <w:r w:rsidR="00EC7A10">
        <w:rPr>
          <w:rFonts w:ascii="Avenir Next" w:hAnsi="Avenir Next" w:cs="Arial"/>
          <w:color w:val="808080" w:themeColor="background1" w:themeShade="80"/>
          <w:sz w:val="22"/>
          <w:szCs w:val="22"/>
          <w:lang w:val="en-GB"/>
        </w:rPr>
        <w:t xml:space="preserve">amended their insolvency reforms following the </w:t>
      </w:r>
      <w:r w:rsidR="00BC5B3D">
        <w:rPr>
          <w:rFonts w:ascii="Avenir Next" w:hAnsi="Avenir Next" w:cs="Arial"/>
          <w:color w:val="808080" w:themeColor="background1" w:themeShade="80"/>
          <w:sz w:val="22"/>
          <w:szCs w:val="22"/>
          <w:lang w:val="en-GB"/>
        </w:rPr>
        <w:t>1997/98 financial crisis:</w:t>
      </w:r>
    </w:p>
    <w:p w14:paraId="1F91303E" w14:textId="1FF4842E" w:rsidR="00BC5B3D" w:rsidRPr="00426223" w:rsidRDefault="00BC5B3D" w:rsidP="00A17224">
      <w:pPr>
        <w:jc w:val="both"/>
        <w:rPr>
          <w:rFonts w:ascii="Avenir Next" w:hAnsi="Avenir Next" w:cs="Arial"/>
          <w:color w:val="808080" w:themeColor="background1" w:themeShade="80"/>
          <w:sz w:val="14"/>
          <w:szCs w:val="14"/>
          <w:lang w:val="en-GB"/>
        </w:rPr>
      </w:pPr>
    </w:p>
    <w:p w14:paraId="027FA165" w14:textId="6C022C45" w:rsidR="00BC5B3D" w:rsidRDefault="00BC5B3D" w:rsidP="00BC5B3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Philippines – the </w:t>
      </w:r>
      <w:r w:rsidR="00786431">
        <w:rPr>
          <w:rFonts w:ascii="Avenir Next" w:hAnsi="Avenir Next" w:cs="Arial"/>
          <w:color w:val="808080" w:themeColor="background1" w:themeShade="80"/>
          <w:sz w:val="22"/>
          <w:szCs w:val="22"/>
          <w:lang w:val="en-GB"/>
        </w:rPr>
        <w:t>“debtor-friendly”</w:t>
      </w:r>
      <w:r w:rsidR="00786431">
        <w:rPr>
          <w:rStyle w:val="FootnoteReference"/>
          <w:rFonts w:ascii="Avenir Next" w:hAnsi="Avenir Next" w:cs="Arial"/>
          <w:color w:val="808080" w:themeColor="background1" w:themeShade="80"/>
          <w:sz w:val="22"/>
          <w:szCs w:val="22"/>
          <w:lang w:val="en-GB"/>
        </w:rPr>
        <w:footnoteReference w:id="7"/>
      </w:r>
      <w:r w:rsidR="0078643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SEC Rules of Procedure on Corporate Rescue was </w:t>
      </w:r>
      <w:r w:rsidR="005423CF">
        <w:rPr>
          <w:rFonts w:ascii="Avenir Next" w:hAnsi="Avenir Next" w:cs="Arial"/>
          <w:color w:val="808080" w:themeColor="background1" w:themeShade="80"/>
          <w:sz w:val="22"/>
          <w:szCs w:val="22"/>
          <w:lang w:val="en-GB"/>
        </w:rPr>
        <w:t>passed into law on 15 January 2000.</w:t>
      </w:r>
      <w:r w:rsidR="00BC794A">
        <w:rPr>
          <w:rStyle w:val="FootnoteReference"/>
          <w:rFonts w:ascii="Avenir Next" w:hAnsi="Avenir Next" w:cs="Arial"/>
          <w:color w:val="808080" w:themeColor="background1" w:themeShade="80"/>
          <w:sz w:val="22"/>
          <w:szCs w:val="22"/>
          <w:lang w:val="en-GB"/>
        </w:rPr>
        <w:footnoteReference w:id="8"/>
      </w:r>
      <w:r w:rsidR="005423CF">
        <w:rPr>
          <w:rFonts w:ascii="Avenir Next" w:hAnsi="Avenir Next" w:cs="Arial"/>
          <w:color w:val="808080" w:themeColor="background1" w:themeShade="80"/>
          <w:sz w:val="22"/>
          <w:szCs w:val="22"/>
          <w:lang w:val="en-GB"/>
        </w:rPr>
        <w:t xml:space="preserve"> </w:t>
      </w:r>
      <w:r w:rsidR="00E95AFF">
        <w:rPr>
          <w:rFonts w:ascii="Avenir Next" w:hAnsi="Avenir Next" w:cs="Arial"/>
          <w:color w:val="808080" w:themeColor="background1" w:themeShade="80"/>
          <w:sz w:val="22"/>
          <w:szCs w:val="22"/>
          <w:lang w:val="en-GB"/>
        </w:rPr>
        <w:t xml:space="preserve">These laws </w:t>
      </w:r>
      <w:r w:rsidR="00BC794A">
        <w:rPr>
          <w:rFonts w:ascii="Avenir Next" w:hAnsi="Avenir Next" w:cs="Arial"/>
          <w:color w:val="808080" w:themeColor="background1" w:themeShade="80"/>
          <w:sz w:val="22"/>
          <w:szCs w:val="22"/>
          <w:lang w:val="en-GB"/>
        </w:rPr>
        <w:t xml:space="preserve">were replaced by the </w:t>
      </w:r>
      <w:r w:rsidR="00BC794A" w:rsidRPr="00BC794A">
        <w:rPr>
          <w:rFonts w:ascii="Avenir Next" w:hAnsi="Avenir Next" w:cs="Arial"/>
          <w:color w:val="808080" w:themeColor="background1" w:themeShade="80"/>
          <w:sz w:val="22"/>
          <w:szCs w:val="22"/>
          <w:lang w:val="en-GB"/>
        </w:rPr>
        <w:t>Financial Rehabilitation and Insolvency Act of 2010 (</w:t>
      </w:r>
      <w:r w:rsidR="00BC794A" w:rsidRPr="00BC794A">
        <w:rPr>
          <w:rFonts w:ascii="Avenir Next" w:hAnsi="Avenir Next" w:cs="Arial"/>
          <w:b/>
          <w:bCs/>
          <w:color w:val="808080" w:themeColor="background1" w:themeShade="80"/>
          <w:sz w:val="22"/>
          <w:szCs w:val="22"/>
          <w:lang w:val="en-GB"/>
        </w:rPr>
        <w:t>FRIA</w:t>
      </w:r>
      <w:r w:rsidR="00BC794A" w:rsidRPr="00BC794A">
        <w:rPr>
          <w:rFonts w:ascii="Avenir Next" w:hAnsi="Avenir Next" w:cs="Arial"/>
          <w:color w:val="808080" w:themeColor="background1" w:themeShade="80"/>
          <w:sz w:val="22"/>
          <w:szCs w:val="22"/>
          <w:lang w:val="en-GB"/>
        </w:rPr>
        <w:t>)</w:t>
      </w:r>
      <w:r w:rsidR="00BC794A">
        <w:rPr>
          <w:rFonts w:ascii="Avenir Next" w:hAnsi="Avenir Next" w:cs="Arial"/>
          <w:color w:val="808080" w:themeColor="background1" w:themeShade="80"/>
          <w:sz w:val="22"/>
          <w:szCs w:val="22"/>
          <w:lang w:val="en-GB"/>
        </w:rPr>
        <w:t>; and</w:t>
      </w:r>
    </w:p>
    <w:p w14:paraId="2A6931C7" w14:textId="77777777" w:rsidR="00426223" w:rsidRPr="00426223" w:rsidRDefault="00426223" w:rsidP="00426223">
      <w:pPr>
        <w:pStyle w:val="ListParagraph"/>
        <w:ind w:left="360"/>
        <w:jc w:val="both"/>
        <w:rPr>
          <w:rFonts w:ascii="Avenir Next" w:hAnsi="Avenir Next" w:cs="Arial"/>
          <w:color w:val="808080" w:themeColor="background1" w:themeShade="80"/>
          <w:sz w:val="10"/>
          <w:szCs w:val="10"/>
          <w:lang w:val="en-GB"/>
        </w:rPr>
      </w:pPr>
    </w:p>
    <w:p w14:paraId="080BB115" w14:textId="3F6AEFE5" w:rsidR="00BC794A" w:rsidRPr="00BC5B3D" w:rsidRDefault="00B0281B" w:rsidP="00BC5B3D">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Thailand – </w:t>
      </w:r>
      <w:r w:rsidR="00B87B21">
        <w:rPr>
          <w:rFonts w:ascii="Avenir Next" w:hAnsi="Avenir Next" w:cs="Arial"/>
          <w:color w:val="808080" w:themeColor="background1" w:themeShade="80"/>
          <w:sz w:val="22"/>
          <w:szCs w:val="22"/>
          <w:lang w:val="en-GB"/>
        </w:rPr>
        <w:t xml:space="preserve">introduced rehabilitation and reorganisation amendments to the Bankruptcy Act (1940) and implemented a specialist bankruptcy court </w:t>
      </w:r>
      <w:r w:rsidR="00C17C20">
        <w:rPr>
          <w:rFonts w:ascii="Avenir Next" w:hAnsi="Avenir Next" w:cs="Arial"/>
          <w:color w:val="808080" w:themeColor="background1" w:themeShade="80"/>
          <w:sz w:val="22"/>
          <w:szCs w:val="22"/>
          <w:lang w:val="en-GB"/>
        </w:rPr>
        <w:t>through the Bankruptcy Court Act (1998).</w:t>
      </w:r>
      <w:r w:rsidR="00C17C20">
        <w:rPr>
          <w:rStyle w:val="FootnoteReference"/>
          <w:rFonts w:ascii="Avenir Next" w:hAnsi="Avenir Next" w:cs="Arial"/>
          <w:color w:val="808080" w:themeColor="background1" w:themeShade="80"/>
          <w:sz w:val="22"/>
          <w:szCs w:val="22"/>
          <w:lang w:val="en-GB"/>
        </w:rPr>
        <w:footnoteReference w:id="9"/>
      </w:r>
    </w:p>
    <w:p w14:paraId="0EA54C7E" w14:textId="77777777" w:rsidR="00294EB4" w:rsidRDefault="00294EB4" w:rsidP="00A17224">
      <w:pPr>
        <w:jc w:val="both"/>
        <w:rPr>
          <w:rFonts w:ascii="Avenir Next" w:hAnsi="Avenir Next" w:cs="Arial"/>
          <w:color w:val="808080" w:themeColor="background1" w:themeShade="80"/>
          <w:sz w:val="22"/>
          <w:szCs w:val="22"/>
          <w:lang w:val="en-GB"/>
        </w:rPr>
      </w:pPr>
    </w:p>
    <w:p w14:paraId="2D25DE19" w14:textId="10A98468" w:rsidR="00AB63DE" w:rsidRDefault="007D2D8C" w:rsidP="00A172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 only was t</w:t>
      </w:r>
      <w:r w:rsidR="006A67AC">
        <w:rPr>
          <w:rFonts w:ascii="Avenir Next" w:hAnsi="Avenir Next" w:cs="Arial"/>
          <w:color w:val="808080" w:themeColor="background1" w:themeShade="80"/>
          <w:sz w:val="22"/>
          <w:szCs w:val="22"/>
          <w:lang w:val="en-GB"/>
        </w:rPr>
        <w:t xml:space="preserve">he 1997/98 financial crisis </w:t>
      </w:r>
      <w:r>
        <w:rPr>
          <w:rFonts w:ascii="Avenir Next" w:hAnsi="Avenir Next" w:cs="Arial"/>
          <w:color w:val="808080" w:themeColor="background1" w:themeShade="80"/>
          <w:sz w:val="22"/>
          <w:szCs w:val="22"/>
          <w:lang w:val="en-GB"/>
        </w:rPr>
        <w:t xml:space="preserve">a driving force </w:t>
      </w:r>
      <w:r w:rsidR="0021284A">
        <w:rPr>
          <w:rFonts w:ascii="Avenir Next" w:hAnsi="Avenir Next" w:cs="Arial"/>
          <w:color w:val="808080" w:themeColor="background1" w:themeShade="80"/>
          <w:sz w:val="22"/>
          <w:szCs w:val="22"/>
          <w:lang w:val="en-GB"/>
        </w:rPr>
        <w:t>in</w:t>
      </w:r>
      <w:r w:rsidR="00131AC3">
        <w:rPr>
          <w:rFonts w:ascii="Avenir Next" w:hAnsi="Avenir Next" w:cs="Arial"/>
          <w:color w:val="808080" w:themeColor="background1" w:themeShade="80"/>
          <w:sz w:val="22"/>
          <w:szCs w:val="22"/>
          <w:lang w:val="en-GB"/>
        </w:rPr>
        <w:t xml:space="preserve"> making</w:t>
      </w:r>
      <w:r>
        <w:rPr>
          <w:rFonts w:ascii="Avenir Next" w:hAnsi="Avenir Next" w:cs="Arial"/>
          <w:color w:val="808080" w:themeColor="background1" w:themeShade="80"/>
          <w:sz w:val="22"/>
          <w:szCs w:val="22"/>
          <w:lang w:val="en-GB"/>
        </w:rPr>
        <w:t xml:space="preserve"> some </w:t>
      </w:r>
      <w:r w:rsidR="0021284A">
        <w:rPr>
          <w:rFonts w:ascii="Avenir Next" w:hAnsi="Avenir Next" w:cs="Arial"/>
          <w:color w:val="808080" w:themeColor="background1" w:themeShade="80"/>
          <w:sz w:val="22"/>
          <w:szCs w:val="22"/>
          <w:lang w:val="en-GB"/>
        </w:rPr>
        <w:t xml:space="preserve">East Asian countries to </w:t>
      </w:r>
      <w:r>
        <w:rPr>
          <w:rFonts w:ascii="Avenir Next" w:hAnsi="Avenir Next" w:cs="Arial"/>
          <w:color w:val="808080" w:themeColor="background1" w:themeShade="80"/>
          <w:sz w:val="22"/>
          <w:szCs w:val="22"/>
          <w:lang w:val="en-GB"/>
        </w:rPr>
        <w:t>ch</w:t>
      </w:r>
      <w:r w:rsidR="00131AC3">
        <w:rPr>
          <w:rFonts w:ascii="Avenir Next" w:hAnsi="Avenir Next" w:cs="Arial"/>
          <w:color w:val="808080" w:themeColor="background1" w:themeShade="80"/>
          <w:sz w:val="22"/>
          <w:szCs w:val="22"/>
          <w:lang w:val="en-GB"/>
        </w:rPr>
        <w:t xml:space="preserve">ange </w:t>
      </w:r>
      <w:r w:rsidR="0021284A">
        <w:rPr>
          <w:rFonts w:ascii="Avenir Next" w:hAnsi="Avenir Next" w:cs="Arial"/>
          <w:color w:val="808080" w:themeColor="background1" w:themeShade="80"/>
          <w:sz w:val="22"/>
          <w:szCs w:val="22"/>
          <w:lang w:val="en-GB"/>
        </w:rPr>
        <w:t xml:space="preserve">their </w:t>
      </w:r>
      <w:r w:rsidR="00131AC3">
        <w:rPr>
          <w:rFonts w:ascii="Avenir Next" w:hAnsi="Avenir Next" w:cs="Arial"/>
          <w:color w:val="808080" w:themeColor="background1" w:themeShade="80"/>
          <w:sz w:val="22"/>
          <w:szCs w:val="22"/>
          <w:lang w:val="en-GB"/>
        </w:rPr>
        <w:t>insolvency laws</w:t>
      </w:r>
      <w:r w:rsidR="00294EB4">
        <w:rPr>
          <w:rFonts w:ascii="Avenir Next" w:hAnsi="Avenir Next" w:cs="Arial"/>
          <w:color w:val="808080" w:themeColor="background1" w:themeShade="80"/>
          <w:sz w:val="22"/>
          <w:szCs w:val="22"/>
          <w:lang w:val="en-GB"/>
        </w:rPr>
        <w:t>, Singapore made the policy decision</w:t>
      </w:r>
      <w:r w:rsidR="008B3EE8">
        <w:rPr>
          <w:rStyle w:val="FootnoteReference"/>
          <w:rFonts w:ascii="Avenir Next" w:hAnsi="Avenir Next" w:cs="Arial"/>
          <w:color w:val="808080" w:themeColor="background1" w:themeShade="80"/>
          <w:sz w:val="22"/>
          <w:szCs w:val="22"/>
          <w:lang w:val="en-GB"/>
        </w:rPr>
        <w:footnoteReference w:id="10"/>
      </w:r>
      <w:r w:rsidR="00294EB4">
        <w:rPr>
          <w:rFonts w:ascii="Avenir Next" w:hAnsi="Avenir Next" w:cs="Arial"/>
          <w:color w:val="808080" w:themeColor="background1" w:themeShade="80"/>
          <w:sz w:val="22"/>
          <w:szCs w:val="22"/>
          <w:lang w:val="en-GB"/>
        </w:rPr>
        <w:t xml:space="preserve"> in </w:t>
      </w:r>
      <w:r w:rsidR="005361D9">
        <w:rPr>
          <w:rFonts w:ascii="Avenir Next" w:hAnsi="Avenir Next" w:cs="Arial"/>
          <w:color w:val="808080" w:themeColor="background1" w:themeShade="80"/>
          <w:sz w:val="22"/>
          <w:szCs w:val="22"/>
          <w:lang w:val="en-GB"/>
        </w:rPr>
        <w:t>2016</w:t>
      </w:r>
      <w:r w:rsidR="005A26C6">
        <w:rPr>
          <w:rFonts w:ascii="Avenir Next" w:hAnsi="Avenir Next" w:cs="Arial"/>
          <w:color w:val="808080" w:themeColor="background1" w:themeShade="80"/>
          <w:sz w:val="22"/>
          <w:szCs w:val="22"/>
          <w:lang w:val="en-GB"/>
        </w:rPr>
        <w:t xml:space="preserve"> to position itself as a powerhouse in cross-border insolvency/restructuring</w:t>
      </w:r>
      <w:r w:rsidR="005E6959">
        <w:rPr>
          <w:rFonts w:ascii="Avenir Next" w:hAnsi="Avenir Next" w:cs="Arial"/>
          <w:color w:val="808080" w:themeColor="background1" w:themeShade="80"/>
          <w:sz w:val="22"/>
          <w:szCs w:val="22"/>
          <w:lang w:val="en-GB"/>
        </w:rPr>
        <w:t>.</w:t>
      </w:r>
      <w:r w:rsidR="009175CA">
        <w:rPr>
          <w:rStyle w:val="FootnoteReference"/>
          <w:rFonts w:ascii="Avenir Next" w:hAnsi="Avenir Next" w:cs="Arial"/>
          <w:color w:val="808080" w:themeColor="background1" w:themeShade="80"/>
          <w:sz w:val="22"/>
          <w:szCs w:val="22"/>
          <w:lang w:val="en-GB"/>
        </w:rPr>
        <w:footnoteReference w:id="11"/>
      </w:r>
      <w:r w:rsidR="005E6959">
        <w:rPr>
          <w:rFonts w:ascii="Avenir Next" w:hAnsi="Avenir Next" w:cs="Arial"/>
          <w:color w:val="808080" w:themeColor="background1" w:themeShade="80"/>
          <w:sz w:val="22"/>
          <w:szCs w:val="22"/>
          <w:lang w:val="en-GB"/>
        </w:rPr>
        <w:t xml:space="preserve"> </w:t>
      </w:r>
      <w:r w:rsidR="00426223">
        <w:rPr>
          <w:rFonts w:ascii="Avenir Next" w:hAnsi="Avenir Next" w:cs="Arial"/>
          <w:color w:val="808080" w:themeColor="background1" w:themeShade="80"/>
          <w:sz w:val="22"/>
          <w:szCs w:val="22"/>
          <w:lang w:val="en-GB"/>
        </w:rPr>
        <w:t>On 30 July 2020, Singapore brought into force the Insolvency, Restructuring and Dissolution Act</w:t>
      </w:r>
      <w:r w:rsidR="000F7CFE">
        <w:rPr>
          <w:rFonts w:ascii="Avenir Next" w:hAnsi="Avenir Next" w:cs="Arial"/>
          <w:color w:val="808080" w:themeColor="background1" w:themeShade="80"/>
          <w:sz w:val="22"/>
          <w:szCs w:val="22"/>
          <w:lang w:val="en-GB"/>
        </w:rPr>
        <w:t>;</w:t>
      </w:r>
      <w:r w:rsidR="008D4156">
        <w:rPr>
          <w:rFonts w:ascii="Avenir Next" w:hAnsi="Avenir Next" w:cs="Arial"/>
          <w:color w:val="808080" w:themeColor="background1" w:themeShade="80"/>
          <w:sz w:val="22"/>
          <w:szCs w:val="22"/>
          <w:lang w:val="en-GB"/>
        </w:rPr>
        <w:t xml:space="preserve"> which </w:t>
      </w:r>
      <w:r w:rsidR="000F7CFE">
        <w:rPr>
          <w:rFonts w:ascii="Avenir Next" w:hAnsi="Avenir Next" w:cs="Arial"/>
          <w:color w:val="808080" w:themeColor="background1" w:themeShade="80"/>
          <w:sz w:val="22"/>
          <w:szCs w:val="22"/>
          <w:lang w:val="en-GB"/>
        </w:rPr>
        <w:t xml:space="preserve">consolidates the insolvency laws in the former Bankruptcy Act and Companies Act, introduces </w:t>
      </w:r>
      <w:r w:rsidR="000F7CFE">
        <w:rPr>
          <w:rFonts w:ascii="Avenir Next" w:hAnsi="Avenir Next" w:cs="Arial"/>
          <w:i/>
          <w:iCs/>
          <w:color w:val="808080" w:themeColor="background1" w:themeShade="80"/>
          <w:sz w:val="22"/>
          <w:szCs w:val="22"/>
          <w:lang w:val="en-GB"/>
        </w:rPr>
        <w:t>ipso facto</w:t>
      </w:r>
      <w:r w:rsidR="000F7CFE">
        <w:rPr>
          <w:rFonts w:ascii="Avenir Next" w:hAnsi="Avenir Next" w:cs="Arial"/>
          <w:color w:val="808080" w:themeColor="background1" w:themeShade="80"/>
          <w:sz w:val="22"/>
          <w:szCs w:val="22"/>
          <w:lang w:val="en-GB"/>
        </w:rPr>
        <w:t xml:space="preserve"> clause </w:t>
      </w:r>
      <w:r w:rsidR="00E8234D">
        <w:rPr>
          <w:rFonts w:ascii="Avenir Next" w:hAnsi="Avenir Next" w:cs="Arial"/>
          <w:color w:val="808080" w:themeColor="background1" w:themeShade="80"/>
          <w:sz w:val="22"/>
          <w:szCs w:val="22"/>
          <w:lang w:val="en-GB"/>
        </w:rPr>
        <w:t>modifications/restrictions</w:t>
      </w:r>
      <w:r w:rsidR="000F7CFE">
        <w:rPr>
          <w:rFonts w:ascii="Avenir Next" w:hAnsi="Avenir Next" w:cs="Arial"/>
          <w:color w:val="808080" w:themeColor="background1" w:themeShade="80"/>
          <w:sz w:val="22"/>
          <w:szCs w:val="22"/>
          <w:lang w:val="en-GB"/>
        </w:rPr>
        <w:t xml:space="preserve"> and </w:t>
      </w:r>
      <w:r w:rsidR="00E8234D">
        <w:rPr>
          <w:rFonts w:ascii="Avenir Next" w:hAnsi="Avenir Next" w:cs="Arial"/>
          <w:color w:val="808080" w:themeColor="background1" w:themeShade="80"/>
          <w:sz w:val="22"/>
          <w:szCs w:val="22"/>
          <w:lang w:val="en-GB"/>
        </w:rPr>
        <w:t xml:space="preserve">provides a greater reorganisation/turnaround </w:t>
      </w:r>
      <w:r w:rsidR="00A270C3">
        <w:rPr>
          <w:rFonts w:ascii="Avenir Next" w:hAnsi="Avenir Next" w:cs="Arial"/>
          <w:color w:val="808080" w:themeColor="background1" w:themeShade="80"/>
          <w:sz w:val="22"/>
          <w:szCs w:val="22"/>
          <w:lang w:val="en-GB"/>
        </w:rPr>
        <w:t>opportunity for companies in financial distress.</w:t>
      </w:r>
      <w:r w:rsidR="00A270C3">
        <w:rPr>
          <w:rStyle w:val="FootnoteReference"/>
          <w:rFonts w:ascii="Avenir Next" w:hAnsi="Avenir Next" w:cs="Arial"/>
          <w:color w:val="808080" w:themeColor="background1" w:themeShade="80"/>
          <w:sz w:val="22"/>
          <w:szCs w:val="22"/>
          <w:lang w:val="en-GB"/>
        </w:rPr>
        <w:footnoteReference w:id="12"/>
      </w:r>
    </w:p>
    <w:p w14:paraId="524935FD" w14:textId="5DA90B31" w:rsidR="000F5CA8" w:rsidRDefault="000F5CA8" w:rsidP="00A17224">
      <w:pPr>
        <w:jc w:val="both"/>
        <w:rPr>
          <w:rFonts w:ascii="Avenir Next" w:hAnsi="Avenir Next" w:cs="Arial"/>
          <w:color w:val="808080" w:themeColor="background1" w:themeShade="80"/>
          <w:sz w:val="22"/>
          <w:szCs w:val="22"/>
          <w:lang w:val="en-GB"/>
        </w:rPr>
      </w:pPr>
    </w:p>
    <w:p w14:paraId="45E1B013" w14:textId="30FF0A68" w:rsidR="00E8568B" w:rsidRPr="00E8568B" w:rsidRDefault="001631F9" w:rsidP="00E8568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also note </w:t>
      </w:r>
      <w:r w:rsidR="009F55F5">
        <w:rPr>
          <w:rFonts w:ascii="Avenir Next" w:hAnsi="Avenir Next" w:cs="Arial"/>
          <w:color w:val="808080" w:themeColor="background1" w:themeShade="80"/>
          <w:sz w:val="22"/>
          <w:szCs w:val="22"/>
          <w:lang w:val="en-GB"/>
        </w:rPr>
        <w:t xml:space="preserve">that the following Asian countries are </w:t>
      </w:r>
      <w:r w:rsidR="00BD260F">
        <w:rPr>
          <w:rFonts w:ascii="Avenir Next" w:hAnsi="Avenir Next" w:cs="Arial"/>
          <w:color w:val="808080" w:themeColor="background1" w:themeShade="80"/>
          <w:sz w:val="22"/>
          <w:szCs w:val="22"/>
          <w:lang w:val="en-GB"/>
        </w:rPr>
        <w:t>members of the Judicial Insolvency Network:</w:t>
      </w:r>
      <w:r w:rsidR="00E8568B">
        <w:rPr>
          <w:rFonts w:ascii="Avenir Next" w:hAnsi="Avenir Next" w:cs="Arial"/>
          <w:color w:val="808080" w:themeColor="background1" w:themeShade="80"/>
          <w:sz w:val="22"/>
          <w:szCs w:val="22"/>
          <w:lang w:val="en-GB"/>
        </w:rPr>
        <w:t xml:space="preserve"> </w:t>
      </w:r>
      <w:r w:rsidR="00E8568B" w:rsidRPr="00E8568B">
        <w:rPr>
          <w:rFonts w:ascii="Avenir Next" w:hAnsi="Avenir Next" w:cs="Arial"/>
          <w:color w:val="808080" w:themeColor="background1" w:themeShade="80"/>
          <w:sz w:val="22"/>
          <w:szCs w:val="22"/>
          <w:lang w:val="en-GB"/>
        </w:rPr>
        <w:t>Supreme Court of Singapore</w:t>
      </w:r>
      <w:r w:rsidR="00E8568B">
        <w:rPr>
          <w:rFonts w:ascii="Avenir Next" w:hAnsi="Avenir Next" w:cs="Arial"/>
          <w:color w:val="808080" w:themeColor="background1" w:themeShade="80"/>
          <w:sz w:val="22"/>
          <w:szCs w:val="22"/>
          <w:lang w:val="en-GB"/>
        </w:rPr>
        <w:t xml:space="preserve">, </w:t>
      </w:r>
      <w:r w:rsidR="00E8568B" w:rsidRPr="00E8568B">
        <w:rPr>
          <w:rFonts w:ascii="Avenir Next" w:hAnsi="Avenir Next" w:cs="Arial"/>
          <w:color w:val="808080" w:themeColor="background1" w:themeShade="80"/>
          <w:sz w:val="22"/>
          <w:szCs w:val="22"/>
          <w:lang w:val="en-GB"/>
        </w:rPr>
        <w:t>Seoul Bankruptcy Court</w:t>
      </w:r>
      <w:r w:rsidR="00E8568B">
        <w:rPr>
          <w:rFonts w:ascii="Avenir Next" w:hAnsi="Avenir Next" w:cs="Arial"/>
          <w:color w:val="808080" w:themeColor="background1" w:themeShade="80"/>
          <w:sz w:val="22"/>
          <w:szCs w:val="22"/>
          <w:lang w:val="en-GB"/>
        </w:rPr>
        <w:t xml:space="preserve">, </w:t>
      </w:r>
      <w:r w:rsidR="00E8568B" w:rsidRPr="00E8568B">
        <w:rPr>
          <w:rFonts w:ascii="Avenir Next" w:hAnsi="Avenir Next" w:cs="Arial"/>
          <w:color w:val="808080" w:themeColor="background1" w:themeShade="80"/>
          <w:sz w:val="22"/>
          <w:szCs w:val="22"/>
          <w:lang w:val="en-GB"/>
        </w:rPr>
        <w:t>High Court of Hong Kong SAR (observer)</w:t>
      </w:r>
      <w:r w:rsidR="00E8568B">
        <w:rPr>
          <w:rFonts w:ascii="Avenir Next" w:hAnsi="Avenir Next" w:cs="Arial"/>
          <w:color w:val="808080" w:themeColor="background1" w:themeShade="80"/>
          <w:sz w:val="22"/>
          <w:szCs w:val="22"/>
          <w:lang w:val="en-GB"/>
        </w:rPr>
        <w:t xml:space="preserve">, </w:t>
      </w:r>
      <w:r w:rsidR="00E8568B" w:rsidRPr="00E8568B">
        <w:rPr>
          <w:rFonts w:ascii="Avenir Next" w:hAnsi="Avenir Next" w:cs="Arial"/>
          <w:color w:val="808080" w:themeColor="background1" w:themeShade="80"/>
          <w:sz w:val="22"/>
          <w:szCs w:val="22"/>
          <w:lang w:val="en-GB"/>
        </w:rPr>
        <w:t>Tokyo District Court (observer)</w:t>
      </w:r>
      <w:r w:rsidR="00E8568B">
        <w:rPr>
          <w:rFonts w:ascii="Avenir Next" w:hAnsi="Avenir Next" w:cs="Arial"/>
          <w:color w:val="808080" w:themeColor="background1" w:themeShade="80"/>
          <w:sz w:val="22"/>
          <w:szCs w:val="22"/>
          <w:lang w:val="en-GB"/>
        </w:rPr>
        <w:t xml:space="preserve"> and the </w:t>
      </w:r>
      <w:r w:rsidR="00E8568B" w:rsidRPr="00E8568B">
        <w:rPr>
          <w:rFonts w:ascii="Avenir Next" w:hAnsi="Avenir Next" w:cs="Arial"/>
          <w:color w:val="808080" w:themeColor="background1" w:themeShade="80"/>
          <w:sz w:val="22"/>
          <w:szCs w:val="22"/>
          <w:lang w:val="en-GB"/>
        </w:rPr>
        <w:t>Supreme Court of Japan (observer)</w:t>
      </w:r>
      <w:r w:rsidR="00E8568B">
        <w:rPr>
          <w:rFonts w:ascii="Avenir Next" w:hAnsi="Avenir Next" w:cs="Arial"/>
          <w:color w:val="808080" w:themeColor="background1" w:themeShade="80"/>
          <w:sz w:val="22"/>
          <w:szCs w:val="22"/>
          <w:lang w:val="en-GB"/>
        </w:rPr>
        <w:t>.</w:t>
      </w:r>
      <w:r w:rsidR="00E8568B">
        <w:rPr>
          <w:rStyle w:val="FootnoteReference"/>
          <w:rFonts w:ascii="Avenir Next" w:hAnsi="Avenir Next" w:cs="Arial"/>
          <w:color w:val="808080" w:themeColor="background1" w:themeShade="80"/>
          <w:sz w:val="22"/>
          <w:szCs w:val="22"/>
          <w:lang w:val="en-GB"/>
        </w:rPr>
        <w:footnoteReference w:id="13"/>
      </w: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0AA29E6" w14:textId="1D963876" w:rsidR="00E14459" w:rsidRDefault="009846FD" w:rsidP="00EA27B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Westb</w:t>
      </w:r>
      <w:r w:rsidR="00BB044D">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ook </w:t>
      </w:r>
      <w:r w:rsidR="007E1654">
        <w:rPr>
          <w:rFonts w:ascii="Avenir Next" w:hAnsi="Avenir Next" w:cs="Arial"/>
          <w:color w:val="808080" w:themeColor="background1" w:themeShade="80"/>
          <w:sz w:val="22"/>
          <w:szCs w:val="22"/>
          <w:lang w:val="en-GB"/>
        </w:rPr>
        <w:t>wrote in 2001/02 that</w:t>
      </w:r>
      <w:r w:rsidR="00E14459">
        <w:rPr>
          <w:rFonts w:ascii="Avenir Next" w:hAnsi="Avenir Next" w:cs="Arial"/>
          <w:color w:val="808080" w:themeColor="background1" w:themeShade="80"/>
          <w:sz w:val="22"/>
          <w:szCs w:val="22"/>
          <w:lang w:val="en-GB"/>
        </w:rPr>
        <w:t>:</w:t>
      </w:r>
      <w:r w:rsidR="007E1654">
        <w:rPr>
          <w:rFonts w:ascii="Avenir Next" w:hAnsi="Avenir Next" w:cs="Arial"/>
          <w:color w:val="808080" w:themeColor="background1" w:themeShade="80"/>
          <w:sz w:val="22"/>
          <w:szCs w:val="22"/>
          <w:lang w:val="en-GB"/>
        </w:rPr>
        <w:t xml:space="preserve"> </w:t>
      </w:r>
    </w:p>
    <w:p w14:paraId="6E796F21" w14:textId="77777777" w:rsidR="00E14459" w:rsidRPr="00DA1F39" w:rsidRDefault="00E14459" w:rsidP="00EA27BA">
      <w:pPr>
        <w:jc w:val="both"/>
        <w:rPr>
          <w:rFonts w:ascii="Avenir Next" w:hAnsi="Avenir Next" w:cs="Arial"/>
          <w:color w:val="808080" w:themeColor="background1" w:themeShade="80"/>
          <w:sz w:val="14"/>
          <w:szCs w:val="14"/>
          <w:lang w:val="en-GB"/>
        </w:rPr>
      </w:pPr>
    </w:p>
    <w:p w14:paraId="33EDC408" w14:textId="24674471" w:rsidR="009846FD" w:rsidRDefault="007E1654" w:rsidP="00A2448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E14459" w:rsidRPr="00A24482">
        <w:rPr>
          <w:rFonts w:ascii="Avenir Next" w:hAnsi="Avenir Next" w:cs="Arial"/>
          <w:i/>
          <w:iCs/>
          <w:color w:val="808080" w:themeColor="background1" w:themeShade="80"/>
          <w:sz w:val="22"/>
          <w:szCs w:val="22"/>
          <w:lang w:val="en-GB"/>
        </w:rPr>
        <w:t>g</w:t>
      </w:r>
      <w:r w:rsidRPr="00A24482">
        <w:rPr>
          <w:rFonts w:ascii="Avenir Next" w:hAnsi="Avenir Next" w:cs="Arial"/>
          <w:i/>
          <w:iCs/>
          <w:color w:val="808080" w:themeColor="background1" w:themeShade="80"/>
          <w:sz w:val="22"/>
          <w:szCs w:val="22"/>
          <w:lang w:val="en-GB"/>
        </w:rPr>
        <w:t>lobal enterprises opera</w:t>
      </w:r>
      <w:r w:rsidR="00E14459" w:rsidRPr="00A24482">
        <w:rPr>
          <w:rFonts w:ascii="Avenir Next" w:hAnsi="Avenir Next" w:cs="Arial"/>
          <w:i/>
          <w:iCs/>
          <w:color w:val="808080" w:themeColor="background1" w:themeShade="80"/>
          <w:sz w:val="22"/>
          <w:szCs w:val="22"/>
          <w:lang w:val="en-GB"/>
        </w:rPr>
        <w:t xml:space="preserve">ting in global markets must inevitably produce global bankruptcies. </w:t>
      </w:r>
      <w:r w:rsidR="007F105C" w:rsidRPr="00A24482">
        <w:rPr>
          <w:rFonts w:ascii="Avenir Next" w:hAnsi="Avenir Next" w:cs="Arial"/>
          <w:i/>
          <w:iCs/>
          <w:color w:val="808080" w:themeColor="background1" w:themeShade="80"/>
          <w:sz w:val="22"/>
          <w:szCs w:val="22"/>
          <w:lang w:val="en-GB"/>
        </w:rPr>
        <w:t xml:space="preserve">… </w:t>
      </w:r>
      <w:r w:rsidR="00E14459" w:rsidRPr="00A24482">
        <w:rPr>
          <w:rFonts w:ascii="Avenir Next" w:hAnsi="Avenir Next" w:cs="Arial"/>
          <w:i/>
          <w:iCs/>
          <w:color w:val="808080" w:themeColor="background1" w:themeShade="80"/>
          <w:sz w:val="22"/>
          <w:szCs w:val="22"/>
          <w:lang w:val="en-GB"/>
        </w:rPr>
        <w:t>Because bankruptcy</w:t>
      </w:r>
      <w:r w:rsidR="007F105C" w:rsidRPr="00A24482">
        <w:rPr>
          <w:rFonts w:ascii="Avenir Next" w:hAnsi="Avenir Next" w:cs="Arial"/>
          <w:i/>
          <w:iCs/>
          <w:color w:val="808080" w:themeColor="background1" w:themeShade="80"/>
          <w:sz w:val="22"/>
          <w:szCs w:val="22"/>
          <w:lang w:val="en-GB"/>
        </w:rPr>
        <w:t xml:space="preserve"> has traditionally been among the most parochial legal fields, with each country grabbing and distributing </w:t>
      </w:r>
      <w:r w:rsidR="00C3448A" w:rsidRPr="00A24482">
        <w:rPr>
          <w:rFonts w:ascii="Avenir Next" w:hAnsi="Avenir Next" w:cs="Arial"/>
          <w:i/>
          <w:iCs/>
          <w:color w:val="808080" w:themeColor="background1" w:themeShade="80"/>
          <w:sz w:val="22"/>
          <w:szCs w:val="22"/>
          <w:lang w:val="en-GB"/>
        </w:rPr>
        <w:t xml:space="preserve">assets within its grasp with little attention to foreign courts and foreign laws, there has been a developing recognition of the need for better </w:t>
      </w:r>
      <w:r w:rsidR="008A2435" w:rsidRPr="00A24482">
        <w:rPr>
          <w:rFonts w:ascii="Avenir Next" w:hAnsi="Avenir Next" w:cs="Arial"/>
          <w:i/>
          <w:iCs/>
          <w:color w:val="808080" w:themeColor="background1" w:themeShade="80"/>
          <w:sz w:val="22"/>
          <w:szCs w:val="22"/>
          <w:lang w:val="en-GB"/>
        </w:rPr>
        <w:t>coordination</w:t>
      </w:r>
      <w:r w:rsidR="008A2435">
        <w:rPr>
          <w:rFonts w:ascii="Avenir Next" w:hAnsi="Avenir Next" w:cs="Arial"/>
          <w:color w:val="808080" w:themeColor="background1" w:themeShade="80"/>
          <w:sz w:val="22"/>
          <w:szCs w:val="22"/>
          <w:lang w:val="en-GB"/>
        </w:rPr>
        <w:t>.</w:t>
      </w:r>
      <w:r w:rsidR="00E14459">
        <w:rPr>
          <w:rFonts w:ascii="Avenir Next" w:hAnsi="Avenir Next" w:cs="Arial"/>
          <w:color w:val="808080" w:themeColor="background1" w:themeShade="80"/>
          <w:sz w:val="22"/>
          <w:szCs w:val="22"/>
          <w:lang w:val="en-GB"/>
        </w:rPr>
        <w:t>”</w:t>
      </w:r>
      <w:r w:rsidR="008A2435">
        <w:rPr>
          <w:rStyle w:val="FootnoteReference"/>
          <w:rFonts w:ascii="Avenir Next" w:hAnsi="Avenir Next" w:cs="Arial"/>
          <w:color w:val="808080" w:themeColor="background1" w:themeShade="80"/>
          <w:sz w:val="22"/>
          <w:szCs w:val="22"/>
          <w:lang w:val="en-GB"/>
        </w:rPr>
        <w:footnoteReference w:id="14"/>
      </w:r>
      <w:r w:rsidR="00E14459">
        <w:rPr>
          <w:rFonts w:ascii="Avenir Next" w:hAnsi="Avenir Next" w:cs="Arial"/>
          <w:color w:val="808080" w:themeColor="background1" w:themeShade="80"/>
          <w:sz w:val="22"/>
          <w:szCs w:val="22"/>
          <w:lang w:val="en-GB"/>
        </w:rPr>
        <w:t xml:space="preserve"> </w:t>
      </w:r>
    </w:p>
    <w:p w14:paraId="0FBC7914" w14:textId="13F08570" w:rsidR="009846FD" w:rsidRDefault="009846FD" w:rsidP="00EA27BA">
      <w:pPr>
        <w:jc w:val="both"/>
        <w:rPr>
          <w:rFonts w:ascii="Avenir Next" w:hAnsi="Avenir Next" w:cs="Arial"/>
          <w:color w:val="808080" w:themeColor="background1" w:themeShade="80"/>
          <w:sz w:val="22"/>
          <w:szCs w:val="22"/>
          <w:lang w:val="en-GB"/>
        </w:rPr>
      </w:pPr>
    </w:p>
    <w:p w14:paraId="0D3BD602" w14:textId="21441778" w:rsidR="00A24482" w:rsidRDefault="00940548" w:rsidP="00EA27BA">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Various attempts </w:t>
      </w:r>
      <w:r w:rsidR="00D84BD2">
        <w:rPr>
          <w:rFonts w:ascii="Avenir Next" w:hAnsi="Avenir Next" w:cs="Arial"/>
          <w:color w:val="808080" w:themeColor="background1" w:themeShade="80"/>
          <w:sz w:val="22"/>
          <w:szCs w:val="22"/>
          <w:lang w:val="en-GB"/>
        </w:rPr>
        <w:t>have been made across the world to deal with these global bankruptcies</w:t>
      </w:r>
      <w:r w:rsidR="00D500E1">
        <w:rPr>
          <w:rFonts w:ascii="Avenir Next" w:hAnsi="Avenir Next" w:cs="Arial"/>
          <w:color w:val="808080" w:themeColor="background1" w:themeShade="80"/>
          <w:sz w:val="22"/>
          <w:szCs w:val="22"/>
          <w:lang w:val="en-GB"/>
        </w:rPr>
        <w:t xml:space="preserve"> and cross-border insolvency issues</w:t>
      </w:r>
      <w:r w:rsidR="002D3A7B">
        <w:rPr>
          <w:rFonts w:ascii="Avenir Next" w:hAnsi="Avenir Next" w:cs="Arial"/>
          <w:color w:val="808080" w:themeColor="background1" w:themeShade="80"/>
          <w:sz w:val="22"/>
          <w:szCs w:val="22"/>
          <w:lang w:val="en-GB"/>
        </w:rPr>
        <w:t>, for example</w:t>
      </w:r>
      <w:r w:rsidR="00E1489C">
        <w:rPr>
          <w:rFonts w:ascii="Avenir Next" w:hAnsi="Avenir Next" w:cs="Arial"/>
          <w:color w:val="808080" w:themeColor="background1" w:themeShade="80"/>
          <w:sz w:val="22"/>
          <w:szCs w:val="22"/>
          <w:lang w:val="en-GB"/>
        </w:rPr>
        <w:t>,</w:t>
      </w:r>
      <w:r w:rsidR="002D3A7B">
        <w:rPr>
          <w:rFonts w:ascii="Avenir Next" w:hAnsi="Avenir Next" w:cs="Arial"/>
          <w:color w:val="808080" w:themeColor="background1" w:themeShade="80"/>
          <w:sz w:val="22"/>
          <w:szCs w:val="22"/>
          <w:lang w:val="en-GB"/>
        </w:rPr>
        <w:t xml:space="preserve"> the enactment of the </w:t>
      </w:r>
      <w:r w:rsidR="002D3A7B">
        <w:rPr>
          <w:rFonts w:ascii="Avenir Next" w:hAnsi="Avenir Next" w:cs="Arial"/>
          <w:color w:val="7B7B7B" w:themeColor="accent3" w:themeShade="BF"/>
          <w:sz w:val="22"/>
          <w:szCs w:val="22"/>
          <w:lang w:val="en-GB"/>
        </w:rPr>
        <w:t>United Nations Commission on International Trade Law (</w:t>
      </w:r>
      <w:r w:rsidR="002D3A7B" w:rsidRPr="00CA656A">
        <w:rPr>
          <w:rFonts w:ascii="Avenir Next" w:hAnsi="Avenir Next" w:cs="Arial"/>
          <w:b/>
          <w:bCs/>
          <w:color w:val="7B7B7B" w:themeColor="accent3" w:themeShade="BF"/>
          <w:sz w:val="22"/>
          <w:szCs w:val="22"/>
          <w:lang w:val="en-GB"/>
        </w:rPr>
        <w:t>UNCITRAL</w:t>
      </w:r>
      <w:r w:rsidR="002D3A7B">
        <w:rPr>
          <w:rFonts w:ascii="Avenir Next" w:hAnsi="Avenir Next" w:cs="Arial"/>
          <w:color w:val="7B7B7B" w:themeColor="accent3" w:themeShade="BF"/>
          <w:sz w:val="22"/>
          <w:szCs w:val="22"/>
          <w:lang w:val="en-GB"/>
        </w:rPr>
        <w:t>): Model Law on Cross-Border Insolvency (1997) (</w:t>
      </w:r>
      <w:r w:rsidR="002D3A7B" w:rsidRPr="00CA656A">
        <w:rPr>
          <w:rFonts w:ascii="Avenir Next" w:hAnsi="Avenir Next" w:cs="Arial"/>
          <w:b/>
          <w:bCs/>
          <w:color w:val="7B7B7B" w:themeColor="accent3" w:themeShade="BF"/>
          <w:sz w:val="22"/>
          <w:szCs w:val="22"/>
          <w:lang w:val="en-GB"/>
        </w:rPr>
        <w:t>Model Law</w:t>
      </w:r>
      <w:r w:rsidR="002D3A7B">
        <w:rPr>
          <w:rFonts w:ascii="Avenir Next" w:hAnsi="Avenir Next" w:cs="Arial"/>
          <w:color w:val="7B7B7B" w:themeColor="accent3" w:themeShade="BF"/>
          <w:sz w:val="22"/>
          <w:szCs w:val="22"/>
          <w:lang w:val="en-GB"/>
        </w:rPr>
        <w:t>)</w:t>
      </w:r>
      <w:r w:rsidR="00D500E1">
        <w:rPr>
          <w:rFonts w:ascii="Avenir Next" w:hAnsi="Avenir Next" w:cs="Arial"/>
          <w:color w:val="7B7B7B" w:themeColor="accent3" w:themeShade="BF"/>
          <w:sz w:val="22"/>
          <w:szCs w:val="22"/>
          <w:lang w:val="en-GB"/>
        </w:rPr>
        <w:t xml:space="preserve"> and the </w:t>
      </w:r>
      <w:bookmarkStart w:id="0" w:name="_Hlk116754582"/>
      <w:r w:rsidR="00D500E1">
        <w:rPr>
          <w:rFonts w:ascii="Avenir Next" w:hAnsi="Avenir Next" w:cs="Arial"/>
          <w:color w:val="7B7B7B" w:themeColor="accent3" w:themeShade="BF"/>
          <w:sz w:val="22"/>
          <w:szCs w:val="22"/>
          <w:lang w:val="en-GB"/>
        </w:rPr>
        <w:t>Final Report of the High Level Forum on Capital Markets Union (2020)</w:t>
      </w:r>
      <w:bookmarkEnd w:id="0"/>
      <w:r w:rsidR="003F5869">
        <w:rPr>
          <w:rFonts w:ascii="Avenir Next" w:hAnsi="Avenir Next" w:cs="Arial"/>
          <w:color w:val="7B7B7B" w:themeColor="accent3" w:themeShade="BF"/>
          <w:sz w:val="22"/>
          <w:szCs w:val="22"/>
          <w:lang w:val="en-GB"/>
        </w:rPr>
        <w:t>.</w:t>
      </w:r>
      <w:r w:rsidR="003F5869">
        <w:rPr>
          <w:rStyle w:val="FootnoteReference"/>
          <w:rFonts w:ascii="Avenir Next" w:hAnsi="Avenir Next" w:cs="Arial"/>
          <w:color w:val="7B7B7B" w:themeColor="accent3" w:themeShade="BF"/>
          <w:sz w:val="22"/>
          <w:szCs w:val="22"/>
          <w:lang w:val="en-GB"/>
        </w:rPr>
        <w:footnoteReference w:id="15"/>
      </w:r>
    </w:p>
    <w:p w14:paraId="40ECC2A5" w14:textId="55F41892" w:rsidR="00845483" w:rsidRDefault="00845483" w:rsidP="00EA27BA">
      <w:pPr>
        <w:jc w:val="both"/>
        <w:rPr>
          <w:rFonts w:ascii="Avenir Next" w:hAnsi="Avenir Next" w:cs="Arial"/>
          <w:color w:val="7B7B7B" w:themeColor="accent3" w:themeShade="BF"/>
          <w:sz w:val="22"/>
          <w:szCs w:val="22"/>
          <w:lang w:val="en-GB"/>
        </w:rPr>
      </w:pPr>
    </w:p>
    <w:p w14:paraId="105F70B5" w14:textId="68674734" w:rsidR="00845483" w:rsidRDefault="00845483" w:rsidP="00EA27BA">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 xml:space="preserve">In </w:t>
      </w:r>
      <w:r w:rsidR="00395672">
        <w:rPr>
          <w:rFonts w:ascii="Avenir Next" w:hAnsi="Avenir Next" w:cs="Arial"/>
          <w:color w:val="7B7B7B" w:themeColor="accent3" w:themeShade="BF"/>
          <w:sz w:val="22"/>
          <w:szCs w:val="22"/>
          <w:lang w:val="en-GB"/>
        </w:rPr>
        <w:t xml:space="preserve">North America, a number of initiatives have been undertaken in an attempt </w:t>
      </w:r>
      <w:r w:rsidR="000C021F">
        <w:rPr>
          <w:rFonts w:ascii="Avenir Next" w:hAnsi="Avenir Next" w:cs="Arial"/>
          <w:color w:val="7B7B7B" w:themeColor="accent3" w:themeShade="BF"/>
          <w:sz w:val="22"/>
          <w:szCs w:val="22"/>
          <w:lang w:val="en-GB"/>
        </w:rPr>
        <w:t xml:space="preserve">to harmonise cross-border insolvency issues between </w:t>
      </w:r>
      <w:r w:rsidR="000C021F">
        <w:rPr>
          <w:rFonts w:ascii="Avenir Next" w:hAnsi="Avenir Next" w:cs="Arial"/>
          <w:color w:val="808080" w:themeColor="background1" w:themeShade="80"/>
          <w:sz w:val="22"/>
          <w:szCs w:val="22"/>
          <w:lang w:val="en-GB"/>
        </w:rPr>
        <w:t>North American Free Trade Agreement (</w:t>
      </w:r>
      <w:r w:rsidR="000C021F" w:rsidRPr="000C021F">
        <w:rPr>
          <w:rFonts w:ascii="Avenir Next" w:hAnsi="Avenir Next" w:cs="Arial"/>
          <w:b/>
          <w:bCs/>
          <w:color w:val="808080" w:themeColor="background1" w:themeShade="80"/>
          <w:sz w:val="22"/>
          <w:szCs w:val="22"/>
          <w:lang w:val="en-GB"/>
        </w:rPr>
        <w:t>NAFTA</w:t>
      </w:r>
      <w:r w:rsidR="000C021F">
        <w:rPr>
          <w:rFonts w:ascii="Avenir Next" w:hAnsi="Avenir Next" w:cs="Arial"/>
          <w:color w:val="808080" w:themeColor="background1" w:themeShade="80"/>
          <w:sz w:val="22"/>
          <w:szCs w:val="22"/>
          <w:lang w:val="en-GB"/>
        </w:rPr>
        <w:t>) members.</w:t>
      </w:r>
    </w:p>
    <w:p w14:paraId="1BB70DBA" w14:textId="77777777" w:rsidR="003E4659" w:rsidRDefault="003E4659" w:rsidP="00EA27BA">
      <w:pPr>
        <w:jc w:val="both"/>
        <w:rPr>
          <w:rFonts w:ascii="Avenir Next" w:hAnsi="Avenir Next" w:cs="Arial"/>
          <w:color w:val="808080" w:themeColor="background1" w:themeShade="80"/>
          <w:sz w:val="22"/>
          <w:szCs w:val="22"/>
          <w:lang w:val="en-GB"/>
        </w:rPr>
      </w:pPr>
    </w:p>
    <w:p w14:paraId="47BB87C1" w14:textId="3B6E90D5" w:rsidR="00392058" w:rsidRPr="003E4659" w:rsidRDefault="003E4659" w:rsidP="00EA27BA">
      <w:pPr>
        <w:jc w:val="both"/>
        <w:rPr>
          <w:rFonts w:ascii="Avenir Next" w:hAnsi="Avenir Next" w:cs="Arial"/>
          <w:b/>
          <w:bCs/>
          <w:color w:val="808080" w:themeColor="background1" w:themeShade="80"/>
          <w:sz w:val="22"/>
          <w:szCs w:val="22"/>
          <w:u w:val="single"/>
          <w:lang w:val="en-GB"/>
        </w:rPr>
      </w:pPr>
      <w:r w:rsidRPr="003E4659">
        <w:rPr>
          <w:rFonts w:ascii="Avenir Next" w:hAnsi="Avenir Next" w:cs="Arial"/>
          <w:b/>
          <w:bCs/>
          <w:color w:val="808080" w:themeColor="background1" w:themeShade="80"/>
          <w:sz w:val="22"/>
          <w:szCs w:val="22"/>
          <w:u w:val="single"/>
          <w:lang w:val="en-GB"/>
        </w:rPr>
        <w:t>Draft Treaty</w:t>
      </w:r>
    </w:p>
    <w:p w14:paraId="7C5504A6" w14:textId="77777777" w:rsidR="003E4659" w:rsidRDefault="003E4659" w:rsidP="00EA27BA">
      <w:pPr>
        <w:jc w:val="both"/>
        <w:rPr>
          <w:rFonts w:ascii="Avenir Next" w:hAnsi="Avenir Next" w:cs="Arial"/>
          <w:color w:val="808080" w:themeColor="background1" w:themeShade="80"/>
          <w:sz w:val="22"/>
          <w:szCs w:val="22"/>
          <w:lang w:val="en-GB"/>
        </w:rPr>
      </w:pPr>
    </w:p>
    <w:p w14:paraId="3B10BE24" w14:textId="43863C1A" w:rsidR="00AB63DE" w:rsidRPr="00D053AA" w:rsidRDefault="00AA434E" w:rsidP="00EA27B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19</w:t>
      </w:r>
      <w:r w:rsidR="003266F8">
        <w:rPr>
          <w:rFonts w:ascii="Avenir Next" w:hAnsi="Avenir Next" w:cs="Arial"/>
          <w:color w:val="808080" w:themeColor="background1" w:themeShade="80"/>
          <w:sz w:val="22"/>
          <w:szCs w:val="22"/>
          <w:lang w:val="en-GB"/>
        </w:rPr>
        <w:t xml:space="preserve">79, the Draft of the Unites States of America-Canada Bankruptcy Treaty </w:t>
      </w:r>
      <w:r w:rsidR="0029283F">
        <w:rPr>
          <w:rFonts w:ascii="Avenir Next" w:hAnsi="Avenir Next" w:cs="Arial"/>
          <w:color w:val="808080" w:themeColor="background1" w:themeShade="80"/>
          <w:sz w:val="22"/>
          <w:szCs w:val="22"/>
          <w:lang w:val="en-GB"/>
        </w:rPr>
        <w:t>(</w:t>
      </w:r>
      <w:r w:rsidR="0029283F" w:rsidRPr="0029283F">
        <w:rPr>
          <w:rFonts w:ascii="Avenir Next" w:hAnsi="Avenir Next" w:cs="Arial"/>
          <w:b/>
          <w:bCs/>
          <w:color w:val="808080" w:themeColor="background1" w:themeShade="80"/>
          <w:sz w:val="22"/>
          <w:szCs w:val="22"/>
          <w:lang w:val="en-GB"/>
        </w:rPr>
        <w:t>Draft Treaty</w:t>
      </w:r>
      <w:r w:rsidR="0029283F">
        <w:rPr>
          <w:rFonts w:ascii="Avenir Next" w:hAnsi="Avenir Next" w:cs="Arial"/>
          <w:color w:val="808080" w:themeColor="background1" w:themeShade="80"/>
          <w:sz w:val="22"/>
          <w:szCs w:val="22"/>
          <w:lang w:val="en-GB"/>
        </w:rPr>
        <w:t xml:space="preserve">) </w:t>
      </w:r>
      <w:r w:rsidR="00EA27BA">
        <w:rPr>
          <w:rFonts w:ascii="Avenir Next" w:hAnsi="Avenir Next" w:cs="Arial"/>
          <w:color w:val="808080" w:themeColor="background1" w:themeShade="80"/>
          <w:sz w:val="22"/>
          <w:szCs w:val="22"/>
          <w:lang w:val="en-GB"/>
        </w:rPr>
        <w:t xml:space="preserve">failed, following various </w:t>
      </w:r>
      <w:r w:rsidR="007A398B">
        <w:rPr>
          <w:rFonts w:ascii="Avenir Next" w:hAnsi="Avenir Next" w:cs="Arial"/>
          <w:color w:val="808080" w:themeColor="background1" w:themeShade="80"/>
          <w:sz w:val="22"/>
          <w:szCs w:val="22"/>
          <w:lang w:val="en-GB"/>
        </w:rPr>
        <w:t xml:space="preserve">ambitious </w:t>
      </w:r>
      <w:r w:rsidR="00EA27BA">
        <w:rPr>
          <w:rFonts w:ascii="Avenir Next" w:hAnsi="Avenir Next" w:cs="Arial"/>
          <w:color w:val="808080" w:themeColor="background1" w:themeShade="80"/>
          <w:sz w:val="22"/>
          <w:szCs w:val="22"/>
          <w:lang w:val="en-GB"/>
        </w:rPr>
        <w:t xml:space="preserve">attempts to </w:t>
      </w:r>
      <w:r w:rsidR="007A398B">
        <w:rPr>
          <w:rFonts w:ascii="Avenir Next" w:hAnsi="Avenir Next" w:cs="Arial"/>
          <w:color w:val="808080" w:themeColor="background1" w:themeShade="80"/>
          <w:sz w:val="22"/>
          <w:szCs w:val="22"/>
          <w:lang w:val="en-GB"/>
        </w:rPr>
        <w:t xml:space="preserve">harmonise a single administration of cross-border insolvency cases. </w:t>
      </w:r>
      <w:r w:rsidR="00BD3964">
        <w:rPr>
          <w:rFonts w:ascii="Avenir Next" w:hAnsi="Avenir Next" w:cs="Arial"/>
          <w:i/>
          <w:iCs/>
          <w:color w:val="808080" w:themeColor="background1" w:themeShade="80"/>
          <w:sz w:val="22"/>
          <w:szCs w:val="22"/>
          <w:lang w:val="en-GB"/>
        </w:rPr>
        <w:t>Burman</w:t>
      </w:r>
      <w:r w:rsidR="00D053AA">
        <w:rPr>
          <w:rFonts w:ascii="Avenir Next" w:hAnsi="Avenir Next" w:cs="Arial"/>
          <w:i/>
          <w:iCs/>
          <w:color w:val="808080" w:themeColor="background1" w:themeShade="80"/>
          <w:sz w:val="22"/>
          <w:szCs w:val="22"/>
          <w:lang w:val="en-GB"/>
        </w:rPr>
        <w:t xml:space="preserve"> </w:t>
      </w:r>
      <w:r w:rsidR="0029283F">
        <w:rPr>
          <w:rFonts w:ascii="Avenir Next" w:hAnsi="Avenir Next" w:cs="Arial"/>
          <w:color w:val="808080" w:themeColor="background1" w:themeShade="80"/>
          <w:sz w:val="22"/>
          <w:szCs w:val="22"/>
          <w:lang w:val="en-GB"/>
        </w:rPr>
        <w:t>claims</w:t>
      </w:r>
      <w:r w:rsidR="00D053AA">
        <w:rPr>
          <w:rFonts w:ascii="Avenir Next" w:hAnsi="Avenir Next" w:cs="Arial"/>
          <w:color w:val="808080" w:themeColor="background1" w:themeShade="80"/>
          <w:sz w:val="22"/>
          <w:szCs w:val="22"/>
          <w:lang w:val="en-GB"/>
        </w:rPr>
        <w:t xml:space="preserve"> that this </w:t>
      </w:r>
      <w:r w:rsidR="0029283F">
        <w:rPr>
          <w:rFonts w:ascii="Avenir Next" w:hAnsi="Avenir Next" w:cs="Arial"/>
          <w:color w:val="808080" w:themeColor="background1" w:themeShade="80"/>
          <w:sz w:val="22"/>
          <w:szCs w:val="22"/>
          <w:lang w:val="en-GB"/>
        </w:rPr>
        <w:t xml:space="preserve">Draft Treaty failed due to </w:t>
      </w:r>
      <w:r w:rsidR="00625DEA">
        <w:rPr>
          <w:rFonts w:ascii="Avenir Next" w:hAnsi="Avenir Next" w:cs="Arial"/>
          <w:color w:val="808080" w:themeColor="background1" w:themeShade="80"/>
          <w:sz w:val="22"/>
          <w:szCs w:val="22"/>
          <w:lang w:val="en-GB"/>
        </w:rPr>
        <w:t>(</w:t>
      </w:r>
      <w:r w:rsidR="00625DEA">
        <w:rPr>
          <w:rFonts w:ascii="Avenir Next" w:hAnsi="Avenir Next" w:cs="Arial"/>
          <w:i/>
          <w:iCs/>
          <w:color w:val="808080" w:themeColor="background1" w:themeShade="80"/>
          <w:sz w:val="22"/>
          <w:szCs w:val="22"/>
          <w:lang w:val="en-GB"/>
        </w:rPr>
        <w:t xml:space="preserve">inter </w:t>
      </w:r>
      <w:r w:rsidR="00625DEA" w:rsidRPr="00922052">
        <w:rPr>
          <w:rFonts w:ascii="Avenir Next" w:hAnsi="Avenir Next" w:cs="Arial"/>
          <w:i/>
          <w:iCs/>
          <w:color w:val="808080" w:themeColor="background1" w:themeShade="80"/>
          <w:sz w:val="22"/>
          <w:szCs w:val="22"/>
          <w:lang w:val="en-GB"/>
        </w:rPr>
        <w:t>alia</w:t>
      </w:r>
      <w:r w:rsidR="00625DEA">
        <w:rPr>
          <w:rFonts w:ascii="Avenir Next" w:hAnsi="Avenir Next" w:cs="Arial"/>
          <w:color w:val="808080" w:themeColor="background1" w:themeShade="80"/>
          <w:sz w:val="22"/>
          <w:szCs w:val="22"/>
          <w:lang w:val="en-GB"/>
        </w:rPr>
        <w:t xml:space="preserve">) </w:t>
      </w:r>
      <w:r w:rsidR="0029283F" w:rsidRPr="00625DEA">
        <w:rPr>
          <w:rFonts w:ascii="Avenir Next" w:hAnsi="Avenir Next" w:cs="Arial"/>
          <w:color w:val="808080" w:themeColor="background1" w:themeShade="80"/>
          <w:sz w:val="22"/>
          <w:szCs w:val="22"/>
          <w:lang w:val="en-GB"/>
        </w:rPr>
        <w:t>an</w:t>
      </w:r>
      <w:r w:rsidR="0029283F">
        <w:rPr>
          <w:rFonts w:ascii="Avenir Next" w:hAnsi="Avenir Next" w:cs="Arial"/>
          <w:color w:val="808080" w:themeColor="background1" w:themeShade="80"/>
          <w:sz w:val="22"/>
          <w:szCs w:val="22"/>
          <w:lang w:val="en-GB"/>
        </w:rPr>
        <w:t xml:space="preserve"> impasse over </w:t>
      </w:r>
      <w:r w:rsidR="00150848">
        <w:rPr>
          <w:rFonts w:ascii="Avenir Next" w:hAnsi="Avenir Next" w:cs="Arial"/>
          <w:color w:val="808080" w:themeColor="background1" w:themeShade="80"/>
          <w:sz w:val="22"/>
          <w:szCs w:val="22"/>
          <w:lang w:val="en-GB"/>
        </w:rPr>
        <w:t xml:space="preserve">rules to determine which </w:t>
      </w:r>
      <w:r w:rsidR="00F135FE">
        <w:rPr>
          <w:rFonts w:ascii="Avenir Next" w:hAnsi="Avenir Next" w:cs="Arial"/>
          <w:color w:val="808080" w:themeColor="background1" w:themeShade="80"/>
          <w:sz w:val="22"/>
          <w:szCs w:val="22"/>
          <w:lang w:val="en-GB"/>
        </w:rPr>
        <w:t xml:space="preserve">of the two countries would qualify as the </w:t>
      </w:r>
      <w:r w:rsidR="00150848">
        <w:rPr>
          <w:rFonts w:ascii="Avenir Next" w:hAnsi="Avenir Next" w:cs="Arial"/>
          <w:color w:val="808080" w:themeColor="background1" w:themeShade="80"/>
          <w:sz w:val="22"/>
          <w:szCs w:val="22"/>
          <w:lang w:val="en-GB"/>
        </w:rPr>
        <w:t xml:space="preserve">forum State </w:t>
      </w:r>
      <w:r w:rsidR="00F135FE">
        <w:rPr>
          <w:rFonts w:ascii="Avenir Next" w:hAnsi="Avenir Next" w:cs="Arial"/>
          <w:color w:val="808080" w:themeColor="background1" w:themeShade="80"/>
          <w:sz w:val="22"/>
          <w:szCs w:val="22"/>
          <w:lang w:val="en-GB"/>
        </w:rPr>
        <w:t>in prescribed circumstances.</w:t>
      </w:r>
      <w:r w:rsidR="00F135FE">
        <w:rPr>
          <w:rStyle w:val="FootnoteReference"/>
          <w:rFonts w:ascii="Avenir Next" w:hAnsi="Avenir Next" w:cs="Arial"/>
          <w:color w:val="808080" w:themeColor="background1" w:themeShade="80"/>
          <w:sz w:val="22"/>
          <w:szCs w:val="22"/>
          <w:lang w:val="en-GB"/>
        </w:rPr>
        <w:footnoteReference w:id="16"/>
      </w:r>
      <w:r w:rsidR="00F135FE">
        <w:rPr>
          <w:rFonts w:ascii="Avenir Next" w:hAnsi="Avenir Next" w:cs="Arial"/>
          <w:color w:val="808080" w:themeColor="background1" w:themeShade="80"/>
          <w:sz w:val="22"/>
          <w:szCs w:val="22"/>
          <w:lang w:val="en-GB"/>
        </w:rPr>
        <w:t xml:space="preserve"> </w:t>
      </w:r>
    </w:p>
    <w:p w14:paraId="7034F7BB" w14:textId="72CD508E" w:rsidR="00AB63DE" w:rsidRDefault="00AB63DE" w:rsidP="00692852">
      <w:pPr>
        <w:jc w:val="both"/>
        <w:rPr>
          <w:rFonts w:ascii="Avenir Next" w:hAnsi="Avenir Next" w:cs="Arial"/>
          <w:sz w:val="22"/>
          <w:szCs w:val="22"/>
          <w:lang w:val="en-GB"/>
        </w:rPr>
      </w:pPr>
    </w:p>
    <w:p w14:paraId="09385C27" w14:textId="0E6F4218" w:rsidR="003E4659" w:rsidRPr="003E4659" w:rsidRDefault="003E4659" w:rsidP="003E4659">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ALI NAFTA Principles</w:t>
      </w:r>
    </w:p>
    <w:p w14:paraId="33EE8B45" w14:textId="51A4345C" w:rsidR="003E4659" w:rsidRDefault="003E4659" w:rsidP="00692852">
      <w:pPr>
        <w:jc w:val="both"/>
        <w:rPr>
          <w:rFonts w:ascii="Avenir Next" w:hAnsi="Avenir Next" w:cs="Arial"/>
          <w:color w:val="808080" w:themeColor="background1" w:themeShade="80"/>
          <w:sz w:val="22"/>
          <w:szCs w:val="22"/>
          <w:lang w:val="en-GB"/>
        </w:rPr>
      </w:pPr>
    </w:p>
    <w:p w14:paraId="34935F30" w14:textId="558D9734" w:rsidR="009E3FB2" w:rsidRDefault="00687430" w:rsidP="00692852">
      <w:pPr>
        <w:jc w:val="both"/>
        <w:rPr>
          <w:rFonts w:ascii="Avenir Next" w:hAnsi="Avenir Next" w:cs="Arial"/>
          <w:color w:val="808080" w:themeColor="background1" w:themeShade="80"/>
          <w:sz w:val="22"/>
          <w:szCs w:val="22"/>
          <w:lang w:val="en-GB"/>
        </w:rPr>
      </w:pPr>
      <w:r w:rsidRPr="00687430">
        <w:rPr>
          <w:rFonts w:ascii="Avenir Next" w:hAnsi="Avenir Next" w:cs="Arial"/>
          <w:color w:val="808080" w:themeColor="background1" w:themeShade="80"/>
          <w:sz w:val="22"/>
          <w:szCs w:val="22"/>
          <w:lang w:val="en-GB"/>
        </w:rPr>
        <w:t xml:space="preserve">In 2000, </w:t>
      </w:r>
      <w:r w:rsidR="00F0466B">
        <w:rPr>
          <w:rFonts w:ascii="Avenir Next" w:hAnsi="Avenir Next" w:cs="Arial"/>
          <w:color w:val="808080" w:themeColor="background1" w:themeShade="80"/>
          <w:sz w:val="22"/>
          <w:szCs w:val="22"/>
          <w:lang w:val="en-GB"/>
        </w:rPr>
        <w:t xml:space="preserve">the ALI NAFTA </w:t>
      </w:r>
      <w:r w:rsidR="00D87AB4">
        <w:rPr>
          <w:rFonts w:ascii="Avenir Next" w:hAnsi="Avenir Next" w:cs="Arial"/>
          <w:color w:val="808080" w:themeColor="background1" w:themeShade="80"/>
          <w:sz w:val="22"/>
          <w:szCs w:val="22"/>
          <w:lang w:val="en-GB"/>
        </w:rPr>
        <w:t xml:space="preserve">Principles of Cooperation Among the NAFTA Countries and </w:t>
      </w:r>
      <w:r w:rsidR="00F0466B">
        <w:rPr>
          <w:rFonts w:ascii="Avenir Next" w:hAnsi="Avenir Next" w:cs="Arial"/>
          <w:color w:val="808080" w:themeColor="background1" w:themeShade="80"/>
          <w:sz w:val="22"/>
          <w:szCs w:val="22"/>
          <w:lang w:val="en-GB"/>
        </w:rPr>
        <w:t xml:space="preserve">Guidelines Applicable to Court-to-Court Communications </w:t>
      </w:r>
      <w:r w:rsidR="00001321">
        <w:rPr>
          <w:rFonts w:ascii="Avenir Next" w:hAnsi="Avenir Next" w:cs="Arial"/>
          <w:color w:val="808080" w:themeColor="background1" w:themeShade="80"/>
          <w:sz w:val="22"/>
          <w:szCs w:val="22"/>
          <w:lang w:val="en-GB"/>
        </w:rPr>
        <w:t xml:space="preserve">in Cross-Border Cases (2000) </w:t>
      </w:r>
      <w:r w:rsidR="003253FB">
        <w:rPr>
          <w:rFonts w:ascii="Avenir Next" w:hAnsi="Avenir Next" w:cs="Arial"/>
          <w:color w:val="808080" w:themeColor="background1" w:themeShade="80"/>
          <w:sz w:val="22"/>
          <w:szCs w:val="22"/>
          <w:lang w:val="en-GB"/>
        </w:rPr>
        <w:t>(</w:t>
      </w:r>
      <w:r w:rsidR="003253FB" w:rsidRPr="003253FB">
        <w:rPr>
          <w:rFonts w:ascii="Avenir Next" w:hAnsi="Avenir Next" w:cs="Arial"/>
          <w:b/>
          <w:bCs/>
          <w:color w:val="808080" w:themeColor="background1" w:themeShade="80"/>
          <w:sz w:val="22"/>
          <w:szCs w:val="22"/>
          <w:lang w:val="en-GB"/>
        </w:rPr>
        <w:t>ALI NAFTA Principles</w:t>
      </w:r>
      <w:r w:rsidR="003253FB">
        <w:rPr>
          <w:rFonts w:ascii="Avenir Next" w:hAnsi="Avenir Next" w:cs="Arial"/>
          <w:color w:val="808080" w:themeColor="background1" w:themeShade="80"/>
          <w:sz w:val="22"/>
          <w:szCs w:val="22"/>
          <w:lang w:val="en-GB"/>
        </w:rPr>
        <w:t xml:space="preserve">) </w:t>
      </w:r>
      <w:r w:rsidR="00001321">
        <w:rPr>
          <w:rFonts w:ascii="Avenir Next" w:hAnsi="Avenir Next" w:cs="Arial"/>
          <w:color w:val="808080" w:themeColor="background1" w:themeShade="80"/>
          <w:sz w:val="22"/>
          <w:szCs w:val="22"/>
          <w:lang w:val="en-GB"/>
        </w:rPr>
        <w:t xml:space="preserve">was </w:t>
      </w:r>
      <w:r w:rsidR="00E20BAA">
        <w:rPr>
          <w:rFonts w:ascii="Avenir Next" w:hAnsi="Avenir Next" w:cs="Arial"/>
          <w:color w:val="808080" w:themeColor="background1" w:themeShade="80"/>
          <w:sz w:val="22"/>
          <w:szCs w:val="22"/>
          <w:lang w:val="en-GB"/>
        </w:rPr>
        <w:t>prod</w:t>
      </w:r>
      <w:r w:rsidR="00D87AB4">
        <w:rPr>
          <w:rFonts w:ascii="Avenir Next" w:hAnsi="Avenir Next" w:cs="Arial"/>
          <w:color w:val="808080" w:themeColor="background1" w:themeShade="80"/>
          <w:sz w:val="22"/>
          <w:szCs w:val="22"/>
          <w:lang w:val="en-GB"/>
        </w:rPr>
        <w:t>uced</w:t>
      </w:r>
      <w:r w:rsidR="00001321">
        <w:rPr>
          <w:rFonts w:ascii="Avenir Next" w:hAnsi="Avenir Next" w:cs="Arial"/>
          <w:color w:val="808080" w:themeColor="background1" w:themeShade="80"/>
          <w:sz w:val="22"/>
          <w:szCs w:val="22"/>
          <w:lang w:val="en-GB"/>
        </w:rPr>
        <w:t xml:space="preserve">, following the </w:t>
      </w:r>
      <w:r w:rsidR="00045D16">
        <w:rPr>
          <w:rFonts w:ascii="Avenir Next" w:hAnsi="Avenir Next" w:cs="Arial"/>
          <w:color w:val="808080" w:themeColor="background1" w:themeShade="80"/>
          <w:sz w:val="22"/>
          <w:szCs w:val="22"/>
          <w:lang w:val="en-GB"/>
        </w:rPr>
        <w:t xml:space="preserve">workings of the </w:t>
      </w:r>
      <w:r w:rsidR="00922052" w:rsidRPr="00687430">
        <w:rPr>
          <w:rFonts w:ascii="Avenir Next" w:hAnsi="Avenir Next" w:cs="Arial"/>
          <w:color w:val="808080" w:themeColor="background1" w:themeShade="80"/>
          <w:sz w:val="22"/>
          <w:szCs w:val="22"/>
          <w:lang w:val="en-GB"/>
        </w:rPr>
        <w:t xml:space="preserve">American Law </w:t>
      </w:r>
      <w:r w:rsidR="00922052">
        <w:rPr>
          <w:rFonts w:ascii="Avenir Next" w:hAnsi="Avenir Next" w:cs="Arial"/>
          <w:color w:val="808080" w:themeColor="background1" w:themeShade="80"/>
          <w:sz w:val="22"/>
          <w:szCs w:val="22"/>
          <w:lang w:val="en-GB"/>
        </w:rPr>
        <w:t>Institute’s (</w:t>
      </w:r>
      <w:r w:rsidR="00922052" w:rsidRPr="00687430">
        <w:rPr>
          <w:rFonts w:ascii="Avenir Next" w:hAnsi="Avenir Next" w:cs="Arial"/>
          <w:b/>
          <w:bCs/>
          <w:color w:val="808080" w:themeColor="background1" w:themeShade="80"/>
          <w:sz w:val="22"/>
          <w:szCs w:val="22"/>
          <w:lang w:val="en-GB"/>
        </w:rPr>
        <w:t>ALI</w:t>
      </w:r>
      <w:r w:rsidR="00922052">
        <w:rPr>
          <w:rFonts w:ascii="Avenir Next" w:hAnsi="Avenir Next" w:cs="Arial"/>
          <w:color w:val="808080" w:themeColor="background1" w:themeShade="80"/>
          <w:sz w:val="22"/>
          <w:szCs w:val="22"/>
          <w:lang w:val="en-GB"/>
        </w:rPr>
        <w:t xml:space="preserve">) </w:t>
      </w:r>
      <w:r w:rsidR="00001321">
        <w:rPr>
          <w:rFonts w:ascii="Avenir Next" w:hAnsi="Avenir Next" w:cs="Arial"/>
          <w:color w:val="808080" w:themeColor="background1" w:themeShade="80"/>
          <w:sz w:val="22"/>
          <w:szCs w:val="22"/>
          <w:lang w:val="en-GB"/>
        </w:rPr>
        <w:t>Transnational Insolvency Project</w:t>
      </w:r>
      <w:r w:rsidR="00045D16">
        <w:rPr>
          <w:rFonts w:ascii="Avenir Next" w:hAnsi="Avenir Next" w:cs="Arial"/>
          <w:color w:val="808080" w:themeColor="background1" w:themeShade="80"/>
          <w:sz w:val="22"/>
          <w:szCs w:val="22"/>
          <w:lang w:val="en-GB"/>
        </w:rPr>
        <w:t>.</w:t>
      </w:r>
      <w:r w:rsidR="00B02EEA">
        <w:rPr>
          <w:rStyle w:val="FootnoteReference"/>
          <w:rFonts w:ascii="Avenir Next" w:hAnsi="Avenir Next" w:cs="Arial"/>
          <w:color w:val="808080" w:themeColor="background1" w:themeShade="80"/>
          <w:sz w:val="22"/>
          <w:szCs w:val="22"/>
          <w:lang w:val="en-GB"/>
        </w:rPr>
        <w:footnoteReference w:id="17"/>
      </w:r>
      <w:r w:rsidR="00045D16">
        <w:rPr>
          <w:rFonts w:ascii="Avenir Next" w:hAnsi="Avenir Next" w:cs="Arial"/>
          <w:color w:val="808080" w:themeColor="background1" w:themeShade="80"/>
          <w:sz w:val="22"/>
          <w:szCs w:val="22"/>
          <w:lang w:val="en-GB"/>
        </w:rPr>
        <w:t xml:space="preserve"> </w:t>
      </w:r>
      <w:r w:rsidR="00F421E6">
        <w:rPr>
          <w:rFonts w:ascii="Avenir Next" w:hAnsi="Avenir Next" w:cs="Arial"/>
          <w:color w:val="808080" w:themeColor="background1" w:themeShade="80"/>
          <w:sz w:val="22"/>
          <w:szCs w:val="22"/>
          <w:lang w:val="en-GB"/>
        </w:rPr>
        <w:t>Important components of t</w:t>
      </w:r>
      <w:r w:rsidR="008753F7">
        <w:rPr>
          <w:rFonts w:ascii="Avenir Next" w:hAnsi="Avenir Next" w:cs="Arial"/>
          <w:color w:val="808080" w:themeColor="background1" w:themeShade="80"/>
          <w:sz w:val="22"/>
          <w:szCs w:val="22"/>
          <w:lang w:val="en-GB"/>
        </w:rPr>
        <w:t>he ALI NAFTA Principles</w:t>
      </w:r>
      <w:r w:rsidR="00F421E6">
        <w:rPr>
          <w:rFonts w:ascii="Avenir Next" w:hAnsi="Avenir Next" w:cs="Arial"/>
          <w:color w:val="808080" w:themeColor="background1" w:themeShade="80"/>
          <w:sz w:val="22"/>
          <w:szCs w:val="22"/>
          <w:lang w:val="en-GB"/>
        </w:rPr>
        <w:t xml:space="preserve"> include (</w:t>
      </w:r>
      <w:r w:rsidR="00F421E6">
        <w:rPr>
          <w:rFonts w:ascii="Avenir Next" w:hAnsi="Avenir Next" w:cs="Arial"/>
          <w:i/>
          <w:iCs/>
          <w:color w:val="808080" w:themeColor="background1" w:themeShade="80"/>
          <w:sz w:val="22"/>
          <w:szCs w:val="22"/>
          <w:lang w:val="en-GB"/>
        </w:rPr>
        <w:t>inter alia</w:t>
      </w:r>
      <w:r w:rsidR="00F421E6">
        <w:rPr>
          <w:rFonts w:ascii="Avenir Next" w:hAnsi="Avenir Next" w:cs="Arial"/>
          <w:color w:val="808080" w:themeColor="background1" w:themeShade="80"/>
          <w:sz w:val="22"/>
          <w:szCs w:val="22"/>
          <w:lang w:val="en-GB"/>
        </w:rPr>
        <w:t>):</w:t>
      </w:r>
      <w:r w:rsidR="008753F7">
        <w:rPr>
          <w:rFonts w:ascii="Avenir Next" w:hAnsi="Avenir Next" w:cs="Arial"/>
          <w:color w:val="808080" w:themeColor="background1" w:themeShade="80"/>
          <w:sz w:val="22"/>
          <w:szCs w:val="22"/>
          <w:lang w:val="en-GB"/>
        </w:rPr>
        <w:t xml:space="preserve"> </w:t>
      </w:r>
    </w:p>
    <w:p w14:paraId="613BC711" w14:textId="77777777" w:rsidR="009E3FB2" w:rsidRPr="00AC5768" w:rsidRDefault="009E3FB2" w:rsidP="00692852">
      <w:pPr>
        <w:jc w:val="both"/>
        <w:rPr>
          <w:rFonts w:ascii="Avenir Next" w:hAnsi="Avenir Next" w:cs="Arial"/>
          <w:color w:val="808080" w:themeColor="background1" w:themeShade="80"/>
          <w:sz w:val="14"/>
          <w:szCs w:val="14"/>
          <w:lang w:val="en-GB"/>
        </w:rPr>
      </w:pPr>
    </w:p>
    <w:p w14:paraId="658DA27E" w14:textId="3D8C4605" w:rsidR="009E3FB2" w:rsidRDefault="009E3FB2" w:rsidP="00A52E88">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w:t>
      </w:r>
      <w:r w:rsidR="00AD109D">
        <w:rPr>
          <w:rFonts w:ascii="Avenir Next" w:hAnsi="Avenir Next" w:cs="Arial"/>
          <w:color w:val="808080" w:themeColor="background1" w:themeShade="80"/>
          <w:sz w:val="22"/>
          <w:szCs w:val="22"/>
          <w:lang w:val="en-GB"/>
        </w:rPr>
        <w:t>enable a “</w:t>
      </w:r>
      <w:r w:rsidR="00AD109D" w:rsidRPr="008A3FF0">
        <w:rPr>
          <w:rFonts w:ascii="Avenir Next" w:hAnsi="Avenir Next" w:cs="Arial"/>
          <w:i/>
          <w:iCs/>
          <w:color w:val="808080" w:themeColor="background1" w:themeShade="80"/>
          <w:sz w:val="22"/>
          <w:szCs w:val="22"/>
          <w:lang w:val="en-GB"/>
        </w:rPr>
        <w:t>non-statutory basis of cooperation in international insolvency cases</w:t>
      </w:r>
      <w:r w:rsidR="00AD109D">
        <w:rPr>
          <w:rFonts w:ascii="Avenir Next" w:hAnsi="Avenir Next" w:cs="Arial"/>
          <w:color w:val="808080" w:themeColor="background1" w:themeShade="80"/>
          <w:sz w:val="22"/>
          <w:szCs w:val="22"/>
          <w:lang w:val="en-GB"/>
        </w:rPr>
        <w:t>”</w:t>
      </w:r>
      <w:r w:rsidR="008A3FF0">
        <w:rPr>
          <w:rStyle w:val="FootnoteReference"/>
          <w:rFonts w:ascii="Avenir Next" w:hAnsi="Avenir Next" w:cs="Arial"/>
          <w:color w:val="808080" w:themeColor="background1" w:themeShade="80"/>
          <w:sz w:val="22"/>
          <w:szCs w:val="22"/>
          <w:lang w:val="en-GB"/>
        </w:rPr>
        <w:footnoteReference w:id="18"/>
      </w:r>
      <w:r w:rsidR="00AD109D">
        <w:rPr>
          <w:rFonts w:ascii="Avenir Next" w:hAnsi="Avenir Next" w:cs="Arial"/>
          <w:color w:val="808080" w:themeColor="background1" w:themeShade="80"/>
          <w:sz w:val="22"/>
          <w:szCs w:val="22"/>
          <w:lang w:val="en-GB"/>
        </w:rPr>
        <w:t xml:space="preserve"> between</w:t>
      </w:r>
      <w:r w:rsidR="008753F7" w:rsidRPr="009E3FB2">
        <w:rPr>
          <w:rFonts w:ascii="Avenir Next" w:hAnsi="Avenir Next" w:cs="Arial"/>
          <w:color w:val="808080" w:themeColor="background1" w:themeShade="80"/>
          <w:sz w:val="22"/>
          <w:szCs w:val="22"/>
          <w:lang w:val="en-GB"/>
        </w:rPr>
        <w:t xml:space="preserve"> </w:t>
      </w:r>
      <w:r w:rsidR="000C021F" w:rsidRPr="009E3FB2">
        <w:rPr>
          <w:rFonts w:ascii="Avenir Next" w:hAnsi="Avenir Next" w:cs="Arial"/>
          <w:color w:val="808080" w:themeColor="background1" w:themeShade="80"/>
          <w:sz w:val="22"/>
          <w:szCs w:val="22"/>
          <w:lang w:val="en-GB"/>
        </w:rPr>
        <w:t>NAFTA</w:t>
      </w:r>
      <w:r w:rsidR="00E50BBE" w:rsidRPr="009E3FB2">
        <w:rPr>
          <w:rFonts w:ascii="Avenir Next" w:hAnsi="Avenir Next" w:cs="Arial"/>
          <w:color w:val="808080" w:themeColor="background1" w:themeShade="80"/>
          <w:sz w:val="22"/>
          <w:szCs w:val="22"/>
          <w:lang w:val="en-GB"/>
        </w:rPr>
        <w:t xml:space="preserve"> members (being the USA, Canada and Mexico)</w:t>
      </w:r>
      <w:r>
        <w:rPr>
          <w:rFonts w:ascii="Avenir Next" w:hAnsi="Avenir Next" w:cs="Arial"/>
          <w:color w:val="808080" w:themeColor="background1" w:themeShade="80"/>
          <w:sz w:val="22"/>
          <w:szCs w:val="22"/>
          <w:lang w:val="en-GB"/>
        </w:rPr>
        <w:t>;</w:t>
      </w:r>
    </w:p>
    <w:p w14:paraId="6A84A480" w14:textId="279DFA1A" w:rsidR="00FA4060" w:rsidRDefault="0015316F" w:rsidP="00A52E88">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 principles </w:t>
      </w:r>
      <w:r w:rsidR="00C95CFA">
        <w:rPr>
          <w:rFonts w:ascii="Avenir Next" w:hAnsi="Avenir Next" w:cs="Arial"/>
          <w:color w:val="808080" w:themeColor="background1" w:themeShade="80"/>
          <w:sz w:val="22"/>
          <w:szCs w:val="22"/>
          <w:lang w:val="en-GB"/>
        </w:rPr>
        <w:t>require cooperation between courts and administrators</w:t>
      </w:r>
      <w:r w:rsidR="0095593A">
        <w:rPr>
          <w:rFonts w:ascii="Avenir Next" w:hAnsi="Avenir Next" w:cs="Arial"/>
          <w:color w:val="808080" w:themeColor="background1" w:themeShade="80"/>
          <w:sz w:val="22"/>
          <w:szCs w:val="22"/>
          <w:lang w:val="en-GB"/>
        </w:rPr>
        <w:t xml:space="preserve"> with the main goal of maximising the debtors’ assets and </w:t>
      </w:r>
      <w:r w:rsidR="002D08DC">
        <w:rPr>
          <w:rFonts w:ascii="Avenir Next" w:hAnsi="Avenir Next" w:cs="Arial"/>
          <w:color w:val="808080" w:themeColor="background1" w:themeShade="80"/>
          <w:sz w:val="22"/>
          <w:szCs w:val="22"/>
          <w:lang w:val="en-GB"/>
        </w:rPr>
        <w:t xml:space="preserve">timely/efficient </w:t>
      </w:r>
      <w:r w:rsidR="0095593A">
        <w:rPr>
          <w:rFonts w:ascii="Avenir Next" w:hAnsi="Avenir Next" w:cs="Arial"/>
          <w:color w:val="808080" w:themeColor="background1" w:themeShade="80"/>
          <w:sz w:val="22"/>
          <w:szCs w:val="22"/>
          <w:lang w:val="en-GB"/>
        </w:rPr>
        <w:t xml:space="preserve">recognition </w:t>
      </w:r>
      <w:r w:rsidR="002D08DC">
        <w:rPr>
          <w:rFonts w:ascii="Avenir Next" w:hAnsi="Avenir Next" w:cs="Arial"/>
          <w:color w:val="808080" w:themeColor="background1" w:themeShade="80"/>
          <w:sz w:val="22"/>
          <w:szCs w:val="22"/>
          <w:lang w:val="en-GB"/>
        </w:rPr>
        <w:t xml:space="preserve">of </w:t>
      </w:r>
      <w:r w:rsidR="00181013">
        <w:rPr>
          <w:rFonts w:ascii="Avenir Next" w:hAnsi="Avenir Next" w:cs="Arial"/>
          <w:color w:val="808080" w:themeColor="background1" w:themeShade="80"/>
          <w:sz w:val="22"/>
          <w:szCs w:val="22"/>
          <w:lang w:val="en-GB"/>
        </w:rPr>
        <w:t xml:space="preserve">a bankruptcy </w:t>
      </w:r>
      <w:r w:rsidR="00275A87">
        <w:rPr>
          <w:rFonts w:ascii="Avenir Next" w:hAnsi="Avenir Next" w:cs="Arial"/>
          <w:color w:val="808080" w:themeColor="background1" w:themeShade="80"/>
          <w:sz w:val="22"/>
          <w:szCs w:val="22"/>
          <w:lang w:val="en-GB"/>
        </w:rPr>
        <w:t>across all</w:t>
      </w:r>
      <w:r w:rsidR="00181013">
        <w:rPr>
          <w:rFonts w:ascii="Avenir Next" w:hAnsi="Avenir Next" w:cs="Arial"/>
          <w:color w:val="808080" w:themeColor="background1" w:themeShade="80"/>
          <w:sz w:val="22"/>
          <w:szCs w:val="22"/>
          <w:lang w:val="en-GB"/>
        </w:rPr>
        <w:t xml:space="preserve"> NAFTA </w:t>
      </w:r>
      <w:r w:rsidR="00FA4060">
        <w:rPr>
          <w:rFonts w:ascii="Avenir Next" w:hAnsi="Avenir Next" w:cs="Arial"/>
          <w:color w:val="808080" w:themeColor="background1" w:themeShade="80"/>
          <w:sz w:val="22"/>
          <w:szCs w:val="22"/>
          <w:lang w:val="en-GB"/>
        </w:rPr>
        <w:t>countries</w:t>
      </w:r>
      <w:r w:rsidR="00275A87">
        <w:rPr>
          <w:rFonts w:ascii="Avenir Next" w:hAnsi="Avenir Next" w:cs="Arial"/>
          <w:color w:val="808080" w:themeColor="background1" w:themeShade="80"/>
          <w:sz w:val="22"/>
          <w:szCs w:val="22"/>
          <w:lang w:val="en-GB"/>
        </w:rPr>
        <w:t xml:space="preserve"> (where required)</w:t>
      </w:r>
      <w:r w:rsidR="00FA4060">
        <w:rPr>
          <w:rFonts w:ascii="Avenir Next" w:hAnsi="Avenir Next" w:cs="Arial"/>
          <w:color w:val="808080" w:themeColor="background1" w:themeShade="80"/>
          <w:sz w:val="22"/>
          <w:szCs w:val="22"/>
          <w:lang w:val="en-GB"/>
        </w:rPr>
        <w:t>;</w:t>
      </w:r>
      <w:r w:rsidR="008C7F14">
        <w:rPr>
          <w:rFonts w:ascii="Avenir Next" w:hAnsi="Avenir Next" w:cs="Arial"/>
          <w:color w:val="808080" w:themeColor="background1" w:themeShade="80"/>
          <w:sz w:val="22"/>
          <w:szCs w:val="22"/>
          <w:lang w:val="en-GB"/>
        </w:rPr>
        <w:t xml:space="preserve"> </w:t>
      </w:r>
    </w:p>
    <w:p w14:paraId="55396668" w14:textId="38611B3F" w:rsidR="006E1A00" w:rsidRDefault="003F743B" w:rsidP="00A52E88">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approximately 27 </w:t>
      </w:r>
      <w:r w:rsidR="003A4108">
        <w:rPr>
          <w:rFonts w:ascii="Avenir Next" w:hAnsi="Avenir Next" w:cs="Arial"/>
          <w:color w:val="808080" w:themeColor="background1" w:themeShade="80"/>
          <w:sz w:val="22"/>
          <w:szCs w:val="22"/>
          <w:lang w:val="en-GB"/>
        </w:rPr>
        <w:t xml:space="preserve">procedural principles </w:t>
      </w:r>
      <w:r w:rsidR="008C7F14">
        <w:rPr>
          <w:rFonts w:ascii="Avenir Next" w:hAnsi="Avenir Next" w:cs="Arial"/>
          <w:color w:val="808080" w:themeColor="background1" w:themeShade="80"/>
          <w:sz w:val="22"/>
          <w:szCs w:val="22"/>
          <w:lang w:val="en-GB"/>
        </w:rPr>
        <w:t>dealing</w:t>
      </w:r>
      <w:r>
        <w:rPr>
          <w:rFonts w:ascii="Avenir Next" w:hAnsi="Avenir Next" w:cs="Arial"/>
          <w:color w:val="808080" w:themeColor="background1" w:themeShade="80"/>
          <w:sz w:val="22"/>
          <w:szCs w:val="22"/>
          <w:lang w:val="en-GB"/>
        </w:rPr>
        <w:t xml:space="preserve"> with</w:t>
      </w:r>
      <w:r w:rsidR="00D37601">
        <w:rPr>
          <w:rFonts w:ascii="Avenir Next" w:hAnsi="Avenir Next" w:cs="Arial"/>
          <w:color w:val="808080" w:themeColor="background1" w:themeShade="80"/>
          <w:sz w:val="22"/>
          <w:szCs w:val="22"/>
          <w:lang w:val="en-GB"/>
        </w:rPr>
        <w:t xml:space="preserve"> (without limitation)</w:t>
      </w:r>
      <w:r>
        <w:rPr>
          <w:rFonts w:ascii="Avenir Next" w:hAnsi="Avenir Next" w:cs="Arial"/>
          <w:color w:val="808080" w:themeColor="background1" w:themeShade="80"/>
          <w:sz w:val="22"/>
          <w:szCs w:val="22"/>
          <w:lang w:val="en-GB"/>
        </w:rPr>
        <w:t xml:space="preserve"> corporate groups, </w:t>
      </w:r>
      <w:r w:rsidR="00621F21">
        <w:rPr>
          <w:rFonts w:ascii="Avenir Next" w:hAnsi="Avenir Next" w:cs="Arial"/>
          <w:color w:val="808080" w:themeColor="background1" w:themeShade="80"/>
          <w:sz w:val="22"/>
          <w:szCs w:val="22"/>
          <w:lang w:val="en-GB"/>
        </w:rPr>
        <w:t xml:space="preserve">stay on enforcement proceedings, </w:t>
      </w:r>
      <w:r w:rsidR="00D37601">
        <w:rPr>
          <w:rFonts w:ascii="Avenir Next" w:hAnsi="Avenir Next" w:cs="Arial"/>
          <w:color w:val="808080" w:themeColor="background1" w:themeShade="80"/>
          <w:sz w:val="22"/>
          <w:szCs w:val="22"/>
          <w:lang w:val="en-GB"/>
        </w:rPr>
        <w:t xml:space="preserve">moratoriums, </w:t>
      </w:r>
      <w:r w:rsidR="008C7F14">
        <w:rPr>
          <w:rFonts w:ascii="Avenir Next" w:hAnsi="Avenir Next" w:cs="Arial"/>
          <w:color w:val="808080" w:themeColor="background1" w:themeShade="80"/>
          <w:sz w:val="22"/>
          <w:szCs w:val="22"/>
          <w:lang w:val="en-GB"/>
        </w:rPr>
        <w:t>priority creditor rights, secured creditors and dividend distributions</w:t>
      </w:r>
      <w:r w:rsidR="006E1A00">
        <w:rPr>
          <w:rFonts w:ascii="Avenir Next" w:hAnsi="Avenir Next" w:cs="Arial"/>
          <w:color w:val="808080" w:themeColor="background1" w:themeShade="80"/>
          <w:sz w:val="22"/>
          <w:szCs w:val="22"/>
          <w:lang w:val="en-GB"/>
        </w:rPr>
        <w:t>; and</w:t>
      </w:r>
    </w:p>
    <w:p w14:paraId="49984A27" w14:textId="738D36EA" w:rsidR="00AB63DE" w:rsidRDefault="006E1A00" w:rsidP="009E3FB2">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recommendation that </w:t>
      </w:r>
      <w:r w:rsidR="00C778E3">
        <w:rPr>
          <w:rFonts w:ascii="Avenir Next" w:hAnsi="Avenir Next" w:cs="Arial"/>
          <w:color w:val="808080" w:themeColor="background1" w:themeShade="80"/>
          <w:sz w:val="22"/>
          <w:szCs w:val="22"/>
          <w:lang w:val="en-GB"/>
        </w:rPr>
        <w:t>NAFTA members adopt the Model Laws (which occurred in 2005).</w:t>
      </w:r>
      <w:r w:rsidR="00C778E3">
        <w:rPr>
          <w:rStyle w:val="FootnoteReference"/>
          <w:rFonts w:ascii="Avenir Next" w:hAnsi="Avenir Next" w:cs="Arial"/>
          <w:color w:val="808080" w:themeColor="background1" w:themeShade="80"/>
          <w:sz w:val="22"/>
          <w:szCs w:val="22"/>
          <w:lang w:val="en-GB"/>
        </w:rPr>
        <w:footnoteReference w:id="19"/>
      </w:r>
      <w:r w:rsidR="00621F21">
        <w:rPr>
          <w:rFonts w:ascii="Avenir Next" w:hAnsi="Avenir Next" w:cs="Arial"/>
          <w:color w:val="808080" w:themeColor="background1" w:themeShade="80"/>
          <w:sz w:val="22"/>
          <w:szCs w:val="22"/>
          <w:lang w:val="en-GB"/>
        </w:rPr>
        <w:t xml:space="preserve"> </w:t>
      </w:r>
    </w:p>
    <w:p w14:paraId="14332631" w14:textId="049627CA" w:rsidR="006E1A00" w:rsidRDefault="006E1A00" w:rsidP="006E1A00">
      <w:pPr>
        <w:jc w:val="both"/>
        <w:rPr>
          <w:rFonts w:ascii="Avenir Next" w:hAnsi="Avenir Next" w:cs="Arial"/>
          <w:color w:val="808080" w:themeColor="background1" w:themeShade="80"/>
          <w:sz w:val="22"/>
          <w:szCs w:val="22"/>
          <w:lang w:val="en-GB"/>
        </w:rPr>
      </w:pPr>
    </w:p>
    <w:p w14:paraId="0F8117B9" w14:textId="323CA7A1" w:rsidR="006E1A00" w:rsidRPr="006E1A00" w:rsidRDefault="00AC5768" w:rsidP="006E1A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note that the ALI NAFTA Principles are limi</w:t>
      </w:r>
      <w:r w:rsidR="000442E3">
        <w:rPr>
          <w:rFonts w:ascii="Avenir Next" w:hAnsi="Avenir Next" w:cs="Arial"/>
          <w:color w:val="808080" w:themeColor="background1" w:themeShade="80"/>
          <w:sz w:val="22"/>
          <w:szCs w:val="22"/>
          <w:lang w:val="en-GB"/>
        </w:rPr>
        <w:t>ted in that they do not deal with personal insolvencies (including those that arise out of sole trader businesses, partnerships</w:t>
      </w:r>
      <w:r w:rsidR="00DA1F39">
        <w:rPr>
          <w:rFonts w:ascii="Avenir Next" w:hAnsi="Avenir Next" w:cs="Arial"/>
          <w:color w:val="808080" w:themeColor="background1" w:themeShade="80"/>
          <w:sz w:val="22"/>
          <w:szCs w:val="22"/>
          <w:lang w:val="en-GB"/>
        </w:rPr>
        <w:t>, etc)</w:t>
      </w:r>
      <w:r w:rsidR="000442E3">
        <w:rPr>
          <w:rFonts w:ascii="Avenir Next" w:hAnsi="Avenir Next" w:cs="Arial"/>
          <w:color w:val="808080" w:themeColor="background1" w:themeShade="80"/>
          <w:sz w:val="22"/>
          <w:szCs w:val="22"/>
          <w:lang w:val="en-GB"/>
        </w:rPr>
        <w:t>, non-profit organisations and financial institutions</w:t>
      </w:r>
      <w:r w:rsidR="00DA1F39">
        <w:rPr>
          <w:rFonts w:ascii="Avenir Next" w:hAnsi="Avenir Next" w:cs="Arial"/>
          <w:color w:val="808080" w:themeColor="background1" w:themeShade="80"/>
          <w:sz w:val="22"/>
          <w:szCs w:val="22"/>
          <w:lang w:val="en-GB"/>
        </w:rPr>
        <w:t xml:space="preserve"> and are not binding on any non-NAFTA member.</w:t>
      </w:r>
    </w:p>
    <w:p w14:paraId="5D4759C0" w14:textId="77777777" w:rsidR="003E4659" w:rsidRDefault="003E4659" w:rsidP="003E4659">
      <w:pPr>
        <w:jc w:val="both"/>
        <w:rPr>
          <w:rFonts w:ascii="Avenir Next" w:hAnsi="Avenir Next" w:cs="Arial"/>
          <w:color w:val="808080" w:themeColor="background1" w:themeShade="80"/>
          <w:sz w:val="22"/>
          <w:szCs w:val="22"/>
          <w:lang w:val="en-GB"/>
        </w:rPr>
      </w:pPr>
    </w:p>
    <w:p w14:paraId="78B58997" w14:textId="4279A96F" w:rsidR="003E4659" w:rsidRDefault="003E4659" w:rsidP="003E4659">
      <w:pPr>
        <w:jc w:val="both"/>
        <w:rPr>
          <w:rFonts w:ascii="Avenir Next" w:hAnsi="Avenir Next" w:cs="Arial"/>
          <w:color w:val="808080" w:themeColor="background1" w:themeShade="80"/>
          <w:sz w:val="22"/>
          <w:szCs w:val="22"/>
          <w:lang w:val="en-GB"/>
        </w:rPr>
      </w:pPr>
      <w:r w:rsidRPr="003E4659">
        <w:rPr>
          <w:rFonts w:ascii="Avenir Next" w:hAnsi="Avenir Next" w:cs="Arial"/>
          <w:b/>
          <w:bCs/>
          <w:color w:val="808080" w:themeColor="background1" w:themeShade="80"/>
          <w:sz w:val="22"/>
          <w:szCs w:val="22"/>
          <w:u w:val="single"/>
          <w:lang w:val="en-GB"/>
        </w:rPr>
        <w:t>ALI – III Global Principles</w:t>
      </w:r>
    </w:p>
    <w:p w14:paraId="6FECBB3C" w14:textId="77777777" w:rsidR="003E4659" w:rsidRDefault="003E4659" w:rsidP="00692852">
      <w:pPr>
        <w:jc w:val="both"/>
        <w:rPr>
          <w:rFonts w:ascii="Avenir Next" w:hAnsi="Avenir Next" w:cs="Arial"/>
          <w:color w:val="808080" w:themeColor="background1" w:themeShade="80"/>
          <w:sz w:val="22"/>
          <w:szCs w:val="22"/>
          <w:lang w:val="en-GB"/>
        </w:rPr>
      </w:pPr>
    </w:p>
    <w:p w14:paraId="607578B6" w14:textId="59247A64" w:rsidR="003E4659" w:rsidRDefault="00D6782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2012</w:t>
      </w:r>
      <w:r w:rsidR="003253F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International Insolvency Institute (</w:t>
      </w:r>
      <w:r w:rsidRPr="00D67828">
        <w:rPr>
          <w:rFonts w:ascii="Avenir Next" w:hAnsi="Avenir Next" w:cs="Arial"/>
          <w:b/>
          <w:bCs/>
          <w:color w:val="808080" w:themeColor="background1" w:themeShade="80"/>
          <w:sz w:val="22"/>
          <w:szCs w:val="22"/>
          <w:lang w:val="en-GB"/>
        </w:rPr>
        <w:t>III</w:t>
      </w:r>
      <w:r>
        <w:rPr>
          <w:rFonts w:ascii="Avenir Next" w:hAnsi="Avenir Next" w:cs="Arial"/>
          <w:color w:val="808080" w:themeColor="background1" w:themeShade="80"/>
          <w:sz w:val="22"/>
          <w:szCs w:val="22"/>
          <w:lang w:val="en-GB"/>
        </w:rPr>
        <w:t xml:space="preserve">) </w:t>
      </w:r>
      <w:r w:rsidR="003253FB">
        <w:rPr>
          <w:rFonts w:ascii="Avenir Next" w:hAnsi="Avenir Next" w:cs="Arial"/>
          <w:color w:val="808080" w:themeColor="background1" w:themeShade="80"/>
          <w:sz w:val="22"/>
          <w:szCs w:val="22"/>
          <w:lang w:val="en-GB"/>
        </w:rPr>
        <w:t xml:space="preserve">and ALI </w:t>
      </w:r>
      <w:r w:rsidR="00252DF8">
        <w:rPr>
          <w:rFonts w:ascii="Avenir Next" w:hAnsi="Avenir Next" w:cs="Arial"/>
          <w:color w:val="808080" w:themeColor="background1" w:themeShade="80"/>
          <w:sz w:val="22"/>
          <w:szCs w:val="22"/>
          <w:lang w:val="en-GB"/>
        </w:rPr>
        <w:t xml:space="preserve">led a project </w:t>
      </w:r>
      <w:r w:rsidR="00D46969">
        <w:rPr>
          <w:rFonts w:ascii="Avenir Next" w:hAnsi="Avenir Next" w:cs="Arial"/>
          <w:color w:val="808080" w:themeColor="background1" w:themeShade="80"/>
          <w:sz w:val="22"/>
          <w:szCs w:val="22"/>
          <w:lang w:val="en-GB"/>
        </w:rPr>
        <w:t xml:space="preserve">(and </w:t>
      </w:r>
      <w:r w:rsidR="008F5DFF">
        <w:rPr>
          <w:rFonts w:ascii="Avenir Next" w:hAnsi="Avenir Next" w:cs="Arial"/>
          <w:color w:val="808080" w:themeColor="background1" w:themeShade="80"/>
          <w:sz w:val="22"/>
          <w:szCs w:val="22"/>
          <w:lang w:val="en-GB"/>
        </w:rPr>
        <w:t xml:space="preserve">produced </w:t>
      </w:r>
      <w:r w:rsidR="00D46969">
        <w:rPr>
          <w:rFonts w:ascii="Avenir Next" w:hAnsi="Avenir Next" w:cs="Arial"/>
          <w:color w:val="808080" w:themeColor="background1" w:themeShade="80"/>
          <w:sz w:val="22"/>
          <w:szCs w:val="22"/>
          <w:lang w:val="en-GB"/>
        </w:rPr>
        <w:t xml:space="preserve">a </w:t>
      </w:r>
      <w:r w:rsidR="00D46969" w:rsidRPr="00D46969">
        <w:rPr>
          <w:rFonts w:ascii="Avenir Next" w:hAnsi="Avenir Next" w:cs="Arial"/>
          <w:b/>
          <w:bCs/>
          <w:color w:val="808080" w:themeColor="background1" w:themeShade="80"/>
          <w:sz w:val="22"/>
          <w:szCs w:val="22"/>
          <w:lang w:val="en-GB"/>
        </w:rPr>
        <w:t>Transnational</w:t>
      </w:r>
      <w:r w:rsidR="00D46969">
        <w:rPr>
          <w:rFonts w:ascii="Avenir Next" w:hAnsi="Avenir Next" w:cs="Arial"/>
          <w:color w:val="808080" w:themeColor="background1" w:themeShade="80"/>
          <w:sz w:val="22"/>
          <w:szCs w:val="22"/>
          <w:lang w:val="en-GB"/>
        </w:rPr>
        <w:t xml:space="preserve"> </w:t>
      </w:r>
      <w:r w:rsidR="00D46969" w:rsidRPr="00D46969">
        <w:rPr>
          <w:rFonts w:ascii="Avenir Next" w:hAnsi="Avenir Next" w:cs="Arial"/>
          <w:b/>
          <w:bCs/>
          <w:color w:val="808080" w:themeColor="background1" w:themeShade="80"/>
          <w:sz w:val="22"/>
          <w:szCs w:val="22"/>
          <w:lang w:val="en-GB"/>
        </w:rPr>
        <w:t>Report</w:t>
      </w:r>
      <w:r w:rsidR="00D46969">
        <w:rPr>
          <w:rFonts w:ascii="Avenir Next" w:hAnsi="Avenir Next" w:cs="Arial"/>
          <w:color w:val="808080" w:themeColor="background1" w:themeShade="80"/>
          <w:sz w:val="22"/>
          <w:szCs w:val="22"/>
          <w:lang w:val="en-GB"/>
        </w:rPr>
        <w:t>)</w:t>
      </w:r>
      <w:r w:rsidR="00D46969">
        <w:rPr>
          <w:rStyle w:val="FootnoteReference"/>
          <w:rFonts w:ascii="Avenir Next" w:hAnsi="Avenir Next" w:cs="Arial"/>
          <w:color w:val="808080" w:themeColor="background1" w:themeShade="80"/>
          <w:sz w:val="22"/>
          <w:szCs w:val="22"/>
          <w:lang w:val="en-GB"/>
        </w:rPr>
        <w:footnoteReference w:id="20"/>
      </w:r>
      <w:r w:rsidR="00D46969">
        <w:rPr>
          <w:rFonts w:ascii="Avenir Next" w:hAnsi="Avenir Next" w:cs="Arial"/>
          <w:color w:val="808080" w:themeColor="background1" w:themeShade="80"/>
          <w:sz w:val="22"/>
          <w:szCs w:val="22"/>
          <w:lang w:val="en-GB"/>
        </w:rPr>
        <w:t xml:space="preserve"> </w:t>
      </w:r>
      <w:r w:rsidR="00252DF8">
        <w:rPr>
          <w:rFonts w:ascii="Avenir Next" w:hAnsi="Avenir Next" w:cs="Arial"/>
          <w:color w:val="808080" w:themeColor="background1" w:themeShade="80"/>
          <w:sz w:val="22"/>
          <w:szCs w:val="22"/>
          <w:lang w:val="en-GB"/>
        </w:rPr>
        <w:t>to implement the ALI NAFTA Principles worldwide</w:t>
      </w:r>
      <w:r w:rsidR="00E70DFD">
        <w:rPr>
          <w:rFonts w:ascii="Avenir Next" w:hAnsi="Avenir Next" w:cs="Arial"/>
          <w:color w:val="808080" w:themeColor="background1" w:themeShade="80"/>
          <w:sz w:val="22"/>
          <w:szCs w:val="22"/>
          <w:lang w:val="en-GB"/>
        </w:rPr>
        <w:t xml:space="preserve"> </w:t>
      </w:r>
      <w:r w:rsidR="004568EE">
        <w:rPr>
          <w:rFonts w:ascii="Avenir Next" w:hAnsi="Avenir Next" w:cs="Arial"/>
          <w:color w:val="808080" w:themeColor="background1" w:themeShade="80"/>
          <w:sz w:val="22"/>
          <w:szCs w:val="22"/>
          <w:lang w:val="en-GB"/>
        </w:rPr>
        <w:t>(</w:t>
      </w:r>
      <w:r w:rsidR="000678E8">
        <w:rPr>
          <w:rFonts w:ascii="Avenir Next" w:hAnsi="Avenir Next" w:cs="Arial"/>
          <w:color w:val="808080" w:themeColor="background1" w:themeShade="80"/>
          <w:sz w:val="22"/>
          <w:szCs w:val="22"/>
          <w:lang w:val="en-GB"/>
        </w:rPr>
        <w:t>whether common law or civil law based)</w:t>
      </w:r>
      <w:r w:rsidR="000678E8">
        <w:rPr>
          <w:rStyle w:val="FootnoteReference"/>
          <w:rFonts w:ascii="Avenir Next" w:hAnsi="Avenir Next" w:cs="Arial"/>
          <w:color w:val="808080" w:themeColor="background1" w:themeShade="80"/>
          <w:sz w:val="22"/>
          <w:szCs w:val="22"/>
          <w:lang w:val="en-GB"/>
        </w:rPr>
        <w:footnoteReference w:id="21"/>
      </w:r>
      <w:r w:rsidR="000678E8">
        <w:rPr>
          <w:rFonts w:ascii="Avenir Next" w:hAnsi="Avenir Next" w:cs="Arial"/>
          <w:color w:val="808080" w:themeColor="background1" w:themeShade="80"/>
          <w:sz w:val="22"/>
          <w:szCs w:val="22"/>
          <w:lang w:val="en-GB"/>
        </w:rPr>
        <w:t xml:space="preserve"> </w:t>
      </w:r>
      <w:r w:rsidR="00E70DFD">
        <w:rPr>
          <w:rFonts w:ascii="Avenir Next" w:hAnsi="Avenir Next" w:cs="Arial"/>
          <w:color w:val="808080" w:themeColor="background1" w:themeShade="80"/>
          <w:sz w:val="22"/>
          <w:szCs w:val="22"/>
          <w:lang w:val="en-GB"/>
        </w:rPr>
        <w:t>in circumstances where insolvency proceedings involve more than one State</w:t>
      </w:r>
      <w:r w:rsidR="00252DF8">
        <w:rPr>
          <w:rFonts w:ascii="Avenir Next" w:hAnsi="Avenir Next" w:cs="Arial"/>
          <w:color w:val="808080" w:themeColor="background1" w:themeShade="80"/>
          <w:sz w:val="22"/>
          <w:szCs w:val="22"/>
          <w:lang w:val="en-GB"/>
        </w:rPr>
        <w:t xml:space="preserve">. This project </w:t>
      </w:r>
      <w:r w:rsidR="003253FB">
        <w:rPr>
          <w:rFonts w:ascii="Avenir Next" w:hAnsi="Avenir Next" w:cs="Arial"/>
          <w:color w:val="808080" w:themeColor="background1" w:themeShade="80"/>
          <w:sz w:val="22"/>
          <w:szCs w:val="22"/>
          <w:lang w:val="en-GB"/>
        </w:rPr>
        <w:t xml:space="preserve">developed </w:t>
      </w:r>
      <w:r w:rsidR="00FB2B21">
        <w:rPr>
          <w:rFonts w:ascii="Avenir Next" w:hAnsi="Avenir Next" w:cs="Arial"/>
          <w:color w:val="808080" w:themeColor="background1" w:themeShade="80"/>
          <w:sz w:val="22"/>
          <w:szCs w:val="22"/>
          <w:lang w:val="en-GB"/>
        </w:rPr>
        <w:t xml:space="preserve">the ALI – III Global Principles for Cooperation </w:t>
      </w:r>
      <w:r w:rsidR="00C849B2">
        <w:rPr>
          <w:rFonts w:ascii="Avenir Next" w:hAnsi="Avenir Next" w:cs="Arial"/>
          <w:color w:val="808080" w:themeColor="background1" w:themeShade="80"/>
          <w:sz w:val="22"/>
          <w:szCs w:val="22"/>
          <w:lang w:val="en-GB"/>
        </w:rPr>
        <w:t>in International Insolvency Cases and Global Guidelines Applicable to Court-to-Court Communications in Cross-Border Cases (</w:t>
      </w:r>
      <w:bookmarkStart w:id="1" w:name="_Hlk119321060"/>
      <w:r w:rsidR="00D76E0B" w:rsidRPr="00D76E0B">
        <w:rPr>
          <w:rFonts w:ascii="Avenir Next" w:hAnsi="Avenir Next" w:cs="Arial"/>
          <w:b/>
          <w:bCs/>
          <w:color w:val="808080" w:themeColor="background1" w:themeShade="80"/>
          <w:sz w:val="22"/>
          <w:szCs w:val="22"/>
          <w:lang w:val="en-GB"/>
        </w:rPr>
        <w:t>ALI – III Global Principles</w:t>
      </w:r>
      <w:bookmarkEnd w:id="1"/>
      <w:r w:rsidR="00D76E0B">
        <w:rPr>
          <w:rFonts w:ascii="Avenir Next" w:hAnsi="Avenir Next" w:cs="Arial"/>
          <w:color w:val="808080" w:themeColor="background1" w:themeShade="80"/>
          <w:sz w:val="22"/>
          <w:szCs w:val="22"/>
          <w:lang w:val="en-GB"/>
        </w:rPr>
        <w:t>).</w:t>
      </w:r>
      <w:r w:rsidR="00A047AD">
        <w:rPr>
          <w:rStyle w:val="FootnoteReference"/>
          <w:rFonts w:ascii="Avenir Next" w:hAnsi="Avenir Next" w:cs="Arial"/>
          <w:color w:val="808080" w:themeColor="background1" w:themeShade="80"/>
          <w:sz w:val="22"/>
          <w:szCs w:val="22"/>
          <w:lang w:val="en-GB"/>
        </w:rPr>
        <w:footnoteReference w:id="22"/>
      </w:r>
      <w:r w:rsidR="00E70DFD">
        <w:rPr>
          <w:rFonts w:ascii="Avenir Next" w:hAnsi="Avenir Next" w:cs="Arial"/>
          <w:color w:val="808080" w:themeColor="background1" w:themeShade="80"/>
          <w:sz w:val="22"/>
          <w:szCs w:val="22"/>
          <w:lang w:val="en-GB"/>
        </w:rPr>
        <w:t xml:space="preserve"> </w:t>
      </w:r>
    </w:p>
    <w:p w14:paraId="6FA17097" w14:textId="77777777" w:rsidR="003E4659" w:rsidRDefault="003E4659" w:rsidP="00692852">
      <w:pPr>
        <w:jc w:val="both"/>
        <w:rPr>
          <w:rFonts w:ascii="Avenir Next" w:hAnsi="Avenir Next" w:cs="Arial"/>
          <w:color w:val="808080" w:themeColor="background1" w:themeShade="80"/>
          <w:sz w:val="22"/>
          <w:szCs w:val="22"/>
          <w:lang w:val="en-GB"/>
        </w:rPr>
      </w:pPr>
    </w:p>
    <w:p w14:paraId="2B38BF8A" w14:textId="214C2CDA" w:rsidR="002A2E0C" w:rsidRDefault="00D4696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Transnational Report, t</w:t>
      </w:r>
      <w:r w:rsidR="00A164F5">
        <w:rPr>
          <w:rFonts w:ascii="Avenir Next" w:hAnsi="Avenir Next" w:cs="Arial"/>
          <w:color w:val="808080" w:themeColor="background1" w:themeShade="80"/>
          <w:sz w:val="22"/>
          <w:szCs w:val="22"/>
          <w:lang w:val="en-GB"/>
        </w:rPr>
        <w:t xml:space="preserve">he ALI – III Global Principles contain </w:t>
      </w:r>
      <w:r w:rsidR="00FD3FC5">
        <w:rPr>
          <w:rFonts w:ascii="Avenir Next" w:hAnsi="Avenir Next" w:cs="Arial"/>
          <w:color w:val="808080" w:themeColor="background1" w:themeShade="80"/>
          <w:sz w:val="22"/>
          <w:szCs w:val="22"/>
          <w:lang w:val="en-GB"/>
        </w:rPr>
        <w:t xml:space="preserve">approximately </w:t>
      </w:r>
      <w:r w:rsidR="00301EA4">
        <w:rPr>
          <w:rFonts w:ascii="Avenir Next" w:hAnsi="Avenir Next" w:cs="Arial"/>
          <w:color w:val="808080" w:themeColor="background1" w:themeShade="80"/>
          <w:sz w:val="22"/>
          <w:szCs w:val="22"/>
          <w:lang w:val="en-GB"/>
        </w:rPr>
        <w:t>236 Global Principles, Guidelines, Rules, terms and definitions</w:t>
      </w:r>
      <w:r w:rsidR="00DF14C7">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 xml:space="preserve">the </w:t>
      </w:r>
      <w:r w:rsidR="008F5DFF">
        <w:rPr>
          <w:rFonts w:ascii="Avenir Next" w:hAnsi="Avenir Next" w:cs="Arial"/>
          <w:color w:val="808080" w:themeColor="background1" w:themeShade="80"/>
          <w:sz w:val="22"/>
          <w:szCs w:val="22"/>
          <w:lang w:val="en-GB"/>
        </w:rPr>
        <w:t xml:space="preserve">Transnational </w:t>
      </w:r>
      <w:r>
        <w:rPr>
          <w:rFonts w:ascii="Avenir Next" w:hAnsi="Avenir Next" w:cs="Arial"/>
          <w:color w:val="808080" w:themeColor="background1" w:themeShade="80"/>
          <w:sz w:val="22"/>
          <w:szCs w:val="22"/>
          <w:lang w:val="en-GB"/>
        </w:rPr>
        <w:t xml:space="preserve">Report </w:t>
      </w:r>
      <w:r w:rsidR="00DF14C7">
        <w:rPr>
          <w:rFonts w:ascii="Avenir Next" w:hAnsi="Avenir Next" w:cs="Arial"/>
          <w:color w:val="808080" w:themeColor="background1" w:themeShade="80"/>
          <w:sz w:val="22"/>
          <w:szCs w:val="22"/>
          <w:lang w:val="en-GB"/>
        </w:rPr>
        <w:t>was produced with the assistance of expert consultants from approximately 30 different countries</w:t>
      </w:r>
      <w:r w:rsidR="007E7477">
        <w:rPr>
          <w:rFonts w:ascii="Avenir Next" w:hAnsi="Avenir Next" w:cs="Arial"/>
          <w:color w:val="808080" w:themeColor="background1" w:themeShade="80"/>
          <w:sz w:val="22"/>
          <w:szCs w:val="22"/>
          <w:lang w:val="en-GB"/>
        </w:rPr>
        <w:t xml:space="preserve">, following numerous consultations, seminars and draft report releases. </w:t>
      </w:r>
    </w:p>
    <w:p w14:paraId="45266DB3" w14:textId="77777777" w:rsidR="002A2E0C" w:rsidRDefault="002A2E0C" w:rsidP="00692852">
      <w:pPr>
        <w:jc w:val="both"/>
        <w:rPr>
          <w:rFonts w:ascii="Avenir Next" w:hAnsi="Avenir Next" w:cs="Arial"/>
          <w:color w:val="808080" w:themeColor="background1" w:themeShade="80"/>
          <w:sz w:val="22"/>
          <w:szCs w:val="22"/>
          <w:lang w:val="en-GB"/>
        </w:rPr>
      </w:pPr>
    </w:p>
    <w:p w14:paraId="105FC2ED" w14:textId="4EBF1473" w:rsidR="00876556" w:rsidRDefault="00F6256A" w:rsidP="00692852">
      <w:pPr>
        <w:jc w:val="both"/>
        <w:rPr>
          <w:rFonts w:ascii="Avenir Next" w:hAnsi="Avenir Next" w:cs="Arial"/>
          <w:color w:val="808080" w:themeColor="background1" w:themeShade="80"/>
          <w:sz w:val="22"/>
          <w:szCs w:val="22"/>
          <w:lang w:val="en-GB"/>
        </w:rPr>
      </w:pPr>
      <w:r w:rsidRPr="00F6256A">
        <w:rPr>
          <w:rFonts w:ascii="Avenir Next" w:hAnsi="Avenir Next" w:cs="Arial"/>
          <w:i/>
          <w:iCs/>
          <w:color w:val="808080" w:themeColor="background1" w:themeShade="80"/>
          <w:sz w:val="22"/>
          <w:szCs w:val="22"/>
          <w:lang w:val="en-GB"/>
        </w:rPr>
        <w:t>Fletcher</w:t>
      </w:r>
      <w:r>
        <w:rPr>
          <w:rFonts w:ascii="Avenir Next" w:hAnsi="Avenir Next" w:cs="Arial"/>
          <w:color w:val="808080" w:themeColor="background1" w:themeShade="80"/>
          <w:sz w:val="22"/>
          <w:szCs w:val="22"/>
          <w:lang w:val="en-GB"/>
        </w:rPr>
        <w:t xml:space="preserve"> and </w:t>
      </w:r>
      <w:r w:rsidR="00E905B4">
        <w:rPr>
          <w:rFonts w:ascii="Avenir Next" w:hAnsi="Avenir Next" w:cs="Arial"/>
          <w:i/>
          <w:iCs/>
          <w:color w:val="808080" w:themeColor="background1" w:themeShade="80"/>
          <w:sz w:val="22"/>
          <w:szCs w:val="22"/>
          <w:lang w:val="en-GB"/>
        </w:rPr>
        <w:t>Wessels</w:t>
      </w:r>
      <w:r>
        <w:rPr>
          <w:rFonts w:ascii="Avenir Next" w:hAnsi="Avenir Next" w:cs="Arial"/>
          <w:color w:val="808080" w:themeColor="background1" w:themeShade="80"/>
          <w:sz w:val="22"/>
          <w:szCs w:val="22"/>
          <w:lang w:val="en-GB"/>
        </w:rPr>
        <w:t xml:space="preserve"> concluded in the Transnational Report that </w:t>
      </w:r>
      <w:r w:rsidR="002A2E0C">
        <w:rPr>
          <w:rFonts w:ascii="Avenir Next" w:hAnsi="Avenir Next" w:cs="Arial"/>
          <w:color w:val="808080" w:themeColor="background1" w:themeShade="80"/>
          <w:sz w:val="22"/>
          <w:szCs w:val="22"/>
          <w:lang w:val="en-GB"/>
        </w:rPr>
        <w:t xml:space="preserve">Recommendations 1 and 6 of the ALI NAFTA Principles </w:t>
      </w:r>
      <w:r w:rsidR="002D0EE1">
        <w:rPr>
          <w:rFonts w:ascii="Avenir Next" w:hAnsi="Avenir Next" w:cs="Arial"/>
          <w:color w:val="808080" w:themeColor="background1" w:themeShade="80"/>
          <w:sz w:val="22"/>
          <w:szCs w:val="22"/>
          <w:lang w:val="en-GB"/>
        </w:rPr>
        <w:t>are codified in Chapter 15 of the U</w:t>
      </w:r>
      <w:r w:rsidR="00E1487A">
        <w:rPr>
          <w:rFonts w:ascii="Avenir Next" w:hAnsi="Avenir Next" w:cs="Arial"/>
          <w:color w:val="808080" w:themeColor="background1" w:themeShade="80"/>
          <w:sz w:val="22"/>
          <w:szCs w:val="22"/>
          <w:lang w:val="en-GB"/>
        </w:rPr>
        <w:t xml:space="preserve">nited </w:t>
      </w:r>
      <w:r w:rsidR="002D0EE1">
        <w:rPr>
          <w:rFonts w:ascii="Avenir Next" w:hAnsi="Avenir Next" w:cs="Arial"/>
          <w:color w:val="808080" w:themeColor="background1" w:themeShade="80"/>
          <w:sz w:val="22"/>
          <w:szCs w:val="22"/>
          <w:lang w:val="en-GB"/>
        </w:rPr>
        <w:t>S</w:t>
      </w:r>
      <w:r w:rsidR="00E1487A">
        <w:rPr>
          <w:rFonts w:ascii="Avenir Next" w:hAnsi="Avenir Next" w:cs="Arial"/>
          <w:color w:val="808080" w:themeColor="background1" w:themeShade="80"/>
          <w:sz w:val="22"/>
          <w:szCs w:val="22"/>
          <w:lang w:val="en-GB"/>
        </w:rPr>
        <w:t>tates</w:t>
      </w:r>
      <w:r w:rsidR="002D0EE1">
        <w:rPr>
          <w:rFonts w:ascii="Avenir Next" w:hAnsi="Avenir Next" w:cs="Arial"/>
          <w:color w:val="808080" w:themeColor="background1" w:themeShade="80"/>
          <w:sz w:val="22"/>
          <w:szCs w:val="22"/>
          <w:lang w:val="en-GB"/>
        </w:rPr>
        <w:t xml:space="preserve"> Bankruptcy Code</w:t>
      </w:r>
      <w:r w:rsidR="00E1487A">
        <w:rPr>
          <w:rStyle w:val="FootnoteReference"/>
          <w:rFonts w:ascii="Avenir Next" w:hAnsi="Avenir Next" w:cs="Arial"/>
          <w:color w:val="808080" w:themeColor="background1" w:themeShade="80"/>
          <w:sz w:val="22"/>
          <w:szCs w:val="22"/>
          <w:lang w:val="en-GB"/>
        </w:rPr>
        <w:footnoteReference w:id="23"/>
      </w:r>
      <w:r w:rsidR="002D0EE1">
        <w:rPr>
          <w:rFonts w:ascii="Avenir Next" w:hAnsi="Avenir Next" w:cs="Arial"/>
          <w:color w:val="808080" w:themeColor="background1" w:themeShade="80"/>
          <w:sz w:val="22"/>
          <w:szCs w:val="22"/>
          <w:lang w:val="en-GB"/>
        </w:rPr>
        <w:t xml:space="preserve"> and </w:t>
      </w:r>
      <w:r w:rsidR="004F0520">
        <w:rPr>
          <w:rFonts w:ascii="Avenir Next" w:hAnsi="Avenir Next" w:cs="Arial"/>
          <w:color w:val="808080" w:themeColor="background1" w:themeShade="80"/>
          <w:sz w:val="22"/>
          <w:szCs w:val="22"/>
          <w:lang w:val="en-GB"/>
        </w:rPr>
        <w:t>several key issues addressed by the ALI – III Global Principles are already bin</w:t>
      </w:r>
      <w:r w:rsidR="00A86046">
        <w:rPr>
          <w:rFonts w:ascii="Avenir Next" w:hAnsi="Avenir Next" w:cs="Arial"/>
          <w:color w:val="808080" w:themeColor="background1" w:themeShade="80"/>
          <w:sz w:val="22"/>
          <w:szCs w:val="22"/>
          <w:lang w:val="en-GB"/>
        </w:rPr>
        <w:t>d</w:t>
      </w:r>
      <w:r w:rsidR="004F0520">
        <w:rPr>
          <w:rFonts w:ascii="Avenir Next" w:hAnsi="Avenir Next" w:cs="Arial"/>
          <w:color w:val="808080" w:themeColor="background1" w:themeShade="80"/>
          <w:sz w:val="22"/>
          <w:szCs w:val="22"/>
          <w:lang w:val="en-GB"/>
        </w:rPr>
        <w:t xml:space="preserve">ing </w:t>
      </w:r>
      <w:r w:rsidR="00C97223">
        <w:rPr>
          <w:rFonts w:ascii="Avenir Next" w:hAnsi="Avenir Next" w:cs="Arial"/>
          <w:color w:val="808080" w:themeColor="background1" w:themeShade="80"/>
          <w:sz w:val="22"/>
          <w:szCs w:val="22"/>
          <w:lang w:val="en-GB"/>
        </w:rPr>
        <w:t xml:space="preserve">on </w:t>
      </w:r>
      <w:r w:rsidR="005863A2">
        <w:rPr>
          <w:rFonts w:ascii="Avenir Next" w:hAnsi="Avenir Next" w:cs="Arial"/>
          <w:color w:val="808080" w:themeColor="background1" w:themeShade="80"/>
          <w:sz w:val="22"/>
          <w:szCs w:val="22"/>
          <w:lang w:val="en-GB"/>
        </w:rPr>
        <w:t>26 out of the 27 EU members (at that time</w:t>
      </w:r>
      <w:r w:rsidR="006A719E">
        <w:rPr>
          <w:rFonts w:ascii="Avenir Next" w:hAnsi="Avenir Next" w:cs="Arial"/>
          <w:color w:val="808080" w:themeColor="background1" w:themeShade="80"/>
          <w:sz w:val="22"/>
          <w:szCs w:val="22"/>
          <w:lang w:val="en-GB"/>
        </w:rPr>
        <w:t>, excluding Denmark</w:t>
      </w:r>
      <w:r w:rsidR="005863A2">
        <w:rPr>
          <w:rFonts w:ascii="Avenir Next" w:hAnsi="Avenir Next" w:cs="Arial"/>
          <w:color w:val="808080" w:themeColor="background1" w:themeShade="80"/>
          <w:sz w:val="22"/>
          <w:szCs w:val="22"/>
          <w:lang w:val="en-GB"/>
        </w:rPr>
        <w:t xml:space="preserve">), following the passage of the </w:t>
      </w:r>
      <w:r w:rsidR="005863A2" w:rsidRPr="005863A2">
        <w:rPr>
          <w:rFonts w:ascii="Avenir Next" w:hAnsi="Avenir Next" w:cs="Arial"/>
          <w:color w:val="808080" w:themeColor="background1" w:themeShade="80"/>
          <w:sz w:val="22"/>
          <w:szCs w:val="22"/>
          <w:lang w:val="en-GB"/>
        </w:rPr>
        <w:t>Council Regulation on Insolvency Proceedings (European Insolvency Regulation) (2000)</w:t>
      </w:r>
      <w:r w:rsidR="00876556">
        <w:rPr>
          <w:rFonts w:ascii="Avenir Next" w:hAnsi="Avenir Next" w:cs="Arial"/>
          <w:color w:val="808080" w:themeColor="background1" w:themeShade="80"/>
          <w:sz w:val="22"/>
          <w:szCs w:val="22"/>
          <w:lang w:val="en-GB"/>
        </w:rPr>
        <w:t xml:space="preserve"> (</w:t>
      </w:r>
      <w:r w:rsidR="00876556" w:rsidRPr="00876556">
        <w:rPr>
          <w:rFonts w:ascii="Avenir Next" w:hAnsi="Avenir Next" w:cs="Arial"/>
          <w:b/>
          <w:bCs/>
          <w:color w:val="808080" w:themeColor="background1" w:themeShade="80"/>
          <w:sz w:val="22"/>
          <w:szCs w:val="22"/>
          <w:lang w:val="en-GB"/>
        </w:rPr>
        <w:t>EU Regulations</w:t>
      </w:r>
      <w:r w:rsidR="00876556">
        <w:rPr>
          <w:rFonts w:ascii="Avenir Next" w:hAnsi="Avenir Next" w:cs="Arial"/>
          <w:color w:val="808080" w:themeColor="background1" w:themeShade="80"/>
          <w:sz w:val="22"/>
          <w:szCs w:val="22"/>
          <w:lang w:val="en-GB"/>
        </w:rPr>
        <w:t>)</w:t>
      </w:r>
      <w:r w:rsidR="005863A2">
        <w:rPr>
          <w:rFonts w:ascii="Avenir Next" w:hAnsi="Avenir Next" w:cs="Arial"/>
          <w:color w:val="808080" w:themeColor="background1" w:themeShade="80"/>
          <w:sz w:val="22"/>
          <w:szCs w:val="22"/>
          <w:lang w:val="en-GB"/>
        </w:rPr>
        <w:t>.</w:t>
      </w:r>
      <w:r w:rsidR="00862BC0">
        <w:rPr>
          <w:rStyle w:val="FootnoteReference"/>
          <w:rFonts w:ascii="Avenir Next" w:hAnsi="Avenir Next" w:cs="Arial"/>
          <w:color w:val="808080" w:themeColor="background1" w:themeShade="80"/>
          <w:sz w:val="22"/>
          <w:szCs w:val="22"/>
          <w:lang w:val="en-GB"/>
        </w:rPr>
        <w:footnoteReference w:id="24"/>
      </w:r>
      <w:r w:rsidR="005863A2">
        <w:rPr>
          <w:rFonts w:ascii="Avenir Next" w:hAnsi="Avenir Next" w:cs="Arial"/>
          <w:color w:val="808080" w:themeColor="background1" w:themeShade="80"/>
          <w:sz w:val="22"/>
          <w:szCs w:val="22"/>
          <w:lang w:val="en-GB"/>
        </w:rPr>
        <w:t xml:space="preserve"> </w:t>
      </w:r>
      <w:r w:rsidR="00876556">
        <w:rPr>
          <w:rFonts w:ascii="Avenir Next" w:hAnsi="Avenir Next" w:cs="Arial"/>
          <w:color w:val="808080" w:themeColor="background1" w:themeShade="80"/>
          <w:sz w:val="22"/>
          <w:szCs w:val="22"/>
          <w:lang w:val="en-GB"/>
        </w:rPr>
        <w:t xml:space="preserve">Some of the key issues addressed in the EU Regulations </w:t>
      </w:r>
      <w:r w:rsidR="00146456">
        <w:rPr>
          <w:rFonts w:ascii="Avenir Next" w:hAnsi="Avenir Next" w:cs="Arial"/>
          <w:color w:val="808080" w:themeColor="background1" w:themeShade="80"/>
          <w:sz w:val="22"/>
          <w:szCs w:val="22"/>
          <w:lang w:val="en-GB"/>
        </w:rPr>
        <w:t>include cooperation between State courts, claims filing</w:t>
      </w:r>
      <w:r w:rsidR="003B7383">
        <w:rPr>
          <w:rFonts w:ascii="Avenir Next" w:hAnsi="Avenir Next" w:cs="Arial"/>
          <w:color w:val="808080" w:themeColor="background1" w:themeShade="80"/>
          <w:sz w:val="22"/>
          <w:szCs w:val="22"/>
          <w:lang w:val="en-GB"/>
        </w:rPr>
        <w:t xml:space="preserve"> and</w:t>
      </w:r>
      <w:r w:rsidR="00146456">
        <w:rPr>
          <w:rFonts w:ascii="Avenir Next" w:hAnsi="Avenir Next" w:cs="Arial"/>
          <w:color w:val="808080" w:themeColor="background1" w:themeShade="80"/>
          <w:sz w:val="22"/>
          <w:szCs w:val="22"/>
          <w:lang w:val="en-GB"/>
        </w:rPr>
        <w:t xml:space="preserve"> </w:t>
      </w:r>
      <w:r w:rsidR="003B7383">
        <w:rPr>
          <w:rFonts w:ascii="Avenir Next" w:hAnsi="Avenir Next" w:cs="Arial"/>
          <w:color w:val="808080" w:themeColor="background1" w:themeShade="80"/>
          <w:sz w:val="22"/>
          <w:szCs w:val="22"/>
          <w:lang w:val="en-GB"/>
        </w:rPr>
        <w:t>anti-avoidance provisions.</w:t>
      </w:r>
      <w:r w:rsidR="003B7383">
        <w:rPr>
          <w:rStyle w:val="FootnoteReference"/>
          <w:rFonts w:ascii="Avenir Next" w:hAnsi="Avenir Next" w:cs="Arial"/>
          <w:color w:val="808080" w:themeColor="background1" w:themeShade="80"/>
          <w:sz w:val="22"/>
          <w:szCs w:val="22"/>
          <w:lang w:val="en-GB"/>
        </w:rPr>
        <w:footnoteReference w:id="25"/>
      </w:r>
      <w:r w:rsidR="002D13D5">
        <w:rPr>
          <w:rFonts w:ascii="Avenir Next" w:hAnsi="Avenir Next" w:cs="Arial"/>
          <w:color w:val="808080" w:themeColor="background1" w:themeShade="80"/>
          <w:sz w:val="22"/>
          <w:szCs w:val="22"/>
          <w:lang w:val="en-GB"/>
        </w:rPr>
        <w:t xml:space="preserve"> </w:t>
      </w:r>
      <w:r w:rsidR="00A060FD">
        <w:rPr>
          <w:rFonts w:ascii="Avenir Next" w:hAnsi="Avenir Next" w:cs="Arial"/>
          <w:color w:val="808080" w:themeColor="background1" w:themeShade="80"/>
          <w:sz w:val="22"/>
          <w:szCs w:val="22"/>
          <w:lang w:val="en-GB"/>
        </w:rPr>
        <w:t xml:space="preserve">According to </w:t>
      </w:r>
      <w:r w:rsidR="00E905B4">
        <w:rPr>
          <w:rFonts w:ascii="Avenir Next" w:hAnsi="Avenir Next" w:cs="Arial"/>
          <w:i/>
          <w:iCs/>
          <w:color w:val="808080" w:themeColor="background1" w:themeShade="80"/>
          <w:sz w:val="22"/>
          <w:szCs w:val="22"/>
          <w:lang w:val="en-GB"/>
        </w:rPr>
        <w:t>Wessels</w:t>
      </w:r>
      <w:r w:rsidR="00F5304E">
        <w:rPr>
          <w:rFonts w:ascii="Avenir Next" w:hAnsi="Avenir Next" w:cs="Arial"/>
          <w:color w:val="808080" w:themeColor="background1" w:themeShade="80"/>
          <w:sz w:val="22"/>
          <w:szCs w:val="22"/>
          <w:lang w:val="en-GB"/>
        </w:rPr>
        <w:t>,</w:t>
      </w:r>
      <w:r w:rsidR="00A060FD">
        <w:rPr>
          <w:rFonts w:ascii="Avenir Next" w:hAnsi="Avenir Next" w:cs="Arial"/>
          <w:color w:val="808080" w:themeColor="background1" w:themeShade="80"/>
          <w:sz w:val="22"/>
          <w:szCs w:val="22"/>
          <w:lang w:val="en-GB"/>
        </w:rPr>
        <w:t xml:space="preserve"> </w:t>
      </w:r>
      <w:r w:rsidR="00F5304E">
        <w:rPr>
          <w:rFonts w:ascii="Avenir Next" w:hAnsi="Avenir Next" w:cs="Arial"/>
          <w:color w:val="808080" w:themeColor="background1" w:themeShade="80"/>
          <w:sz w:val="22"/>
          <w:szCs w:val="22"/>
          <w:lang w:val="en-GB"/>
        </w:rPr>
        <w:t>a</w:t>
      </w:r>
      <w:r w:rsidR="005E7FE2">
        <w:rPr>
          <w:rFonts w:ascii="Avenir Next" w:hAnsi="Avenir Next" w:cs="Arial"/>
          <w:color w:val="808080" w:themeColor="background1" w:themeShade="80"/>
          <w:sz w:val="22"/>
          <w:szCs w:val="22"/>
          <w:lang w:val="en-GB"/>
        </w:rPr>
        <w:t xml:space="preserve"> number of principles </w:t>
      </w:r>
      <w:r w:rsidR="001522E3">
        <w:rPr>
          <w:rFonts w:ascii="Avenir Next" w:hAnsi="Avenir Next" w:cs="Arial"/>
          <w:color w:val="808080" w:themeColor="background1" w:themeShade="80"/>
          <w:sz w:val="22"/>
          <w:szCs w:val="22"/>
          <w:lang w:val="en-GB"/>
        </w:rPr>
        <w:t xml:space="preserve">from the ALI – III Global Principles are also picked-up by the </w:t>
      </w:r>
      <w:r w:rsidR="00FA1853" w:rsidRPr="00FA1853">
        <w:rPr>
          <w:rFonts w:ascii="Avenir Next" w:hAnsi="Avenir Next" w:cs="Arial"/>
          <w:color w:val="808080" w:themeColor="background1" w:themeShade="80"/>
          <w:sz w:val="22"/>
          <w:szCs w:val="22"/>
          <w:lang w:val="en-GB"/>
        </w:rPr>
        <w:t>EU Insolvency Regulation (recast) (Regulation 848/2015)</w:t>
      </w:r>
      <w:r w:rsidR="00FA1853">
        <w:rPr>
          <w:rFonts w:ascii="Avenir Next" w:hAnsi="Avenir Next" w:cs="Arial"/>
          <w:color w:val="808080" w:themeColor="background1" w:themeShade="80"/>
          <w:sz w:val="22"/>
          <w:szCs w:val="22"/>
          <w:lang w:val="en-GB"/>
        </w:rPr>
        <w:t xml:space="preserve"> and the</w:t>
      </w:r>
      <w:r w:rsidR="00FE2E39" w:rsidRPr="00FE2E39">
        <w:t xml:space="preserve"> </w:t>
      </w:r>
      <w:r w:rsidR="00FE2E39" w:rsidRPr="00FE2E39">
        <w:rPr>
          <w:rFonts w:ascii="Avenir Next" w:hAnsi="Avenir Next" w:cs="Arial"/>
          <w:color w:val="808080" w:themeColor="background1" w:themeShade="80"/>
          <w:sz w:val="22"/>
          <w:szCs w:val="22"/>
          <w:lang w:val="en-GB"/>
        </w:rPr>
        <w:t>Judicial Insolvency Network Guidelines for Communication and Cooperation between Courts in Cross-Border Insolvency Matters</w:t>
      </w:r>
      <w:r w:rsidR="00FE2E39">
        <w:rPr>
          <w:rFonts w:ascii="Avenir Next" w:hAnsi="Avenir Next" w:cs="Arial"/>
          <w:color w:val="808080" w:themeColor="background1" w:themeShade="80"/>
          <w:sz w:val="22"/>
          <w:szCs w:val="22"/>
          <w:lang w:val="en-GB"/>
        </w:rPr>
        <w:t xml:space="preserve"> (2017)</w:t>
      </w:r>
      <w:r w:rsidR="000A65E5">
        <w:rPr>
          <w:rFonts w:ascii="Avenir Next" w:hAnsi="Avenir Next" w:cs="Arial"/>
          <w:color w:val="808080" w:themeColor="background1" w:themeShade="80"/>
          <w:sz w:val="22"/>
          <w:szCs w:val="22"/>
          <w:lang w:val="en-GB"/>
        </w:rPr>
        <w:t xml:space="preserve"> (</w:t>
      </w:r>
      <w:r w:rsidR="000A65E5" w:rsidRPr="000A65E5">
        <w:rPr>
          <w:rFonts w:ascii="Avenir Next" w:hAnsi="Avenir Next" w:cs="Arial"/>
          <w:b/>
          <w:bCs/>
          <w:color w:val="808080" w:themeColor="background1" w:themeShade="80"/>
          <w:sz w:val="22"/>
          <w:szCs w:val="22"/>
          <w:lang w:val="en-GB"/>
        </w:rPr>
        <w:t>JIN Guidelines</w:t>
      </w:r>
      <w:r w:rsidR="000A65E5">
        <w:rPr>
          <w:rFonts w:ascii="Avenir Next" w:hAnsi="Avenir Next" w:cs="Arial"/>
          <w:color w:val="808080" w:themeColor="background1" w:themeShade="80"/>
          <w:sz w:val="22"/>
          <w:szCs w:val="22"/>
          <w:lang w:val="en-GB"/>
        </w:rPr>
        <w:t>)</w:t>
      </w:r>
      <w:r w:rsidR="00FE2E39">
        <w:rPr>
          <w:rFonts w:ascii="Avenir Next" w:hAnsi="Avenir Next" w:cs="Arial"/>
          <w:color w:val="808080" w:themeColor="background1" w:themeShade="80"/>
          <w:sz w:val="22"/>
          <w:szCs w:val="22"/>
          <w:lang w:val="en-GB"/>
        </w:rPr>
        <w:t>.</w:t>
      </w:r>
      <w:r w:rsidR="00FE2E39">
        <w:rPr>
          <w:rStyle w:val="FootnoteReference"/>
          <w:rFonts w:ascii="Avenir Next" w:hAnsi="Avenir Next" w:cs="Arial"/>
          <w:color w:val="808080" w:themeColor="background1" w:themeShade="80"/>
          <w:sz w:val="22"/>
          <w:szCs w:val="22"/>
          <w:lang w:val="en-GB"/>
        </w:rPr>
        <w:footnoteReference w:id="26"/>
      </w:r>
      <w:r w:rsidR="00FA1853">
        <w:rPr>
          <w:rFonts w:ascii="Avenir Next" w:hAnsi="Avenir Next" w:cs="Arial"/>
          <w:color w:val="808080" w:themeColor="background1" w:themeShade="80"/>
          <w:sz w:val="22"/>
          <w:szCs w:val="22"/>
          <w:lang w:val="en-GB"/>
        </w:rPr>
        <w:t xml:space="preserve"> </w:t>
      </w:r>
    </w:p>
    <w:p w14:paraId="6DCA36A0" w14:textId="77777777" w:rsidR="00876556" w:rsidRDefault="00876556" w:rsidP="00692852">
      <w:pPr>
        <w:jc w:val="both"/>
        <w:rPr>
          <w:rFonts w:ascii="Avenir Next" w:hAnsi="Avenir Next" w:cs="Arial"/>
          <w:color w:val="808080" w:themeColor="background1" w:themeShade="80"/>
          <w:sz w:val="22"/>
          <w:szCs w:val="22"/>
          <w:lang w:val="en-GB"/>
        </w:rPr>
      </w:pPr>
    </w:p>
    <w:p w14:paraId="1399E5A1" w14:textId="3E70AEC5" w:rsidR="00A2646D" w:rsidRDefault="0062231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Pr="00F6256A">
        <w:rPr>
          <w:rFonts w:ascii="Avenir Next" w:hAnsi="Avenir Next" w:cs="Arial"/>
          <w:i/>
          <w:iCs/>
          <w:color w:val="808080" w:themeColor="background1" w:themeShade="80"/>
          <w:sz w:val="22"/>
          <w:szCs w:val="22"/>
          <w:lang w:val="en-GB"/>
        </w:rPr>
        <w:t>Fletcher</w:t>
      </w:r>
      <w:r>
        <w:rPr>
          <w:rFonts w:ascii="Avenir Next" w:hAnsi="Avenir Next" w:cs="Arial"/>
          <w:color w:val="808080" w:themeColor="background1" w:themeShade="80"/>
          <w:sz w:val="22"/>
          <w:szCs w:val="22"/>
          <w:lang w:val="en-GB"/>
        </w:rPr>
        <w:t xml:space="preserve"> and </w:t>
      </w:r>
      <w:r w:rsidR="00E905B4">
        <w:rPr>
          <w:rFonts w:ascii="Avenir Next" w:hAnsi="Avenir Next" w:cs="Arial"/>
          <w:i/>
          <w:iCs/>
          <w:color w:val="808080" w:themeColor="background1" w:themeShade="80"/>
          <w:sz w:val="22"/>
          <w:szCs w:val="22"/>
          <w:lang w:val="en-GB"/>
        </w:rPr>
        <w:t>Wessels</w:t>
      </w:r>
      <w:r>
        <w:rPr>
          <w:rFonts w:ascii="Avenir Next" w:hAnsi="Avenir Next" w:cs="Arial"/>
          <w:color w:val="808080" w:themeColor="background1" w:themeShade="80"/>
          <w:sz w:val="22"/>
          <w:szCs w:val="22"/>
          <w:lang w:val="en-GB"/>
        </w:rPr>
        <w:t xml:space="preserve"> also remark that </w:t>
      </w:r>
      <w:r w:rsidR="00944D1B">
        <w:rPr>
          <w:rFonts w:ascii="Avenir Next" w:hAnsi="Avenir Next" w:cs="Arial"/>
          <w:color w:val="808080" w:themeColor="background1" w:themeShade="80"/>
          <w:sz w:val="22"/>
          <w:szCs w:val="22"/>
          <w:lang w:val="en-GB"/>
        </w:rPr>
        <w:t xml:space="preserve">principles-based soft law may have some </w:t>
      </w:r>
      <w:r w:rsidR="00A2646D">
        <w:rPr>
          <w:rFonts w:ascii="Avenir Next" w:hAnsi="Avenir Next" w:cs="Arial"/>
          <w:color w:val="808080" w:themeColor="background1" w:themeShade="80"/>
          <w:sz w:val="22"/>
          <w:szCs w:val="22"/>
          <w:lang w:val="en-GB"/>
        </w:rPr>
        <w:t>disadvantages, including (</w:t>
      </w:r>
      <w:r w:rsidR="00A2646D">
        <w:rPr>
          <w:rFonts w:ascii="Avenir Next" w:hAnsi="Avenir Next" w:cs="Arial"/>
          <w:i/>
          <w:iCs/>
          <w:color w:val="808080" w:themeColor="background1" w:themeShade="80"/>
          <w:sz w:val="22"/>
          <w:szCs w:val="22"/>
          <w:lang w:val="en-GB"/>
        </w:rPr>
        <w:t>inter alia</w:t>
      </w:r>
      <w:r w:rsidR="00A2646D">
        <w:rPr>
          <w:rFonts w:ascii="Avenir Next" w:hAnsi="Avenir Next" w:cs="Arial"/>
          <w:color w:val="808080" w:themeColor="background1" w:themeShade="80"/>
          <w:sz w:val="22"/>
          <w:szCs w:val="22"/>
          <w:lang w:val="en-GB"/>
        </w:rPr>
        <w:t>):</w:t>
      </w:r>
      <w:r w:rsidR="00DE3147">
        <w:rPr>
          <w:rStyle w:val="FootnoteReference"/>
          <w:rFonts w:ascii="Avenir Next" w:hAnsi="Avenir Next" w:cs="Arial"/>
          <w:color w:val="808080" w:themeColor="background1" w:themeShade="80"/>
          <w:sz w:val="22"/>
          <w:szCs w:val="22"/>
          <w:lang w:val="en-GB"/>
        </w:rPr>
        <w:footnoteReference w:id="27"/>
      </w:r>
      <w:r w:rsidR="00A2646D">
        <w:rPr>
          <w:rFonts w:ascii="Avenir Next" w:hAnsi="Avenir Next" w:cs="Arial"/>
          <w:color w:val="808080" w:themeColor="background1" w:themeShade="80"/>
          <w:sz w:val="22"/>
          <w:szCs w:val="22"/>
          <w:lang w:val="en-GB"/>
        </w:rPr>
        <w:t xml:space="preserve"> </w:t>
      </w:r>
    </w:p>
    <w:p w14:paraId="4BC1A9CA" w14:textId="77777777" w:rsidR="00A2646D" w:rsidRPr="00194CFD" w:rsidRDefault="00A2646D" w:rsidP="00692852">
      <w:pPr>
        <w:jc w:val="both"/>
        <w:rPr>
          <w:rFonts w:ascii="Avenir Next" w:hAnsi="Avenir Next" w:cs="Arial"/>
          <w:color w:val="808080" w:themeColor="background1" w:themeShade="80"/>
          <w:sz w:val="14"/>
          <w:szCs w:val="14"/>
          <w:lang w:val="en-GB"/>
        </w:rPr>
      </w:pPr>
    </w:p>
    <w:p w14:paraId="1D4A4524" w14:textId="6527A2F3" w:rsidR="00D67828" w:rsidRPr="00A2646D" w:rsidRDefault="00A2646D" w:rsidP="002A2E0C">
      <w:pPr>
        <w:pStyle w:val="ListParagraph"/>
        <w:numPr>
          <w:ilvl w:val="0"/>
          <w:numId w:val="26"/>
        </w:numPr>
        <w:ind w:left="709" w:hanging="709"/>
        <w:jc w:val="both"/>
        <w:rPr>
          <w:rFonts w:ascii="Avenir Next" w:hAnsi="Avenir Next" w:cs="Arial"/>
          <w:color w:val="808080" w:themeColor="background1" w:themeShade="80"/>
          <w:sz w:val="22"/>
          <w:szCs w:val="22"/>
          <w:lang w:val="en-GB"/>
        </w:rPr>
      </w:pPr>
      <w:r w:rsidRPr="00A2646D">
        <w:rPr>
          <w:rFonts w:ascii="Avenir Next" w:hAnsi="Avenir Next" w:cs="Arial"/>
          <w:color w:val="808080" w:themeColor="background1" w:themeShade="80"/>
          <w:sz w:val="22"/>
          <w:szCs w:val="22"/>
          <w:lang w:val="en-GB"/>
        </w:rPr>
        <w:t>uncertain legal effect</w:t>
      </w:r>
      <w:r w:rsidR="00DE3147">
        <w:rPr>
          <w:rFonts w:ascii="Avenir Next" w:hAnsi="Avenir Next" w:cs="Arial"/>
          <w:color w:val="808080" w:themeColor="background1" w:themeShade="80"/>
          <w:sz w:val="22"/>
          <w:szCs w:val="22"/>
          <w:lang w:val="en-GB"/>
        </w:rPr>
        <w:t xml:space="preserve"> or legitimacy</w:t>
      </w:r>
      <w:r w:rsidRPr="00A2646D">
        <w:rPr>
          <w:rFonts w:ascii="Avenir Next" w:hAnsi="Avenir Next" w:cs="Arial"/>
          <w:color w:val="808080" w:themeColor="background1" w:themeShade="80"/>
          <w:sz w:val="22"/>
          <w:szCs w:val="22"/>
          <w:lang w:val="en-GB"/>
        </w:rPr>
        <w:t>;</w:t>
      </w:r>
    </w:p>
    <w:p w14:paraId="73EE4C61" w14:textId="7CD339C7" w:rsidR="00A2646D" w:rsidRDefault="006574FC" w:rsidP="002A2E0C">
      <w:pPr>
        <w:pStyle w:val="ListParagraph"/>
        <w:numPr>
          <w:ilvl w:val="0"/>
          <w:numId w:val="26"/>
        </w:numPr>
        <w:ind w:left="709" w:hanging="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problem of ascertaining the text, including a lack of clarity</w:t>
      </w:r>
      <w:r w:rsidR="00DE3147">
        <w:rPr>
          <w:rFonts w:ascii="Avenir Next" w:hAnsi="Avenir Next" w:cs="Arial"/>
          <w:color w:val="808080" w:themeColor="background1" w:themeShade="80"/>
          <w:sz w:val="22"/>
          <w:szCs w:val="22"/>
          <w:lang w:val="en-GB"/>
        </w:rPr>
        <w:t>/quality</w:t>
      </w:r>
      <w:r>
        <w:rPr>
          <w:rFonts w:ascii="Avenir Next" w:hAnsi="Avenir Next" w:cs="Arial"/>
          <w:color w:val="808080" w:themeColor="background1" w:themeShade="80"/>
          <w:sz w:val="22"/>
          <w:szCs w:val="22"/>
          <w:lang w:val="en-GB"/>
        </w:rPr>
        <w:t>;</w:t>
      </w:r>
    </w:p>
    <w:p w14:paraId="4D8EDAE7" w14:textId="25D4541E" w:rsidR="006574FC" w:rsidRDefault="00DE3147" w:rsidP="002A2E0C">
      <w:pPr>
        <w:pStyle w:val="ListParagraph"/>
        <w:numPr>
          <w:ilvl w:val="0"/>
          <w:numId w:val="26"/>
        </w:numPr>
        <w:ind w:left="709" w:hanging="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lack of reporting on application or enforcement; and</w:t>
      </w:r>
    </w:p>
    <w:p w14:paraId="761AD9D8" w14:textId="6CF566B4" w:rsidR="00DE3147" w:rsidRPr="00A2646D" w:rsidRDefault="00DE3147" w:rsidP="002A2E0C">
      <w:pPr>
        <w:pStyle w:val="ListParagraph"/>
        <w:numPr>
          <w:ilvl w:val="0"/>
          <w:numId w:val="26"/>
        </w:numPr>
        <w:ind w:left="709" w:hanging="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lack of testing effectiveness. </w:t>
      </w:r>
    </w:p>
    <w:p w14:paraId="174747AC" w14:textId="62EB1807" w:rsidR="00F239C2" w:rsidRDefault="00F239C2" w:rsidP="00692852">
      <w:pPr>
        <w:jc w:val="both"/>
        <w:rPr>
          <w:rFonts w:ascii="Avenir Next" w:hAnsi="Avenir Next" w:cs="Arial"/>
          <w:color w:val="808080" w:themeColor="background1" w:themeShade="80"/>
          <w:sz w:val="22"/>
          <w:szCs w:val="22"/>
          <w:lang w:val="en-GB"/>
        </w:rPr>
      </w:pPr>
    </w:p>
    <w:p w14:paraId="7005A413" w14:textId="5C54C7E9" w:rsidR="00CC49B3" w:rsidRDefault="00CC49B3" w:rsidP="00692852">
      <w:pPr>
        <w:jc w:val="both"/>
        <w:rPr>
          <w:rFonts w:ascii="Avenir Next" w:hAnsi="Avenir Next" w:cs="Arial"/>
          <w:color w:val="808080" w:themeColor="background1" w:themeShade="80"/>
          <w:sz w:val="22"/>
          <w:szCs w:val="22"/>
          <w:lang w:val="en-GB"/>
        </w:rPr>
      </w:pPr>
      <w:r w:rsidRPr="00DB6E78">
        <w:rPr>
          <w:rFonts w:ascii="Avenir Next" w:hAnsi="Avenir Next" w:cs="Arial"/>
          <w:i/>
          <w:iCs/>
          <w:color w:val="808080" w:themeColor="background1" w:themeShade="80"/>
          <w:sz w:val="22"/>
          <w:szCs w:val="22"/>
          <w:lang w:val="en-GB"/>
        </w:rPr>
        <w:lastRenderedPageBreak/>
        <w:t>Mason</w:t>
      </w:r>
      <w:r>
        <w:rPr>
          <w:rFonts w:ascii="Avenir Next" w:hAnsi="Avenir Next" w:cs="Arial"/>
          <w:color w:val="808080" w:themeColor="background1" w:themeShade="80"/>
          <w:sz w:val="22"/>
          <w:szCs w:val="22"/>
          <w:lang w:val="en-GB"/>
        </w:rPr>
        <w:t xml:space="preserve">, </w:t>
      </w:r>
      <w:r w:rsidRPr="00DB6E78">
        <w:rPr>
          <w:rFonts w:ascii="Avenir Next" w:hAnsi="Avenir Next" w:cs="Arial"/>
          <w:i/>
          <w:iCs/>
          <w:color w:val="808080" w:themeColor="background1" w:themeShade="80"/>
          <w:sz w:val="22"/>
          <w:szCs w:val="22"/>
          <w:lang w:val="en-GB"/>
        </w:rPr>
        <w:t>Jackson</w:t>
      </w:r>
      <w:r>
        <w:rPr>
          <w:rFonts w:ascii="Avenir Next" w:hAnsi="Avenir Next" w:cs="Arial"/>
          <w:color w:val="808080" w:themeColor="background1" w:themeShade="80"/>
          <w:sz w:val="22"/>
          <w:szCs w:val="22"/>
          <w:lang w:val="en-GB"/>
        </w:rPr>
        <w:t xml:space="preserve"> and </w:t>
      </w:r>
      <w:r w:rsidRPr="00DB6E78">
        <w:rPr>
          <w:rFonts w:ascii="Avenir Next" w:hAnsi="Avenir Next" w:cs="Arial"/>
          <w:i/>
          <w:iCs/>
          <w:color w:val="808080" w:themeColor="background1" w:themeShade="80"/>
          <w:sz w:val="22"/>
          <w:szCs w:val="22"/>
          <w:lang w:val="en-GB"/>
        </w:rPr>
        <w:t>Wellard</w:t>
      </w:r>
      <w:r>
        <w:rPr>
          <w:rFonts w:ascii="Avenir Next" w:hAnsi="Avenir Next" w:cs="Arial"/>
          <w:color w:val="808080" w:themeColor="background1" w:themeShade="80"/>
          <w:sz w:val="22"/>
          <w:szCs w:val="22"/>
          <w:lang w:val="en-GB"/>
        </w:rPr>
        <w:t xml:space="preserve"> </w:t>
      </w:r>
      <w:r w:rsidR="00F61C66">
        <w:rPr>
          <w:rFonts w:ascii="Avenir Next" w:hAnsi="Avenir Next" w:cs="Arial"/>
          <w:color w:val="808080" w:themeColor="background1" w:themeShade="80"/>
          <w:sz w:val="22"/>
          <w:szCs w:val="22"/>
          <w:lang w:val="en-GB"/>
        </w:rPr>
        <w:t xml:space="preserve">provide a handy comparative table between the ALI – III Global Principles and the </w:t>
      </w:r>
      <w:r w:rsidR="00F61C66" w:rsidRPr="00566F00">
        <w:rPr>
          <w:rFonts w:ascii="Avenir Next" w:hAnsi="Avenir Next" w:cs="Arial"/>
          <w:i/>
          <w:iCs/>
          <w:color w:val="808080" w:themeColor="background1" w:themeShade="80"/>
          <w:sz w:val="22"/>
          <w:szCs w:val="22"/>
          <w:lang w:val="en-GB"/>
        </w:rPr>
        <w:t>Cross-Border Insolvency Act 2008</w:t>
      </w:r>
      <w:r w:rsidR="00F61C66">
        <w:rPr>
          <w:rFonts w:ascii="Avenir Next" w:hAnsi="Avenir Next" w:cs="Arial"/>
          <w:color w:val="808080" w:themeColor="background1" w:themeShade="80"/>
          <w:sz w:val="22"/>
          <w:szCs w:val="22"/>
          <w:lang w:val="en-GB"/>
        </w:rPr>
        <w:t xml:space="preserve"> (</w:t>
      </w:r>
      <w:proofErr w:type="spellStart"/>
      <w:r w:rsidR="00F61C66">
        <w:rPr>
          <w:rFonts w:ascii="Avenir Next" w:hAnsi="Avenir Next" w:cs="Arial"/>
          <w:color w:val="808080" w:themeColor="background1" w:themeShade="80"/>
          <w:sz w:val="22"/>
          <w:szCs w:val="22"/>
          <w:lang w:val="en-GB"/>
        </w:rPr>
        <w:t>Cth</w:t>
      </w:r>
      <w:proofErr w:type="spellEnd"/>
      <w:r w:rsidR="00F61C66">
        <w:rPr>
          <w:rFonts w:ascii="Avenir Next" w:hAnsi="Avenir Next" w:cs="Arial"/>
          <w:color w:val="808080" w:themeColor="background1" w:themeShade="80"/>
          <w:sz w:val="22"/>
          <w:szCs w:val="22"/>
          <w:lang w:val="en-GB"/>
        </w:rPr>
        <w:t>)</w:t>
      </w:r>
      <w:r w:rsidR="00566F00">
        <w:rPr>
          <w:rStyle w:val="FootnoteReference"/>
          <w:rFonts w:ascii="Avenir Next" w:hAnsi="Avenir Next" w:cs="Arial"/>
          <w:color w:val="808080" w:themeColor="background1" w:themeShade="80"/>
          <w:sz w:val="22"/>
          <w:szCs w:val="22"/>
          <w:lang w:val="en-GB"/>
        </w:rPr>
        <w:footnoteReference w:id="28"/>
      </w:r>
      <w:r w:rsidR="00566F00">
        <w:rPr>
          <w:rFonts w:ascii="Avenir Next" w:hAnsi="Avenir Next" w:cs="Arial"/>
          <w:color w:val="808080" w:themeColor="background1" w:themeShade="80"/>
          <w:sz w:val="22"/>
          <w:szCs w:val="22"/>
          <w:lang w:val="en-GB"/>
        </w:rPr>
        <w:t xml:space="preserve"> and </w:t>
      </w:r>
      <w:r w:rsidR="00DB6E78">
        <w:rPr>
          <w:rFonts w:ascii="Avenir Next" w:hAnsi="Avenir Next" w:cs="Arial"/>
          <w:color w:val="808080" w:themeColor="background1" w:themeShade="80"/>
          <w:sz w:val="22"/>
          <w:szCs w:val="22"/>
          <w:lang w:val="en-GB"/>
        </w:rPr>
        <w:t>argue that Australia would benefit in the following ways from adopting the ALI – III Global Principles:</w:t>
      </w:r>
      <w:r w:rsidR="00194CFD">
        <w:rPr>
          <w:rStyle w:val="FootnoteReference"/>
          <w:rFonts w:ascii="Avenir Next" w:hAnsi="Avenir Next" w:cs="Arial"/>
          <w:color w:val="808080" w:themeColor="background1" w:themeShade="80"/>
          <w:sz w:val="22"/>
          <w:szCs w:val="22"/>
          <w:lang w:val="en-GB"/>
        </w:rPr>
        <w:footnoteReference w:id="29"/>
      </w:r>
      <w:r w:rsidR="00DB6E78">
        <w:rPr>
          <w:rFonts w:ascii="Avenir Next" w:hAnsi="Avenir Next" w:cs="Arial"/>
          <w:color w:val="808080" w:themeColor="background1" w:themeShade="80"/>
          <w:sz w:val="22"/>
          <w:szCs w:val="22"/>
          <w:lang w:val="en-GB"/>
        </w:rPr>
        <w:t xml:space="preserve"> </w:t>
      </w:r>
    </w:p>
    <w:p w14:paraId="0219E19A" w14:textId="35F08B51" w:rsidR="00CA48B6" w:rsidRPr="00194CFD" w:rsidRDefault="00CA48B6" w:rsidP="00692852">
      <w:pPr>
        <w:jc w:val="both"/>
        <w:rPr>
          <w:rFonts w:ascii="Avenir Next" w:hAnsi="Avenir Next" w:cs="Arial"/>
          <w:color w:val="808080" w:themeColor="background1" w:themeShade="80"/>
          <w:sz w:val="14"/>
          <w:szCs w:val="14"/>
          <w:lang w:val="en-GB"/>
        </w:rPr>
      </w:pPr>
    </w:p>
    <w:p w14:paraId="681D6902" w14:textId="71892E37" w:rsidR="00CA48B6" w:rsidRDefault="00CA48B6" w:rsidP="00194CFD">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 valuable resource for </w:t>
      </w:r>
      <w:r w:rsidR="00533E76">
        <w:rPr>
          <w:rFonts w:ascii="Avenir Next" w:hAnsi="Avenir Next" w:cs="Arial"/>
          <w:color w:val="808080" w:themeColor="background1" w:themeShade="80"/>
          <w:sz w:val="22"/>
          <w:szCs w:val="22"/>
          <w:lang w:val="en-GB"/>
        </w:rPr>
        <w:t xml:space="preserve">courts and </w:t>
      </w:r>
      <w:r>
        <w:rPr>
          <w:rFonts w:ascii="Avenir Next" w:hAnsi="Avenir Next" w:cs="Arial"/>
          <w:color w:val="808080" w:themeColor="background1" w:themeShade="80"/>
          <w:sz w:val="22"/>
          <w:szCs w:val="22"/>
          <w:lang w:val="en-GB"/>
        </w:rPr>
        <w:t>policy makers in developing and implementing domestic and cross-border insolvency law;</w:t>
      </w:r>
    </w:p>
    <w:p w14:paraId="0F2F4492" w14:textId="104B8072" w:rsidR="00CA48B6" w:rsidRDefault="00322342" w:rsidP="00194CFD">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courts only need to update published Practice Directions and Notes</w:t>
      </w:r>
      <w:r w:rsidR="00332EC3">
        <w:rPr>
          <w:rFonts w:ascii="Avenir Next" w:hAnsi="Avenir Next" w:cs="Arial"/>
          <w:color w:val="808080" w:themeColor="background1" w:themeShade="80"/>
          <w:sz w:val="22"/>
          <w:szCs w:val="22"/>
          <w:lang w:val="en-GB"/>
        </w:rPr>
        <w:t>, which would promote further international support; and</w:t>
      </w:r>
    </w:p>
    <w:p w14:paraId="0013BD22" w14:textId="4D10E4FC" w:rsidR="00332EC3" w:rsidRPr="00CA48B6" w:rsidRDefault="00332EC3" w:rsidP="00CA48B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assist practitioners in </w:t>
      </w:r>
      <w:r w:rsidR="00194CFD">
        <w:rPr>
          <w:rFonts w:ascii="Avenir Next" w:hAnsi="Avenir Next" w:cs="Arial"/>
          <w:color w:val="808080" w:themeColor="background1" w:themeShade="80"/>
          <w:sz w:val="22"/>
          <w:szCs w:val="22"/>
          <w:lang w:val="en-GB"/>
        </w:rPr>
        <w:t>advising global businesses and persons.</w:t>
      </w:r>
    </w:p>
    <w:p w14:paraId="677C7A4A" w14:textId="77777777" w:rsidR="00887840" w:rsidRDefault="00887840" w:rsidP="006A719E">
      <w:pPr>
        <w:jc w:val="both"/>
        <w:rPr>
          <w:rFonts w:ascii="Avenir Next" w:hAnsi="Avenir Next" w:cs="Arial"/>
          <w:b/>
          <w:bCs/>
          <w:color w:val="808080" w:themeColor="background1" w:themeShade="80"/>
          <w:sz w:val="22"/>
          <w:szCs w:val="22"/>
          <w:u w:val="single"/>
          <w:lang w:val="en-GB"/>
        </w:rPr>
      </w:pPr>
    </w:p>
    <w:p w14:paraId="7717F8C3" w14:textId="4F11587C" w:rsidR="006A719E" w:rsidRDefault="006A719E" w:rsidP="006A719E">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u w:val="single"/>
          <w:lang w:val="en-GB"/>
        </w:rPr>
        <w:t>JIN</w:t>
      </w:r>
    </w:p>
    <w:p w14:paraId="046FB955" w14:textId="39539AD6" w:rsidR="009015F4" w:rsidRPr="006D00B1" w:rsidRDefault="009015F4" w:rsidP="00692852">
      <w:pPr>
        <w:jc w:val="both"/>
        <w:rPr>
          <w:rFonts w:ascii="Avenir Next" w:hAnsi="Avenir Next" w:cs="Arial"/>
          <w:color w:val="808080" w:themeColor="background1" w:themeShade="80"/>
          <w:sz w:val="22"/>
          <w:szCs w:val="22"/>
          <w:lang w:val="en-GB"/>
        </w:rPr>
      </w:pPr>
    </w:p>
    <w:p w14:paraId="40F80E4D" w14:textId="77777777" w:rsidR="00F30B50" w:rsidRPr="006D00B1" w:rsidRDefault="000A65E5" w:rsidP="00692852">
      <w:pPr>
        <w:jc w:val="both"/>
        <w:rPr>
          <w:rFonts w:ascii="Avenir Next" w:hAnsi="Avenir Next" w:cs="Arial"/>
          <w:color w:val="808080" w:themeColor="background1" w:themeShade="80"/>
          <w:sz w:val="22"/>
          <w:szCs w:val="22"/>
          <w:lang w:val="en-GB"/>
        </w:rPr>
      </w:pPr>
      <w:r w:rsidRPr="006D00B1">
        <w:rPr>
          <w:rFonts w:ascii="Avenir Next" w:hAnsi="Avenir Next" w:cs="Arial"/>
          <w:color w:val="808080" w:themeColor="background1" w:themeShade="80"/>
          <w:sz w:val="22"/>
          <w:szCs w:val="22"/>
          <w:lang w:val="en-GB"/>
        </w:rPr>
        <w:t xml:space="preserve">The JIN Guidelines, which were </w:t>
      </w:r>
      <w:r w:rsidR="001B5888" w:rsidRPr="006D00B1">
        <w:rPr>
          <w:rFonts w:ascii="Avenir Next" w:hAnsi="Avenir Next" w:cs="Arial"/>
          <w:color w:val="808080" w:themeColor="background1" w:themeShade="80"/>
          <w:sz w:val="22"/>
          <w:szCs w:val="22"/>
          <w:lang w:val="en-GB"/>
        </w:rPr>
        <w:t xml:space="preserve">implemented </w:t>
      </w:r>
      <w:r w:rsidR="001B1142" w:rsidRPr="006D00B1">
        <w:rPr>
          <w:rFonts w:ascii="Avenir Next" w:hAnsi="Avenir Next" w:cs="Arial"/>
          <w:color w:val="808080" w:themeColor="background1" w:themeShade="80"/>
          <w:sz w:val="22"/>
          <w:szCs w:val="22"/>
          <w:lang w:val="en-GB"/>
        </w:rPr>
        <w:t xml:space="preserve">in 2017, </w:t>
      </w:r>
      <w:r w:rsidR="00DD71B9" w:rsidRPr="006D00B1">
        <w:rPr>
          <w:rFonts w:ascii="Avenir Next" w:hAnsi="Avenir Next" w:cs="Arial"/>
          <w:color w:val="808080" w:themeColor="background1" w:themeShade="80"/>
          <w:sz w:val="22"/>
          <w:szCs w:val="22"/>
          <w:lang w:val="en-GB"/>
        </w:rPr>
        <w:t xml:space="preserve">are a collection of guidelines between adopting Courts </w:t>
      </w:r>
      <w:r w:rsidR="00F27A16" w:rsidRPr="006D00B1">
        <w:rPr>
          <w:rFonts w:ascii="Avenir Next" w:hAnsi="Avenir Next" w:cs="Arial"/>
          <w:color w:val="808080" w:themeColor="background1" w:themeShade="80"/>
          <w:sz w:val="22"/>
          <w:szCs w:val="22"/>
          <w:lang w:val="en-GB"/>
        </w:rPr>
        <w:t xml:space="preserve">that provide best practice communication and cooperation </w:t>
      </w:r>
      <w:r w:rsidR="00E1403D" w:rsidRPr="006D00B1">
        <w:rPr>
          <w:rFonts w:ascii="Avenir Next" w:hAnsi="Avenir Next" w:cs="Arial"/>
          <w:color w:val="808080" w:themeColor="background1" w:themeShade="80"/>
          <w:sz w:val="22"/>
          <w:szCs w:val="22"/>
          <w:lang w:val="en-GB"/>
        </w:rPr>
        <w:t xml:space="preserve">leadership between Courts, insolvency practitioners and other parties involved in cross-border proceedings. </w:t>
      </w:r>
    </w:p>
    <w:p w14:paraId="273504DC" w14:textId="77777777" w:rsidR="00F30B50" w:rsidRPr="006D00B1" w:rsidRDefault="00F30B50" w:rsidP="00692852">
      <w:pPr>
        <w:jc w:val="both"/>
        <w:rPr>
          <w:rFonts w:ascii="Avenir Next" w:hAnsi="Avenir Next" w:cs="Arial"/>
          <w:color w:val="808080" w:themeColor="background1" w:themeShade="80"/>
          <w:sz w:val="22"/>
          <w:szCs w:val="22"/>
          <w:lang w:val="en-GB"/>
        </w:rPr>
      </w:pPr>
    </w:p>
    <w:p w14:paraId="5767D7E3" w14:textId="07496F07" w:rsidR="000A65E5" w:rsidRPr="006D00B1" w:rsidRDefault="007D799A" w:rsidP="00692852">
      <w:pPr>
        <w:jc w:val="both"/>
        <w:rPr>
          <w:rFonts w:ascii="Avenir Next" w:hAnsi="Avenir Next" w:cs="Arial"/>
          <w:color w:val="808080" w:themeColor="background1" w:themeShade="80"/>
          <w:sz w:val="22"/>
          <w:szCs w:val="22"/>
          <w:lang w:val="en-GB"/>
        </w:rPr>
      </w:pPr>
      <w:r w:rsidRPr="006D00B1">
        <w:rPr>
          <w:rFonts w:ascii="Avenir Next" w:hAnsi="Avenir Next" w:cs="Arial"/>
          <w:color w:val="808080" w:themeColor="background1" w:themeShade="80"/>
          <w:sz w:val="22"/>
          <w:szCs w:val="22"/>
          <w:lang w:val="en-GB"/>
        </w:rPr>
        <w:t xml:space="preserve">Relevant Courts within North America that have adopted the JIN Guidelines are: </w:t>
      </w:r>
      <w:r w:rsidR="009407AD" w:rsidRPr="006D00B1">
        <w:rPr>
          <w:rFonts w:ascii="Avenir Next" w:hAnsi="Avenir Next" w:cs="Arial"/>
          <w:color w:val="808080" w:themeColor="background1" w:themeShade="80"/>
          <w:sz w:val="22"/>
          <w:szCs w:val="22"/>
          <w:lang w:val="en-GB"/>
        </w:rPr>
        <w:t>United States Bankruptcy Court for the District of Delaware, the</w:t>
      </w:r>
      <w:r w:rsidR="000A65E5" w:rsidRPr="006D00B1">
        <w:rPr>
          <w:rFonts w:ascii="Avenir Next" w:hAnsi="Avenir Next" w:cs="Arial"/>
          <w:color w:val="808080" w:themeColor="background1" w:themeShade="80"/>
          <w:sz w:val="22"/>
          <w:szCs w:val="22"/>
          <w:lang w:val="en-GB"/>
        </w:rPr>
        <w:t xml:space="preserve"> </w:t>
      </w:r>
      <w:r w:rsidR="009407AD" w:rsidRPr="006D00B1">
        <w:rPr>
          <w:rFonts w:ascii="Avenir Next" w:hAnsi="Avenir Next" w:cs="Arial"/>
          <w:color w:val="808080" w:themeColor="background1" w:themeShade="80"/>
          <w:sz w:val="22"/>
          <w:szCs w:val="22"/>
          <w:lang w:val="en-GB"/>
        </w:rPr>
        <w:t xml:space="preserve">United States Bankruptcy Court for the Southern District of New York, </w:t>
      </w:r>
      <w:r w:rsidR="00DA0D19" w:rsidRPr="006D00B1">
        <w:rPr>
          <w:rFonts w:ascii="Avenir Next" w:hAnsi="Avenir Next" w:cs="Arial"/>
          <w:color w:val="808080" w:themeColor="background1" w:themeShade="80"/>
          <w:sz w:val="22"/>
          <w:szCs w:val="22"/>
          <w:lang w:val="en-GB"/>
        </w:rPr>
        <w:t xml:space="preserve">the United States Bankruptcy Court for the Southern District of Texas, the Commercial List of Users’ Committee of the Superior Court of Justice – Ontario (Commercial List), </w:t>
      </w:r>
      <w:r w:rsidR="006F2D25" w:rsidRPr="006D00B1">
        <w:rPr>
          <w:rFonts w:ascii="Avenir Next" w:hAnsi="Avenir Next" w:cs="Arial"/>
          <w:color w:val="808080" w:themeColor="background1" w:themeShade="80"/>
          <w:sz w:val="22"/>
          <w:szCs w:val="22"/>
          <w:lang w:val="en-GB"/>
        </w:rPr>
        <w:t>the Supreme Court of British Columbia and Brazil</w:t>
      </w:r>
      <w:r w:rsidR="00F30B50" w:rsidRPr="006D00B1">
        <w:rPr>
          <w:rFonts w:ascii="Avenir Next" w:hAnsi="Avenir Next" w:cs="Arial"/>
          <w:color w:val="808080" w:themeColor="background1" w:themeShade="80"/>
          <w:sz w:val="22"/>
          <w:szCs w:val="22"/>
          <w:lang w:val="en-GB"/>
        </w:rPr>
        <w:t>.</w:t>
      </w:r>
      <w:r w:rsidR="00F30B50" w:rsidRPr="006D00B1">
        <w:rPr>
          <w:color w:val="808080" w:themeColor="background1" w:themeShade="80"/>
          <w:vertAlign w:val="superscript"/>
        </w:rPr>
        <w:footnoteReference w:id="30"/>
      </w:r>
    </w:p>
    <w:p w14:paraId="459E874B" w14:textId="6DB91678" w:rsidR="00F30B50" w:rsidRPr="006D00B1" w:rsidRDefault="00F30B50" w:rsidP="00692852">
      <w:pPr>
        <w:jc w:val="both"/>
        <w:rPr>
          <w:rFonts w:ascii="Avenir Next" w:hAnsi="Avenir Next" w:cs="Arial"/>
          <w:color w:val="808080" w:themeColor="background1" w:themeShade="80"/>
          <w:sz w:val="22"/>
          <w:szCs w:val="22"/>
          <w:lang w:val="en-GB"/>
        </w:rPr>
      </w:pPr>
    </w:p>
    <w:p w14:paraId="709FEBB5" w14:textId="067A844D" w:rsidR="00F30B50" w:rsidRPr="006D00B1" w:rsidRDefault="00F30B50" w:rsidP="00692852">
      <w:pPr>
        <w:jc w:val="both"/>
        <w:rPr>
          <w:rFonts w:ascii="Avenir Next" w:hAnsi="Avenir Next" w:cs="Arial"/>
          <w:color w:val="808080" w:themeColor="background1" w:themeShade="80"/>
          <w:sz w:val="22"/>
          <w:szCs w:val="22"/>
          <w:lang w:val="en-GB"/>
        </w:rPr>
      </w:pPr>
      <w:r w:rsidRPr="006D00B1">
        <w:rPr>
          <w:rFonts w:ascii="Avenir Next" w:hAnsi="Avenir Next" w:cs="Arial"/>
          <w:color w:val="808080" w:themeColor="background1" w:themeShade="80"/>
          <w:sz w:val="22"/>
          <w:szCs w:val="22"/>
          <w:lang w:val="en-GB"/>
        </w:rPr>
        <w:t xml:space="preserve">I note that </w:t>
      </w:r>
      <w:r w:rsidR="006D00B1" w:rsidRPr="006D00B1">
        <w:rPr>
          <w:rFonts w:ascii="Avenir Next" w:hAnsi="Avenir Next" w:cs="Arial"/>
          <w:color w:val="808080" w:themeColor="background1" w:themeShade="80"/>
          <w:sz w:val="22"/>
          <w:szCs w:val="22"/>
          <w:lang w:val="en-GB"/>
        </w:rPr>
        <w:t>the major limitation with the JIN Guidelines is that only a handful of Courts within North America (and only 16 across the world) have adopted these guidelines.</w:t>
      </w:r>
    </w:p>
    <w:p w14:paraId="22EB343F" w14:textId="4B71BC9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66A21AAF" w14:textId="461C6C40" w:rsidR="00C412A0" w:rsidRDefault="00C412A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0A9E71" w14:textId="396862B3"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535889" w:rsidRDefault="00962045" w:rsidP="00692852">
      <w:pPr>
        <w:jc w:val="both"/>
        <w:rPr>
          <w:rFonts w:ascii="Avenir Next Demi Bold" w:hAnsi="Avenir Next Demi Bold" w:cs="Arial"/>
          <w:b/>
          <w:bCs/>
          <w:sz w:val="14"/>
          <w:szCs w:val="14"/>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w:t>
      </w:r>
      <w:r w:rsidR="00092378" w:rsidRPr="00535889">
        <w:rPr>
          <w:rFonts w:ascii="Avenir Next" w:hAnsi="Avenir Next" w:cs="Arial"/>
          <w:sz w:val="22"/>
          <w:szCs w:val="22"/>
          <w:lang w:val="en-GB"/>
        </w:rPr>
        <w:t>must provide a context or framework for the treatment of these rules in inso</w:t>
      </w:r>
      <w:r w:rsidR="00092378" w:rsidRPr="004216EA">
        <w:rPr>
          <w:rFonts w:ascii="Avenir Next" w:hAnsi="Avenir Next" w:cs="Arial"/>
          <w:sz w:val="22"/>
          <w:szCs w:val="22"/>
          <w:lang w:val="en-GB"/>
        </w:rPr>
        <w:t xml:space="preserve">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0B1CE240" w14:textId="509AD740" w:rsidR="00594792" w:rsidRDefault="007A6B97" w:rsidP="00D705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Westbrook, </w:t>
      </w:r>
      <w:r w:rsidR="00CB6812">
        <w:rPr>
          <w:rFonts w:ascii="Avenir Next" w:hAnsi="Avenir Next" w:cs="Arial"/>
          <w:color w:val="808080" w:themeColor="background1" w:themeShade="80"/>
          <w:sz w:val="22"/>
          <w:szCs w:val="22"/>
          <w:lang w:val="en-GB"/>
        </w:rPr>
        <w:t xml:space="preserve">voidable transactions are </w:t>
      </w:r>
      <w:r w:rsidR="00A3389F">
        <w:rPr>
          <w:rFonts w:ascii="Avenir Next" w:hAnsi="Avenir Next" w:cs="Arial"/>
          <w:color w:val="808080" w:themeColor="background1" w:themeShade="80"/>
          <w:sz w:val="22"/>
          <w:szCs w:val="22"/>
          <w:lang w:val="en-GB"/>
        </w:rPr>
        <w:t>designed to protect and vindicate “</w:t>
      </w:r>
      <w:r w:rsidR="00A3389F" w:rsidRPr="002C306F">
        <w:rPr>
          <w:rFonts w:ascii="Avenir Next" w:hAnsi="Avenir Next" w:cs="Arial"/>
          <w:i/>
          <w:iCs/>
          <w:color w:val="808080" w:themeColor="background1" w:themeShade="80"/>
          <w:sz w:val="22"/>
          <w:szCs w:val="22"/>
          <w:lang w:val="en-GB"/>
        </w:rPr>
        <w:t>the priorities set by each national distribution scheme</w:t>
      </w:r>
      <w:r w:rsidR="00A3389F">
        <w:rPr>
          <w:rFonts w:ascii="Avenir Next" w:hAnsi="Avenir Next" w:cs="Arial"/>
          <w:color w:val="808080" w:themeColor="background1" w:themeShade="80"/>
          <w:sz w:val="22"/>
          <w:szCs w:val="22"/>
          <w:lang w:val="en-GB"/>
        </w:rPr>
        <w:t xml:space="preserve">” </w:t>
      </w:r>
      <w:r w:rsidR="001E6052">
        <w:rPr>
          <w:rFonts w:ascii="Avenir Next" w:hAnsi="Avenir Next" w:cs="Arial"/>
          <w:color w:val="808080" w:themeColor="background1" w:themeShade="80"/>
          <w:sz w:val="22"/>
          <w:szCs w:val="22"/>
          <w:lang w:val="en-GB"/>
        </w:rPr>
        <w:t>from creditor self-help and</w:t>
      </w:r>
      <w:r w:rsidR="00D70592">
        <w:rPr>
          <w:rFonts w:ascii="Avenir Next" w:hAnsi="Avenir Next" w:cs="Arial"/>
          <w:color w:val="808080" w:themeColor="background1" w:themeShade="80"/>
          <w:sz w:val="22"/>
          <w:szCs w:val="22"/>
          <w:lang w:val="en-GB"/>
        </w:rPr>
        <w:t>/or fraud.</w:t>
      </w:r>
      <w:r w:rsidR="007F5F5C">
        <w:rPr>
          <w:rStyle w:val="FootnoteReference"/>
          <w:rFonts w:ascii="Avenir Next" w:hAnsi="Avenir Next" w:cs="Arial"/>
          <w:color w:val="808080" w:themeColor="background1" w:themeShade="80"/>
          <w:sz w:val="22"/>
          <w:szCs w:val="22"/>
          <w:lang w:val="en-GB"/>
        </w:rPr>
        <w:footnoteReference w:id="31"/>
      </w:r>
      <w:r w:rsidR="00D70592">
        <w:rPr>
          <w:rFonts w:ascii="Avenir Next" w:hAnsi="Avenir Next" w:cs="Arial"/>
          <w:color w:val="808080" w:themeColor="background1" w:themeShade="80"/>
          <w:sz w:val="22"/>
          <w:szCs w:val="22"/>
          <w:lang w:val="en-GB"/>
        </w:rPr>
        <w:t xml:space="preserve"> </w:t>
      </w:r>
      <w:r w:rsidR="00105BB3">
        <w:rPr>
          <w:rFonts w:ascii="Avenir Next" w:hAnsi="Avenir Next" w:cs="Arial"/>
          <w:color w:val="808080" w:themeColor="background1" w:themeShade="80"/>
          <w:sz w:val="22"/>
          <w:szCs w:val="22"/>
          <w:lang w:val="en-GB"/>
        </w:rPr>
        <w:t>This is supported by the Legislative Guide</w:t>
      </w:r>
      <w:r w:rsidR="00EA048E">
        <w:rPr>
          <w:rFonts w:ascii="Avenir Next" w:hAnsi="Avenir Next" w:cs="Arial"/>
          <w:color w:val="808080" w:themeColor="background1" w:themeShade="80"/>
          <w:sz w:val="22"/>
          <w:szCs w:val="22"/>
          <w:lang w:val="en-GB"/>
        </w:rPr>
        <w:t>,</w:t>
      </w:r>
      <w:r w:rsidR="00105BB3">
        <w:rPr>
          <w:rFonts w:ascii="Avenir Next" w:hAnsi="Avenir Next" w:cs="Arial"/>
          <w:color w:val="808080" w:themeColor="background1" w:themeShade="80"/>
          <w:sz w:val="22"/>
          <w:szCs w:val="22"/>
          <w:lang w:val="en-GB"/>
        </w:rPr>
        <w:t xml:space="preserve"> which </w:t>
      </w:r>
      <w:r w:rsidR="00B33280">
        <w:rPr>
          <w:rFonts w:ascii="Avenir Next" w:hAnsi="Avenir Next" w:cs="Arial"/>
          <w:color w:val="808080" w:themeColor="background1" w:themeShade="80"/>
          <w:sz w:val="22"/>
          <w:szCs w:val="22"/>
          <w:lang w:val="en-GB"/>
        </w:rPr>
        <w:t xml:space="preserve">recognises the following </w:t>
      </w:r>
      <w:r w:rsidR="00594792">
        <w:rPr>
          <w:rFonts w:ascii="Avenir Next" w:hAnsi="Avenir Next" w:cs="Arial"/>
          <w:color w:val="808080" w:themeColor="background1" w:themeShade="80"/>
          <w:sz w:val="22"/>
          <w:szCs w:val="22"/>
          <w:lang w:val="en-GB"/>
        </w:rPr>
        <w:t>relevant key objectives to an effective and efficient insolvency law: (</w:t>
      </w:r>
      <w:proofErr w:type="spellStart"/>
      <w:r w:rsidR="00594792">
        <w:rPr>
          <w:rFonts w:ascii="Avenir Next" w:hAnsi="Avenir Next" w:cs="Arial"/>
          <w:color w:val="808080" w:themeColor="background1" w:themeShade="80"/>
          <w:sz w:val="22"/>
          <w:szCs w:val="22"/>
          <w:lang w:val="en-GB"/>
        </w:rPr>
        <w:t>i</w:t>
      </w:r>
      <w:proofErr w:type="spellEnd"/>
      <w:r w:rsidR="00594792">
        <w:rPr>
          <w:rFonts w:ascii="Avenir Next" w:hAnsi="Avenir Next" w:cs="Arial"/>
          <w:color w:val="808080" w:themeColor="background1" w:themeShade="80"/>
          <w:sz w:val="22"/>
          <w:szCs w:val="22"/>
          <w:lang w:val="en-GB"/>
        </w:rPr>
        <w:t xml:space="preserve">) </w:t>
      </w:r>
      <w:r w:rsidR="009E400E">
        <w:rPr>
          <w:rFonts w:ascii="Avenir Next" w:hAnsi="Avenir Next" w:cs="Arial"/>
          <w:color w:val="808080" w:themeColor="background1" w:themeShade="80"/>
          <w:sz w:val="22"/>
          <w:szCs w:val="22"/>
          <w:lang w:val="en-GB"/>
        </w:rPr>
        <w:t>promot</w:t>
      </w:r>
      <w:r w:rsidR="006007BC">
        <w:rPr>
          <w:rFonts w:ascii="Avenir Next" w:hAnsi="Avenir Next" w:cs="Arial"/>
          <w:color w:val="808080" w:themeColor="background1" w:themeShade="80"/>
          <w:sz w:val="22"/>
          <w:szCs w:val="22"/>
          <w:lang w:val="en-GB"/>
        </w:rPr>
        <w:t>e</w:t>
      </w:r>
      <w:r w:rsidR="009E400E">
        <w:rPr>
          <w:rFonts w:ascii="Avenir Next" w:hAnsi="Avenir Next" w:cs="Arial"/>
          <w:color w:val="808080" w:themeColor="background1" w:themeShade="80"/>
          <w:sz w:val="22"/>
          <w:szCs w:val="22"/>
          <w:lang w:val="en-GB"/>
        </w:rPr>
        <w:t xml:space="preserve"> strong incentives to maximise asset values and </w:t>
      </w:r>
      <w:r w:rsidR="006007BC">
        <w:rPr>
          <w:rFonts w:ascii="Avenir Next" w:hAnsi="Avenir Next" w:cs="Arial"/>
          <w:color w:val="808080" w:themeColor="background1" w:themeShade="80"/>
          <w:sz w:val="22"/>
          <w:szCs w:val="22"/>
          <w:lang w:val="en-GB"/>
        </w:rPr>
        <w:t xml:space="preserve">reduce the threat/harm of voidable transactions; (ii) ensure equitable treatment of similarly ranked creditors; (iii) preserve the estate </w:t>
      </w:r>
      <w:r w:rsidR="00A91258">
        <w:rPr>
          <w:rFonts w:ascii="Avenir Next" w:hAnsi="Avenir Next" w:cs="Arial"/>
          <w:color w:val="808080" w:themeColor="background1" w:themeShade="80"/>
          <w:sz w:val="22"/>
          <w:szCs w:val="22"/>
          <w:lang w:val="en-GB"/>
        </w:rPr>
        <w:t>and mitigate creditor self-help (in the appropriate circumstances)</w:t>
      </w:r>
      <w:r w:rsidR="00057DFD">
        <w:rPr>
          <w:rFonts w:ascii="Avenir Next" w:hAnsi="Avenir Next" w:cs="Arial"/>
          <w:color w:val="808080" w:themeColor="background1" w:themeShade="80"/>
          <w:sz w:val="22"/>
          <w:szCs w:val="22"/>
          <w:lang w:val="en-GB"/>
        </w:rPr>
        <w:t>; and (iv) promote coordination and cooperation between insolvency representatives and courts in different States.</w:t>
      </w:r>
      <w:r w:rsidR="00057DFD">
        <w:rPr>
          <w:rStyle w:val="FootnoteReference"/>
          <w:rFonts w:ascii="Avenir Next" w:hAnsi="Avenir Next" w:cs="Arial"/>
          <w:color w:val="808080" w:themeColor="background1" w:themeShade="80"/>
          <w:sz w:val="22"/>
          <w:szCs w:val="22"/>
          <w:lang w:val="en-GB"/>
        </w:rPr>
        <w:footnoteReference w:id="32"/>
      </w:r>
      <w:r w:rsidR="00A91258">
        <w:rPr>
          <w:rFonts w:ascii="Avenir Next" w:hAnsi="Avenir Next" w:cs="Arial"/>
          <w:color w:val="808080" w:themeColor="background1" w:themeShade="80"/>
          <w:sz w:val="22"/>
          <w:szCs w:val="22"/>
          <w:lang w:val="en-GB"/>
        </w:rPr>
        <w:t xml:space="preserve"> </w:t>
      </w:r>
    </w:p>
    <w:p w14:paraId="6D999029" w14:textId="77777777" w:rsidR="00594792" w:rsidRDefault="00594792" w:rsidP="00D70592">
      <w:pPr>
        <w:jc w:val="both"/>
        <w:rPr>
          <w:rFonts w:ascii="Avenir Next" w:hAnsi="Avenir Next" w:cs="Arial"/>
          <w:color w:val="808080" w:themeColor="background1" w:themeShade="80"/>
          <w:sz w:val="22"/>
          <w:szCs w:val="22"/>
          <w:lang w:val="en-GB"/>
        </w:rPr>
      </w:pPr>
    </w:p>
    <w:p w14:paraId="41BA8D30" w14:textId="6E2070F0" w:rsidR="00A153F3" w:rsidRDefault="0004484C" w:rsidP="00D705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Australia, voidable transactions are important given the prevalence of illegal </w:t>
      </w:r>
      <w:proofErr w:type="spellStart"/>
      <w:r>
        <w:rPr>
          <w:rFonts w:ascii="Avenir Next" w:hAnsi="Avenir Next" w:cs="Arial"/>
          <w:color w:val="808080" w:themeColor="background1" w:themeShade="80"/>
          <w:sz w:val="22"/>
          <w:szCs w:val="22"/>
          <w:lang w:val="en-GB"/>
        </w:rPr>
        <w:t>phoenixing</w:t>
      </w:r>
      <w:proofErr w:type="spellEnd"/>
      <w:r>
        <w:rPr>
          <w:rFonts w:ascii="Avenir Next" w:hAnsi="Avenir Next" w:cs="Arial"/>
          <w:color w:val="808080" w:themeColor="background1" w:themeShade="80"/>
          <w:sz w:val="22"/>
          <w:szCs w:val="22"/>
          <w:lang w:val="en-GB"/>
        </w:rPr>
        <w:t xml:space="preserve"> activity, which is said to </w:t>
      </w:r>
      <w:r w:rsidR="00EC3BD1">
        <w:rPr>
          <w:rFonts w:ascii="Avenir Next" w:hAnsi="Avenir Next" w:cs="Arial"/>
          <w:color w:val="808080" w:themeColor="background1" w:themeShade="80"/>
          <w:sz w:val="22"/>
          <w:szCs w:val="22"/>
          <w:lang w:val="en-GB"/>
        </w:rPr>
        <w:t>be costing our economy many billions of dollars each year.</w:t>
      </w:r>
      <w:r w:rsidR="00903373">
        <w:rPr>
          <w:rStyle w:val="FootnoteReference"/>
          <w:rFonts w:ascii="Avenir Next" w:hAnsi="Avenir Next" w:cs="Arial"/>
          <w:color w:val="808080" w:themeColor="background1" w:themeShade="80"/>
          <w:sz w:val="22"/>
          <w:szCs w:val="22"/>
          <w:lang w:val="en-GB"/>
        </w:rPr>
        <w:footnoteReference w:id="33"/>
      </w:r>
      <w:r w:rsidR="00EC3BD1">
        <w:rPr>
          <w:rFonts w:ascii="Avenir Next" w:hAnsi="Avenir Next" w:cs="Arial"/>
          <w:color w:val="808080" w:themeColor="background1" w:themeShade="80"/>
          <w:sz w:val="22"/>
          <w:szCs w:val="22"/>
          <w:lang w:val="en-GB"/>
        </w:rPr>
        <w:t xml:space="preserve"> </w:t>
      </w:r>
      <w:r w:rsidR="0085098D">
        <w:rPr>
          <w:rFonts w:ascii="Avenir Next" w:hAnsi="Avenir Next" w:cs="Arial"/>
          <w:color w:val="808080" w:themeColor="background1" w:themeShade="80"/>
          <w:sz w:val="22"/>
          <w:szCs w:val="22"/>
          <w:lang w:val="en-GB"/>
        </w:rPr>
        <w:t xml:space="preserve">Part 5.7B of the </w:t>
      </w:r>
      <w:r w:rsidR="0085098D" w:rsidRPr="00693A8C">
        <w:rPr>
          <w:rFonts w:ascii="Avenir Next" w:hAnsi="Avenir Next" w:cs="Arial"/>
          <w:i/>
          <w:iCs/>
          <w:color w:val="808080" w:themeColor="background1" w:themeShade="80"/>
          <w:sz w:val="22"/>
          <w:szCs w:val="22"/>
          <w:lang w:val="en-GB"/>
        </w:rPr>
        <w:t>Corporations Act 2001</w:t>
      </w:r>
      <w:r w:rsidR="0085098D">
        <w:rPr>
          <w:rFonts w:ascii="Avenir Next" w:hAnsi="Avenir Next" w:cs="Arial"/>
          <w:color w:val="808080" w:themeColor="background1" w:themeShade="80"/>
          <w:sz w:val="22"/>
          <w:szCs w:val="22"/>
          <w:lang w:val="en-GB"/>
        </w:rPr>
        <w:t xml:space="preserve"> (</w:t>
      </w:r>
      <w:proofErr w:type="spellStart"/>
      <w:r w:rsidR="0085098D">
        <w:rPr>
          <w:rFonts w:ascii="Avenir Next" w:hAnsi="Avenir Next" w:cs="Arial"/>
          <w:color w:val="808080" w:themeColor="background1" w:themeShade="80"/>
          <w:sz w:val="22"/>
          <w:szCs w:val="22"/>
          <w:lang w:val="en-GB"/>
        </w:rPr>
        <w:t>Cth</w:t>
      </w:r>
      <w:proofErr w:type="spellEnd"/>
      <w:r w:rsidR="0085098D">
        <w:rPr>
          <w:rFonts w:ascii="Avenir Next" w:hAnsi="Avenir Next" w:cs="Arial"/>
          <w:color w:val="808080" w:themeColor="background1" w:themeShade="80"/>
          <w:sz w:val="22"/>
          <w:szCs w:val="22"/>
          <w:lang w:val="en-GB"/>
        </w:rPr>
        <w:t xml:space="preserve">) contains the </w:t>
      </w:r>
      <w:r w:rsidR="00A64131">
        <w:rPr>
          <w:rFonts w:ascii="Avenir Next" w:hAnsi="Avenir Next" w:cs="Arial"/>
          <w:color w:val="808080" w:themeColor="background1" w:themeShade="80"/>
          <w:sz w:val="22"/>
          <w:szCs w:val="22"/>
          <w:lang w:val="en-GB"/>
        </w:rPr>
        <w:t xml:space="preserve">majority of Australian corporate </w:t>
      </w:r>
      <w:bookmarkStart w:id="2" w:name="_Hlk119468829"/>
      <w:r w:rsidR="00A64131">
        <w:rPr>
          <w:rFonts w:ascii="Avenir Next" w:hAnsi="Avenir Next" w:cs="Arial"/>
          <w:color w:val="808080" w:themeColor="background1" w:themeShade="80"/>
          <w:sz w:val="22"/>
          <w:szCs w:val="22"/>
          <w:lang w:val="en-GB"/>
        </w:rPr>
        <w:t>voidable transaction laws</w:t>
      </w:r>
      <w:bookmarkEnd w:id="2"/>
      <w:r w:rsidR="00A64131">
        <w:rPr>
          <w:rFonts w:ascii="Avenir Next" w:hAnsi="Avenir Next" w:cs="Arial"/>
          <w:color w:val="808080" w:themeColor="background1" w:themeShade="80"/>
          <w:sz w:val="22"/>
          <w:szCs w:val="22"/>
          <w:lang w:val="en-GB"/>
        </w:rPr>
        <w:t xml:space="preserve">, and </w:t>
      </w:r>
      <w:r w:rsidR="00332CE1">
        <w:rPr>
          <w:rFonts w:ascii="Avenir Next" w:hAnsi="Avenir Next" w:cs="Arial"/>
          <w:color w:val="808080" w:themeColor="background1" w:themeShade="80"/>
          <w:sz w:val="22"/>
          <w:szCs w:val="22"/>
          <w:lang w:val="en-GB"/>
        </w:rPr>
        <w:t>Sub</w:t>
      </w:r>
      <w:r w:rsidR="00693A8C">
        <w:rPr>
          <w:rFonts w:ascii="Avenir Next" w:hAnsi="Avenir Next" w:cs="Arial"/>
          <w:color w:val="808080" w:themeColor="background1" w:themeShade="80"/>
          <w:sz w:val="22"/>
          <w:szCs w:val="22"/>
          <w:lang w:val="en-GB"/>
        </w:rPr>
        <w:t xml:space="preserve">division A of </w:t>
      </w:r>
      <w:r w:rsidR="00332CE1">
        <w:rPr>
          <w:rFonts w:ascii="Avenir Next" w:hAnsi="Avenir Next" w:cs="Arial"/>
          <w:color w:val="808080" w:themeColor="background1" w:themeShade="80"/>
          <w:sz w:val="22"/>
          <w:szCs w:val="22"/>
          <w:lang w:val="en-GB"/>
        </w:rPr>
        <w:t>Division 3</w:t>
      </w:r>
      <w:r w:rsidR="00693A8C">
        <w:rPr>
          <w:rFonts w:ascii="Avenir Next" w:hAnsi="Avenir Next" w:cs="Arial"/>
          <w:color w:val="808080" w:themeColor="background1" w:themeShade="80"/>
          <w:sz w:val="22"/>
          <w:szCs w:val="22"/>
          <w:lang w:val="en-GB"/>
        </w:rPr>
        <w:t xml:space="preserve"> of the </w:t>
      </w:r>
      <w:r w:rsidR="00693A8C" w:rsidRPr="00693A8C">
        <w:rPr>
          <w:rFonts w:ascii="Avenir Next" w:hAnsi="Avenir Next" w:cs="Arial"/>
          <w:i/>
          <w:iCs/>
          <w:color w:val="808080" w:themeColor="background1" w:themeShade="80"/>
          <w:sz w:val="22"/>
          <w:szCs w:val="22"/>
          <w:lang w:val="en-GB"/>
        </w:rPr>
        <w:t>Bankruptcy Act 1966</w:t>
      </w:r>
      <w:r w:rsidR="00693A8C">
        <w:rPr>
          <w:rFonts w:ascii="Avenir Next" w:hAnsi="Avenir Next" w:cs="Arial"/>
          <w:color w:val="808080" w:themeColor="background1" w:themeShade="80"/>
          <w:sz w:val="22"/>
          <w:szCs w:val="22"/>
          <w:lang w:val="en-GB"/>
        </w:rPr>
        <w:t xml:space="preserve"> (</w:t>
      </w:r>
      <w:proofErr w:type="spellStart"/>
      <w:r w:rsidR="00693A8C">
        <w:rPr>
          <w:rFonts w:ascii="Avenir Next" w:hAnsi="Avenir Next" w:cs="Arial"/>
          <w:color w:val="808080" w:themeColor="background1" w:themeShade="80"/>
          <w:sz w:val="22"/>
          <w:szCs w:val="22"/>
          <w:lang w:val="en-GB"/>
        </w:rPr>
        <w:t>Cth</w:t>
      </w:r>
      <w:proofErr w:type="spellEnd"/>
      <w:r w:rsidR="00693A8C">
        <w:rPr>
          <w:rFonts w:ascii="Avenir Next" w:hAnsi="Avenir Next" w:cs="Arial"/>
          <w:color w:val="808080" w:themeColor="background1" w:themeShade="80"/>
          <w:sz w:val="22"/>
          <w:szCs w:val="22"/>
          <w:lang w:val="en-GB"/>
        </w:rPr>
        <w:t xml:space="preserve">) contains the majority of personal </w:t>
      </w:r>
      <w:r w:rsidR="00693A8C">
        <w:rPr>
          <w:rFonts w:ascii="Avenir Next" w:hAnsi="Avenir Next" w:cs="Arial"/>
          <w:color w:val="808080" w:themeColor="background1" w:themeShade="80"/>
          <w:sz w:val="22"/>
          <w:szCs w:val="22"/>
          <w:lang w:val="en-GB"/>
        </w:rPr>
        <w:t>voidable transaction laws</w:t>
      </w:r>
      <w:r w:rsidR="00693A8C">
        <w:rPr>
          <w:rFonts w:ascii="Avenir Next" w:hAnsi="Avenir Next" w:cs="Arial"/>
          <w:color w:val="808080" w:themeColor="background1" w:themeShade="80"/>
          <w:sz w:val="22"/>
          <w:szCs w:val="22"/>
          <w:lang w:val="en-GB"/>
        </w:rPr>
        <w:t>.</w:t>
      </w:r>
      <w:r w:rsidR="00693A8C">
        <w:rPr>
          <w:rStyle w:val="FootnoteReference"/>
          <w:rFonts w:ascii="Avenir Next" w:hAnsi="Avenir Next" w:cs="Arial"/>
          <w:color w:val="808080" w:themeColor="background1" w:themeShade="80"/>
          <w:sz w:val="22"/>
          <w:szCs w:val="22"/>
          <w:lang w:val="en-GB"/>
        </w:rPr>
        <w:footnoteReference w:id="34"/>
      </w:r>
    </w:p>
    <w:p w14:paraId="7406244A" w14:textId="77777777" w:rsidR="00A153F3" w:rsidRDefault="00A153F3" w:rsidP="00D70592">
      <w:pPr>
        <w:jc w:val="both"/>
        <w:rPr>
          <w:rFonts w:ascii="Avenir Next" w:hAnsi="Avenir Next" w:cs="Arial"/>
          <w:color w:val="808080" w:themeColor="background1" w:themeShade="80"/>
          <w:sz w:val="22"/>
          <w:szCs w:val="22"/>
          <w:lang w:val="en-GB"/>
        </w:rPr>
      </w:pPr>
    </w:p>
    <w:p w14:paraId="7953D8AD" w14:textId="77777777" w:rsidR="000C0CC3" w:rsidRDefault="00D70592" w:rsidP="00D705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genesis of voidable transactions in civil law systems is believed to be the </w:t>
      </w:r>
      <w:proofErr w:type="spellStart"/>
      <w:r>
        <w:rPr>
          <w:rFonts w:ascii="Avenir Next" w:hAnsi="Avenir Next" w:cs="Arial"/>
          <w:i/>
          <w:iCs/>
          <w:color w:val="808080" w:themeColor="background1" w:themeShade="80"/>
          <w:sz w:val="22"/>
          <w:szCs w:val="22"/>
          <w:lang w:val="en-GB"/>
        </w:rPr>
        <w:t>actio</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Pauliana</w:t>
      </w:r>
      <w:proofErr w:type="spellEnd"/>
      <w:r w:rsidR="0098669F" w:rsidRPr="00EB26C5">
        <w:rPr>
          <w:rStyle w:val="FootnoteReference"/>
          <w:rFonts w:ascii="Avenir Next" w:hAnsi="Avenir Next" w:cs="Arial"/>
          <w:color w:val="808080" w:themeColor="background1" w:themeShade="80"/>
          <w:sz w:val="22"/>
          <w:szCs w:val="22"/>
          <w:lang w:val="en-GB"/>
        </w:rPr>
        <w:footnoteReference w:id="35"/>
      </w:r>
      <w:r w:rsidR="00EB26C5" w:rsidRPr="00EB26C5">
        <w:rPr>
          <w:rFonts w:ascii="Avenir Next" w:hAnsi="Avenir Next" w:cs="Arial"/>
          <w:color w:val="808080" w:themeColor="background1" w:themeShade="80"/>
          <w:sz w:val="22"/>
          <w:szCs w:val="22"/>
          <w:lang w:val="en-GB"/>
        </w:rPr>
        <w:t xml:space="preserve"> and in common l</w:t>
      </w:r>
      <w:r w:rsidR="00EB26C5">
        <w:rPr>
          <w:rFonts w:ascii="Avenir Next" w:hAnsi="Avenir Next" w:cs="Arial"/>
          <w:color w:val="808080" w:themeColor="background1" w:themeShade="80"/>
          <w:sz w:val="22"/>
          <w:szCs w:val="22"/>
          <w:lang w:val="en-GB"/>
        </w:rPr>
        <w:t xml:space="preserve">aw systems it is believed to be the </w:t>
      </w:r>
      <w:r w:rsidR="00EB26C5" w:rsidRPr="008F0096">
        <w:rPr>
          <w:rFonts w:ascii="Avenir Next" w:hAnsi="Avenir Next" w:cs="Arial"/>
          <w:i/>
          <w:iCs/>
          <w:color w:val="808080" w:themeColor="background1" w:themeShade="80"/>
          <w:sz w:val="22"/>
          <w:szCs w:val="22"/>
          <w:lang w:val="en-GB"/>
        </w:rPr>
        <w:t>Act of Elizabeth of 1570</w:t>
      </w:r>
      <w:r w:rsidR="00EB26C5">
        <w:rPr>
          <w:rFonts w:ascii="Avenir Next" w:hAnsi="Avenir Next" w:cs="Arial"/>
          <w:color w:val="808080" w:themeColor="background1" w:themeShade="80"/>
          <w:sz w:val="22"/>
          <w:szCs w:val="22"/>
          <w:lang w:val="en-GB"/>
        </w:rPr>
        <w:t>.</w:t>
      </w:r>
      <w:r w:rsidR="008F0096">
        <w:rPr>
          <w:rStyle w:val="FootnoteReference"/>
          <w:rFonts w:ascii="Avenir Next" w:hAnsi="Avenir Next" w:cs="Arial"/>
          <w:color w:val="808080" w:themeColor="background1" w:themeShade="80"/>
          <w:sz w:val="22"/>
          <w:szCs w:val="22"/>
          <w:lang w:val="en-GB"/>
        </w:rPr>
        <w:footnoteReference w:id="36"/>
      </w:r>
      <w:r w:rsidR="00EB26C5">
        <w:rPr>
          <w:rFonts w:ascii="Avenir Next" w:hAnsi="Avenir Next" w:cs="Arial"/>
          <w:color w:val="808080" w:themeColor="background1" w:themeShade="80"/>
          <w:sz w:val="22"/>
          <w:szCs w:val="22"/>
          <w:lang w:val="en-GB"/>
        </w:rPr>
        <w:t xml:space="preserve"> </w:t>
      </w:r>
      <w:r w:rsidR="00624A5D">
        <w:rPr>
          <w:rFonts w:ascii="Avenir Next" w:hAnsi="Avenir Next" w:cs="Arial"/>
          <w:color w:val="808080" w:themeColor="background1" w:themeShade="80"/>
          <w:sz w:val="22"/>
          <w:szCs w:val="22"/>
          <w:lang w:val="en-GB"/>
        </w:rPr>
        <w:t xml:space="preserve">Notwithstanding the genesis of these laws, </w:t>
      </w:r>
      <w:r w:rsidR="00C01742">
        <w:rPr>
          <w:rFonts w:ascii="Avenir Next" w:hAnsi="Avenir Next" w:cs="Arial"/>
          <w:color w:val="808080" w:themeColor="background1" w:themeShade="80"/>
          <w:sz w:val="22"/>
          <w:szCs w:val="22"/>
          <w:lang w:val="en-GB"/>
        </w:rPr>
        <w:t xml:space="preserve">Westbrook acknowledges that the threshold requirements of proving </w:t>
      </w:r>
      <w:r w:rsidR="002C306F">
        <w:rPr>
          <w:rFonts w:ascii="Avenir Next" w:hAnsi="Avenir Next" w:cs="Arial"/>
          <w:color w:val="808080" w:themeColor="background1" w:themeShade="80"/>
          <w:sz w:val="22"/>
          <w:szCs w:val="22"/>
          <w:lang w:val="en-GB"/>
        </w:rPr>
        <w:t xml:space="preserve">or defending </w:t>
      </w:r>
      <w:r w:rsidR="00C01742">
        <w:rPr>
          <w:rFonts w:ascii="Avenir Next" w:hAnsi="Avenir Next" w:cs="Arial"/>
          <w:color w:val="808080" w:themeColor="background1" w:themeShade="80"/>
          <w:sz w:val="22"/>
          <w:szCs w:val="22"/>
          <w:lang w:val="en-GB"/>
        </w:rPr>
        <w:t xml:space="preserve">these claims </w:t>
      </w:r>
      <w:r w:rsidR="002C306F">
        <w:rPr>
          <w:rFonts w:ascii="Avenir Next" w:hAnsi="Avenir Next" w:cs="Arial"/>
          <w:color w:val="808080" w:themeColor="background1" w:themeShade="80"/>
          <w:sz w:val="22"/>
          <w:szCs w:val="22"/>
          <w:lang w:val="en-GB"/>
        </w:rPr>
        <w:t xml:space="preserve">vary greatly between States, but that </w:t>
      </w:r>
      <w:r w:rsidR="00402C30">
        <w:rPr>
          <w:rFonts w:ascii="Avenir Next" w:hAnsi="Avenir Next" w:cs="Arial"/>
          <w:color w:val="808080" w:themeColor="background1" w:themeShade="80"/>
          <w:sz w:val="22"/>
          <w:szCs w:val="22"/>
          <w:lang w:val="en-GB"/>
        </w:rPr>
        <w:t xml:space="preserve">most share a common </w:t>
      </w:r>
      <w:r w:rsidR="00CA3360">
        <w:rPr>
          <w:rFonts w:ascii="Avenir Next" w:hAnsi="Avenir Next" w:cs="Arial"/>
          <w:color w:val="808080" w:themeColor="background1" w:themeShade="80"/>
          <w:sz w:val="22"/>
          <w:szCs w:val="22"/>
          <w:lang w:val="en-GB"/>
        </w:rPr>
        <w:t xml:space="preserve">underlying </w:t>
      </w:r>
      <w:r w:rsidR="00402C30">
        <w:rPr>
          <w:rFonts w:ascii="Avenir Next" w:hAnsi="Avenir Next" w:cs="Arial"/>
          <w:color w:val="808080" w:themeColor="background1" w:themeShade="80"/>
          <w:sz w:val="22"/>
          <w:szCs w:val="22"/>
          <w:lang w:val="en-GB"/>
        </w:rPr>
        <w:t>link</w:t>
      </w:r>
      <w:r w:rsidR="00BF2492">
        <w:rPr>
          <w:rFonts w:ascii="Avenir Next" w:hAnsi="Avenir Next" w:cs="Arial"/>
          <w:color w:val="808080" w:themeColor="background1" w:themeShade="80"/>
          <w:sz w:val="22"/>
          <w:szCs w:val="22"/>
          <w:lang w:val="en-GB"/>
        </w:rPr>
        <w:t xml:space="preserve"> or flavour</w:t>
      </w:r>
      <w:r w:rsidR="00402C30">
        <w:rPr>
          <w:rFonts w:ascii="Avenir Next" w:hAnsi="Avenir Next" w:cs="Arial"/>
          <w:color w:val="808080" w:themeColor="background1" w:themeShade="80"/>
          <w:sz w:val="22"/>
          <w:szCs w:val="22"/>
          <w:lang w:val="en-GB"/>
        </w:rPr>
        <w:t xml:space="preserve"> of avoiding transactions that are fraudulent, preferential</w:t>
      </w:r>
      <w:r w:rsidR="00CA3360">
        <w:rPr>
          <w:rFonts w:ascii="Avenir Next" w:hAnsi="Avenir Next" w:cs="Arial"/>
          <w:color w:val="808080" w:themeColor="background1" w:themeShade="80"/>
          <w:sz w:val="22"/>
          <w:szCs w:val="22"/>
          <w:lang w:val="en-GB"/>
        </w:rPr>
        <w:t xml:space="preserve"> or</w:t>
      </w:r>
      <w:r w:rsidR="00402C30">
        <w:rPr>
          <w:rFonts w:ascii="Avenir Next" w:hAnsi="Avenir Next" w:cs="Arial"/>
          <w:color w:val="808080" w:themeColor="background1" w:themeShade="80"/>
          <w:sz w:val="22"/>
          <w:szCs w:val="22"/>
          <w:lang w:val="en-GB"/>
        </w:rPr>
        <w:t xml:space="preserve"> </w:t>
      </w:r>
      <w:r w:rsidR="00CA3360">
        <w:rPr>
          <w:rFonts w:ascii="Avenir Next" w:hAnsi="Avenir Next" w:cs="Arial"/>
          <w:color w:val="808080" w:themeColor="background1" w:themeShade="80"/>
          <w:sz w:val="22"/>
          <w:szCs w:val="22"/>
          <w:lang w:val="en-GB"/>
        </w:rPr>
        <w:t>undervalued.</w:t>
      </w:r>
      <w:r w:rsidR="00BF2492">
        <w:rPr>
          <w:rStyle w:val="FootnoteReference"/>
          <w:rFonts w:ascii="Avenir Next" w:hAnsi="Avenir Next" w:cs="Arial"/>
          <w:color w:val="808080" w:themeColor="background1" w:themeShade="80"/>
          <w:sz w:val="22"/>
          <w:szCs w:val="22"/>
          <w:lang w:val="en-GB"/>
        </w:rPr>
        <w:footnoteReference w:id="37"/>
      </w:r>
      <w:r w:rsidR="00FB642E">
        <w:rPr>
          <w:rFonts w:ascii="Avenir Next" w:hAnsi="Avenir Next" w:cs="Arial"/>
          <w:color w:val="808080" w:themeColor="background1" w:themeShade="80"/>
          <w:sz w:val="22"/>
          <w:szCs w:val="22"/>
          <w:lang w:val="en-GB"/>
        </w:rPr>
        <w:t xml:space="preserve"> </w:t>
      </w:r>
    </w:p>
    <w:p w14:paraId="0DB3B7D2" w14:textId="77777777" w:rsidR="000C0CC3" w:rsidRDefault="000C0CC3" w:rsidP="00D70592">
      <w:pPr>
        <w:jc w:val="both"/>
        <w:rPr>
          <w:rFonts w:ascii="Avenir Next" w:hAnsi="Avenir Next" w:cs="Arial"/>
          <w:color w:val="808080" w:themeColor="background1" w:themeShade="80"/>
          <w:sz w:val="22"/>
          <w:szCs w:val="22"/>
          <w:lang w:val="en-GB"/>
        </w:rPr>
      </w:pPr>
    </w:p>
    <w:p w14:paraId="43768720" w14:textId="7B6E24FF" w:rsidR="00AB63DE" w:rsidRPr="00E91550" w:rsidRDefault="00185A50" w:rsidP="00D705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broad variations in the way States deal with voidable transactions, </w:t>
      </w:r>
      <w:r w:rsidR="00C947E4">
        <w:rPr>
          <w:rFonts w:ascii="Avenir Next" w:hAnsi="Avenir Next" w:cs="Arial"/>
          <w:color w:val="808080" w:themeColor="background1" w:themeShade="80"/>
          <w:sz w:val="22"/>
          <w:szCs w:val="22"/>
          <w:lang w:val="en-GB"/>
        </w:rPr>
        <w:t xml:space="preserve">conflict of laws </w:t>
      </w:r>
      <w:r w:rsidR="002F11E4">
        <w:rPr>
          <w:rFonts w:ascii="Avenir Next" w:hAnsi="Avenir Next" w:cs="Arial"/>
          <w:color w:val="808080" w:themeColor="background1" w:themeShade="80"/>
          <w:sz w:val="22"/>
          <w:szCs w:val="22"/>
          <w:lang w:val="en-GB"/>
        </w:rPr>
        <w:t>issues can arise</w:t>
      </w:r>
      <w:r w:rsidR="00501DE5">
        <w:rPr>
          <w:rFonts w:ascii="Avenir Next" w:hAnsi="Avenir Next" w:cs="Arial"/>
          <w:color w:val="808080" w:themeColor="background1" w:themeShade="80"/>
          <w:sz w:val="22"/>
          <w:szCs w:val="22"/>
          <w:lang w:val="en-GB"/>
        </w:rPr>
        <w:t>, for instance,</w:t>
      </w:r>
      <w:r w:rsidR="002F11E4">
        <w:rPr>
          <w:rFonts w:ascii="Avenir Next" w:hAnsi="Avenir Next" w:cs="Arial"/>
          <w:color w:val="808080" w:themeColor="background1" w:themeShade="80"/>
          <w:sz w:val="22"/>
          <w:szCs w:val="22"/>
          <w:lang w:val="en-GB"/>
        </w:rPr>
        <w:t xml:space="preserve"> where</w:t>
      </w:r>
      <w:r w:rsidR="007773A2">
        <w:rPr>
          <w:rFonts w:ascii="Avenir Next" w:hAnsi="Avenir Next" w:cs="Arial"/>
          <w:color w:val="808080" w:themeColor="background1" w:themeShade="80"/>
          <w:sz w:val="22"/>
          <w:szCs w:val="22"/>
          <w:lang w:val="en-GB"/>
        </w:rPr>
        <w:t xml:space="preserve"> </w:t>
      </w:r>
      <w:r w:rsidR="00501DE5">
        <w:rPr>
          <w:rFonts w:ascii="Avenir Next" w:hAnsi="Avenir Next" w:cs="Arial"/>
          <w:color w:val="808080" w:themeColor="background1" w:themeShade="80"/>
          <w:sz w:val="22"/>
          <w:szCs w:val="22"/>
          <w:lang w:val="en-GB"/>
        </w:rPr>
        <w:t xml:space="preserve">concurrent insolvency proceedings exist in different States </w:t>
      </w:r>
      <w:r w:rsidR="000C0CC3">
        <w:rPr>
          <w:rFonts w:ascii="Avenir Next" w:hAnsi="Avenir Next" w:cs="Arial"/>
          <w:color w:val="808080" w:themeColor="background1" w:themeShade="80"/>
          <w:sz w:val="22"/>
          <w:szCs w:val="22"/>
          <w:lang w:val="en-GB"/>
        </w:rPr>
        <w:t xml:space="preserve">or where an insolvency representative is </w:t>
      </w:r>
      <w:r w:rsidR="00D77BDC">
        <w:rPr>
          <w:rFonts w:ascii="Avenir Next" w:hAnsi="Avenir Next" w:cs="Arial"/>
          <w:color w:val="808080" w:themeColor="background1" w:themeShade="80"/>
          <w:sz w:val="22"/>
          <w:szCs w:val="22"/>
          <w:lang w:val="en-GB"/>
        </w:rPr>
        <w:t xml:space="preserve">attempting to pursue </w:t>
      </w:r>
      <w:r w:rsidR="00D77BDC">
        <w:rPr>
          <w:rFonts w:ascii="Avenir Next" w:hAnsi="Avenir Next" w:cs="Arial"/>
          <w:color w:val="808080" w:themeColor="background1" w:themeShade="80"/>
          <w:sz w:val="22"/>
          <w:szCs w:val="22"/>
          <w:lang w:val="en-GB"/>
        </w:rPr>
        <w:t>voidable transactions</w:t>
      </w:r>
      <w:r w:rsidR="00D77BDC">
        <w:rPr>
          <w:rFonts w:ascii="Avenir Next" w:hAnsi="Avenir Next" w:cs="Arial"/>
          <w:color w:val="808080" w:themeColor="background1" w:themeShade="80"/>
          <w:sz w:val="22"/>
          <w:szCs w:val="22"/>
          <w:lang w:val="en-GB"/>
        </w:rPr>
        <w:t xml:space="preserve"> against</w:t>
      </w:r>
      <w:r w:rsidR="00D77BDC">
        <w:rPr>
          <w:rFonts w:ascii="Avenir Next" w:hAnsi="Avenir Next" w:cs="Arial"/>
          <w:color w:val="808080" w:themeColor="background1" w:themeShade="80"/>
          <w:sz w:val="22"/>
          <w:szCs w:val="22"/>
          <w:lang w:val="en-GB"/>
        </w:rPr>
        <w:t xml:space="preserve"> </w:t>
      </w:r>
      <w:r w:rsidR="00D77BDC">
        <w:rPr>
          <w:rFonts w:ascii="Avenir Next" w:hAnsi="Avenir Next" w:cs="Arial"/>
          <w:color w:val="808080" w:themeColor="background1" w:themeShade="80"/>
          <w:sz w:val="22"/>
          <w:szCs w:val="22"/>
          <w:lang w:val="en-GB"/>
        </w:rPr>
        <w:t xml:space="preserve">a creditor in a different State </w:t>
      </w:r>
      <w:r w:rsidR="001A365E">
        <w:rPr>
          <w:rFonts w:ascii="Avenir Next" w:hAnsi="Avenir Next" w:cs="Arial"/>
          <w:color w:val="808080" w:themeColor="background1" w:themeShade="80"/>
          <w:sz w:val="22"/>
          <w:szCs w:val="22"/>
          <w:lang w:val="en-GB"/>
        </w:rPr>
        <w:t>(where each State has different laws and a different legal genesis)</w:t>
      </w:r>
      <w:r w:rsidR="001A365E">
        <w:rPr>
          <w:rFonts w:ascii="Avenir Next" w:hAnsi="Avenir Next" w:cs="Arial"/>
          <w:color w:val="808080" w:themeColor="background1" w:themeShade="80"/>
          <w:sz w:val="22"/>
          <w:szCs w:val="22"/>
          <w:lang w:val="en-GB"/>
        </w:rPr>
        <w:t xml:space="preserve">. </w:t>
      </w:r>
      <w:r w:rsidR="00C07852">
        <w:rPr>
          <w:rFonts w:ascii="Avenir Next" w:hAnsi="Avenir Next" w:cs="Arial"/>
          <w:color w:val="808080" w:themeColor="background1" w:themeShade="80"/>
          <w:sz w:val="22"/>
          <w:szCs w:val="22"/>
          <w:lang w:val="en-GB"/>
        </w:rPr>
        <w:t xml:space="preserve">An example of this problem was seen in the </w:t>
      </w:r>
      <w:r w:rsidR="00050414">
        <w:rPr>
          <w:rFonts w:ascii="Avenir Next" w:hAnsi="Avenir Next" w:cs="Arial"/>
          <w:color w:val="808080" w:themeColor="background1" w:themeShade="80"/>
          <w:sz w:val="22"/>
          <w:szCs w:val="22"/>
          <w:lang w:val="en-GB"/>
        </w:rPr>
        <w:t>Rubin</w:t>
      </w:r>
      <w:r w:rsidR="00372777">
        <w:rPr>
          <w:rStyle w:val="FootnoteReference"/>
          <w:rFonts w:ascii="Avenir Next" w:hAnsi="Avenir Next" w:cs="Arial"/>
          <w:color w:val="808080" w:themeColor="background1" w:themeShade="80"/>
          <w:sz w:val="22"/>
          <w:szCs w:val="22"/>
          <w:lang w:val="en-GB"/>
        </w:rPr>
        <w:footnoteReference w:id="38"/>
      </w:r>
      <w:r w:rsidR="00050414">
        <w:rPr>
          <w:rFonts w:ascii="Avenir Next" w:hAnsi="Avenir Next" w:cs="Arial"/>
          <w:color w:val="808080" w:themeColor="background1" w:themeShade="80"/>
          <w:sz w:val="22"/>
          <w:szCs w:val="22"/>
          <w:lang w:val="en-GB"/>
        </w:rPr>
        <w:t xml:space="preserve"> decision where the United Kingdom Supreme Court refused to re</w:t>
      </w:r>
      <w:r w:rsidR="00CD135F">
        <w:rPr>
          <w:rFonts w:ascii="Avenir Next" w:hAnsi="Avenir Next" w:cs="Arial"/>
          <w:color w:val="808080" w:themeColor="background1" w:themeShade="80"/>
          <w:sz w:val="22"/>
          <w:szCs w:val="22"/>
          <w:lang w:val="en-GB"/>
        </w:rPr>
        <w:t xml:space="preserve">cognise </w:t>
      </w:r>
      <w:r w:rsidR="00FD2564">
        <w:rPr>
          <w:rFonts w:ascii="Avenir Next" w:hAnsi="Avenir Next" w:cs="Arial"/>
          <w:color w:val="808080" w:themeColor="background1" w:themeShade="80"/>
          <w:sz w:val="22"/>
          <w:szCs w:val="22"/>
          <w:lang w:val="en-GB"/>
        </w:rPr>
        <w:t xml:space="preserve">and enforce </w:t>
      </w:r>
      <w:r w:rsidR="00CD135F">
        <w:rPr>
          <w:rFonts w:ascii="Avenir Next" w:hAnsi="Avenir Next" w:cs="Arial"/>
          <w:color w:val="808080" w:themeColor="background1" w:themeShade="80"/>
          <w:sz w:val="22"/>
          <w:szCs w:val="22"/>
          <w:lang w:val="en-GB"/>
        </w:rPr>
        <w:t>a</w:t>
      </w:r>
      <w:r w:rsidR="00FD2564">
        <w:rPr>
          <w:rFonts w:ascii="Avenir Next" w:hAnsi="Avenir Next" w:cs="Arial"/>
          <w:color w:val="808080" w:themeColor="background1" w:themeShade="80"/>
          <w:sz w:val="22"/>
          <w:szCs w:val="22"/>
          <w:lang w:val="en-GB"/>
        </w:rPr>
        <w:t xml:space="preserve"> voidable transaction judgment from a foreign main proceedings </w:t>
      </w:r>
      <w:r w:rsidR="00BC04F8">
        <w:rPr>
          <w:rFonts w:ascii="Avenir Next" w:hAnsi="Avenir Next" w:cs="Arial"/>
          <w:color w:val="808080" w:themeColor="background1" w:themeShade="80"/>
          <w:sz w:val="22"/>
          <w:szCs w:val="22"/>
          <w:lang w:val="en-GB"/>
        </w:rPr>
        <w:t>because: (</w:t>
      </w:r>
      <w:proofErr w:type="spellStart"/>
      <w:r w:rsidR="00BC04F8">
        <w:rPr>
          <w:rFonts w:ascii="Avenir Next" w:hAnsi="Avenir Next" w:cs="Arial"/>
          <w:color w:val="808080" w:themeColor="background1" w:themeShade="80"/>
          <w:sz w:val="22"/>
          <w:szCs w:val="22"/>
          <w:lang w:val="en-GB"/>
        </w:rPr>
        <w:t>i</w:t>
      </w:r>
      <w:proofErr w:type="spellEnd"/>
      <w:r w:rsidR="00BC04F8">
        <w:rPr>
          <w:rFonts w:ascii="Avenir Next" w:hAnsi="Avenir Next" w:cs="Arial"/>
          <w:color w:val="808080" w:themeColor="background1" w:themeShade="80"/>
          <w:sz w:val="22"/>
          <w:szCs w:val="22"/>
          <w:lang w:val="en-GB"/>
        </w:rPr>
        <w:t xml:space="preserve">) the was no </w:t>
      </w:r>
      <w:r w:rsidR="00BC04F8">
        <w:rPr>
          <w:rFonts w:ascii="Avenir Next" w:hAnsi="Avenir Next" w:cs="Arial"/>
          <w:i/>
          <w:iCs/>
          <w:color w:val="808080" w:themeColor="background1" w:themeShade="80"/>
          <w:sz w:val="22"/>
          <w:szCs w:val="22"/>
          <w:lang w:val="en-GB"/>
        </w:rPr>
        <w:t>sui generis</w:t>
      </w:r>
      <w:r w:rsidR="00BC04F8">
        <w:rPr>
          <w:rFonts w:ascii="Avenir Next" w:hAnsi="Avenir Next" w:cs="Arial"/>
          <w:color w:val="808080" w:themeColor="background1" w:themeShade="80"/>
          <w:sz w:val="22"/>
          <w:szCs w:val="22"/>
          <w:lang w:val="en-GB"/>
        </w:rPr>
        <w:t xml:space="preserve"> </w:t>
      </w:r>
      <w:r w:rsidR="00E44989">
        <w:rPr>
          <w:rFonts w:ascii="Avenir Next" w:hAnsi="Avenir Next" w:cs="Arial"/>
          <w:color w:val="808080" w:themeColor="background1" w:themeShade="80"/>
          <w:sz w:val="22"/>
          <w:szCs w:val="22"/>
          <w:lang w:val="en-GB"/>
        </w:rPr>
        <w:t xml:space="preserve">or special </w:t>
      </w:r>
      <w:r w:rsidR="00BC04F8">
        <w:rPr>
          <w:rFonts w:ascii="Avenir Next" w:hAnsi="Avenir Next" w:cs="Arial"/>
          <w:color w:val="808080" w:themeColor="background1" w:themeShade="80"/>
          <w:sz w:val="22"/>
          <w:szCs w:val="22"/>
          <w:lang w:val="en-GB"/>
        </w:rPr>
        <w:t xml:space="preserve">category of insolvency </w:t>
      </w:r>
      <w:r w:rsidR="005029BD">
        <w:rPr>
          <w:rFonts w:ascii="Avenir Next" w:hAnsi="Avenir Next" w:cs="Arial"/>
          <w:color w:val="808080" w:themeColor="background1" w:themeShade="80"/>
          <w:sz w:val="22"/>
          <w:szCs w:val="22"/>
          <w:lang w:val="en-GB"/>
        </w:rPr>
        <w:t>law</w:t>
      </w:r>
      <w:r w:rsidR="00E44989">
        <w:rPr>
          <w:rFonts w:ascii="Avenir Next" w:hAnsi="Avenir Next" w:cs="Arial"/>
          <w:color w:val="808080" w:themeColor="background1" w:themeShade="80"/>
          <w:sz w:val="22"/>
          <w:szCs w:val="22"/>
          <w:lang w:val="en-GB"/>
        </w:rPr>
        <w:t xml:space="preserve">s; and (ii) it was not up to the courts to </w:t>
      </w:r>
      <w:r w:rsidR="00E44989">
        <w:rPr>
          <w:rFonts w:ascii="Avenir Next" w:hAnsi="Avenir Next" w:cs="Arial"/>
          <w:color w:val="808080" w:themeColor="background1" w:themeShade="80"/>
          <w:sz w:val="22"/>
          <w:szCs w:val="22"/>
          <w:lang w:val="en-GB"/>
        </w:rPr>
        <w:lastRenderedPageBreak/>
        <w:t>develop the law (rather it was up to the legislature).</w:t>
      </w:r>
      <w:r w:rsidR="005115F1">
        <w:rPr>
          <w:rStyle w:val="FootnoteReference"/>
          <w:rFonts w:ascii="Avenir Next" w:hAnsi="Avenir Next" w:cs="Arial"/>
          <w:color w:val="808080" w:themeColor="background1" w:themeShade="80"/>
          <w:sz w:val="22"/>
          <w:szCs w:val="22"/>
          <w:lang w:val="en-GB"/>
        </w:rPr>
        <w:footnoteReference w:id="39"/>
      </w:r>
      <w:r w:rsidR="00E44989">
        <w:rPr>
          <w:rFonts w:ascii="Avenir Next" w:hAnsi="Avenir Next" w:cs="Arial"/>
          <w:color w:val="808080" w:themeColor="background1" w:themeShade="80"/>
          <w:sz w:val="22"/>
          <w:szCs w:val="22"/>
          <w:lang w:val="en-GB"/>
        </w:rPr>
        <w:t xml:space="preserve"> </w:t>
      </w:r>
      <w:r w:rsidR="00E91550">
        <w:rPr>
          <w:rFonts w:ascii="Avenir Next" w:hAnsi="Avenir Next" w:cs="Arial"/>
          <w:color w:val="808080" w:themeColor="background1" w:themeShade="80"/>
          <w:sz w:val="22"/>
          <w:szCs w:val="22"/>
          <w:lang w:val="en-GB"/>
        </w:rPr>
        <w:t xml:space="preserve">In </w:t>
      </w:r>
      <w:proofErr w:type="spellStart"/>
      <w:r w:rsidR="00E91550">
        <w:rPr>
          <w:rFonts w:ascii="Avenir Next" w:hAnsi="Avenir Next" w:cs="Arial"/>
          <w:i/>
          <w:iCs/>
          <w:color w:val="808080" w:themeColor="background1" w:themeShade="80"/>
          <w:sz w:val="22"/>
          <w:szCs w:val="22"/>
          <w:lang w:val="en-GB"/>
        </w:rPr>
        <w:t>Singularis</w:t>
      </w:r>
      <w:proofErr w:type="spellEnd"/>
      <w:r w:rsidR="00E91550">
        <w:rPr>
          <w:rFonts w:ascii="Avenir Next" w:hAnsi="Avenir Next" w:cs="Arial"/>
          <w:color w:val="808080" w:themeColor="background1" w:themeShade="80"/>
          <w:sz w:val="22"/>
          <w:szCs w:val="22"/>
          <w:lang w:val="en-GB"/>
        </w:rPr>
        <w:t>,</w:t>
      </w:r>
      <w:r w:rsidR="00FD56BD">
        <w:rPr>
          <w:rStyle w:val="FootnoteReference"/>
          <w:rFonts w:ascii="Avenir Next" w:hAnsi="Avenir Next" w:cs="Arial"/>
          <w:color w:val="808080" w:themeColor="background1" w:themeShade="80"/>
          <w:sz w:val="22"/>
          <w:szCs w:val="22"/>
          <w:lang w:val="en-GB"/>
        </w:rPr>
        <w:footnoteReference w:id="40"/>
      </w:r>
      <w:r w:rsidR="00E91550">
        <w:rPr>
          <w:rFonts w:ascii="Avenir Next" w:hAnsi="Avenir Next" w:cs="Arial"/>
          <w:color w:val="808080" w:themeColor="background1" w:themeShade="80"/>
          <w:sz w:val="22"/>
          <w:szCs w:val="22"/>
          <w:lang w:val="en-GB"/>
        </w:rPr>
        <w:t xml:space="preserve"> </w:t>
      </w:r>
      <w:r w:rsidR="00FD56BD">
        <w:rPr>
          <w:rFonts w:ascii="Avenir Next" w:hAnsi="Avenir Next" w:cs="Arial"/>
          <w:color w:val="808080" w:themeColor="background1" w:themeShade="80"/>
          <w:sz w:val="22"/>
          <w:szCs w:val="22"/>
          <w:lang w:val="en-GB"/>
        </w:rPr>
        <w:t xml:space="preserve">which dealt with the refusal by the Court to grant disclosure orders to </w:t>
      </w:r>
      <w:r w:rsidR="00E058A2">
        <w:rPr>
          <w:rFonts w:ascii="Avenir Next" w:hAnsi="Avenir Next" w:cs="Arial"/>
          <w:color w:val="808080" w:themeColor="background1" w:themeShade="80"/>
          <w:sz w:val="22"/>
          <w:szCs w:val="22"/>
          <w:lang w:val="en-GB"/>
        </w:rPr>
        <w:t xml:space="preserve">liquidators in a foreign insolvency proceedings, </w:t>
      </w:r>
      <w:r w:rsidR="00E91550">
        <w:rPr>
          <w:rFonts w:ascii="Avenir Next" w:hAnsi="Avenir Next" w:cs="Arial"/>
          <w:color w:val="808080" w:themeColor="background1" w:themeShade="80"/>
          <w:sz w:val="22"/>
          <w:szCs w:val="22"/>
          <w:lang w:val="en-GB"/>
        </w:rPr>
        <w:t xml:space="preserve">the Privy Council </w:t>
      </w:r>
      <w:r w:rsidR="00BE077D">
        <w:rPr>
          <w:rFonts w:ascii="Avenir Next" w:hAnsi="Avenir Next" w:cs="Arial"/>
          <w:color w:val="808080" w:themeColor="background1" w:themeShade="80"/>
          <w:sz w:val="22"/>
          <w:szCs w:val="22"/>
          <w:lang w:val="en-GB"/>
        </w:rPr>
        <w:t>held that modified universalism was primarily still the subject of “</w:t>
      </w:r>
      <w:r w:rsidR="00BE077D" w:rsidRPr="00DE63DA">
        <w:rPr>
          <w:rFonts w:ascii="Avenir Next" w:hAnsi="Avenir Next" w:cs="Arial"/>
          <w:i/>
          <w:iCs/>
          <w:color w:val="808080" w:themeColor="background1" w:themeShade="80"/>
          <w:sz w:val="22"/>
          <w:szCs w:val="22"/>
          <w:lang w:val="en-GB"/>
        </w:rPr>
        <w:t>local law and local policy</w:t>
      </w:r>
      <w:r w:rsidR="00BE077D">
        <w:rPr>
          <w:rFonts w:ascii="Avenir Next" w:hAnsi="Avenir Next" w:cs="Arial"/>
          <w:color w:val="808080" w:themeColor="background1" w:themeShade="80"/>
          <w:sz w:val="22"/>
          <w:szCs w:val="22"/>
          <w:lang w:val="en-GB"/>
        </w:rPr>
        <w:t xml:space="preserve">” and that </w:t>
      </w:r>
      <w:r w:rsidR="009023B9">
        <w:rPr>
          <w:rFonts w:ascii="Avenir Next" w:hAnsi="Avenir Next" w:cs="Arial"/>
          <w:color w:val="808080" w:themeColor="background1" w:themeShade="80"/>
          <w:sz w:val="22"/>
          <w:szCs w:val="22"/>
          <w:lang w:val="en-GB"/>
        </w:rPr>
        <w:t>courts must only ever act within the realm of their stated powers</w:t>
      </w:r>
      <w:r w:rsidR="00FD56BD">
        <w:rPr>
          <w:rFonts w:ascii="Avenir Next" w:hAnsi="Avenir Next" w:cs="Arial"/>
          <w:color w:val="808080" w:themeColor="background1" w:themeShade="80"/>
          <w:sz w:val="22"/>
          <w:szCs w:val="22"/>
          <w:lang w:val="en-GB"/>
        </w:rPr>
        <w:t>.</w:t>
      </w:r>
      <w:r w:rsidR="00DE63DA">
        <w:rPr>
          <w:rStyle w:val="FootnoteReference"/>
          <w:rFonts w:ascii="Avenir Next" w:hAnsi="Avenir Next" w:cs="Arial"/>
          <w:color w:val="808080" w:themeColor="background1" w:themeShade="80"/>
          <w:sz w:val="22"/>
          <w:szCs w:val="22"/>
          <w:lang w:val="en-GB"/>
        </w:rPr>
        <w:footnoteReference w:id="41"/>
      </w:r>
    </w:p>
    <w:p w14:paraId="7E9F61C4" w14:textId="77777777" w:rsidR="00AB63DE" w:rsidRPr="004216EA" w:rsidRDefault="00AB63DE" w:rsidP="00692852">
      <w:pPr>
        <w:jc w:val="both"/>
        <w:rPr>
          <w:rFonts w:ascii="Avenir Next" w:hAnsi="Avenir Next" w:cs="Arial"/>
          <w:sz w:val="22"/>
          <w:szCs w:val="22"/>
          <w:lang w:val="en-GB"/>
        </w:rPr>
      </w:pPr>
    </w:p>
    <w:p w14:paraId="0DCFD5B9" w14:textId="269B8E58" w:rsidR="00DD526C" w:rsidRDefault="001A3F0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major “soft law” instruments </w:t>
      </w:r>
      <w:r w:rsidR="00CE50CB">
        <w:rPr>
          <w:rFonts w:ascii="Avenir Next" w:hAnsi="Avenir Next" w:cs="Arial"/>
          <w:color w:val="808080" w:themeColor="background1" w:themeShade="80"/>
          <w:sz w:val="22"/>
          <w:szCs w:val="22"/>
          <w:lang w:val="en-GB"/>
        </w:rPr>
        <w:t xml:space="preserve">have been developed by the international community to assist with </w:t>
      </w:r>
      <w:r w:rsidR="000234B0">
        <w:rPr>
          <w:rFonts w:ascii="Avenir Next" w:hAnsi="Avenir Next" w:cs="Arial"/>
          <w:color w:val="808080" w:themeColor="background1" w:themeShade="80"/>
          <w:sz w:val="22"/>
          <w:szCs w:val="22"/>
          <w:lang w:val="en-GB"/>
        </w:rPr>
        <w:t xml:space="preserve">defining criteria for </w:t>
      </w:r>
      <w:r w:rsidR="00F228CA">
        <w:rPr>
          <w:rFonts w:ascii="Avenir Next" w:hAnsi="Avenir Next" w:cs="Arial"/>
          <w:color w:val="808080" w:themeColor="background1" w:themeShade="80"/>
          <w:sz w:val="22"/>
          <w:szCs w:val="22"/>
          <w:lang w:val="en-GB"/>
        </w:rPr>
        <w:t xml:space="preserve">impugning </w:t>
      </w:r>
      <w:r w:rsidR="000234B0">
        <w:rPr>
          <w:rFonts w:ascii="Avenir Next" w:hAnsi="Avenir Next" w:cs="Arial"/>
          <w:color w:val="808080" w:themeColor="background1" w:themeShade="80"/>
          <w:sz w:val="22"/>
          <w:szCs w:val="22"/>
          <w:lang w:val="en-GB"/>
        </w:rPr>
        <w:t xml:space="preserve">voidable transactions and </w:t>
      </w:r>
      <w:r w:rsidR="00CE50CB">
        <w:rPr>
          <w:rFonts w:ascii="Avenir Next" w:hAnsi="Avenir Next" w:cs="Arial"/>
          <w:color w:val="808080" w:themeColor="background1" w:themeShade="80"/>
          <w:sz w:val="22"/>
          <w:szCs w:val="22"/>
          <w:lang w:val="en-GB"/>
        </w:rPr>
        <w:t xml:space="preserve">dealing with the conflict of law issues faced by </w:t>
      </w:r>
      <w:r w:rsidR="00FE0030">
        <w:rPr>
          <w:rFonts w:ascii="Avenir Next" w:hAnsi="Avenir Next" w:cs="Arial"/>
          <w:color w:val="808080" w:themeColor="background1" w:themeShade="80"/>
          <w:sz w:val="22"/>
          <w:szCs w:val="22"/>
          <w:lang w:val="en-GB"/>
        </w:rPr>
        <w:t>concurrent insolvency proceeding dealing with voidable transactions. These instruments are:</w:t>
      </w:r>
    </w:p>
    <w:p w14:paraId="38C774A5" w14:textId="56D2A44C" w:rsidR="00FE0030" w:rsidRDefault="00FE0030" w:rsidP="00692852">
      <w:pPr>
        <w:jc w:val="both"/>
        <w:rPr>
          <w:rFonts w:ascii="Avenir Next" w:hAnsi="Avenir Next" w:cs="Arial"/>
          <w:color w:val="808080" w:themeColor="background1" w:themeShade="80"/>
          <w:sz w:val="22"/>
          <w:szCs w:val="22"/>
          <w:lang w:val="en-GB"/>
        </w:rPr>
      </w:pPr>
    </w:p>
    <w:p w14:paraId="624BAB23" w14:textId="7B5FDDCD" w:rsidR="00BA0983" w:rsidRDefault="00BA0983" w:rsidP="00FE0030">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UNCITRAL Legislative Guide on Insolvency Law (2004)</w:t>
      </w:r>
      <w:r>
        <w:rPr>
          <w:rFonts w:ascii="Avenir Next" w:hAnsi="Avenir Next" w:cs="Arial"/>
          <w:color w:val="808080" w:themeColor="background1" w:themeShade="80"/>
          <w:sz w:val="22"/>
          <w:szCs w:val="22"/>
          <w:lang w:val="en-GB"/>
        </w:rPr>
        <w:t>; and</w:t>
      </w:r>
    </w:p>
    <w:p w14:paraId="27CCF95C" w14:textId="7D8709DF" w:rsidR="00BA0983" w:rsidRPr="00535889" w:rsidRDefault="00BA0983" w:rsidP="00BA0983">
      <w:pPr>
        <w:pStyle w:val="ListParagraph"/>
        <w:ind w:left="360"/>
        <w:jc w:val="both"/>
        <w:rPr>
          <w:rFonts w:ascii="Avenir Next" w:hAnsi="Avenir Next" w:cs="Arial"/>
          <w:color w:val="808080" w:themeColor="background1" w:themeShade="80"/>
          <w:sz w:val="14"/>
          <w:szCs w:val="14"/>
          <w:lang w:val="en-GB"/>
        </w:rPr>
      </w:pPr>
    </w:p>
    <w:p w14:paraId="4092ACD8" w14:textId="48C34D64" w:rsidR="00BA0983" w:rsidRDefault="002726AD" w:rsidP="00BA0983">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Legislative Guide provides the following </w:t>
      </w:r>
      <w:r w:rsidR="003B5FE2">
        <w:rPr>
          <w:rFonts w:ascii="Avenir Next" w:hAnsi="Avenir Next" w:cs="Arial"/>
          <w:color w:val="808080" w:themeColor="background1" w:themeShade="80"/>
          <w:sz w:val="22"/>
          <w:szCs w:val="22"/>
          <w:lang w:val="en-GB"/>
        </w:rPr>
        <w:t xml:space="preserve">generally accepted </w:t>
      </w:r>
      <w:r>
        <w:rPr>
          <w:rFonts w:ascii="Avenir Next" w:hAnsi="Avenir Next" w:cs="Arial"/>
          <w:color w:val="808080" w:themeColor="background1" w:themeShade="80"/>
          <w:sz w:val="22"/>
          <w:szCs w:val="22"/>
          <w:lang w:val="en-GB"/>
        </w:rPr>
        <w:t>criteria</w:t>
      </w:r>
      <w:r w:rsidR="00F228CA">
        <w:rPr>
          <w:rFonts w:ascii="Avenir Next" w:hAnsi="Avenir Next" w:cs="Arial"/>
          <w:color w:val="808080" w:themeColor="background1" w:themeShade="80"/>
          <w:sz w:val="22"/>
          <w:szCs w:val="22"/>
          <w:lang w:val="en-GB"/>
        </w:rPr>
        <w:t>/elements</w:t>
      </w:r>
      <w:r w:rsidR="003B5FE2">
        <w:rPr>
          <w:rFonts w:ascii="Avenir Next" w:hAnsi="Avenir Next" w:cs="Arial"/>
          <w:color w:val="808080" w:themeColor="background1" w:themeShade="80"/>
          <w:sz w:val="22"/>
          <w:szCs w:val="22"/>
          <w:lang w:val="en-GB"/>
        </w:rPr>
        <w:t xml:space="preserve"> </w:t>
      </w:r>
      <w:r w:rsidR="00F20845">
        <w:rPr>
          <w:rFonts w:ascii="Avenir Next" w:hAnsi="Avenir Next" w:cs="Arial"/>
          <w:color w:val="808080" w:themeColor="background1" w:themeShade="80"/>
          <w:sz w:val="22"/>
          <w:szCs w:val="22"/>
          <w:lang w:val="en-GB"/>
        </w:rPr>
        <w:t xml:space="preserve">necessary to create a national </w:t>
      </w:r>
      <w:r w:rsidR="00F20845">
        <w:rPr>
          <w:rFonts w:ascii="Avenir Next" w:hAnsi="Avenir Next" w:cs="Arial"/>
          <w:color w:val="808080" w:themeColor="background1" w:themeShade="80"/>
          <w:sz w:val="22"/>
          <w:szCs w:val="22"/>
          <w:lang w:val="en-GB"/>
        </w:rPr>
        <w:t xml:space="preserve">voidable transaction </w:t>
      </w:r>
      <w:r w:rsidR="00F20845">
        <w:rPr>
          <w:rFonts w:ascii="Avenir Next" w:hAnsi="Avenir Next" w:cs="Arial"/>
          <w:color w:val="808080" w:themeColor="background1" w:themeShade="80"/>
          <w:sz w:val="22"/>
          <w:szCs w:val="22"/>
          <w:lang w:val="en-GB"/>
        </w:rPr>
        <w:t>framework:</w:t>
      </w:r>
      <w:r w:rsidR="009940C5">
        <w:rPr>
          <w:rStyle w:val="FootnoteReference"/>
          <w:rFonts w:ascii="Avenir Next" w:hAnsi="Avenir Next" w:cs="Arial"/>
          <w:color w:val="808080" w:themeColor="background1" w:themeShade="80"/>
          <w:sz w:val="22"/>
          <w:szCs w:val="22"/>
          <w:lang w:val="en-GB"/>
        </w:rPr>
        <w:footnoteReference w:id="42"/>
      </w:r>
    </w:p>
    <w:p w14:paraId="4DCFC3A7" w14:textId="3691C871" w:rsidR="00F20845" w:rsidRPr="002D17BB" w:rsidRDefault="00F20845" w:rsidP="00BA0983">
      <w:pPr>
        <w:pStyle w:val="ListParagraph"/>
        <w:ind w:left="360"/>
        <w:jc w:val="both"/>
        <w:rPr>
          <w:rFonts w:ascii="Avenir Next" w:hAnsi="Avenir Next" w:cs="Arial"/>
          <w:color w:val="808080" w:themeColor="background1" w:themeShade="80"/>
          <w:sz w:val="14"/>
          <w:szCs w:val="14"/>
          <w:lang w:val="en-GB"/>
        </w:rPr>
      </w:pPr>
    </w:p>
    <w:p w14:paraId="11C36AAD" w14:textId="50DA5894" w:rsidR="00F20845" w:rsidRDefault="005D7292" w:rsidP="005D7292">
      <w:pPr>
        <w:pStyle w:val="ListParagraph"/>
        <w:numPr>
          <w:ilvl w:val="0"/>
          <w:numId w:val="31"/>
        </w:numPr>
        <w:spacing w:after="100"/>
        <w:ind w:left="850" w:hanging="493"/>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w:t>
      </w:r>
      <w:r w:rsidR="009940C5">
        <w:rPr>
          <w:rFonts w:ascii="Avenir Next" w:hAnsi="Avenir Next" w:cs="Arial"/>
          <w:color w:val="808080" w:themeColor="background1" w:themeShade="80"/>
          <w:sz w:val="22"/>
          <w:szCs w:val="22"/>
          <w:lang w:val="en-GB"/>
        </w:rPr>
        <w:t xml:space="preserve">bjective criteria, including </w:t>
      </w:r>
      <w:r w:rsidR="00A50297">
        <w:rPr>
          <w:rFonts w:ascii="Avenir Next" w:hAnsi="Avenir Next" w:cs="Arial"/>
          <w:color w:val="808080" w:themeColor="background1" w:themeShade="80"/>
          <w:sz w:val="22"/>
          <w:szCs w:val="22"/>
          <w:lang w:val="en-GB"/>
        </w:rPr>
        <w:t xml:space="preserve">pre-defined relation-back periods, defined </w:t>
      </w:r>
      <w:r w:rsidR="00B047CB">
        <w:rPr>
          <w:rFonts w:ascii="Avenir Next" w:hAnsi="Avenir Next" w:cs="Arial"/>
          <w:color w:val="808080" w:themeColor="background1" w:themeShade="80"/>
          <w:sz w:val="22"/>
          <w:szCs w:val="22"/>
          <w:lang w:val="en-GB"/>
        </w:rPr>
        <w:t>characteristics</w:t>
      </w:r>
      <w:r w:rsidR="00A50297">
        <w:rPr>
          <w:rFonts w:ascii="Avenir Next" w:hAnsi="Avenir Next" w:cs="Arial"/>
          <w:color w:val="808080" w:themeColor="background1" w:themeShade="80"/>
          <w:sz w:val="22"/>
          <w:szCs w:val="22"/>
          <w:lang w:val="en-GB"/>
        </w:rPr>
        <w:t xml:space="preserve"> to determine preferential or undervalued effect, </w:t>
      </w:r>
      <w:r w:rsidR="004D3C17">
        <w:rPr>
          <w:rFonts w:ascii="Avenir Next" w:hAnsi="Avenir Next" w:cs="Arial"/>
          <w:color w:val="808080" w:themeColor="background1" w:themeShade="80"/>
          <w:sz w:val="22"/>
          <w:szCs w:val="22"/>
          <w:lang w:val="en-GB"/>
        </w:rPr>
        <w:t>related party definitions, or what would a reasonable person do in the circumstances of</w:t>
      </w:r>
      <w:r w:rsidR="0002625B">
        <w:rPr>
          <w:rFonts w:ascii="Avenir Next" w:hAnsi="Avenir Next" w:cs="Arial"/>
          <w:color w:val="808080" w:themeColor="background1" w:themeShade="80"/>
          <w:sz w:val="22"/>
          <w:szCs w:val="22"/>
          <w:lang w:val="en-GB"/>
        </w:rPr>
        <w:t xml:space="preserve"> the defendant or debtor</w:t>
      </w:r>
      <w:r w:rsidR="004D3C17">
        <w:rPr>
          <w:rFonts w:ascii="Avenir Next" w:hAnsi="Avenir Next" w:cs="Arial"/>
          <w:color w:val="808080" w:themeColor="background1" w:themeShade="80"/>
          <w:sz w:val="22"/>
          <w:szCs w:val="22"/>
          <w:lang w:val="en-GB"/>
        </w:rPr>
        <w:t>;</w:t>
      </w:r>
    </w:p>
    <w:p w14:paraId="68BC3922" w14:textId="7F4EDA7D" w:rsidR="004D3C17" w:rsidRDefault="005D7292" w:rsidP="005D7292">
      <w:pPr>
        <w:pStyle w:val="ListParagraph"/>
        <w:numPr>
          <w:ilvl w:val="0"/>
          <w:numId w:val="31"/>
        </w:numPr>
        <w:spacing w:after="100"/>
        <w:ind w:left="850" w:hanging="493"/>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4D3C17">
        <w:rPr>
          <w:rFonts w:ascii="Avenir Next" w:hAnsi="Avenir Next" w:cs="Arial"/>
          <w:color w:val="808080" w:themeColor="background1" w:themeShade="80"/>
          <w:sz w:val="22"/>
          <w:szCs w:val="22"/>
          <w:lang w:val="en-GB"/>
        </w:rPr>
        <w:t xml:space="preserve">ubjective criteria, including </w:t>
      </w:r>
      <w:r w:rsidR="0002625B">
        <w:rPr>
          <w:rFonts w:ascii="Avenir Next" w:hAnsi="Avenir Next" w:cs="Arial"/>
          <w:color w:val="808080" w:themeColor="background1" w:themeShade="80"/>
          <w:sz w:val="22"/>
          <w:szCs w:val="22"/>
          <w:lang w:val="en-GB"/>
        </w:rPr>
        <w:t>intention</w:t>
      </w:r>
      <w:r w:rsidR="006609E8">
        <w:rPr>
          <w:rFonts w:ascii="Avenir Next" w:hAnsi="Avenir Next" w:cs="Arial"/>
          <w:color w:val="808080" w:themeColor="background1" w:themeShade="80"/>
          <w:sz w:val="22"/>
          <w:szCs w:val="22"/>
          <w:lang w:val="en-GB"/>
        </w:rPr>
        <w:t xml:space="preserve"> or </w:t>
      </w:r>
      <w:r w:rsidR="0002625B">
        <w:rPr>
          <w:rFonts w:ascii="Avenir Next" w:hAnsi="Avenir Next" w:cs="Arial"/>
          <w:color w:val="808080" w:themeColor="background1" w:themeShade="80"/>
          <w:sz w:val="22"/>
          <w:szCs w:val="22"/>
          <w:lang w:val="en-GB"/>
        </w:rPr>
        <w:t xml:space="preserve">knowledge (of the </w:t>
      </w:r>
      <w:r w:rsidR="00A3680B">
        <w:rPr>
          <w:rFonts w:ascii="Avenir Next" w:hAnsi="Avenir Next" w:cs="Arial"/>
          <w:color w:val="808080" w:themeColor="background1" w:themeShade="80"/>
          <w:sz w:val="22"/>
          <w:szCs w:val="22"/>
          <w:lang w:val="en-GB"/>
        </w:rPr>
        <w:t>effect of the transaction or the insolvency of the debtor)</w:t>
      </w:r>
      <w:r w:rsidR="006609E8">
        <w:rPr>
          <w:rFonts w:ascii="Avenir Next" w:hAnsi="Avenir Next" w:cs="Arial"/>
          <w:color w:val="808080" w:themeColor="background1" w:themeShade="80"/>
          <w:sz w:val="22"/>
          <w:szCs w:val="22"/>
          <w:lang w:val="en-GB"/>
        </w:rPr>
        <w:t>;</w:t>
      </w:r>
    </w:p>
    <w:p w14:paraId="19D10836" w14:textId="15FF28FB" w:rsidR="006609E8" w:rsidRDefault="005D7292" w:rsidP="005D7292">
      <w:pPr>
        <w:pStyle w:val="ListParagraph"/>
        <w:numPr>
          <w:ilvl w:val="0"/>
          <w:numId w:val="31"/>
        </w:numPr>
        <w:spacing w:after="100"/>
        <w:ind w:left="850" w:hanging="493"/>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6609E8">
        <w:rPr>
          <w:rFonts w:ascii="Avenir Next" w:hAnsi="Avenir Next" w:cs="Arial"/>
          <w:color w:val="808080" w:themeColor="background1" w:themeShade="80"/>
          <w:sz w:val="22"/>
          <w:szCs w:val="22"/>
          <w:lang w:val="en-GB"/>
        </w:rPr>
        <w:t>ixture of subjective and objective criteria – for instance, Australian law contains a def</w:t>
      </w:r>
      <w:r w:rsidR="00BB7F8A">
        <w:rPr>
          <w:rFonts w:ascii="Avenir Next" w:hAnsi="Avenir Next" w:cs="Arial"/>
          <w:color w:val="808080" w:themeColor="background1" w:themeShade="80"/>
          <w:sz w:val="22"/>
          <w:szCs w:val="22"/>
          <w:lang w:val="en-GB"/>
        </w:rPr>
        <w:t>ence of good faith to voidable transactions,</w:t>
      </w:r>
      <w:r w:rsidR="00F843FA">
        <w:rPr>
          <w:rStyle w:val="FootnoteReference"/>
          <w:rFonts w:ascii="Avenir Next" w:hAnsi="Avenir Next" w:cs="Arial"/>
          <w:color w:val="808080" w:themeColor="background1" w:themeShade="80"/>
          <w:sz w:val="22"/>
          <w:szCs w:val="22"/>
          <w:lang w:val="en-GB"/>
        </w:rPr>
        <w:footnoteReference w:id="43"/>
      </w:r>
      <w:r w:rsidR="00BB7F8A">
        <w:rPr>
          <w:rFonts w:ascii="Avenir Next" w:hAnsi="Avenir Next" w:cs="Arial"/>
          <w:color w:val="808080" w:themeColor="background1" w:themeShade="80"/>
          <w:sz w:val="22"/>
          <w:szCs w:val="22"/>
          <w:lang w:val="en-GB"/>
        </w:rPr>
        <w:t xml:space="preserve"> such that the defendant</w:t>
      </w:r>
      <w:r w:rsidR="00F843FA">
        <w:rPr>
          <w:rFonts w:ascii="Avenir Next" w:hAnsi="Avenir Next" w:cs="Arial"/>
          <w:color w:val="808080" w:themeColor="background1" w:themeShade="80"/>
          <w:sz w:val="22"/>
          <w:szCs w:val="22"/>
          <w:lang w:val="en-GB"/>
        </w:rPr>
        <w:t xml:space="preserve"> is not liable (or at least partially not liable) if they</w:t>
      </w:r>
      <w:r w:rsidR="00BB7F8A">
        <w:rPr>
          <w:rFonts w:ascii="Avenir Next" w:hAnsi="Avenir Next" w:cs="Arial"/>
          <w:color w:val="808080" w:themeColor="background1" w:themeShade="80"/>
          <w:sz w:val="22"/>
          <w:szCs w:val="22"/>
          <w:lang w:val="en-GB"/>
        </w:rPr>
        <w:t xml:space="preserve"> did not know or suspect (subjective), or could not reasonably have known or suspected (objective)</w:t>
      </w:r>
      <w:r w:rsidR="00F843FA">
        <w:rPr>
          <w:rFonts w:ascii="Avenir Next" w:hAnsi="Avenir Next" w:cs="Arial"/>
          <w:color w:val="808080" w:themeColor="background1" w:themeShade="80"/>
          <w:sz w:val="22"/>
          <w:szCs w:val="22"/>
          <w:lang w:val="en-GB"/>
        </w:rPr>
        <w:t>, that the debtor was insolvent at the time of the relevant voidable transaction;</w:t>
      </w:r>
    </w:p>
    <w:p w14:paraId="0EE5D1B4" w14:textId="7353AFBE" w:rsidR="00F843FA" w:rsidRDefault="005D7292" w:rsidP="005D7292">
      <w:pPr>
        <w:pStyle w:val="ListParagraph"/>
        <w:numPr>
          <w:ilvl w:val="0"/>
          <w:numId w:val="31"/>
        </w:numPr>
        <w:spacing w:after="100"/>
        <w:ind w:left="850" w:hanging="493"/>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B518D8">
        <w:rPr>
          <w:rFonts w:ascii="Avenir Next" w:hAnsi="Avenir Next" w:cs="Arial"/>
          <w:color w:val="808080" w:themeColor="background1" w:themeShade="80"/>
          <w:sz w:val="22"/>
          <w:szCs w:val="22"/>
          <w:lang w:val="en-GB"/>
        </w:rPr>
        <w:t>hether the transaction was in the ordinary course of business, such that an extraordinary payment may be more likely to be voidable</w:t>
      </w:r>
      <w:r w:rsidR="00366944">
        <w:rPr>
          <w:rFonts w:ascii="Avenir Next" w:hAnsi="Avenir Next" w:cs="Arial"/>
          <w:color w:val="808080" w:themeColor="background1" w:themeShade="80"/>
          <w:sz w:val="22"/>
          <w:szCs w:val="22"/>
          <w:lang w:val="en-GB"/>
        </w:rPr>
        <w:t xml:space="preserve">. </w:t>
      </w:r>
      <w:r w:rsidR="0045417A">
        <w:rPr>
          <w:rFonts w:ascii="Avenir Next" w:hAnsi="Avenir Next" w:cs="Arial"/>
          <w:color w:val="808080" w:themeColor="background1" w:themeShade="80"/>
          <w:sz w:val="22"/>
          <w:szCs w:val="22"/>
          <w:lang w:val="en-GB"/>
        </w:rPr>
        <w:t>By way of example, a</w:t>
      </w:r>
      <w:r w:rsidR="00366944">
        <w:rPr>
          <w:rFonts w:ascii="Avenir Next" w:hAnsi="Avenir Next" w:cs="Arial"/>
          <w:color w:val="808080" w:themeColor="background1" w:themeShade="80"/>
          <w:sz w:val="22"/>
          <w:szCs w:val="22"/>
          <w:lang w:val="en-GB"/>
        </w:rPr>
        <w:t xml:space="preserve">n easy check </w:t>
      </w:r>
      <w:r w:rsidR="0045417A">
        <w:rPr>
          <w:rFonts w:ascii="Avenir Next" w:hAnsi="Avenir Next" w:cs="Arial"/>
          <w:color w:val="808080" w:themeColor="background1" w:themeShade="80"/>
          <w:sz w:val="22"/>
          <w:szCs w:val="22"/>
          <w:lang w:val="en-GB"/>
        </w:rPr>
        <w:t>as to whether a transaction is in the ordinary course of business</w:t>
      </w:r>
      <w:r w:rsidR="00B518D8">
        <w:rPr>
          <w:rFonts w:ascii="Avenir Next" w:hAnsi="Avenir Next" w:cs="Arial"/>
          <w:color w:val="808080" w:themeColor="background1" w:themeShade="80"/>
          <w:sz w:val="22"/>
          <w:szCs w:val="22"/>
          <w:lang w:val="en-GB"/>
        </w:rPr>
        <w:t xml:space="preserve"> </w:t>
      </w:r>
      <w:r w:rsidR="0045417A">
        <w:rPr>
          <w:rFonts w:ascii="Avenir Next" w:hAnsi="Avenir Next" w:cs="Arial"/>
          <w:color w:val="808080" w:themeColor="background1" w:themeShade="80"/>
          <w:sz w:val="22"/>
          <w:szCs w:val="22"/>
          <w:lang w:val="en-GB"/>
        </w:rPr>
        <w:t xml:space="preserve">is to look at the company’s constitution, which typically will contain a clause </w:t>
      </w:r>
      <w:r w:rsidR="002016F4">
        <w:rPr>
          <w:rFonts w:ascii="Avenir Next" w:hAnsi="Avenir Next" w:cs="Arial"/>
          <w:color w:val="808080" w:themeColor="background1" w:themeShade="80"/>
          <w:sz w:val="22"/>
          <w:szCs w:val="22"/>
          <w:lang w:val="en-GB"/>
        </w:rPr>
        <w:t xml:space="preserve">that defines the nature of the business allowed to be conducted by the board of directors. However, </w:t>
      </w:r>
      <w:r w:rsidR="00C36530">
        <w:rPr>
          <w:rFonts w:ascii="Avenir Next" w:hAnsi="Avenir Next" w:cs="Arial"/>
          <w:color w:val="808080" w:themeColor="background1" w:themeShade="80"/>
          <w:sz w:val="22"/>
          <w:szCs w:val="22"/>
          <w:lang w:val="en-GB"/>
        </w:rPr>
        <w:t>a transaction in the ordinary course of business does not necessarily mean it cannot or will not be clawed back as a voidable transaction</w:t>
      </w:r>
      <w:r>
        <w:rPr>
          <w:rFonts w:ascii="Avenir Next" w:hAnsi="Avenir Next" w:cs="Arial"/>
          <w:color w:val="808080" w:themeColor="background1" w:themeShade="80"/>
          <w:sz w:val="22"/>
          <w:szCs w:val="22"/>
          <w:lang w:val="en-GB"/>
        </w:rPr>
        <w:t>;</w:t>
      </w:r>
      <w:r w:rsidR="00C36530">
        <w:rPr>
          <w:rStyle w:val="FootnoteReference"/>
          <w:rFonts w:ascii="Avenir Next" w:hAnsi="Avenir Next" w:cs="Arial"/>
          <w:color w:val="808080" w:themeColor="background1" w:themeShade="80"/>
          <w:sz w:val="22"/>
          <w:szCs w:val="22"/>
          <w:lang w:val="en-GB"/>
        </w:rPr>
        <w:footnoteReference w:id="44"/>
      </w:r>
      <w:r w:rsidR="00C3653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w:t>
      </w:r>
    </w:p>
    <w:p w14:paraId="056D1E69" w14:textId="44C10EBC" w:rsidR="00FB4AA8" w:rsidRDefault="005D7292" w:rsidP="009940C5">
      <w:pPr>
        <w:pStyle w:val="ListParagraph"/>
        <w:numPr>
          <w:ilvl w:val="0"/>
          <w:numId w:val="31"/>
        </w:numPr>
        <w:ind w:left="851" w:hanging="49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3F28F7">
        <w:rPr>
          <w:rFonts w:ascii="Avenir Next" w:hAnsi="Avenir Next" w:cs="Arial"/>
          <w:color w:val="808080" w:themeColor="background1" w:themeShade="80"/>
          <w:sz w:val="22"/>
          <w:szCs w:val="22"/>
          <w:lang w:val="en-GB"/>
        </w:rPr>
        <w:t>rescribed d</w:t>
      </w:r>
      <w:r w:rsidR="00782AD3">
        <w:rPr>
          <w:rFonts w:ascii="Avenir Next" w:hAnsi="Avenir Next" w:cs="Arial"/>
          <w:color w:val="808080" w:themeColor="background1" w:themeShade="80"/>
          <w:sz w:val="22"/>
          <w:szCs w:val="22"/>
          <w:lang w:val="en-GB"/>
        </w:rPr>
        <w:t xml:space="preserve">efences </w:t>
      </w:r>
      <w:r w:rsidR="003F28F7">
        <w:rPr>
          <w:rFonts w:ascii="Avenir Next" w:hAnsi="Avenir Next" w:cs="Arial"/>
          <w:color w:val="808080" w:themeColor="background1" w:themeShade="80"/>
          <w:sz w:val="22"/>
          <w:szCs w:val="22"/>
          <w:lang w:val="en-GB"/>
        </w:rPr>
        <w:t>ought to be clear and predictable to reduce the risk of</w:t>
      </w:r>
      <w:r>
        <w:rPr>
          <w:rFonts w:ascii="Avenir Next" w:hAnsi="Avenir Next" w:cs="Arial"/>
          <w:color w:val="808080" w:themeColor="background1" w:themeShade="80"/>
          <w:sz w:val="22"/>
          <w:szCs w:val="22"/>
          <w:lang w:val="en-GB"/>
        </w:rPr>
        <w:t>:</w:t>
      </w:r>
      <w:r w:rsidR="003F28F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w:t>
      </w:r>
      <w:r w:rsidR="003F28F7">
        <w:rPr>
          <w:rFonts w:ascii="Avenir Next" w:hAnsi="Avenir Next" w:cs="Arial"/>
          <w:color w:val="808080" w:themeColor="background1" w:themeShade="80"/>
          <w:sz w:val="22"/>
          <w:szCs w:val="22"/>
          <w:lang w:val="en-GB"/>
        </w:rPr>
        <w:t>lengthy/costly disputes</w:t>
      </w:r>
      <w:r>
        <w:rPr>
          <w:rFonts w:ascii="Avenir Next" w:hAnsi="Avenir Next" w:cs="Arial"/>
          <w:color w:val="808080" w:themeColor="background1" w:themeShade="80"/>
          <w:sz w:val="22"/>
          <w:szCs w:val="22"/>
          <w:lang w:val="en-GB"/>
        </w:rPr>
        <w:t>; (b)</w:t>
      </w:r>
      <w:r w:rsidR="003F28F7">
        <w:rPr>
          <w:rFonts w:ascii="Avenir Next" w:hAnsi="Avenir Next" w:cs="Arial"/>
          <w:color w:val="808080" w:themeColor="background1" w:themeShade="80"/>
          <w:sz w:val="22"/>
          <w:szCs w:val="22"/>
          <w:lang w:val="en-GB"/>
        </w:rPr>
        <w:t xml:space="preserve"> uncertainty and </w:t>
      </w:r>
      <w:r>
        <w:rPr>
          <w:rFonts w:ascii="Avenir Next" w:hAnsi="Avenir Next" w:cs="Arial"/>
          <w:color w:val="808080" w:themeColor="background1" w:themeShade="80"/>
          <w:sz w:val="22"/>
          <w:szCs w:val="22"/>
          <w:lang w:val="en-GB"/>
        </w:rPr>
        <w:t xml:space="preserve">(c) liquidators being disincentivised from </w:t>
      </w:r>
      <w:r w:rsidR="002D17BB">
        <w:rPr>
          <w:rFonts w:ascii="Avenir Next" w:hAnsi="Avenir Next" w:cs="Arial"/>
          <w:color w:val="808080" w:themeColor="background1" w:themeShade="80"/>
          <w:sz w:val="22"/>
          <w:szCs w:val="22"/>
          <w:lang w:val="en-GB"/>
        </w:rPr>
        <w:t>bringing</w:t>
      </w:r>
      <w:r>
        <w:rPr>
          <w:rFonts w:ascii="Avenir Next" w:hAnsi="Avenir Next" w:cs="Arial"/>
          <w:color w:val="808080" w:themeColor="background1" w:themeShade="80"/>
          <w:sz w:val="22"/>
          <w:szCs w:val="22"/>
          <w:lang w:val="en-GB"/>
        </w:rPr>
        <w:t xml:space="preserve"> said action</w:t>
      </w:r>
      <w:r w:rsidR="003F28F7">
        <w:rPr>
          <w:rFonts w:ascii="Avenir Next" w:hAnsi="Avenir Next" w:cs="Arial"/>
          <w:color w:val="808080" w:themeColor="background1" w:themeShade="80"/>
          <w:sz w:val="22"/>
          <w:szCs w:val="22"/>
          <w:lang w:val="en-GB"/>
        </w:rPr>
        <w:t xml:space="preserve">.  </w:t>
      </w:r>
    </w:p>
    <w:p w14:paraId="7EC7A5B7" w14:textId="77777777" w:rsidR="00BA0983" w:rsidRDefault="00BA0983" w:rsidP="00BA0983">
      <w:pPr>
        <w:pStyle w:val="ListParagraph"/>
        <w:ind w:left="360"/>
        <w:jc w:val="both"/>
        <w:rPr>
          <w:rFonts w:ascii="Avenir Next" w:hAnsi="Avenir Next" w:cs="Arial"/>
          <w:color w:val="808080" w:themeColor="background1" w:themeShade="80"/>
          <w:sz w:val="22"/>
          <w:szCs w:val="22"/>
          <w:lang w:val="en-GB"/>
        </w:rPr>
      </w:pPr>
    </w:p>
    <w:p w14:paraId="6DFA5525" w14:textId="77777777" w:rsidR="00CB098A" w:rsidRDefault="00FE0030" w:rsidP="00C70B17">
      <w:pPr>
        <w:pStyle w:val="ListParagraph"/>
        <w:numPr>
          <w:ilvl w:val="0"/>
          <w:numId w:val="25"/>
        </w:numPr>
        <w:jc w:val="both"/>
        <w:rPr>
          <w:rFonts w:ascii="Avenir Next" w:hAnsi="Avenir Next" w:cs="Arial"/>
          <w:color w:val="808080" w:themeColor="background1" w:themeShade="80"/>
          <w:sz w:val="22"/>
          <w:szCs w:val="22"/>
          <w:lang w:val="en-GB"/>
        </w:rPr>
      </w:pPr>
      <w:r w:rsidRPr="00BA0983">
        <w:rPr>
          <w:rFonts w:ascii="Avenir Next" w:hAnsi="Avenir Next" w:cs="Arial"/>
          <w:color w:val="808080" w:themeColor="background1" w:themeShade="80"/>
          <w:sz w:val="22"/>
          <w:szCs w:val="22"/>
          <w:lang w:val="en-GB"/>
        </w:rPr>
        <w:t>UNCITRAL Model Law on Recognition and Enforcement of Insolvency-Related Judgments (2018)</w:t>
      </w:r>
      <w:r w:rsidR="00B35107">
        <w:rPr>
          <w:rFonts w:ascii="Avenir Next" w:hAnsi="Avenir Next" w:cs="Arial"/>
          <w:color w:val="808080" w:themeColor="background1" w:themeShade="80"/>
          <w:sz w:val="22"/>
          <w:szCs w:val="22"/>
          <w:lang w:val="en-GB"/>
        </w:rPr>
        <w:t xml:space="preserve"> (</w:t>
      </w:r>
      <w:r w:rsidR="00B35107" w:rsidRPr="00B35107">
        <w:rPr>
          <w:rFonts w:ascii="Avenir Next" w:hAnsi="Avenir Next" w:cs="Arial"/>
          <w:b/>
          <w:bCs/>
          <w:color w:val="808080" w:themeColor="background1" w:themeShade="80"/>
          <w:sz w:val="22"/>
          <w:szCs w:val="22"/>
          <w:lang w:val="en-GB"/>
        </w:rPr>
        <w:t>MLIJ</w:t>
      </w:r>
      <w:r w:rsidR="00B35107">
        <w:rPr>
          <w:rFonts w:ascii="Avenir Next" w:hAnsi="Avenir Next" w:cs="Arial"/>
          <w:color w:val="808080" w:themeColor="background1" w:themeShade="80"/>
          <w:sz w:val="22"/>
          <w:szCs w:val="22"/>
          <w:lang w:val="en-GB"/>
        </w:rPr>
        <w:t>)</w:t>
      </w:r>
      <w:r w:rsidR="00BA0983">
        <w:rPr>
          <w:rFonts w:ascii="Avenir Next" w:hAnsi="Avenir Next" w:cs="Arial"/>
          <w:color w:val="808080" w:themeColor="background1" w:themeShade="80"/>
          <w:sz w:val="22"/>
          <w:szCs w:val="22"/>
          <w:lang w:val="en-GB"/>
        </w:rPr>
        <w:t>.</w:t>
      </w:r>
      <w:r w:rsidR="00A7565E">
        <w:rPr>
          <w:rFonts w:ascii="Avenir Next" w:hAnsi="Avenir Next" w:cs="Arial"/>
          <w:color w:val="808080" w:themeColor="background1" w:themeShade="80"/>
          <w:sz w:val="22"/>
          <w:szCs w:val="22"/>
          <w:lang w:val="en-GB"/>
        </w:rPr>
        <w:t xml:space="preserve"> </w:t>
      </w:r>
    </w:p>
    <w:p w14:paraId="41E6C055" w14:textId="77777777" w:rsidR="00CB098A" w:rsidRPr="00535889" w:rsidRDefault="00CB098A" w:rsidP="00CB098A">
      <w:pPr>
        <w:pStyle w:val="ListParagraph"/>
        <w:ind w:left="360"/>
        <w:jc w:val="both"/>
        <w:rPr>
          <w:rFonts w:ascii="Avenir Next" w:hAnsi="Avenir Next" w:cs="Arial"/>
          <w:color w:val="808080" w:themeColor="background1" w:themeShade="80"/>
          <w:sz w:val="14"/>
          <w:szCs w:val="14"/>
          <w:lang w:val="en-GB"/>
        </w:rPr>
      </w:pPr>
    </w:p>
    <w:p w14:paraId="145610A3" w14:textId="3D5F1997" w:rsidR="00FE0030" w:rsidRPr="00BA0983" w:rsidRDefault="00B35107" w:rsidP="00CB098A">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MLIJ provides a framework</w:t>
      </w:r>
      <w:r w:rsidR="00F56E72">
        <w:rPr>
          <w:rFonts w:ascii="Avenir Next" w:hAnsi="Avenir Next" w:cs="Arial"/>
          <w:color w:val="808080" w:themeColor="background1" w:themeShade="80"/>
          <w:sz w:val="22"/>
          <w:szCs w:val="22"/>
          <w:lang w:val="en-GB"/>
        </w:rPr>
        <w:t xml:space="preserve"> (or recommended legislative text)</w:t>
      </w:r>
      <w:r>
        <w:rPr>
          <w:rFonts w:ascii="Avenir Next" w:hAnsi="Avenir Next" w:cs="Arial"/>
          <w:color w:val="808080" w:themeColor="background1" w:themeShade="80"/>
          <w:sz w:val="22"/>
          <w:szCs w:val="22"/>
          <w:lang w:val="en-GB"/>
        </w:rPr>
        <w:t xml:space="preserve"> for States to adopt </w:t>
      </w:r>
      <w:r w:rsidR="00073452">
        <w:rPr>
          <w:rFonts w:ascii="Avenir Next" w:hAnsi="Avenir Next" w:cs="Arial"/>
          <w:color w:val="808080" w:themeColor="background1" w:themeShade="80"/>
          <w:sz w:val="22"/>
          <w:szCs w:val="22"/>
          <w:lang w:val="en-GB"/>
        </w:rPr>
        <w:t xml:space="preserve">a simple regime when evaluating how to recognise and enforce concurrent </w:t>
      </w:r>
      <w:r w:rsidR="0001449B">
        <w:rPr>
          <w:rFonts w:ascii="Avenir Next" w:hAnsi="Avenir Next" w:cs="Arial"/>
          <w:color w:val="808080" w:themeColor="background1" w:themeShade="80"/>
          <w:sz w:val="22"/>
          <w:szCs w:val="22"/>
          <w:lang w:val="en-GB"/>
        </w:rPr>
        <w:t xml:space="preserve">insolvency proceedings, including those involving voidable transactions. </w:t>
      </w:r>
      <w:r w:rsidR="001329BB">
        <w:rPr>
          <w:rFonts w:ascii="Avenir Next" w:hAnsi="Avenir Next" w:cs="Arial"/>
          <w:color w:val="808080" w:themeColor="background1" w:themeShade="80"/>
          <w:sz w:val="22"/>
          <w:szCs w:val="22"/>
          <w:lang w:val="en-GB"/>
        </w:rPr>
        <w:t xml:space="preserve">According to page 11 of the MLIJ, </w:t>
      </w:r>
      <w:r w:rsidR="001A21F4">
        <w:rPr>
          <w:rFonts w:ascii="Avenir Next" w:hAnsi="Avenir Next" w:cs="Arial"/>
          <w:color w:val="808080" w:themeColor="background1" w:themeShade="80"/>
          <w:sz w:val="22"/>
          <w:szCs w:val="22"/>
          <w:lang w:val="en-GB"/>
        </w:rPr>
        <w:t xml:space="preserve">MLIJ was borne </w:t>
      </w:r>
      <w:r w:rsidR="001A21F4">
        <w:rPr>
          <w:rFonts w:ascii="Avenir Next" w:hAnsi="Avenir Next" w:cs="Arial"/>
          <w:color w:val="808080" w:themeColor="background1" w:themeShade="80"/>
          <w:sz w:val="22"/>
          <w:szCs w:val="22"/>
          <w:lang w:val="en-GB"/>
        </w:rPr>
        <w:lastRenderedPageBreak/>
        <w:t xml:space="preserve">out of an acknowledgement that articles 7 and 41 of the </w:t>
      </w:r>
      <w:r w:rsidR="001A21F4" w:rsidRPr="00BA0983">
        <w:rPr>
          <w:rFonts w:ascii="Avenir Next" w:hAnsi="Avenir Next" w:cs="Arial"/>
          <w:color w:val="808080" w:themeColor="background1" w:themeShade="80"/>
          <w:sz w:val="22"/>
          <w:szCs w:val="22"/>
          <w:lang w:val="en-GB"/>
        </w:rPr>
        <w:t>UNCITRAL Model Law</w:t>
      </w:r>
      <w:r w:rsidR="001A21F4">
        <w:rPr>
          <w:rFonts w:ascii="Avenir Next" w:hAnsi="Avenir Next" w:cs="Arial"/>
          <w:color w:val="808080" w:themeColor="background1" w:themeShade="80"/>
          <w:sz w:val="22"/>
          <w:szCs w:val="22"/>
          <w:lang w:val="en-GB"/>
        </w:rPr>
        <w:t xml:space="preserve"> on Cross-Border Insolvency may not provide sufficient authority to </w:t>
      </w:r>
      <w:r w:rsidR="003530CB">
        <w:rPr>
          <w:rFonts w:ascii="Avenir Next" w:hAnsi="Avenir Next" w:cs="Arial"/>
          <w:color w:val="808080" w:themeColor="background1" w:themeShade="80"/>
          <w:sz w:val="22"/>
          <w:szCs w:val="22"/>
          <w:lang w:val="en-GB"/>
        </w:rPr>
        <w:t>deal with this recognition issue.</w:t>
      </w:r>
      <w:r w:rsidR="002D17BB">
        <w:rPr>
          <w:rStyle w:val="FootnoteReference"/>
          <w:rFonts w:ascii="Avenir Next" w:hAnsi="Avenir Next" w:cs="Arial"/>
          <w:color w:val="808080" w:themeColor="background1" w:themeShade="80"/>
          <w:sz w:val="22"/>
          <w:szCs w:val="22"/>
          <w:lang w:val="en-GB"/>
        </w:rPr>
        <w:footnoteReference w:id="45"/>
      </w:r>
      <w:r w:rsidR="003530CB">
        <w:rPr>
          <w:rFonts w:ascii="Avenir Next" w:hAnsi="Avenir Next" w:cs="Arial"/>
          <w:color w:val="808080" w:themeColor="background1" w:themeShade="80"/>
          <w:sz w:val="22"/>
          <w:szCs w:val="22"/>
          <w:lang w:val="en-GB"/>
        </w:rPr>
        <w:t xml:space="preserve"> </w:t>
      </w:r>
    </w:p>
    <w:p w14:paraId="66B2AAAC" w14:textId="77777777" w:rsidR="004D080C" w:rsidRDefault="004D080C" w:rsidP="00692852">
      <w:pPr>
        <w:jc w:val="both"/>
        <w:rPr>
          <w:rFonts w:ascii="Avenir Next" w:hAnsi="Avenir Next" w:cs="Arial"/>
          <w:color w:val="808080" w:themeColor="background1" w:themeShade="80"/>
          <w:sz w:val="22"/>
          <w:szCs w:val="22"/>
          <w:lang w:val="en-GB"/>
        </w:rPr>
      </w:pPr>
    </w:p>
    <w:p w14:paraId="755D6AFF" w14:textId="21691D9A"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69D6CCC0" w14:textId="38144828" w:rsidR="00E91632" w:rsidRDefault="005C5A6B" w:rsidP="005C5A6B">
      <w:pPr>
        <w:jc w:val="both"/>
        <w:rPr>
          <w:rFonts w:ascii="Avenir Next" w:hAnsi="Avenir Next" w:cs="Arial"/>
          <w:color w:val="7B7B7B" w:themeColor="accent3" w:themeShade="BF"/>
          <w:sz w:val="22"/>
          <w:szCs w:val="22"/>
          <w:lang w:val="en-GB"/>
        </w:rPr>
      </w:pPr>
      <w:r w:rsidRPr="005C5A6B">
        <w:rPr>
          <w:rFonts w:ascii="Avenir Next" w:hAnsi="Avenir Next" w:cs="Arial"/>
          <w:color w:val="7B7B7B" w:themeColor="accent3" w:themeShade="BF"/>
          <w:sz w:val="22"/>
          <w:szCs w:val="22"/>
          <w:lang w:val="en-GB"/>
        </w:rPr>
        <w:t>A number of authors attempt to define international insolvency law (</w:t>
      </w:r>
      <w:r w:rsidRPr="005C5A6B">
        <w:rPr>
          <w:rFonts w:ascii="Avenir Next" w:hAnsi="Avenir Next" w:cs="Arial"/>
          <w:b/>
          <w:bCs/>
          <w:color w:val="7B7B7B" w:themeColor="accent3" w:themeShade="BF"/>
          <w:sz w:val="22"/>
          <w:szCs w:val="22"/>
          <w:lang w:val="en-GB"/>
        </w:rPr>
        <w:t>IIL</w:t>
      </w:r>
      <w:r w:rsidRPr="005C5A6B">
        <w:rPr>
          <w:rFonts w:ascii="Avenir Next" w:hAnsi="Avenir Next" w:cs="Arial"/>
          <w:color w:val="7B7B7B" w:themeColor="accent3" w:themeShade="BF"/>
          <w:sz w:val="22"/>
          <w:szCs w:val="22"/>
          <w:lang w:val="en-GB"/>
        </w:rPr>
        <w:t>),</w:t>
      </w:r>
      <w:r w:rsidRPr="005C5A6B">
        <w:rPr>
          <w:rStyle w:val="FootnoteReference"/>
          <w:rFonts w:ascii="Avenir Next" w:hAnsi="Avenir Next" w:cs="Arial"/>
          <w:color w:val="7B7B7B" w:themeColor="accent3" w:themeShade="BF"/>
          <w:sz w:val="22"/>
          <w:szCs w:val="22"/>
          <w:lang w:val="en-GB"/>
        </w:rPr>
        <w:footnoteReference w:id="46"/>
      </w:r>
      <w:r w:rsidRPr="005C5A6B">
        <w:rPr>
          <w:rFonts w:ascii="Avenir Next" w:hAnsi="Avenir Next" w:cs="Arial"/>
          <w:color w:val="7B7B7B" w:themeColor="accent3" w:themeShade="BF"/>
          <w:sz w:val="22"/>
          <w:szCs w:val="22"/>
          <w:lang w:val="en-GB"/>
        </w:rPr>
        <w:t xml:space="preserve"> by explaining the limitations of applying domestic insolvency law where there are international elements to the specific case. </w:t>
      </w:r>
      <w:r w:rsidR="00007F0F" w:rsidRPr="00E91632">
        <w:rPr>
          <w:rFonts w:ascii="Avenir Next" w:hAnsi="Avenir Next" w:cs="Arial"/>
          <w:color w:val="7B7B7B" w:themeColor="accent3" w:themeShade="BF"/>
          <w:sz w:val="22"/>
          <w:szCs w:val="22"/>
          <w:lang w:val="en-GB"/>
        </w:rPr>
        <w:t>Fletcher opines that although this is true of domestic laws, it is also true of each country’s divergence “</w:t>
      </w:r>
      <w:r w:rsidR="00007F0F" w:rsidRPr="00E91632">
        <w:rPr>
          <w:rFonts w:ascii="Avenir Next" w:hAnsi="Avenir Next" w:cs="Arial"/>
          <w:i/>
          <w:iCs/>
          <w:color w:val="7B7B7B" w:themeColor="accent3" w:themeShade="BF"/>
          <w:sz w:val="22"/>
          <w:szCs w:val="22"/>
          <w:lang w:val="en-GB"/>
        </w:rPr>
        <w:t>on many of the private international law aspects of insolvency</w:t>
      </w:r>
      <w:r w:rsidR="00007F0F" w:rsidRPr="00E91632">
        <w:rPr>
          <w:rFonts w:ascii="Avenir Next" w:hAnsi="Avenir Next" w:cs="Arial"/>
          <w:color w:val="7B7B7B" w:themeColor="accent3" w:themeShade="BF"/>
          <w:sz w:val="22"/>
          <w:szCs w:val="22"/>
          <w:lang w:val="en-GB"/>
        </w:rPr>
        <w:t>.”</w:t>
      </w:r>
      <w:r w:rsidR="00007F0F" w:rsidRPr="00E91632">
        <w:rPr>
          <w:rStyle w:val="FootnoteReference"/>
          <w:rFonts w:ascii="Avenir Next" w:hAnsi="Avenir Next" w:cs="Arial"/>
          <w:color w:val="7B7B7B" w:themeColor="accent3" w:themeShade="BF"/>
          <w:sz w:val="22"/>
          <w:szCs w:val="22"/>
          <w:lang w:val="en-GB"/>
        </w:rPr>
        <w:footnoteReference w:id="47"/>
      </w:r>
      <w:r w:rsidR="00007F0F">
        <w:rPr>
          <w:rFonts w:ascii="Avenir Next" w:hAnsi="Avenir Next" w:cs="Arial"/>
          <w:color w:val="7B7B7B" w:themeColor="accent3" w:themeShade="BF"/>
          <w:sz w:val="22"/>
          <w:szCs w:val="22"/>
          <w:lang w:val="en-GB"/>
        </w:rPr>
        <w:t xml:space="preserve"> The</w:t>
      </w:r>
      <w:r w:rsidR="001223D5">
        <w:rPr>
          <w:rFonts w:ascii="Avenir Next" w:hAnsi="Avenir Next" w:cs="Arial"/>
          <w:color w:val="7B7B7B" w:themeColor="accent3" w:themeShade="BF"/>
          <w:sz w:val="22"/>
          <w:szCs w:val="22"/>
          <w:lang w:val="en-GB"/>
        </w:rPr>
        <w:t>refore, the</w:t>
      </w:r>
      <w:r w:rsidR="00007F0F">
        <w:rPr>
          <w:rFonts w:ascii="Avenir Next" w:hAnsi="Avenir Next" w:cs="Arial"/>
          <w:color w:val="7B7B7B" w:themeColor="accent3" w:themeShade="BF"/>
          <w:sz w:val="22"/>
          <w:szCs w:val="22"/>
          <w:lang w:val="en-GB"/>
        </w:rPr>
        <w:t xml:space="preserve"> limitations in this definition</w:t>
      </w:r>
      <w:r w:rsidR="001223D5">
        <w:rPr>
          <w:rFonts w:ascii="Avenir Next" w:hAnsi="Avenir Next" w:cs="Arial"/>
          <w:color w:val="7B7B7B" w:themeColor="accent3" w:themeShade="BF"/>
          <w:sz w:val="22"/>
          <w:szCs w:val="22"/>
          <w:lang w:val="en-GB"/>
        </w:rPr>
        <w:t xml:space="preserve"> are </w:t>
      </w:r>
      <w:r w:rsidR="00697AB9">
        <w:rPr>
          <w:rFonts w:ascii="Avenir Next" w:hAnsi="Avenir Next" w:cs="Arial"/>
          <w:color w:val="7B7B7B" w:themeColor="accent3" w:themeShade="BF"/>
          <w:sz w:val="22"/>
          <w:szCs w:val="22"/>
          <w:lang w:val="en-GB"/>
        </w:rPr>
        <w:t>as follows</w:t>
      </w:r>
      <w:r w:rsidRPr="005C5A6B">
        <w:rPr>
          <w:rFonts w:ascii="Avenir Next" w:hAnsi="Avenir Next" w:cs="Arial"/>
          <w:color w:val="7B7B7B" w:themeColor="accent3" w:themeShade="BF"/>
          <w:sz w:val="22"/>
          <w:szCs w:val="22"/>
          <w:lang w:val="en-GB"/>
        </w:rPr>
        <w:t xml:space="preserve">, </w:t>
      </w:r>
      <w:r w:rsidR="00697AB9">
        <w:rPr>
          <w:rFonts w:ascii="Avenir Next" w:hAnsi="Avenir Next" w:cs="Arial"/>
          <w:color w:val="7B7B7B" w:themeColor="accent3" w:themeShade="BF"/>
          <w:sz w:val="22"/>
          <w:szCs w:val="22"/>
          <w:lang w:val="en-GB"/>
        </w:rPr>
        <w:t xml:space="preserve">in that </w:t>
      </w:r>
      <w:r w:rsidRPr="005C5A6B">
        <w:rPr>
          <w:rFonts w:ascii="Avenir Next" w:hAnsi="Avenir Next" w:cs="Arial"/>
          <w:color w:val="7B7B7B" w:themeColor="accent3" w:themeShade="BF"/>
          <w:sz w:val="22"/>
          <w:szCs w:val="22"/>
          <w:lang w:val="en-GB"/>
        </w:rPr>
        <w:t>each country</w:t>
      </w:r>
      <w:r w:rsidR="00E91632">
        <w:rPr>
          <w:rFonts w:ascii="Avenir Next" w:hAnsi="Avenir Next" w:cs="Arial"/>
          <w:color w:val="7B7B7B" w:themeColor="accent3" w:themeShade="BF"/>
          <w:sz w:val="22"/>
          <w:szCs w:val="22"/>
          <w:lang w:val="en-GB"/>
        </w:rPr>
        <w:t xml:space="preserve"> (</w:t>
      </w:r>
      <w:r w:rsidR="00E91632">
        <w:rPr>
          <w:rFonts w:ascii="Avenir Next" w:hAnsi="Avenir Next" w:cs="Arial"/>
          <w:i/>
          <w:iCs/>
          <w:color w:val="7B7B7B" w:themeColor="accent3" w:themeShade="BF"/>
          <w:sz w:val="22"/>
          <w:szCs w:val="22"/>
          <w:lang w:val="en-GB"/>
        </w:rPr>
        <w:t>inter alia</w:t>
      </w:r>
      <w:r w:rsidR="00E91632">
        <w:rPr>
          <w:rFonts w:ascii="Avenir Next" w:hAnsi="Avenir Next" w:cs="Arial"/>
          <w:color w:val="7B7B7B" w:themeColor="accent3" w:themeShade="BF"/>
          <w:sz w:val="22"/>
          <w:szCs w:val="22"/>
          <w:lang w:val="en-GB"/>
        </w:rPr>
        <w:t>):</w:t>
      </w:r>
      <w:r w:rsidRPr="005C5A6B">
        <w:rPr>
          <w:rFonts w:ascii="Avenir Next" w:hAnsi="Avenir Next" w:cs="Arial"/>
          <w:color w:val="7B7B7B" w:themeColor="accent3" w:themeShade="BF"/>
          <w:sz w:val="22"/>
          <w:szCs w:val="22"/>
          <w:lang w:val="en-GB"/>
        </w:rPr>
        <w:t xml:space="preserve"> </w:t>
      </w:r>
    </w:p>
    <w:p w14:paraId="09915C5C" w14:textId="77777777" w:rsidR="00E91632" w:rsidRDefault="00E91632" w:rsidP="005C5A6B">
      <w:pPr>
        <w:jc w:val="both"/>
        <w:rPr>
          <w:rFonts w:ascii="Avenir Next" w:hAnsi="Avenir Next" w:cs="Arial"/>
          <w:color w:val="7B7B7B" w:themeColor="accent3" w:themeShade="BF"/>
          <w:sz w:val="22"/>
          <w:szCs w:val="22"/>
          <w:lang w:val="en-GB"/>
        </w:rPr>
      </w:pPr>
    </w:p>
    <w:p w14:paraId="4F8EC295" w14:textId="23CC47D7" w:rsidR="00E91632" w:rsidRDefault="00612947" w:rsidP="00E91632">
      <w:pPr>
        <w:pStyle w:val="ListParagraph"/>
        <w:numPr>
          <w:ilvl w:val="0"/>
          <w:numId w:val="25"/>
        </w:numPr>
        <w:jc w:val="both"/>
        <w:rPr>
          <w:rFonts w:ascii="Avenir Next" w:hAnsi="Avenir Next" w:cs="Arial"/>
          <w:color w:val="7B7B7B" w:themeColor="accent3" w:themeShade="BF"/>
          <w:sz w:val="22"/>
          <w:szCs w:val="22"/>
          <w:lang w:val="en-GB"/>
        </w:rPr>
      </w:pPr>
      <w:r w:rsidRPr="00E91632">
        <w:rPr>
          <w:rFonts w:ascii="Avenir Next" w:hAnsi="Avenir Next" w:cs="Arial"/>
          <w:color w:val="7B7B7B" w:themeColor="accent3" w:themeShade="BF"/>
          <w:sz w:val="22"/>
          <w:szCs w:val="22"/>
          <w:lang w:val="en-GB"/>
        </w:rPr>
        <w:t xml:space="preserve">may not have a refined national </w:t>
      </w:r>
      <w:r w:rsidR="00697AB9">
        <w:rPr>
          <w:rFonts w:ascii="Avenir Next" w:hAnsi="Avenir Next" w:cs="Arial"/>
          <w:color w:val="7B7B7B" w:themeColor="accent3" w:themeShade="BF"/>
          <w:sz w:val="22"/>
          <w:szCs w:val="22"/>
          <w:lang w:val="en-GB"/>
        </w:rPr>
        <w:t xml:space="preserve">insolvency </w:t>
      </w:r>
      <w:r w:rsidRPr="00E91632">
        <w:rPr>
          <w:rFonts w:ascii="Avenir Next" w:hAnsi="Avenir Next" w:cs="Arial"/>
          <w:color w:val="7B7B7B" w:themeColor="accent3" w:themeShade="BF"/>
          <w:sz w:val="22"/>
          <w:szCs w:val="22"/>
          <w:lang w:val="en-GB"/>
        </w:rPr>
        <w:t>legal framework</w:t>
      </w:r>
      <w:r w:rsidR="00E91632">
        <w:rPr>
          <w:rFonts w:ascii="Avenir Next" w:hAnsi="Avenir Next" w:cs="Arial"/>
          <w:color w:val="7B7B7B" w:themeColor="accent3" w:themeShade="BF"/>
          <w:sz w:val="22"/>
          <w:szCs w:val="22"/>
          <w:lang w:val="en-GB"/>
        </w:rPr>
        <w:t>;</w:t>
      </w:r>
      <w:r w:rsidR="00485BAE" w:rsidRPr="00E91632">
        <w:rPr>
          <w:rStyle w:val="FootnoteReference"/>
          <w:rFonts w:ascii="Avenir Next" w:hAnsi="Avenir Next" w:cs="Arial"/>
          <w:color w:val="7B7B7B" w:themeColor="accent3" w:themeShade="BF"/>
          <w:sz w:val="22"/>
          <w:szCs w:val="22"/>
          <w:lang w:val="en-GB"/>
        </w:rPr>
        <w:footnoteReference w:id="48"/>
      </w:r>
      <w:r w:rsidR="00C90C02" w:rsidRPr="00E91632">
        <w:rPr>
          <w:rFonts w:ascii="Avenir Next" w:hAnsi="Avenir Next" w:cs="Arial"/>
          <w:color w:val="7B7B7B" w:themeColor="accent3" w:themeShade="BF"/>
          <w:sz w:val="22"/>
          <w:szCs w:val="22"/>
          <w:lang w:val="en-GB"/>
        </w:rPr>
        <w:t xml:space="preserve"> </w:t>
      </w:r>
    </w:p>
    <w:p w14:paraId="76CA462A" w14:textId="77777777" w:rsidR="00697AB9" w:rsidRDefault="00697AB9" w:rsidP="00697AB9">
      <w:pPr>
        <w:pStyle w:val="ListParagraph"/>
        <w:ind w:left="360"/>
        <w:jc w:val="both"/>
        <w:rPr>
          <w:rFonts w:ascii="Avenir Next" w:hAnsi="Avenir Next" w:cs="Arial"/>
          <w:color w:val="7B7B7B" w:themeColor="accent3" w:themeShade="BF"/>
          <w:sz w:val="22"/>
          <w:szCs w:val="22"/>
          <w:lang w:val="en-GB"/>
        </w:rPr>
      </w:pPr>
    </w:p>
    <w:p w14:paraId="7800206A" w14:textId="77777777" w:rsidR="00A4266C" w:rsidRDefault="00007F0F" w:rsidP="00E91632">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may have a </w:t>
      </w:r>
      <w:r w:rsidR="00C90C02" w:rsidRPr="00E91632">
        <w:rPr>
          <w:rFonts w:ascii="Avenir Next" w:hAnsi="Avenir Next" w:cs="Arial"/>
          <w:color w:val="7B7B7B" w:themeColor="accent3" w:themeShade="BF"/>
          <w:sz w:val="22"/>
          <w:szCs w:val="22"/>
          <w:lang w:val="en-GB"/>
        </w:rPr>
        <w:t xml:space="preserve">national </w:t>
      </w:r>
      <w:r w:rsidR="00697AB9">
        <w:rPr>
          <w:rFonts w:ascii="Avenir Next" w:hAnsi="Avenir Next" w:cs="Arial"/>
          <w:color w:val="7B7B7B" w:themeColor="accent3" w:themeShade="BF"/>
          <w:sz w:val="22"/>
          <w:szCs w:val="22"/>
          <w:lang w:val="en-GB"/>
        </w:rPr>
        <w:t xml:space="preserve">insolvency </w:t>
      </w:r>
      <w:r w:rsidR="00C90C02" w:rsidRPr="00E91632">
        <w:rPr>
          <w:rFonts w:ascii="Avenir Next" w:hAnsi="Avenir Next" w:cs="Arial"/>
          <w:color w:val="7B7B7B" w:themeColor="accent3" w:themeShade="BF"/>
          <w:sz w:val="22"/>
          <w:szCs w:val="22"/>
          <w:lang w:val="en-GB"/>
        </w:rPr>
        <w:t xml:space="preserve">legal framework </w:t>
      </w:r>
      <w:r>
        <w:rPr>
          <w:rFonts w:ascii="Avenir Next" w:hAnsi="Avenir Next" w:cs="Arial"/>
          <w:color w:val="7B7B7B" w:themeColor="accent3" w:themeShade="BF"/>
          <w:sz w:val="22"/>
          <w:szCs w:val="22"/>
          <w:lang w:val="en-GB"/>
        </w:rPr>
        <w:t>that is ill-equipped to deal with cross-border insolvencies</w:t>
      </w:r>
      <w:r w:rsidR="00110B18">
        <w:rPr>
          <w:rFonts w:ascii="Avenir Next" w:hAnsi="Avenir Next" w:cs="Arial"/>
          <w:color w:val="7B7B7B" w:themeColor="accent3" w:themeShade="BF"/>
          <w:sz w:val="22"/>
          <w:szCs w:val="22"/>
          <w:lang w:val="en-GB"/>
        </w:rPr>
        <w:t xml:space="preserve"> that may arise due to the common marketplace that many States operate in (for example </w:t>
      </w:r>
      <w:r w:rsidR="00573258">
        <w:rPr>
          <w:rFonts w:ascii="Avenir Next" w:hAnsi="Avenir Next" w:cs="Arial"/>
          <w:color w:val="7B7B7B" w:themeColor="accent3" w:themeShade="BF"/>
          <w:sz w:val="22"/>
          <w:szCs w:val="22"/>
          <w:lang w:val="en-GB"/>
        </w:rPr>
        <w:t xml:space="preserve">States </w:t>
      </w:r>
      <w:r w:rsidR="00DC3536">
        <w:rPr>
          <w:rFonts w:ascii="Avenir Next" w:hAnsi="Avenir Next" w:cs="Arial"/>
          <w:color w:val="7B7B7B" w:themeColor="accent3" w:themeShade="BF"/>
          <w:sz w:val="22"/>
          <w:szCs w:val="22"/>
          <w:lang w:val="en-GB"/>
        </w:rPr>
        <w:t>that participate in the Road-and-Belt Initiative)</w:t>
      </w:r>
      <w:r>
        <w:rPr>
          <w:rFonts w:ascii="Avenir Next" w:hAnsi="Avenir Next" w:cs="Arial"/>
          <w:color w:val="7B7B7B" w:themeColor="accent3" w:themeShade="BF"/>
          <w:sz w:val="22"/>
          <w:szCs w:val="22"/>
          <w:lang w:val="en-GB"/>
        </w:rPr>
        <w:t>;</w:t>
      </w:r>
    </w:p>
    <w:p w14:paraId="37E86EE4" w14:textId="77777777" w:rsidR="00A4266C" w:rsidRPr="00A4266C" w:rsidRDefault="00A4266C" w:rsidP="00A4266C">
      <w:pPr>
        <w:pStyle w:val="ListParagraph"/>
        <w:rPr>
          <w:rFonts w:ascii="Avenir Next" w:hAnsi="Avenir Next" w:cs="Arial"/>
          <w:color w:val="7B7B7B" w:themeColor="accent3" w:themeShade="BF"/>
          <w:sz w:val="22"/>
          <w:szCs w:val="22"/>
          <w:lang w:val="en-GB"/>
        </w:rPr>
      </w:pPr>
    </w:p>
    <w:p w14:paraId="57A3BF42" w14:textId="77777777" w:rsidR="004538FD" w:rsidRDefault="00150677" w:rsidP="00150677">
      <w:pPr>
        <w:pStyle w:val="ListParagraph"/>
        <w:numPr>
          <w:ilvl w:val="0"/>
          <w:numId w:val="25"/>
        </w:numPr>
        <w:jc w:val="both"/>
        <w:rPr>
          <w:rFonts w:ascii="Avenir Next" w:hAnsi="Avenir Next" w:cs="Arial"/>
          <w:color w:val="7B7B7B" w:themeColor="accent3" w:themeShade="BF"/>
          <w:sz w:val="22"/>
          <w:szCs w:val="22"/>
          <w:lang w:val="en-GB"/>
        </w:rPr>
      </w:pPr>
      <w:r w:rsidRPr="00E91632">
        <w:rPr>
          <w:rFonts w:ascii="Avenir Next" w:hAnsi="Avenir Next" w:cs="Arial"/>
          <w:color w:val="7B7B7B" w:themeColor="accent3" w:themeShade="BF"/>
          <w:sz w:val="22"/>
          <w:szCs w:val="22"/>
          <w:lang w:val="en-GB"/>
        </w:rPr>
        <w:t>has its own rules, laws, approaches, cultures, politics, customs, policies, etc,</w:t>
      </w:r>
      <w:r>
        <w:rPr>
          <w:rFonts w:ascii="Avenir Next" w:hAnsi="Avenir Next" w:cs="Arial"/>
          <w:color w:val="7B7B7B" w:themeColor="accent3" w:themeShade="BF"/>
          <w:sz w:val="22"/>
          <w:szCs w:val="22"/>
          <w:lang w:val="en-GB"/>
        </w:rPr>
        <w:t xml:space="preserve"> that may be incompatible with another State,</w:t>
      </w:r>
      <w:r>
        <w:rPr>
          <w:rStyle w:val="FootnoteReference"/>
          <w:rFonts w:ascii="Avenir Next" w:hAnsi="Avenir Next" w:cs="Arial"/>
          <w:color w:val="7B7B7B" w:themeColor="accent3" w:themeShade="BF"/>
          <w:sz w:val="22"/>
          <w:szCs w:val="22"/>
          <w:lang w:val="en-GB"/>
        </w:rPr>
        <w:footnoteReference w:id="49"/>
      </w:r>
      <w:r>
        <w:rPr>
          <w:rFonts w:ascii="Avenir Next" w:hAnsi="Avenir Next" w:cs="Arial"/>
          <w:color w:val="7B7B7B" w:themeColor="accent3" w:themeShade="BF"/>
          <w:sz w:val="22"/>
          <w:szCs w:val="22"/>
          <w:lang w:val="en-GB"/>
        </w:rPr>
        <w:t xml:space="preserve"> as well as </w:t>
      </w:r>
      <w:r w:rsidRPr="00E91632">
        <w:rPr>
          <w:rFonts w:ascii="Avenir Next" w:hAnsi="Avenir Next" w:cs="Arial"/>
          <w:color w:val="7B7B7B" w:themeColor="accent3" w:themeShade="BF"/>
          <w:sz w:val="22"/>
          <w:szCs w:val="22"/>
          <w:lang w:val="en-GB"/>
        </w:rPr>
        <w:t xml:space="preserve">there </w:t>
      </w:r>
      <w:r>
        <w:rPr>
          <w:rFonts w:ascii="Avenir Next" w:hAnsi="Avenir Next" w:cs="Arial"/>
          <w:color w:val="7B7B7B" w:themeColor="accent3" w:themeShade="BF"/>
          <w:sz w:val="22"/>
          <w:szCs w:val="22"/>
          <w:lang w:val="en-GB"/>
        </w:rPr>
        <w:t>bein</w:t>
      </w:r>
      <w:r w:rsidRPr="002D35F6">
        <w:rPr>
          <w:rFonts w:ascii="Avenir Next" w:hAnsi="Avenir Next" w:cs="Arial"/>
          <w:color w:val="7B7B7B" w:themeColor="accent3" w:themeShade="BF"/>
          <w:sz w:val="22"/>
          <w:szCs w:val="22"/>
          <w:lang w:val="en-GB"/>
        </w:rPr>
        <w:t>g no global set of insolvency laws</w:t>
      </w:r>
      <w:r w:rsidR="006F0FC4" w:rsidRPr="002D35F6">
        <w:rPr>
          <w:rFonts w:ascii="Avenir Next" w:hAnsi="Avenir Next" w:cs="Arial"/>
          <w:color w:val="7B7B7B" w:themeColor="accent3" w:themeShade="BF"/>
          <w:sz w:val="22"/>
          <w:szCs w:val="22"/>
          <w:lang w:val="en-GB"/>
        </w:rPr>
        <w:t>.</w:t>
      </w:r>
      <w:r w:rsidRPr="002D35F6">
        <w:rPr>
          <w:rStyle w:val="FootnoteReference"/>
          <w:rFonts w:ascii="Avenir Next" w:hAnsi="Avenir Next" w:cs="Arial"/>
          <w:color w:val="7B7B7B" w:themeColor="accent3" w:themeShade="BF"/>
          <w:sz w:val="22"/>
          <w:szCs w:val="22"/>
          <w:lang w:val="en-GB"/>
        </w:rPr>
        <w:footnoteReference w:id="50"/>
      </w:r>
      <w:r w:rsidRPr="002D35F6">
        <w:rPr>
          <w:rFonts w:ascii="Avenir Next" w:hAnsi="Avenir Next" w:cs="Arial"/>
          <w:color w:val="7B7B7B" w:themeColor="accent3" w:themeShade="BF"/>
          <w:sz w:val="22"/>
          <w:szCs w:val="22"/>
          <w:lang w:val="en-GB"/>
        </w:rPr>
        <w:t xml:space="preserve"> </w:t>
      </w:r>
    </w:p>
    <w:p w14:paraId="3FED31FA" w14:textId="77777777" w:rsidR="004538FD" w:rsidRPr="004538FD" w:rsidRDefault="004538FD" w:rsidP="004538FD">
      <w:pPr>
        <w:pStyle w:val="ListParagraph"/>
        <w:rPr>
          <w:rFonts w:ascii="Avenir Next" w:hAnsi="Avenir Next" w:cs="Arial"/>
          <w:color w:val="7B7B7B" w:themeColor="accent3" w:themeShade="BF"/>
          <w:sz w:val="10"/>
          <w:szCs w:val="10"/>
          <w:lang w:val="en-GB"/>
        </w:rPr>
      </w:pPr>
    </w:p>
    <w:p w14:paraId="65EC7C5B" w14:textId="77777777" w:rsidR="004538FD" w:rsidRDefault="00963230" w:rsidP="004538FD">
      <w:pPr>
        <w:pStyle w:val="ListParagraph"/>
        <w:ind w:left="360"/>
        <w:jc w:val="both"/>
        <w:rPr>
          <w:rFonts w:ascii="Avenir Next" w:hAnsi="Avenir Next" w:cs="Arial"/>
          <w:color w:val="7B7B7B" w:themeColor="accent3" w:themeShade="BF"/>
          <w:sz w:val="22"/>
          <w:szCs w:val="22"/>
          <w:lang w:val="en-GB"/>
        </w:rPr>
      </w:pPr>
      <w:r w:rsidRPr="00963230">
        <w:rPr>
          <w:rFonts w:ascii="Avenir Next" w:hAnsi="Avenir Next" w:cs="Arial"/>
          <w:color w:val="7B7B7B" w:themeColor="accent3" w:themeShade="BF"/>
          <w:sz w:val="22"/>
          <w:szCs w:val="22"/>
          <w:lang w:val="en-GB"/>
        </w:rPr>
        <w:t>Omar records that the way in which creditors are treated by domestic laws can also have an influence.</w:t>
      </w:r>
      <w:r w:rsidRPr="00963230">
        <w:rPr>
          <w:rFonts w:ascii="Avenir Next" w:hAnsi="Avenir Next" w:cs="Arial"/>
          <w:color w:val="7B7B7B" w:themeColor="accent3" w:themeShade="BF"/>
          <w:sz w:val="22"/>
          <w:szCs w:val="22"/>
          <w:vertAlign w:val="superscript"/>
          <w:lang w:val="en-GB"/>
        </w:rPr>
        <w:footnoteReference w:id="51"/>
      </w:r>
      <w:r w:rsidRPr="00963230">
        <w:rPr>
          <w:rFonts w:ascii="Avenir Next" w:hAnsi="Avenir Next" w:cs="Arial"/>
          <w:color w:val="7B7B7B" w:themeColor="accent3" w:themeShade="BF"/>
          <w:sz w:val="22"/>
          <w:szCs w:val="22"/>
          <w:lang w:val="en-GB"/>
        </w:rPr>
        <w:t xml:space="preserve"> </w:t>
      </w:r>
    </w:p>
    <w:p w14:paraId="0A23EF88" w14:textId="77777777" w:rsidR="004538FD" w:rsidRPr="004538FD" w:rsidRDefault="004538FD" w:rsidP="004538FD">
      <w:pPr>
        <w:pStyle w:val="ListParagraph"/>
        <w:ind w:left="360"/>
        <w:jc w:val="both"/>
        <w:rPr>
          <w:rFonts w:ascii="Avenir Next" w:hAnsi="Avenir Next" w:cs="Arial"/>
          <w:color w:val="7B7B7B" w:themeColor="accent3" w:themeShade="BF"/>
          <w:sz w:val="10"/>
          <w:szCs w:val="10"/>
          <w:lang w:val="en-GB"/>
        </w:rPr>
      </w:pPr>
    </w:p>
    <w:p w14:paraId="06D08A6A" w14:textId="659FBE6E" w:rsidR="00150677" w:rsidRDefault="00963230" w:rsidP="004538FD">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Other</w:t>
      </w:r>
      <w:r w:rsidR="006F0FC4" w:rsidRPr="002D35F6">
        <w:rPr>
          <w:rFonts w:ascii="Avenir Next" w:hAnsi="Avenir Next" w:cs="Arial"/>
          <w:color w:val="7B7B7B" w:themeColor="accent3" w:themeShade="BF"/>
          <w:sz w:val="22"/>
          <w:szCs w:val="22"/>
          <w:lang w:val="en-GB"/>
        </w:rPr>
        <w:t xml:space="preserve"> international elements may include (on a non-exclusive basis) </w:t>
      </w:r>
      <w:r w:rsidR="003459CB" w:rsidRPr="00963230">
        <w:rPr>
          <w:rFonts w:ascii="Avenir Next" w:hAnsi="Avenir Next" w:cs="Arial"/>
          <w:color w:val="7B7B7B" w:themeColor="accent3" w:themeShade="BF"/>
          <w:sz w:val="22"/>
          <w:szCs w:val="22"/>
          <w:lang w:val="en-GB"/>
        </w:rPr>
        <w:t xml:space="preserve">the way employee entitlements are subrogated by </w:t>
      </w:r>
      <w:r w:rsidR="003459CB">
        <w:rPr>
          <w:rFonts w:ascii="Avenir Next" w:hAnsi="Avenir Next" w:cs="Arial"/>
          <w:color w:val="7B7B7B" w:themeColor="accent3" w:themeShade="BF"/>
          <w:sz w:val="22"/>
          <w:szCs w:val="22"/>
          <w:lang w:val="en-GB"/>
        </w:rPr>
        <w:t>the relevant State,</w:t>
      </w:r>
      <w:r w:rsidR="003459CB" w:rsidRPr="002D35F6">
        <w:rPr>
          <w:rFonts w:ascii="Avenir Next" w:hAnsi="Avenir Next" w:cs="Arial"/>
          <w:color w:val="7B7B7B" w:themeColor="accent3" w:themeShade="BF"/>
          <w:sz w:val="22"/>
          <w:szCs w:val="22"/>
          <w:lang w:val="en-GB"/>
        </w:rPr>
        <w:t xml:space="preserve"> </w:t>
      </w:r>
      <w:r w:rsidR="004950FB">
        <w:rPr>
          <w:rFonts w:ascii="Avenir Next" w:hAnsi="Avenir Next" w:cs="Arial"/>
          <w:color w:val="7B7B7B" w:themeColor="accent3" w:themeShade="BF"/>
          <w:sz w:val="22"/>
          <w:szCs w:val="22"/>
          <w:lang w:val="en-GB"/>
        </w:rPr>
        <w:t>secured</w:t>
      </w:r>
      <w:r w:rsidR="003459CB" w:rsidRPr="00963230">
        <w:rPr>
          <w:rFonts w:ascii="Avenir Next" w:hAnsi="Avenir Next" w:cs="Arial"/>
          <w:color w:val="7B7B7B" w:themeColor="accent3" w:themeShade="BF"/>
          <w:sz w:val="22"/>
          <w:szCs w:val="22"/>
          <w:lang w:val="en-GB"/>
        </w:rPr>
        <w:t xml:space="preserve"> creditor enforcement rights (for example, </w:t>
      </w:r>
      <w:r w:rsidR="004538FD">
        <w:rPr>
          <w:rFonts w:ascii="Avenir Next" w:hAnsi="Avenir Next" w:cs="Arial"/>
          <w:color w:val="7B7B7B" w:themeColor="accent3" w:themeShade="BF"/>
          <w:sz w:val="22"/>
          <w:szCs w:val="22"/>
          <w:lang w:val="en-GB"/>
        </w:rPr>
        <w:t xml:space="preserve">New Zealand, </w:t>
      </w:r>
      <w:r w:rsidR="003459CB" w:rsidRPr="00963230">
        <w:rPr>
          <w:rFonts w:ascii="Avenir Next" w:hAnsi="Avenir Next" w:cs="Arial"/>
          <w:color w:val="7B7B7B" w:themeColor="accent3" w:themeShade="BF"/>
          <w:sz w:val="22"/>
          <w:szCs w:val="22"/>
          <w:lang w:val="en-GB"/>
        </w:rPr>
        <w:t>Australia</w:t>
      </w:r>
      <w:r w:rsidR="007D3435">
        <w:rPr>
          <w:rFonts w:ascii="Avenir Next" w:hAnsi="Avenir Next" w:cs="Arial"/>
          <w:color w:val="7B7B7B" w:themeColor="accent3" w:themeShade="BF"/>
          <w:sz w:val="22"/>
          <w:szCs w:val="22"/>
          <w:lang w:val="en-GB"/>
        </w:rPr>
        <w:t xml:space="preserve"> and Canada (at least) </w:t>
      </w:r>
      <w:r w:rsidR="003459CB" w:rsidRPr="00963230">
        <w:rPr>
          <w:rFonts w:ascii="Avenir Next" w:hAnsi="Avenir Next" w:cs="Arial"/>
          <w:color w:val="7B7B7B" w:themeColor="accent3" w:themeShade="BF"/>
          <w:sz w:val="22"/>
          <w:szCs w:val="22"/>
          <w:lang w:val="en-GB"/>
        </w:rPr>
        <w:t>have Personal Property Securities Register</w:t>
      </w:r>
      <w:r w:rsidR="007D3435">
        <w:rPr>
          <w:rFonts w:ascii="Avenir Next" w:hAnsi="Avenir Next" w:cs="Arial"/>
          <w:color w:val="7B7B7B" w:themeColor="accent3" w:themeShade="BF"/>
          <w:sz w:val="22"/>
          <w:szCs w:val="22"/>
          <w:lang w:val="en-GB"/>
        </w:rPr>
        <w:t>s</w:t>
      </w:r>
      <w:r w:rsidR="003459CB" w:rsidRPr="00963230">
        <w:rPr>
          <w:rFonts w:ascii="Avenir Next" w:hAnsi="Avenir Next" w:cs="Arial"/>
          <w:color w:val="7B7B7B" w:themeColor="accent3" w:themeShade="BF"/>
          <w:sz w:val="22"/>
          <w:szCs w:val="22"/>
          <w:lang w:val="en-GB"/>
        </w:rPr>
        <w:t xml:space="preserve">), contractual or statutory set-off rights, automatic stays on </w:t>
      </w:r>
      <w:r w:rsidR="003459CB" w:rsidRPr="00963230">
        <w:rPr>
          <w:rFonts w:ascii="Avenir Next" w:hAnsi="Avenir Next" w:cs="Arial"/>
          <w:i/>
          <w:iCs/>
          <w:color w:val="7B7B7B" w:themeColor="accent3" w:themeShade="BF"/>
          <w:sz w:val="22"/>
          <w:szCs w:val="22"/>
          <w:lang w:val="en-GB"/>
        </w:rPr>
        <w:t>ipso facto</w:t>
      </w:r>
      <w:r w:rsidR="003459CB" w:rsidRPr="00963230">
        <w:rPr>
          <w:rFonts w:ascii="Avenir Next" w:hAnsi="Avenir Next" w:cs="Arial"/>
          <w:color w:val="7B7B7B" w:themeColor="accent3" w:themeShade="BF"/>
          <w:sz w:val="22"/>
          <w:szCs w:val="22"/>
          <w:lang w:val="en-GB"/>
        </w:rPr>
        <w:t xml:space="preserve"> clauses, moratoriums against personal guarantees</w:t>
      </w:r>
      <w:r w:rsidR="004950FB">
        <w:rPr>
          <w:rFonts w:ascii="Avenir Next" w:hAnsi="Avenir Next" w:cs="Arial"/>
          <w:color w:val="7B7B7B" w:themeColor="accent3" w:themeShade="BF"/>
          <w:sz w:val="22"/>
          <w:szCs w:val="22"/>
          <w:lang w:val="en-GB"/>
        </w:rPr>
        <w:t xml:space="preserve">, </w:t>
      </w:r>
      <w:r w:rsidR="006F0FC4" w:rsidRPr="002D35F6">
        <w:rPr>
          <w:rFonts w:ascii="Avenir Next" w:hAnsi="Avenir Next" w:cs="Arial"/>
          <w:color w:val="7B7B7B" w:themeColor="accent3" w:themeShade="BF"/>
          <w:sz w:val="22"/>
          <w:szCs w:val="22"/>
          <w:lang w:val="en-GB"/>
        </w:rPr>
        <w:t xml:space="preserve">choice of forum disputes (which may arise from contractual jurisdictional clauses), </w:t>
      </w:r>
      <w:r w:rsidR="006F0FC4" w:rsidRPr="002D35F6">
        <w:rPr>
          <w:rFonts w:ascii="Avenir Next" w:hAnsi="Avenir Next" w:cs="Arial"/>
          <w:color w:val="7B7B7B" w:themeColor="accent3" w:themeShade="BF"/>
          <w:sz w:val="22"/>
          <w:szCs w:val="22"/>
          <w:lang w:val="en-GB"/>
        </w:rPr>
        <w:lastRenderedPageBreak/>
        <w:t xml:space="preserve">location of </w:t>
      </w:r>
      <w:r w:rsidR="002D35F6" w:rsidRPr="002D35F6">
        <w:rPr>
          <w:rFonts w:ascii="Avenir Next" w:hAnsi="Avenir Next" w:cs="Arial"/>
          <w:color w:val="7B7B7B" w:themeColor="accent3" w:themeShade="BF"/>
          <w:sz w:val="22"/>
          <w:szCs w:val="22"/>
          <w:lang w:val="en-GB"/>
        </w:rPr>
        <w:t xml:space="preserve">recoverable </w:t>
      </w:r>
      <w:r w:rsidR="006F0FC4" w:rsidRPr="002D35F6">
        <w:rPr>
          <w:rFonts w:ascii="Avenir Next" w:hAnsi="Avenir Next" w:cs="Arial"/>
          <w:color w:val="7B7B7B" w:themeColor="accent3" w:themeShade="BF"/>
          <w:sz w:val="22"/>
          <w:szCs w:val="22"/>
          <w:lang w:val="en-GB"/>
        </w:rPr>
        <w:t>assets or businesses of the debtor,</w:t>
      </w:r>
      <w:r w:rsidR="006F0FC4" w:rsidRPr="002D35F6">
        <w:rPr>
          <w:rStyle w:val="FootnoteReference"/>
          <w:rFonts w:ascii="Avenir Next" w:hAnsi="Avenir Next" w:cs="Arial"/>
          <w:color w:val="7B7B7B" w:themeColor="accent3" w:themeShade="BF"/>
          <w:sz w:val="22"/>
          <w:szCs w:val="22"/>
          <w:lang w:val="en-GB"/>
        </w:rPr>
        <w:footnoteReference w:id="52"/>
      </w:r>
      <w:r w:rsidR="006F0FC4" w:rsidRPr="002D35F6">
        <w:rPr>
          <w:rFonts w:ascii="Avenir Next" w:hAnsi="Avenir Next" w:cs="Arial"/>
          <w:color w:val="7B7B7B" w:themeColor="accent3" w:themeShade="BF"/>
          <w:sz w:val="22"/>
          <w:szCs w:val="22"/>
          <w:lang w:val="en-GB"/>
        </w:rPr>
        <w:t xml:space="preserve"> foreign pre-appointment insolvency proceedings, executory contracts, avoidance provisions, etc</w:t>
      </w:r>
      <w:r w:rsidR="002D35F6" w:rsidRPr="002D35F6">
        <w:rPr>
          <w:rFonts w:ascii="Avenir Next" w:hAnsi="Avenir Next" w:cs="Arial"/>
          <w:color w:val="7B7B7B" w:themeColor="accent3" w:themeShade="BF"/>
          <w:sz w:val="22"/>
          <w:szCs w:val="22"/>
          <w:lang w:val="en-GB"/>
        </w:rPr>
        <w:t>;</w:t>
      </w:r>
      <w:r w:rsidR="006F0FC4" w:rsidRPr="002D35F6">
        <w:rPr>
          <w:rStyle w:val="FootnoteReference"/>
          <w:rFonts w:ascii="Avenir Next" w:hAnsi="Avenir Next" w:cs="Arial"/>
          <w:color w:val="7B7B7B" w:themeColor="accent3" w:themeShade="BF"/>
          <w:sz w:val="22"/>
          <w:szCs w:val="22"/>
          <w:lang w:val="en-GB"/>
        </w:rPr>
        <w:footnoteReference w:id="53"/>
      </w:r>
      <w:r w:rsidR="006F0FC4" w:rsidRPr="002D35F6">
        <w:rPr>
          <w:rFonts w:ascii="Avenir Next" w:hAnsi="Avenir Next" w:cs="Arial"/>
          <w:color w:val="7B7B7B" w:themeColor="accent3" w:themeShade="BF"/>
          <w:sz w:val="22"/>
          <w:szCs w:val="22"/>
          <w:lang w:val="en-GB"/>
        </w:rPr>
        <w:t xml:space="preserve"> </w:t>
      </w:r>
      <w:r w:rsidR="00150677" w:rsidRPr="002D35F6">
        <w:rPr>
          <w:rFonts w:ascii="Avenir Next" w:hAnsi="Avenir Next" w:cs="Arial"/>
          <w:color w:val="7B7B7B" w:themeColor="accent3" w:themeShade="BF"/>
          <w:sz w:val="22"/>
          <w:szCs w:val="22"/>
          <w:lang w:val="en-GB"/>
        </w:rPr>
        <w:t>and</w:t>
      </w:r>
    </w:p>
    <w:p w14:paraId="0C1CD688" w14:textId="77777777" w:rsidR="00150677" w:rsidRPr="00150677" w:rsidRDefault="00150677" w:rsidP="00150677">
      <w:pPr>
        <w:jc w:val="both"/>
        <w:rPr>
          <w:rFonts w:ascii="Avenir Next" w:hAnsi="Avenir Next" w:cs="Arial"/>
          <w:color w:val="7B7B7B" w:themeColor="accent3" w:themeShade="BF"/>
          <w:sz w:val="22"/>
          <w:szCs w:val="22"/>
          <w:lang w:val="en-GB"/>
        </w:rPr>
      </w:pPr>
    </w:p>
    <w:p w14:paraId="64F17030" w14:textId="6A86FF71" w:rsidR="00F247D8" w:rsidRDefault="00F82ADD" w:rsidP="00E91632">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generally </w:t>
      </w:r>
      <w:r w:rsidR="003D10BA">
        <w:rPr>
          <w:rFonts w:ascii="Avenir Next" w:hAnsi="Avenir Next" w:cs="Arial"/>
          <w:color w:val="7B7B7B" w:themeColor="accent3" w:themeShade="BF"/>
          <w:sz w:val="22"/>
          <w:szCs w:val="22"/>
          <w:lang w:val="en-GB"/>
        </w:rPr>
        <w:t>requires reciprocity,</w:t>
      </w:r>
      <w:r w:rsidR="001E7EF3">
        <w:rPr>
          <w:rFonts w:ascii="Avenir Next" w:hAnsi="Avenir Next" w:cs="Arial"/>
          <w:color w:val="7B7B7B" w:themeColor="accent3" w:themeShade="BF"/>
          <w:sz w:val="22"/>
          <w:szCs w:val="22"/>
          <w:lang w:val="en-GB"/>
        </w:rPr>
        <w:t xml:space="preserve"> recognition,</w:t>
      </w:r>
      <w:r w:rsidR="003D10BA">
        <w:rPr>
          <w:rFonts w:ascii="Avenir Next" w:hAnsi="Avenir Next" w:cs="Arial"/>
          <w:color w:val="7B7B7B" w:themeColor="accent3" w:themeShade="BF"/>
          <w:sz w:val="22"/>
          <w:szCs w:val="22"/>
          <w:lang w:val="en-GB"/>
        </w:rPr>
        <w:t xml:space="preserve"> cooperation and coordination between </w:t>
      </w:r>
      <w:r w:rsidR="001E7EF3">
        <w:rPr>
          <w:rFonts w:ascii="Avenir Next" w:hAnsi="Avenir Next" w:cs="Arial"/>
          <w:color w:val="7B7B7B" w:themeColor="accent3" w:themeShade="BF"/>
          <w:sz w:val="22"/>
          <w:szCs w:val="22"/>
          <w:lang w:val="en-GB"/>
        </w:rPr>
        <w:t>c</w:t>
      </w:r>
      <w:r w:rsidR="003D10BA">
        <w:rPr>
          <w:rFonts w:ascii="Avenir Next" w:hAnsi="Avenir Next" w:cs="Arial"/>
          <w:color w:val="7B7B7B" w:themeColor="accent3" w:themeShade="BF"/>
          <w:sz w:val="22"/>
          <w:szCs w:val="22"/>
          <w:lang w:val="en-GB"/>
        </w:rPr>
        <w:t>ourts of different States</w:t>
      </w:r>
      <w:r w:rsidR="009A4714">
        <w:rPr>
          <w:rFonts w:ascii="Avenir Next" w:hAnsi="Avenir Next" w:cs="Arial"/>
          <w:color w:val="7B7B7B" w:themeColor="accent3" w:themeShade="BF"/>
          <w:sz w:val="22"/>
          <w:szCs w:val="22"/>
          <w:lang w:val="en-GB"/>
        </w:rPr>
        <w:t>.</w:t>
      </w:r>
      <w:r w:rsidR="00150677">
        <w:rPr>
          <w:rFonts w:ascii="Avenir Next" w:hAnsi="Avenir Next" w:cs="Arial"/>
          <w:color w:val="7B7B7B" w:themeColor="accent3" w:themeShade="BF"/>
          <w:sz w:val="22"/>
          <w:szCs w:val="22"/>
          <w:lang w:val="en-GB"/>
        </w:rPr>
        <w:t xml:space="preserve"> This is to provide clarity and predictability for investors, creditors and debtors (at least).</w:t>
      </w:r>
      <w:r w:rsidR="009A4714">
        <w:rPr>
          <w:rFonts w:ascii="Avenir Next" w:hAnsi="Avenir Next" w:cs="Arial"/>
          <w:color w:val="7B7B7B" w:themeColor="accent3" w:themeShade="BF"/>
          <w:sz w:val="22"/>
          <w:szCs w:val="22"/>
          <w:lang w:val="en-GB"/>
        </w:rPr>
        <w:t xml:space="preserve"> </w:t>
      </w:r>
    </w:p>
    <w:p w14:paraId="1D69C685" w14:textId="77777777" w:rsidR="00F247D8" w:rsidRPr="00F247D8" w:rsidRDefault="00F247D8" w:rsidP="00F247D8">
      <w:pPr>
        <w:pStyle w:val="ListParagraph"/>
        <w:rPr>
          <w:rFonts w:ascii="Avenir Next" w:hAnsi="Avenir Next" w:cs="Arial"/>
          <w:color w:val="7B7B7B" w:themeColor="accent3" w:themeShade="BF"/>
          <w:sz w:val="10"/>
          <w:szCs w:val="10"/>
          <w:lang w:val="en-GB"/>
        </w:rPr>
      </w:pPr>
    </w:p>
    <w:p w14:paraId="72D55DA5" w14:textId="193FC12F" w:rsidR="001E7EF3" w:rsidRDefault="00F247D8" w:rsidP="00F247D8">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cooperation is possible, a court of the main proceeding (</w:t>
      </w:r>
      <w:r>
        <w:rPr>
          <w:rFonts w:ascii="Avenir Next" w:hAnsi="Avenir Next" w:cs="Arial"/>
          <w:i/>
          <w:iCs/>
          <w:color w:val="7B7B7B" w:themeColor="accent3" w:themeShade="BF"/>
          <w:sz w:val="22"/>
          <w:szCs w:val="22"/>
          <w:lang w:val="en-GB"/>
        </w:rPr>
        <w:t xml:space="preserve">lex </w:t>
      </w:r>
      <w:proofErr w:type="spellStart"/>
      <w:r>
        <w:rPr>
          <w:rFonts w:ascii="Avenir Next" w:hAnsi="Avenir Next" w:cs="Arial"/>
          <w:i/>
          <w:iCs/>
          <w:color w:val="7B7B7B" w:themeColor="accent3" w:themeShade="BF"/>
          <w:sz w:val="22"/>
          <w:szCs w:val="22"/>
          <w:lang w:val="en-GB"/>
        </w:rPr>
        <w:t>fori</w:t>
      </w:r>
      <w:proofErr w:type="spellEnd"/>
      <w:r>
        <w:rPr>
          <w:rFonts w:ascii="Avenir Next" w:hAnsi="Avenir Next" w:cs="Arial"/>
          <w:i/>
          <w:iCs/>
          <w:color w:val="7B7B7B" w:themeColor="accent3" w:themeShade="BF"/>
          <w:sz w:val="22"/>
          <w:szCs w:val="22"/>
          <w:lang w:val="en-GB"/>
        </w:rPr>
        <w:t xml:space="preserve"> concursus</w:t>
      </w:r>
      <w:r>
        <w:rPr>
          <w:rFonts w:ascii="Avenir Next" w:hAnsi="Avenir Next" w:cs="Arial"/>
          <w:color w:val="7B7B7B" w:themeColor="accent3" w:themeShade="BF"/>
          <w:sz w:val="22"/>
          <w:szCs w:val="22"/>
          <w:lang w:val="en-GB"/>
        </w:rPr>
        <w:t>) may regulate the</w:t>
      </w:r>
      <w:r w:rsidR="001E7EF3">
        <w:rPr>
          <w:rFonts w:ascii="Avenir Next" w:hAnsi="Avenir Next" w:cs="Arial"/>
          <w:color w:val="7B7B7B" w:themeColor="accent3" w:themeShade="BF"/>
          <w:sz w:val="22"/>
          <w:szCs w:val="22"/>
          <w:lang w:val="en-GB"/>
        </w:rPr>
        <w:t xml:space="preserve"> relevant</w:t>
      </w:r>
      <w:r>
        <w:rPr>
          <w:rFonts w:ascii="Avenir Next" w:hAnsi="Avenir Next" w:cs="Arial"/>
          <w:color w:val="7B7B7B" w:themeColor="accent3" w:themeShade="BF"/>
          <w:sz w:val="22"/>
          <w:szCs w:val="22"/>
          <w:lang w:val="en-GB"/>
        </w:rPr>
        <w:t xml:space="preserve"> insolvency proceeding world-wide</w:t>
      </w:r>
      <w:r w:rsidR="001E7EF3">
        <w:rPr>
          <w:rFonts w:ascii="Avenir Next" w:hAnsi="Avenir Next" w:cs="Arial"/>
          <w:color w:val="7B7B7B" w:themeColor="accent3" w:themeShade="BF"/>
          <w:sz w:val="22"/>
          <w:szCs w:val="22"/>
          <w:lang w:val="en-GB"/>
        </w:rPr>
        <w:t xml:space="preserve"> (or at least to the extent of the cooperation and recognition)</w:t>
      </w:r>
      <w:r>
        <w:rPr>
          <w:rFonts w:ascii="Avenir Next" w:hAnsi="Avenir Next" w:cs="Arial"/>
          <w:color w:val="7B7B7B" w:themeColor="accent3" w:themeShade="BF"/>
          <w:sz w:val="22"/>
          <w:szCs w:val="22"/>
          <w:lang w:val="en-GB"/>
        </w:rPr>
        <w:t xml:space="preserve">. The </w:t>
      </w:r>
      <w:r>
        <w:rPr>
          <w:rFonts w:ascii="Avenir Next" w:hAnsi="Avenir Next" w:cs="Arial"/>
          <w:i/>
          <w:iCs/>
          <w:color w:val="7B7B7B" w:themeColor="accent3" w:themeShade="BF"/>
          <w:sz w:val="22"/>
          <w:szCs w:val="22"/>
          <w:lang w:val="en-GB"/>
        </w:rPr>
        <w:t xml:space="preserve">lex </w:t>
      </w:r>
      <w:proofErr w:type="spellStart"/>
      <w:r>
        <w:rPr>
          <w:rFonts w:ascii="Avenir Next" w:hAnsi="Avenir Next" w:cs="Arial"/>
          <w:i/>
          <w:iCs/>
          <w:color w:val="7B7B7B" w:themeColor="accent3" w:themeShade="BF"/>
          <w:sz w:val="22"/>
          <w:szCs w:val="22"/>
          <w:lang w:val="en-GB"/>
        </w:rPr>
        <w:t>fori</w:t>
      </w:r>
      <w:proofErr w:type="spellEnd"/>
      <w:r>
        <w:rPr>
          <w:rFonts w:ascii="Avenir Next" w:hAnsi="Avenir Next" w:cs="Arial"/>
          <w:i/>
          <w:iCs/>
          <w:color w:val="7B7B7B" w:themeColor="accent3" w:themeShade="BF"/>
          <w:sz w:val="22"/>
          <w:szCs w:val="22"/>
          <w:lang w:val="en-GB"/>
        </w:rPr>
        <w:t xml:space="preserve"> concursus</w:t>
      </w:r>
      <w:r>
        <w:rPr>
          <w:rFonts w:ascii="Avenir Next" w:hAnsi="Avenir Next" w:cs="Arial"/>
          <w:color w:val="7B7B7B" w:themeColor="accent3" w:themeShade="BF"/>
          <w:sz w:val="22"/>
          <w:szCs w:val="22"/>
          <w:lang w:val="en-GB"/>
        </w:rPr>
        <w:t xml:space="preserve"> may be determined by the choice of forum (</w:t>
      </w:r>
      <w:proofErr w:type="spellStart"/>
      <w:r>
        <w:rPr>
          <w:rFonts w:ascii="Avenir Next" w:hAnsi="Avenir Next" w:cs="Arial"/>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centre of main interests or jurisdictional clauses in a written contract/document) or a worldwide implemented insolvency law.</w:t>
      </w:r>
      <w:r>
        <w:rPr>
          <w:rStyle w:val="FootnoteReference"/>
          <w:rFonts w:ascii="Avenir Next" w:hAnsi="Avenir Next" w:cs="Arial"/>
          <w:color w:val="7B7B7B" w:themeColor="accent3" w:themeShade="BF"/>
          <w:sz w:val="22"/>
          <w:szCs w:val="22"/>
          <w:lang w:val="en-GB"/>
        </w:rPr>
        <w:footnoteReference w:id="54"/>
      </w:r>
      <w:r>
        <w:rPr>
          <w:rFonts w:ascii="Avenir Next" w:hAnsi="Avenir Next" w:cs="Arial"/>
          <w:color w:val="7B7B7B" w:themeColor="accent3" w:themeShade="BF"/>
          <w:sz w:val="22"/>
          <w:szCs w:val="22"/>
          <w:lang w:val="en-GB"/>
        </w:rPr>
        <w:t xml:space="preserve">  </w:t>
      </w:r>
      <w:r w:rsidR="00AF4E32">
        <w:rPr>
          <w:rFonts w:ascii="Avenir Next" w:hAnsi="Avenir Next" w:cs="Arial"/>
          <w:color w:val="7B7B7B" w:themeColor="accent3" w:themeShade="BF"/>
          <w:sz w:val="22"/>
          <w:szCs w:val="22"/>
          <w:lang w:val="en-GB"/>
        </w:rPr>
        <w:t xml:space="preserve"> </w:t>
      </w:r>
    </w:p>
    <w:p w14:paraId="239D73AC" w14:textId="77777777" w:rsidR="001E7EF3" w:rsidRPr="001E7EF3" w:rsidRDefault="001E7EF3" w:rsidP="00F247D8">
      <w:pPr>
        <w:pStyle w:val="ListParagraph"/>
        <w:ind w:left="360"/>
        <w:jc w:val="both"/>
        <w:rPr>
          <w:rFonts w:ascii="Avenir Next" w:hAnsi="Avenir Next" w:cs="Arial"/>
          <w:color w:val="7B7B7B" w:themeColor="accent3" w:themeShade="BF"/>
          <w:sz w:val="10"/>
          <w:szCs w:val="10"/>
          <w:lang w:val="en-GB"/>
        </w:rPr>
      </w:pPr>
    </w:p>
    <w:p w14:paraId="567397E1" w14:textId="57B55D32" w:rsidR="00DE5E37" w:rsidRPr="00AE7ED6" w:rsidRDefault="00C13122" w:rsidP="00AE7ED6">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cooperation is not possible</w:t>
      </w:r>
      <w:r w:rsidR="001E7EF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or only partially possible, it may </w:t>
      </w:r>
      <w:r w:rsidR="003739AE">
        <w:rPr>
          <w:rFonts w:ascii="Avenir Next" w:hAnsi="Avenir Next" w:cs="Arial"/>
          <w:color w:val="7B7B7B" w:themeColor="accent3" w:themeShade="BF"/>
          <w:sz w:val="22"/>
          <w:szCs w:val="22"/>
          <w:lang w:val="en-GB"/>
        </w:rPr>
        <w:t>cause a material increase in costs in administering the affairs of the debtor,</w:t>
      </w:r>
      <w:r w:rsidR="006141EB">
        <w:rPr>
          <w:rStyle w:val="FootnoteReference"/>
          <w:rFonts w:ascii="Avenir Next" w:hAnsi="Avenir Next" w:cs="Arial"/>
          <w:color w:val="7B7B7B" w:themeColor="accent3" w:themeShade="BF"/>
          <w:sz w:val="22"/>
          <w:szCs w:val="22"/>
          <w:lang w:val="en-GB"/>
        </w:rPr>
        <w:footnoteReference w:id="55"/>
      </w:r>
      <w:r w:rsidR="003739AE">
        <w:rPr>
          <w:rFonts w:ascii="Avenir Next" w:hAnsi="Avenir Next" w:cs="Arial"/>
          <w:color w:val="7B7B7B" w:themeColor="accent3" w:themeShade="BF"/>
          <w:sz w:val="22"/>
          <w:szCs w:val="22"/>
          <w:lang w:val="en-GB"/>
        </w:rPr>
        <w:t xml:space="preserve"> duplication of proceedings, </w:t>
      </w:r>
      <w:r w:rsidR="00E90348">
        <w:rPr>
          <w:rFonts w:ascii="Avenir Next" w:hAnsi="Avenir Next" w:cs="Arial"/>
          <w:color w:val="7B7B7B" w:themeColor="accent3" w:themeShade="BF"/>
          <w:sz w:val="22"/>
          <w:szCs w:val="22"/>
          <w:lang w:val="en-GB"/>
        </w:rPr>
        <w:t>“grab-rule”</w:t>
      </w:r>
      <w:r w:rsidR="00E90348">
        <w:rPr>
          <w:rStyle w:val="FootnoteReference"/>
          <w:rFonts w:ascii="Avenir Next" w:hAnsi="Avenir Next" w:cs="Arial"/>
          <w:color w:val="7B7B7B" w:themeColor="accent3" w:themeShade="BF"/>
          <w:sz w:val="22"/>
          <w:szCs w:val="22"/>
          <w:lang w:val="en-GB"/>
        </w:rPr>
        <w:footnoteReference w:id="56"/>
      </w:r>
      <w:r w:rsidR="00B20CBC">
        <w:rPr>
          <w:rFonts w:ascii="Avenir Next" w:hAnsi="Avenir Next" w:cs="Arial"/>
          <w:color w:val="7B7B7B" w:themeColor="accent3" w:themeShade="BF"/>
          <w:sz w:val="22"/>
          <w:szCs w:val="22"/>
          <w:lang w:val="en-GB"/>
        </w:rPr>
        <w:t xml:space="preserve"> or “ring-fencing,”</w:t>
      </w:r>
      <w:r w:rsidR="00B20CBC">
        <w:rPr>
          <w:rStyle w:val="FootnoteReference"/>
          <w:rFonts w:ascii="Avenir Next" w:hAnsi="Avenir Next" w:cs="Arial"/>
          <w:color w:val="7B7B7B" w:themeColor="accent3" w:themeShade="BF"/>
          <w:sz w:val="22"/>
          <w:szCs w:val="22"/>
          <w:lang w:val="en-GB"/>
        </w:rPr>
        <w:footnoteReference w:id="57"/>
      </w:r>
      <w:r w:rsidR="00E90348">
        <w:rPr>
          <w:rFonts w:ascii="Avenir Next" w:hAnsi="Avenir Next" w:cs="Arial"/>
          <w:color w:val="7B7B7B" w:themeColor="accent3" w:themeShade="BF"/>
          <w:sz w:val="22"/>
          <w:szCs w:val="22"/>
          <w:lang w:val="en-GB"/>
        </w:rPr>
        <w:t xml:space="preserve"> </w:t>
      </w:r>
      <w:r w:rsidR="0026167E">
        <w:rPr>
          <w:rFonts w:ascii="Avenir Next" w:hAnsi="Avenir Next" w:cs="Arial"/>
          <w:color w:val="7B7B7B" w:themeColor="accent3" w:themeShade="BF"/>
          <w:sz w:val="22"/>
          <w:szCs w:val="22"/>
          <w:lang w:val="en-GB"/>
        </w:rPr>
        <w:t xml:space="preserve">fraud, forum shopping, </w:t>
      </w:r>
      <w:r w:rsidR="00E718DF">
        <w:rPr>
          <w:rFonts w:ascii="Avenir Next" w:hAnsi="Avenir Next" w:cs="Arial"/>
          <w:color w:val="7B7B7B" w:themeColor="accent3" w:themeShade="BF"/>
          <w:sz w:val="22"/>
          <w:szCs w:val="22"/>
          <w:lang w:val="en-GB"/>
        </w:rPr>
        <w:t xml:space="preserve">prioritise the ‘strongest’ creditors </w:t>
      </w:r>
      <w:r w:rsidR="00CF0414">
        <w:rPr>
          <w:rFonts w:ascii="Avenir Next" w:hAnsi="Avenir Next" w:cs="Arial"/>
          <w:color w:val="7B7B7B" w:themeColor="accent3" w:themeShade="BF"/>
          <w:sz w:val="22"/>
          <w:szCs w:val="22"/>
          <w:lang w:val="en-GB"/>
        </w:rPr>
        <w:t xml:space="preserve">or creditors that exist within the State with the most assets </w:t>
      </w:r>
      <w:r w:rsidR="00E718DF">
        <w:rPr>
          <w:rFonts w:ascii="Avenir Next" w:hAnsi="Avenir Next" w:cs="Arial"/>
          <w:color w:val="7B7B7B" w:themeColor="accent3" w:themeShade="BF"/>
          <w:sz w:val="22"/>
          <w:szCs w:val="22"/>
          <w:lang w:val="en-GB"/>
        </w:rPr>
        <w:t xml:space="preserve">(rather than </w:t>
      </w:r>
      <w:r w:rsidR="001617C2">
        <w:rPr>
          <w:rFonts w:ascii="Avenir Next" w:hAnsi="Avenir Next" w:cs="Arial"/>
          <w:color w:val="7B7B7B" w:themeColor="accent3" w:themeShade="BF"/>
          <w:sz w:val="22"/>
          <w:szCs w:val="22"/>
          <w:lang w:val="en-GB"/>
        </w:rPr>
        <w:t>adhering to</w:t>
      </w:r>
      <w:r w:rsidR="00D959F5">
        <w:rPr>
          <w:rFonts w:ascii="Avenir Next" w:hAnsi="Avenir Next" w:cs="Arial"/>
          <w:color w:val="7B7B7B" w:themeColor="accent3" w:themeShade="BF"/>
          <w:sz w:val="22"/>
          <w:szCs w:val="22"/>
          <w:lang w:val="en-GB"/>
        </w:rPr>
        <w:t xml:space="preserve"> the</w:t>
      </w:r>
      <w:r w:rsidR="001617C2">
        <w:rPr>
          <w:rFonts w:ascii="Avenir Next" w:hAnsi="Avenir Next" w:cs="Arial"/>
          <w:color w:val="7B7B7B" w:themeColor="accent3" w:themeShade="BF"/>
          <w:sz w:val="22"/>
          <w:szCs w:val="22"/>
          <w:lang w:val="en-GB"/>
        </w:rPr>
        <w:t xml:space="preserve"> </w:t>
      </w:r>
      <w:r w:rsidR="001617C2">
        <w:rPr>
          <w:rFonts w:ascii="Avenir Next" w:hAnsi="Avenir Next" w:cs="Arial"/>
          <w:i/>
          <w:iCs/>
          <w:color w:val="7B7B7B" w:themeColor="accent3" w:themeShade="BF"/>
          <w:sz w:val="22"/>
          <w:szCs w:val="22"/>
          <w:lang w:val="en-GB"/>
        </w:rPr>
        <w:t xml:space="preserve">par </w:t>
      </w:r>
      <w:proofErr w:type="spellStart"/>
      <w:r w:rsidR="001617C2">
        <w:rPr>
          <w:rFonts w:ascii="Avenir Next" w:hAnsi="Avenir Next" w:cs="Arial"/>
          <w:i/>
          <w:iCs/>
          <w:color w:val="7B7B7B" w:themeColor="accent3" w:themeShade="BF"/>
          <w:sz w:val="22"/>
          <w:szCs w:val="22"/>
          <w:lang w:val="en-GB"/>
        </w:rPr>
        <w:t>conditio</w:t>
      </w:r>
      <w:proofErr w:type="spellEnd"/>
      <w:r w:rsidR="001617C2">
        <w:rPr>
          <w:rFonts w:ascii="Avenir Next" w:hAnsi="Avenir Next" w:cs="Arial"/>
          <w:i/>
          <w:iCs/>
          <w:color w:val="7B7B7B" w:themeColor="accent3" w:themeShade="BF"/>
          <w:sz w:val="22"/>
          <w:szCs w:val="22"/>
          <w:lang w:val="en-GB"/>
        </w:rPr>
        <w:t xml:space="preserve"> </w:t>
      </w:r>
      <w:proofErr w:type="spellStart"/>
      <w:r w:rsidR="00D959F5">
        <w:rPr>
          <w:rFonts w:ascii="Avenir Next" w:hAnsi="Avenir Next" w:cs="Arial"/>
          <w:i/>
          <w:iCs/>
          <w:color w:val="7B7B7B" w:themeColor="accent3" w:themeShade="BF"/>
          <w:sz w:val="22"/>
          <w:szCs w:val="22"/>
          <w:lang w:val="en-GB"/>
        </w:rPr>
        <w:t>creditorum</w:t>
      </w:r>
      <w:proofErr w:type="spellEnd"/>
      <w:r w:rsidR="00D959F5">
        <w:rPr>
          <w:rFonts w:ascii="Avenir Next" w:hAnsi="Avenir Next" w:cs="Arial"/>
          <w:color w:val="7B7B7B" w:themeColor="accent3" w:themeShade="BF"/>
          <w:sz w:val="22"/>
          <w:szCs w:val="22"/>
          <w:lang w:val="en-GB"/>
        </w:rPr>
        <w:t xml:space="preserve">), </w:t>
      </w:r>
      <w:r w:rsidR="005E2C3F">
        <w:rPr>
          <w:rFonts w:ascii="Avenir Next" w:hAnsi="Avenir Next" w:cs="Arial"/>
          <w:color w:val="7B7B7B" w:themeColor="accent3" w:themeShade="BF"/>
          <w:sz w:val="22"/>
          <w:szCs w:val="22"/>
          <w:lang w:val="en-GB"/>
        </w:rPr>
        <w:t xml:space="preserve">or may prejudice non-national creditors </w:t>
      </w:r>
      <w:r w:rsidR="004A33C5">
        <w:rPr>
          <w:rFonts w:ascii="Avenir Next" w:hAnsi="Avenir Next" w:cs="Arial"/>
          <w:color w:val="7B7B7B" w:themeColor="accent3" w:themeShade="BF"/>
          <w:sz w:val="22"/>
          <w:szCs w:val="22"/>
          <w:lang w:val="en-GB"/>
        </w:rPr>
        <w:t>whose State the debtor has no material assets, etc</w:t>
      </w:r>
      <w:r w:rsidR="00150677">
        <w:rPr>
          <w:rFonts w:ascii="Avenir Next" w:hAnsi="Avenir Next" w:cs="Arial"/>
          <w:color w:val="7B7B7B" w:themeColor="accent3" w:themeShade="BF"/>
          <w:sz w:val="22"/>
          <w:szCs w:val="22"/>
          <w:lang w:val="en-GB"/>
        </w:rPr>
        <w:t>.</w:t>
      </w:r>
    </w:p>
    <w:p w14:paraId="718319EA" w14:textId="77777777" w:rsidR="00A118A4" w:rsidRPr="004216EA" w:rsidRDefault="00A118A4" w:rsidP="00692852">
      <w:pPr>
        <w:jc w:val="both"/>
        <w:rPr>
          <w:rFonts w:ascii="Avenir Next" w:hAnsi="Avenir Next" w:cs="Arial"/>
          <w:color w:val="808080" w:themeColor="background1" w:themeShade="80"/>
          <w:sz w:val="22"/>
          <w:szCs w:val="22"/>
          <w:lang w:val="en-GB"/>
        </w:rPr>
      </w:pPr>
    </w:p>
    <w:p w14:paraId="769F40C7" w14:textId="77777777" w:rsidR="005C26F1" w:rsidRDefault="005C26F1">
      <w:pPr>
        <w:rPr>
          <w:rFonts w:ascii="Avenir Next Demi Bold" w:hAnsi="Avenir Next Demi Bold" w:cs="Arial"/>
          <w:b/>
          <w:bCs/>
          <w:sz w:val="22"/>
          <w:szCs w:val="22"/>
          <w:shd w:val="clear" w:color="auto" w:fill="FFFFFF"/>
          <w:lang w:val="en-GB"/>
        </w:rPr>
      </w:pPr>
      <w:r>
        <w:rPr>
          <w:rFonts w:ascii="Avenir Next Demi Bold" w:hAnsi="Avenir Next Demi Bold" w:cs="Arial"/>
          <w:b/>
          <w:bCs/>
          <w:sz w:val="22"/>
          <w:szCs w:val="22"/>
          <w:shd w:val="clear" w:color="auto" w:fill="FFFFFF"/>
          <w:lang w:val="en-GB"/>
        </w:rPr>
        <w:br w:type="page"/>
      </w:r>
    </w:p>
    <w:p w14:paraId="4B3595C7" w14:textId="160C72DD"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lastRenderedPageBreak/>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095570C" w:rsidR="001E1C34" w:rsidRDefault="009E7238" w:rsidP="00D02C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International law </w:t>
      </w:r>
      <w:r w:rsidR="004F7A5D">
        <w:rPr>
          <w:rFonts w:ascii="Avenir Next" w:hAnsi="Avenir Next" w:cs="Arial"/>
          <w:color w:val="808080" w:themeColor="background1" w:themeShade="80"/>
          <w:sz w:val="22"/>
          <w:szCs w:val="22"/>
          <w:lang w:val="en-GB"/>
        </w:rPr>
        <w:t xml:space="preserve">regulation </w:t>
      </w:r>
      <w:r>
        <w:rPr>
          <w:rFonts w:ascii="Avenir Next" w:hAnsi="Avenir Next" w:cs="Arial"/>
          <w:color w:val="808080" w:themeColor="background1" w:themeShade="80"/>
          <w:sz w:val="22"/>
          <w:szCs w:val="22"/>
          <w:lang w:val="en-GB"/>
        </w:rPr>
        <w:t>may typically take the form of “soft law”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model laws,</w:t>
      </w:r>
      <w:r w:rsidR="00821C46">
        <w:rPr>
          <w:rFonts w:ascii="Avenir Next" w:hAnsi="Avenir Next" w:cs="Arial"/>
          <w:color w:val="808080" w:themeColor="background1" w:themeShade="80"/>
          <w:sz w:val="22"/>
          <w:szCs w:val="22"/>
          <w:lang w:val="en-GB"/>
        </w:rPr>
        <w:t xml:space="preserve"> the </w:t>
      </w:r>
      <w:r w:rsidR="00821C46" w:rsidRPr="00DD3C2C">
        <w:rPr>
          <w:rFonts w:ascii="Avenir Next" w:hAnsi="Avenir Next" w:cs="Arial"/>
          <w:color w:val="7B7B7B" w:themeColor="accent3" w:themeShade="BF"/>
          <w:sz w:val="22"/>
          <w:szCs w:val="22"/>
          <w:lang w:val="en-GB"/>
        </w:rPr>
        <w:t>World Bank Principles for Effective Insolvency and Creditor / Debtor Regimes, with revisions in 2005, 2011, 2015 and 2021</w:t>
      </w:r>
      <w:r w:rsidR="00DA482A">
        <w:rPr>
          <w:rFonts w:ascii="Avenir Next" w:hAnsi="Avenir Next" w:cs="Arial"/>
          <w:color w:val="7B7B7B" w:themeColor="accent3" w:themeShade="BF"/>
          <w:sz w:val="22"/>
          <w:szCs w:val="22"/>
          <w:lang w:val="en-GB"/>
        </w:rPr>
        <w:t>,</w:t>
      </w:r>
      <w:r w:rsidR="00821C46" w:rsidRPr="00F73C98">
        <w:rPr>
          <w:color w:val="7B7B7B" w:themeColor="accent3" w:themeShade="BF"/>
          <w:vertAlign w:val="superscript"/>
        </w:rPr>
        <w:footnoteReference w:id="58"/>
      </w:r>
      <w:r w:rsidR="00821C46">
        <w:rPr>
          <w:rFonts w:ascii="Avenir Next" w:hAnsi="Avenir Next" w:cs="Arial"/>
          <w:color w:val="808080" w:themeColor="background1" w:themeShade="80"/>
          <w:sz w:val="22"/>
          <w:szCs w:val="22"/>
          <w:lang w:val="en-GB"/>
        </w:rPr>
        <w:t xml:space="preserve"> etc</w:t>
      </w:r>
      <w:r w:rsidR="00D02CA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or </w:t>
      </w:r>
      <w:r w:rsidR="004C59A4">
        <w:rPr>
          <w:rFonts w:ascii="Avenir Next" w:hAnsi="Avenir Next" w:cs="Arial"/>
          <w:color w:val="808080" w:themeColor="background1" w:themeShade="80"/>
          <w:sz w:val="22"/>
          <w:szCs w:val="22"/>
          <w:lang w:val="en-GB"/>
        </w:rPr>
        <w:t>binding</w:t>
      </w:r>
      <w:r w:rsidR="004C59A4">
        <w:rPr>
          <w:rStyle w:val="FootnoteReference"/>
          <w:rFonts w:ascii="Avenir Next" w:hAnsi="Avenir Next" w:cs="Arial"/>
          <w:color w:val="808080" w:themeColor="background1" w:themeShade="80"/>
          <w:sz w:val="22"/>
          <w:szCs w:val="22"/>
          <w:lang w:val="en-GB"/>
        </w:rPr>
        <w:footnoteReference w:id="59"/>
      </w:r>
      <w:r w:rsidR="004C59A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“hard law”</w:t>
      </w:r>
      <w:r w:rsidR="00D02CA6">
        <w:rPr>
          <w:rFonts w:ascii="Avenir Next" w:hAnsi="Avenir Next" w:cs="Arial"/>
          <w:color w:val="808080" w:themeColor="background1" w:themeShade="80"/>
          <w:sz w:val="22"/>
          <w:szCs w:val="22"/>
          <w:lang w:val="en-GB"/>
        </w:rPr>
        <w:t xml:space="preserve"> (</w:t>
      </w:r>
      <w:proofErr w:type="spellStart"/>
      <w:r w:rsidR="00D02CA6">
        <w:rPr>
          <w:rFonts w:ascii="Avenir Next" w:hAnsi="Avenir Next" w:cs="Arial"/>
          <w:color w:val="808080" w:themeColor="background1" w:themeShade="80"/>
          <w:sz w:val="22"/>
          <w:szCs w:val="22"/>
          <w:lang w:val="en-GB"/>
        </w:rPr>
        <w:t>eg</w:t>
      </w:r>
      <w:proofErr w:type="spellEnd"/>
      <w:r w:rsidR="00665FD1">
        <w:rPr>
          <w:rFonts w:ascii="Avenir Next" w:hAnsi="Avenir Next" w:cs="Arial"/>
          <w:color w:val="808080" w:themeColor="background1" w:themeShade="80"/>
          <w:sz w:val="22"/>
          <w:szCs w:val="22"/>
          <w:lang w:val="en-GB"/>
        </w:rPr>
        <w:t> </w:t>
      </w:r>
      <w:r w:rsidR="00D02CA6">
        <w:rPr>
          <w:rFonts w:ascii="Avenir Next" w:hAnsi="Avenir Next" w:cs="Arial"/>
          <w:color w:val="808080" w:themeColor="background1" w:themeShade="80"/>
          <w:sz w:val="22"/>
          <w:szCs w:val="22"/>
          <w:lang w:val="en-GB"/>
        </w:rPr>
        <w:t>treaties, conventions, regulations</w:t>
      </w:r>
      <w:r w:rsidR="00B40120">
        <w:rPr>
          <w:rFonts w:ascii="Avenir Next" w:hAnsi="Avenir Next" w:cs="Arial"/>
          <w:color w:val="808080" w:themeColor="background1" w:themeShade="80"/>
          <w:sz w:val="22"/>
          <w:szCs w:val="22"/>
          <w:lang w:val="en-GB"/>
        </w:rPr>
        <w:t xml:space="preserve">, </w:t>
      </w:r>
      <w:r w:rsidR="00B40120" w:rsidRPr="00B40120">
        <w:rPr>
          <w:rFonts w:ascii="Avenir Next" w:hAnsi="Avenir Next" w:cs="Arial"/>
          <w:color w:val="808080" w:themeColor="background1" w:themeShade="80"/>
          <w:sz w:val="22"/>
          <w:szCs w:val="22"/>
          <w:lang w:val="en-GB"/>
        </w:rPr>
        <w:t>European Insolvency Regulation (</w:t>
      </w:r>
      <w:r w:rsidR="00B40120" w:rsidRPr="00B40120">
        <w:rPr>
          <w:rFonts w:ascii="Avenir Next" w:hAnsi="Avenir Next" w:cs="Arial"/>
          <w:b/>
          <w:bCs/>
          <w:color w:val="808080" w:themeColor="background1" w:themeShade="80"/>
          <w:sz w:val="22"/>
          <w:szCs w:val="22"/>
          <w:lang w:val="en-GB"/>
        </w:rPr>
        <w:t>EIR</w:t>
      </w:r>
      <w:r w:rsidR="00B40120" w:rsidRPr="00B40120">
        <w:rPr>
          <w:rFonts w:ascii="Avenir Next" w:hAnsi="Avenir Next" w:cs="Arial"/>
          <w:color w:val="808080" w:themeColor="background1" w:themeShade="80"/>
          <w:sz w:val="22"/>
          <w:szCs w:val="22"/>
          <w:lang w:val="en-GB"/>
        </w:rPr>
        <w:t>) Recast (2015)</w:t>
      </w:r>
      <w:r w:rsidR="00D02CA6">
        <w:rPr>
          <w:rFonts w:ascii="Avenir Next" w:hAnsi="Avenir Next" w:cs="Arial"/>
          <w:color w:val="808080" w:themeColor="background1" w:themeShade="80"/>
          <w:sz w:val="22"/>
          <w:szCs w:val="22"/>
          <w:lang w:val="en-GB"/>
        </w:rPr>
        <w:t>, etc)</w:t>
      </w:r>
      <w:r w:rsidR="0071070E">
        <w:rPr>
          <w:rFonts w:ascii="Avenir Next" w:hAnsi="Avenir Next" w:cs="Arial"/>
          <w:color w:val="808080" w:themeColor="background1" w:themeShade="80"/>
          <w:sz w:val="22"/>
          <w:szCs w:val="22"/>
          <w:lang w:val="en-GB"/>
        </w:rPr>
        <w:t xml:space="preserve">, however, this distinction is arguably less important than effective instrument design </w:t>
      </w:r>
      <w:r w:rsidR="00BE5EDD">
        <w:rPr>
          <w:rFonts w:ascii="Avenir Next" w:hAnsi="Avenir Next" w:cs="Arial"/>
          <w:color w:val="808080" w:themeColor="background1" w:themeShade="80"/>
          <w:sz w:val="22"/>
          <w:szCs w:val="22"/>
          <w:lang w:val="en-GB"/>
        </w:rPr>
        <w:t>to combat behavioural biases between States.</w:t>
      </w:r>
      <w:r w:rsidR="00BE5EDD">
        <w:rPr>
          <w:rStyle w:val="FootnoteReference"/>
          <w:rFonts w:ascii="Avenir Next" w:hAnsi="Avenir Next" w:cs="Arial"/>
          <w:color w:val="808080" w:themeColor="background1" w:themeShade="80"/>
          <w:sz w:val="22"/>
          <w:szCs w:val="22"/>
          <w:lang w:val="en-GB"/>
        </w:rPr>
        <w:footnoteReference w:id="60"/>
      </w:r>
    </w:p>
    <w:p w14:paraId="2CFF4AEA" w14:textId="58E9B8B1" w:rsidR="00E65113" w:rsidRDefault="00E65113" w:rsidP="00D02CA6">
      <w:pPr>
        <w:jc w:val="both"/>
        <w:rPr>
          <w:rFonts w:ascii="Avenir Next" w:hAnsi="Avenir Next" w:cs="Arial"/>
          <w:color w:val="808080" w:themeColor="background1" w:themeShade="80"/>
          <w:sz w:val="22"/>
          <w:szCs w:val="22"/>
          <w:lang w:val="en-GB"/>
        </w:rPr>
      </w:pPr>
    </w:p>
    <w:p w14:paraId="195F354C" w14:textId="56FEA381" w:rsidR="00E65113" w:rsidRDefault="001D0ED4" w:rsidP="00D02C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are typically regarded as “hard law”, binding regulations </w:t>
      </w:r>
      <w:r w:rsidR="00D24944">
        <w:rPr>
          <w:rFonts w:ascii="Avenir Next" w:hAnsi="Avenir Next" w:cs="Arial"/>
          <w:color w:val="808080" w:themeColor="background1" w:themeShade="80"/>
          <w:sz w:val="22"/>
          <w:szCs w:val="22"/>
          <w:lang w:val="en-GB"/>
        </w:rPr>
        <w:t>that States become signatories to. An example is the United Nations International Bill of Human Rights.</w:t>
      </w:r>
    </w:p>
    <w:p w14:paraId="01D368B4" w14:textId="266476E4" w:rsidR="00D24944" w:rsidRDefault="00D24944" w:rsidP="00D02CA6">
      <w:pPr>
        <w:jc w:val="both"/>
        <w:rPr>
          <w:rFonts w:ascii="Avenir Next" w:hAnsi="Avenir Next" w:cs="Arial"/>
          <w:color w:val="808080" w:themeColor="background1" w:themeShade="80"/>
          <w:sz w:val="22"/>
          <w:szCs w:val="22"/>
          <w:lang w:val="en-GB"/>
        </w:rPr>
      </w:pPr>
    </w:p>
    <w:p w14:paraId="7731D6D4" w14:textId="5D90787B" w:rsidR="00D24944" w:rsidRDefault="00732524" w:rsidP="00D02C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a number of </w:t>
      </w:r>
      <w:r w:rsidR="00C22CF3">
        <w:rPr>
          <w:rFonts w:ascii="Avenir Next" w:hAnsi="Avenir Next" w:cs="Arial"/>
          <w:color w:val="808080" w:themeColor="background1" w:themeShade="80"/>
          <w:sz w:val="22"/>
          <w:szCs w:val="22"/>
          <w:lang w:val="en-GB"/>
        </w:rPr>
        <w:t xml:space="preserve">treaties and conventions being implemented in various neighbouring jurisdictions around the world, there are no current global treaties </w:t>
      </w:r>
      <w:r w:rsidR="00EF526B">
        <w:rPr>
          <w:rFonts w:ascii="Avenir Next" w:hAnsi="Avenir Next" w:cs="Arial"/>
          <w:color w:val="808080" w:themeColor="background1" w:themeShade="80"/>
          <w:sz w:val="22"/>
          <w:szCs w:val="22"/>
          <w:lang w:val="en-GB"/>
        </w:rPr>
        <w:t>binding States to a prescribed set of cross-border insolvency laws</w:t>
      </w:r>
      <w:r w:rsidR="0014567B">
        <w:rPr>
          <w:rFonts w:ascii="Avenir Next" w:hAnsi="Avenir Next" w:cs="Arial"/>
          <w:color w:val="808080" w:themeColor="background1" w:themeShade="80"/>
          <w:sz w:val="22"/>
          <w:szCs w:val="22"/>
          <w:lang w:val="en-GB"/>
        </w:rPr>
        <w:t>.</w:t>
      </w:r>
    </w:p>
    <w:p w14:paraId="04330BA7" w14:textId="3552B5A0" w:rsidR="00EF526B" w:rsidRDefault="00EF526B" w:rsidP="00D02CA6">
      <w:pPr>
        <w:jc w:val="both"/>
        <w:rPr>
          <w:rFonts w:ascii="Avenir Next" w:hAnsi="Avenir Next" w:cs="Arial"/>
          <w:color w:val="808080" w:themeColor="background1" w:themeShade="80"/>
          <w:sz w:val="22"/>
          <w:szCs w:val="22"/>
          <w:lang w:val="en-GB"/>
        </w:rPr>
      </w:pPr>
    </w:p>
    <w:p w14:paraId="410E8F2F" w14:textId="3ED76CC3" w:rsidR="00EF526B" w:rsidRPr="004E72A6" w:rsidRDefault="00EF526B" w:rsidP="00D02C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Rather, </w:t>
      </w:r>
      <w:r w:rsidR="005526E2">
        <w:rPr>
          <w:rFonts w:ascii="Avenir Next" w:hAnsi="Avenir Next" w:cs="Arial"/>
          <w:color w:val="808080" w:themeColor="background1" w:themeShade="80"/>
          <w:sz w:val="22"/>
          <w:szCs w:val="22"/>
          <w:lang w:val="en-GB"/>
        </w:rPr>
        <w:t xml:space="preserve">many States </w:t>
      </w:r>
      <w:r w:rsidR="00B26EFC">
        <w:rPr>
          <w:rFonts w:ascii="Avenir Next" w:hAnsi="Avenir Next" w:cs="Arial"/>
          <w:color w:val="808080" w:themeColor="background1" w:themeShade="80"/>
          <w:sz w:val="22"/>
          <w:szCs w:val="22"/>
          <w:lang w:val="en-GB"/>
        </w:rPr>
        <w:t>have preferred soft law instruments (like the Model Laws)</w:t>
      </w:r>
      <w:r w:rsidR="004E72A6">
        <w:rPr>
          <w:rFonts w:ascii="Avenir Next" w:hAnsi="Avenir Next" w:cs="Arial"/>
          <w:color w:val="808080" w:themeColor="background1" w:themeShade="80"/>
          <w:sz w:val="22"/>
          <w:szCs w:val="22"/>
          <w:lang w:val="en-GB"/>
        </w:rPr>
        <w:t>,</w:t>
      </w:r>
      <w:r w:rsidR="00C628EA">
        <w:rPr>
          <w:rStyle w:val="FootnoteReference"/>
          <w:rFonts w:ascii="Avenir Next" w:hAnsi="Avenir Next" w:cs="Arial"/>
          <w:color w:val="808080" w:themeColor="background1" w:themeShade="80"/>
          <w:sz w:val="22"/>
          <w:szCs w:val="22"/>
          <w:lang w:val="en-GB"/>
        </w:rPr>
        <w:footnoteReference w:id="61"/>
      </w:r>
      <w:r w:rsidR="004E72A6">
        <w:rPr>
          <w:rFonts w:ascii="Avenir Next" w:hAnsi="Avenir Next" w:cs="Arial"/>
          <w:color w:val="808080" w:themeColor="background1" w:themeShade="80"/>
          <w:sz w:val="22"/>
          <w:szCs w:val="22"/>
          <w:lang w:val="en-GB"/>
        </w:rPr>
        <w:t xml:space="preserve"> which, according to </w:t>
      </w:r>
      <w:proofErr w:type="spellStart"/>
      <w:r w:rsidR="004E72A6">
        <w:rPr>
          <w:rFonts w:ascii="Avenir Next" w:hAnsi="Avenir Next" w:cs="Arial"/>
          <w:i/>
          <w:iCs/>
          <w:color w:val="808080" w:themeColor="background1" w:themeShade="80"/>
          <w:sz w:val="22"/>
          <w:szCs w:val="22"/>
          <w:lang w:val="en-GB"/>
        </w:rPr>
        <w:t>Mevorach</w:t>
      </w:r>
      <w:proofErr w:type="spellEnd"/>
      <w:r w:rsidR="004E72A6">
        <w:rPr>
          <w:rFonts w:ascii="Avenir Next" w:hAnsi="Avenir Next" w:cs="Arial"/>
          <w:color w:val="808080" w:themeColor="background1" w:themeShade="80"/>
          <w:sz w:val="22"/>
          <w:szCs w:val="22"/>
          <w:lang w:val="en-GB"/>
        </w:rPr>
        <w:t>, is gaining momentum.</w:t>
      </w:r>
      <w:r w:rsidR="004E72A6">
        <w:rPr>
          <w:rStyle w:val="FootnoteReference"/>
          <w:rFonts w:ascii="Avenir Next" w:hAnsi="Avenir Next" w:cs="Arial"/>
          <w:color w:val="808080" w:themeColor="background1" w:themeShade="80"/>
          <w:sz w:val="22"/>
          <w:szCs w:val="22"/>
          <w:lang w:val="en-GB"/>
        </w:rPr>
        <w:footnoteReference w:id="62"/>
      </w:r>
      <w:r w:rsidR="0007752B">
        <w:rPr>
          <w:rFonts w:ascii="Avenir Next" w:hAnsi="Avenir Next" w:cs="Arial"/>
          <w:color w:val="808080" w:themeColor="background1" w:themeShade="80"/>
          <w:sz w:val="22"/>
          <w:szCs w:val="22"/>
          <w:lang w:val="en-GB"/>
        </w:rPr>
        <w:t xml:space="preserve"> </w:t>
      </w:r>
      <w:r w:rsidR="00BF756C">
        <w:rPr>
          <w:rFonts w:ascii="Avenir Next" w:hAnsi="Avenir Next" w:cs="Arial"/>
          <w:color w:val="808080" w:themeColor="background1" w:themeShade="80"/>
          <w:sz w:val="22"/>
          <w:szCs w:val="22"/>
          <w:lang w:val="en-GB"/>
        </w:rPr>
        <w:t xml:space="preserve">The ALI – III </w:t>
      </w:r>
      <w:r w:rsidR="003E2C9E">
        <w:rPr>
          <w:rFonts w:ascii="Avenir Next" w:hAnsi="Avenir Next" w:cs="Arial"/>
          <w:color w:val="808080" w:themeColor="background1" w:themeShade="80"/>
          <w:sz w:val="22"/>
          <w:szCs w:val="22"/>
          <w:lang w:val="en-GB"/>
        </w:rPr>
        <w:t xml:space="preserve">Global Principles </w:t>
      </w:r>
      <w:r w:rsidR="0045520B">
        <w:rPr>
          <w:rFonts w:ascii="Avenir Next" w:hAnsi="Avenir Next" w:cs="Arial"/>
          <w:color w:val="808080" w:themeColor="background1" w:themeShade="80"/>
          <w:sz w:val="22"/>
          <w:szCs w:val="22"/>
          <w:lang w:val="en-GB"/>
        </w:rPr>
        <w:t>is</w:t>
      </w:r>
      <w:r w:rsidR="003E2C9E">
        <w:rPr>
          <w:rFonts w:ascii="Avenir Next" w:hAnsi="Avenir Next" w:cs="Arial"/>
          <w:color w:val="808080" w:themeColor="background1" w:themeShade="80"/>
          <w:sz w:val="22"/>
          <w:szCs w:val="22"/>
          <w:lang w:val="en-GB"/>
        </w:rPr>
        <w:t xml:space="preserve"> another example of a soft law </w:t>
      </w:r>
      <w:r w:rsidR="0045520B">
        <w:rPr>
          <w:rFonts w:ascii="Avenir Next" w:hAnsi="Avenir Next" w:cs="Arial"/>
          <w:color w:val="808080" w:themeColor="background1" w:themeShade="80"/>
          <w:sz w:val="22"/>
          <w:szCs w:val="22"/>
          <w:lang w:val="en-GB"/>
        </w:rPr>
        <w:t>instrument</w:t>
      </w:r>
      <w:r w:rsidR="002C4C9B">
        <w:rPr>
          <w:rFonts w:ascii="Avenir Next" w:hAnsi="Avenir Next" w:cs="Arial"/>
          <w:color w:val="808080" w:themeColor="background1" w:themeShade="80"/>
          <w:sz w:val="22"/>
          <w:szCs w:val="22"/>
          <w:lang w:val="en-GB"/>
        </w:rPr>
        <w:t>;</w:t>
      </w:r>
      <w:r w:rsidR="0045520B">
        <w:rPr>
          <w:rFonts w:ascii="Avenir Next" w:hAnsi="Avenir Next" w:cs="Arial"/>
          <w:color w:val="808080" w:themeColor="background1" w:themeShade="80"/>
          <w:sz w:val="22"/>
          <w:szCs w:val="22"/>
          <w:lang w:val="en-GB"/>
        </w:rPr>
        <w:t xml:space="preserve"> which aims </w:t>
      </w:r>
      <w:r w:rsidR="00A9056F">
        <w:rPr>
          <w:rFonts w:ascii="Avenir Next" w:hAnsi="Avenir Next" w:cs="Arial"/>
          <w:color w:val="808080" w:themeColor="background1" w:themeShade="80"/>
          <w:sz w:val="22"/>
          <w:szCs w:val="22"/>
          <w:lang w:val="en-GB"/>
        </w:rPr>
        <w:t xml:space="preserve">to provide </w:t>
      </w:r>
      <w:r w:rsidR="007B07B0">
        <w:rPr>
          <w:rFonts w:ascii="Avenir Next" w:hAnsi="Avenir Next" w:cs="Arial"/>
          <w:color w:val="808080" w:themeColor="background1" w:themeShade="80"/>
          <w:sz w:val="22"/>
          <w:szCs w:val="22"/>
          <w:lang w:val="en-GB"/>
        </w:rPr>
        <w:t xml:space="preserve">“global best practice,” rather than </w:t>
      </w:r>
      <w:r w:rsidR="002C4C9B">
        <w:rPr>
          <w:rFonts w:ascii="Avenir Next" w:hAnsi="Avenir Next" w:cs="Arial"/>
          <w:color w:val="808080" w:themeColor="background1" w:themeShade="80"/>
          <w:sz w:val="22"/>
          <w:szCs w:val="22"/>
          <w:lang w:val="en-GB"/>
        </w:rPr>
        <w:t>a binding set of rules and regulations.</w:t>
      </w:r>
      <w:r w:rsidR="00D83044">
        <w:rPr>
          <w:rStyle w:val="FootnoteReference"/>
          <w:rFonts w:ascii="Avenir Next" w:hAnsi="Avenir Next" w:cs="Arial"/>
          <w:color w:val="808080" w:themeColor="background1" w:themeShade="80"/>
          <w:sz w:val="22"/>
          <w:szCs w:val="22"/>
          <w:lang w:val="en-GB"/>
        </w:rPr>
        <w:footnoteReference w:id="63"/>
      </w:r>
      <w:r w:rsidR="002C4C9B">
        <w:rPr>
          <w:rFonts w:ascii="Avenir Next" w:hAnsi="Avenir Next" w:cs="Arial"/>
          <w:color w:val="808080" w:themeColor="background1" w:themeShade="80"/>
          <w:sz w:val="22"/>
          <w:szCs w:val="22"/>
          <w:lang w:val="en-GB"/>
        </w:rPr>
        <w:t xml:space="preserve"> </w:t>
      </w:r>
      <w:r w:rsidR="004D6315">
        <w:rPr>
          <w:rFonts w:ascii="Avenir Next" w:hAnsi="Avenir Next" w:cs="Arial"/>
          <w:color w:val="808080" w:themeColor="background1" w:themeShade="80"/>
          <w:sz w:val="22"/>
          <w:szCs w:val="22"/>
          <w:lang w:val="en-GB"/>
        </w:rPr>
        <w:t>Many of the reasons for this soft law preference, were addressed in my answers at question 3.2</w:t>
      </w:r>
      <w:r w:rsidR="005C2D9E">
        <w:rPr>
          <w:rFonts w:ascii="Avenir Next" w:hAnsi="Avenir Next" w:cs="Arial"/>
          <w:color w:val="808080" w:themeColor="background1" w:themeShade="80"/>
          <w:sz w:val="22"/>
          <w:szCs w:val="22"/>
          <w:lang w:val="en-GB"/>
        </w:rPr>
        <w:t xml:space="preserve">, however, these reasons may include: </w:t>
      </w:r>
      <w:r w:rsidR="009334CE">
        <w:rPr>
          <w:rFonts w:ascii="Avenir Next" w:hAnsi="Avenir Next" w:cs="Arial"/>
          <w:color w:val="7B7B7B" w:themeColor="accent3" w:themeShade="BF"/>
          <w:sz w:val="22"/>
          <w:szCs w:val="22"/>
          <w:lang w:val="en-GB"/>
        </w:rPr>
        <w:t xml:space="preserve">social, religious, moral or cultural differences between nations </w:t>
      </w:r>
      <w:r w:rsidR="003C4D1C">
        <w:rPr>
          <w:rFonts w:ascii="Avenir Next" w:hAnsi="Avenir Next" w:cs="Arial"/>
          <w:color w:val="7B7B7B" w:themeColor="accent3" w:themeShade="BF"/>
          <w:sz w:val="22"/>
          <w:szCs w:val="22"/>
          <w:lang w:val="en-GB"/>
        </w:rPr>
        <w:t>(</w:t>
      </w:r>
      <w:r w:rsidR="009334CE">
        <w:rPr>
          <w:rFonts w:ascii="Avenir Next" w:hAnsi="Avenir Next" w:cs="Arial"/>
          <w:color w:val="7B7B7B" w:themeColor="accent3" w:themeShade="BF"/>
          <w:sz w:val="22"/>
          <w:szCs w:val="22"/>
          <w:lang w:val="en-GB"/>
        </w:rPr>
        <w:t>including ongoing wars and breaching of the peace</w:t>
      </w:r>
      <w:r w:rsidR="003C4D1C">
        <w:rPr>
          <w:rFonts w:ascii="Avenir Next" w:hAnsi="Avenir Next" w:cs="Arial"/>
          <w:color w:val="7B7B7B" w:themeColor="accent3" w:themeShade="BF"/>
          <w:sz w:val="22"/>
          <w:szCs w:val="22"/>
          <w:lang w:val="en-GB"/>
        </w:rPr>
        <w:t xml:space="preserve">) and differences in </w:t>
      </w:r>
      <w:r w:rsidR="00040B8F">
        <w:rPr>
          <w:rFonts w:ascii="Avenir Next" w:hAnsi="Avenir Next" w:cs="Arial"/>
          <w:color w:val="7B7B7B" w:themeColor="accent3" w:themeShade="BF"/>
          <w:sz w:val="22"/>
          <w:szCs w:val="22"/>
          <w:lang w:val="en-GB"/>
        </w:rPr>
        <w:t>civil and common law jurisdictions.</w:t>
      </w:r>
      <w:r w:rsidR="00223571">
        <w:rPr>
          <w:rFonts w:ascii="Avenir Next" w:hAnsi="Avenir Next" w:cs="Arial"/>
          <w:color w:val="7B7B7B" w:themeColor="accent3" w:themeShade="BF"/>
          <w:sz w:val="22"/>
          <w:szCs w:val="22"/>
          <w:lang w:val="en-GB"/>
        </w:rPr>
        <w:t xml:space="preserve"> Nonetheless, </w:t>
      </w:r>
      <w:r w:rsidR="00A253F5">
        <w:rPr>
          <w:rFonts w:ascii="Avenir Next" w:hAnsi="Avenir Next" w:cs="Arial"/>
          <w:color w:val="7B7B7B" w:themeColor="accent3" w:themeShade="BF"/>
          <w:sz w:val="22"/>
          <w:szCs w:val="22"/>
          <w:lang w:val="en-GB"/>
        </w:rPr>
        <w:t xml:space="preserve">despite the </w:t>
      </w:r>
      <w:r w:rsidR="00001BA3">
        <w:rPr>
          <w:rFonts w:ascii="Avenir Next" w:hAnsi="Avenir Next" w:cs="Arial"/>
          <w:color w:val="7B7B7B" w:themeColor="accent3" w:themeShade="BF"/>
          <w:sz w:val="22"/>
          <w:szCs w:val="22"/>
          <w:lang w:val="en-GB"/>
        </w:rPr>
        <w:t xml:space="preserve">relatively successful </w:t>
      </w:r>
      <w:r w:rsidR="00A253F5">
        <w:rPr>
          <w:rFonts w:ascii="Avenir Next" w:hAnsi="Avenir Next" w:cs="Arial"/>
          <w:color w:val="7B7B7B" w:themeColor="accent3" w:themeShade="BF"/>
          <w:sz w:val="22"/>
          <w:szCs w:val="22"/>
          <w:lang w:val="en-GB"/>
        </w:rPr>
        <w:t>Model Laws being in effect for some 25 years or so, only 53 States are signatories.</w:t>
      </w:r>
      <w:r w:rsidR="00A253F5">
        <w:rPr>
          <w:rStyle w:val="FootnoteReference"/>
          <w:rFonts w:ascii="Avenir Next" w:hAnsi="Avenir Next" w:cs="Arial"/>
          <w:color w:val="7B7B7B" w:themeColor="accent3" w:themeShade="BF"/>
          <w:sz w:val="22"/>
          <w:szCs w:val="22"/>
          <w:lang w:val="en-GB"/>
        </w:rPr>
        <w:footnoteReference w:id="64"/>
      </w:r>
      <w:r w:rsidR="00A253F5">
        <w:rPr>
          <w:rFonts w:ascii="Avenir Next" w:hAnsi="Avenir Next" w:cs="Arial"/>
          <w:color w:val="7B7B7B" w:themeColor="accent3" w:themeShade="BF"/>
          <w:sz w:val="22"/>
          <w:szCs w:val="22"/>
          <w:lang w:val="en-GB"/>
        </w:rPr>
        <w:t xml:space="preserve"> Noticeable absentees</w:t>
      </w:r>
      <w:r w:rsidR="00371899">
        <w:rPr>
          <w:rStyle w:val="FootnoteReference"/>
          <w:rFonts w:ascii="Avenir Next" w:hAnsi="Avenir Next" w:cs="Arial"/>
          <w:color w:val="7B7B7B" w:themeColor="accent3" w:themeShade="BF"/>
          <w:sz w:val="22"/>
          <w:szCs w:val="22"/>
          <w:lang w:val="en-GB"/>
        </w:rPr>
        <w:footnoteReference w:id="65"/>
      </w:r>
      <w:r w:rsidR="00A253F5">
        <w:rPr>
          <w:rFonts w:ascii="Avenir Next" w:hAnsi="Avenir Next" w:cs="Arial"/>
          <w:color w:val="7B7B7B" w:themeColor="accent3" w:themeShade="BF"/>
          <w:sz w:val="22"/>
          <w:szCs w:val="22"/>
          <w:lang w:val="en-GB"/>
        </w:rPr>
        <w:t xml:space="preserve"> include: Russia, China, India, Nigeria, Germany, France, etc</w:t>
      </w:r>
      <w:r w:rsidR="00211B80">
        <w:rPr>
          <w:rFonts w:ascii="Avenir Next" w:hAnsi="Avenir Next" w:cs="Arial"/>
          <w:color w:val="7B7B7B" w:themeColor="accent3" w:themeShade="BF"/>
          <w:sz w:val="22"/>
          <w:szCs w:val="22"/>
          <w:lang w:val="en-GB"/>
        </w:rPr>
        <w:t>. Accordingly, this has led some commentators to call for the Model Law to be transformed into a binding treaty.</w:t>
      </w:r>
      <w:r w:rsidR="00211B80">
        <w:rPr>
          <w:rStyle w:val="FootnoteReference"/>
          <w:rFonts w:ascii="Avenir Next" w:hAnsi="Avenir Next" w:cs="Arial"/>
          <w:color w:val="7B7B7B" w:themeColor="accent3" w:themeShade="BF"/>
          <w:sz w:val="22"/>
          <w:szCs w:val="22"/>
          <w:lang w:val="en-GB"/>
        </w:rPr>
        <w:footnoteReference w:id="66"/>
      </w:r>
    </w:p>
    <w:p w14:paraId="492D35CC" w14:textId="5E92970B" w:rsidR="001E1C34" w:rsidRDefault="001E1C34" w:rsidP="00692852">
      <w:pPr>
        <w:jc w:val="both"/>
        <w:rPr>
          <w:rFonts w:ascii="Avenir Next" w:hAnsi="Avenir Next"/>
          <w:sz w:val="22"/>
          <w:szCs w:val="22"/>
        </w:rPr>
      </w:pPr>
    </w:p>
    <w:p w14:paraId="2C8A005C" w14:textId="609FF827" w:rsidR="00950AA5" w:rsidRDefault="002F0482" w:rsidP="00950AA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example of a failed </w:t>
      </w:r>
      <w:r w:rsidR="00950AA5">
        <w:rPr>
          <w:rFonts w:ascii="Avenir Next" w:hAnsi="Avenir Next" w:cs="Arial"/>
          <w:color w:val="808080" w:themeColor="background1" w:themeShade="80"/>
          <w:sz w:val="22"/>
          <w:szCs w:val="22"/>
          <w:lang w:val="en-GB"/>
        </w:rPr>
        <w:t xml:space="preserve">attempt of implementing an </w:t>
      </w:r>
      <w:r>
        <w:rPr>
          <w:rFonts w:ascii="Avenir Next" w:hAnsi="Avenir Next" w:cs="Arial"/>
          <w:color w:val="808080" w:themeColor="background1" w:themeShade="80"/>
          <w:sz w:val="22"/>
          <w:szCs w:val="22"/>
          <w:lang w:val="en-GB"/>
        </w:rPr>
        <w:t xml:space="preserve">international insolvency treaty </w:t>
      </w:r>
      <w:r w:rsidR="00950AA5">
        <w:rPr>
          <w:rFonts w:ascii="Avenir Next" w:hAnsi="Avenir Next" w:cs="Arial"/>
          <w:color w:val="808080" w:themeColor="background1" w:themeShade="80"/>
          <w:sz w:val="22"/>
          <w:szCs w:val="22"/>
          <w:lang w:val="en-GB"/>
        </w:rPr>
        <w:t xml:space="preserve">was the Draft Treaty between the Unites States of America and Canada in 1979. </w:t>
      </w:r>
      <w:r w:rsidR="00950AA5">
        <w:rPr>
          <w:rFonts w:ascii="Avenir Next" w:hAnsi="Avenir Next" w:cs="Arial"/>
          <w:i/>
          <w:iCs/>
          <w:color w:val="808080" w:themeColor="background1" w:themeShade="80"/>
          <w:sz w:val="22"/>
          <w:szCs w:val="22"/>
          <w:lang w:val="en-GB"/>
        </w:rPr>
        <w:t xml:space="preserve">Burman </w:t>
      </w:r>
      <w:r w:rsidR="00950AA5">
        <w:rPr>
          <w:rFonts w:ascii="Avenir Next" w:hAnsi="Avenir Next" w:cs="Arial"/>
          <w:color w:val="808080" w:themeColor="background1" w:themeShade="80"/>
          <w:sz w:val="22"/>
          <w:szCs w:val="22"/>
          <w:lang w:val="en-GB"/>
        </w:rPr>
        <w:t>claims that this Draft Treaty failed due to (</w:t>
      </w:r>
      <w:r w:rsidR="00950AA5">
        <w:rPr>
          <w:rFonts w:ascii="Avenir Next" w:hAnsi="Avenir Next" w:cs="Arial"/>
          <w:i/>
          <w:iCs/>
          <w:color w:val="808080" w:themeColor="background1" w:themeShade="80"/>
          <w:sz w:val="22"/>
          <w:szCs w:val="22"/>
          <w:lang w:val="en-GB"/>
        </w:rPr>
        <w:t xml:space="preserve">inter </w:t>
      </w:r>
      <w:r w:rsidR="00950AA5" w:rsidRPr="00922052">
        <w:rPr>
          <w:rFonts w:ascii="Avenir Next" w:hAnsi="Avenir Next" w:cs="Arial"/>
          <w:i/>
          <w:iCs/>
          <w:color w:val="808080" w:themeColor="background1" w:themeShade="80"/>
          <w:sz w:val="22"/>
          <w:szCs w:val="22"/>
          <w:lang w:val="en-GB"/>
        </w:rPr>
        <w:t>alia</w:t>
      </w:r>
      <w:r w:rsidR="00950AA5">
        <w:rPr>
          <w:rFonts w:ascii="Avenir Next" w:hAnsi="Avenir Next" w:cs="Arial"/>
          <w:color w:val="808080" w:themeColor="background1" w:themeShade="80"/>
          <w:sz w:val="22"/>
          <w:szCs w:val="22"/>
          <w:lang w:val="en-GB"/>
        </w:rPr>
        <w:t xml:space="preserve">) </w:t>
      </w:r>
      <w:r w:rsidR="00950AA5" w:rsidRPr="00625DEA">
        <w:rPr>
          <w:rFonts w:ascii="Avenir Next" w:hAnsi="Avenir Next" w:cs="Arial"/>
          <w:color w:val="808080" w:themeColor="background1" w:themeShade="80"/>
          <w:sz w:val="22"/>
          <w:szCs w:val="22"/>
          <w:lang w:val="en-GB"/>
        </w:rPr>
        <w:t>an</w:t>
      </w:r>
      <w:r w:rsidR="00950AA5">
        <w:rPr>
          <w:rFonts w:ascii="Avenir Next" w:hAnsi="Avenir Next" w:cs="Arial"/>
          <w:color w:val="808080" w:themeColor="background1" w:themeShade="80"/>
          <w:sz w:val="22"/>
          <w:szCs w:val="22"/>
          <w:lang w:val="en-GB"/>
        </w:rPr>
        <w:t xml:space="preserve"> impasse over rules to determine which of the two countries would qualify as the forum State in prescribed circumstances.</w:t>
      </w:r>
      <w:r w:rsidR="00950AA5">
        <w:rPr>
          <w:rStyle w:val="FootnoteReference"/>
          <w:rFonts w:ascii="Avenir Next" w:hAnsi="Avenir Next" w:cs="Arial"/>
          <w:color w:val="808080" w:themeColor="background1" w:themeShade="80"/>
          <w:sz w:val="22"/>
          <w:szCs w:val="22"/>
          <w:lang w:val="en-GB"/>
        </w:rPr>
        <w:footnoteReference w:id="67"/>
      </w:r>
      <w:r w:rsidR="00950AA5">
        <w:rPr>
          <w:rFonts w:ascii="Avenir Next" w:hAnsi="Avenir Next" w:cs="Arial"/>
          <w:color w:val="808080" w:themeColor="background1" w:themeShade="80"/>
          <w:sz w:val="22"/>
          <w:szCs w:val="22"/>
          <w:lang w:val="en-GB"/>
        </w:rPr>
        <w:t xml:space="preserve"> </w:t>
      </w:r>
    </w:p>
    <w:p w14:paraId="73FFD1CC" w14:textId="382072F3" w:rsidR="00950AA5" w:rsidRDefault="00950AA5" w:rsidP="00950AA5">
      <w:pPr>
        <w:jc w:val="both"/>
        <w:rPr>
          <w:rFonts w:ascii="Avenir Next" w:hAnsi="Avenir Next" w:cs="Arial"/>
          <w:color w:val="808080" w:themeColor="background1" w:themeShade="80"/>
          <w:sz w:val="22"/>
          <w:szCs w:val="22"/>
          <w:lang w:val="en-GB"/>
        </w:rPr>
      </w:pPr>
    </w:p>
    <w:p w14:paraId="65890E7B" w14:textId="26A7B3AA" w:rsidR="00223571" w:rsidRDefault="00223571" w:rsidP="002235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An example of relatively successful treaty implementation is the adoption and enactment of the Uniform Act on the Organisation of Collective Procedures for the Discharge of Liabilities (2015)</w:t>
      </w:r>
      <w:r>
        <w:rPr>
          <w:rStyle w:val="FootnoteReference"/>
          <w:rFonts w:ascii="Avenir Next" w:hAnsi="Avenir Next" w:cs="Arial"/>
          <w:color w:val="808080" w:themeColor="background1" w:themeShade="80"/>
          <w:sz w:val="22"/>
          <w:szCs w:val="22"/>
          <w:lang w:val="en-GB"/>
        </w:rPr>
        <w:footnoteReference w:id="68"/>
      </w:r>
      <w:r>
        <w:rPr>
          <w:rFonts w:ascii="Avenir Next" w:hAnsi="Avenir Next" w:cs="Arial"/>
          <w:color w:val="808080" w:themeColor="background1" w:themeShade="80"/>
          <w:sz w:val="22"/>
          <w:szCs w:val="22"/>
          <w:lang w:val="en-GB"/>
        </w:rPr>
        <w:t xml:space="preserve"> and the Uniform Act Organising Simplified Recovery Procedures and Measures of Execution (1998)</w:t>
      </w:r>
      <w:r>
        <w:rPr>
          <w:rStyle w:val="FootnoteReference"/>
          <w:rFonts w:ascii="Avenir Next" w:hAnsi="Avenir Next" w:cs="Arial"/>
          <w:color w:val="808080" w:themeColor="background1" w:themeShade="80"/>
          <w:sz w:val="22"/>
          <w:szCs w:val="22"/>
          <w:lang w:val="en-GB"/>
        </w:rPr>
        <w:footnoteReference w:id="69"/>
      </w:r>
      <w:r>
        <w:rPr>
          <w:rFonts w:ascii="Avenir Next" w:hAnsi="Avenir Next" w:cs="Arial"/>
          <w:color w:val="808080" w:themeColor="background1" w:themeShade="80"/>
          <w:sz w:val="22"/>
          <w:szCs w:val="22"/>
          <w:lang w:val="en-GB"/>
        </w:rPr>
        <w:t xml:space="preserve"> (collectively, the </w:t>
      </w:r>
      <w:r w:rsidRPr="00D4715A">
        <w:rPr>
          <w:rFonts w:ascii="Avenir Next" w:hAnsi="Avenir Next" w:cs="Arial"/>
          <w:b/>
          <w:bCs/>
          <w:color w:val="808080" w:themeColor="background1" w:themeShade="80"/>
          <w:sz w:val="22"/>
          <w:szCs w:val="22"/>
          <w:lang w:val="en-GB"/>
        </w:rPr>
        <w:t>OHADA</w:t>
      </w:r>
      <w:r>
        <w:rPr>
          <w:rFonts w:ascii="Avenir Next" w:hAnsi="Avenir Next" w:cs="Arial"/>
          <w:color w:val="808080" w:themeColor="background1" w:themeShade="80"/>
          <w:sz w:val="22"/>
          <w:szCs w:val="22"/>
          <w:lang w:val="en-GB"/>
        </w:rPr>
        <w:t>). Currently, there are approximately 17 signatory States to the OHADA, including Cameroon, Congo and Guinea.</w:t>
      </w:r>
      <w:r>
        <w:rPr>
          <w:rStyle w:val="FootnoteReference"/>
          <w:rFonts w:ascii="Avenir Next" w:hAnsi="Avenir Next" w:cs="Arial"/>
          <w:color w:val="808080" w:themeColor="background1" w:themeShade="80"/>
          <w:sz w:val="22"/>
          <w:szCs w:val="22"/>
          <w:lang w:val="en-GB"/>
        </w:rPr>
        <w:footnoteReference w:id="70"/>
      </w:r>
    </w:p>
    <w:p w14:paraId="4FE6A739" w14:textId="55FD60C5" w:rsidR="00950AA5" w:rsidRPr="00D053AA" w:rsidRDefault="00950AA5" w:rsidP="00950AA5">
      <w:pPr>
        <w:jc w:val="both"/>
        <w:rPr>
          <w:rFonts w:ascii="Avenir Next" w:hAnsi="Avenir Next" w:cs="Arial"/>
          <w:color w:val="808080" w:themeColor="background1" w:themeShade="80"/>
          <w:sz w:val="22"/>
          <w:szCs w:val="22"/>
          <w:lang w:val="en-GB"/>
        </w:rPr>
      </w:pPr>
    </w:p>
    <w:p w14:paraId="250261EA" w14:textId="77777777" w:rsidR="003351E4" w:rsidRDefault="0087212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longest lasting international insolvency treaties are ratified by a number of Latin American States</w:t>
      </w:r>
      <w:r w:rsidR="00EC2069">
        <w:rPr>
          <w:rFonts w:ascii="Avenir Next" w:hAnsi="Avenir Next" w:cs="Arial"/>
          <w:color w:val="808080" w:themeColor="background1" w:themeShade="80"/>
          <w:sz w:val="22"/>
          <w:szCs w:val="22"/>
          <w:lang w:val="en-GB"/>
        </w:rPr>
        <w:t xml:space="preserve">. These treaties include the Montevideo Treaty on International Commercial Law (1889) </w:t>
      </w:r>
      <w:r w:rsidR="005B4936">
        <w:rPr>
          <w:rFonts w:ascii="Avenir Next" w:hAnsi="Avenir Next" w:cs="Arial"/>
          <w:color w:val="808080" w:themeColor="background1" w:themeShade="80"/>
          <w:sz w:val="22"/>
          <w:szCs w:val="22"/>
          <w:lang w:val="en-GB"/>
        </w:rPr>
        <w:t>(</w:t>
      </w:r>
      <w:r w:rsidR="005B4936" w:rsidRPr="005B4936">
        <w:rPr>
          <w:rFonts w:ascii="Avenir Next" w:hAnsi="Avenir Next" w:cs="Arial"/>
          <w:b/>
          <w:bCs/>
          <w:color w:val="808080" w:themeColor="background1" w:themeShade="80"/>
          <w:sz w:val="22"/>
          <w:szCs w:val="22"/>
          <w:lang w:val="en-GB"/>
        </w:rPr>
        <w:t>1889 Treaty</w:t>
      </w:r>
      <w:r w:rsidR="005B4936">
        <w:rPr>
          <w:rFonts w:ascii="Avenir Next" w:hAnsi="Avenir Next" w:cs="Arial"/>
          <w:color w:val="808080" w:themeColor="background1" w:themeShade="80"/>
          <w:sz w:val="22"/>
          <w:szCs w:val="22"/>
          <w:lang w:val="en-GB"/>
        </w:rPr>
        <w:t>)</w:t>
      </w:r>
      <w:r w:rsidR="00680868">
        <w:rPr>
          <w:rFonts w:ascii="Avenir Next" w:hAnsi="Avenir Next" w:cs="Arial"/>
          <w:color w:val="808080" w:themeColor="background1" w:themeShade="80"/>
          <w:sz w:val="22"/>
          <w:szCs w:val="22"/>
          <w:lang w:val="en-GB"/>
        </w:rPr>
        <w:t>,</w:t>
      </w:r>
      <w:r w:rsidR="00EC2069">
        <w:rPr>
          <w:rFonts w:ascii="Avenir Next" w:hAnsi="Avenir Next" w:cs="Arial"/>
          <w:color w:val="808080" w:themeColor="background1" w:themeShade="80"/>
          <w:sz w:val="22"/>
          <w:szCs w:val="22"/>
          <w:lang w:val="en-GB"/>
        </w:rPr>
        <w:t xml:space="preserve"> the Montevideo Treaty on International Commercial </w:t>
      </w:r>
      <w:r w:rsidR="005B4936">
        <w:rPr>
          <w:rFonts w:ascii="Avenir Next" w:hAnsi="Avenir Next" w:cs="Arial"/>
          <w:color w:val="808080" w:themeColor="background1" w:themeShade="80"/>
          <w:sz w:val="22"/>
          <w:szCs w:val="22"/>
          <w:lang w:val="en-GB"/>
        </w:rPr>
        <w:t xml:space="preserve">Terrestrial </w:t>
      </w:r>
      <w:r w:rsidR="00EC2069">
        <w:rPr>
          <w:rFonts w:ascii="Avenir Next" w:hAnsi="Avenir Next" w:cs="Arial"/>
          <w:color w:val="808080" w:themeColor="background1" w:themeShade="80"/>
          <w:sz w:val="22"/>
          <w:szCs w:val="22"/>
          <w:lang w:val="en-GB"/>
        </w:rPr>
        <w:t>Law (</w:t>
      </w:r>
      <w:r w:rsidR="005B4936">
        <w:rPr>
          <w:rFonts w:ascii="Avenir Next" w:hAnsi="Avenir Next" w:cs="Arial"/>
          <w:color w:val="808080" w:themeColor="background1" w:themeShade="80"/>
          <w:sz w:val="22"/>
          <w:szCs w:val="22"/>
          <w:lang w:val="en-GB"/>
        </w:rPr>
        <w:t>1940</w:t>
      </w:r>
      <w:r w:rsidR="00EC2069">
        <w:rPr>
          <w:rFonts w:ascii="Avenir Next" w:hAnsi="Avenir Next" w:cs="Arial"/>
          <w:color w:val="808080" w:themeColor="background1" w:themeShade="80"/>
          <w:sz w:val="22"/>
          <w:szCs w:val="22"/>
          <w:lang w:val="en-GB"/>
        </w:rPr>
        <w:t>)</w:t>
      </w:r>
      <w:r w:rsidR="005B4936">
        <w:rPr>
          <w:rFonts w:ascii="Avenir Next" w:hAnsi="Avenir Next" w:cs="Arial"/>
          <w:color w:val="808080" w:themeColor="background1" w:themeShade="80"/>
          <w:sz w:val="22"/>
          <w:szCs w:val="22"/>
          <w:lang w:val="en-GB"/>
        </w:rPr>
        <w:t xml:space="preserve"> (</w:t>
      </w:r>
      <w:r w:rsidR="005B4936" w:rsidRPr="005B4936">
        <w:rPr>
          <w:rFonts w:ascii="Avenir Next" w:hAnsi="Avenir Next" w:cs="Arial"/>
          <w:b/>
          <w:bCs/>
          <w:color w:val="808080" w:themeColor="background1" w:themeShade="80"/>
          <w:sz w:val="22"/>
          <w:szCs w:val="22"/>
          <w:lang w:val="en-GB"/>
        </w:rPr>
        <w:t>1940 Treaty</w:t>
      </w:r>
      <w:r w:rsidR="005B4936">
        <w:rPr>
          <w:rFonts w:ascii="Avenir Next" w:hAnsi="Avenir Next" w:cs="Arial"/>
          <w:color w:val="808080" w:themeColor="background1" w:themeShade="80"/>
          <w:sz w:val="22"/>
          <w:szCs w:val="22"/>
          <w:lang w:val="en-GB"/>
        </w:rPr>
        <w:t xml:space="preserve">), and the Havana Convention on Private International Law </w:t>
      </w:r>
      <w:r w:rsidR="00690AC4">
        <w:rPr>
          <w:rFonts w:ascii="Avenir Next" w:hAnsi="Avenir Next" w:cs="Arial"/>
          <w:color w:val="808080" w:themeColor="background1" w:themeShade="80"/>
          <w:sz w:val="22"/>
          <w:szCs w:val="22"/>
          <w:lang w:val="en-GB"/>
        </w:rPr>
        <w:t>(1928) (</w:t>
      </w:r>
      <w:r w:rsidR="00690AC4" w:rsidRPr="00690AC4">
        <w:rPr>
          <w:rFonts w:ascii="Avenir Next" w:hAnsi="Avenir Next" w:cs="Arial"/>
          <w:b/>
          <w:bCs/>
          <w:color w:val="808080" w:themeColor="background1" w:themeShade="80"/>
          <w:sz w:val="22"/>
          <w:szCs w:val="22"/>
          <w:lang w:val="en-GB"/>
        </w:rPr>
        <w:t>Havana Convention</w:t>
      </w:r>
      <w:r w:rsidR="00690AC4">
        <w:rPr>
          <w:rFonts w:ascii="Avenir Next" w:hAnsi="Avenir Next" w:cs="Arial"/>
          <w:color w:val="808080" w:themeColor="background1" w:themeShade="80"/>
          <w:sz w:val="22"/>
          <w:szCs w:val="22"/>
          <w:lang w:val="en-GB"/>
        </w:rPr>
        <w:t xml:space="preserve">). </w:t>
      </w:r>
    </w:p>
    <w:p w14:paraId="46EF2B76" w14:textId="77777777" w:rsidR="003351E4" w:rsidRDefault="003351E4" w:rsidP="00692852">
      <w:pPr>
        <w:jc w:val="both"/>
        <w:rPr>
          <w:rFonts w:ascii="Avenir Next" w:hAnsi="Avenir Next" w:cs="Arial"/>
          <w:color w:val="808080" w:themeColor="background1" w:themeShade="80"/>
          <w:sz w:val="22"/>
          <w:szCs w:val="22"/>
          <w:lang w:val="en-GB"/>
        </w:rPr>
      </w:pPr>
    </w:p>
    <w:p w14:paraId="58756B39" w14:textId="279A79D3" w:rsidR="003351E4" w:rsidRDefault="00680868" w:rsidP="00F237A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note that the 1889 Treaty </w:t>
      </w:r>
      <w:r w:rsidR="003351E4">
        <w:rPr>
          <w:rFonts w:ascii="Avenir Next" w:hAnsi="Avenir Next" w:cs="Arial"/>
          <w:color w:val="808080" w:themeColor="background1" w:themeShade="80"/>
          <w:sz w:val="22"/>
          <w:szCs w:val="22"/>
          <w:lang w:val="en-GB"/>
        </w:rPr>
        <w:t xml:space="preserve">covers both personal and corporate insolvencies. </w:t>
      </w:r>
      <w:r w:rsidR="009C07C3">
        <w:rPr>
          <w:rFonts w:ascii="Avenir Next" w:hAnsi="Avenir Next" w:cs="Arial"/>
          <w:color w:val="808080" w:themeColor="background1" w:themeShade="80"/>
          <w:sz w:val="22"/>
          <w:szCs w:val="22"/>
          <w:lang w:val="en-GB"/>
        </w:rPr>
        <w:t>The</w:t>
      </w:r>
      <w:r w:rsidR="00744B0E">
        <w:rPr>
          <w:rFonts w:ascii="Avenir Next" w:hAnsi="Avenir Next" w:cs="Arial"/>
          <w:color w:val="808080" w:themeColor="background1" w:themeShade="80"/>
          <w:sz w:val="22"/>
          <w:szCs w:val="22"/>
          <w:lang w:val="en-GB"/>
        </w:rPr>
        <w:t xml:space="preserve"> major </w:t>
      </w:r>
      <w:r w:rsidR="001A66E7">
        <w:rPr>
          <w:rFonts w:ascii="Avenir Next" w:hAnsi="Avenir Next" w:cs="Arial"/>
          <w:color w:val="808080" w:themeColor="background1" w:themeShade="80"/>
          <w:sz w:val="22"/>
          <w:szCs w:val="22"/>
          <w:lang w:val="en-GB"/>
        </w:rPr>
        <w:t>problem with the 1889 Treaty and 1940 Treaty is that</w:t>
      </w:r>
      <w:r w:rsidR="00CB3427">
        <w:rPr>
          <w:rFonts w:ascii="Avenir Next" w:hAnsi="Avenir Next" w:cs="Arial"/>
          <w:color w:val="808080" w:themeColor="background1" w:themeShade="80"/>
          <w:sz w:val="22"/>
          <w:szCs w:val="22"/>
          <w:lang w:val="en-GB"/>
        </w:rPr>
        <w:t>, respectively,</w:t>
      </w:r>
      <w:r w:rsidR="001A66E7">
        <w:rPr>
          <w:rFonts w:ascii="Avenir Next" w:hAnsi="Avenir Next" w:cs="Arial"/>
          <w:color w:val="808080" w:themeColor="background1" w:themeShade="80"/>
          <w:sz w:val="22"/>
          <w:szCs w:val="22"/>
          <w:lang w:val="en-GB"/>
        </w:rPr>
        <w:t xml:space="preserve"> only </w:t>
      </w:r>
      <w:r w:rsidR="009C07C3">
        <w:rPr>
          <w:rFonts w:ascii="Avenir Next" w:hAnsi="Avenir Next" w:cs="Arial"/>
          <w:color w:val="808080" w:themeColor="background1" w:themeShade="80"/>
          <w:sz w:val="22"/>
          <w:szCs w:val="22"/>
          <w:lang w:val="en-GB"/>
        </w:rPr>
        <w:t xml:space="preserve">six </w:t>
      </w:r>
      <w:r w:rsidR="001A66E7">
        <w:rPr>
          <w:rFonts w:ascii="Avenir Next" w:hAnsi="Avenir Next" w:cs="Arial"/>
          <w:color w:val="808080" w:themeColor="background1" w:themeShade="80"/>
          <w:sz w:val="22"/>
          <w:szCs w:val="22"/>
          <w:lang w:val="en-GB"/>
        </w:rPr>
        <w:t xml:space="preserve">and three States are </w:t>
      </w:r>
      <w:r w:rsidR="009C07C3">
        <w:rPr>
          <w:rFonts w:ascii="Avenir Next" w:hAnsi="Avenir Next" w:cs="Arial"/>
          <w:color w:val="808080" w:themeColor="background1" w:themeShade="80"/>
          <w:sz w:val="22"/>
          <w:szCs w:val="22"/>
          <w:lang w:val="en-GB"/>
        </w:rPr>
        <w:t>signatories</w:t>
      </w:r>
      <w:r w:rsidR="001A66E7">
        <w:rPr>
          <w:rFonts w:ascii="Avenir Next" w:hAnsi="Avenir Next" w:cs="Arial"/>
          <w:color w:val="808080" w:themeColor="background1" w:themeShade="80"/>
          <w:sz w:val="22"/>
          <w:szCs w:val="22"/>
          <w:lang w:val="en-GB"/>
        </w:rPr>
        <w:t>.</w:t>
      </w:r>
      <w:r w:rsidR="00B93F94">
        <w:rPr>
          <w:rFonts w:ascii="Avenir Next" w:hAnsi="Avenir Next" w:cs="Arial"/>
          <w:color w:val="808080" w:themeColor="background1" w:themeShade="80"/>
          <w:sz w:val="22"/>
          <w:szCs w:val="22"/>
          <w:lang w:val="en-GB"/>
        </w:rPr>
        <w:t xml:space="preserve"> </w:t>
      </w:r>
      <w:r w:rsidR="00744B0E">
        <w:rPr>
          <w:rFonts w:ascii="Avenir Next" w:hAnsi="Avenir Next" w:cs="Arial"/>
          <w:color w:val="808080" w:themeColor="background1" w:themeShade="80"/>
          <w:sz w:val="22"/>
          <w:szCs w:val="22"/>
          <w:lang w:val="en-GB"/>
        </w:rPr>
        <w:t>Th</w:t>
      </w:r>
      <w:r w:rsidR="001A66E7">
        <w:rPr>
          <w:rFonts w:ascii="Avenir Next" w:hAnsi="Avenir Next" w:cs="Arial"/>
          <w:color w:val="808080" w:themeColor="background1" w:themeShade="80"/>
          <w:sz w:val="22"/>
          <w:szCs w:val="22"/>
          <w:lang w:val="en-GB"/>
        </w:rPr>
        <w:t>is</w:t>
      </w:r>
      <w:r w:rsidR="00B93F94">
        <w:rPr>
          <w:rFonts w:ascii="Avenir Next" w:hAnsi="Avenir Next" w:cs="Arial"/>
          <w:color w:val="808080" w:themeColor="background1" w:themeShade="80"/>
          <w:sz w:val="22"/>
          <w:szCs w:val="22"/>
          <w:lang w:val="en-GB"/>
        </w:rPr>
        <w:t xml:space="preserve"> can create uncertainties and conflict of laws issues for </w:t>
      </w:r>
      <w:r w:rsidR="00744B0E">
        <w:rPr>
          <w:rFonts w:ascii="Avenir Next" w:hAnsi="Avenir Next" w:cs="Arial"/>
          <w:color w:val="808080" w:themeColor="background1" w:themeShade="80"/>
          <w:sz w:val="22"/>
          <w:szCs w:val="22"/>
          <w:lang w:val="en-GB"/>
        </w:rPr>
        <w:t xml:space="preserve">stakeholders involving these different States. </w:t>
      </w:r>
    </w:p>
    <w:p w14:paraId="1BF7151B" w14:textId="77777777" w:rsidR="003351E4" w:rsidRDefault="003351E4" w:rsidP="00692852">
      <w:pPr>
        <w:jc w:val="both"/>
        <w:rPr>
          <w:rFonts w:ascii="Avenir Next" w:hAnsi="Avenir Next" w:cs="Arial"/>
          <w:color w:val="808080" w:themeColor="background1" w:themeShade="80"/>
          <w:sz w:val="22"/>
          <w:szCs w:val="22"/>
          <w:lang w:val="en-GB"/>
        </w:rPr>
      </w:pPr>
    </w:p>
    <w:p w14:paraId="74B938F9" w14:textId="182FB146" w:rsidR="009D780C" w:rsidRDefault="004112FE" w:rsidP="00F237A4">
      <w:pPr>
        <w:ind w:left="720"/>
        <w:jc w:val="both"/>
        <w:rPr>
          <w:rFonts w:ascii="Avenir Next Demi Bold" w:hAnsi="Avenir Next Demi Bold" w:cs="Arial"/>
          <w:b/>
          <w:bCs/>
          <w:sz w:val="22"/>
          <w:szCs w:val="22"/>
          <w:lang w:val="en-GB"/>
        </w:rPr>
      </w:pPr>
      <w:r>
        <w:rPr>
          <w:rFonts w:ascii="Avenir Next" w:hAnsi="Avenir Next" w:cs="Arial"/>
          <w:color w:val="808080" w:themeColor="background1" w:themeShade="80"/>
          <w:sz w:val="22"/>
          <w:szCs w:val="22"/>
          <w:lang w:val="en-GB"/>
        </w:rPr>
        <w:t>Fifteen</w:t>
      </w:r>
      <w:r w:rsidR="003351E4">
        <w:rPr>
          <w:rFonts w:ascii="Avenir Next" w:hAnsi="Avenir Next" w:cs="Arial"/>
          <w:color w:val="808080" w:themeColor="background1" w:themeShade="80"/>
          <w:sz w:val="22"/>
          <w:szCs w:val="22"/>
          <w:lang w:val="en-GB"/>
        </w:rPr>
        <w:t xml:space="preserve"> States are signatories to the Havana Convention, </w:t>
      </w:r>
      <w:r w:rsidR="00613951">
        <w:rPr>
          <w:rFonts w:ascii="Avenir Next" w:hAnsi="Avenir Next" w:cs="Arial"/>
          <w:color w:val="808080" w:themeColor="background1" w:themeShade="80"/>
          <w:sz w:val="22"/>
          <w:szCs w:val="22"/>
          <w:lang w:val="en-GB"/>
        </w:rPr>
        <w:t>however, only two States (</w:t>
      </w:r>
      <w:r w:rsidR="008D1311">
        <w:rPr>
          <w:rFonts w:ascii="Avenir Next" w:hAnsi="Avenir Next" w:cs="Arial"/>
          <w:color w:val="808080" w:themeColor="background1" w:themeShade="80"/>
          <w:sz w:val="22"/>
          <w:szCs w:val="22"/>
          <w:lang w:val="en-GB"/>
        </w:rPr>
        <w:t>Bolivia and Peru</w:t>
      </w:r>
      <w:r w:rsidR="00613951">
        <w:rPr>
          <w:rFonts w:ascii="Avenir Next" w:hAnsi="Avenir Next" w:cs="Arial"/>
          <w:color w:val="808080" w:themeColor="background1" w:themeShade="80"/>
          <w:sz w:val="22"/>
          <w:szCs w:val="22"/>
          <w:lang w:val="en-GB"/>
        </w:rPr>
        <w:t xml:space="preserve">) </w:t>
      </w:r>
      <w:r w:rsidR="003351CB">
        <w:rPr>
          <w:rFonts w:ascii="Avenir Next" w:hAnsi="Avenir Next" w:cs="Arial"/>
          <w:color w:val="808080" w:themeColor="background1" w:themeShade="80"/>
          <w:sz w:val="22"/>
          <w:szCs w:val="22"/>
          <w:lang w:val="en-GB"/>
        </w:rPr>
        <w:t xml:space="preserve">are also signatories to </w:t>
      </w:r>
      <w:r w:rsidR="00613951">
        <w:rPr>
          <w:rFonts w:ascii="Avenir Next" w:hAnsi="Avenir Next" w:cs="Arial"/>
          <w:color w:val="808080" w:themeColor="background1" w:themeShade="80"/>
          <w:sz w:val="22"/>
          <w:szCs w:val="22"/>
          <w:lang w:val="en-GB"/>
        </w:rPr>
        <w:t>the 1889 Treaty</w:t>
      </w:r>
      <w:r w:rsidR="003351CB">
        <w:rPr>
          <w:rFonts w:ascii="Avenir Next" w:hAnsi="Avenir Next" w:cs="Arial"/>
          <w:color w:val="808080" w:themeColor="background1" w:themeShade="80"/>
          <w:sz w:val="22"/>
          <w:szCs w:val="22"/>
          <w:lang w:val="en-GB"/>
        </w:rPr>
        <w:t>.</w:t>
      </w:r>
      <w:r w:rsidR="0095487C">
        <w:rPr>
          <w:rFonts w:ascii="Avenir Next" w:hAnsi="Avenir Next" w:cs="Arial"/>
          <w:color w:val="808080" w:themeColor="background1" w:themeShade="80"/>
          <w:sz w:val="22"/>
          <w:szCs w:val="22"/>
          <w:lang w:val="en-GB"/>
        </w:rPr>
        <w:t xml:space="preserve"> Article 414 of the Havana Convention </w:t>
      </w:r>
      <w:r w:rsidR="00150FC6">
        <w:rPr>
          <w:rFonts w:ascii="Avenir Next" w:hAnsi="Avenir Next" w:cs="Arial"/>
          <w:color w:val="808080" w:themeColor="background1" w:themeShade="80"/>
          <w:sz w:val="22"/>
          <w:szCs w:val="22"/>
          <w:lang w:val="en-GB"/>
        </w:rPr>
        <w:t xml:space="preserve">provides for a </w:t>
      </w:r>
      <w:r w:rsidR="00124757">
        <w:rPr>
          <w:rFonts w:ascii="Avenir Next" w:hAnsi="Avenir Next" w:cs="Arial"/>
          <w:color w:val="808080" w:themeColor="background1" w:themeShade="80"/>
          <w:sz w:val="22"/>
          <w:szCs w:val="22"/>
          <w:lang w:val="en-GB"/>
        </w:rPr>
        <w:t xml:space="preserve">mechanism for local courts to apply a </w:t>
      </w:r>
      <w:r w:rsidR="00150FC6">
        <w:rPr>
          <w:rFonts w:ascii="Avenir Next" w:hAnsi="Avenir Next" w:cs="Arial"/>
          <w:color w:val="808080" w:themeColor="background1" w:themeShade="80"/>
          <w:sz w:val="22"/>
          <w:szCs w:val="22"/>
          <w:lang w:val="en-GB"/>
        </w:rPr>
        <w:t>singular proceeding</w:t>
      </w:r>
      <w:r w:rsidR="00124757">
        <w:rPr>
          <w:rFonts w:ascii="Avenir Next" w:hAnsi="Avenir Next" w:cs="Arial"/>
          <w:color w:val="808080" w:themeColor="background1" w:themeShade="80"/>
          <w:sz w:val="22"/>
          <w:szCs w:val="22"/>
          <w:lang w:val="en-GB"/>
        </w:rPr>
        <w:t xml:space="preserve"> </w:t>
      </w:r>
      <w:r w:rsidR="008F1A04">
        <w:rPr>
          <w:rFonts w:ascii="Avenir Next" w:hAnsi="Avenir Next" w:cs="Arial"/>
          <w:color w:val="808080" w:themeColor="background1" w:themeShade="80"/>
          <w:sz w:val="22"/>
          <w:szCs w:val="22"/>
          <w:lang w:val="en-GB"/>
        </w:rPr>
        <w:t>to debtors, where the debtor</w:t>
      </w:r>
      <w:r w:rsidR="00150FC6">
        <w:rPr>
          <w:rFonts w:ascii="Avenir Next" w:hAnsi="Avenir Next" w:cs="Arial"/>
          <w:color w:val="808080" w:themeColor="background1" w:themeShade="80"/>
          <w:sz w:val="22"/>
          <w:szCs w:val="22"/>
          <w:lang w:val="en-GB"/>
        </w:rPr>
        <w:t xml:space="preserve"> </w:t>
      </w:r>
      <w:r w:rsidR="0094122F">
        <w:rPr>
          <w:rFonts w:ascii="Avenir Next" w:hAnsi="Avenir Next" w:cs="Arial"/>
          <w:color w:val="808080" w:themeColor="background1" w:themeShade="80"/>
          <w:sz w:val="22"/>
          <w:szCs w:val="22"/>
          <w:lang w:val="en-GB"/>
        </w:rPr>
        <w:t xml:space="preserve">has only one civil or commercial domicile. Article 415 </w:t>
      </w:r>
      <w:r w:rsidR="00CB3427">
        <w:rPr>
          <w:rFonts w:ascii="Avenir Next" w:hAnsi="Avenir Next" w:cs="Arial"/>
          <w:color w:val="808080" w:themeColor="background1" w:themeShade="80"/>
          <w:sz w:val="22"/>
          <w:szCs w:val="22"/>
          <w:lang w:val="en-GB"/>
        </w:rPr>
        <w:t xml:space="preserve">of the Havana Convention </w:t>
      </w:r>
      <w:r>
        <w:rPr>
          <w:rFonts w:ascii="Avenir Next" w:hAnsi="Avenir Next" w:cs="Arial"/>
          <w:color w:val="808080" w:themeColor="background1" w:themeShade="80"/>
          <w:sz w:val="22"/>
          <w:szCs w:val="22"/>
          <w:lang w:val="en-GB"/>
        </w:rPr>
        <w:t xml:space="preserve">(similar to the 1889 Treaty) also allow for concurrent proceedings </w:t>
      </w:r>
      <w:r w:rsidR="00061F66">
        <w:rPr>
          <w:rFonts w:ascii="Avenir Next" w:hAnsi="Avenir Next" w:cs="Arial"/>
          <w:color w:val="808080" w:themeColor="background1" w:themeShade="80"/>
          <w:sz w:val="22"/>
          <w:szCs w:val="22"/>
          <w:lang w:val="en-GB"/>
        </w:rPr>
        <w:t>(but without any appropriate cooperation or coordination mechanisms)</w:t>
      </w:r>
      <w:r w:rsidR="00061F66">
        <w:rPr>
          <w:rStyle w:val="FootnoteReference"/>
          <w:rFonts w:ascii="Avenir Next" w:hAnsi="Avenir Next" w:cs="Arial"/>
          <w:color w:val="808080" w:themeColor="background1" w:themeShade="80"/>
          <w:sz w:val="22"/>
          <w:szCs w:val="22"/>
          <w:lang w:val="en-GB"/>
        </w:rPr>
        <w:footnoteReference w:id="71"/>
      </w:r>
      <w:r w:rsidR="00061F6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whether the debtor has more than one civil or commercial domicile. </w:t>
      </w:r>
    </w:p>
    <w:p w14:paraId="1EEFDA48" w14:textId="77777777" w:rsidR="009D780C" w:rsidRDefault="009D780C">
      <w:pPr>
        <w:rPr>
          <w:rFonts w:ascii="Avenir Next Demi Bold" w:hAnsi="Avenir Next Demi Bold" w:cs="Arial"/>
          <w:b/>
          <w:bCs/>
          <w:sz w:val="22"/>
          <w:szCs w:val="22"/>
          <w:lang w:val="en-GB"/>
        </w:rPr>
      </w:pPr>
    </w:p>
    <w:p w14:paraId="54052F96" w14:textId="7D253643" w:rsidR="002717DA" w:rsidRDefault="00DF3292" w:rsidP="00DF3292">
      <w:pPr>
        <w:jc w:val="both"/>
        <w:rPr>
          <w:rFonts w:ascii="Avenir Next Demi Bold" w:hAnsi="Avenir Next Demi Bold" w:cs="Arial"/>
          <w:b/>
          <w:bCs/>
          <w:sz w:val="22"/>
          <w:szCs w:val="22"/>
          <w:lang w:val="en-GB"/>
        </w:rPr>
      </w:pPr>
      <w:r>
        <w:rPr>
          <w:rFonts w:ascii="Avenir Next" w:hAnsi="Avenir Next" w:cs="Arial"/>
          <w:color w:val="808080" w:themeColor="background1" w:themeShade="80"/>
          <w:sz w:val="22"/>
          <w:szCs w:val="22"/>
          <w:lang w:val="en-GB"/>
        </w:rPr>
        <w:t xml:space="preserve">A final example of a successful </w:t>
      </w:r>
      <w:r w:rsidR="004651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hard law</w:t>
      </w:r>
      <w:r w:rsidR="004651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8D3C9A">
        <w:rPr>
          <w:rFonts w:ascii="Avenir Next" w:hAnsi="Avenir Next" w:cs="Arial"/>
          <w:color w:val="808080" w:themeColor="background1" w:themeShade="80"/>
          <w:sz w:val="22"/>
          <w:szCs w:val="22"/>
          <w:lang w:val="en-GB"/>
        </w:rPr>
        <w:t>framework</w:t>
      </w:r>
      <w:r>
        <w:rPr>
          <w:rFonts w:ascii="Avenir Next" w:hAnsi="Avenir Next" w:cs="Arial"/>
          <w:color w:val="808080" w:themeColor="background1" w:themeShade="80"/>
          <w:sz w:val="22"/>
          <w:szCs w:val="22"/>
          <w:lang w:val="en-GB"/>
        </w:rPr>
        <w:t xml:space="preserve"> has been the implementation of the </w:t>
      </w:r>
      <w:r w:rsidR="000B1FA8" w:rsidRPr="005863A2">
        <w:rPr>
          <w:rFonts w:ascii="Avenir Next" w:hAnsi="Avenir Next" w:cs="Arial"/>
          <w:color w:val="808080" w:themeColor="background1" w:themeShade="80"/>
          <w:sz w:val="22"/>
          <w:szCs w:val="22"/>
          <w:lang w:val="en-GB"/>
        </w:rPr>
        <w:t>Council Regulation on Insolvency Proceedings (European Insolvency Regulation) (2000)</w:t>
      </w:r>
      <w:r w:rsidR="000B1FA8">
        <w:rPr>
          <w:rFonts w:ascii="Avenir Next" w:hAnsi="Avenir Next" w:cs="Arial"/>
          <w:color w:val="808080" w:themeColor="background1" w:themeShade="80"/>
          <w:sz w:val="22"/>
          <w:szCs w:val="22"/>
          <w:lang w:val="en-GB"/>
        </w:rPr>
        <w:t xml:space="preserve"> (</w:t>
      </w:r>
      <w:r w:rsidR="000B1FA8" w:rsidRPr="00876556">
        <w:rPr>
          <w:rFonts w:ascii="Avenir Next" w:hAnsi="Avenir Next" w:cs="Arial"/>
          <w:b/>
          <w:bCs/>
          <w:color w:val="808080" w:themeColor="background1" w:themeShade="80"/>
          <w:sz w:val="22"/>
          <w:szCs w:val="22"/>
          <w:lang w:val="en-GB"/>
        </w:rPr>
        <w:t>EU Regulations</w:t>
      </w:r>
      <w:r w:rsidR="000B1FA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the </w:t>
      </w:r>
      <w:r w:rsidR="000B1FA8" w:rsidRPr="00B40120">
        <w:rPr>
          <w:rFonts w:ascii="Avenir Next" w:hAnsi="Avenir Next" w:cs="Arial"/>
          <w:color w:val="808080" w:themeColor="background1" w:themeShade="80"/>
          <w:sz w:val="22"/>
          <w:szCs w:val="22"/>
          <w:lang w:val="en-GB"/>
        </w:rPr>
        <w:t>European Insolvency Regulation (</w:t>
      </w:r>
      <w:r w:rsidR="000B1FA8" w:rsidRPr="00B40120">
        <w:rPr>
          <w:rFonts w:ascii="Avenir Next" w:hAnsi="Avenir Next" w:cs="Arial"/>
          <w:b/>
          <w:bCs/>
          <w:color w:val="808080" w:themeColor="background1" w:themeShade="80"/>
          <w:sz w:val="22"/>
          <w:szCs w:val="22"/>
          <w:lang w:val="en-GB"/>
        </w:rPr>
        <w:t>EIR</w:t>
      </w:r>
      <w:r w:rsidR="000B1FA8" w:rsidRPr="00B40120">
        <w:rPr>
          <w:rFonts w:ascii="Avenir Next" w:hAnsi="Avenir Next" w:cs="Arial"/>
          <w:color w:val="808080" w:themeColor="background1" w:themeShade="80"/>
          <w:sz w:val="22"/>
          <w:szCs w:val="22"/>
          <w:lang w:val="en-GB"/>
        </w:rPr>
        <w:t>) Recast (2015)</w:t>
      </w:r>
      <w:r>
        <w:rPr>
          <w:rFonts w:ascii="Avenir Next" w:hAnsi="Avenir Next" w:cs="Arial"/>
          <w:color w:val="808080" w:themeColor="background1" w:themeShade="80"/>
          <w:sz w:val="22"/>
          <w:szCs w:val="22"/>
          <w:lang w:val="en-GB"/>
        </w:rPr>
        <w:t xml:space="preserve">. </w:t>
      </w:r>
      <w:r w:rsidR="00C101C5">
        <w:rPr>
          <w:rFonts w:ascii="Avenir Next" w:hAnsi="Avenir Next" w:cs="Arial"/>
          <w:color w:val="808080" w:themeColor="background1" w:themeShade="80"/>
          <w:sz w:val="22"/>
          <w:szCs w:val="22"/>
          <w:lang w:val="en-GB"/>
        </w:rPr>
        <w:t xml:space="preserve">Some of the key issues addressed in the EU Regulations </w:t>
      </w:r>
      <w:r w:rsidR="000B1FA8">
        <w:rPr>
          <w:rFonts w:ascii="Avenir Next" w:hAnsi="Avenir Next" w:cs="Arial"/>
          <w:color w:val="808080" w:themeColor="background1" w:themeShade="80"/>
          <w:sz w:val="22"/>
          <w:szCs w:val="22"/>
          <w:lang w:val="en-GB"/>
        </w:rPr>
        <w:t xml:space="preserve">(and the EIR) </w:t>
      </w:r>
      <w:r w:rsidR="00C101C5">
        <w:rPr>
          <w:rFonts w:ascii="Avenir Next" w:hAnsi="Avenir Next" w:cs="Arial"/>
          <w:color w:val="808080" w:themeColor="background1" w:themeShade="80"/>
          <w:sz w:val="22"/>
          <w:szCs w:val="22"/>
          <w:lang w:val="en-GB"/>
        </w:rPr>
        <w:t>include cooperation between State courts, claims filing and anti-avoidance provisions.</w:t>
      </w:r>
      <w:r w:rsidR="00C101C5">
        <w:rPr>
          <w:rStyle w:val="FootnoteReference"/>
          <w:rFonts w:ascii="Avenir Next" w:hAnsi="Avenir Next" w:cs="Arial"/>
          <w:color w:val="808080" w:themeColor="background1" w:themeShade="80"/>
          <w:sz w:val="22"/>
          <w:szCs w:val="22"/>
          <w:lang w:val="en-GB"/>
        </w:rPr>
        <w:footnoteReference w:id="72"/>
      </w:r>
      <w:r w:rsidR="00C101C5">
        <w:rPr>
          <w:rFonts w:ascii="Avenir Next" w:hAnsi="Avenir Next" w:cs="Arial"/>
          <w:color w:val="808080" w:themeColor="background1" w:themeShade="80"/>
          <w:sz w:val="22"/>
          <w:szCs w:val="22"/>
          <w:lang w:val="en-GB"/>
        </w:rPr>
        <w:t xml:space="preserve"> </w:t>
      </w:r>
      <w:r w:rsidR="002A3360">
        <w:rPr>
          <w:rFonts w:ascii="Avenir Next" w:hAnsi="Avenir Next" w:cs="Arial"/>
          <w:color w:val="808080" w:themeColor="background1" w:themeShade="80"/>
          <w:sz w:val="22"/>
          <w:szCs w:val="22"/>
          <w:lang w:val="en-GB"/>
        </w:rPr>
        <w:t>I note that the EIR Recast has successfully bound all but one EU Member (other than Denmark)</w:t>
      </w:r>
      <w:r w:rsidR="00FD5E2E">
        <w:rPr>
          <w:rFonts w:ascii="Avenir Next" w:hAnsi="Avenir Next" w:cs="Arial"/>
          <w:color w:val="808080" w:themeColor="background1" w:themeShade="80"/>
          <w:sz w:val="22"/>
          <w:szCs w:val="22"/>
          <w:lang w:val="en-GB"/>
        </w:rPr>
        <w:t>.</w:t>
      </w:r>
    </w:p>
    <w:p w14:paraId="161A0C4A" w14:textId="77777777" w:rsidR="002717DA" w:rsidRDefault="002717DA">
      <w:pPr>
        <w:rPr>
          <w:rFonts w:ascii="Avenir Next Demi Bold" w:hAnsi="Avenir Next Demi Bold" w:cs="Arial"/>
          <w:b/>
          <w:bCs/>
          <w:sz w:val="22"/>
          <w:szCs w:val="22"/>
          <w:lang w:val="en-GB"/>
        </w:rPr>
      </w:pPr>
    </w:p>
    <w:p w14:paraId="2F3682B9" w14:textId="5EAA1277" w:rsidR="006D2E17" w:rsidRDefault="006D2E17">
      <w:pPr>
        <w:rPr>
          <w:rFonts w:ascii="Avenir Next Demi Bold" w:hAnsi="Avenir Next Demi Bold" w:cs="Arial"/>
          <w:b/>
          <w:bCs/>
          <w:sz w:val="22"/>
          <w:szCs w:val="22"/>
          <w:lang w:val="en-GB"/>
        </w:rPr>
      </w:pPr>
    </w:p>
    <w:p w14:paraId="49871802" w14:textId="77777777" w:rsidR="006D2E17" w:rsidRDefault="006D2E17">
      <w:pPr>
        <w:rPr>
          <w:rFonts w:ascii="Avenir Next Demi Bold" w:hAnsi="Avenir Next Demi Bold" w:cs="Arial"/>
          <w:b/>
          <w:bCs/>
          <w:sz w:val="22"/>
          <w:szCs w:val="22"/>
          <w:lang w:val="en-GB"/>
        </w:rPr>
      </w:pPr>
    </w:p>
    <w:p w14:paraId="1FD0B64E" w14:textId="0AA44EE9" w:rsidR="00ED5C37" w:rsidRDefault="00ED5C37">
      <w:pPr>
        <w:rPr>
          <w:rFonts w:ascii="Avenir Next Demi Bold" w:hAnsi="Avenir Next Demi Bold" w:cs="Arial"/>
          <w:b/>
          <w:bCs/>
          <w:sz w:val="22"/>
          <w:szCs w:val="22"/>
          <w:lang w:val="en-GB"/>
        </w:rPr>
      </w:pPr>
    </w:p>
    <w:p w14:paraId="0F5F68ED" w14:textId="02FB7B1E" w:rsidR="00784CCF" w:rsidRDefault="00784CCF">
      <w:pPr>
        <w:rPr>
          <w:rFonts w:ascii="Avenir Next Demi Bold" w:hAnsi="Avenir Next Demi Bold" w:cs="Arial"/>
          <w:b/>
          <w:bCs/>
          <w:sz w:val="22"/>
          <w:szCs w:val="22"/>
          <w:lang w:val="en-GB"/>
        </w:rPr>
      </w:pPr>
    </w:p>
    <w:p w14:paraId="3F4D6762" w14:textId="77777777" w:rsidR="00784CCF" w:rsidRDefault="00784CCF">
      <w:pPr>
        <w:rPr>
          <w:rFonts w:ascii="Avenir Next Demi Bold" w:hAnsi="Avenir Next Demi Bold" w:cs="Arial"/>
          <w:b/>
          <w:bCs/>
          <w:sz w:val="22"/>
          <w:szCs w:val="22"/>
          <w:lang w:val="en-GB"/>
        </w:rPr>
      </w:pPr>
    </w:p>
    <w:p w14:paraId="18DB541F" w14:textId="04AEF1DD" w:rsidR="00473B00" w:rsidRDefault="00473B0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3F50C67C"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B3CCC92" w:rsidR="001E1C34" w:rsidRDefault="00BF3925" w:rsidP="008129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proceedings</w:t>
      </w:r>
      <w:r w:rsidR="00ED3BD6">
        <w:rPr>
          <w:rStyle w:val="FootnoteReference"/>
          <w:rFonts w:ascii="Avenir Next" w:hAnsi="Avenir Next" w:cs="Arial"/>
          <w:color w:val="808080" w:themeColor="background1" w:themeShade="80"/>
          <w:sz w:val="22"/>
          <w:szCs w:val="22"/>
          <w:lang w:val="en-GB"/>
        </w:rPr>
        <w:footnoteReference w:id="73"/>
      </w:r>
      <w:r>
        <w:rPr>
          <w:rFonts w:ascii="Avenir Next" w:hAnsi="Avenir Next" w:cs="Arial"/>
          <w:color w:val="808080" w:themeColor="background1" w:themeShade="80"/>
          <w:sz w:val="22"/>
          <w:szCs w:val="22"/>
          <w:lang w:val="en-GB"/>
        </w:rPr>
        <w:t xml:space="preserve"> </w:t>
      </w:r>
      <w:r w:rsidR="00D43711">
        <w:rPr>
          <w:rFonts w:ascii="Avenir Next" w:hAnsi="Avenir Next" w:cs="Arial"/>
          <w:color w:val="808080" w:themeColor="background1" w:themeShade="80"/>
          <w:sz w:val="22"/>
          <w:szCs w:val="22"/>
          <w:lang w:val="en-GB"/>
        </w:rPr>
        <w:t>a</w:t>
      </w:r>
      <w:r w:rsidR="00C57573">
        <w:rPr>
          <w:rFonts w:ascii="Avenir Next" w:hAnsi="Avenir Next" w:cs="Arial"/>
          <w:color w:val="808080" w:themeColor="background1" w:themeShade="80"/>
          <w:sz w:val="22"/>
          <w:szCs w:val="22"/>
          <w:lang w:val="en-GB"/>
        </w:rPr>
        <w:t>re</w:t>
      </w:r>
      <w:r w:rsidR="00812962">
        <w:rPr>
          <w:rFonts w:ascii="Avenir Next" w:hAnsi="Avenir Next" w:cs="Arial"/>
          <w:color w:val="808080" w:themeColor="background1" w:themeShade="80"/>
          <w:sz w:val="22"/>
          <w:szCs w:val="22"/>
          <w:lang w:val="en-GB"/>
        </w:rPr>
        <w:t xml:space="preserve"> </w:t>
      </w:r>
      <w:r w:rsidR="00C57573">
        <w:rPr>
          <w:rFonts w:ascii="Avenir Next" w:hAnsi="Avenir Next" w:cs="Arial"/>
          <w:color w:val="808080" w:themeColor="background1" w:themeShade="80"/>
          <w:sz w:val="22"/>
          <w:szCs w:val="22"/>
          <w:lang w:val="en-GB"/>
        </w:rPr>
        <w:t xml:space="preserve">commenced under </w:t>
      </w:r>
      <w:r w:rsidR="00812962">
        <w:rPr>
          <w:rFonts w:ascii="Avenir Next" w:hAnsi="Avenir Next" w:cs="Arial"/>
          <w:color w:val="808080" w:themeColor="background1" w:themeShade="80"/>
          <w:sz w:val="22"/>
          <w:szCs w:val="22"/>
          <w:lang w:val="en-GB"/>
        </w:rPr>
        <w:t>a relevant insolvency law, like a statute, court order, or other instrument.</w:t>
      </w:r>
      <w:r w:rsidR="00E85915">
        <w:rPr>
          <w:rStyle w:val="FootnoteReference"/>
          <w:rFonts w:ascii="Avenir Next" w:hAnsi="Avenir Next" w:cs="Arial"/>
          <w:color w:val="808080" w:themeColor="background1" w:themeShade="80"/>
          <w:sz w:val="22"/>
          <w:szCs w:val="22"/>
          <w:lang w:val="en-GB"/>
        </w:rPr>
        <w:footnoteReference w:id="74"/>
      </w:r>
      <w:r w:rsidR="00812962">
        <w:rPr>
          <w:rFonts w:ascii="Avenir Next" w:hAnsi="Avenir Next" w:cs="Arial"/>
          <w:color w:val="808080" w:themeColor="background1" w:themeShade="80"/>
          <w:sz w:val="22"/>
          <w:szCs w:val="22"/>
          <w:lang w:val="en-GB"/>
        </w:rPr>
        <w:t xml:space="preserve"> </w:t>
      </w:r>
      <w:r w:rsidR="00787729">
        <w:rPr>
          <w:rFonts w:ascii="Avenir Next" w:hAnsi="Avenir Next" w:cs="Arial"/>
          <w:color w:val="808080" w:themeColor="background1" w:themeShade="80"/>
          <w:sz w:val="22"/>
          <w:szCs w:val="22"/>
          <w:lang w:val="en-GB"/>
        </w:rPr>
        <w:t xml:space="preserve">Examples of </w:t>
      </w:r>
      <w:r w:rsidR="004B0830">
        <w:rPr>
          <w:rFonts w:ascii="Avenir Next" w:hAnsi="Avenir Next" w:cs="Arial"/>
          <w:color w:val="808080" w:themeColor="background1" w:themeShade="80"/>
          <w:sz w:val="22"/>
          <w:szCs w:val="22"/>
          <w:lang w:val="en-GB"/>
        </w:rPr>
        <w:t xml:space="preserve">formal insolvency appointments are administrations, liquidations, receiverships, bankruptcies, </w:t>
      </w:r>
      <w:r w:rsidR="009C7F73">
        <w:rPr>
          <w:rFonts w:ascii="Avenir Next" w:hAnsi="Avenir Next" w:cs="Arial"/>
          <w:color w:val="808080" w:themeColor="background1" w:themeShade="80"/>
          <w:sz w:val="22"/>
          <w:szCs w:val="22"/>
          <w:lang w:val="en-GB"/>
        </w:rPr>
        <w:t xml:space="preserve">court ordered reorganisations, or (in Australia) </w:t>
      </w:r>
      <w:r w:rsidR="00687685">
        <w:rPr>
          <w:rFonts w:ascii="Avenir Next" w:hAnsi="Avenir Next" w:cs="Arial"/>
          <w:color w:val="808080" w:themeColor="background1" w:themeShade="80"/>
          <w:sz w:val="22"/>
          <w:szCs w:val="22"/>
          <w:lang w:val="en-GB"/>
        </w:rPr>
        <w:t>the Small Business Restructuring Process.</w:t>
      </w:r>
      <w:r w:rsidR="00687685">
        <w:rPr>
          <w:rStyle w:val="FootnoteReference"/>
          <w:rFonts w:ascii="Avenir Next" w:hAnsi="Avenir Next" w:cs="Arial"/>
          <w:color w:val="808080" w:themeColor="background1" w:themeShade="80"/>
          <w:sz w:val="22"/>
          <w:szCs w:val="22"/>
          <w:lang w:val="en-GB"/>
        </w:rPr>
        <w:footnoteReference w:id="75"/>
      </w:r>
      <w:r w:rsidR="00687685">
        <w:rPr>
          <w:rFonts w:ascii="Avenir Next" w:hAnsi="Avenir Next" w:cs="Arial"/>
          <w:color w:val="808080" w:themeColor="background1" w:themeShade="80"/>
          <w:sz w:val="22"/>
          <w:szCs w:val="22"/>
          <w:lang w:val="en-GB"/>
        </w:rPr>
        <w:t xml:space="preserve"> </w:t>
      </w:r>
      <w:r w:rsidR="00787729">
        <w:rPr>
          <w:rFonts w:ascii="Avenir Next" w:hAnsi="Avenir Next" w:cs="Arial"/>
          <w:color w:val="808080" w:themeColor="background1" w:themeShade="80"/>
          <w:sz w:val="22"/>
          <w:szCs w:val="22"/>
          <w:lang w:val="en-GB"/>
        </w:rPr>
        <w:t>This is in contrast to an informal insolvency arrangement</w:t>
      </w:r>
      <w:r w:rsidR="00C02380">
        <w:rPr>
          <w:rFonts w:ascii="Avenir Next" w:hAnsi="Avenir Next" w:cs="Arial"/>
          <w:color w:val="808080" w:themeColor="background1" w:themeShade="80"/>
          <w:sz w:val="22"/>
          <w:szCs w:val="22"/>
          <w:lang w:val="en-GB"/>
        </w:rPr>
        <w:t>,</w:t>
      </w:r>
      <w:r w:rsidR="0079460E">
        <w:rPr>
          <w:rStyle w:val="FootnoteReference"/>
          <w:rFonts w:ascii="Avenir Next" w:hAnsi="Avenir Next" w:cs="Arial"/>
          <w:color w:val="808080" w:themeColor="background1" w:themeShade="80"/>
          <w:sz w:val="22"/>
          <w:szCs w:val="22"/>
          <w:lang w:val="en-GB"/>
        </w:rPr>
        <w:footnoteReference w:id="76"/>
      </w:r>
      <w:r w:rsidR="00C02380">
        <w:rPr>
          <w:rFonts w:ascii="Avenir Next" w:hAnsi="Avenir Next" w:cs="Arial"/>
          <w:color w:val="808080" w:themeColor="background1" w:themeShade="80"/>
          <w:sz w:val="22"/>
          <w:szCs w:val="22"/>
          <w:lang w:val="en-GB"/>
        </w:rPr>
        <w:t xml:space="preserve"> which typically </w:t>
      </w:r>
      <w:r w:rsidR="00D26324">
        <w:rPr>
          <w:rFonts w:ascii="Avenir Next" w:hAnsi="Avenir Next" w:cs="Arial"/>
          <w:color w:val="808080" w:themeColor="background1" w:themeShade="80"/>
          <w:sz w:val="22"/>
          <w:szCs w:val="22"/>
          <w:lang w:val="en-GB"/>
        </w:rPr>
        <w:t xml:space="preserve">is not regulated by an insolvency law and may involve </w:t>
      </w:r>
      <w:r w:rsidR="00EE492C">
        <w:rPr>
          <w:rFonts w:ascii="Avenir Next" w:hAnsi="Avenir Next" w:cs="Arial"/>
          <w:color w:val="808080" w:themeColor="background1" w:themeShade="80"/>
          <w:sz w:val="22"/>
          <w:szCs w:val="22"/>
          <w:lang w:val="en-GB"/>
        </w:rPr>
        <w:t>voluntary negotiations, pre-packs</w:t>
      </w:r>
      <w:r w:rsidR="00EE492C">
        <w:rPr>
          <w:rStyle w:val="FootnoteReference"/>
          <w:rFonts w:ascii="Avenir Next" w:hAnsi="Avenir Next" w:cs="Arial"/>
          <w:color w:val="808080" w:themeColor="background1" w:themeShade="80"/>
          <w:sz w:val="22"/>
          <w:szCs w:val="22"/>
          <w:lang w:val="en-GB"/>
        </w:rPr>
        <w:footnoteReference w:id="77"/>
      </w:r>
      <w:r w:rsidR="00EE492C">
        <w:rPr>
          <w:rFonts w:ascii="Avenir Next" w:hAnsi="Avenir Next" w:cs="Arial"/>
          <w:color w:val="808080" w:themeColor="background1" w:themeShade="80"/>
          <w:sz w:val="22"/>
          <w:szCs w:val="22"/>
          <w:lang w:val="en-GB"/>
        </w:rPr>
        <w:t xml:space="preserve"> or other negotiations between</w:t>
      </w:r>
      <w:r w:rsidR="00220AC6">
        <w:rPr>
          <w:rFonts w:ascii="Avenir Next" w:hAnsi="Avenir Next" w:cs="Arial"/>
          <w:color w:val="808080" w:themeColor="background1" w:themeShade="80"/>
          <w:sz w:val="22"/>
          <w:szCs w:val="22"/>
          <w:lang w:val="en-GB"/>
        </w:rPr>
        <w:t xml:space="preserve"> </w:t>
      </w:r>
      <w:r w:rsidR="00462A19">
        <w:rPr>
          <w:rFonts w:ascii="Avenir Next" w:hAnsi="Avenir Next" w:cs="Arial"/>
          <w:color w:val="808080" w:themeColor="background1" w:themeShade="80"/>
          <w:sz w:val="22"/>
          <w:szCs w:val="22"/>
          <w:lang w:val="en-GB"/>
        </w:rPr>
        <w:t xml:space="preserve">the debtor and creditor. </w:t>
      </w:r>
    </w:p>
    <w:p w14:paraId="2C20E313" w14:textId="04B40914" w:rsidR="00462A19" w:rsidRDefault="00462A19" w:rsidP="00812962">
      <w:pPr>
        <w:jc w:val="both"/>
        <w:rPr>
          <w:rFonts w:ascii="Avenir Next" w:hAnsi="Avenir Next" w:cs="Arial"/>
          <w:color w:val="808080" w:themeColor="background1" w:themeShade="80"/>
          <w:sz w:val="22"/>
          <w:szCs w:val="22"/>
          <w:lang w:val="en-GB"/>
        </w:rPr>
      </w:pPr>
    </w:p>
    <w:p w14:paraId="09CCE816" w14:textId="76AA1A48" w:rsidR="00462A19" w:rsidRPr="00AB63DE" w:rsidRDefault="00462A19" w:rsidP="008129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to have a hybrid of formal and </w:t>
      </w:r>
      <w:r w:rsidR="005E092B">
        <w:rPr>
          <w:rFonts w:ascii="Avenir Next" w:hAnsi="Avenir Next" w:cs="Arial"/>
          <w:color w:val="808080" w:themeColor="background1" w:themeShade="80"/>
          <w:sz w:val="22"/>
          <w:szCs w:val="22"/>
          <w:lang w:val="en-GB"/>
        </w:rPr>
        <w:t>informal</w:t>
      </w:r>
      <w:r>
        <w:rPr>
          <w:rFonts w:ascii="Avenir Next" w:hAnsi="Avenir Next" w:cs="Arial"/>
          <w:color w:val="808080" w:themeColor="background1" w:themeShade="80"/>
          <w:sz w:val="22"/>
          <w:szCs w:val="22"/>
          <w:lang w:val="en-GB"/>
        </w:rPr>
        <w:t xml:space="preserve"> appointments to</w:t>
      </w:r>
      <w:r w:rsidR="005E092B">
        <w:rPr>
          <w:rFonts w:ascii="Avenir Next" w:hAnsi="Avenir Next" w:cs="Arial"/>
          <w:color w:val="808080" w:themeColor="background1" w:themeShade="80"/>
          <w:sz w:val="22"/>
          <w:szCs w:val="22"/>
          <w:lang w:val="en-GB"/>
        </w:rPr>
        <w:t xml:space="preserve"> a debtor. Take </w:t>
      </w:r>
      <w:r w:rsidR="006546D7">
        <w:rPr>
          <w:rFonts w:ascii="Avenir Next" w:hAnsi="Avenir Next" w:cs="Arial"/>
          <w:color w:val="808080" w:themeColor="background1" w:themeShade="80"/>
          <w:sz w:val="22"/>
          <w:szCs w:val="22"/>
          <w:lang w:val="en-GB"/>
        </w:rPr>
        <w:t>the example of Company X Pty Ltd appointing a Voluntary Administrator under s 43</w:t>
      </w:r>
      <w:r w:rsidR="00716F42">
        <w:rPr>
          <w:rFonts w:ascii="Avenir Next" w:hAnsi="Avenir Next" w:cs="Arial"/>
          <w:color w:val="808080" w:themeColor="background1" w:themeShade="80"/>
          <w:sz w:val="22"/>
          <w:szCs w:val="22"/>
          <w:lang w:val="en-GB"/>
        </w:rPr>
        <w:t>6</w:t>
      </w:r>
      <w:r w:rsidR="006546D7">
        <w:rPr>
          <w:rFonts w:ascii="Avenir Next" w:hAnsi="Avenir Next" w:cs="Arial"/>
          <w:color w:val="808080" w:themeColor="background1" w:themeShade="80"/>
          <w:sz w:val="22"/>
          <w:szCs w:val="22"/>
          <w:lang w:val="en-GB"/>
        </w:rPr>
        <w:t xml:space="preserve">B of the </w:t>
      </w:r>
      <w:r w:rsidR="006546D7" w:rsidRPr="006546D7">
        <w:rPr>
          <w:rFonts w:ascii="Avenir Next" w:hAnsi="Avenir Next" w:cs="Arial"/>
          <w:i/>
          <w:iCs/>
          <w:color w:val="808080" w:themeColor="background1" w:themeShade="80"/>
          <w:sz w:val="22"/>
          <w:szCs w:val="22"/>
          <w:lang w:val="en-AU"/>
        </w:rPr>
        <w:t>Corporations Act 2001</w:t>
      </w:r>
      <w:r w:rsidR="006546D7" w:rsidRPr="006546D7">
        <w:rPr>
          <w:rFonts w:ascii="Avenir Next" w:hAnsi="Avenir Next" w:cs="Arial"/>
          <w:color w:val="808080" w:themeColor="background1" w:themeShade="80"/>
          <w:sz w:val="22"/>
          <w:szCs w:val="22"/>
          <w:lang w:val="en-AU"/>
        </w:rPr>
        <w:t xml:space="preserve"> (</w:t>
      </w:r>
      <w:proofErr w:type="spellStart"/>
      <w:r w:rsidR="006546D7" w:rsidRPr="006546D7">
        <w:rPr>
          <w:rFonts w:ascii="Avenir Next" w:hAnsi="Avenir Next" w:cs="Arial"/>
          <w:color w:val="808080" w:themeColor="background1" w:themeShade="80"/>
          <w:sz w:val="22"/>
          <w:szCs w:val="22"/>
          <w:lang w:val="en-AU"/>
        </w:rPr>
        <w:t>Cth</w:t>
      </w:r>
      <w:proofErr w:type="spellEnd"/>
      <w:r w:rsidR="006546D7" w:rsidRPr="006546D7">
        <w:rPr>
          <w:rFonts w:ascii="Avenir Next" w:hAnsi="Avenir Next" w:cs="Arial"/>
          <w:color w:val="808080" w:themeColor="background1" w:themeShade="80"/>
          <w:sz w:val="22"/>
          <w:szCs w:val="22"/>
          <w:lang w:val="en-AU"/>
        </w:rPr>
        <w:t>)</w:t>
      </w:r>
      <w:r w:rsidR="006546D7">
        <w:rPr>
          <w:rFonts w:ascii="Avenir Next" w:hAnsi="Avenir Next" w:cs="Arial"/>
          <w:color w:val="808080" w:themeColor="background1" w:themeShade="80"/>
          <w:sz w:val="22"/>
          <w:szCs w:val="22"/>
          <w:lang w:val="en-AU"/>
        </w:rPr>
        <w:t xml:space="preserve"> (</w:t>
      </w:r>
      <w:r w:rsidR="006546D7" w:rsidRPr="006546D7">
        <w:rPr>
          <w:rFonts w:ascii="Avenir Next" w:hAnsi="Avenir Next" w:cs="Arial"/>
          <w:b/>
          <w:bCs/>
          <w:color w:val="808080" w:themeColor="background1" w:themeShade="80"/>
          <w:sz w:val="22"/>
          <w:szCs w:val="22"/>
          <w:lang w:val="en-AU"/>
        </w:rPr>
        <w:t>Act</w:t>
      </w:r>
      <w:r w:rsidR="006546D7">
        <w:rPr>
          <w:rFonts w:ascii="Avenir Next" w:hAnsi="Avenir Next" w:cs="Arial"/>
          <w:color w:val="808080" w:themeColor="background1" w:themeShade="80"/>
          <w:sz w:val="22"/>
          <w:szCs w:val="22"/>
          <w:lang w:val="en-AU"/>
        </w:rPr>
        <w:t>)</w:t>
      </w:r>
      <w:r w:rsidR="00716F42">
        <w:rPr>
          <w:rFonts w:ascii="Avenir Next" w:hAnsi="Avenir Next" w:cs="Arial"/>
          <w:color w:val="808080" w:themeColor="background1" w:themeShade="80"/>
          <w:sz w:val="22"/>
          <w:szCs w:val="22"/>
          <w:lang w:val="en-AU"/>
        </w:rPr>
        <w:t xml:space="preserve"> and a subsequent Holding Deed of Company Arrangement (</w:t>
      </w:r>
      <w:r w:rsidR="00716F42" w:rsidRPr="00716F42">
        <w:rPr>
          <w:rFonts w:ascii="Avenir Next" w:hAnsi="Avenir Next" w:cs="Arial"/>
          <w:b/>
          <w:bCs/>
          <w:color w:val="808080" w:themeColor="background1" w:themeShade="80"/>
          <w:sz w:val="22"/>
          <w:szCs w:val="22"/>
          <w:lang w:val="en-AU"/>
        </w:rPr>
        <w:t>HD</w:t>
      </w:r>
      <w:r w:rsidR="00716F42">
        <w:rPr>
          <w:rFonts w:ascii="Avenir Next" w:hAnsi="Avenir Next" w:cs="Arial"/>
          <w:b/>
          <w:bCs/>
          <w:color w:val="808080" w:themeColor="background1" w:themeShade="80"/>
          <w:sz w:val="22"/>
          <w:szCs w:val="22"/>
          <w:lang w:val="en-AU"/>
        </w:rPr>
        <w:t>OC</w:t>
      </w:r>
      <w:r w:rsidR="00716F42" w:rsidRPr="00716F42">
        <w:rPr>
          <w:rFonts w:ascii="Avenir Next" w:hAnsi="Avenir Next" w:cs="Arial"/>
          <w:b/>
          <w:bCs/>
          <w:color w:val="808080" w:themeColor="background1" w:themeShade="80"/>
          <w:sz w:val="22"/>
          <w:szCs w:val="22"/>
          <w:lang w:val="en-AU"/>
        </w:rPr>
        <w:t>A</w:t>
      </w:r>
      <w:r w:rsidR="00716F42">
        <w:rPr>
          <w:rFonts w:ascii="Avenir Next" w:hAnsi="Avenir Next" w:cs="Arial"/>
          <w:color w:val="808080" w:themeColor="background1" w:themeShade="80"/>
          <w:sz w:val="22"/>
          <w:szCs w:val="22"/>
          <w:lang w:val="en-AU"/>
        </w:rPr>
        <w:t>)</w:t>
      </w:r>
      <w:r w:rsidR="008A4861">
        <w:rPr>
          <w:rStyle w:val="FootnoteReference"/>
          <w:rFonts w:ascii="Avenir Next" w:hAnsi="Avenir Next" w:cs="Arial"/>
          <w:color w:val="808080" w:themeColor="background1" w:themeShade="80"/>
          <w:sz w:val="22"/>
          <w:szCs w:val="22"/>
          <w:lang w:val="en-AU"/>
        </w:rPr>
        <w:footnoteReference w:id="78"/>
      </w:r>
      <w:r w:rsidR="00716F42">
        <w:rPr>
          <w:rFonts w:ascii="Avenir Next" w:hAnsi="Avenir Next" w:cs="Arial"/>
          <w:color w:val="808080" w:themeColor="background1" w:themeShade="80"/>
          <w:sz w:val="22"/>
          <w:szCs w:val="22"/>
          <w:lang w:val="en-AU"/>
        </w:rPr>
        <w:t xml:space="preserve"> resolution</w:t>
      </w:r>
      <w:r w:rsidR="008A4861">
        <w:rPr>
          <w:rFonts w:ascii="Avenir Next" w:hAnsi="Avenir Next" w:cs="Arial"/>
          <w:color w:val="808080" w:themeColor="background1" w:themeShade="80"/>
          <w:sz w:val="22"/>
          <w:szCs w:val="22"/>
          <w:lang w:val="en-AU"/>
        </w:rPr>
        <w:t xml:space="preserve"> is</w:t>
      </w:r>
      <w:r w:rsidR="00716F42">
        <w:rPr>
          <w:rFonts w:ascii="Avenir Next" w:hAnsi="Avenir Next" w:cs="Arial"/>
          <w:color w:val="808080" w:themeColor="background1" w:themeShade="80"/>
          <w:sz w:val="22"/>
          <w:szCs w:val="22"/>
          <w:lang w:val="en-AU"/>
        </w:rPr>
        <w:t xml:space="preserve"> approved by creditors at the second meeting of creditors</w:t>
      </w:r>
      <w:r w:rsidR="008A4861">
        <w:rPr>
          <w:rFonts w:ascii="Avenir Next" w:hAnsi="Avenir Next" w:cs="Arial"/>
          <w:color w:val="808080" w:themeColor="background1" w:themeShade="80"/>
          <w:sz w:val="22"/>
          <w:szCs w:val="22"/>
          <w:lang w:val="en-AU"/>
        </w:rPr>
        <w:t>. The HDOCA</w:t>
      </w:r>
      <w:r w:rsidR="00182A8D">
        <w:rPr>
          <w:rFonts w:ascii="Avenir Next" w:hAnsi="Avenir Next" w:cs="Arial"/>
          <w:color w:val="808080" w:themeColor="background1" w:themeShade="80"/>
          <w:sz w:val="22"/>
          <w:szCs w:val="22"/>
          <w:lang w:val="en-AU"/>
        </w:rPr>
        <w:t xml:space="preserve"> of Company X</w:t>
      </w:r>
      <w:r w:rsidR="008A4861">
        <w:rPr>
          <w:rFonts w:ascii="Avenir Next" w:hAnsi="Avenir Next" w:cs="Arial"/>
          <w:color w:val="808080" w:themeColor="background1" w:themeShade="80"/>
          <w:sz w:val="22"/>
          <w:szCs w:val="22"/>
          <w:lang w:val="en-AU"/>
        </w:rPr>
        <w:t xml:space="preserve"> </w:t>
      </w:r>
      <w:r w:rsidR="00336365" w:rsidRPr="00336365">
        <w:rPr>
          <w:rFonts w:ascii="Avenir Next" w:hAnsi="Avenir Next" w:cs="Arial"/>
          <w:color w:val="808080" w:themeColor="background1" w:themeShade="80"/>
          <w:sz w:val="22"/>
          <w:szCs w:val="22"/>
          <w:lang w:val="en-AU"/>
        </w:rPr>
        <w:t xml:space="preserve">Pty Ltd </w:t>
      </w:r>
      <w:r w:rsidR="00435A01">
        <w:rPr>
          <w:rFonts w:ascii="Avenir Next" w:hAnsi="Avenir Next" w:cs="Arial"/>
          <w:color w:val="808080" w:themeColor="background1" w:themeShade="80"/>
          <w:sz w:val="22"/>
          <w:szCs w:val="22"/>
          <w:lang w:val="en-AU"/>
        </w:rPr>
        <w:t xml:space="preserve">may involve an informal workout of secured creditor debts, a recapitalisation event, </w:t>
      </w:r>
      <w:r w:rsidR="00394CD0">
        <w:rPr>
          <w:rFonts w:ascii="Avenir Next" w:hAnsi="Avenir Next" w:cs="Arial"/>
          <w:color w:val="808080" w:themeColor="background1" w:themeShade="80"/>
          <w:sz w:val="22"/>
          <w:szCs w:val="22"/>
          <w:lang w:val="en-AU"/>
        </w:rPr>
        <w:t xml:space="preserve">negotiations with key suppliers to pay less under the </w:t>
      </w:r>
      <w:r w:rsidR="00182A8D">
        <w:rPr>
          <w:rFonts w:ascii="Avenir Next" w:hAnsi="Avenir Next" w:cs="Arial"/>
          <w:color w:val="808080" w:themeColor="background1" w:themeShade="80"/>
          <w:sz w:val="22"/>
          <w:szCs w:val="22"/>
          <w:lang w:val="en-AU"/>
        </w:rPr>
        <w:t xml:space="preserve">DOCA to keep trading, or an informal turnaround. </w:t>
      </w:r>
    </w:p>
    <w:p w14:paraId="7CBF012E" w14:textId="77777777" w:rsidR="001E1C34" w:rsidRPr="004216EA" w:rsidRDefault="001E1C34" w:rsidP="00692852">
      <w:pPr>
        <w:jc w:val="both"/>
        <w:rPr>
          <w:rFonts w:ascii="Avenir Next" w:hAnsi="Avenir Next" w:cs="Arial"/>
          <w:sz w:val="22"/>
          <w:szCs w:val="22"/>
          <w:lang w:val="en-GB"/>
        </w:rPr>
      </w:pPr>
    </w:p>
    <w:p w14:paraId="75E78F15" w14:textId="56CC8816" w:rsidR="004E1D03" w:rsidRDefault="00804BC5" w:rsidP="00692852">
      <w:pPr>
        <w:jc w:val="both"/>
        <w:rPr>
          <w:rFonts w:ascii="Avenir Next" w:hAnsi="Avenir Next" w:cs="Arial"/>
          <w:color w:val="808080" w:themeColor="background1" w:themeShade="80"/>
          <w:sz w:val="22"/>
          <w:szCs w:val="22"/>
          <w:lang w:val="en-AU"/>
        </w:rPr>
      </w:pPr>
      <w:r w:rsidRPr="00804BC5">
        <w:rPr>
          <w:rFonts w:ascii="Avenir Next" w:hAnsi="Avenir Next" w:cs="Arial"/>
          <w:color w:val="808080" w:themeColor="background1" w:themeShade="80"/>
          <w:sz w:val="22"/>
          <w:szCs w:val="22"/>
          <w:lang w:val="en-AU"/>
        </w:rPr>
        <w:t>According</w:t>
      </w:r>
      <w:r>
        <w:rPr>
          <w:rFonts w:ascii="Avenir Next" w:hAnsi="Avenir Next" w:cs="Arial"/>
          <w:color w:val="808080" w:themeColor="background1" w:themeShade="80"/>
          <w:sz w:val="22"/>
          <w:szCs w:val="22"/>
          <w:lang w:val="en-AU"/>
        </w:rPr>
        <w:t xml:space="preserve"> to</w:t>
      </w:r>
      <w:r w:rsidR="009624DD">
        <w:rPr>
          <w:rFonts w:ascii="Avenir Next" w:hAnsi="Avenir Next" w:cs="Arial"/>
          <w:color w:val="808080" w:themeColor="background1" w:themeShade="80"/>
          <w:sz w:val="22"/>
          <w:szCs w:val="22"/>
          <w:lang w:val="en-AU"/>
        </w:rPr>
        <w:t xml:space="preserve"> the</w:t>
      </w:r>
      <w:r>
        <w:rPr>
          <w:rFonts w:ascii="Avenir Next" w:hAnsi="Avenir Next" w:cs="Arial"/>
          <w:color w:val="808080" w:themeColor="background1" w:themeShade="80"/>
          <w:sz w:val="22"/>
          <w:szCs w:val="22"/>
          <w:lang w:val="en-AU"/>
        </w:rPr>
        <w:t xml:space="preserve"> </w:t>
      </w:r>
      <w:r w:rsidR="009624DD" w:rsidRPr="009624DD">
        <w:rPr>
          <w:rFonts w:ascii="Avenir Next" w:hAnsi="Avenir Next" w:cs="Arial"/>
          <w:color w:val="808080" w:themeColor="background1" w:themeShade="80"/>
          <w:sz w:val="22"/>
          <w:szCs w:val="22"/>
          <w:lang w:val="en-AU"/>
        </w:rPr>
        <w:t>UNCITRAL Legislative Guide on Insolvency Law 2004</w:t>
      </w:r>
      <w:r w:rsidR="009624DD">
        <w:rPr>
          <w:rFonts w:ascii="Avenir Next" w:hAnsi="Avenir Next" w:cs="Arial"/>
          <w:color w:val="808080" w:themeColor="background1" w:themeShade="80"/>
          <w:sz w:val="22"/>
          <w:szCs w:val="22"/>
          <w:lang w:val="en-AU"/>
        </w:rPr>
        <w:t xml:space="preserve"> (</w:t>
      </w:r>
      <w:r w:rsidR="009624DD" w:rsidRPr="009624DD">
        <w:rPr>
          <w:rFonts w:ascii="Avenir Next" w:hAnsi="Avenir Next" w:cs="Arial"/>
          <w:b/>
          <w:bCs/>
          <w:color w:val="808080" w:themeColor="background1" w:themeShade="80"/>
          <w:sz w:val="22"/>
          <w:szCs w:val="22"/>
          <w:lang w:val="en-AU"/>
        </w:rPr>
        <w:t>Legislative Guide</w:t>
      </w:r>
      <w:r w:rsidR="009624DD">
        <w:rPr>
          <w:rFonts w:ascii="Avenir Next" w:hAnsi="Avenir Next" w:cs="Arial"/>
          <w:color w:val="808080" w:themeColor="background1" w:themeShade="80"/>
          <w:sz w:val="22"/>
          <w:szCs w:val="22"/>
          <w:lang w:val="en-AU"/>
        </w:rPr>
        <w:t xml:space="preserve">), </w:t>
      </w:r>
      <w:r w:rsidR="00F3274E">
        <w:rPr>
          <w:rFonts w:ascii="Avenir Next" w:hAnsi="Avenir Next" w:cs="Arial"/>
          <w:color w:val="808080" w:themeColor="background1" w:themeShade="80"/>
          <w:sz w:val="22"/>
          <w:szCs w:val="22"/>
          <w:lang w:val="en-AU"/>
        </w:rPr>
        <w:t>the following preconditions are typically required to produce an effective informal negotiation:</w:t>
      </w:r>
      <w:r w:rsidR="00AA28AD">
        <w:rPr>
          <w:rStyle w:val="FootnoteReference"/>
          <w:rFonts w:ascii="Avenir Next" w:hAnsi="Avenir Next" w:cs="Arial"/>
          <w:color w:val="808080" w:themeColor="background1" w:themeShade="80"/>
          <w:sz w:val="22"/>
          <w:szCs w:val="22"/>
          <w:lang w:val="en-AU"/>
        </w:rPr>
        <w:footnoteReference w:id="79"/>
      </w:r>
    </w:p>
    <w:p w14:paraId="1A1D87D2" w14:textId="79F04359" w:rsidR="00F3274E" w:rsidRDefault="00F3274E" w:rsidP="00692852">
      <w:pPr>
        <w:jc w:val="both"/>
        <w:rPr>
          <w:rFonts w:ascii="Avenir Next" w:hAnsi="Avenir Next" w:cs="Arial"/>
          <w:color w:val="808080" w:themeColor="background1" w:themeShade="80"/>
          <w:sz w:val="22"/>
          <w:szCs w:val="22"/>
          <w:lang w:val="en-AU"/>
        </w:rPr>
      </w:pPr>
    </w:p>
    <w:p w14:paraId="1154B927" w14:textId="0001E19A" w:rsidR="00F3274E" w:rsidRDefault="00D67802" w:rsidP="00F3274E">
      <w:pPr>
        <w:pStyle w:val="ListParagraph"/>
        <w:numPr>
          <w:ilvl w:val="0"/>
          <w:numId w:val="28"/>
        </w:numPr>
        <w:ind w:left="426" w:hanging="426"/>
        <w:jc w:val="both"/>
        <w:rPr>
          <w:rFonts w:ascii="Avenir Next" w:hAnsi="Avenir Next" w:cs="Arial"/>
          <w:color w:val="808080" w:themeColor="background1" w:themeShade="80"/>
          <w:sz w:val="22"/>
          <w:szCs w:val="22"/>
          <w:lang w:val="en-AU"/>
        </w:rPr>
      </w:pPr>
      <w:r w:rsidRPr="00D67802">
        <w:rPr>
          <w:rFonts w:ascii="Avenir Next" w:hAnsi="Avenir Next" w:cs="Arial"/>
          <w:color w:val="808080" w:themeColor="background1" w:themeShade="80"/>
          <w:sz w:val="22"/>
          <w:szCs w:val="22"/>
          <w:lang w:val="en-AU"/>
        </w:rPr>
        <w:t xml:space="preserve">FPPL </w:t>
      </w:r>
      <w:r>
        <w:rPr>
          <w:rFonts w:ascii="Avenir Next" w:hAnsi="Avenir Next" w:cs="Arial"/>
          <w:color w:val="808080" w:themeColor="background1" w:themeShade="80"/>
          <w:sz w:val="22"/>
          <w:szCs w:val="22"/>
          <w:lang w:val="en-AU"/>
        </w:rPr>
        <w:t xml:space="preserve">to owe </w:t>
      </w:r>
      <w:r w:rsidR="001A2537">
        <w:rPr>
          <w:rFonts w:ascii="Avenir Next" w:hAnsi="Avenir Next" w:cs="Arial"/>
          <w:color w:val="808080" w:themeColor="background1" w:themeShade="80"/>
          <w:sz w:val="22"/>
          <w:szCs w:val="22"/>
          <w:lang w:val="en-AU"/>
        </w:rPr>
        <w:t>significant debt to numerous creditors</w:t>
      </w:r>
      <w:r w:rsidR="00B53AE6">
        <w:rPr>
          <w:rFonts w:ascii="Avenir Next" w:hAnsi="Avenir Next" w:cs="Arial"/>
          <w:color w:val="808080" w:themeColor="background1" w:themeShade="80"/>
          <w:sz w:val="22"/>
          <w:szCs w:val="22"/>
          <w:lang w:val="en-AU"/>
        </w:rPr>
        <w:t>;</w:t>
      </w:r>
      <w:r w:rsidR="00AA28AD">
        <w:rPr>
          <w:rFonts w:ascii="Avenir Next" w:hAnsi="Avenir Next" w:cs="Arial"/>
          <w:color w:val="808080" w:themeColor="background1" w:themeShade="80"/>
          <w:sz w:val="22"/>
          <w:szCs w:val="22"/>
          <w:lang w:val="en-AU"/>
        </w:rPr>
        <w:t xml:space="preserve"> </w:t>
      </w:r>
    </w:p>
    <w:p w14:paraId="03F77AD7" w14:textId="361988FA" w:rsidR="00C14995" w:rsidRDefault="00257151" w:rsidP="00257151">
      <w:pPr>
        <w:pStyle w:val="ListParagraph"/>
        <w:ind w:left="426"/>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lastRenderedPageBreak/>
        <w:t xml:space="preserve">On the information provided it is not clear </w:t>
      </w:r>
      <w:r w:rsidR="002B1CDD">
        <w:rPr>
          <w:rFonts w:ascii="Avenir Next" w:hAnsi="Avenir Next" w:cs="Arial"/>
          <w:color w:val="808080" w:themeColor="background1" w:themeShade="80"/>
          <w:sz w:val="22"/>
          <w:szCs w:val="22"/>
          <w:lang w:val="en-AU"/>
        </w:rPr>
        <w:t xml:space="preserve">how much is owed by </w:t>
      </w:r>
      <w:r w:rsidR="00B35B3C">
        <w:rPr>
          <w:rFonts w:ascii="Avenir Next" w:hAnsi="Avenir Next" w:cs="Arial"/>
          <w:color w:val="808080" w:themeColor="background1" w:themeShade="80"/>
          <w:sz w:val="22"/>
          <w:szCs w:val="22"/>
          <w:lang w:val="en-AU"/>
        </w:rPr>
        <w:t>FPPL</w:t>
      </w:r>
      <w:r w:rsidR="002B1CDD">
        <w:rPr>
          <w:rFonts w:ascii="Avenir Next" w:hAnsi="Avenir Next" w:cs="Arial"/>
          <w:color w:val="808080" w:themeColor="background1" w:themeShade="80"/>
          <w:sz w:val="22"/>
          <w:szCs w:val="22"/>
          <w:lang w:val="en-AU"/>
        </w:rPr>
        <w:t xml:space="preserve"> to Lobo or the quantum of any other debts owed by FPPL to other creditors (including secured creditors, trade creditors, employees, contingent creditors, subordinated creditors, and related parties). </w:t>
      </w:r>
      <w:r w:rsidR="00280614">
        <w:rPr>
          <w:rFonts w:ascii="Avenir Next" w:hAnsi="Avenir Next" w:cs="Arial"/>
          <w:color w:val="808080" w:themeColor="background1" w:themeShade="80"/>
          <w:sz w:val="22"/>
          <w:szCs w:val="22"/>
          <w:lang w:val="en-AU"/>
        </w:rPr>
        <w:t>Lobo may consider requesting updated financial statements (including a balance sheet</w:t>
      </w:r>
      <w:r w:rsidR="007E5913">
        <w:rPr>
          <w:rFonts w:ascii="Avenir Next" w:hAnsi="Avenir Next" w:cs="Arial"/>
          <w:color w:val="808080" w:themeColor="background1" w:themeShade="80"/>
          <w:sz w:val="22"/>
          <w:szCs w:val="22"/>
          <w:lang w:val="en-AU"/>
        </w:rPr>
        <w:t>, aged creditors, profit and loss statement, and (my personal favourite report) the general ledger</w:t>
      </w:r>
      <w:r w:rsidR="00280614">
        <w:rPr>
          <w:rFonts w:ascii="Avenir Next" w:hAnsi="Avenir Next" w:cs="Arial"/>
          <w:color w:val="808080" w:themeColor="background1" w:themeShade="80"/>
          <w:sz w:val="22"/>
          <w:szCs w:val="22"/>
          <w:lang w:val="en-AU"/>
        </w:rPr>
        <w:t>) for FPPL</w:t>
      </w:r>
      <w:r w:rsidR="00C97546">
        <w:rPr>
          <w:rFonts w:ascii="Avenir Next" w:hAnsi="Avenir Next" w:cs="Arial"/>
          <w:color w:val="808080" w:themeColor="background1" w:themeShade="80"/>
          <w:sz w:val="22"/>
          <w:szCs w:val="22"/>
          <w:lang w:val="en-AU"/>
        </w:rPr>
        <w:t xml:space="preserve"> </w:t>
      </w:r>
      <w:r w:rsidR="00280614">
        <w:rPr>
          <w:rFonts w:ascii="Avenir Next" w:hAnsi="Avenir Next" w:cs="Arial"/>
          <w:color w:val="808080" w:themeColor="background1" w:themeShade="80"/>
          <w:sz w:val="22"/>
          <w:szCs w:val="22"/>
          <w:lang w:val="en-AU"/>
        </w:rPr>
        <w:t xml:space="preserve">before it agrees to commence any such informal </w:t>
      </w:r>
      <w:r w:rsidR="00C97546">
        <w:rPr>
          <w:rFonts w:ascii="Avenir Next" w:hAnsi="Avenir Next" w:cs="Arial"/>
          <w:color w:val="808080" w:themeColor="background1" w:themeShade="80"/>
          <w:sz w:val="22"/>
          <w:szCs w:val="22"/>
          <w:lang w:val="en-AU"/>
        </w:rPr>
        <w:t>negotiation.</w:t>
      </w:r>
      <w:r w:rsidR="00F419F6">
        <w:rPr>
          <w:rStyle w:val="FootnoteReference"/>
          <w:rFonts w:ascii="Avenir Next" w:hAnsi="Avenir Next" w:cs="Arial"/>
          <w:color w:val="808080" w:themeColor="background1" w:themeShade="80"/>
          <w:sz w:val="22"/>
          <w:szCs w:val="22"/>
          <w:lang w:val="en-AU"/>
        </w:rPr>
        <w:footnoteReference w:id="80"/>
      </w:r>
      <w:r w:rsidR="00C97546">
        <w:rPr>
          <w:rFonts w:ascii="Avenir Next" w:hAnsi="Avenir Next" w:cs="Arial"/>
          <w:color w:val="808080" w:themeColor="background1" w:themeShade="80"/>
          <w:sz w:val="22"/>
          <w:szCs w:val="22"/>
          <w:lang w:val="en-AU"/>
        </w:rPr>
        <w:t xml:space="preserve"> This may assist Lobo in understanding </w:t>
      </w:r>
      <w:r w:rsidR="008D7931">
        <w:rPr>
          <w:rFonts w:ascii="Avenir Next" w:hAnsi="Avenir Next" w:cs="Arial"/>
          <w:color w:val="808080" w:themeColor="background1" w:themeShade="80"/>
          <w:sz w:val="22"/>
          <w:szCs w:val="22"/>
          <w:lang w:val="en-AU"/>
        </w:rPr>
        <w:t>what debts are owed by FPPL</w:t>
      </w:r>
      <w:r w:rsidR="004463EE">
        <w:rPr>
          <w:rFonts w:ascii="Avenir Next" w:hAnsi="Avenir Next" w:cs="Arial"/>
          <w:color w:val="808080" w:themeColor="background1" w:themeShade="80"/>
          <w:sz w:val="22"/>
          <w:szCs w:val="22"/>
          <w:lang w:val="en-AU"/>
        </w:rPr>
        <w:t xml:space="preserve">, the priority order of those debts </w:t>
      </w:r>
      <w:r w:rsidR="008D7931">
        <w:rPr>
          <w:rFonts w:ascii="Avenir Next" w:hAnsi="Avenir Next" w:cs="Arial"/>
          <w:color w:val="808080" w:themeColor="background1" w:themeShade="80"/>
          <w:sz w:val="22"/>
          <w:szCs w:val="22"/>
          <w:lang w:val="en-AU"/>
        </w:rPr>
        <w:t xml:space="preserve">and </w:t>
      </w:r>
      <w:r w:rsidR="004463EE">
        <w:rPr>
          <w:rFonts w:ascii="Avenir Next" w:hAnsi="Avenir Next" w:cs="Arial"/>
          <w:color w:val="808080" w:themeColor="background1" w:themeShade="80"/>
          <w:sz w:val="22"/>
          <w:szCs w:val="22"/>
          <w:lang w:val="en-AU"/>
        </w:rPr>
        <w:t xml:space="preserve">what the quantum (and liquidity) of </w:t>
      </w:r>
      <w:r w:rsidR="00C646EA">
        <w:rPr>
          <w:rFonts w:ascii="Avenir Next" w:hAnsi="Avenir Next" w:cs="Arial"/>
          <w:color w:val="808080" w:themeColor="background1" w:themeShade="80"/>
          <w:sz w:val="22"/>
          <w:szCs w:val="22"/>
          <w:lang w:val="en-AU"/>
        </w:rPr>
        <w:t>realisable</w:t>
      </w:r>
      <w:r w:rsidR="004463EE">
        <w:rPr>
          <w:rFonts w:ascii="Avenir Next" w:hAnsi="Avenir Next" w:cs="Arial"/>
          <w:color w:val="808080" w:themeColor="background1" w:themeShade="80"/>
          <w:sz w:val="22"/>
          <w:szCs w:val="22"/>
          <w:lang w:val="en-AU"/>
        </w:rPr>
        <w:t xml:space="preserve"> assets are available to pay those debts.</w:t>
      </w:r>
      <w:r w:rsidR="008D7931">
        <w:rPr>
          <w:rFonts w:ascii="Avenir Next" w:hAnsi="Avenir Next" w:cs="Arial"/>
          <w:color w:val="808080" w:themeColor="background1" w:themeShade="80"/>
          <w:sz w:val="22"/>
          <w:szCs w:val="22"/>
          <w:lang w:val="en-AU"/>
        </w:rPr>
        <w:t xml:space="preserve"> </w:t>
      </w:r>
      <w:r w:rsidR="00433AB6">
        <w:rPr>
          <w:rFonts w:ascii="Avenir Next" w:hAnsi="Avenir Next" w:cs="Arial"/>
          <w:color w:val="808080" w:themeColor="background1" w:themeShade="80"/>
          <w:sz w:val="22"/>
          <w:szCs w:val="22"/>
          <w:lang w:val="en-AU"/>
        </w:rPr>
        <w:t xml:space="preserve">Should FPPL enter </w:t>
      </w:r>
      <w:r w:rsidR="005D1C66">
        <w:rPr>
          <w:rFonts w:ascii="Avenir Next" w:hAnsi="Avenir Next" w:cs="Arial"/>
          <w:color w:val="808080" w:themeColor="background1" w:themeShade="80"/>
          <w:sz w:val="22"/>
          <w:szCs w:val="22"/>
          <w:lang w:val="en-AU"/>
        </w:rPr>
        <w:t xml:space="preserve">liquidation, </w:t>
      </w:r>
      <w:r w:rsidR="00C646EA">
        <w:rPr>
          <w:rFonts w:ascii="Avenir Next" w:hAnsi="Avenir Next" w:cs="Arial"/>
          <w:color w:val="808080" w:themeColor="background1" w:themeShade="80"/>
          <w:sz w:val="22"/>
          <w:szCs w:val="22"/>
          <w:lang w:val="en-AU"/>
        </w:rPr>
        <w:t xml:space="preserve">Lobo needs to be careful that in accessing this information it does not itself </w:t>
      </w:r>
      <w:r w:rsidR="00D336F9">
        <w:rPr>
          <w:rFonts w:ascii="Avenir Next" w:hAnsi="Avenir Next" w:cs="Arial"/>
          <w:color w:val="808080" w:themeColor="background1" w:themeShade="80"/>
          <w:sz w:val="22"/>
          <w:szCs w:val="22"/>
          <w:lang w:val="en-AU"/>
        </w:rPr>
        <w:t>become susceptible to any relevant voidable transaction provisions, by</w:t>
      </w:r>
      <w:r w:rsidR="005D1C66">
        <w:rPr>
          <w:rFonts w:ascii="Avenir Next" w:hAnsi="Avenir Next" w:cs="Arial"/>
          <w:color w:val="808080" w:themeColor="background1" w:themeShade="80"/>
          <w:sz w:val="22"/>
          <w:szCs w:val="22"/>
          <w:lang w:val="en-AU"/>
        </w:rPr>
        <w:t xml:space="preserve"> potentially</w:t>
      </w:r>
      <w:r w:rsidR="00D336F9">
        <w:rPr>
          <w:rFonts w:ascii="Avenir Next" w:hAnsi="Avenir Next" w:cs="Arial"/>
          <w:color w:val="808080" w:themeColor="background1" w:themeShade="80"/>
          <w:sz w:val="22"/>
          <w:szCs w:val="22"/>
          <w:lang w:val="en-AU"/>
        </w:rPr>
        <w:t xml:space="preserve"> knowing </w:t>
      </w:r>
      <w:r w:rsidR="00433AB6">
        <w:rPr>
          <w:rFonts w:ascii="Avenir Next" w:hAnsi="Avenir Next" w:cs="Arial"/>
          <w:color w:val="808080" w:themeColor="background1" w:themeShade="80"/>
          <w:sz w:val="22"/>
          <w:szCs w:val="22"/>
          <w:lang w:val="en-AU"/>
        </w:rPr>
        <w:t>the financial impecuniosity of FPPL</w:t>
      </w:r>
      <w:r w:rsidR="005D1C66">
        <w:rPr>
          <w:rFonts w:ascii="Avenir Next" w:hAnsi="Avenir Next" w:cs="Arial"/>
          <w:color w:val="808080" w:themeColor="background1" w:themeShade="80"/>
          <w:sz w:val="22"/>
          <w:szCs w:val="22"/>
          <w:lang w:val="en-AU"/>
        </w:rPr>
        <w:t>.</w:t>
      </w:r>
      <w:r w:rsidR="007E5913">
        <w:rPr>
          <w:rFonts w:ascii="Avenir Next" w:hAnsi="Avenir Next" w:cs="Arial"/>
          <w:color w:val="808080" w:themeColor="background1" w:themeShade="80"/>
          <w:sz w:val="22"/>
          <w:szCs w:val="22"/>
          <w:lang w:val="en-AU"/>
        </w:rPr>
        <w:t xml:space="preserve"> </w:t>
      </w:r>
    </w:p>
    <w:p w14:paraId="46FD9622" w14:textId="77777777" w:rsidR="00B53AE6" w:rsidRDefault="00B53AE6" w:rsidP="00B53AE6">
      <w:pPr>
        <w:pStyle w:val="ListParagraph"/>
        <w:ind w:left="426"/>
        <w:jc w:val="both"/>
        <w:rPr>
          <w:rFonts w:ascii="Avenir Next" w:hAnsi="Avenir Next" w:cs="Arial"/>
          <w:color w:val="808080" w:themeColor="background1" w:themeShade="80"/>
          <w:sz w:val="22"/>
          <w:szCs w:val="22"/>
          <w:lang w:val="en-AU"/>
        </w:rPr>
      </w:pPr>
    </w:p>
    <w:p w14:paraId="3AB04BD4" w14:textId="10B96117" w:rsidR="00B53AE6" w:rsidRDefault="00D67802" w:rsidP="00F3274E">
      <w:pPr>
        <w:pStyle w:val="ListParagraph"/>
        <w:numPr>
          <w:ilvl w:val="0"/>
          <w:numId w:val="28"/>
        </w:numPr>
        <w:ind w:left="426" w:hanging="426"/>
        <w:jc w:val="both"/>
        <w:rPr>
          <w:rFonts w:ascii="Avenir Next" w:hAnsi="Avenir Next" w:cs="Arial"/>
          <w:color w:val="808080" w:themeColor="background1" w:themeShade="80"/>
          <w:sz w:val="22"/>
          <w:szCs w:val="22"/>
          <w:lang w:val="en-AU"/>
        </w:rPr>
      </w:pPr>
      <w:r w:rsidRPr="00D67802">
        <w:rPr>
          <w:rFonts w:ascii="Avenir Next" w:hAnsi="Avenir Next" w:cs="Arial"/>
          <w:color w:val="808080" w:themeColor="background1" w:themeShade="80"/>
          <w:sz w:val="22"/>
          <w:szCs w:val="22"/>
          <w:lang w:val="en-AU"/>
        </w:rPr>
        <w:t>FPPL</w:t>
      </w:r>
      <w:r>
        <w:rPr>
          <w:rFonts w:ascii="Avenir Next" w:hAnsi="Avenir Next" w:cs="Arial"/>
          <w:color w:val="808080" w:themeColor="background1" w:themeShade="80"/>
          <w:sz w:val="22"/>
          <w:szCs w:val="22"/>
          <w:lang w:val="en-AU"/>
        </w:rPr>
        <w:t>’s</w:t>
      </w:r>
      <w:r w:rsidRPr="00D67802">
        <w:rPr>
          <w:rFonts w:ascii="Avenir Next" w:hAnsi="Avenir Next" w:cs="Arial"/>
          <w:color w:val="808080" w:themeColor="background1" w:themeShade="80"/>
          <w:sz w:val="22"/>
          <w:szCs w:val="22"/>
          <w:lang w:val="en-AU"/>
        </w:rPr>
        <w:t xml:space="preserve"> </w:t>
      </w:r>
      <w:r w:rsidR="00B53AE6">
        <w:rPr>
          <w:rFonts w:ascii="Avenir Next" w:hAnsi="Avenir Next" w:cs="Arial"/>
          <w:color w:val="808080" w:themeColor="background1" w:themeShade="80"/>
          <w:sz w:val="22"/>
          <w:szCs w:val="22"/>
          <w:lang w:val="en-AU"/>
        </w:rPr>
        <w:t>inability, or likely inability, to service that debt;</w:t>
      </w:r>
    </w:p>
    <w:p w14:paraId="32CE672E" w14:textId="33590F8D" w:rsidR="00ED1782" w:rsidRDefault="00ED1782" w:rsidP="00ED1782">
      <w:pPr>
        <w:pStyle w:val="ListParagraph"/>
        <w:ind w:left="426"/>
        <w:jc w:val="both"/>
        <w:rPr>
          <w:rFonts w:ascii="Avenir Next" w:hAnsi="Avenir Next" w:cs="Arial"/>
          <w:color w:val="808080" w:themeColor="background1" w:themeShade="80"/>
          <w:sz w:val="22"/>
          <w:szCs w:val="22"/>
          <w:lang w:val="en-AU"/>
        </w:rPr>
      </w:pPr>
    </w:p>
    <w:p w14:paraId="7AB664C4" w14:textId="212465C5" w:rsidR="00ED1782" w:rsidRDefault="00ED1782" w:rsidP="00ED1782">
      <w:pPr>
        <w:pStyle w:val="ListParagraph"/>
        <w:ind w:left="426"/>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As above in (a), it is important that Lobo understands what debts are owed by FPPL, the priority order of those debts and what the quantum (and liquidity) of realisable assets are available to pay those debts. However, Lobo needs to be careful of any voidable transaction provisions. </w:t>
      </w:r>
      <w:r w:rsidR="00584AA2">
        <w:rPr>
          <w:rFonts w:ascii="Avenir Next" w:hAnsi="Avenir Next" w:cs="Arial"/>
          <w:color w:val="808080" w:themeColor="background1" w:themeShade="80"/>
          <w:sz w:val="22"/>
          <w:szCs w:val="22"/>
          <w:lang w:val="en-AU"/>
        </w:rPr>
        <w:t xml:space="preserve">The factual matrix claims that FPPL is able to pay its debts in </w:t>
      </w:r>
      <w:r w:rsidR="000010DD">
        <w:rPr>
          <w:rFonts w:ascii="Avenir Next" w:hAnsi="Avenir Next" w:cs="Arial"/>
          <w:color w:val="808080" w:themeColor="background1" w:themeShade="80"/>
          <w:sz w:val="22"/>
          <w:szCs w:val="22"/>
          <w:lang w:val="en-AU"/>
        </w:rPr>
        <w:t xml:space="preserve">Encanto, but is not able to in </w:t>
      </w:r>
      <w:proofErr w:type="spellStart"/>
      <w:r w:rsidR="000010DD">
        <w:rPr>
          <w:rFonts w:ascii="Avenir Next" w:hAnsi="Avenir Next" w:cs="Arial"/>
          <w:color w:val="808080" w:themeColor="background1" w:themeShade="80"/>
          <w:sz w:val="22"/>
          <w:szCs w:val="22"/>
          <w:lang w:val="en-AU"/>
        </w:rPr>
        <w:t>Asgard</w:t>
      </w:r>
      <w:proofErr w:type="spellEnd"/>
      <w:r w:rsidR="000010DD">
        <w:rPr>
          <w:rFonts w:ascii="Avenir Next" w:hAnsi="Avenir Next" w:cs="Arial"/>
          <w:color w:val="808080" w:themeColor="background1" w:themeShade="80"/>
          <w:sz w:val="22"/>
          <w:szCs w:val="22"/>
          <w:lang w:val="en-AU"/>
        </w:rPr>
        <w:t xml:space="preserve">. </w:t>
      </w:r>
      <w:r w:rsidR="00583C5E">
        <w:rPr>
          <w:rFonts w:ascii="Avenir Next" w:hAnsi="Avenir Next" w:cs="Arial"/>
          <w:color w:val="808080" w:themeColor="background1" w:themeShade="80"/>
          <w:sz w:val="22"/>
          <w:szCs w:val="22"/>
          <w:lang w:val="en-AU"/>
        </w:rPr>
        <w:t xml:space="preserve">Lobo needs to consider whether </w:t>
      </w:r>
      <w:r w:rsidR="007D18C8">
        <w:rPr>
          <w:rFonts w:ascii="Avenir Next" w:hAnsi="Avenir Next" w:cs="Arial"/>
          <w:color w:val="808080" w:themeColor="background1" w:themeShade="80"/>
          <w:sz w:val="22"/>
          <w:szCs w:val="22"/>
          <w:lang w:val="en-AU"/>
        </w:rPr>
        <w:t xml:space="preserve">the FPPL branch in Encanto is able to provide financial comfort to its </w:t>
      </w:r>
      <w:proofErr w:type="spellStart"/>
      <w:r w:rsidR="007D18C8">
        <w:rPr>
          <w:rFonts w:ascii="Avenir Next" w:hAnsi="Avenir Next" w:cs="Arial"/>
          <w:color w:val="808080" w:themeColor="background1" w:themeShade="80"/>
          <w:sz w:val="22"/>
          <w:szCs w:val="22"/>
          <w:lang w:val="en-AU"/>
        </w:rPr>
        <w:t>Asgard</w:t>
      </w:r>
      <w:proofErr w:type="spellEnd"/>
      <w:r w:rsidR="007D18C8">
        <w:rPr>
          <w:rFonts w:ascii="Avenir Next" w:hAnsi="Avenir Next" w:cs="Arial"/>
          <w:color w:val="808080" w:themeColor="background1" w:themeShade="80"/>
          <w:sz w:val="22"/>
          <w:szCs w:val="22"/>
          <w:lang w:val="en-AU"/>
        </w:rPr>
        <w:t xml:space="preserve"> </w:t>
      </w:r>
      <w:r w:rsidR="000A0041">
        <w:rPr>
          <w:rFonts w:ascii="Avenir Next" w:hAnsi="Avenir Next" w:cs="Arial"/>
          <w:color w:val="808080" w:themeColor="background1" w:themeShade="80"/>
          <w:sz w:val="22"/>
          <w:szCs w:val="22"/>
          <w:lang w:val="en-AU"/>
        </w:rPr>
        <w:t xml:space="preserve">branch or whether FPPL is deemed insolvent in </w:t>
      </w:r>
      <w:proofErr w:type="spellStart"/>
      <w:r w:rsidR="000A0041">
        <w:rPr>
          <w:rFonts w:ascii="Avenir Next" w:hAnsi="Avenir Next" w:cs="Arial"/>
          <w:color w:val="808080" w:themeColor="background1" w:themeShade="80"/>
          <w:sz w:val="22"/>
          <w:szCs w:val="22"/>
          <w:lang w:val="en-AU"/>
        </w:rPr>
        <w:t>Asgard</w:t>
      </w:r>
      <w:proofErr w:type="spellEnd"/>
      <w:r w:rsidR="000A0041">
        <w:rPr>
          <w:rFonts w:ascii="Avenir Next" w:hAnsi="Avenir Next" w:cs="Arial"/>
          <w:color w:val="808080" w:themeColor="background1" w:themeShade="80"/>
          <w:sz w:val="22"/>
          <w:szCs w:val="22"/>
          <w:lang w:val="en-AU"/>
        </w:rPr>
        <w:t xml:space="preserve"> by reason of its inability to pay the Lobo debt when it fell due and payable.</w:t>
      </w:r>
    </w:p>
    <w:p w14:paraId="1894E876" w14:textId="77777777" w:rsidR="00B53AE6" w:rsidRPr="00B53AE6" w:rsidRDefault="00B53AE6" w:rsidP="00B53AE6">
      <w:pPr>
        <w:pStyle w:val="ListParagraph"/>
        <w:rPr>
          <w:rFonts w:ascii="Avenir Next" w:hAnsi="Avenir Next" w:cs="Arial"/>
          <w:color w:val="808080" w:themeColor="background1" w:themeShade="80"/>
          <w:sz w:val="22"/>
          <w:szCs w:val="22"/>
          <w:lang w:val="en-AU"/>
        </w:rPr>
      </w:pPr>
    </w:p>
    <w:p w14:paraId="342F607A" w14:textId="07AB545A" w:rsidR="00B53AE6" w:rsidRDefault="00FD5117" w:rsidP="00F3274E">
      <w:pPr>
        <w:pStyle w:val="ListParagraph"/>
        <w:numPr>
          <w:ilvl w:val="0"/>
          <w:numId w:val="28"/>
        </w:numPr>
        <w:ind w:left="426" w:hanging="426"/>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acceptance that it is preferable to negotiate</w:t>
      </w:r>
      <w:r w:rsidR="00ED1782">
        <w:rPr>
          <w:rFonts w:ascii="Avenir Next" w:hAnsi="Avenir Next" w:cs="Arial"/>
          <w:color w:val="808080" w:themeColor="background1" w:themeShade="80"/>
          <w:sz w:val="22"/>
          <w:szCs w:val="22"/>
          <w:lang w:val="en-AU"/>
        </w:rPr>
        <w:t>, rather</w:t>
      </w:r>
      <w:r>
        <w:rPr>
          <w:rFonts w:ascii="Avenir Next" w:hAnsi="Avenir Next" w:cs="Arial"/>
          <w:color w:val="808080" w:themeColor="background1" w:themeShade="80"/>
          <w:sz w:val="22"/>
          <w:szCs w:val="22"/>
          <w:lang w:val="en-AU"/>
        </w:rPr>
        <w:t xml:space="preserve"> th</w:t>
      </w:r>
      <w:r w:rsidR="00ED1782">
        <w:rPr>
          <w:rFonts w:ascii="Avenir Next" w:hAnsi="Avenir Next" w:cs="Arial"/>
          <w:color w:val="808080" w:themeColor="background1" w:themeShade="80"/>
          <w:sz w:val="22"/>
          <w:szCs w:val="22"/>
          <w:lang w:val="en-AU"/>
        </w:rPr>
        <w:t>a</w:t>
      </w:r>
      <w:r>
        <w:rPr>
          <w:rFonts w:ascii="Avenir Next" w:hAnsi="Avenir Next" w:cs="Arial"/>
          <w:color w:val="808080" w:themeColor="background1" w:themeShade="80"/>
          <w:sz w:val="22"/>
          <w:szCs w:val="22"/>
          <w:lang w:val="en-AU"/>
        </w:rPr>
        <w:t>n the alternative (being a default and/or insolvency proceedings being commenced);</w:t>
      </w:r>
    </w:p>
    <w:p w14:paraId="52CFA52F" w14:textId="7DC7C31E" w:rsidR="00CD729B" w:rsidRDefault="00CD729B" w:rsidP="00CD729B">
      <w:pPr>
        <w:pStyle w:val="ListParagraph"/>
        <w:ind w:left="426"/>
        <w:jc w:val="both"/>
        <w:rPr>
          <w:rFonts w:ascii="Avenir Next" w:hAnsi="Avenir Next" w:cs="Arial"/>
          <w:color w:val="808080" w:themeColor="background1" w:themeShade="80"/>
          <w:sz w:val="22"/>
          <w:szCs w:val="22"/>
          <w:lang w:val="en-AU"/>
        </w:rPr>
      </w:pPr>
    </w:p>
    <w:p w14:paraId="7395404B" w14:textId="62A5399C" w:rsidR="007938BA" w:rsidRDefault="0090283D" w:rsidP="00CD729B">
      <w:pPr>
        <w:pStyle w:val="ListParagraph"/>
        <w:ind w:left="426"/>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At least in my own practice, creditors can be </w:t>
      </w:r>
      <w:r w:rsidR="004645D2">
        <w:rPr>
          <w:rFonts w:ascii="Avenir Next" w:hAnsi="Avenir Next" w:cs="Arial"/>
          <w:color w:val="808080" w:themeColor="background1" w:themeShade="80"/>
          <w:sz w:val="22"/>
          <w:szCs w:val="22"/>
          <w:lang w:val="en-AU"/>
        </w:rPr>
        <w:t xml:space="preserve">open to commercial settlements to save on the costs and time of having to commence insolvency proceedings or other forms of recovery actions. This may arise due to the age of the debt, </w:t>
      </w:r>
      <w:r w:rsidR="009A7156">
        <w:rPr>
          <w:rFonts w:ascii="Avenir Next" w:hAnsi="Avenir Next" w:cs="Arial"/>
          <w:color w:val="808080" w:themeColor="background1" w:themeShade="80"/>
          <w:sz w:val="22"/>
          <w:szCs w:val="22"/>
          <w:lang w:val="en-AU"/>
        </w:rPr>
        <w:t xml:space="preserve">the creditors own financial affairs, fear of going to court, </w:t>
      </w:r>
      <w:r w:rsidR="002E6D76">
        <w:rPr>
          <w:rFonts w:ascii="Avenir Next" w:hAnsi="Avenir Next" w:cs="Arial"/>
          <w:color w:val="808080" w:themeColor="background1" w:themeShade="80"/>
          <w:sz w:val="22"/>
          <w:szCs w:val="22"/>
          <w:lang w:val="en-AU"/>
        </w:rPr>
        <w:t xml:space="preserve">relationship with the debtor (whether business or personal), </w:t>
      </w:r>
      <w:r w:rsidR="005E73B9">
        <w:rPr>
          <w:rFonts w:ascii="Avenir Next" w:hAnsi="Avenir Next" w:cs="Arial"/>
          <w:color w:val="808080" w:themeColor="background1" w:themeShade="80"/>
          <w:sz w:val="22"/>
          <w:szCs w:val="22"/>
          <w:lang w:val="en-AU"/>
        </w:rPr>
        <w:t xml:space="preserve">reputation in the industry, etc. I would seek to understand from Lobo what </w:t>
      </w:r>
      <w:proofErr w:type="spellStart"/>
      <w:r w:rsidR="005E73B9">
        <w:rPr>
          <w:rFonts w:ascii="Avenir Next" w:hAnsi="Avenir Next" w:cs="Arial"/>
          <w:color w:val="808080" w:themeColor="background1" w:themeShade="80"/>
          <w:sz w:val="22"/>
          <w:szCs w:val="22"/>
          <w:lang w:val="en-AU"/>
        </w:rPr>
        <w:t>it’s</w:t>
      </w:r>
      <w:proofErr w:type="spellEnd"/>
      <w:r w:rsidR="005E73B9">
        <w:rPr>
          <w:rFonts w:ascii="Avenir Next" w:hAnsi="Avenir Next" w:cs="Arial"/>
          <w:color w:val="808080" w:themeColor="background1" w:themeShade="80"/>
          <w:sz w:val="22"/>
          <w:szCs w:val="22"/>
          <w:lang w:val="en-AU"/>
        </w:rPr>
        <w:t xml:space="preserve"> main drivers and </w:t>
      </w:r>
      <w:r w:rsidR="003A118C">
        <w:rPr>
          <w:rFonts w:ascii="Avenir Next" w:hAnsi="Avenir Next" w:cs="Arial"/>
          <w:color w:val="808080" w:themeColor="background1" w:themeShade="80"/>
          <w:sz w:val="22"/>
          <w:szCs w:val="22"/>
          <w:lang w:val="en-AU"/>
        </w:rPr>
        <w:t xml:space="preserve">concerns are, as well as </w:t>
      </w:r>
      <w:r w:rsidR="0015021E">
        <w:rPr>
          <w:rFonts w:ascii="Avenir Next" w:hAnsi="Avenir Next" w:cs="Arial"/>
          <w:color w:val="808080" w:themeColor="background1" w:themeShade="80"/>
          <w:sz w:val="22"/>
          <w:szCs w:val="22"/>
          <w:lang w:val="en-AU"/>
        </w:rPr>
        <w:t>its WATNA and BATNA</w:t>
      </w:r>
      <w:r w:rsidR="003A118C">
        <w:rPr>
          <w:rFonts w:ascii="Avenir Next" w:hAnsi="Avenir Next" w:cs="Arial"/>
          <w:color w:val="808080" w:themeColor="background1" w:themeShade="80"/>
          <w:sz w:val="22"/>
          <w:szCs w:val="22"/>
          <w:lang w:val="en-AU"/>
        </w:rPr>
        <w:t>,</w:t>
      </w:r>
      <w:r w:rsidR="0015021E">
        <w:rPr>
          <w:rStyle w:val="FootnoteReference"/>
          <w:rFonts w:ascii="Avenir Next" w:hAnsi="Avenir Next" w:cs="Arial"/>
          <w:color w:val="808080" w:themeColor="background1" w:themeShade="80"/>
          <w:sz w:val="22"/>
          <w:szCs w:val="22"/>
          <w:lang w:val="en-AU"/>
        </w:rPr>
        <w:footnoteReference w:id="81"/>
      </w:r>
      <w:r w:rsidR="003A118C">
        <w:rPr>
          <w:rFonts w:ascii="Avenir Next" w:hAnsi="Avenir Next" w:cs="Arial"/>
          <w:color w:val="808080" w:themeColor="background1" w:themeShade="80"/>
          <w:sz w:val="22"/>
          <w:szCs w:val="22"/>
          <w:lang w:val="en-AU"/>
        </w:rPr>
        <w:t xml:space="preserve"> before recommending any informal negotiation. </w:t>
      </w:r>
    </w:p>
    <w:p w14:paraId="5DE083D8" w14:textId="77777777" w:rsidR="00FD5117" w:rsidRPr="00FD5117" w:rsidRDefault="00FD5117" w:rsidP="00FD5117">
      <w:pPr>
        <w:pStyle w:val="ListParagraph"/>
        <w:rPr>
          <w:rFonts w:ascii="Avenir Next" w:hAnsi="Avenir Next" w:cs="Arial"/>
          <w:color w:val="808080" w:themeColor="background1" w:themeShade="80"/>
          <w:sz w:val="22"/>
          <w:szCs w:val="22"/>
          <w:lang w:val="en-AU"/>
        </w:rPr>
      </w:pPr>
    </w:p>
    <w:p w14:paraId="7B4D41C1" w14:textId="524172B3" w:rsidR="00FD5117" w:rsidRDefault="00D67802" w:rsidP="00F3274E">
      <w:pPr>
        <w:pStyle w:val="ListParagraph"/>
        <w:numPr>
          <w:ilvl w:val="0"/>
          <w:numId w:val="28"/>
        </w:numPr>
        <w:ind w:left="426" w:hanging="426"/>
        <w:jc w:val="both"/>
        <w:rPr>
          <w:rFonts w:ascii="Avenir Next" w:hAnsi="Avenir Next" w:cs="Arial"/>
          <w:color w:val="808080" w:themeColor="background1" w:themeShade="80"/>
          <w:sz w:val="22"/>
          <w:szCs w:val="22"/>
          <w:lang w:val="en-AU"/>
        </w:rPr>
      </w:pPr>
      <w:r w:rsidRPr="00D67802">
        <w:rPr>
          <w:rFonts w:ascii="Avenir Next" w:hAnsi="Avenir Next" w:cs="Arial"/>
          <w:color w:val="808080" w:themeColor="background1" w:themeShade="80"/>
          <w:sz w:val="22"/>
          <w:szCs w:val="22"/>
          <w:lang w:val="en-AU"/>
        </w:rPr>
        <w:t>FPPL</w:t>
      </w:r>
      <w:r>
        <w:rPr>
          <w:rFonts w:ascii="Avenir Next" w:hAnsi="Avenir Next" w:cs="Arial"/>
          <w:color w:val="808080" w:themeColor="background1" w:themeShade="80"/>
          <w:sz w:val="22"/>
          <w:szCs w:val="22"/>
          <w:lang w:val="en-AU"/>
        </w:rPr>
        <w:t xml:space="preserve"> has </w:t>
      </w:r>
      <w:r w:rsidR="00BD4B45">
        <w:rPr>
          <w:rFonts w:ascii="Avenir Next" w:hAnsi="Avenir Next" w:cs="Arial"/>
          <w:color w:val="808080" w:themeColor="background1" w:themeShade="80"/>
          <w:sz w:val="22"/>
          <w:szCs w:val="22"/>
          <w:lang w:val="en-AU"/>
        </w:rPr>
        <w:t xml:space="preserve">sophisticated </w:t>
      </w:r>
      <w:r w:rsidR="00FF3A0A">
        <w:rPr>
          <w:rFonts w:ascii="Avenir Next" w:hAnsi="Avenir Next" w:cs="Arial"/>
          <w:color w:val="808080" w:themeColor="background1" w:themeShade="80"/>
          <w:sz w:val="22"/>
          <w:szCs w:val="22"/>
          <w:lang w:val="en-AU"/>
        </w:rPr>
        <w:t xml:space="preserve">alternative </w:t>
      </w:r>
      <w:r w:rsidR="00BD4B45">
        <w:rPr>
          <w:rFonts w:ascii="Avenir Next" w:hAnsi="Avenir Next" w:cs="Arial"/>
          <w:color w:val="808080" w:themeColor="background1" w:themeShade="80"/>
          <w:sz w:val="22"/>
          <w:szCs w:val="22"/>
          <w:lang w:val="en-AU"/>
        </w:rPr>
        <w:t>solution</w:t>
      </w:r>
      <w:r w:rsidR="00FF3A0A">
        <w:rPr>
          <w:rFonts w:ascii="Avenir Next" w:hAnsi="Avenir Next" w:cs="Arial"/>
          <w:color w:val="808080" w:themeColor="background1" w:themeShade="80"/>
          <w:sz w:val="22"/>
          <w:szCs w:val="22"/>
          <w:lang w:val="en-AU"/>
        </w:rPr>
        <w:t>s</w:t>
      </w:r>
      <w:r w:rsidR="00BD4B45">
        <w:rPr>
          <w:rFonts w:ascii="Avenir Next" w:hAnsi="Avenir Next" w:cs="Arial"/>
          <w:color w:val="808080" w:themeColor="background1" w:themeShade="80"/>
          <w:sz w:val="22"/>
          <w:szCs w:val="22"/>
          <w:lang w:val="en-AU"/>
        </w:rPr>
        <w:t xml:space="preserve"> (</w:t>
      </w:r>
      <w:proofErr w:type="spellStart"/>
      <w:r w:rsidR="00BD4B45">
        <w:rPr>
          <w:rFonts w:ascii="Avenir Next" w:hAnsi="Avenir Next" w:cs="Arial"/>
          <w:color w:val="808080" w:themeColor="background1" w:themeShade="80"/>
          <w:sz w:val="22"/>
          <w:szCs w:val="22"/>
          <w:lang w:val="en-AU"/>
        </w:rPr>
        <w:t>eg</w:t>
      </w:r>
      <w:proofErr w:type="spellEnd"/>
      <w:r w:rsidR="00BD4B45">
        <w:rPr>
          <w:rFonts w:ascii="Avenir Next" w:hAnsi="Avenir Next" w:cs="Arial"/>
          <w:color w:val="808080" w:themeColor="background1" w:themeShade="80"/>
          <w:sz w:val="22"/>
          <w:szCs w:val="22"/>
          <w:lang w:val="en-AU"/>
        </w:rPr>
        <w:t xml:space="preserve"> refinancing, recapitalisation, </w:t>
      </w:r>
      <w:r w:rsidR="00FF3A0A">
        <w:rPr>
          <w:rFonts w:ascii="Avenir Next" w:hAnsi="Avenir Next" w:cs="Arial"/>
          <w:color w:val="808080" w:themeColor="background1" w:themeShade="80"/>
          <w:sz w:val="22"/>
          <w:szCs w:val="22"/>
          <w:lang w:val="en-AU"/>
        </w:rPr>
        <w:t>security from related third parties, guarantees, etc</w:t>
      </w:r>
      <w:r w:rsidR="00280AED">
        <w:rPr>
          <w:rFonts w:ascii="Avenir Next" w:hAnsi="Avenir Next" w:cs="Arial"/>
          <w:color w:val="808080" w:themeColor="background1" w:themeShade="80"/>
          <w:sz w:val="22"/>
          <w:szCs w:val="22"/>
          <w:lang w:val="en-AU"/>
        </w:rPr>
        <w:t>)</w:t>
      </w:r>
      <w:r w:rsidR="00FF3A0A">
        <w:rPr>
          <w:rFonts w:ascii="Avenir Next" w:hAnsi="Avenir Next" w:cs="Arial"/>
          <w:color w:val="808080" w:themeColor="background1" w:themeShade="80"/>
          <w:sz w:val="22"/>
          <w:szCs w:val="22"/>
          <w:lang w:val="en-AU"/>
        </w:rPr>
        <w:t>;</w:t>
      </w:r>
    </w:p>
    <w:p w14:paraId="0DDF95F7" w14:textId="77777777" w:rsidR="00FF3A0A" w:rsidRPr="00FF3A0A" w:rsidRDefault="00FF3A0A" w:rsidP="00FF3A0A">
      <w:pPr>
        <w:pStyle w:val="ListParagraph"/>
        <w:rPr>
          <w:rFonts w:ascii="Avenir Next" w:hAnsi="Avenir Next" w:cs="Arial"/>
          <w:color w:val="808080" w:themeColor="background1" w:themeShade="80"/>
          <w:sz w:val="22"/>
          <w:szCs w:val="22"/>
          <w:lang w:val="en-AU"/>
        </w:rPr>
      </w:pPr>
    </w:p>
    <w:p w14:paraId="2E5BABEE" w14:textId="15A1EE4D" w:rsidR="00FF3A0A" w:rsidRDefault="00D67802" w:rsidP="00F3274E">
      <w:pPr>
        <w:pStyle w:val="ListParagraph"/>
        <w:numPr>
          <w:ilvl w:val="0"/>
          <w:numId w:val="28"/>
        </w:numPr>
        <w:ind w:left="426" w:hanging="426"/>
        <w:jc w:val="both"/>
        <w:rPr>
          <w:rFonts w:ascii="Avenir Next" w:hAnsi="Avenir Next" w:cs="Arial"/>
          <w:color w:val="808080" w:themeColor="background1" w:themeShade="80"/>
          <w:sz w:val="22"/>
          <w:szCs w:val="22"/>
          <w:lang w:val="en-AU"/>
        </w:rPr>
      </w:pPr>
      <w:r w:rsidRPr="00D67802">
        <w:rPr>
          <w:rFonts w:ascii="Avenir Next" w:hAnsi="Avenir Next" w:cs="Arial"/>
          <w:color w:val="808080" w:themeColor="background1" w:themeShade="80"/>
          <w:sz w:val="22"/>
          <w:szCs w:val="22"/>
          <w:lang w:val="en-AU"/>
        </w:rPr>
        <w:t>FPPL</w:t>
      </w:r>
      <w:r>
        <w:rPr>
          <w:rFonts w:ascii="Avenir Next" w:hAnsi="Avenir Next" w:cs="Arial"/>
          <w:color w:val="808080" w:themeColor="background1" w:themeShade="80"/>
          <w:sz w:val="22"/>
          <w:szCs w:val="22"/>
          <w:lang w:val="en-AU"/>
        </w:rPr>
        <w:t xml:space="preserve"> </w:t>
      </w:r>
      <w:r w:rsidR="0060196E">
        <w:rPr>
          <w:rFonts w:ascii="Avenir Next" w:hAnsi="Avenir Next" w:cs="Arial"/>
          <w:color w:val="808080" w:themeColor="background1" w:themeShade="80"/>
          <w:sz w:val="22"/>
          <w:szCs w:val="22"/>
          <w:lang w:val="en-AU"/>
        </w:rPr>
        <w:t>acknowled</w:t>
      </w:r>
      <w:r>
        <w:rPr>
          <w:rFonts w:ascii="Avenir Next" w:hAnsi="Avenir Next" w:cs="Arial"/>
          <w:color w:val="808080" w:themeColor="background1" w:themeShade="80"/>
          <w:sz w:val="22"/>
          <w:szCs w:val="22"/>
          <w:lang w:val="en-AU"/>
        </w:rPr>
        <w:t>ges</w:t>
      </w:r>
      <w:r w:rsidR="0060196E">
        <w:rPr>
          <w:rFonts w:ascii="Avenir Next" w:hAnsi="Avenir Next" w:cs="Arial"/>
          <w:color w:val="808080" w:themeColor="background1" w:themeShade="80"/>
          <w:sz w:val="22"/>
          <w:szCs w:val="22"/>
          <w:lang w:val="en-AU"/>
        </w:rPr>
        <w:t xml:space="preserve"> that the creditor(s) </w:t>
      </w:r>
      <w:r>
        <w:rPr>
          <w:rFonts w:ascii="Avenir Next" w:hAnsi="Avenir Next" w:cs="Arial"/>
          <w:color w:val="808080" w:themeColor="background1" w:themeShade="80"/>
          <w:sz w:val="22"/>
          <w:szCs w:val="22"/>
          <w:lang w:val="en-AU"/>
        </w:rPr>
        <w:t xml:space="preserve">(including Lobo) </w:t>
      </w:r>
      <w:r w:rsidR="0060196E">
        <w:rPr>
          <w:rFonts w:ascii="Avenir Next" w:hAnsi="Avenir Next" w:cs="Arial"/>
          <w:color w:val="808080" w:themeColor="background1" w:themeShade="80"/>
          <w:sz w:val="22"/>
          <w:szCs w:val="22"/>
          <w:lang w:val="en-AU"/>
        </w:rPr>
        <w:t>can apply for the insolvency proceeding at any time, if an agreement cannot be reached;</w:t>
      </w:r>
    </w:p>
    <w:p w14:paraId="037F2E39" w14:textId="77777777" w:rsidR="0060196E" w:rsidRPr="0060196E" w:rsidRDefault="0060196E" w:rsidP="0060196E">
      <w:pPr>
        <w:pStyle w:val="ListParagraph"/>
        <w:rPr>
          <w:rFonts w:ascii="Avenir Next" w:hAnsi="Avenir Next" w:cs="Arial"/>
          <w:color w:val="808080" w:themeColor="background1" w:themeShade="80"/>
          <w:sz w:val="22"/>
          <w:szCs w:val="22"/>
          <w:lang w:val="en-AU"/>
        </w:rPr>
      </w:pPr>
    </w:p>
    <w:p w14:paraId="1BB41B11" w14:textId="52397C60" w:rsidR="00AA28AD" w:rsidRDefault="00D67802" w:rsidP="00F3274E">
      <w:pPr>
        <w:pStyle w:val="ListParagraph"/>
        <w:numPr>
          <w:ilvl w:val="0"/>
          <w:numId w:val="28"/>
        </w:numPr>
        <w:ind w:left="426" w:hanging="426"/>
        <w:jc w:val="both"/>
        <w:rPr>
          <w:rFonts w:ascii="Avenir Next" w:hAnsi="Avenir Next" w:cs="Arial"/>
          <w:color w:val="808080" w:themeColor="background1" w:themeShade="80"/>
          <w:sz w:val="22"/>
          <w:szCs w:val="22"/>
          <w:lang w:val="en-AU"/>
        </w:rPr>
      </w:pPr>
      <w:r w:rsidRPr="00D67802">
        <w:rPr>
          <w:rFonts w:ascii="Avenir Next" w:hAnsi="Avenir Next" w:cs="Arial"/>
          <w:color w:val="808080" w:themeColor="background1" w:themeShade="80"/>
          <w:sz w:val="22"/>
          <w:szCs w:val="22"/>
          <w:lang w:val="en-AU"/>
        </w:rPr>
        <w:t>FPPL</w:t>
      </w:r>
      <w:r>
        <w:rPr>
          <w:rFonts w:ascii="Avenir Next" w:hAnsi="Avenir Next" w:cs="Arial"/>
          <w:color w:val="808080" w:themeColor="background1" w:themeShade="80"/>
          <w:sz w:val="22"/>
          <w:szCs w:val="22"/>
          <w:lang w:val="en-AU"/>
        </w:rPr>
        <w:t xml:space="preserve"> </w:t>
      </w:r>
      <w:r w:rsidR="00E3755B">
        <w:rPr>
          <w:rFonts w:ascii="Avenir Next" w:hAnsi="Avenir Next" w:cs="Arial"/>
          <w:color w:val="808080" w:themeColor="background1" w:themeShade="80"/>
          <w:sz w:val="22"/>
          <w:szCs w:val="22"/>
          <w:lang w:val="en-AU"/>
        </w:rPr>
        <w:t>does not require relief from a moratorium (</w:t>
      </w:r>
      <w:proofErr w:type="spellStart"/>
      <w:r w:rsidR="00E3755B">
        <w:rPr>
          <w:rFonts w:ascii="Avenir Next" w:hAnsi="Avenir Next" w:cs="Arial"/>
          <w:color w:val="808080" w:themeColor="background1" w:themeShade="80"/>
          <w:sz w:val="22"/>
          <w:szCs w:val="22"/>
          <w:lang w:val="en-AU"/>
        </w:rPr>
        <w:t>eg</w:t>
      </w:r>
      <w:proofErr w:type="spellEnd"/>
      <w:r w:rsidR="00E3755B">
        <w:rPr>
          <w:rFonts w:ascii="Avenir Next" w:hAnsi="Avenir Next" w:cs="Arial"/>
          <w:color w:val="808080" w:themeColor="background1" w:themeShade="80"/>
          <w:sz w:val="22"/>
          <w:szCs w:val="22"/>
          <w:lang w:val="en-AU"/>
        </w:rPr>
        <w:t xml:space="preserve"> guarantees), automatic stay or to </w:t>
      </w:r>
      <w:r w:rsidR="00AA28AD">
        <w:rPr>
          <w:rFonts w:ascii="Avenir Next" w:hAnsi="Avenir Next" w:cs="Arial"/>
          <w:color w:val="808080" w:themeColor="background1" w:themeShade="80"/>
          <w:sz w:val="22"/>
          <w:szCs w:val="22"/>
          <w:lang w:val="en-AU"/>
        </w:rPr>
        <w:t>disclaim burdensome facilities/loans; and</w:t>
      </w:r>
    </w:p>
    <w:p w14:paraId="02CBAFCF" w14:textId="77777777" w:rsidR="00934537" w:rsidRPr="00934537" w:rsidRDefault="00934537" w:rsidP="00934537">
      <w:pPr>
        <w:pStyle w:val="ListParagraph"/>
        <w:rPr>
          <w:rFonts w:ascii="Avenir Next" w:hAnsi="Avenir Next" w:cs="Arial"/>
          <w:color w:val="808080" w:themeColor="background1" w:themeShade="80"/>
          <w:sz w:val="22"/>
          <w:szCs w:val="22"/>
          <w:lang w:val="en-AU"/>
        </w:rPr>
      </w:pPr>
    </w:p>
    <w:p w14:paraId="026549C5" w14:textId="3266E7F1" w:rsidR="00934537" w:rsidRDefault="00934537" w:rsidP="00934537">
      <w:pPr>
        <w:pStyle w:val="ListParagraph"/>
        <w:ind w:left="426"/>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As above in (a), it is important that Lobo understands what debts are owed by FPPL, the priority order of those debts and what the quantum (and liquidity) of realisable assets are available to pay those debts. This may allow Lobo to identify any guarantee or moratorium </w:t>
      </w:r>
      <w:r w:rsidR="00297D9B">
        <w:rPr>
          <w:rFonts w:ascii="Avenir Next" w:hAnsi="Avenir Next" w:cs="Arial"/>
          <w:color w:val="808080" w:themeColor="background1" w:themeShade="80"/>
          <w:sz w:val="22"/>
          <w:szCs w:val="22"/>
          <w:lang w:val="en-AU"/>
        </w:rPr>
        <w:t>risks that FPPL may have, including whether they have a burdensome lease that may be causing these financial problems.</w:t>
      </w:r>
    </w:p>
    <w:p w14:paraId="677F2833" w14:textId="77777777" w:rsidR="00AA28AD" w:rsidRPr="00AA28AD" w:rsidRDefault="00AA28AD" w:rsidP="00AA28AD">
      <w:pPr>
        <w:pStyle w:val="ListParagraph"/>
        <w:rPr>
          <w:rFonts w:ascii="Avenir Next" w:hAnsi="Avenir Next" w:cs="Arial"/>
          <w:color w:val="808080" w:themeColor="background1" w:themeShade="80"/>
          <w:sz w:val="22"/>
          <w:szCs w:val="22"/>
          <w:lang w:val="en-AU"/>
        </w:rPr>
      </w:pPr>
    </w:p>
    <w:p w14:paraId="4CA57B7C" w14:textId="6B0C6D5D" w:rsidR="0060196E" w:rsidRPr="00F3274E" w:rsidRDefault="00AA28AD" w:rsidP="00F3274E">
      <w:pPr>
        <w:pStyle w:val="ListParagraph"/>
        <w:numPr>
          <w:ilvl w:val="0"/>
          <w:numId w:val="28"/>
        </w:numPr>
        <w:ind w:left="426" w:hanging="426"/>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consideration of tax treatments between </w:t>
      </w:r>
      <w:proofErr w:type="spellStart"/>
      <w:r>
        <w:rPr>
          <w:rFonts w:ascii="Avenir Next" w:hAnsi="Avenir Next" w:cs="Arial"/>
          <w:color w:val="808080" w:themeColor="background1" w:themeShade="80"/>
          <w:sz w:val="22"/>
          <w:szCs w:val="22"/>
          <w:lang w:val="en-AU"/>
        </w:rPr>
        <w:t>Asgard</w:t>
      </w:r>
      <w:proofErr w:type="spellEnd"/>
      <w:r>
        <w:rPr>
          <w:rFonts w:ascii="Avenir Next" w:hAnsi="Avenir Next" w:cs="Arial"/>
          <w:color w:val="808080" w:themeColor="background1" w:themeShade="80"/>
          <w:sz w:val="22"/>
          <w:szCs w:val="22"/>
          <w:lang w:val="en-AU"/>
        </w:rPr>
        <w:t xml:space="preserve"> and Encanto.</w:t>
      </w:r>
      <w:r w:rsidR="00D67802">
        <w:rPr>
          <w:rFonts w:ascii="Avenir Next" w:hAnsi="Avenir Next" w:cs="Arial"/>
          <w:color w:val="808080" w:themeColor="background1" w:themeShade="80"/>
          <w:sz w:val="22"/>
          <w:szCs w:val="22"/>
          <w:lang w:val="en-AU"/>
        </w:rPr>
        <w:t xml:space="preserve"> </w:t>
      </w:r>
    </w:p>
    <w:p w14:paraId="6A0E7D90" w14:textId="62532A1B" w:rsidR="00F844DC" w:rsidRDefault="00F844DC" w:rsidP="00692852">
      <w:pPr>
        <w:jc w:val="both"/>
        <w:rPr>
          <w:rFonts w:ascii="Avenir Next" w:hAnsi="Avenir Next" w:cs="Arial"/>
          <w:sz w:val="22"/>
          <w:szCs w:val="22"/>
          <w:lang w:val="en-GB"/>
        </w:rPr>
      </w:pPr>
    </w:p>
    <w:p w14:paraId="2B832B8C" w14:textId="761F1988" w:rsidR="00297D9B" w:rsidRDefault="00297D9B" w:rsidP="00297D9B">
      <w:pPr>
        <w:ind w:left="426"/>
        <w:jc w:val="both"/>
        <w:rPr>
          <w:rFonts w:ascii="Avenir Next" w:hAnsi="Avenir Next" w:cs="Arial"/>
          <w:color w:val="808080" w:themeColor="background1" w:themeShade="80"/>
          <w:sz w:val="22"/>
          <w:szCs w:val="22"/>
          <w:lang w:val="en-AU"/>
        </w:rPr>
      </w:pPr>
      <w:r w:rsidRPr="00297D9B">
        <w:rPr>
          <w:rFonts w:ascii="Avenir Next" w:hAnsi="Avenir Next" w:cs="Arial"/>
          <w:color w:val="808080" w:themeColor="background1" w:themeShade="80"/>
          <w:sz w:val="22"/>
          <w:szCs w:val="22"/>
          <w:lang w:val="en-AU"/>
        </w:rPr>
        <w:lastRenderedPageBreak/>
        <w:t xml:space="preserve">The facts </w:t>
      </w:r>
      <w:r>
        <w:rPr>
          <w:rFonts w:ascii="Avenir Next" w:hAnsi="Avenir Next" w:cs="Arial"/>
          <w:color w:val="808080" w:themeColor="background1" w:themeShade="80"/>
          <w:sz w:val="22"/>
          <w:szCs w:val="22"/>
          <w:lang w:val="en-AU"/>
        </w:rPr>
        <w:t xml:space="preserve">do not brief me on what the tax treatment differences are between </w:t>
      </w:r>
      <w:proofErr w:type="spellStart"/>
      <w:r>
        <w:rPr>
          <w:rFonts w:ascii="Avenir Next" w:hAnsi="Avenir Next" w:cs="Arial"/>
          <w:color w:val="808080" w:themeColor="background1" w:themeShade="80"/>
          <w:sz w:val="22"/>
          <w:szCs w:val="22"/>
          <w:lang w:val="en-AU"/>
        </w:rPr>
        <w:t>Asgard</w:t>
      </w:r>
      <w:proofErr w:type="spellEnd"/>
      <w:r>
        <w:rPr>
          <w:rFonts w:ascii="Avenir Next" w:hAnsi="Avenir Next" w:cs="Arial"/>
          <w:color w:val="808080" w:themeColor="background1" w:themeShade="80"/>
          <w:sz w:val="22"/>
          <w:szCs w:val="22"/>
          <w:lang w:val="en-AU"/>
        </w:rPr>
        <w:t xml:space="preserve"> and Encanto. </w:t>
      </w:r>
      <w:r w:rsidR="00AA1B24">
        <w:rPr>
          <w:rFonts w:ascii="Avenir Next" w:hAnsi="Avenir Next" w:cs="Arial"/>
          <w:color w:val="808080" w:themeColor="background1" w:themeShade="80"/>
          <w:sz w:val="22"/>
          <w:szCs w:val="22"/>
          <w:lang w:val="en-AU"/>
        </w:rPr>
        <w:t xml:space="preserve">I would seek Lobo’s instructions (should same be required) to identify whether there are any tax benefits for Lobo in entering into an informal arrangement. </w:t>
      </w:r>
    </w:p>
    <w:p w14:paraId="62979FA2" w14:textId="0B2A6B02" w:rsidR="00AA1B24" w:rsidRDefault="00AA1B24" w:rsidP="00AA1B24">
      <w:pPr>
        <w:jc w:val="both"/>
        <w:rPr>
          <w:rFonts w:ascii="Avenir Next" w:hAnsi="Avenir Next" w:cs="Arial"/>
          <w:color w:val="808080" w:themeColor="background1" w:themeShade="80"/>
          <w:sz w:val="22"/>
          <w:szCs w:val="22"/>
          <w:lang w:val="en-AU"/>
        </w:rPr>
      </w:pPr>
    </w:p>
    <w:p w14:paraId="7557DCCD" w14:textId="43E8AA6C" w:rsidR="00AA1B24" w:rsidRDefault="00846C2D" w:rsidP="00AA1B24">
      <w:pPr>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Some of the major disadvantages that Lobo may face in conducting an informal negotiation may include:</w:t>
      </w:r>
      <w:r w:rsidR="003D299A">
        <w:rPr>
          <w:rStyle w:val="FootnoteReference"/>
          <w:rFonts w:ascii="Avenir Next" w:hAnsi="Avenir Next" w:cs="Arial"/>
          <w:color w:val="808080" w:themeColor="background1" w:themeShade="80"/>
          <w:sz w:val="22"/>
          <w:szCs w:val="22"/>
          <w:lang w:val="en-AU"/>
        </w:rPr>
        <w:footnoteReference w:id="82"/>
      </w:r>
    </w:p>
    <w:p w14:paraId="2AA02386" w14:textId="5C7F82E7" w:rsidR="00846C2D" w:rsidRPr="00B40733" w:rsidRDefault="00846C2D" w:rsidP="00AA1B24">
      <w:pPr>
        <w:jc w:val="both"/>
        <w:rPr>
          <w:rFonts w:ascii="Avenir Next" w:hAnsi="Avenir Next" w:cs="Arial"/>
          <w:color w:val="808080" w:themeColor="background1" w:themeShade="80"/>
          <w:sz w:val="14"/>
          <w:szCs w:val="14"/>
          <w:lang w:val="en-AU"/>
        </w:rPr>
      </w:pPr>
    </w:p>
    <w:p w14:paraId="29BF0A5E" w14:textId="5F9A7A80" w:rsidR="00B40733" w:rsidRPr="00B40733" w:rsidRDefault="006A1C6F"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not all creditors may wish to participate in the negotiations and may instead just commence insolvency proceedings. </w:t>
      </w:r>
      <w:r w:rsidR="00D04DA6">
        <w:rPr>
          <w:rFonts w:ascii="Avenir Next" w:hAnsi="Avenir Next" w:cs="Arial"/>
          <w:color w:val="808080" w:themeColor="background1" w:themeShade="80"/>
          <w:sz w:val="22"/>
          <w:szCs w:val="22"/>
          <w:lang w:val="en-AU"/>
        </w:rPr>
        <w:t>It will depend on Lobo’s priority position as a creditor</w:t>
      </w:r>
      <w:r w:rsidR="00BF462F">
        <w:rPr>
          <w:rFonts w:ascii="Avenir Next" w:hAnsi="Avenir Next" w:cs="Arial"/>
          <w:color w:val="808080" w:themeColor="background1" w:themeShade="80"/>
          <w:sz w:val="22"/>
          <w:szCs w:val="22"/>
          <w:lang w:val="en-AU"/>
        </w:rPr>
        <w:t>, whether it can influence other creditors to participate</w:t>
      </w:r>
      <w:r w:rsidR="00B40733">
        <w:rPr>
          <w:rFonts w:ascii="Avenir Next" w:hAnsi="Avenir Next" w:cs="Arial"/>
          <w:color w:val="808080" w:themeColor="background1" w:themeShade="80"/>
          <w:sz w:val="22"/>
          <w:szCs w:val="22"/>
          <w:lang w:val="en-AU"/>
        </w:rPr>
        <w:t>;</w:t>
      </w:r>
    </w:p>
    <w:p w14:paraId="22CDACBD" w14:textId="37D356C7" w:rsidR="00846C2D" w:rsidRDefault="00B40733"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a</w:t>
      </w:r>
      <w:r w:rsidR="00BF462F">
        <w:rPr>
          <w:rFonts w:ascii="Avenir Next" w:hAnsi="Avenir Next" w:cs="Arial"/>
          <w:color w:val="808080" w:themeColor="background1" w:themeShade="80"/>
          <w:sz w:val="22"/>
          <w:szCs w:val="22"/>
          <w:lang w:val="en-AU"/>
        </w:rPr>
        <w:t>n informal negotiation not agreed to by other creditors is not typically legally binding on the other creditors</w:t>
      </w:r>
      <w:r>
        <w:rPr>
          <w:rFonts w:ascii="Avenir Next" w:hAnsi="Avenir Next" w:cs="Arial"/>
          <w:color w:val="808080" w:themeColor="background1" w:themeShade="80"/>
          <w:sz w:val="22"/>
          <w:szCs w:val="22"/>
          <w:lang w:val="en-AU"/>
        </w:rPr>
        <w:t>;</w:t>
      </w:r>
    </w:p>
    <w:p w14:paraId="41B4CEC9" w14:textId="34EEB4FB" w:rsidR="00B40733" w:rsidRDefault="00B40733"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FPPL </w:t>
      </w:r>
      <w:r w:rsidR="0086546D">
        <w:rPr>
          <w:rFonts w:ascii="Avenir Next" w:hAnsi="Avenir Next" w:cs="Arial"/>
          <w:color w:val="808080" w:themeColor="background1" w:themeShade="80"/>
          <w:sz w:val="22"/>
          <w:szCs w:val="22"/>
          <w:lang w:val="en-AU"/>
        </w:rPr>
        <w:t xml:space="preserve">or other creditors </w:t>
      </w:r>
      <w:r>
        <w:rPr>
          <w:rFonts w:ascii="Avenir Next" w:hAnsi="Avenir Next" w:cs="Arial"/>
          <w:color w:val="808080" w:themeColor="background1" w:themeShade="80"/>
          <w:sz w:val="22"/>
          <w:szCs w:val="22"/>
          <w:lang w:val="en-AU"/>
        </w:rPr>
        <w:t xml:space="preserve">may not negotiate in good faith </w:t>
      </w:r>
      <w:r w:rsidR="00CD466D">
        <w:rPr>
          <w:rFonts w:ascii="Avenir Next" w:hAnsi="Avenir Next" w:cs="Arial"/>
          <w:color w:val="808080" w:themeColor="background1" w:themeShade="80"/>
          <w:sz w:val="22"/>
          <w:szCs w:val="22"/>
          <w:lang w:val="en-AU"/>
        </w:rPr>
        <w:t>or not disclose all pertinent information required by Lobo before it makes a decision to agree to a settlement offer;</w:t>
      </w:r>
    </w:p>
    <w:p w14:paraId="2037DE69" w14:textId="3EF193DF" w:rsidR="00375580" w:rsidRDefault="0086546D"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Lobo needs to be careful that by receiving a settlement payout (assuming the payment is from unsecured sources) </w:t>
      </w:r>
      <w:r w:rsidR="00A535B7">
        <w:rPr>
          <w:rFonts w:ascii="Avenir Next" w:hAnsi="Avenir Next" w:cs="Arial"/>
          <w:color w:val="808080" w:themeColor="background1" w:themeShade="80"/>
          <w:sz w:val="22"/>
          <w:szCs w:val="22"/>
          <w:lang w:val="en-AU"/>
        </w:rPr>
        <w:t>Lobo is</w:t>
      </w:r>
      <w:r w:rsidR="00D85A9C">
        <w:rPr>
          <w:rFonts w:ascii="Avenir Next" w:hAnsi="Avenir Next" w:cs="Arial"/>
          <w:color w:val="808080" w:themeColor="background1" w:themeShade="80"/>
          <w:sz w:val="22"/>
          <w:szCs w:val="22"/>
          <w:lang w:val="en-AU"/>
        </w:rPr>
        <w:t xml:space="preserve"> not</w:t>
      </w:r>
      <w:r>
        <w:rPr>
          <w:rFonts w:ascii="Avenir Next" w:hAnsi="Avenir Next" w:cs="Arial"/>
          <w:color w:val="808080" w:themeColor="background1" w:themeShade="80"/>
          <w:sz w:val="22"/>
          <w:szCs w:val="22"/>
          <w:lang w:val="en-AU"/>
        </w:rPr>
        <w:t xml:space="preserve"> </w:t>
      </w:r>
      <w:r w:rsidR="00A535B7">
        <w:rPr>
          <w:rFonts w:ascii="Avenir Next" w:hAnsi="Avenir Next" w:cs="Arial"/>
          <w:color w:val="808080" w:themeColor="background1" w:themeShade="80"/>
          <w:sz w:val="22"/>
          <w:szCs w:val="22"/>
          <w:lang w:val="en-AU"/>
        </w:rPr>
        <w:t>putting itself into a position of receiving a voidable transaction;</w:t>
      </w:r>
    </w:p>
    <w:p w14:paraId="54C2B477" w14:textId="65F5F77D" w:rsidR="00A535B7" w:rsidRDefault="00F94E8D"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Lobo may not know</w:t>
      </w:r>
      <w:r w:rsidR="003C5AF5">
        <w:rPr>
          <w:rFonts w:ascii="Avenir Next" w:hAnsi="Avenir Next" w:cs="Arial"/>
          <w:color w:val="808080" w:themeColor="background1" w:themeShade="80"/>
          <w:sz w:val="22"/>
          <w:szCs w:val="22"/>
          <w:lang w:val="en-AU"/>
        </w:rPr>
        <w:t>, or receive, the necessary financial information about FPPL before (or during) the negotiation to make an informed decision. This necessary financial information was described above in my answers;</w:t>
      </w:r>
    </w:p>
    <w:p w14:paraId="2824709F" w14:textId="7ABD1046" w:rsidR="003C5AF5" w:rsidRDefault="009E653D"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In the event FPPL defaults under the informal settlement agreement, Lobo’s recourse will generally be limited to the terms of the underlying agreement. It is important that Lobo, during the negotiation, makes use of as many </w:t>
      </w:r>
      <w:r w:rsidR="007C1AC9">
        <w:rPr>
          <w:rFonts w:ascii="Avenir Next" w:hAnsi="Avenir Next" w:cs="Arial"/>
          <w:color w:val="808080" w:themeColor="background1" w:themeShade="80"/>
          <w:sz w:val="22"/>
          <w:szCs w:val="22"/>
          <w:lang w:val="en-AU"/>
        </w:rPr>
        <w:t xml:space="preserve">security mechanisms as possible to protect its position. This may include, elevating its security position, seeking guarantees from third parties and/or directors (in the appropriate circumstances), seeking an upfront </w:t>
      </w:r>
      <w:r w:rsidR="008D7AE3">
        <w:rPr>
          <w:rFonts w:ascii="Avenir Next" w:hAnsi="Avenir Next" w:cs="Arial"/>
          <w:color w:val="808080" w:themeColor="background1" w:themeShade="80"/>
          <w:sz w:val="22"/>
          <w:szCs w:val="22"/>
          <w:lang w:val="en-AU"/>
        </w:rPr>
        <w:t xml:space="preserve">(partial) </w:t>
      </w:r>
      <w:r w:rsidR="007C1AC9">
        <w:rPr>
          <w:rFonts w:ascii="Avenir Next" w:hAnsi="Avenir Next" w:cs="Arial"/>
          <w:color w:val="808080" w:themeColor="background1" w:themeShade="80"/>
          <w:sz w:val="22"/>
          <w:szCs w:val="22"/>
          <w:lang w:val="en-AU"/>
        </w:rPr>
        <w:t>payment</w:t>
      </w:r>
      <w:r w:rsidR="008D7AE3">
        <w:rPr>
          <w:rFonts w:ascii="Avenir Next" w:hAnsi="Avenir Next" w:cs="Arial"/>
          <w:color w:val="808080" w:themeColor="background1" w:themeShade="80"/>
          <w:sz w:val="22"/>
          <w:szCs w:val="22"/>
          <w:lang w:val="en-AU"/>
        </w:rPr>
        <w:t xml:space="preserve">, </w:t>
      </w:r>
      <w:r w:rsidR="009D1FD6">
        <w:rPr>
          <w:rFonts w:ascii="Avenir Next" w:hAnsi="Avenir Next" w:cs="Arial"/>
          <w:color w:val="808080" w:themeColor="background1" w:themeShade="80"/>
          <w:sz w:val="22"/>
          <w:szCs w:val="22"/>
          <w:lang w:val="en-AU"/>
        </w:rPr>
        <w:t xml:space="preserve">or </w:t>
      </w:r>
      <w:r w:rsidR="008D7AE3">
        <w:rPr>
          <w:rFonts w:ascii="Avenir Next" w:hAnsi="Avenir Next" w:cs="Arial"/>
          <w:color w:val="808080" w:themeColor="background1" w:themeShade="80"/>
          <w:sz w:val="22"/>
          <w:szCs w:val="22"/>
          <w:lang w:val="en-AU"/>
        </w:rPr>
        <w:t>lodging caveats or other charging clauses against real or personal property</w:t>
      </w:r>
      <w:r w:rsidR="009D1FD6">
        <w:rPr>
          <w:rFonts w:ascii="Avenir Next" w:hAnsi="Avenir Next" w:cs="Arial"/>
          <w:color w:val="808080" w:themeColor="background1" w:themeShade="80"/>
          <w:sz w:val="22"/>
          <w:szCs w:val="22"/>
          <w:lang w:val="en-AU"/>
        </w:rPr>
        <w:t>, etc</w:t>
      </w:r>
      <w:r w:rsidR="00937567">
        <w:rPr>
          <w:rFonts w:ascii="Avenir Next" w:hAnsi="Avenir Next" w:cs="Arial"/>
          <w:color w:val="808080" w:themeColor="background1" w:themeShade="80"/>
          <w:sz w:val="22"/>
          <w:szCs w:val="22"/>
          <w:lang w:val="en-AU"/>
        </w:rPr>
        <w:t>;</w:t>
      </w:r>
    </w:p>
    <w:p w14:paraId="42265679" w14:textId="2FC97152" w:rsidR="00937567" w:rsidRDefault="00937567"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FPPL may not be able to rely upon moratoriums, stays </w:t>
      </w:r>
      <w:r w:rsidR="00F77393">
        <w:rPr>
          <w:rFonts w:ascii="Avenir Next" w:hAnsi="Avenir Next" w:cs="Arial"/>
          <w:color w:val="808080" w:themeColor="background1" w:themeShade="80"/>
          <w:sz w:val="22"/>
          <w:szCs w:val="22"/>
          <w:lang w:val="en-AU"/>
        </w:rPr>
        <w:t>of action and disclaimer rights that are normally available in formal insolvency proceedings;</w:t>
      </w:r>
    </w:p>
    <w:p w14:paraId="5E0D30C7" w14:textId="47E668E8" w:rsidR="00F77393" w:rsidRDefault="00E545FA" w:rsidP="008679DE">
      <w:pPr>
        <w:pStyle w:val="ListParagraph"/>
        <w:numPr>
          <w:ilvl w:val="0"/>
          <w:numId w:val="25"/>
        </w:numPr>
        <w:spacing w:after="60"/>
        <w:ind w:left="357" w:hanging="357"/>
        <w:contextualSpacing w:val="0"/>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FPPL may have creditors around the world, </w:t>
      </w:r>
      <w:r w:rsidR="009347C0">
        <w:rPr>
          <w:rFonts w:ascii="Avenir Next" w:hAnsi="Avenir Next" w:cs="Arial"/>
          <w:color w:val="808080" w:themeColor="background1" w:themeShade="80"/>
          <w:sz w:val="22"/>
          <w:szCs w:val="22"/>
          <w:lang w:val="en-AU"/>
        </w:rPr>
        <w:t>any of whom may commence proceedings at any time in their locality to collect said debt</w:t>
      </w:r>
      <w:r w:rsidR="008679DE">
        <w:rPr>
          <w:rFonts w:ascii="Avenir Next" w:hAnsi="Avenir Next" w:cs="Arial"/>
          <w:color w:val="808080" w:themeColor="background1" w:themeShade="80"/>
          <w:sz w:val="22"/>
          <w:szCs w:val="22"/>
          <w:lang w:val="en-AU"/>
        </w:rPr>
        <w:t>; and</w:t>
      </w:r>
    </w:p>
    <w:p w14:paraId="60E87F8B" w14:textId="428F1EC1" w:rsidR="00987C47" w:rsidRDefault="00987C47" w:rsidP="00846C2D">
      <w:pPr>
        <w:pStyle w:val="ListParagraph"/>
        <w:numPr>
          <w:ilvl w:val="0"/>
          <w:numId w:val="25"/>
        </w:numPr>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FPPL may be deemed to have a Centre of Main Interest (</w:t>
      </w:r>
      <w:r w:rsidRPr="009347C0">
        <w:rPr>
          <w:rFonts w:ascii="Avenir Next" w:hAnsi="Avenir Next" w:cs="Arial"/>
          <w:b/>
          <w:bCs/>
          <w:color w:val="808080" w:themeColor="background1" w:themeShade="80"/>
          <w:sz w:val="22"/>
          <w:szCs w:val="22"/>
          <w:lang w:val="en-AU"/>
        </w:rPr>
        <w:t>COMI</w:t>
      </w:r>
      <w:r>
        <w:rPr>
          <w:rFonts w:ascii="Avenir Next" w:hAnsi="Avenir Next" w:cs="Arial"/>
          <w:color w:val="808080" w:themeColor="background1" w:themeShade="80"/>
          <w:sz w:val="22"/>
          <w:szCs w:val="22"/>
          <w:lang w:val="en-AU"/>
        </w:rPr>
        <w:t xml:space="preserve">) in another part of the world separate to </w:t>
      </w:r>
      <w:proofErr w:type="spellStart"/>
      <w:r w:rsidR="009347C0">
        <w:rPr>
          <w:rFonts w:ascii="Avenir Next" w:hAnsi="Avenir Next" w:cs="Arial"/>
          <w:color w:val="808080" w:themeColor="background1" w:themeShade="80"/>
          <w:sz w:val="22"/>
          <w:szCs w:val="22"/>
          <w:lang w:val="en-AU"/>
        </w:rPr>
        <w:t>Asgard</w:t>
      </w:r>
      <w:proofErr w:type="spellEnd"/>
      <w:r w:rsidR="009347C0">
        <w:rPr>
          <w:rFonts w:ascii="Avenir Next" w:hAnsi="Avenir Next" w:cs="Arial"/>
          <w:color w:val="808080" w:themeColor="background1" w:themeShade="80"/>
          <w:sz w:val="22"/>
          <w:szCs w:val="22"/>
          <w:lang w:val="en-AU"/>
        </w:rPr>
        <w:t xml:space="preserve"> or Encanto.</w:t>
      </w:r>
    </w:p>
    <w:p w14:paraId="6892D8F0" w14:textId="26085013" w:rsidR="00CD466D" w:rsidRDefault="00CD466D" w:rsidP="00375580">
      <w:pPr>
        <w:jc w:val="both"/>
        <w:rPr>
          <w:rFonts w:ascii="Avenir Next" w:hAnsi="Avenir Next" w:cs="Arial"/>
          <w:color w:val="808080" w:themeColor="background1" w:themeShade="80"/>
          <w:sz w:val="22"/>
          <w:szCs w:val="22"/>
          <w:lang w:val="en-AU"/>
        </w:rPr>
      </w:pPr>
    </w:p>
    <w:p w14:paraId="27F4B089" w14:textId="2FD90088" w:rsidR="008679DE" w:rsidRDefault="008679DE" w:rsidP="00375580">
      <w:pPr>
        <w:jc w:val="both"/>
        <w:rPr>
          <w:rFonts w:ascii="Avenir Next" w:hAnsi="Avenir Next" w:cs="Arial"/>
          <w:color w:val="808080" w:themeColor="background1" w:themeShade="80"/>
          <w:sz w:val="22"/>
          <w:szCs w:val="22"/>
          <w:lang w:val="en-AU"/>
        </w:rPr>
      </w:pPr>
      <w:r>
        <w:rPr>
          <w:rFonts w:ascii="Avenir Next" w:hAnsi="Avenir Next" w:cs="Arial"/>
          <w:color w:val="808080" w:themeColor="background1" w:themeShade="80"/>
          <w:sz w:val="22"/>
          <w:szCs w:val="22"/>
          <w:lang w:val="en-AU"/>
        </w:rPr>
        <w:t xml:space="preserve">Some examples of possible benefits to Lobo in undertaking these informal negotiations include: elevation of security position (through a formal settlement agreement with appropriate charging clauses), reduced costs, potential to continue trading with FPPL, </w:t>
      </w:r>
      <w:r w:rsidR="00FC343B">
        <w:rPr>
          <w:rFonts w:ascii="Avenir Next" w:hAnsi="Avenir Next" w:cs="Arial"/>
          <w:color w:val="808080" w:themeColor="background1" w:themeShade="80"/>
          <w:sz w:val="22"/>
          <w:szCs w:val="22"/>
          <w:lang w:val="en-AU"/>
        </w:rPr>
        <w:t xml:space="preserve">less likelihood that insolvency representatives will effectively expend the assets of FPPL on fees and costs </w:t>
      </w:r>
      <w:r w:rsidR="00D4112B">
        <w:rPr>
          <w:rFonts w:ascii="Avenir Next" w:hAnsi="Avenir Next" w:cs="Arial"/>
          <w:color w:val="808080" w:themeColor="background1" w:themeShade="80"/>
          <w:sz w:val="22"/>
          <w:szCs w:val="22"/>
          <w:lang w:val="en-AU"/>
        </w:rPr>
        <w:t>d</w:t>
      </w:r>
      <w:r w:rsidR="00FC343B">
        <w:rPr>
          <w:rFonts w:ascii="Avenir Next" w:hAnsi="Avenir Next" w:cs="Arial"/>
          <w:color w:val="808080" w:themeColor="background1" w:themeShade="80"/>
          <w:sz w:val="22"/>
          <w:szCs w:val="22"/>
          <w:lang w:val="en-AU"/>
        </w:rPr>
        <w:t xml:space="preserve">uring the external administration, </w:t>
      </w:r>
      <w:r w:rsidR="00557F65">
        <w:rPr>
          <w:rFonts w:ascii="Avenir Next" w:hAnsi="Avenir Next" w:cs="Arial"/>
          <w:color w:val="808080" w:themeColor="background1" w:themeShade="80"/>
          <w:sz w:val="22"/>
          <w:szCs w:val="22"/>
          <w:lang w:val="en-AU"/>
        </w:rPr>
        <w:t xml:space="preserve">reduce the stigma attached to insolvency proceedings, and the flexibility that comes with negotiating a </w:t>
      </w:r>
      <w:r w:rsidR="005F437C">
        <w:rPr>
          <w:rFonts w:ascii="Avenir Next" w:hAnsi="Avenir Next" w:cs="Arial"/>
          <w:color w:val="808080" w:themeColor="background1" w:themeShade="80"/>
          <w:sz w:val="22"/>
          <w:szCs w:val="22"/>
          <w:lang w:val="en-AU"/>
        </w:rPr>
        <w:t>WATNA/BATNA.</w:t>
      </w:r>
      <w:r w:rsidR="005F437C">
        <w:rPr>
          <w:rStyle w:val="FootnoteReference"/>
          <w:rFonts w:ascii="Avenir Next" w:hAnsi="Avenir Next" w:cs="Arial"/>
          <w:color w:val="808080" w:themeColor="background1" w:themeShade="80"/>
          <w:sz w:val="22"/>
          <w:szCs w:val="22"/>
          <w:lang w:val="en-AU"/>
        </w:rPr>
        <w:footnoteReference w:id="83"/>
      </w:r>
    </w:p>
    <w:p w14:paraId="50F5DDC8" w14:textId="77777777" w:rsidR="00F844DC" w:rsidRPr="004216EA" w:rsidRDefault="00F844DC" w:rsidP="00297D9B">
      <w:pPr>
        <w:ind w:left="426"/>
        <w:jc w:val="both"/>
        <w:rPr>
          <w:rFonts w:ascii="Avenir Next" w:hAnsi="Avenir Next" w:cs="Arial"/>
          <w:sz w:val="22"/>
          <w:szCs w:val="22"/>
          <w:lang w:val="en-GB"/>
        </w:rPr>
      </w:pPr>
    </w:p>
    <w:p w14:paraId="541A9A8F" w14:textId="77777777" w:rsidR="009A2B27" w:rsidRDefault="009A2B27">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77D9CF90" w14:textId="2B4012B6"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891A0D1" w14:textId="193CE0DB" w:rsidR="00CE1C0E" w:rsidRDefault="004962FC" w:rsidP="004258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Typically</w:t>
      </w:r>
      <w:r w:rsidR="0044074D">
        <w:rPr>
          <w:rFonts w:ascii="Avenir Next" w:hAnsi="Avenir Next" w:cs="Arial"/>
          <w:color w:val="808080" w:themeColor="background1" w:themeShade="80"/>
          <w:sz w:val="22"/>
          <w:szCs w:val="22"/>
          <w:lang w:val="en-GB"/>
        </w:rPr>
        <w:t xml:space="preserve">, </w:t>
      </w:r>
      <w:r w:rsidR="0052483F">
        <w:rPr>
          <w:rFonts w:ascii="Avenir Next" w:hAnsi="Avenir Next" w:cs="Arial"/>
          <w:color w:val="808080" w:themeColor="background1" w:themeShade="80"/>
          <w:sz w:val="22"/>
          <w:szCs w:val="22"/>
          <w:lang w:val="en-GB"/>
        </w:rPr>
        <w:t>a secondary</w:t>
      </w:r>
      <w:r w:rsidR="006D3DF6">
        <w:rPr>
          <w:rFonts w:ascii="Avenir Next" w:hAnsi="Avenir Next" w:cs="Arial"/>
          <w:color w:val="808080" w:themeColor="background1" w:themeShade="80"/>
          <w:sz w:val="22"/>
          <w:szCs w:val="22"/>
          <w:lang w:val="en-GB"/>
        </w:rPr>
        <w:t xml:space="preserve"> insolvency proceeding</w:t>
      </w:r>
      <w:r w:rsidR="006D3DF6">
        <w:rPr>
          <w:rStyle w:val="FootnoteReference"/>
          <w:rFonts w:ascii="Avenir Next" w:hAnsi="Avenir Next" w:cs="Arial"/>
          <w:color w:val="808080" w:themeColor="background1" w:themeShade="80"/>
          <w:sz w:val="22"/>
          <w:szCs w:val="22"/>
          <w:lang w:val="en-GB"/>
        </w:rPr>
        <w:footnoteReference w:id="84"/>
      </w:r>
      <w:r w:rsidR="0044074D">
        <w:rPr>
          <w:rFonts w:ascii="Avenir Next" w:hAnsi="Avenir Next" w:cs="Arial"/>
          <w:color w:val="808080" w:themeColor="background1" w:themeShade="80"/>
          <w:sz w:val="22"/>
          <w:szCs w:val="22"/>
          <w:lang w:val="en-GB"/>
        </w:rPr>
        <w:t xml:space="preserve"> </w:t>
      </w:r>
      <w:r w:rsidR="0052483F">
        <w:rPr>
          <w:rFonts w:ascii="Avenir Next" w:hAnsi="Avenir Next" w:cs="Arial"/>
          <w:color w:val="808080" w:themeColor="background1" w:themeShade="80"/>
          <w:sz w:val="22"/>
          <w:szCs w:val="22"/>
          <w:lang w:val="en-GB"/>
        </w:rPr>
        <w:t xml:space="preserve">(like that commenced </w:t>
      </w:r>
      <w:r w:rsidR="0044074D">
        <w:rPr>
          <w:rFonts w:ascii="Avenir Next" w:hAnsi="Avenir Next" w:cs="Arial"/>
          <w:color w:val="808080" w:themeColor="background1" w:themeShade="80"/>
          <w:sz w:val="22"/>
          <w:szCs w:val="22"/>
          <w:lang w:val="en-GB"/>
        </w:rPr>
        <w:t xml:space="preserve">in </w:t>
      </w:r>
      <w:proofErr w:type="spellStart"/>
      <w:r w:rsidR="0052483F">
        <w:rPr>
          <w:rFonts w:ascii="Avenir Next" w:hAnsi="Avenir Next" w:cs="Arial"/>
          <w:color w:val="808080" w:themeColor="background1" w:themeShade="80"/>
          <w:sz w:val="22"/>
          <w:szCs w:val="22"/>
          <w:lang w:val="en-GB"/>
        </w:rPr>
        <w:t>Asgard</w:t>
      </w:r>
      <w:proofErr w:type="spellEnd"/>
      <w:r w:rsidR="0052483F">
        <w:rPr>
          <w:rFonts w:ascii="Avenir Next" w:hAnsi="Avenir Next" w:cs="Arial"/>
          <w:color w:val="808080" w:themeColor="background1" w:themeShade="80"/>
          <w:sz w:val="22"/>
          <w:szCs w:val="22"/>
          <w:lang w:val="en-GB"/>
        </w:rPr>
        <w:t xml:space="preserve">) </w:t>
      </w:r>
      <w:r w:rsidR="004258D6">
        <w:rPr>
          <w:rFonts w:ascii="Avenir Next" w:hAnsi="Avenir Next" w:cs="Arial"/>
          <w:color w:val="808080" w:themeColor="background1" w:themeShade="80"/>
          <w:sz w:val="22"/>
          <w:szCs w:val="22"/>
          <w:lang w:val="en-GB"/>
        </w:rPr>
        <w:t>may be commenced where the State of the primary insolvency proceeding (like that in Encanto) does not follow a universality</w:t>
      </w:r>
      <w:r w:rsidR="00CA7A18">
        <w:rPr>
          <w:rStyle w:val="FootnoteReference"/>
          <w:rFonts w:ascii="Avenir Next" w:hAnsi="Avenir Next" w:cs="Arial"/>
          <w:color w:val="808080" w:themeColor="background1" w:themeShade="80"/>
          <w:sz w:val="22"/>
          <w:szCs w:val="22"/>
          <w:lang w:val="en-GB"/>
        </w:rPr>
        <w:footnoteReference w:id="85"/>
      </w:r>
      <w:r w:rsidR="004258D6">
        <w:rPr>
          <w:rFonts w:ascii="Avenir Next" w:hAnsi="Avenir Next" w:cs="Arial"/>
          <w:color w:val="808080" w:themeColor="background1" w:themeShade="80"/>
          <w:sz w:val="22"/>
          <w:szCs w:val="22"/>
          <w:lang w:val="en-GB"/>
        </w:rPr>
        <w:t xml:space="preserve"> approach to</w:t>
      </w:r>
      <w:r w:rsidR="00CA7A18">
        <w:rPr>
          <w:rFonts w:ascii="Avenir Next" w:hAnsi="Avenir Next" w:cs="Arial"/>
          <w:color w:val="808080" w:themeColor="background1" w:themeShade="80"/>
          <w:sz w:val="22"/>
          <w:szCs w:val="22"/>
          <w:lang w:val="en-GB"/>
        </w:rPr>
        <w:t xml:space="preserve"> dealing with cross-border insolvency disputes</w:t>
      </w:r>
      <w:r w:rsidR="0051101C">
        <w:rPr>
          <w:rFonts w:ascii="Avenir Next" w:hAnsi="Avenir Next" w:cs="Arial"/>
          <w:color w:val="808080" w:themeColor="background1" w:themeShade="80"/>
          <w:sz w:val="22"/>
          <w:szCs w:val="22"/>
          <w:lang w:val="en-GB"/>
        </w:rPr>
        <w:t xml:space="preserve">. </w:t>
      </w:r>
      <w:r w:rsidR="00C126F5">
        <w:rPr>
          <w:rFonts w:ascii="Avenir Next" w:hAnsi="Avenir Next" w:cs="Arial"/>
          <w:color w:val="808080" w:themeColor="background1" w:themeShade="80"/>
          <w:sz w:val="22"/>
          <w:szCs w:val="22"/>
          <w:lang w:val="en-GB"/>
        </w:rPr>
        <w:t>It may also be that FPPL failed to inform the Courts of Encanto or the Encanto Liquidator</w:t>
      </w:r>
      <w:r w:rsidR="00C126F5">
        <w:rPr>
          <w:rStyle w:val="FootnoteReference"/>
          <w:rFonts w:ascii="Avenir Next" w:hAnsi="Avenir Next" w:cs="Arial"/>
          <w:color w:val="808080" w:themeColor="background1" w:themeShade="80"/>
          <w:sz w:val="22"/>
          <w:szCs w:val="22"/>
          <w:lang w:val="en-GB"/>
        </w:rPr>
        <w:footnoteReference w:id="86"/>
      </w:r>
      <w:r w:rsidR="00C126F5">
        <w:rPr>
          <w:rFonts w:ascii="Avenir Next" w:hAnsi="Avenir Next" w:cs="Arial"/>
          <w:color w:val="808080" w:themeColor="background1" w:themeShade="80"/>
          <w:sz w:val="22"/>
          <w:szCs w:val="22"/>
          <w:lang w:val="en-GB"/>
        </w:rPr>
        <w:t xml:space="preserve"> </w:t>
      </w:r>
      <w:r w:rsidR="00A160E3">
        <w:rPr>
          <w:rFonts w:ascii="Avenir Next" w:hAnsi="Avenir Next" w:cs="Arial"/>
          <w:color w:val="808080" w:themeColor="background1" w:themeShade="80"/>
          <w:sz w:val="22"/>
          <w:szCs w:val="22"/>
          <w:lang w:val="en-GB"/>
        </w:rPr>
        <w:t xml:space="preserve">as to the debt owed to Lobo in </w:t>
      </w:r>
      <w:proofErr w:type="spellStart"/>
      <w:r w:rsidR="00A160E3">
        <w:rPr>
          <w:rFonts w:ascii="Avenir Next" w:hAnsi="Avenir Next" w:cs="Arial"/>
          <w:color w:val="808080" w:themeColor="background1" w:themeShade="80"/>
          <w:sz w:val="22"/>
          <w:szCs w:val="22"/>
          <w:lang w:val="en-GB"/>
        </w:rPr>
        <w:t>Asgard</w:t>
      </w:r>
      <w:proofErr w:type="spellEnd"/>
      <w:r w:rsidR="00A160E3">
        <w:rPr>
          <w:rFonts w:ascii="Avenir Next" w:hAnsi="Avenir Next" w:cs="Arial"/>
          <w:color w:val="808080" w:themeColor="background1" w:themeShade="80"/>
          <w:sz w:val="22"/>
          <w:szCs w:val="22"/>
          <w:lang w:val="en-GB"/>
        </w:rPr>
        <w:t>.</w:t>
      </w:r>
      <w:r w:rsidR="00C600CE">
        <w:rPr>
          <w:rStyle w:val="FootnoteReference"/>
          <w:rFonts w:ascii="Avenir Next" w:hAnsi="Avenir Next" w:cs="Arial"/>
          <w:color w:val="808080" w:themeColor="background1" w:themeShade="80"/>
          <w:sz w:val="22"/>
          <w:szCs w:val="22"/>
          <w:lang w:val="en-GB"/>
        </w:rPr>
        <w:footnoteReference w:id="87"/>
      </w:r>
      <w:r w:rsidR="00834763">
        <w:rPr>
          <w:rFonts w:ascii="Avenir Next" w:hAnsi="Avenir Next" w:cs="Arial"/>
          <w:color w:val="808080" w:themeColor="background1" w:themeShade="80"/>
          <w:sz w:val="22"/>
          <w:szCs w:val="22"/>
          <w:lang w:val="en-GB"/>
        </w:rPr>
        <w:t xml:space="preserve"> </w:t>
      </w:r>
    </w:p>
    <w:p w14:paraId="07EB9A69" w14:textId="77777777" w:rsidR="00CE1C0E" w:rsidRDefault="00CE1C0E" w:rsidP="004258D6">
      <w:pPr>
        <w:jc w:val="both"/>
        <w:rPr>
          <w:rFonts w:ascii="Avenir Next" w:hAnsi="Avenir Next" w:cs="Arial"/>
          <w:color w:val="808080" w:themeColor="background1" w:themeShade="80"/>
          <w:sz w:val="22"/>
          <w:szCs w:val="22"/>
          <w:lang w:val="en-GB"/>
        </w:rPr>
      </w:pPr>
    </w:p>
    <w:p w14:paraId="16C41B21" w14:textId="25B41C0A" w:rsidR="001E1C34" w:rsidRDefault="007E45CA" w:rsidP="004258D6">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Assuming that Encanto (and/or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does not adopt a</w:t>
      </w:r>
      <w:r w:rsidR="008D04D9">
        <w:rPr>
          <w:rFonts w:ascii="Avenir Next" w:hAnsi="Avenir Next" w:cs="Arial"/>
          <w:color w:val="808080" w:themeColor="background1" w:themeShade="80"/>
          <w:sz w:val="22"/>
          <w:szCs w:val="22"/>
          <w:lang w:val="en-GB"/>
        </w:rPr>
        <w:t>n approach of</w:t>
      </w:r>
      <w:r>
        <w:rPr>
          <w:rFonts w:ascii="Avenir Next" w:hAnsi="Avenir Next" w:cs="Arial"/>
          <w:color w:val="808080" w:themeColor="background1" w:themeShade="80"/>
          <w:sz w:val="22"/>
          <w:szCs w:val="22"/>
          <w:lang w:val="en-GB"/>
        </w:rPr>
        <w:t xml:space="preserve"> universality or </w:t>
      </w:r>
      <w:r w:rsidR="009F3494">
        <w:rPr>
          <w:rFonts w:ascii="Avenir Next" w:hAnsi="Avenir Next" w:cs="Arial"/>
          <w:color w:val="808080" w:themeColor="background1" w:themeShade="80"/>
          <w:sz w:val="22"/>
          <w:szCs w:val="22"/>
          <w:lang w:val="en-GB"/>
        </w:rPr>
        <w:t>modified universalism</w:t>
      </w:r>
      <w:r w:rsidR="009F3494">
        <w:rPr>
          <w:rStyle w:val="FootnoteReference"/>
          <w:rFonts w:ascii="Avenir Next" w:hAnsi="Avenir Next" w:cs="Arial"/>
          <w:color w:val="808080" w:themeColor="background1" w:themeShade="80"/>
          <w:sz w:val="22"/>
          <w:szCs w:val="22"/>
          <w:lang w:val="en-GB"/>
        </w:rPr>
        <w:footnoteReference w:id="88"/>
      </w:r>
      <w:r w:rsidR="009F3494">
        <w:rPr>
          <w:rFonts w:ascii="Avenir Next" w:hAnsi="Avenir Next" w:cs="Arial"/>
          <w:color w:val="808080" w:themeColor="background1" w:themeShade="80"/>
          <w:sz w:val="22"/>
          <w:szCs w:val="22"/>
          <w:lang w:val="en-GB"/>
        </w:rPr>
        <w:t xml:space="preserve"> than it may be that they adopt a territoriali</w:t>
      </w:r>
      <w:r w:rsidR="008D04D9">
        <w:rPr>
          <w:rFonts w:ascii="Avenir Next" w:hAnsi="Avenir Next" w:cs="Arial"/>
          <w:color w:val="808080" w:themeColor="background1" w:themeShade="80"/>
          <w:sz w:val="22"/>
          <w:szCs w:val="22"/>
          <w:lang w:val="en-GB"/>
        </w:rPr>
        <w:t xml:space="preserve">ty approach. </w:t>
      </w:r>
      <w:r w:rsidR="002A7856">
        <w:rPr>
          <w:rFonts w:ascii="Avenir Next" w:hAnsi="Avenir Next" w:cs="Arial"/>
          <w:color w:val="7B7B7B" w:themeColor="accent3" w:themeShade="BF"/>
          <w:sz w:val="22"/>
          <w:szCs w:val="22"/>
          <w:lang w:val="en-GB"/>
        </w:rPr>
        <w:t xml:space="preserve">Territoriality is a theory in which </w:t>
      </w:r>
      <w:r w:rsidR="005077CE">
        <w:rPr>
          <w:rFonts w:ascii="Avenir Next" w:hAnsi="Avenir Next" w:cs="Arial"/>
          <w:color w:val="7B7B7B" w:themeColor="accent3" w:themeShade="BF"/>
          <w:sz w:val="22"/>
          <w:szCs w:val="22"/>
          <w:lang w:val="en-GB"/>
        </w:rPr>
        <w:t>States</w:t>
      </w:r>
      <w:r w:rsidR="002A7856">
        <w:rPr>
          <w:rFonts w:ascii="Avenir Next" w:hAnsi="Avenir Next" w:cs="Arial"/>
          <w:color w:val="7B7B7B" w:themeColor="accent3" w:themeShade="BF"/>
          <w:sz w:val="22"/>
          <w:szCs w:val="22"/>
          <w:lang w:val="en-GB"/>
        </w:rPr>
        <w:t xml:space="preserve"> retain plenary power over all local assets and creditors and can mean that multiple insolvency proceedings are required in different jurisdictions. Westbrook remarked that territoriality was akin to a “</w:t>
      </w:r>
      <w:r w:rsidR="002A7856" w:rsidRPr="00992690">
        <w:rPr>
          <w:rFonts w:ascii="Avenir Next" w:hAnsi="Avenir Next" w:cs="Arial"/>
          <w:i/>
          <w:iCs/>
          <w:color w:val="7B7B7B" w:themeColor="accent3" w:themeShade="BF"/>
          <w:sz w:val="22"/>
          <w:szCs w:val="22"/>
          <w:lang w:val="en-GB"/>
        </w:rPr>
        <w:t>self-serving … international free-for-all</w:t>
      </w:r>
      <w:r w:rsidR="002A7856">
        <w:rPr>
          <w:rFonts w:ascii="Avenir Next" w:hAnsi="Avenir Next" w:cs="Arial"/>
          <w:color w:val="7B7B7B" w:themeColor="accent3" w:themeShade="BF"/>
          <w:sz w:val="22"/>
          <w:szCs w:val="22"/>
          <w:lang w:val="en-GB"/>
        </w:rPr>
        <w:t>.”</w:t>
      </w:r>
      <w:r w:rsidR="002A7856">
        <w:rPr>
          <w:rStyle w:val="FootnoteReference"/>
          <w:rFonts w:ascii="Avenir Next" w:hAnsi="Avenir Next" w:cs="Arial"/>
          <w:color w:val="7B7B7B" w:themeColor="accent3" w:themeShade="BF"/>
          <w:sz w:val="22"/>
          <w:szCs w:val="22"/>
          <w:lang w:val="en-GB"/>
        </w:rPr>
        <w:footnoteReference w:id="89"/>
      </w:r>
      <w:r w:rsidR="002A7856">
        <w:rPr>
          <w:rFonts w:ascii="Avenir Next" w:hAnsi="Avenir Next" w:cs="Arial"/>
          <w:color w:val="7B7B7B" w:themeColor="accent3" w:themeShade="BF"/>
          <w:sz w:val="22"/>
          <w:szCs w:val="22"/>
          <w:lang w:val="en-GB"/>
        </w:rPr>
        <w:t xml:space="preserve"> </w:t>
      </w:r>
    </w:p>
    <w:p w14:paraId="62F595B1" w14:textId="027C8AE2" w:rsidR="002A7856" w:rsidRDefault="002A7856" w:rsidP="004258D6">
      <w:pPr>
        <w:jc w:val="both"/>
        <w:rPr>
          <w:rFonts w:ascii="Avenir Next" w:hAnsi="Avenir Next" w:cs="Arial"/>
          <w:color w:val="7B7B7B" w:themeColor="accent3" w:themeShade="BF"/>
          <w:sz w:val="22"/>
          <w:szCs w:val="22"/>
          <w:lang w:val="en-GB"/>
        </w:rPr>
      </w:pPr>
    </w:p>
    <w:p w14:paraId="7EE8C2EF" w14:textId="66C57B1A" w:rsidR="002A7856" w:rsidRDefault="00B54238" w:rsidP="004258D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factual matrix does not provide any information regarding </w:t>
      </w:r>
      <w:r w:rsidR="00BB278E">
        <w:rPr>
          <w:rFonts w:ascii="Avenir Next" w:hAnsi="Avenir Next" w:cs="Arial"/>
          <w:color w:val="7B7B7B" w:themeColor="accent3" w:themeShade="BF"/>
          <w:sz w:val="22"/>
          <w:szCs w:val="22"/>
          <w:lang w:val="en-GB"/>
        </w:rPr>
        <w:t xml:space="preserve">whether either </w:t>
      </w:r>
      <w:proofErr w:type="spellStart"/>
      <w:r w:rsidR="00BB278E">
        <w:rPr>
          <w:rFonts w:ascii="Avenir Next" w:hAnsi="Avenir Next" w:cs="Arial"/>
          <w:color w:val="7B7B7B" w:themeColor="accent3" w:themeShade="BF"/>
          <w:sz w:val="22"/>
          <w:szCs w:val="22"/>
          <w:lang w:val="en-GB"/>
        </w:rPr>
        <w:t>Asgard</w:t>
      </w:r>
      <w:proofErr w:type="spellEnd"/>
      <w:r w:rsidR="00BB278E">
        <w:rPr>
          <w:rFonts w:ascii="Avenir Next" w:hAnsi="Avenir Next" w:cs="Arial"/>
          <w:color w:val="7B7B7B" w:themeColor="accent3" w:themeShade="BF"/>
          <w:sz w:val="22"/>
          <w:szCs w:val="22"/>
          <w:lang w:val="en-GB"/>
        </w:rPr>
        <w:t xml:space="preserve"> or Encanto adopt </w:t>
      </w:r>
      <w:r w:rsidR="00E339D4">
        <w:rPr>
          <w:rFonts w:ascii="Avenir Next" w:hAnsi="Avenir Next" w:cs="Arial"/>
          <w:color w:val="7B7B7B" w:themeColor="accent3" w:themeShade="BF"/>
          <w:sz w:val="22"/>
          <w:szCs w:val="22"/>
          <w:lang w:val="en-GB"/>
        </w:rPr>
        <w:t>any of</w:t>
      </w:r>
      <w:r w:rsidR="00BB278E">
        <w:rPr>
          <w:rFonts w:ascii="Avenir Next" w:hAnsi="Avenir Next" w:cs="Arial"/>
          <w:color w:val="7B7B7B" w:themeColor="accent3" w:themeShade="BF"/>
          <w:sz w:val="22"/>
          <w:szCs w:val="22"/>
          <w:lang w:val="en-GB"/>
        </w:rPr>
        <w:t xml:space="preserve"> the universality</w:t>
      </w:r>
      <w:r w:rsidR="003577A9">
        <w:rPr>
          <w:rFonts w:ascii="Avenir Next" w:hAnsi="Avenir Next" w:cs="Arial"/>
          <w:color w:val="7B7B7B" w:themeColor="accent3" w:themeShade="BF"/>
          <w:sz w:val="22"/>
          <w:szCs w:val="22"/>
          <w:lang w:val="en-GB"/>
        </w:rPr>
        <w:t xml:space="preserve">, </w:t>
      </w:r>
      <w:r w:rsidR="003577A9">
        <w:rPr>
          <w:rFonts w:ascii="Avenir Next" w:hAnsi="Avenir Next" w:cs="Arial"/>
          <w:color w:val="808080" w:themeColor="background1" w:themeShade="80"/>
          <w:sz w:val="22"/>
          <w:szCs w:val="22"/>
          <w:lang w:val="en-GB"/>
        </w:rPr>
        <w:t>modified universalism</w:t>
      </w:r>
      <w:r w:rsidR="00BB278E">
        <w:rPr>
          <w:rFonts w:ascii="Avenir Next" w:hAnsi="Avenir Next" w:cs="Arial"/>
          <w:color w:val="7B7B7B" w:themeColor="accent3" w:themeShade="BF"/>
          <w:sz w:val="22"/>
          <w:szCs w:val="22"/>
          <w:lang w:val="en-GB"/>
        </w:rPr>
        <w:t xml:space="preserve"> or territoriality </w:t>
      </w:r>
      <w:r w:rsidR="000C2C7F">
        <w:rPr>
          <w:rFonts w:ascii="Avenir Next" w:hAnsi="Avenir Next" w:cs="Arial"/>
          <w:color w:val="7B7B7B" w:themeColor="accent3" w:themeShade="BF"/>
          <w:sz w:val="22"/>
          <w:szCs w:val="22"/>
          <w:lang w:val="en-GB"/>
        </w:rPr>
        <w:t xml:space="preserve">theories to cross-border insolvency. I would seek instructions from Lobo to conduct an examination of the legislative frameworks of each State’s </w:t>
      </w:r>
      <w:r w:rsidR="00E077E9">
        <w:rPr>
          <w:rFonts w:ascii="Avenir Next" w:hAnsi="Avenir Next" w:cs="Arial"/>
          <w:color w:val="7B7B7B" w:themeColor="accent3" w:themeShade="BF"/>
          <w:sz w:val="22"/>
          <w:szCs w:val="22"/>
          <w:lang w:val="en-GB"/>
        </w:rPr>
        <w:t xml:space="preserve">cross-border insolvency laws (if any). </w:t>
      </w:r>
    </w:p>
    <w:p w14:paraId="41108CC8" w14:textId="32F5A38F" w:rsidR="00ED3055" w:rsidRDefault="00ED3055" w:rsidP="004258D6">
      <w:pPr>
        <w:jc w:val="both"/>
        <w:rPr>
          <w:rFonts w:ascii="Avenir Next" w:hAnsi="Avenir Next" w:cs="Arial"/>
          <w:color w:val="7B7B7B" w:themeColor="accent3" w:themeShade="BF"/>
          <w:sz w:val="22"/>
          <w:szCs w:val="22"/>
          <w:lang w:val="en-GB"/>
        </w:rPr>
      </w:pPr>
    </w:p>
    <w:p w14:paraId="149062B1" w14:textId="7FD8A380" w:rsidR="00ED3055" w:rsidRDefault="007B07FB" w:rsidP="004258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the unknown nature of </w:t>
      </w:r>
      <w:proofErr w:type="spellStart"/>
      <w:r>
        <w:rPr>
          <w:rFonts w:ascii="Avenir Next" w:hAnsi="Avenir Next" w:cs="Arial"/>
          <w:color w:val="808080" w:themeColor="background1" w:themeShade="80"/>
          <w:sz w:val="22"/>
          <w:szCs w:val="22"/>
          <w:lang w:val="en-GB"/>
        </w:rPr>
        <w:t>Asgard’s</w:t>
      </w:r>
      <w:proofErr w:type="spellEnd"/>
      <w:r>
        <w:rPr>
          <w:rFonts w:ascii="Avenir Next" w:hAnsi="Avenir Next" w:cs="Arial"/>
          <w:color w:val="808080" w:themeColor="background1" w:themeShade="80"/>
          <w:sz w:val="22"/>
          <w:szCs w:val="22"/>
          <w:lang w:val="en-GB"/>
        </w:rPr>
        <w:t xml:space="preserve"> or Encanto’s cross-border insolvency laws, I note that a number of </w:t>
      </w:r>
      <w:r w:rsidR="00643D97">
        <w:rPr>
          <w:rFonts w:ascii="Avenir Next" w:hAnsi="Avenir Next" w:cs="Arial"/>
          <w:color w:val="808080" w:themeColor="background1" w:themeShade="80"/>
          <w:sz w:val="22"/>
          <w:szCs w:val="22"/>
          <w:lang w:val="en-GB"/>
        </w:rPr>
        <w:t>instruments</w:t>
      </w:r>
      <w:r>
        <w:rPr>
          <w:rFonts w:ascii="Avenir Next" w:hAnsi="Avenir Next" w:cs="Arial"/>
          <w:color w:val="808080" w:themeColor="background1" w:themeShade="80"/>
          <w:sz w:val="22"/>
          <w:szCs w:val="22"/>
          <w:lang w:val="en-GB"/>
        </w:rPr>
        <w:t xml:space="preserve"> globally have been implemented to </w:t>
      </w:r>
      <w:r w:rsidR="00FA32C0">
        <w:rPr>
          <w:rFonts w:ascii="Avenir Next" w:hAnsi="Avenir Next" w:cs="Arial"/>
          <w:color w:val="808080" w:themeColor="background1" w:themeShade="80"/>
          <w:sz w:val="22"/>
          <w:szCs w:val="22"/>
          <w:lang w:val="en-GB"/>
        </w:rPr>
        <w:t>assist with the difficulties faced by States dealing with said cross-border issues. These initiatives include (without limitation):</w:t>
      </w:r>
    </w:p>
    <w:p w14:paraId="6510F15E" w14:textId="5608A1ED" w:rsidR="00FA32C0" w:rsidRDefault="00FA32C0" w:rsidP="004258D6">
      <w:pPr>
        <w:jc w:val="both"/>
        <w:rPr>
          <w:rFonts w:ascii="Avenir Next" w:hAnsi="Avenir Next" w:cs="Arial"/>
          <w:color w:val="808080" w:themeColor="background1" w:themeShade="80"/>
          <w:sz w:val="22"/>
          <w:szCs w:val="22"/>
          <w:lang w:val="en-GB"/>
        </w:rPr>
      </w:pPr>
    </w:p>
    <w:p w14:paraId="2438F34A" w14:textId="44987FA1" w:rsidR="00FA32C0" w:rsidRDefault="00FA32C0" w:rsidP="00FA32C0">
      <w:pPr>
        <w:pStyle w:val="ListParagraph"/>
        <w:numPr>
          <w:ilvl w:val="0"/>
          <w:numId w:val="29"/>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European Guidelines on Communication and Cooperation (2007)</w:t>
      </w:r>
      <w:r w:rsidR="00B55CE6">
        <w:rPr>
          <w:rFonts w:ascii="Avenir Next" w:hAnsi="Avenir Next" w:cs="Arial"/>
          <w:color w:val="808080" w:themeColor="background1" w:themeShade="80"/>
          <w:sz w:val="22"/>
          <w:szCs w:val="22"/>
          <w:lang w:val="en-GB"/>
        </w:rPr>
        <w:t xml:space="preserve"> </w:t>
      </w:r>
      <w:r w:rsidR="00D814D8">
        <w:rPr>
          <w:rFonts w:ascii="Avenir Next" w:hAnsi="Avenir Next" w:cs="Arial"/>
          <w:color w:val="808080" w:themeColor="background1" w:themeShade="80"/>
          <w:sz w:val="22"/>
          <w:szCs w:val="22"/>
          <w:lang w:val="en-GB"/>
        </w:rPr>
        <w:t>(</w:t>
      </w:r>
      <w:r w:rsidR="00D814D8" w:rsidRPr="00D814D8">
        <w:rPr>
          <w:rFonts w:ascii="Avenir Next" w:hAnsi="Avenir Next" w:cs="Arial"/>
          <w:b/>
          <w:bCs/>
          <w:color w:val="808080" w:themeColor="background1" w:themeShade="80"/>
          <w:sz w:val="22"/>
          <w:szCs w:val="22"/>
          <w:lang w:val="en-GB"/>
        </w:rPr>
        <w:t>EU</w:t>
      </w:r>
      <w:r w:rsidR="00D814D8">
        <w:rPr>
          <w:rFonts w:ascii="Avenir Next" w:hAnsi="Avenir Next" w:cs="Arial"/>
          <w:b/>
          <w:bCs/>
          <w:color w:val="808080" w:themeColor="background1" w:themeShade="80"/>
          <w:sz w:val="22"/>
          <w:szCs w:val="22"/>
          <w:lang w:val="en-GB"/>
        </w:rPr>
        <w:t xml:space="preserve"> 2007</w:t>
      </w:r>
      <w:r w:rsidR="00D814D8" w:rsidRPr="00D814D8">
        <w:rPr>
          <w:rFonts w:ascii="Avenir Next" w:hAnsi="Avenir Next" w:cs="Arial"/>
          <w:b/>
          <w:bCs/>
          <w:color w:val="808080" w:themeColor="background1" w:themeShade="80"/>
          <w:sz w:val="22"/>
          <w:szCs w:val="22"/>
          <w:lang w:val="en-GB"/>
        </w:rPr>
        <w:t xml:space="preserve"> Guidelines</w:t>
      </w:r>
      <w:r w:rsidR="00D814D8">
        <w:rPr>
          <w:rFonts w:ascii="Avenir Next" w:hAnsi="Avenir Next" w:cs="Arial"/>
          <w:color w:val="808080" w:themeColor="background1" w:themeShade="80"/>
          <w:sz w:val="22"/>
          <w:szCs w:val="22"/>
          <w:lang w:val="en-GB"/>
        </w:rPr>
        <w:t>)</w:t>
      </w:r>
    </w:p>
    <w:p w14:paraId="042B8F4A" w14:textId="511431A3" w:rsidR="00FA32C0" w:rsidRDefault="00FA32C0" w:rsidP="00FA32C0">
      <w:pPr>
        <w:pStyle w:val="ListParagraph"/>
        <w:ind w:left="567"/>
        <w:jc w:val="both"/>
        <w:rPr>
          <w:rFonts w:ascii="Avenir Next" w:hAnsi="Avenir Next" w:cs="Arial"/>
          <w:color w:val="808080" w:themeColor="background1" w:themeShade="80"/>
          <w:sz w:val="22"/>
          <w:szCs w:val="22"/>
          <w:lang w:val="en-GB"/>
        </w:rPr>
      </w:pPr>
    </w:p>
    <w:p w14:paraId="0EC12C2F" w14:textId="1844456A" w:rsidR="00FF2F44" w:rsidRDefault="00FF2F44" w:rsidP="00FA32C0">
      <w:pPr>
        <w:pStyle w:val="ListParagraph"/>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B55CE6">
        <w:rPr>
          <w:rFonts w:ascii="Avenir Next" w:hAnsi="Avenir Next" w:cs="Arial"/>
          <w:color w:val="808080" w:themeColor="background1" w:themeShade="80"/>
          <w:sz w:val="22"/>
          <w:szCs w:val="22"/>
          <w:lang w:val="en-GB"/>
        </w:rPr>
        <w:t xml:space="preserve">2007, </w:t>
      </w:r>
      <w:r w:rsidR="00D814D8">
        <w:rPr>
          <w:rFonts w:ascii="Avenir Next" w:hAnsi="Avenir Next" w:cs="Arial"/>
          <w:color w:val="808080" w:themeColor="background1" w:themeShade="80"/>
          <w:sz w:val="22"/>
          <w:szCs w:val="22"/>
          <w:lang w:val="en-GB"/>
        </w:rPr>
        <w:t xml:space="preserve">the EU 2007 Guidelines were implemented with a view to provide non-binding rules and protocols </w:t>
      </w:r>
      <w:r w:rsidR="00970AC4">
        <w:rPr>
          <w:rFonts w:ascii="Avenir Next" w:hAnsi="Avenir Next" w:cs="Arial"/>
          <w:color w:val="808080" w:themeColor="background1" w:themeShade="80"/>
          <w:sz w:val="22"/>
          <w:szCs w:val="22"/>
          <w:lang w:val="en-GB"/>
        </w:rPr>
        <w:t>for dealing with concurrent insolvency proceedings between members of the European Union (</w:t>
      </w:r>
      <w:r w:rsidR="00970AC4" w:rsidRPr="00970AC4">
        <w:rPr>
          <w:rFonts w:ascii="Avenir Next" w:hAnsi="Avenir Next" w:cs="Arial"/>
          <w:b/>
          <w:bCs/>
          <w:color w:val="808080" w:themeColor="background1" w:themeShade="80"/>
          <w:sz w:val="22"/>
          <w:szCs w:val="22"/>
          <w:lang w:val="en-GB"/>
        </w:rPr>
        <w:t>EU</w:t>
      </w:r>
      <w:r w:rsidR="00970AC4">
        <w:rPr>
          <w:rFonts w:ascii="Avenir Next" w:hAnsi="Avenir Next" w:cs="Arial"/>
          <w:color w:val="808080" w:themeColor="background1" w:themeShade="80"/>
          <w:sz w:val="22"/>
          <w:szCs w:val="22"/>
          <w:lang w:val="en-GB"/>
        </w:rPr>
        <w:t>)</w:t>
      </w:r>
      <w:r w:rsidR="00383827">
        <w:rPr>
          <w:rFonts w:ascii="Avenir Next" w:hAnsi="Avenir Next" w:cs="Arial"/>
          <w:color w:val="808080" w:themeColor="background1" w:themeShade="80"/>
          <w:sz w:val="22"/>
          <w:szCs w:val="22"/>
          <w:lang w:val="en-GB"/>
        </w:rPr>
        <w:t xml:space="preserve"> that </w:t>
      </w:r>
      <w:r w:rsidR="00E36582">
        <w:rPr>
          <w:rFonts w:ascii="Avenir Next" w:hAnsi="Avenir Next" w:cs="Arial"/>
          <w:color w:val="808080" w:themeColor="background1" w:themeShade="80"/>
          <w:sz w:val="22"/>
          <w:szCs w:val="22"/>
          <w:lang w:val="en-GB"/>
        </w:rPr>
        <w:t>are signatories to</w:t>
      </w:r>
      <w:r w:rsidR="00383827">
        <w:rPr>
          <w:rFonts w:ascii="Avenir Next" w:hAnsi="Avenir Next" w:cs="Arial"/>
          <w:color w:val="808080" w:themeColor="background1" w:themeShade="80"/>
          <w:sz w:val="22"/>
          <w:szCs w:val="22"/>
          <w:lang w:val="en-GB"/>
        </w:rPr>
        <w:t xml:space="preserve"> the </w:t>
      </w:r>
      <w:bookmarkStart w:id="5" w:name="_Hlk116795372"/>
      <w:r w:rsidR="00E36582" w:rsidRPr="005929A1">
        <w:rPr>
          <w:rFonts w:ascii="Avenir Next" w:hAnsi="Avenir Next" w:cs="Arial"/>
          <w:color w:val="7B7B7B" w:themeColor="accent3" w:themeShade="BF"/>
          <w:sz w:val="22"/>
          <w:szCs w:val="22"/>
          <w:lang w:val="en-GB"/>
        </w:rPr>
        <w:t>European Insolvency Regulation (</w:t>
      </w:r>
      <w:r w:rsidR="00E36582" w:rsidRPr="00694A8C">
        <w:rPr>
          <w:rFonts w:ascii="Avenir Next" w:hAnsi="Avenir Next" w:cs="Arial"/>
          <w:b/>
          <w:bCs/>
          <w:color w:val="7B7B7B" w:themeColor="accent3" w:themeShade="BF"/>
          <w:sz w:val="22"/>
          <w:szCs w:val="22"/>
          <w:lang w:val="en-GB"/>
        </w:rPr>
        <w:t>EIR</w:t>
      </w:r>
      <w:r w:rsidR="00E36582" w:rsidRPr="005929A1">
        <w:rPr>
          <w:rFonts w:ascii="Avenir Next" w:hAnsi="Avenir Next" w:cs="Arial"/>
          <w:color w:val="7B7B7B" w:themeColor="accent3" w:themeShade="BF"/>
          <w:sz w:val="22"/>
          <w:szCs w:val="22"/>
          <w:lang w:val="en-GB"/>
        </w:rPr>
        <w:t xml:space="preserve">) Recast </w:t>
      </w:r>
      <w:r w:rsidR="00E36582" w:rsidRPr="005929A1">
        <w:rPr>
          <w:rFonts w:ascii="Avenir Next" w:hAnsi="Avenir Next" w:cs="Arial"/>
          <w:color w:val="7B7B7B" w:themeColor="accent3" w:themeShade="BF"/>
          <w:sz w:val="22"/>
          <w:szCs w:val="22"/>
          <w:lang w:val="en-GB"/>
        </w:rPr>
        <w:lastRenderedPageBreak/>
        <w:t>(2015)</w:t>
      </w:r>
      <w:bookmarkEnd w:id="5"/>
      <w:r w:rsidR="00E36582">
        <w:rPr>
          <w:rFonts w:ascii="Avenir Next" w:hAnsi="Avenir Next" w:cs="Arial"/>
          <w:color w:val="7B7B7B" w:themeColor="accent3" w:themeShade="BF"/>
          <w:sz w:val="22"/>
          <w:szCs w:val="22"/>
          <w:lang w:val="en-GB"/>
        </w:rPr>
        <w:t xml:space="preserve"> (</w:t>
      </w:r>
      <w:r w:rsidR="00E36582" w:rsidRPr="00E36582">
        <w:rPr>
          <w:rFonts w:ascii="Avenir Next" w:hAnsi="Avenir Next" w:cs="Arial"/>
          <w:b/>
          <w:bCs/>
          <w:color w:val="7B7B7B" w:themeColor="accent3" w:themeShade="BF"/>
          <w:sz w:val="22"/>
          <w:szCs w:val="22"/>
          <w:lang w:val="en-GB"/>
        </w:rPr>
        <w:t>EIR Recast</w:t>
      </w:r>
      <w:r w:rsidR="00E36582">
        <w:rPr>
          <w:rFonts w:ascii="Avenir Next" w:hAnsi="Avenir Next" w:cs="Arial"/>
          <w:color w:val="7B7B7B" w:themeColor="accent3" w:themeShade="BF"/>
          <w:sz w:val="22"/>
          <w:szCs w:val="22"/>
          <w:lang w:val="en-GB"/>
        </w:rPr>
        <w:t>)</w:t>
      </w:r>
      <w:r w:rsidR="00970AC4">
        <w:rPr>
          <w:rFonts w:ascii="Avenir Next" w:hAnsi="Avenir Next" w:cs="Arial"/>
          <w:color w:val="808080" w:themeColor="background1" w:themeShade="80"/>
          <w:sz w:val="22"/>
          <w:szCs w:val="22"/>
          <w:lang w:val="en-GB"/>
        </w:rPr>
        <w:t xml:space="preserve">. I have assumed that neither </w:t>
      </w:r>
      <w:proofErr w:type="spellStart"/>
      <w:r w:rsidR="00970AC4">
        <w:rPr>
          <w:rFonts w:ascii="Avenir Next" w:hAnsi="Avenir Next" w:cs="Arial"/>
          <w:color w:val="808080" w:themeColor="background1" w:themeShade="80"/>
          <w:sz w:val="22"/>
          <w:szCs w:val="22"/>
          <w:lang w:val="en-GB"/>
        </w:rPr>
        <w:t>Asgard</w:t>
      </w:r>
      <w:proofErr w:type="spellEnd"/>
      <w:r w:rsidR="00970AC4">
        <w:rPr>
          <w:rFonts w:ascii="Avenir Next" w:hAnsi="Avenir Next" w:cs="Arial"/>
          <w:color w:val="808080" w:themeColor="background1" w:themeShade="80"/>
          <w:sz w:val="22"/>
          <w:szCs w:val="22"/>
          <w:lang w:val="en-GB"/>
        </w:rPr>
        <w:t xml:space="preserve"> nor Encanto are </w:t>
      </w:r>
      <w:r w:rsidR="00E36582">
        <w:rPr>
          <w:rFonts w:ascii="Avenir Next" w:hAnsi="Avenir Next" w:cs="Arial"/>
          <w:color w:val="808080" w:themeColor="background1" w:themeShade="80"/>
          <w:sz w:val="22"/>
          <w:szCs w:val="22"/>
          <w:lang w:val="en-GB"/>
        </w:rPr>
        <w:t xml:space="preserve">signatories to the EIR Recast. </w:t>
      </w:r>
    </w:p>
    <w:p w14:paraId="0E27B646" w14:textId="248848D7" w:rsidR="00710D80" w:rsidRDefault="00710D80" w:rsidP="00FA32C0">
      <w:pPr>
        <w:pStyle w:val="ListParagraph"/>
        <w:ind w:left="567"/>
        <w:jc w:val="both"/>
        <w:rPr>
          <w:rFonts w:ascii="Avenir Next" w:hAnsi="Avenir Next" w:cs="Arial"/>
          <w:color w:val="808080" w:themeColor="background1" w:themeShade="80"/>
          <w:sz w:val="22"/>
          <w:szCs w:val="22"/>
          <w:lang w:val="en-GB"/>
        </w:rPr>
      </w:pPr>
    </w:p>
    <w:p w14:paraId="1B5F166E" w14:textId="45781137" w:rsidR="00710D80" w:rsidRDefault="00710D80" w:rsidP="00FA32C0">
      <w:pPr>
        <w:pStyle w:val="ListParagraph"/>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 2007 Guidelines provide the following relevant rules/protocols </w:t>
      </w:r>
      <w:r w:rsidR="005E46E4">
        <w:rPr>
          <w:rFonts w:ascii="Avenir Next" w:hAnsi="Avenir Next" w:cs="Arial"/>
          <w:color w:val="808080" w:themeColor="background1" w:themeShade="80"/>
          <w:sz w:val="22"/>
          <w:szCs w:val="22"/>
          <w:lang w:val="en-GB"/>
        </w:rPr>
        <w:t>when dealing with concurrent insolvency proceedings:</w:t>
      </w:r>
    </w:p>
    <w:p w14:paraId="2A395754" w14:textId="74D7FE04" w:rsidR="005E46E4" w:rsidRPr="00936D52" w:rsidRDefault="005E46E4" w:rsidP="00FA32C0">
      <w:pPr>
        <w:pStyle w:val="ListParagraph"/>
        <w:ind w:left="567"/>
        <w:jc w:val="both"/>
        <w:rPr>
          <w:rFonts w:ascii="Avenir Next" w:hAnsi="Avenir Next" w:cs="Arial"/>
          <w:color w:val="808080" w:themeColor="background1" w:themeShade="80"/>
          <w:sz w:val="10"/>
          <w:szCs w:val="10"/>
          <w:lang w:val="en-GB"/>
        </w:rPr>
      </w:pPr>
    </w:p>
    <w:p w14:paraId="679DD563" w14:textId="35629723" w:rsidR="00E6115C" w:rsidRDefault="00936D52" w:rsidP="005E46E4">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CA4EB2">
        <w:rPr>
          <w:rFonts w:ascii="Avenir Next" w:hAnsi="Avenir Next" w:cs="Arial"/>
          <w:color w:val="808080" w:themeColor="background1" w:themeShade="80"/>
          <w:sz w:val="22"/>
          <w:szCs w:val="22"/>
          <w:lang w:val="en-GB"/>
        </w:rPr>
        <w:t xml:space="preserve">he liquidator of </w:t>
      </w:r>
      <w:proofErr w:type="spellStart"/>
      <w:r w:rsidR="00CA4EB2">
        <w:rPr>
          <w:rFonts w:ascii="Avenir Next" w:hAnsi="Avenir Next" w:cs="Arial"/>
          <w:color w:val="808080" w:themeColor="background1" w:themeShade="80"/>
          <w:sz w:val="22"/>
          <w:szCs w:val="22"/>
          <w:lang w:val="en-GB"/>
        </w:rPr>
        <w:t>Asgard</w:t>
      </w:r>
      <w:proofErr w:type="spellEnd"/>
      <w:r w:rsidR="00CA4EB2">
        <w:rPr>
          <w:rFonts w:ascii="Avenir Next" w:hAnsi="Avenir Next" w:cs="Arial"/>
          <w:color w:val="808080" w:themeColor="background1" w:themeShade="80"/>
          <w:sz w:val="22"/>
          <w:szCs w:val="22"/>
          <w:lang w:val="en-GB"/>
        </w:rPr>
        <w:t xml:space="preserve"> ought to provide all reasonable information and a</w:t>
      </w:r>
      <w:r w:rsidR="00E6115C">
        <w:rPr>
          <w:rFonts w:ascii="Avenir Next" w:hAnsi="Avenir Next" w:cs="Arial"/>
          <w:color w:val="808080" w:themeColor="background1" w:themeShade="80"/>
          <w:sz w:val="22"/>
          <w:szCs w:val="22"/>
          <w:lang w:val="en-GB"/>
        </w:rPr>
        <w:t>ssistance to the liquidator of Encanto (</w:t>
      </w:r>
      <w:r w:rsidR="00D006D8">
        <w:rPr>
          <w:rFonts w:ascii="Avenir Next" w:hAnsi="Avenir Next" w:cs="Arial"/>
          <w:color w:val="808080" w:themeColor="background1" w:themeShade="80"/>
          <w:sz w:val="22"/>
          <w:szCs w:val="22"/>
          <w:lang w:val="en-GB"/>
        </w:rPr>
        <w:t>G</w:t>
      </w:r>
      <w:r w:rsidR="00E6115C">
        <w:rPr>
          <w:rFonts w:ascii="Avenir Next" w:hAnsi="Avenir Next" w:cs="Arial"/>
          <w:color w:val="808080" w:themeColor="background1" w:themeShade="80"/>
          <w:sz w:val="22"/>
          <w:szCs w:val="22"/>
          <w:lang w:val="en-GB"/>
        </w:rPr>
        <w:t>uideline 8);</w:t>
      </w:r>
    </w:p>
    <w:p w14:paraId="2945B5FE" w14:textId="77777777" w:rsidR="00936D52" w:rsidRPr="00936D52" w:rsidRDefault="00936D52" w:rsidP="00936D52">
      <w:pPr>
        <w:pStyle w:val="ListParagraph"/>
        <w:ind w:left="851"/>
        <w:jc w:val="both"/>
        <w:rPr>
          <w:rFonts w:ascii="Avenir Next" w:hAnsi="Avenir Next" w:cs="Arial"/>
          <w:color w:val="808080" w:themeColor="background1" w:themeShade="80"/>
          <w:sz w:val="6"/>
          <w:szCs w:val="6"/>
          <w:lang w:val="en-GB"/>
        </w:rPr>
      </w:pPr>
    </w:p>
    <w:p w14:paraId="1D38CAC1" w14:textId="3353138F" w:rsidR="005E46E4" w:rsidRDefault="00936D52" w:rsidP="005E46E4">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FF6D13">
        <w:rPr>
          <w:rFonts w:ascii="Avenir Next" w:hAnsi="Avenir Next" w:cs="Arial"/>
          <w:color w:val="808080" w:themeColor="background1" w:themeShade="80"/>
          <w:sz w:val="22"/>
          <w:szCs w:val="22"/>
          <w:lang w:val="en-GB"/>
        </w:rPr>
        <w:t xml:space="preserve">ssets in </w:t>
      </w:r>
      <w:r w:rsidR="00D006D8">
        <w:rPr>
          <w:rFonts w:ascii="Avenir Next" w:hAnsi="Avenir Next" w:cs="Arial"/>
          <w:color w:val="808080" w:themeColor="background1" w:themeShade="80"/>
          <w:sz w:val="22"/>
          <w:szCs w:val="22"/>
          <w:lang w:val="en-GB"/>
        </w:rPr>
        <w:t xml:space="preserve">Encanto ought to be included in the pool of assets available to fund the liquidator of </w:t>
      </w:r>
      <w:proofErr w:type="spellStart"/>
      <w:r w:rsidR="00D006D8">
        <w:rPr>
          <w:rFonts w:ascii="Avenir Next" w:hAnsi="Avenir Next" w:cs="Arial"/>
          <w:color w:val="808080" w:themeColor="background1" w:themeShade="80"/>
          <w:sz w:val="22"/>
          <w:szCs w:val="22"/>
          <w:lang w:val="en-GB"/>
        </w:rPr>
        <w:t>Asgard</w:t>
      </w:r>
      <w:proofErr w:type="spellEnd"/>
      <w:r w:rsidR="00D006D8">
        <w:rPr>
          <w:rFonts w:ascii="Avenir Next" w:hAnsi="Avenir Next" w:cs="Arial"/>
          <w:color w:val="808080" w:themeColor="background1" w:themeShade="80"/>
          <w:sz w:val="22"/>
          <w:szCs w:val="22"/>
          <w:lang w:val="en-GB"/>
        </w:rPr>
        <w:t>, presumably in priority to the liquidator in Encanto (Guideline 11);</w:t>
      </w:r>
    </w:p>
    <w:p w14:paraId="5C41635B" w14:textId="77777777" w:rsidR="00F614B0" w:rsidRPr="00F614B0" w:rsidRDefault="00F614B0" w:rsidP="00F614B0">
      <w:pPr>
        <w:pStyle w:val="ListParagraph"/>
        <w:rPr>
          <w:rFonts w:ascii="Avenir Next" w:hAnsi="Avenir Next" w:cs="Arial"/>
          <w:color w:val="808080" w:themeColor="background1" w:themeShade="80"/>
          <w:sz w:val="6"/>
          <w:szCs w:val="6"/>
          <w:lang w:val="en-GB"/>
        </w:rPr>
      </w:pPr>
    </w:p>
    <w:p w14:paraId="624E2858" w14:textId="516BCAE9" w:rsidR="00347D98" w:rsidRDefault="00936D52" w:rsidP="005E46E4">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347D98">
        <w:rPr>
          <w:rFonts w:ascii="Avenir Next" w:hAnsi="Avenir Next" w:cs="Arial"/>
          <w:color w:val="808080" w:themeColor="background1" w:themeShade="80"/>
          <w:sz w:val="22"/>
          <w:szCs w:val="22"/>
          <w:lang w:val="en-GB"/>
        </w:rPr>
        <w:t xml:space="preserve">oth liquidators ought work on a protocol to </w:t>
      </w:r>
      <w:r w:rsidR="00A71930">
        <w:rPr>
          <w:rFonts w:ascii="Avenir Next" w:hAnsi="Avenir Next" w:cs="Arial"/>
          <w:color w:val="808080" w:themeColor="background1" w:themeShade="80"/>
          <w:sz w:val="22"/>
          <w:szCs w:val="22"/>
          <w:lang w:val="en-GB"/>
        </w:rPr>
        <w:t>maximise the cooperation between each estate (Guideline 12)</w:t>
      </w:r>
      <w:r w:rsidR="0088493E">
        <w:rPr>
          <w:rFonts w:ascii="Avenir Next" w:hAnsi="Avenir Next" w:cs="Arial"/>
          <w:color w:val="808080" w:themeColor="background1" w:themeShade="80"/>
          <w:sz w:val="22"/>
          <w:szCs w:val="22"/>
          <w:lang w:val="en-GB"/>
        </w:rPr>
        <w:t>, including where asset sales</w:t>
      </w:r>
      <w:r w:rsidR="00183C64">
        <w:rPr>
          <w:rFonts w:ascii="Avenir Next" w:hAnsi="Avenir Next" w:cs="Arial"/>
          <w:color w:val="808080" w:themeColor="background1" w:themeShade="80"/>
          <w:sz w:val="22"/>
          <w:szCs w:val="22"/>
          <w:lang w:val="en-GB"/>
        </w:rPr>
        <w:t xml:space="preserve"> (Guideline 13)</w:t>
      </w:r>
      <w:r w:rsidR="0088493E">
        <w:rPr>
          <w:rFonts w:ascii="Avenir Next" w:hAnsi="Avenir Next" w:cs="Arial"/>
          <w:color w:val="808080" w:themeColor="background1" w:themeShade="80"/>
          <w:sz w:val="22"/>
          <w:szCs w:val="22"/>
          <w:lang w:val="en-GB"/>
        </w:rPr>
        <w:t xml:space="preserve"> </w:t>
      </w:r>
      <w:r w:rsidR="00183C64">
        <w:rPr>
          <w:rFonts w:ascii="Avenir Next" w:hAnsi="Avenir Next" w:cs="Arial"/>
          <w:color w:val="808080" w:themeColor="background1" w:themeShade="80"/>
          <w:sz w:val="22"/>
          <w:szCs w:val="22"/>
          <w:lang w:val="en-GB"/>
        </w:rPr>
        <w:t>or reorganisation (Guideline 14) are possible</w:t>
      </w:r>
      <w:r w:rsidR="0088493E">
        <w:rPr>
          <w:rFonts w:ascii="Avenir Next" w:hAnsi="Avenir Next" w:cs="Arial"/>
          <w:color w:val="808080" w:themeColor="background1" w:themeShade="80"/>
          <w:sz w:val="22"/>
          <w:szCs w:val="22"/>
          <w:lang w:val="en-GB"/>
        </w:rPr>
        <w:t>;</w:t>
      </w:r>
      <w:r w:rsidR="009C1E0F">
        <w:rPr>
          <w:rFonts w:ascii="Avenir Next" w:hAnsi="Avenir Next" w:cs="Arial"/>
          <w:color w:val="808080" w:themeColor="background1" w:themeShade="80"/>
          <w:sz w:val="22"/>
          <w:szCs w:val="22"/>
          <w:lang w:val="en-GB"/>
        </w:rPr>
        <w:t xml:space="preserve"> and</w:t>
      </w:r>
    </w:p>
    <w:p w14:paraId="74A56955" w14:textId="77777777" w:rsidR="00936D52" w:rsidRPr="00936D52" w:rsidRDefault="00936D52" w:rsidP="00936D52">
      <w:pPr>
        <w:pStyle w:val="ListParagraph"/>
        <w:ind w:left="851"/>
        <w:jc w:val="both"/>
        <w:rPr>
          <w:rFonts w:ascii="Avenir Next" w:hAnsi="Avenir Next" w:cs="Arial"/>
          <w:color w:val="808080" w:themeColor="background1" w:themeShade="80"/>
          <w:sz w:val="6"/>
          <w:szCs w:val="6"/>
          <w:lang w:val="en-GB"/>
        </w:rPr>
      </w:pPr>
    </w:p>
    <w:p w14:paraId="50826E3B" w14:textId="0461CC0D" w:rsidR="0088493E" w:rsidRDefault="009C1E0F" w:rsidP="005E46E4">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ought </w:t>
      </w:r>
      <w:r w:rsidR="00787A5F">
        <w:rPr>
          <w:rFonts w:ascii="Avenir Next" w:hAnsi="Avenir Next" w:cs="Arial"/>
          <w:color w:val="808080" w:themeColor="background1" w:themeShade="80"/>
          <w:sz w:val="22"/>
          <w:szCs w:val="22"/>
          <w:lang w:val="en-GB"/>
        </w:rPr>
        <w:t>to work together</w:t>
      </w:r>
      <w:r w:rsidR="005152B1">
        <w:rPr>
          <w:rFonts w:ascii="Avenir Next" w:hAnsi="Avenir Next" w:cs="Arial"/>
          <w:color w:val="808080" w:themeColor="background1" w:themeShade="80"/>
          <w:sz w:val="22"/>
          <w:szCs w:val="22"/>
          <w:lang w:val="en-GB"/>
        </w:rPr>
        <w:t xml:space="preserve"> to implement the intent of the EU 2007 Guidelines (Guideline 16). </w:t>
      </w:r>
    </w:p>
    <w:p w14:paraId="17A22B67" w14:textId="77777777" w:rsidR="00697236" w:rsidRDefault="00697236" w:rsidP="00FA32C0">
      <w:pPr>
        <w:pStyle w:val="ListParagraph"/>
        <w:ind w:left="567"/>
        <w:jc w:val="both"/>
        <w:rPr>
          <w:rFonts w:ascii="Avenir Next" w:hAnsi="Avenir Next" w:cs="Arial"/>
          <w:color w:val="808080" w:themeColor="background1" w:themeShade="80"/>
          <w:sz w:val="22"/>
          <w:szCs w:val="22"/>
          <w:lang w:val="en-GB"/>
        </w:rPr>
      </w:pPr>
    </w:p>
    <w:p w14:paraId="08C97401" w14:textId="659085F8" w:rsidR="00FA32C0" w:rsidRDefault="00FA32C0" w:rsidP="00FA32C0">
      <w:pPr>
        <w:pStyle w:val="ListParagraph"/>
        <w:numPr>
          <w:ilvl w:val="0"/>
          <w:numId w:val="29"/>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 – I</w:t>
      </w:r>
      <w:r w:rsidR="00036AE4">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I Global Principles</w:t>
      </w:r>
    </w:p>
    <w:p w14:paraId="0420EFD8" w14:textId="77777777" w:rsidR="00690CD0" w:rsidRPr="00690CD0" w:rsidRDefault="00690CD0" w:rsidP="00690CD0">
      <w:pPr>
        <w:pStyle w:val="ListParagraph"/>
        <w:rPr>
          <w:rFonts w:ascii="Avenir Next" w:hAnsi="Avenir Next" w:cs="Arial"/>
          <w:color w:val="808080" w:themeColor="background1" w:themeShade="80"/>
          <w:sz w:val="22"/>
          <w:szCs w:val="22"/>
          <w:lang w:val="en-GB"/>
        </w:rPr>
      </w:pPr>
    </w:p>
    <w:p w14:paraId="5866C025" w14:textId="19C36E8A" w:rsidR="00690CD0" w:rsidRDefault="00690CD0" w:rsidP="00690CD0">
      <w:pPr>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2012, the International Insolvency Institute (</w:t>
      </w:r>
      <w:r w:rsidRPr="00D67828">
        <w:rPr>
          <w:rFonts w:ascii="Avenir Next" w:hAnsi="Avenir Next" w:cs="Arial"/>
          <w:b/>
          <w:bCs/>
          <w:color w:val="808080" w:themeColor="background1" w:themeShade="80"/>
          <w:sz w:val="22"/>
          <w:szCs w:val="22"/>
          <w:lang w:val="en-GB"/>
        </w:rPr>
        <w:t>III</w:t>
      </w:r>
      <w:r>
        <w:rPr>
          <w:rFonts w:ascii="Avenir Next" w:hAnsi="Avenir Next" w:cs="Arial"/>
          <w:color w:val="808080" w:themeColor="background1" w:themeShade="80"/>
          <w:sz w:val="22"/>
          <w:szCs w:val="22"/>
          <w:lang w:val="en-GB"/>
        </w:rPr>
        <w:t xml:space="preserve">) and ALI led a project (and produced a </w:t>
      </w:r>
      <w:r w:rsidRPr="00D46969">
        <w:rPr>
          <w:rFonts w:ascii="Avenir Next" w:hAnsi="Avenir Next" w:cs="Arial"/>
          <w:b/>
          <w:bCs/>
          <w:color w:val="808080" w:themeColor="background1" w:themeShade="80"/>
          <w:sz w:val="22"/>
          <w:szCs w:val="22"/>
          <w:lang w:val="en-GB"/>
        </w:rPr>
        <w:t>Transnational</w:t>
      </w:r>
      <w:r>
        <w:rPr>
          <w:rFonts w:ascii="Avenir Next" w:hAnsi="Avenir Next" w:cs="Arial"/>
          <w:color w:val="808080" w:themeColor="background1" w:themeShade="80"/>
          <w:sz w:val="22"/>
          <w:szCs w:val="22"/>
          <w:lang w:val="en-GB"/>
        </w:rPr>
        <w:t xml:space="preserve"> </w:t>
      </w:r>
      <w:r w:rsidRPr="00D46969">
        <w:rPr>
          <w:rFonts w:ascii="Avenir Next" w:hAnsi="Avenir Next" w:cs="Arial"/>
          <w:b/>
          <w:bCs/>
          <w:color w:val="808080" w:themeColor="background1" w:themeShade="80"/>
          <w:sz w:val="22"/>
          <w:szCs w:val="22"/>
          <w:lang w:val="en-GB"/>
        </w:rPr>
        <w:t>Report</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90"/>
      </w:r>
      <w:r>
        <w:rPr>
          <w:rFonts w:ascii="Avenir Next" w:hAnsi="Avenir Next" w:cs="Arial"/>
          <w:color w:val="808080" w:themeColor="background1" w:themeShade="80"/>
          <w:sz w:val="22"/>
          <w:szCs w:val="22"/>
          <w:lang w:val="en-GB"/>
        </w:rPr>
        <w:t xml:space="preserve"> to implement the ALI NAFTA Principles worldwide (whether common law or civil law based)</w:t>
      </w:r>
      <w:r>
        <w:rPr>
          <w:rStyle w:val="FootnoteReference"/>
          <w:rFonts w:ascii="Avenir Next" w:hAnsi="Avenir Next" w:cs="Arial"/>
          <w:color w:val="808080" w:themeColor="background1" w:themeShade="80"/>
          <w:sz w:val="22"/>
          <w:szCs w:val="22"/>
          <w:lang w:val="en-GB"/>
        </w:rPr>
        <w:footnoteReference w:id="91"/>
      </w:r>
      <w:r>
        <w:rPr>
          <w:rFonts w:ascii="Avenir Next" w:hAnsi="Avenir Next" w:cs="Arial"/>
          <w:color w:val="808080" w:themeColor="background1" w:themeShade="80"/>
          <w:sz w:val="22"/>
          <w:szCs w:val="22"/>
          <w:lang w:val="en-GB"/>
        </w:rPr>
        <w:t xml:space="preserve"> in circumstances where insolvency proceedings involve more than one State. This project developed the ALI – III Global Principles for Cooperation in International Insolvency Cases and Global Guidelines Applicable to Court-to-Court Communications in Cross-Border Cases (</w:t>
      </w:r>
      <w:r w:rsidRPr="00D76E0B">
        <w:rPr>
          <w:rFonts w:ascii="Avenir Next" w:hAnsi="Avenir Next" w:cs="Arial"/>
          <w:b/>
          <w:bCs/>
          <w:color w:val="808080" w:themeColor="background1" w:themeShade="80"/>
          <w:sz w:val="22"/>
          <w:szCs w:val="22"/>
          <w:lang w:val="en-GB"/>
        </w:rPr>
        <w:t>ALI – III Global Principles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92"/>
      </w:r>
      <w:r>
        <w:rPr>
          <w:rFonts w:ascii="Avenir Next" w:hAnsi="Avenir Next" w:cs="Arial"/>
          <w:color w:val="808080" w:themeColor="background1" w:themeShade="80"/>
          <w:sz w:val="22"/>
          <w:szCs w:val="22"/>
          <w:lang w:val="en-GB"/>
        </w:rPr>
        <w:t xml:space="preserve"> </w:t>
      </w:r>
      <w:r w:rsidR="00120BD5">
        <w:rPr>
          <w:rFonts w:ascii="Avenir Next" w:hAnsi="Avenir Next" w:cs="Arial"/>
          <w:color w:val="808080" w:themeColor="background1" w:themeShade="80"/>
          <w:sz w:val="22"/>
          <w:szCs w:val="22"/>
          <w:lang w:val="en-GB"/>
        </w:rPr>
        <w:t>The A</w:t>
      </w:r>
      <w:r w:rsidR="00302723">
        <w:rPr>
          <w:rFonts w:ascii="Avenir Next" w:hAnsi="Avenir Next" w:cs="Arial"/>
          <w:color w:val="808080" w:themeColor="background1" w:themeShade="80"/>
          <w:sz w:val="22"/>
          <w:szCs w:val="22"/>
          <w:lang w:val="en-GB"/>
        </w:rPr>
        <w:t xml:space="preserve">LI – III Global Principles include </w:t>
      </w:r>
    </w:p>
    <w:p w14:paraId="252B2B18" w14:textId="2393918C" w:rsidR="00690CD0" w:rsidRDefault="00690CD0" w:rsidP="00690CD0">
      <w:pPr>
        <w:pStyle w:val="ListParagraph"/>
        <w:ind w:left="567"/>
        <w:jc w:val="both"/>
        <w:rPr>
          <w:rFonts w:ascii="Avenir Next" w:hAnsi="Avenir Next" w:cs="Arial"/>
          <w:color w:val="808080" w:themeColor="background1" w:themeShade="80"/>
          <w:sz w:val="22"/>
          <w:szCs w:val="22"/>
          <w:lang w:val="en-GB"/>
        </w:rPr>
      </w:pPr>
    </w:p>
    <w:p w14:paraId="08EB10D6" w14:textId="7D1D882E" w:rsidR="00302723" w:rsidRDefault="00302723" w:rsidP="00302723">
      <w:pPr>
        <w:pStyle w:val="ListParagraph"/>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ALI – III Global Principles provide the following relevant </w:t>
      </w:r>
      <w:r w:rsidR="0043343A">
        <w:rPr>
          <w:rFonts w:ascii="Avenir Next" w:hAnsi="Avenir Next" w:cs="Arial"/>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when dealing with concurrent insolvency proceedings</w:t>
      </w:r>
      <w:r w:rsidR="000F756B">
        <w:rPr>
          <w:rFonts w:ascii="Avenir Next" w:hAnsi="Avenir Next" w:cs="Arial"/>
          <w:color w:val="808080" w:themeColor="background1" w:themeShade="80"/>
          <w:sz w:val="22"/>
          <w:szCs w:val="22"/>
          <w:lang w:val="en-GB"/>
        </w:rPr>
        <w:t xml:space="preserve"> (</w:t>
      </w:r>
      <w:r w:rsidR="000F756B">
        <w:rPr>
          <w:rFonts w:ascii="Avenir Next" w:hAnsi="Avenir Next" w:cs="Arial"/>
          <w:i/>
          <w:iCs/>
          <w:color w:val="808080" w:themeColor="background1" w:themeShade="80"/>
          <w:sz w:val="22"/>
          <w:szCs w:val="22"/>
          <w:lang w:val="en-GB"/>
        </w:rPr>
        <w:t>inter alia</w:t>
      </w:r>
      <w:r w:rsidR="000F756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6F436E4A" w14:textId="7938453E" w:rsidR="00302723" w:rsidRPr="0043343A" w:rsidRDefault="00302723" w:rsidP="00690CD0">
      <w:pPr>
        <w:pStyle w:val="ListParagraph"/>
        <w:ind w:left="567"/>
        <w:jc w:val="both"/>
        <w:rPr>
          <w:rFonts w:ascii="Avenir Next" w:hAnsi="Avenir Next" w:cs="Arial"/>
          <w:color w:val="808080" w:themeColor="background1" w:themeShade="80"/>
          <w:sz w:val="10"/>
          <w:szCs w:val="10"/>
          <w:lang w:val="en-GB"/>
        </w:rPr>
      </w:pPr>
    </w:p>
    <w:p w14:paraId="7EC55D12" w14:textId="222CCF11" w:rsidR="0043343A" w:rsidRDefault="00D439AD" w:rsidP="0043343A">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E10271">
        <w:rPr>
          <w:rFonts w:ascii="Avenir Next" w:hAnsi="Avenir Next" w:cs="Arial"/>
          <w:color w:val="808080" w:themeColor="background1" w:themeShade="80"/>
          <w:sz w:val="22"/>
          <w:szCs w:val="22"/>
          <w:lang w:val="en-GB"/>
        </w:rPr>
        <w:t xml:space="preserve">ll stakeholders involved in concurrent proceedings ought conduct themselves </w:t>
      </w:r>
      <w:r w:rsidR="00633641">
        <w:rPr>
          <w:rFonts w:ascii="Avenir Next" w:hAnsi="Avenir Next" w:cs="Arial"/>
          <w:color w:val="808080" w:themeColor="background1" w:themeShade="80"/>
          <w:sz w:val="22"/>
          <w:szCs w:val="22"/>
          <w:lang w:val="en-GB"/>
        </w:rPr>
        <w:t>with the overriding objective of meeting Global Principle 1.1</w:t>
      </w:r>
      <w:r w:rsidR="00633641">
        <w:rPr>
          <w:rStyle w:val="FootnoteReference"/>
          <w:rFonts w:ascii="Avenir Next" w:hAnsi="Avenir Next" w:cs="Arial"/>
          <w:color w:val="808080" w:themeColor="background1" w:themeShade="80"/>
          <w:sz w:val="22"/>
          <w:szCs w:val="22"/>
          <w:lang w:val="en-GB"/>
        </w:rPr>
        <w:footnoteReference w:id="93"/>
      </w:r>
      <w:r w:rsidR="00633641">
        <w:rPr>
          <w:rFonts w:ascii="Avenir Next" w:hAnsi="Avenir Next" w:cs="Arial"/>
          <w:color w:val="808080" w:themeColor="background1" w:themeShade="80"/>
          <w:sz w:val="22"/>
          <w:szCs w:val="22"/>
          <w:lang w:val="en-GB"/>
        </w:rPr>
        <w:t xml:space="preserve"> (Global Principle 1.3)</w:t>
      </w:r>
      <w:r w:rsidR="00C51941">
        <w:rPr>
          <w:rFonts w:ascii="Avenir Next" w:hAnsi="Avenir Next" w:cs="Arial"/>
          <w:color w:val="808080" w:themeColor="background1" w:themeShade="80"/>
          <w:sz w:val="22"/>
          <w:szCs w:val="22"/>
          <w:lang w:val="en-GB"/>
        </w:rPr>
        <w:t>;</w:t>
      </w:r>
    </w:p>
    <w:p w14:paraId="42DD98EE" w14:textId="77777777" w:rsidR="00AE3F16" w:rsidRPr="00AE3F16" w:rsidRDefault="00AE3F16" w:rsidP="00AE3F16">
      <w:pPr>
        <w:pStyle w:val="ListParagraph"/>
        <w:ind w:left="851"/>
        <w:jc w:val="both"/>
        <w:rPr>
          <w:rFonts w:ascii="Avenir Next" w:hAnsi="Avenir Next" w:cs="Arial"/>
          <w:color w:val="808080" w:themeColor="background1" w:themeShade="80"/>
          <w:sz w:val="6"/>
          <w:szCs w:val="6"/>
          <w:lang w:val="en-GB"/>
        </w:rPr>
      </w:pPr>
    </w:p>
    <w:p w14:paraId="0BC1D6D9" w14:textId="06281642" w:rsidR="00C51941" w:rsidRDefault="00D439AD" w:rsidP="0043343A">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852538">
        <w:rPr>
          <w:rFonts w:ascii="Avenir Next" w:hAnsi="Avenir Next" w:cs="Arial"/>
          <w:color w:val="808080" w:themeColor="background1" w:themeShade="80"/>
          <w:sz w:val="22"/>
          <w:szCs w:val="22"/>
          <w:lang w:val="en-GB"/>
        </w:rPr>
        <w:t xml:space="preserve">ourts </w:t>
      </w:r>
      <w:r w:rsidR="008F4DF8">
        <w:rPr>
          <w:rFonts w:ascii="Avenir Next" w:hAnsi="Avenir Next" w:cs="Arial"/>
          <w:color w:val="808080" w:themeColor="background1" w:themeShade="80"/>
          <w:sz w:val="22"/>
          <w:szCs w:val="22"/>
          <w:lang w:val="en-GB"/>
        </w:rPr>
        <w:t xml:space="preserve">in </w:t>
      </w:r>
      <w:proofErr w:type="spellStart"/>
      <w:r w:rsidR="008F4DF8">
        <w:rPr>
          <w:rFonts w:ascii="Avenir Next" w:hAnsi="Avenir Next" w:cs="Arial"/>
          <w:color w:val="808080" w:themeColor="background1" w:themeShade="80"/>
          <w:sz w:val="22"/>
          <w:szCs w:val="22"/>
          <w:lang w:val="en-GB"/>
        </w:rPr>
        <w:t>Asgard</w:t>
      </w:r>
      <w:proofErr w:type="spellEnd"/>
      <w:r w:rsidR="008F4DF8">
        <w:rPr>
          <w:rFonts w:ascii="Avenir Next" w:hAnsi="Avenir Next" w:cs="Arial"/>
          <w:color w:val="808080" w:themeColor="background1" w:themeShade="80"/>
          <w:sz w:val="22"/>
          <w:szCs w:val="22"/>
          <w:lang w:val="en-GB"/>
        </w:rPr>
        <w:t xml:space="preserve"> and Encanto ought </w:t>
      </w:r>
      <w:r w:rsidR="00852538">
        <w:rPr>
          <w:rFonts w:ascii="Avenir Next" w:hAnsi="Avenir Next" w:cs="Arial"/>
          <w:color w:val="808080" w:themeColor="background1" w:themeShade="80"/>
          <w:sz w:val="22"/>
          <w:szCs w:val="22"/>
          <w:lang w:val="en-GB"/>
        </w:rPr>
        <w:t xml:space="preserve">actively manage </w:t>
      </w:r>
      <w:r w:rsidR="008F4DF8">
        <w:rPr>
          <w:rFonts w:ascii="Avenir Next" w:hAnsi="Avenir Next" w:cs="Arial"/>
          <w:color w:val="808080" w:themeColor="background1" w:themeShade="80"/>
          <w:sz w:val="22"/>
          <w:szCs w:val="22"/>
          <w:lang w:val="en-GB"/>
        </w:rPr>
        <w:t xml:space="preserve">their respective insolvency proceedings </w:t>
      </w:r>
      <w:r w:rsidR="00D31B2C">
        <w:rPr>
          <w:rFonts w:ascii="Avenir Next" w:hAnsi="Avenir Next" w:cs="Arial"/>
          <w:color w:val="808080" w:themeColor="background1" w:themeShade="80"/>
          <w:sz w:val="22"/>
          <w:szCs w:val="22"/>
          <w:lang w:val="en-GB"/>
        </w:rPr>
        <w:t>to coordinate and harmonise the respective proceedings</w:t>
      </w:r>
      <w:r>
        <w:rPr>
          <w:rFonts w:ascii="Avenir Next" w:hAnsi="Avenir Next" w:cs="Arial"/>
          <w:color w:val="808080" w:themeColor="background1" w:themeShade="80"/>
          <w:sz w:val="22"/>
          <w:szCs w:val="22"/>
          <w:lang w:val="en-GB"/>
        </w:rPr>
        <w:t xml:space="preserve">, </w:t>
      </w:r>
      <w:r w:rsidR="00D31B2C">
        <w:rPr>
          <w:rFonts w:ascii="Avenir Next" w:hAnsi="Avenir Next" w:cs="Arial"/>
          <w:color w:val="808080" w:themeColor="background1" w:themeShade="80"/>
          <w:sz w:val="22"/>
          <w:szCs w:val="22"/>
          <w:lang w:val="en-GB"/>
        </w:rPr>
        <w:t>subject to various exemptions (</w:t>
      </w:r>
      <w:r>
        <w:rPr>
          <w:rFonts w:ascii="Avenir Next" w:hAnsi="Avenir Next" w:cs="Arial"/>
          <w:color w:val="808080" w:themeColor="background1" w:themeShade="80"/>
          <w:sz w:val="22"/>
          <w:szCs w:val="22"/>
          <w:lang w:val="en-GB"/>
        </w:rPr>
        <w:t>Principle 4);</w:t>
      </w:r>
      <w:r w:rsidR="00D31B2C">
        <w:rPr>
          <w:rFonts w:ascii="Avenir Next" w:hAnsi="Avenir Next" w:cs="Arial"/>
          <w:color w:val="808080" w:themeColor="background1" w:themeShade="80"/>
          <w:sz w:val="22"/>
          <w:szCs w:val="22"/>
          <w:lang w:val="en-GB"/>
        </w:rPr>
        <w:t xml:space="preserve"> </w:t>
      </w:r>
    </w:p>
    <w:p w14:paraId="6DD68662" w14:textId="77777777" w:rsidR="00D439AD" w:rsidRPr="00D439AD" w:rsidRDefault="00D439AD" w:rsidP="00D439AD">
      <w:pPr>
        <w:pStyle w:val="ListParagraph"/>
        <w:rPr>
          <w:rFonts w:ascii="Avenir Next" w:hAnsi="Avenir Next" w:cs="Arial"/>
          <w:color w:val="808080" w:themeColor="background1" w:themeShade="80"/>
          <w:sz w:val="6"/>
          <w:szCs w:val="6"/>
          <w:lang w:val="en-GB"/>
        </w:rPr>
      </w:pPr>
    </w:p>
    <w:p w14:paraId="7DD84B87" w14:textId="22D96BBD" w:rsidR="00D439AD" w:rsidRDefault="00AC6717" w:rsidP="0043343A">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obligation for courts and liquidators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to actively share information (Principle 9);</w:t>
      </w:r>
      <w:r w:rsidR="00F33513">
        <w:rPr>
          <w:rFonts w:ascii="Avenir Next" w:hAnsi="Avenir Next" w:cs="Arial"/>
          <w:color w:val="808080" w:themeColor="background1" w:themeShade="80"/>
          <w:sz w:val="22"/>
          <w:szCs w:val="22"/>
          <w:lang w:val="en-GB"/>
        </w:rPr>
        <w:t xml:space="preserve"> and</w:t>
      </w:r>
    </w:p>
    <w:p w14:paraId="7F548077" w14:textId="77777777" w:rsidR="00AC6717" w:rsidRPr="00D126FB" w:rsidRDefault="00AC6717" w:rsidP="00AC6717">
      <w:pPr>
        <w:pStyle w:val="ListParagraph"/>
        <w:rPr>
          <w:rFonts w:ascii="Avenir Next" w:hAnsi="Avenir Next" w:cs="Arial"/>
          <w:color w:val="808080" w:themeColor="background1" w:themeShade="80"/>
          <w:sz w:val="6"/>
          <w:szCs w:val="6"/>
          <w:lang w:val="en-GB"/>
        </w:rPr>
      </w:pPr>
    </w:p>
    <w:p w14:paraId="550A1856" w14:textId="4AE6A3F5" w:rsidR="00AC6717" w:rsidRDefault="00D126FB" w:rsidP="0043343A">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obligation for the liquidators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w:t>
      </w:r>
      <w:r w:rsidR="000F756B" w:rsidRPr="000F756B">
        <w:rPr>
          <w:rFonts w:ascii="Avenir Next" w:hAnsi="Avenir Next" w:cs="Arial"/>
          <w:color w:val="808080" w:themeColor="background1" w:themeShade="80"/>
          <w:sz w:val="22"/>
          <w:szCs w:val="22"/>
          <w:lang w:val="en-GB"/>
        </w:rPr>
        <w:t xml:space="preserve"> </w:t>
      </w:r>
      <w:r w:rsidR="000F756B">
        <w:rPr>
          <w:rFonts w:ascii="Avenir Next" w:hAnsi="Avenir Next" w:cs="Arial"/>
          <w:color w:val="808080" w:themeColor="background1" w:themeShade="80"/>
          <w:sz w:val="22"/>
          <w:szCs w:val="22"/>
          <w:lang w:val="en-GB"/>
        </w:rPr>
        <w:t>to work on a protocol to maximise the cooperation between each estate (Principle 26) and coordination between courts (Principle 27)</w:t>
      </w:r>
      <w:r w:rsidR="00F33513">
        <w:rPr>
          <w:rFonts w:ascii="Avenir Next" w:hAnsi="Avenir Next" w:cs="Arial"/>
          <w:color w:val="808080" w:themeColor="background1" w:themeShade="80"/>
          <w:sz w:val="22"/>
          <w:szCs w:val="22"/>
          <w:lang w:val="en-GB"/>
        </w:rPr>
        <w:t>.</w:t>
      </w:r>
    </w:p>
    <w:p w14:paraId="1A3EFE38" w14:textId="77777777" w:rsidR="0093409D" w:rsidRPr="0093409D" w:rsidRDefault="0093409D" w:rsidP="0093409D">
      <w:pPr>
        <w:pStyle w:val="ListParagraph"/>
        <w:rPr>
          <w:rFonts w:ascii="Avenir Next" w:hAnsi="Avenir Next" w:cs="Arial"/>
          <w:color w:val="808080" w:themeColor="background1" w:themeShade="80"/>
          <w:sz w:val="22"/>
          <w:szCs w:val="22"/>
          <w:lang w:val="en-GB"/>
        </w:rPr>
      </w:pPr>
    </w:p>
    <w:p w14:paraId="564117E8" w14:textId="52045337" w:rsidR="0093409D" w:rsidRDefault="0093409D" w:rsidP="00FA32C0">
      <w:pPr>
        <w:pStyle w:val="ListParagraph"/>
        <w:numPr>
          <w:ilvl w:val="0"/>
          <w:numId w:val="29"/>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Principles and EU Cross-border Insolvency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Guidelines (2015)</w:t>
      </w:r>
      <w:r w:rsidR="00A60301">
        <w:rPr>
          <w:rFonts w:ascii="Avenir Next" w:hAnsi="Avenir Next" w:cs="Arial"/>
          <w:color w:val="808080" w:themeColor="background1" w:themeShade="80"/>
          <w:sz w:val="22"/>
          <w:szCs w:val="22"/>
          <w:lang w:val="en-GB"/>
        </w:rPr>
        <w:t xml:space="preserve"> (</w:t>
      </w:r>
      <w:proofErr w:type="spellStart"/>
      <w:r w:rsidR="00A60301" w:rsidRPr="00A60301">
        <w:rPr>
          <w:rFonts w:ascii="Avenir Next" w:hAnsi="Avenir Next" w:cs="Arial"/>
          <w:b/>
          <w:bCs/>
          <w:color w:val="808080" w:themeColor="background1" w:themeShade="80"/>
          <w:sz w:val="22"/>
          <w:szCs w:val="22"/>
          <w:lang w:val="en-GB"/>
        </w:rPr>
        <w:t>JudgeCo</w:t>
      </w:r>
      <w:proofErr w:type="spellEnd"/>
      <w:r w:rsidR="00A60301" w:rsidRPr="00A60301">
        <w:rPr>
          <w:rFonts w:ascii="Avenir Next" w:hAnsi="Avenir Next" w:cs="Arial"/>
          <w:b/>
          <w:bCs/>
          <w:color w:val="808080" w:themeColor="background1" w:themeShade="80"/>
          <w:sz w:val="22"/>
          <w:szCs w:val="22"/>
          <w:lang w:val="en-GB"/>
        </w:rPr>
        <w:t xml:space="preserve"> Guidelines</w:t>
      </w:r>
      <w:r w:rsidR="00A60301">
        <w:rPr>
          <w:rFonts w:ascii="Avenir Next" w:hAnsi="Avenir Next" w:cs="Arial"/>
          <w:color w:val="808080" w:themeColor="background1" w:themeShade="80"/>
          <w:sz w:val="22"/>
          <w:szCs w:val="22"/>
          <w:lang w:val="en-GB"/>
        </w:rPr>
        <w:t>)</w:t>
      </w:r>
    </w:p>
    <w:p w14:paraId="28C70195" w14:textId="75948A97" w:rsidR="00E57962" w:rsidRDefault="00E57962" w:rsidP="00E57962">
      <w:pPr>
        <w:pStyle w:val="ListParagraph"/>
        <w:ind w:left="567"/>
        <w:jc w:val="both"/>
        <w:rPr>
          <w:rFonts w:ascii="Avenir Next" w:hAnsi="Avenir Next" w:cs="Arial"/>
          <w:color w:val="808080" w:themeColor="background1" w:themeShade="80"/>
          <w:sz w:val="22"/>
          <w:szCs w:val="22"/>
          <w:lang w:val="en-GB"/>
        </w:rPr>
      </w:pPr>
    </w:p>
    <w:p w14:paraId="1D15B7DA" w14:textId="77777777" w:rsidR="002D1B19" w:rsidRDefault="00A60301" w:rsidP="002D1B19">
      <w:pPr>
        <w:pStyle w:val="ListParagraph"/>
        <w:ind w:left="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Guidelines prom</w:t>
      </w:r>
      <w:r w:rsidR="0045328A">
        <w:rPr>
          <w:rFonts w:ascii="Avenir Next" w:hAnsi="Avenir Next" w:cs="Arial"/>
          <w:color w:val="808080" w:themeColor="background1" w:themeShade="80"/>
          <w:sz w:val="22"/>
          <w:szCs w:val="22"/>
          <w:lang w:val="en-GB"/>
        </w:rPr>
        <w:t xml:space="preserve">ote the strengthening </w:t>
      </w:r>
      <w:r w:rsidR="00A465B8">
        <w:rPr>
          <w:rFonts w:ascii="Avenir Next" w:hAnsi="Avenir Next" w:cs="Arial"/>
          <w:color w:val="808080" w:themeColor="background1" w:themeShade="80"/>
          <w:sz w:val="22"/>
          <w:szCs w:val="22"/>
          <w:lang w:val="en-GB"/>
        </w:rPr>
        <w:t>of communication between EU member States</w:t>
      </w:r>
      <w:r w:rsidR="005A500C">
        <w:rPr>
          <w:rFonts w:ascii="Avenir Next" w:hAnsi="Avenir Next" w:cs="Arial"/>
          <w:color w:val="808080" w:themeColor="background1" w:themeShade="80"/>
          <w:sz w:val="22"/>
          <w:szCs w:val="22"/>
          <w:lang w:val="en-GB"/>
        </w:rPr>
        <w:t xml:space="preserve">. </w:t>
      </w:r>
      <w:r w:rsidR="002D1B19">
        <w:rPr>
          <w:rFonts w:ascii="Avenir Next" w:hAnsi="Avenir Next" w:cs="Arial"/>
          <w:color w:val="808080" w:themeColor="background1" w:themeShade="80"/>
          <w:sz w:val="22"/>
          <w:szCs w:val="22"/>
          <w:lang w:val="en-GB"/>
        </w:rPr>
        <w:t>The ALI – III Global Principles provide the following relevant principles when dealing with concurrent insolvency proceedings (</w:t>
      </w:r>
      <w:r w:rsidR="002D1B19">
        <w:rPr>
          <w:rFonts w:ascii="Avenir Next" w:hAnsi="Avenir Next" w:cs="Arial"/>
          <w:i/>
          <w:iCs/>
          <w:color w:val="808080" w:themeColor="background1" w:themeShade="80"/>
          <w:sz w:val="22"/>
          <w:szCs w:val="22"/>
          <w:lang w:val="en-GB"/>
        </w:rPr>
        <w:t>inter alia</w:t>
      </w:r>
      <w:r w:rsidR="002D1B19">
        <w:rPr>
          <w:rFonts w:ascii="Avenir Next" w:hAnsi="Avenir Next" w:cs="Arial"/>
          <w:color w:val="808080" w:themeColor="background1" w:themeShade="80"/>
          <w:sz w:val="22"/>
          <w:szCs w:val="22"/>
          <w:lang w:val="en-GB"/>
        </w:rPr>
        <w:t>):</w:t>
      </w:r>
    </w:p>
    <w:p w14:paraId="653AF1CC" w14:textId="77777777" w:rsidR="002D1B19" w:rsidRPr="0043343A" w:rsidRDefault="002D1B19" w:rsidP="002D1B19">
      <w:pPr>
        <w:pStyle w:val="ListParagraph"/>
        <w:ind w:left="567"/>
        <w:jc w:val="both"/>
        <w:rPr>
          <w:rFonts w:ascii="Avenir Next" w:hAnsi="Avenir Next" w:cs="Arial"/>
          <w:color w:val="808080" w:themeColor="background1" w:themeShade="80"/>
          <w:sz w:val="10"/>
          <w:szCs w:val="10"/>
          <w:lang w:val="en-GB"/>
        </w:rPr>
      </w:pPr>
    </w:p>
    <w:p w14:paraId="215B0384" w14:textId="3BC40616" w:rsidR="002D1B19" w:rsidRDefault="002D1B19" w:rsidP="002D1B19">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 stakeholders involved in concurrent proceedings ought conduct themselves with the overriding objective of meeting Principle 3.1</w:t>
      </w:r>
      <w:r>
        <w:rPr>
          <w:rStyle w:val="FootnoteReference"/>
          <w:rFonts w:ascii="Avenir Next" w:hAnsi="Avenir Next" w:cs="Arial"/>
          <w:color w:val="808080" w:themeColor="background1" w:themeShade="80"/>
          <w:sz w:val="22"/>
          <w:szCs w:val="22"/>
          <w:lang w:val="en-GB"/>
        </w:rPr>
        <w:footnoteReference w:id="94"/>
      </w:r>
      <w:r>
        <w:rPr>
          <w:rFonts w:ascii="Avenir Next" w:hAnsi="Avenir Next" w:cs="Arial"/>
          <w:color w:val="808080" w:themeColor="background1" w:themeShade="80"/>
          <w:sz w:val="22"/>
          <w:szCs w:val="22"/>
          <w:lang w:val="en-GB"/>
        </w:rPr>
        <w:t xml:space="preserve"> (Principle </w:t>
      </w:r>
      <w:r w:rsidR="007F7B8F">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.3);</w:t>
      </w:r>
    </w:p>
    <w:p w14:paraId="3BA2A1B7" w14:textId="77777777" w:rsidR="002D1B19" w:rsidRPr="00AE3F16" w:rsidRDefault="002D1B19" w:rsidP="002D1B19">
      <w:pPr>
        <w:pStyle w:val="ListParagraph"/>
        <w:ind w:left="851"/>
        <w:jc w:val="both"/>
        <w:rPr>
          <w:rFonts w:ascii="Avenir Next" w:hAnsi="Avenir Next" w:cs="Arial"/>
          <w:color w:val="808080" w:themeColor="background1" w:themeShade="80"/>
          <w:sz w:val="6"/>
          <w:szCs w:val="6"/>
          <w:lang w:val="en-GB"/>
        </w:rPr>
      </w:pPr>
    </w:p>
    <w:p w14:paraId="6922BD40" w14:textId="53106B34" w:rsidR="002D1B19" w:rsidRDefault="002D1B19" w:rsidP="002D1B19">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ought actively manage their respective insolvency proceedings to coordinate and harmonise the respective proceedings, subject to various exemptions (Principle </w:t>
      </w:r>
      <w:r w:rsidR="007F7B8F">
        <w:rPr>
          <w:rFonts w:ascii="Avenir Next" w:hAnsi="Avenir Next" w:cs="Arial"/>
          <w:color w:val="808080" w:themeColor="background1" w:themeShade="80"/>
          <w:sz w:val="22"/>
          <w:szCs w:val="22"/>
          <w:lang w:val="en-GB"/>
        </w:rPr>
        <w:t>5.1</w:t>
      </w:r>
      <w:r>
        <w:rPr>
          <w:rFonts w:ascii="Avenir Next" w:hAnsi="Avenir Next" w:cs="Arial"/>
          <w:color w:val="808080" w:themeColor="background1" w:themeShade="80"/>
          <w:sz w:val="22"/>
          <w:szCs w:val="22"/>
          <w:lang w:val="en-GB"/>
        </w:rPr>
        <w:t xml:space="preserve">); </w:t>
      </w:r>
    </w:p>
    <w:p w14:paraId="74C31CEF" w14:textId="77777777" w:rsidR="002D1B19" w:rsidRPr="00D439AD" w:rsidRDefault="002D1B19" w:rsidP="002D1B19">
      <w:pPr>
        <w:pStyle w:val="ListParagraph"/>
        <w:rPr>
          <w:rFonts w:ascii="Avenir Next" w:hAnsi="Avenir Next" w:cs="Arial"/>
          <w:color w:val="808080" w:themeColor="background1" w:themeShade="80"/>
          <w:sz w:val="6"/>
          <w:szCs w:val="6"/>
          <w:lang w:val="en-GB"/>
        </w:rPr>
      </w:pPr>
    </w:p>
    <w:p w14:paraId="2615E670" w14:textId="783A5EEE" w:rsidR="009F08DC" w:rsidRDefault="009F08DC" w:rsidP="002D1B19">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there are concurrent insolvency proceedings, each respective court should minimise conflict</w:t>
      </w:r>
      <w:r w:rsidR="004E340F">
        <w:rPr>
          <w:rFonts w:ascii="Avenir Next" w:hAnsi="Avenir Next" w:cs="Arial"/>
          <w:color w:val="808080" w:themeColor="background1" w:themeShade="80"/>
          <w:sz w:val="22"/>
          <w:szCs w:val="22"/>
          <w:lang w:val="en-GB"/>
        </w:rPr>
        <w:t>s that arise between the applicable stays/moratoriums (Principle 9);</w:t>
      </w:r>
    </w:p>
    <w:p w14:paraId="31360CCA" w14:textId="77777777" w:rsidR="009F08DC" w:rsidRPr="004E340F" w:rsidRDefault="009F08DC" w:rsidP="009F08DC">
      <w:pPr>
        <w:pStyle w:val="ListParagraph"/>
        <w:rPr>
          <w:rFonts w:ascii="Avenir Next" w:hAnsi="Avenir Next" w:cs="Arial"/>
          <w:color w:val="808080" w:themeColor="background1" w:themeShade="80"/>
          <w:sz w:val="10"/>
          <w:szCs w:val="10"/>
          <w:lang w:val="en-GB"/>
        </w:rPr>
      </w:pPr>
    </w:p>
    <w:p w14:paraId="1CA79DD5" w14:textId="12180C04" w:rsidR="002D1B19" w:rsidRDefault="002D1B19" w:rsidP="002D1B19">
      <w:pPr>
        <w:pStyle w:val="ListParagraph"/>
        <w:numPr>
          <w:ilvl w:val="0"/>
          <w:numId w:val="25"/>
        </w:numPr>
        <w:ind w:left="851"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obligation for the liquidators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w:t>
      </w:r>
      <w:r w:rsidRPr="000F756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work on a protocol to maximise the cooperation between each estate (Principle </w:t>
      </w:r>
      <w:r w:rsidR="00DF4F99">
        <w:rPr>
          <w:rFonts w:ascii="Avenir Next" w:hAnsi="Avenir Next" w:cs="Arial"/>
          <w:color w:val="808080" w:themeColor="background1" w:themeShade="80"/>
          <w:sz w:val="22"/>
          <w:szCs w:val="22"/>
          <w:lang w:val="en-GB"/>
        </w:rPr>
        <w:t>16</w:t>
      </w:r>
      <w:r>
        <w:rPr>
          <w:rFonts w:ascii="Avenir Next" w:hAnsi="Avenir Next" w:cs="Arial"/>
          <w:color w:val="808080" w:themeColor="background1" w:themeShade="80"/>
          <w:sz w:val="22"/>
          <w:szCs w:val="22"/>
          <w:lang w:val="en-GB"/>
        </w:rPr>
        <w:t>) and coordination between courts (Principle </w:t>
      </w:r>
      <w:r w:rsidR="00DF4F99">
        <w:rPr>
          <w:rFonts w:ascii="Avenir Next" w:hAnsi="Avenir Next" w:cs="Arial"/>
          <w:color w:val="808080" w:themeColor="background1" w:themeShade="80"/>
          <w:sz w:val="22"/>
          <w:szCs w:val="22"/>
          <w:lang w:val="en-GB"/>
        </w:rPr>
        <w:t>19</w:t>
      </w:r>
      <w:r>
        <w:rPr>
          <w:rFonts w:ascii="Avenir Next" w:hAnsi="Avenir Next" w:cs="Arial"/>
          <w:color w:val="808080" w:themeColor="background1" w:themeShade="80"/>
          <w:sz w:val="22"/>
          <w:szCs w:val="22"/>
          <w:lang w:val="en-GB"/>
        </w:rPr>
        <w:t>).</w:t>
      </w:r>
    </w:p>
    <w:p w14:paraId="020B0995" w14:textId="77777777" w:rsidR="00E57962" w:rsidRPr="0093409D" w:rsidRDefault="00E57962" w:rsidP="0093409D">
      <w:pPr>
        <w:pStyle w:val="ListParagraph"/>
        <w:rPr>
          <w:rFonts w:ascii="Avenir Next" w:hAnsi="Avenir Next" w:cs="Arial"/>
          <w:color w:val="808080" w:themeColor="background1" w:themeShade="80"/>
          <w:sz w:val="22"/>
          <w:szCs w:val="22"/>
          <w:lang w:val="en-GB"/>
        </w:rPr>
      </w:pPr>
    </w:p>
    <w:p w14:paraId="1D3D77DA" w14:textId="65E4479C" w:rsidR="0093409D" w:rsidRDefault="0093409D" w:rsidP="00FA32C0">
      <w:pPr>
        <w:pStyle w:val="ListParagraph"/>
        <w:numPr>
          <w:ilvl w:val="0"/>
          <w:numId w:val="29"/>
        </w:numPr>
        <w:ind w:left="567"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JIN</w:t>
      </w:r>
    </w:p>
    <w:p w14:paraId="5EF5C5ED" w14:textId="77777777" w:rsidR="0093409D" w:rsidRPr="0093409D" w:rsidRDefault="0093409D" w:rsidP="0093409D">
      <w:pPr>
        <w:pStyle w:val="ListParagraph"/>
        <w:rPr>
          <w:rFonts w:ascii="Avenir Next" w:hAnsi="Avenir Next" w:cs="Arial"/>
          <w:color w:val="808080" w:themeColor="background1" w:themeShade="80"/>
          <w:sz w:val="22"/>
          <w:szCs w:val="22"/>
          <w:lang w:val="en-GB"/>
        </w:rPr>
      </w:pPr>
    </w:p>
    <w:p w14:paraId="574CB019" w14:textId="285E2891" w:rsidR="00617A37" w:rsidRDefault="00617A37" w:rsidP="00617A37">
      <w:pPr>
        <w:ind w:left="567"/>
        <w:jc w:val="both"/>
        <w:rPr>
          <w:rFonts w:ascii="Avenir Next" w:hAnsi="Avenir Next" w:cs="Arial"/>
          <w:color w:val="808080" w:themeColor="background1" w:themeShade="80"/>
          <w:sz w:val="22"/>
          <w:szCs w:val="22"/>
          <w:lang w:val="en-GB"/>
        </w:rPr>
      </w:pPr>
      <w:r w:rsidRPr="006D00B1">
        <w:rPr>
          <w:rFonts w:ascii="Avenir Next" w:hAnsi="Avenir Next" w:cs="Arial"/>
          <w:color w:val="808080" w:themeColor="background1" w:themeShade="80"/>
          <w:sz w:val="22"/>
          <w:szCs w:val="22"/>
          <w:lang w:val="en-GB"/>
        </w:rPr>
        <w:t xml:space="preserve">The </w:t>
      </w:r>
      <w:r w:rsidR="00C7798D" w:rsidRPr="00FE2E39">
        <w:rPr>
          <w:rFonts w:ascii="Avenir Next" w:hAnsi="Avenir Next" w:cs="Arial"/>
          <w:color w:val="808080" w:themeColor="background1" w:themeShade="80"/>
          <w:sz w:val="22"/>
          <w:szCs w:val="22"/>
          <w:lang w:val="en-GB"/>
        </w:rPr>
        <w:t xml:space="preserve">Judicial Insolvency Network </w:t>
      </w:r>
      <w:r w:rsidR="00FC2368">
        <w:rPr>
          <w:rFonts w:ascii="Avenir Next" w:hAnsi="Avenir Next" w:cs="Arial"/>
          <w:color w:val="808080" w:themeColor="background1" w:themeShade="80"/>
          <w:sz w:val="22"/>
          <w:szCs w:val="22"/>
          <w:lang w:val="en-GB"/>
        </w:rPr>
        <w:t>(</w:t>
      </w:r>
      <w:r w:rsidR="00FC2368" w:rsidRPr="00FC2368">
        <w:rPr>
          <w:rFonts w:ascii="Avenir Next" w:hAnsi="Avenir Next" w:cs="Arial"/>
          <w:b/>
          <w:bCs/>
          <w:color w:val="808080" w:themeColor="background1" w:themeShade="80"/>
          <w:sz w:val="22"/>
          <w:szCs w:val="22"/>
          <w:lang w:val="en-GB"/>
        </w:rPr>
        <w:t>JIN</w:t>
      </w:r>
      <w:r w:rsidR="00FC2368">
        <w:rPr>
          <w:rFonts w:ascii="Avenir Next" w:hAnsi="Avenir Next" w:cs="Arial"/>
          <w:color w:val="808080" w:themeColor="background1" w:themeShade="80"/>
          <w:sz w:val="22"/>
          <w:szCs w:val="22"/>
          <w:lang w:val="en-GB"/>
        </w:rPr>
        <w:t xml:space="preserve">) </w:t>
      </w:r>
      <w:r w:rsidR="00C7798D" w:rsidRPr="00FE2E39">
        <w:rPr>
          <w:rFonts w:ascii="Avenir Next" w:hAnsi="Avenir Next" w:cs="Arial"/>
          <w:color w:val="808080" w:themeColor="background1" w:themeShade="80"/>
          <w:sz w:val="22"/>
          <w:szCs w:val="22"/>
          <w:lang w:val="en-GB"/>
        </w:rPr>
        <w:t>Guidelines for Communication and Cooperation between Courts in Cross-Border Insolvency Matters</w:t>
      </w:r>
      <w:r w:rsidR="00C7798D">
        <w:rPr>
          <w:rFonts w:ascii="Avenir Next" w:hAnsi="Avenir Next" w:cs="Arial"/>
          <w:color w:val="808080" w:themeColor="background1" w:themeShade="80"/>
          <w:sz w:val="22"/>
          <w:szCs w:val="22"/>
          <w:lang w:val="en-GB"/>
        </w:rPr>
        <w:t xml:space="preserve"> (2017) (</w:t>
      </w:r>
      <w:r w:rsidR="00C7798D" w:rsidRPr="000A65E5">
        <w:rPr>
          <w:rFonts w:ascii="Avenir Next" w:hAnsi="Avenir Next" w:cs="Arial"/>
          <w:b/>
          <w:bCs/>
          <w:color w:val="808080" w:themeColor="background1" w:themeShade="80"/>
          <w:sz w:val="22"/>
          <w:szCs w:val="22"/>
          <w:lang w:val="en-GB"/>
        </w:rPr>
        <w:t>JIN Guidelines</w:t>
      </w:r>
      <w:r w:rsidR="00C7798D">
        <w:rPr>
          <w:rFonts w:ascii="Avenir Next" w:hAnsi="Avenir Next" w:cs="Arial"/>
          <w:color w:val="808080" w:themeColor="background1" w:themeShade="80"/>
          <w:sz w:val="22"/>
          <w:szCs w:val="22"/>
          <w:lang w:val="en-GB"/>
        </w:rPr>
        <w:t>)</w:t>
      </w:r>
      <w:r w:rsidRPr="006D00B1">
        <w:rPr>
          <w:rFonts w:ascii="Avenir Next" w:hAnsi="Avenir Next" w:cs="Arial"/>
          <w:color w:val="808080" w:themeColor="background1" w:themeShade="80"/>
          <w:sz w:val="22"/>
          <w:szCs w:val="22"/>
          <w:lang w:val="en-GB"/>
        </w:rPr>
        <w:t>, are a collection of guidelines between adopting Cour</w:t>
      </w:r>
      <w:r w:rsidR="00FC2368">
        <w:rPr>
          <w:rFonts w:ascii="Avenir Next" w:hAnsi="Avenir Next" w:cs="Arial"/>
          <w:color w:val="808080" w:themeColor="background1" w:themeShade="80"/>
          <w:sz w:val="22"/>
          <w:szCs w:val="22"/>
          <w:lang w:val="en-GB"/>
        </w:rPr>
        <w:t>ts</w:t>
      </w:r>
      <w:r>
        <w:rPr>
          <w:rStyle w:val="FootnoteReference"/>
          <w:rFonts w:ascii="Avenir Next" w:hAnsi="Avenir Next" w:cs="Arial"/>
          <w:color w:val="808080" w:themeColor="background1" w:themeShade="80"/>
          <w:sz w:val="22"/>
          <w:szCs w:val="22"/>
          <w:lang w:val="en-GB"/>
        </w:rPr>
        <w:footnoteReference w:id="95"/>
      </w:r>
      <w:r w:rsidRPr="006D00B1">
        <w:rPr>
          <w:rFonts w:ascii="Avenir Next" w:hAnsi="Avenir Next" w:cs="Arial"/>
          <w:color w:val="808080" w:themeColor="background1" w:themeShade="80"/>
          <w:sz w:val="22"/>
          <w:szCs w:val="22"/>
          <w:lang w:val="en-GB"/>
        </w:rPr>
        <w:t xml:space="preserve"> that provide </w:t>
      </w:r>
      <w:r w:rsidRPr="00F33513">
        <w:rPr>
          <w:rFonts w:ascii="Avenir Next" w:hAnsi="Avenir Next" w:cs="Arial"/>
          <w:color w:val="808080" w:themeColor="background1" w:themeShade="80"/>
          <w:sz w:val="22"/>
          <w:szCs w:val="22"/>
          <w:lang w:val="en-GB"/>
        </w:rPr>
        <w:t>best practice</w:t>
      </w:r>
      <w:r w:rsidRPr="006D00B1">
        <w:rPr>
          <w:rFonts w:ascii="Avenir Next" w:hAnsi="Avenir Next" w:cs="Arial"/>
          <w:color w:val="808080" w:themeColor="background1" w:themeShade="80"/>
          <w:sz w:val="22"/>
          <w:szCs w:val="22"/>
          <w:lang w:val="en-GB"/>
        </w:rPr>
        <w:t xml:space="preserve"> communication and cooperation leadership between Courts, insolvency practitioners and other parties involved in cross-border proceedings.</w:t>
      </w:r>
      <w:r w:rsidR="00690CD0" w:rsidRPr="006D00B1">
        <w:rPr>
          <w:color w:val="808080" w:themeColor="background1" w:themeShade="80"/>
          <w:vertAlign w:val="superscript"/>
        </w:rPr>
        <w:footnoteReference w:id="96"/>
      </w:r>
      <w:r w:rsidRPr="006D00B1">
        <w:rPr>
          <w:rFonts w:ascii="Avenir Next" w:hAnsi="Avenir Next" w:cs="Arial"/>
          <w:color w:val="808080" w:themeColor="background1" w:themeShade="80"/>
          <w:sz w:val="22"/>
          <w:szCs w:val="22"/>
          <w:lang w:val="en-GB"/>
        </w:rPr>
        <w:t xml:space="preserve"> </w:t>
      </w:r>
    </w:p>
    <w:p w14:paraId="3F46FACC" w14:textId="77777777" w:rsidR="00A465B8" w:rsidRPr="006D00B1" w:rsidRDefault="00A465B8" w:rsidP="00617A37">
      <w:pPr>
        <w:ind w:left="567"/>
        <w:jc w:val="both"/>
        <w:rPr>
          <w:rFonts w:ascii="Avenir Next" w:hAnsi="Avenir Next" w:cs="Arial"/>
          <w:color w:val="808080" w:themeColor="background1" w:themeShade="80"/>
          <w:sz w:val="22"/>
          <w:szCs w:val="22"/>
          <w:lang w:val="en-GB"/>
        </w:rPr>
      </w:pPr>
    </w:p>
    <w:p w14:paraId="7C939563" w14:textId="6641E04D" w:rsidR="00124FF3" w:rsidRPr="00124FF3" w:rsidRDefault="00124FF3" w:rsidP="00692852">
      <w:pPr>
        <w:jc w:val="both"/>
        <w:rPr>
          <w:rFonts w:ascii="Avenir Next" w:hAnsi="Avenir Next" w:cs="Arial"/>
          <w:b/>
          <w:bCs/>
          <w:color w:val="808080" w:themeColor="background1" w:themeShade="80"/>
          <w:sz w:val="22"/>
          <w:szCs w:val="22"/>
          <w:u w:val="single"/>
          <w:lang w:val="en-GB"/>
        </w:rPr>
      </w:pPr>
      <w:r w:rsidRPr="00124FF3">
        <w:rPr>
          <w:rFonts w:ascii="Avenir Next" w:hAnsi="Avenir Next" w:cs="Arial"/>
          <w:b/>
          <w:bCs/>
          <w:color w:val="808080" w:themeColor="background1" w:themeShade="80"/>
          <w:sz w:val="22"/>
          <w:szCs w:val="22"/>
          <w:u w:val="single"/>
          <w:lang w:val="en-GB"/>
        </w:rPr>
        <w:t>Importance</w:t>
      </w:r>
    </w:p>
    <w:p w14:paraId="0846C64A" w14:textId="749DCC07" w:rsidR="00124FF3" w:rsidRDefault="00124FF3" w:rsidP="00692852">
      <w:pPr>
        <w:jc w:val="both"/>
        <w:rPr>
          <w:rFonts w:ascii="Avenir Next" w:hAnsi="Avenir Next"/>
          <w:sz w:val="22"/>
          <w:szCs w:val="22"/>
          <w:lang w:val="en-GB"/>
        </w:rPr>
      </w:pPr>
    </w:p>
    <w:p w14:paraId="7BCBCB2C" w14:textId="3EC9CF34" w:rsidR="00AE5332" w:rsidRPr="00AE5332" w:rsidRDefault="00AE5332" w:rsidP="00AE5332">
      <w:pPr>
        <w:jc w:val="both"/>
        <w:rPr>
          <w:rFonts w:ascii="Avenir Next" w:hAnsi="Avenir Next" w:cs="Arial"/>
          <w:color w:val="7B7B7B" w:themeColor="accent3" w:themeShade="BF"/>
          <w:sz w:val="22"/>
          <w:szCs w:val="22"/>
          <w:lang w:val="en-GB"/>
        </w:rPr>
      </w:pPr>
      <w:r w:rsidRPr="00AE5332">
        <w:rPr>
          <w:rFonts w:ascii="Avenir Next" w:hAnsi="Avenir Next" w:cs="Arial"/>
          <w:color w:val="7B7B7B" w:themeColor="accent3" w:themeShade="BF"/>
          <w:sz w:val="22"/>
          <w:szCs w:val="22"/>
          <w:lang w:val="en-GB"/>
        </w:rPr>
        <w:t>Where cooperation is not possible, or only partially possible, it may cause a material increase in costs in administering the affairs of the debtor,</w:t>
      </w:r>
      <w:r>
        <w:rPr>
          <w:rStyle w:val="FootnoteReference"/>
          <w:rFonts w:ascii="Avenir Next" w:hAnsi="Avenir Next" w:cs="Arial"/>
          <w:color w:val="7B7B7B" w:themeColor="accent3" w:themeShade="BF"/>
          <w:sz w:val="22"/>
          <w:szCs w:val="22"/>
          <w:lang w:val="en-GB"/>
        </w:rPr>
        <w:footnoteReference w:id="97"/>
      </w:r>
      <w:r w:rsidRPr="00AE5332">
        <w:rPr>
          <w:rFonts w:ascii="Avenir Next" w:hAnsi="Avenir Next" w:cs="Arial"/>
          <w:color w:val="7B7B7B" w:themeColor="accent3" w:themeShade="BF"/>
          <w:sz w:val="22"/>
          <w:szCs w:val="22"/>
          <w:lang w:val="en-GB"/>
        </w:rPr>
        <w:t xml:space="preserve"> duplication of proceedings, “grab-rule”</w:t>
      </w:r>
      <w:r>
        <w:rPr>
          <w:rStyle w:val="FootnoteReference"/>
          <w:rFonts w:ascii="Avenir Next" w:hAnsi="Avenir Next" w:cs="Arial"/>
          <w:color w:val="7B7B7B" w:themeColor="accent3" w:themeShade="BF"/>
          <w:sz w:val="22"/>
          <w:szCs w:val="22"/>
          <w:lang w:val="en-GB"/>
        </w:rPr>
        <w:footnoteReference w:id="98"/>
      </w:r>
      <w:r w:rsidRPr="00AE5332">
        <w:rPr>
          <w:rFonts w:ascii="Avenir Next" w:hAnsi="Avenir Next" w:cs="Arial"/>
          <w:color w:val="7B7B7B" w:themeColor="accent3" w:themeShade="BF"/>
          <w:sz w:val="22"/>
          <w:szCs w:val="22"/>
          <w:lang w:val="en-GB"/>
        </w:rPr>
        <w:t xml:space="preserve"> or “ring-fencing,”</w:t>
      </w:r>
      <w:r>
        <w:rPr>
          <w:rStyle w:val="FootnoteReference"/>
          <w:rFonts w:ascii="Avenir Next" w:hAnsi="Avenir Next" w:cs="Arial"/>
          <w:color w:val="7B7B7B" w:themeColor="accent3" w:themeShade="BF"/>
          <w:sz w:val="22"/>
          <w:szCs w:val="22"/>
          <w:lang w:val="en-GB"/>
        </w:rPr>
        <w:footnoteReference w:id="99"/>
      </w:r>
      <w:r w:rsidRPr="00AE5332">
        <w:rPr>
          <w:rFonts w:ascii="Avenir Next" w:hAnsi="Avenir Next" w:cs="Arial"/>
          <w:color w:val="7B7B7B" w:themeColor="accent3" w:themeShade="BF"/>
          <w:sz w:val="22"/>
          <w:szCs w:val="22"/>
          <w:lang w:val="en-GB"/>
        </w:rPr>
        <w:t xml:space="preserve"> fraud, forum shopping, prioritis</w:t>
      </w:r>
      <w:r w:rsidR="00ED69B5">
        <w:rPr>
          <w:rFonts w:ascii="Avenir Next" w:hAnsi="Avenir Next" w:cs="Arial"/>
          <w:color w:val="7B7B7B" w:themeColor="accent3" w:themeShade="BF"/>
          <w:sz w:val="22"/>
          <w:szCs w:val="22"/>
          <w:lang w:val="en-GB"/>
        </w:rPr>
        <w:t>ing</w:t>
      </w:r>
      <w:r w:rsidRPr="00AE5332">
        <w:rPr>
          <w:rFonts w:ascii="Avenir Next" w:hAnsi="Avenir Next" w:cs="Arial"/>
          <w:color w:val="7B7B7B" w:themeColor="accent3" w:themeShade="BF"/>
          <w:sz w:val="22"/>
          <w:szCs w:val="22"/>
          <w:lang w:val="en-GB"/>
        </w:rPr>
        <w:t xml:space="preserve"> the ‘strongest’ creditors or creditors that exist within the State with the most assets (rather than adhering to the </w:t>
      </w:r>
      <w:r w:rsidRPr="00AE5332">
        <w:rPr>
          <w:rFonts w:ascii="Avenir Next" w:hAnsi="Avenir Next" w:cs="Arial"/>
          <w:i/>
          <w:iCs/>
          <w:color w:val="7B7B7B" w:themeColor="accent3" w:themeShade="BF"/>
          <w:sz w:val="22"/>
          <w:szCs w:val="22"/>
          <w:lang w:val="en-GB"/>
        </w:rPr>
        <w:t xml:space="preserve">par </w:t>
      </w:r>
      <w:proofErr w:type="spellStart"/>
      <w:r w:rsidRPr="00AE5332">
        <w:rPr>
          <w:rFonts w:ascii="Avenir Next" w:hAnsi="Avenir Next" w:cs="Arial"/>
          <w:i/>
          <w:iCs/>
          <w:color w:val="7B7B7B" w:themeColor="accent3" w:themeShade="BF"/>
          <w:sz w:val="22"/>
          <w:szCs w:val="22"/>
          <w:lang w:val="en-GB"/>
        </w:rPr>
        <w:t>conditio</w:t>
      </w:r>
      <w:proofErr w:type="spellEnd"/>
      <w:r w:rsidRPr="00AE5332">
        <w:rPr>
          <w:rFonts w:ascii="Avenir Next" w:hAnsi="Avenir Next" w:cs="Arial"/>
          <w:i/>
          <w:iCs/>
          <w:color w:val="7B7B7B" w:themeColor="accent3" w:themeShade="BF"/>
          <w:sz w:val="22"/>
          <w:szCs w:val="22"/>
          <w:lang w:val="en-GB"/>
        </w:rPr>
        <w:t xml:space="preserve"> </w:t>
      </w:r>
      <w:proofErr w:type="spellStart"/>
      <w:r w:rsidRPr="00AE5332">
        <w:rPr>
          <w:rFonts w:ascii="Avenir Next" w:hAnsi="Avenir Next" w:cs="Arial"/>
          <w:i/>
          <w:iCs/>
          <w:color w:val="7B7B7B" w:themeColor="accent3" w:themeShade="BF"/>
          <w:sz w:val="22"/>
          <w:szCs w:val="22"/>
          <w:lang w:val="en-GB"/>
        </w:rPr>
        <w:t>creditorum</w:t>
      </w:r>
      <w:proofErr w:type="spellEnd"/>
      <w:r w:rsidRPr="00AE5332">
        <w:rPr>
          <w:rFonts w:ascii="Avenir Next" w:hAnsi="Avenir Next" w:cs="Arial"/>
          <w:color w:val="7B7B7B" w:themeColor="accent3" w:themeShade="BF"/>
          <w:sz w:val="22"/>
          <w:szCs w:val="22"/>
          <w:lang w:val="en-GB"/>
        </w:rPr>
        <w:t>), or may prejudice non-national creditors whose State the debtor has no material assets, etc.</w:t>
      </w:r>
    </w:p>
    <w:p w14:paraId="64A911D1" w14:textId="2A3497F2" w:rsidR="00AE5332" w:rsidRDefault="00AE5332" w:rsidP="00692852">
      <w:pPr>
        <w:jc w:val="both"/>
        <w:rPr>
          <w:rFonts w:ascii="Avenir Next" w:hAnsi="Avenir Next"/>
          <w:sz w:val="22"/>
          <w:szCs w:val="22"/>
          <w:lang w:val="en-GB"/>
        </w:rPr>
      </w:pPr>
    </w:p>
    <w:p w14:paraId="2B376AEB" w14:textId="77777777" w:rsidR="00F33513" w:rsidRDefault="00F33513" w:rsidP="00692852">
      <w:pPr>
        <w:jc w:val="both"/>
        <w:rPr>
          <w:rFonts w:ascii="Avenir Next" w:hAnsi="Avenir Next"/>
          <w:sz w:val="22"/>
          <w:szCs w:val="22"/>
          <w:lang w:val="en-GB"/>
        </w:rPr>
      </w:pPr>
    </w:p>
    <w:p w14:paraId="1DF041F8" w14:textId="77777777" w:rsidR="000E7F37" w:rsidRPr="004216EA" w:rsidRDefault="000E7F37" w:rsidP="00692852">
      <w:pPr>
        <w:jc w:val="both"/>
        <w:rPr>
          <w:rFonts w:ascii="Avenir Next" w:hAnsi="Avenir Next"/>
          <w:sz w:val="22"/>
          <w:szCs w:val="22"/>
          <w:lang w:val="en-GB"/>
        </w:rPr>
      </w:pPr>
    </w:p>
    <w:p w14:paraId="1F82DEBF" w14:textId="77777777" w:rsidR="009A2B27" w:rsidRDefault="009A2B27">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E740CA3" w14:textId="1BA83841"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3CDB5E6F"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B35B3C">
        <w:rPr>
          <w:rFonts w:ascii="Avenir Next" w:hAnsi="Avenir Next" w:cs="Arial"/>
          <w:sz w:val="22"/>
          <w:szCs w:val="22"/>
          <w:lang w:val="en-GB"/>
        </w:rPr>
        <w:t>FPPL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Pr="00F64CDA" w:rsidRDefault="004E1D03" w:rsidP="00692852">
      <w:pPr>
        <w:ind w:left="720" w:hanging="720"/>
        <w:jc w:val="both"/>
        <w:rPr>
          <w:rFonts w:ascii="Avenir Next" w:hAnsi="Avenir Next" w:cs="Arial"/>
          <w:sz w:val="22"/>
          <w:szCs w:val="22"/>
          <w:lang w:val="en-GB"/>
        </w:rPr>
      </w:pPr>
    </w:p>
    <w:p w14:paraId="766D7FC0" w14:textId="3BF11AA5" w:rsidR="00A11359" w:rsidRPr="00F64CDA" w:rsidRDefault="00E668F2" w:rsidP="00F64CDA">
      <w:pPr>
        <w:pStyle w:val="ListParagraph"/>
        <w:numPr>
          <w:ilvl w:val="0"/>
          <w:numId w:val="34"/>
        </w:numPr>
        <w:ind w:left="426" w:hanging="426"/>
        <w:jc w:val="both"/>
        <w:rPr>
          <w:rFonts w:ascii="Avenir Next" w:hAnsi="Avenir Next" w:cs="Arial"/>
          <w:color w:val="7B7B7B" w:themeColor="accent3" w:themeShade="BF"/>
          <w:sz w:val="22"/>
          <w:szCs w:val="22"/>
          <w:lang w:val="en-GB"/>
        </w:rPr>
      </w:pPr>
      <w:r w:rsidRPr="00F64CDA">
        <w:rPr>
          <w:rFonts w:ascii="Avenir Next" w:hAnsi="Avenir Next" w:cs="Arial"/>
          <w:color w:val="7B7B7B" w:themeColor="accent3" w:themeShade="BF"/>
          <w:sz w:val="22"/>
          <w:szCs w:val="22"/>
          <w:lang w:val="en-GB"/>
        </w:rPr>
        <w:t xml:space="preserve">The relevant legislation referred to herein are the </w:t>
      </w:r>
      <w:r w:rsidR="00727901" w:rsidRPr="00F64CDA">
        <w:rPr>
          <w:rFonts w:ascii="Avenir Next" w:hAnsi="Avenir Next" w:cs="Arial"/>
          <w:color w:val="7B7B7B" w:themeColor="accent3" w:themeShade="BF"/>
          <w:sz w:val="22"/>
          <w:szCs w:val="22"/>
          <w:lang w:val="en-GB"/>
        </w:rPr>
        <w:t>amended European Insolvency Regulation (</w:t>
      </w:r>
      <w:r w:rsidR="00727901" w:rsidRPr="00F64CDA">
        <w:rPr>
          <w:rFonts w:ascii="Avenir Next" w:hAnsi="Avenir Next" w:cs="Arial"/>
          <w:b/>
          <w:bCs/>
          <w:color w:val="7B7B7B" w:themeColor="accent3" w:themeShade="BF"/>
          <w:sz w:val="22"/>
          <w:szCs w:val="22"/>
          <w:lang w:val="en-GB"/>
        </w:rPr>
        <w:t>EIR</w:t>
      </w:r>
      <w:r w:rsidR="00727901" w:rsidRPr="00F64CDA">
        <w:rPr>
          <w:rFonts w:ascii="Avenir Next" w:hAnsi="Avenir Next" w:cs="Arial"/>
          <w:color w:val="7B7B7B" w:themeColor="accent3" w:themeShade="BF"/>
          <w:sz w:val="22"/>
          <w:szCs w:val="22"/>
          <w:lang w:val="en-GB"/>
        </w:rPr>
        <w:t xml:space="preserve">) Recast (2015) </w:t>
      </w:r>
      <w:r w:rsidRPr="00F64CDA">
        <w:rPr>
          <w:rFonts w:ascii="Avenir Next" w:hAnsi="Avenir Next" w:cs="Arial"/>
          <w:color w:val="7B7B7B" w:themeColor="accent3" w:themeShade="BF"/>
          <w:sz w:val="22"/>
          <w:szCs w:val="22"/>
          <w:lang w:val="en-GB"/>
        </w:rPr>
        <w:t>(</w:t>
      </w:r>
      <w:r w:rsidRPr="00F64CDA">
        <w:rPr>
          <w:rFonts w:ascii="Avenir Next" w:hAnsi="Avenir Next" w:cs="Arial"/>
          <w:b/>
          <w:bCs/>
          <w:color w:val="7B7B7B" w:themeColor="accent3" w:themeShade="BF"/>
          <w:sz w:val="22"/>
          <w:szCs w:val="22"/>
          <w:lang w:val="en-GB"/>
        </w:rPr>
        <w:t>EIR Recas</w:t>
      </w:r>
      <w:r w:rsidR="00F64CDA" w:rsidRPr="00F64CDA">
        <w:rPr>
          <w:rFonts w:ascii="Avenir Next" w:hAnsi="Avenir Next" w:cs="Arial"/>
          <w:b/>
          <w:bCs/>
          <w:color w:val="7B7B7B" w:themeColor="accent3" w:themeShade="BF"/>
          <w:sz w:val="22"/>
          <w:szCs w:val="22"/>
          <w:lang w:val="en-GB"/>
        </w:rPr>
        <w:t>t</w:t>
      </w:r>
      <w:r w:rsidRPr="00F64CDA">
        <w:rPr>
          <w:rFonts w:ascii="Avenir Next" w:hAnsi="Avenir Next" w:cs="Arial"/>
          <w:color w:val="7B7B7B" w:themeColor="accent3" w:themeShade="BF"/>
          <w:sz w:val="22"/>
          <w:szCs w:val="22"/>
          <w:lang w:val="en-GB"/>
        </w:rPr>
        <w:t xml:space="preserve">) </w:t>
      </w:r>
      <w:r w:rsidR="00727901" w:rsidRPr="00F64CDA">
        <w:rPr>
          <w:rFonts w:ascii="Avenir Next" w:hAnsi="Avenir Next" w:cs="Arial"/>
          <w:color w:val="7B7B7B" w:themeColor="accent3" w:themeShade="BF"/>
          <w:sz w:val="22"/>
          <w:szCs w:val="22"/>
          <w:lang w:val="en-GB"/>
        </w:rPr>
        <w:t>was adopted in 2015 and took effect in June 2017</w:t>
      </w:r>
      <w:r w:rsidRPr="00F64CDA">
        <w:rPr>
          <w:rFonts w:ascii="Avenir Next" w:hAnsi="Avenir Next" w:cs="Arial"/>
          <w:color w:val="7B7B7B" w:themeColor="accent3" w:themeShade="BF"/>
          <w:sz w:val="22"/>
          <w:szCs w:val="22"/>
          <w:lang w:val="en-GB"/>
        </w:rPr>
        <w:t xml:space="preserve"> and the </w:t>
      </w:r>
      <w:r w:rsidR="00A11359" w:rsidRPr="00F64CDA">
        <w:rPr>
          <w:rFonts w:ascii="Avenir Next" w:hAnsi="Avenir Next" w:cs="Arial"/>
          <w:color w:val="7B7B7B" w:themeColor="accent3" w:themeShade="BF"/>
          <w:sz w:val="22"/>
          <w:szCs w:val="22"/>
          <w:lang w:val="en-GB"/>
        </w:rPr>
        <w:t>United Kingdom Insolvency (Amendment) (EU Exit) Regulations 2019 (</w:t>
      </w:r>
      <w:r w:rsidR="00A11359" w:rsidRPr="00F64CDA">
        <w:rPr>
          <w:rFonts w:ascii="Avenir Next" w:hAnsi="Avenir Next" w:cs="Arial"/>
          <w:b/>
          <w:bCs/>
          <w:color w:val="7B7B7B" w:themeColor="accent3" w:themeShade="BF"/>
          <w:sz w:val="22"/>
          <w:szCs w:val="22"/>
          <w:lang w:val="en-GB"/>
        </w:rPr>
        <w:t>IXIT</w:t>
      </w:r>
      <w:r w:rsidR="00A11359" w:rsidRPr="00F64CDA">
        <w:rPr>
          <w:rFonts w:ascii="Avenir Next" w:hAnsi="Avenir Next" w:cs="Arial"/>
          <w:color w:val="7B7B7B" w:themeColor="accent3" w:themeShade="BF"/>
          <w:sz w:val="22"/>
          <w:szCs w:val="22"/>
          <w:lang w:val="en-GB"/>
        </w:rPr>
        <w:t>)</w:t>
      </w:r>
      <w:r w:rsidR="00727901" w:rsidRPr="00F64CDA">
        <w:rPr>
          <w:rFonts w:ascii="Avenir Next" w:hAnsi="Avenir Next" w:cs="Arial"/>
          <w:color w:val="7B7B7B" w:themeColor="accent3" w:themeShade="BF"/>
          <w:sz w:val="22"/>
          <w:szCs w:val="22"/>
          <w:lang w:val="en-GB"/>
        </w:rPr>
        <w:t>.</w:t>
      </w:r>
      <w:r w:rsidR="001E5B0A">
        <w:rPr>
          <w:rFonts w:ascii="Avenir Next" w:hAnsi="Avenir Next" w:cs="Arial"/>
          <w:color w:val="7B7B7B" w:themeColor="accent3" w:themeShade="BF"/>
          <w:sz w:val="22"/>
          <w:szCs w:val="22"/>
          <w:lang w:val="en-GB"/>
        </w:rPr>
        <w:t xml:space="preserve"> </w:t>
      </w:r>
    </w:p>
    <w:p w14:paraId="3C397224" w14:textId="77777777" w:rsidR="00752A1F" w:rsidRDefault="00752A1F" w:rsidP="00727901">
      <w:pPr>
        <w:jc w:val="both"/>
        <w:rPr>
          <w:rFonts w:ascii="Avenir Next" w:hAnsi="Avenir Next" w:cs="Arial"/>
          <w:color w:val="7B7B7B" w:themeColor="accent3" w:themeShade="BF"/>
          <w:sz w:val="22"/>
          <w:szCs w:val="22"/>
          <w:lang w:val="en-GB"/>
        </w:rPr>
      </w:pPr>
    </w:p>
    <w:p w14:paraId="3FEA6F4D" w14:textId="62F35773" w:rsidR="00A11359" w:rsidRPr="00752A1F" w:rsidRDefault="00752A1F" w:rsidP="00727901">
      <w:pPr>
        <w:jc w:val="both"/>
        <w:rPr>
          <w:rFonts w:ascii="Avenir Next" w:hAnsi="Avenir Next" w:cs="Arial"/>
          <w:b/>
          <w:bCs/>
          <w:color w:val="7B7B7B" w:themeColor="accent3" w:themeShade="BF"/>
          <w:sz w:val="22"/>
          <w:szCs w:val="22"/>
          <w:u w:val="single"/>
          <w:lang w:val="en-GB"/>
        </w:rPr>
      </w:pPr>
      <w:r w:rsidRPr="00752A1F">
        <w:rPr>
          <w:rFonts w:ascii="Avenir Next" w:hAnsi="Avenir Next" w:cs="Arial"/>
          <w:b/>
          <w:bCs/>
          <w:color w:val="7B7B7B" w:themeColor="accent3" w:themeShade="BF"/>
          <w:sz w:val="22"/>
          <w:szCs w:val="22"/>
          <w:u w:val="single"/>
          <w:lang w:val="en-GB"/>
        </w:rPr>
        <w:t>Standing for recognition</w:t>
      </w:r>
    </w:p>
    <w:p w14:paraId="1C12E57A" w14:textId="77777777" w:rsidR="00752A1F" w:rsidRPr="00F64CDA" w:rsidRDefault="00752A1F" w:rsidP="00727901">
      <w:pPr>
        <w:jc w:val="both"/>
        <w:rPr>
          <w:rFonts w:ascii="Avenir Next" w:hAnsi="Avenir Next" w:cs="Arial"/>
          <w:color w:val="7B7B7B" w:themeColor="accent3" w:themeShade="BF"/>
          <w:sz w:val="22"/>
          <w:szCs w:val="22"/>
          <w:lang w:val="en-GB"/>
        </w:rPr>
      </w:pPr>
    </w:p>
    <w:p w14:paraId="52187082" w14:textId="225AC04C" w:rsidR="000A0B25" w:rsidRDefault="00AC487C" w:rsidP="00F64CDA">
      <w:pPr>
        <w:pStyle w:val="ListParagraph"/>
        <w:numPr>
          <w:ilvl w:val="0"/>
          <w:numId w:val="34"/>
        </w:numPr>
        <w:ind w:left="426" w:hanging="426"/>
        <w:jc w:val="both"/>
        <w:rPr>
          <w:rFonts w:ascii="Avenir Next" w:hAnsi="Avenir Next" w:cs="Arial"/>
          <w:color w:val="7B7B7B" w:themeColor="accent3" w:themeShade="BF"/>
          <w:sz w:val="22"/>
          <w:szCs w:val="22"/>
          <w:lang w:val="en-GB"/>
        </w:rPr>
      </w:pPr>
      <w:r w:rsidRPr="00F64CDA">
        <w:rPr>
          <w:rFonts w:ascii="Avenir Next" w:hAnsi="Avenir Next" w:cs="Arial"/>
          <w:color w:val="7B7B7B" w:themeColor="accent3" w:themeShade="BF"/>
          <w:sz w:val="22"/>
          <w:szCs w:val="22"/>
          <w:lang w:val="en-GB"/>
        </w:rPr>
        <w:t xml:space="preserve">Paragraph </w:t>
      </w:r>
      <w:r w:rsidR="00D37A3E">
        <w:rPr>
          <w:rFonts w:ascii="Avenir Next" w:hAnsi="Avenir Next" w:cs="Arial"/>
          <w:color w:val="7B7B7B" w:themeColor="accent3" w:themeShade="BF"/>
          <w:sz w:val="22"/>
          <w:szCs w:val="22"/>
          <w:lang w:val="en-GB"/>
        </w:rPr>
        <w:t>2 (inclusive)</w:t>
      </w:r>
      <w:r w:rsidR="00F64CDA" w:rsidRPr="00F64CDA">
        <w:rPr>
          <w:rFonts w:ascii="Avenir Next" w:hAnsi="Avenir Next" w:cs="Arial"/>
          <w:color w:val="7B7B7B" w:themeColor="accent3" w:themeShade="BF"/>
          <w:sz w:val="22"/>
          <w:szCs w:val="22"/>
          <w:lang w:val="en-GB"/>
        </w:rPr>
        <w:t xml:space="preserve"> of IXIT relevantly amends Article 2 of the EIR Recast </w:t>
      </w:r>
      <w:r w:rsidR="00D37A3E">
        <w:rPr>
          <w:rFonts w:ascii="Avenir Next" w:hAnsi="Avenir Next" w:cs="Arial"/>
          <w:color w:val="7B7B7B" w:themeColor="accent3" w:themeShade="BF"/>
          <w:sz w:val="22"/>
          <w:szCs w:val="22"/>
          <w:lang w:val="en-GB"/>
        </w:rPr>
        <w:t xml:space="preserve">to </w:t>
      </w:r>
      <w:r w:rsidR="00D55EAD">
        <w:rPr>
          <w:rFonts w:ascii="Avenir Next" w:hAnsi="Avenir Next" w:cs="Arial"/>
          <w:color w:val="7B7B7B" w:themeColor="accent3" w:themeShade="BF"/>
          <w:sz w:val="22"/>
          <w:szCs w:val="22"/>
          <w:lang w:val="en-GB"/>
        </w:rPr>
        <w:t xml:space="preserve">grant jurisdiction to open insolvency proceedings </w:t>
      </w:r>
      <w:r w:rsidR="00D80DE6">
        <w:rPr>
          <w:rFonts w:ascii="Avenir Next" w:hAnsi="Avenir Next" w:cs="Arial"/>
          <w:color w:val="7B7B7B" w:themeColor="accent3" w:themeShade="BF"/>
          <w:sz w:val="22"/>
          <w:szCs w:val="22"/>
          <w:lang w:val="en-GB"/>
        </w:rPr>
        <w:t>for the purposes of “</w:t>
      </w:r>
      <w:r w:rsidR="00D80DE6" w:rsidRPr="00320B16">
        <w:rPr>
          <w:rFonts w:ascii="Avenir Next" w:hAnsi="Avenir Next" w:cs="Arial"/>
          <w:i/>
          <w:iCs/>
          <w:color w:val="7B7B7B" w:themeColor="accent3" w:themeShade="BF"/>
          <w:sz w:val="22"/>
          <w:szCs w:val="22"/>
          <w:lang w:val="en-GB"/>
        </w:rPr>
        <w:t>rescue, adjustment of debt, reorganisation or liquidation</w:t>
      </w:r>
      <w:r w:rsidR="00D80DE6">
        <w:rPr>
          <w:rFonts w:ascii="Avenir Next" w:hAnsi="Avenir Next" w:cs="Arial"/>
          <w:color w:val="7B7B7B" w:themeColor="accent3" w:themeShade="BF"/>
          <w:sz w:val="22"/>
          <w:szCs w:val="22"/>
          <w:lang w:val="en-GB"/>
        </w:rPr>
        <w:t>”, where</w:t>
      </w:r>
      <w:r w:rsidR="00FB6700">
        <w:rPr>
          <w:rFonts w:ascii="Avenir Next" w:hAnsi="Avenir Next" w:cs="Arial"/>
          <w:color w:val="7B7B7B" w:themeColor="accent3" w:themeShade="BF"/>
          <w:sz w:val="22"/>
          <w:szCs w:val="22"/>
          <w:lang w:val="en-GB"/>
        </w:rPr>
        <w:t xml:space="preserve"> either</w:t>
      </w:r>
      <w:r w:rsidR="00D80DE6">
        <w:rPr>
          <w:rFonts w:ascii="Avenir Next" w:hAnsi="Avenir Next" w:cs="Arial"/>
          <w:color w:val="7B7B7B" w:themeColor="accent3" w:themeShade="BF"/>
          <w:sz w:val="22"/>
          <w:szCs w:val="22"/>
          <w:lang w:val="en-GB"/>
        </w:rPr>
        <w:t xml:space="preserve"> </w:t>
      </w:r>
      <w:r w:rsidR="00FB6700">
        <w:rPr>
          <w:rFonts w:ascii="Avenir Next" w:hAnsi="Avenir Next" w:cs="Arial"/>
          <w:color w:val="7B7B7B" w:themeColor="accent3" w:themeShade="BF"/>
          <w:sz w:val="22"/>
          <w:szCs w:val="22"/>
          <w:lang w:val="en-GB"/>
        </w:rPr>
        <w:t>the COMI</w:t>
      </w:r>
      <w:r w:rsidR="000452E0">
        <w:rPr>
          <w:rStyle w:val="FootnoteReference"/>
          <w:rFonts w:ascii="Avenir Next" w:hAnsi="Avenir Next" w:cs="Arial"/>
          <w:color w:val="7B7B7B" w:themeColor="accent3" w:themeShade="BF"/>
          <w:sz w:val="22"/>
          <w:szCs w:val="22"/>
          <w:lang w:val="en-GB"/>
        </w:rPr>
        <w:footnoteReference w:id="100"/>
      </w:r>
      <w:r w:rsidR="00FB6700">
        <w:rPr>
          <w:rFonts w:ascii="Avenir Next" w:hAnsi="Avenir Next" w:cs="Arial"/>
          <w:color w:val="7B7B7B" w:themeColor="accent3" w:themeShade="BF"/>
          <w:sz w:val="22"/>
          <w:szCs w:val="22"/>
          <w:lang w:val="en-GB"/>
        </w:rPr>
        <w:t xml:space="preserve"> is in the United Kingdom </w:t>
      </w:r>
      <w:r w:rsidR="00320B16">
        <w:rPr>
          <w:rFonts w:ascii="Avenir Next" w:hAnsi="Avenir Next" w:cs="Arial"/>
          <w:color w:val="7B7B7B" w:themeColor="accent3" w:themeShade="BF"/>
          <w:sz w:val="22"/>
          <w:szCs w:val="22"/>
          <w:lang w:val="en-GB"/>
        </w:rPr>
        <w:t>(</w:t>
      </w:r>
      <w:r w:rsidR="00320B16" w:rsidRPr="00320B16">
        <w:rPr>
          <w:rFonts w:ascii="Avenir Next" w:hAnsi="Avenir Next" w:cs="Arial"/>
          <w:b/>
          <w:bCs/>
          <w:color w:val="7B7B7B" w:themeColor="accent3" w:themeShade="BF"/>
          <w:sz w:val="22"/>
          <w:szCs w:val="22"/>
          <w:lang w:val="en-GB"/>
        </w:rPr>
        <w:t>UK</w:t>
      </w:r>
      <w:r w:rsidR="00320B16">
        <w:rPr>
          <w:rFonts w:ascii="Avenir Next" w:hAnsi="Avenir Next" w:cs="Arial"/>
          <w:color w:val="7B7B7B" w:themeColor="accent3" w:themeShade="BF"/>
          <w:sz w:val="22"/>
          <w:szCs w:val="22"/>
          <w:lang w:val="en-GB"/>
        </w:rPr>
        <w:t xml:space="preserve">) </w:t>
      </w:r>
      <w:r w:rsidR="00FB6700">
        <w:rPr>
          <w:rFonts w:ascii="Avenir Next" w:hAnsi="Avenir Next" w:cs="Arial"/>
          <w:color w:val="7B7B7B" w:themeColor="accent3" w:themeShade="BF"/>
          <w:sz w:val="22"/>
          <w:szCs w:val="22"/>
          <w:lang w:val="en-GB"/>
        </w:rPr>
        <w:t>or the COM</w:t>
      </w:r>
      <w:r w:rsidR="00320B16">
        <w:rPr>
          <w:rFonts w:ascii="Avenir Next" w:hAnsi="Avenir Next" w:cs="Arial"/>
          <w:color w:val="7B7B7B" w:themeColor="accent3" w:themeShade="BF"/>
          <w:sz w:val="22"/>
          <w:szCs w:val="22"/>
          <w:lang w:val="en-GB"/>
        </w:rPr>
        <w:t>I is in a Member State and an establishment in the UK.</w:t>
      </w:r>
    </w:p>
    <w:p w14:paraId="0A81B4A6" w14:textId="77777777" w:rsidR="00320B16" w:rsidRDefault="00320B16" w:rsidP="00320B16">
      <w:pPr>
        <w:pStyle w:val="ListParagraph"/>
        <w:ind w:left="426"/>
        <w:jc w:val="both"/>
        <w:rPr>
          <w:rFonts w:ascii="Avenir Next" w:hAnsi="Avenir Next" w:cs="Arial"/>
          <w:color w:val="7B7B7B" w:themeColor="accent3" w:themeShade="BF"/>
          <w:sz w:val="22"/>
          <w:szCs w:val="22"/>
          <w:lang w:val="en-GB"/>
        </w:rPr>
      </w:pPr>
    </w:p>
    <w:p w14:paraId="7B1F64FF" w14:textId="13DCDA5A" w:rsidR="00320B16" w:rsidRDefault="00522AD3" w:rsidP="00522AD3">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proceedings is defined in paragraph 2(3)(1B) of IXIT </w:t>
      </w:r>
      <w:r w:rsidR="00E5691C">
        <w:rPr>
          <w:rFonts w:ascii="Avenir Next" w:hAnsi="Avenir Next" w:cs="Arial"/>
          <w:color w:val="7B7B7B" w:themeColor="accent3" w:themeShade="BF"/>
          <w:sz w:val="22"/>
          <w:szCs w:val="22"/>
          <w:lang w:val="en-GB"/>
        </w:rPr>
        <w:t xml:space="preserve">as including liquidations (whether voluntary or court ordered) and voluntary administrations. </w:t>
      </w:r>
      <w:r w:rsidR="00C11499">
        <w:rPr>
          <w:rFonts w:ascii="Avenir Next" w:hAnsi="Avenir Next" w:cs="Arial"/>
          <w:color w:val="7B7B7B" w:themeColor="accent3" w:themeShade="BF"/>
          <w:sz w:val="22"/>
          <w:szCs w:val="22"/>
          <w:lang w:val="en-GB"/>
        </w:rPr>
        <w:t>I assume that the factual matrix is adopting the definition of insolvency proceedings on page 30 of the course material. I would seek further information from Lobo as to the nature of the insolvency proceedings in the UK.</w:t>
      </w:r>
    </w:p>
    <w:p w14:paraId="1AB1641F" w14:textId="77777777" w:rsidR="000452E0" w:rsidRDefault="000452E0" w:rsidP="000452E0">
      <w:pPr>
        <w:pStyle w:val="ListParagraph"/>
        <w:ind w:left="993"/>
        <w:jc w:val="both"/>
        <w:rPr>
          <w:rFonts w:ascii="Avenir Next" w:hAnsi="Avenir Next" w:cs="Arial"/>
          <w:color w:val="7B7B7B" w:themeColor="accent3" w:themeShade="BF"/>
          <w:sz w:val="22"/>
          <w:szCs w:val="22"/>
          <w:lang w:val="en-GB"/>
        </w:rPr>
      </w:pPr>
    </w:p>
    <w:p w14:paraId="0DFE68CC" w14:textId="4DD8D12D" w:rsidR="00C11499" w:rsidRDefault="00075D77" w:rsidP="00522AD3">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Member State is defined in paragraph 3 of IXIT as a member of the European Union, other than Denmark. I assume that </w:t>
      </w:r>
      <w:r w:rsidR="00C00090">
        <w:rPr>
          <w:rFonts w:ascii="Avenir Next" w:hAnsi="Avenir Next" w:cs="Arial"/>
          <w:color w:val="7B7B7B" w:themeColor="accent3" w:themeShade="BF"/>
          <w:sz w:val="22"/>
          <w:szCs w:val="22"/>
          <w:lang w:val="en-GB"/>
        </w:rPr>
        <w:t>Lobo is not considering opening proceedings in Denmark.</w:t>
      </w:r>
    </w:p>
    <w:p w14:paraId="7C060031" w14:textId="77777777" w:rsidR="00C00090" w:rsidRPr="00C00090" w:rsidRDefault="00C00090" w:rsidP="00C00090">
      <w:pPr>
        <w:pStyle w:val="ListParagraph"/>
        <w:rPr>
          <w:rFonts w:ascii="Avenir Next" w:hAnsi="Avenir Next" w:cs="Arial"/>
          <w:color w:val="7B7B7B" w:themeColor="accent3" w:themeShade="BF"/>
          <w:sz w:val="22"/>
          <w:szCs w:val="22"/>
          <w:lang w:val="en-GB"/>
        </w:rPr>
      </w:pPr>
    </w:p>
    <w:p w14:paraId="6BBCFC6E" w14:textId="28E7D3D7" w:rsidR="00672C19" w:rsidRDefault="0065547D" w:rsidP="00522AD3">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w:t>
      </w:r>
      <w:r w:rsidR="00672C19">
        <w:rPr>
          <w:rFonts w:ascii="Avenir Next" w:hAnsi="Avenir Next" w:cs="Arial"/>
          <w:color w:val="7B7B7B" w:themeColor="accent3" w:themeShade="BF"/>
          <w:sz w:val="22"/>
          <w:szCs w:val="22"/>
          <w:lang w:val="en-GB"/>
        </w:rPr>
        <w:t xml:space="preserve">the meaning of </w:t>
      </w:r>
      <w:r>
        <w:rPr>
          <w:rFonts w:ascii="Avenir Next" w:hAnsi="Avenir Next" w:cs="Arial"/>
          <w:color w:val="7B7B7B" w:themeColor="accent3" w:themeShade="BF"/>
          <w:sz w:val="22"/>
          <w:szCs w:val="22"/>
          <w:lang w:val="en-GB"/>
        </w:rPr>
        <w:t xml:space="preserve">COMI see paragraph </w:t>
      </w:r>
      <w:r w:rsidR="002D261F">
        <w:rPr>
          <w:rFonts w:ascii="Avenir Next" w:hAnsi="Avenir Next" w:cs="Arial"/>
          <w:color w:val="7B7B7B" w:themeColor="accent3" w:themeShade="BF"/>
          <w:sz w:val="22"/>
          <w:szCs w:val="22"/>
          <w:lang w:val="en-GB"/>
        </w:rPr>
        <w:t>3 (inclusive below)</w:t>
      </w:r>
      <w:r w:rsidR="00672C19">
        <w:rPr>
          <w:rFonts w:ascii="Avenir Next" w:hAnsi="Avenir Next" w:cs="Arial"/>
          <w:color w:val="7B7B7B" w:themeColor="accent3" w:themeShade="BF"/>
          <w:sz w:val="22"/>
          <w:szCs w:val="22"/>
          <w:lang w:val="en-GB"/>
        </w:rPr>
        <w:t xml:space="preserve"> and for the meaning of establishment see paragraph 4 (inclusive below).</w:t>
      </w:r>
    </w:p>
    <w:p w14:paraId="4C2CEFF6" w14:textId="77777777" w:rsidR="00672C19" w:rsidRPr="00672C19" w:rsidRDefault="00672C19" w:rsidP="00672C19">
      <w:pPr>
        <w:pStyle w:val="ListParagraph"/>
        <w:rPr>
          <w:rFonts w:ascii="Avenir Next" w:hAnsi="Avenir Next" w:cs="Arial"/>
          <w:color w:val="7B7B7B" w:themeColor="accent3" w:themeShade="BF"/>
          <w:sz w:val="22"/>
          <w:szCs w:val="22"/>
          <w:lang w:val="en-GB"/>
        </w:rPr>
      </w:pPr>
    </w:p>
    <w:p w14:paraId="30783915" w14:textId="473375D8" w:rsidR="00835A31" w:rsidRDefault="00C00090" w:rsidP="00672C19">
      <w:pPr>
        <w:pStyle w:val="ListParagraph"/>
        <w:numPr>
          <w:ilvl w:val="0"/>
          <w:numId w:val="34"/>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COMI is defined </w:t>
      </w:r>
      <w:r w:rsidR="0062038F">
        <w:rPr>
          <w:rFonts w:ascii="Avenir Next" w:hAnsi="Avenir Next" w:cs="Arial"/>
          <w:color w:val="7B7B7B" w:themeColor="accent3" w:themeShade="BF"/>
          <w:sz w:val="22"/>
          <w:szCs w:val="22"/>
          <w:lang w:val="en-GB"/>
        </w:rPr>
        <w:t xml:space="preserve">in Article 3 of </w:t>
      </w:r>
      <w:r w:rsidR="00B35B3C">
        <w:rPr>
          <w:rFonts w:ascii="Avenir Next" w:hAnsi="Avenir Next" w:cs="Arial"/>
          <w:color w:val="7B7B7B" w:themeColor="accent3" w:themeShade="BF"/>
          <w:sz w:val="22"/>
          <w:szCs w:val="22"/>
          <w:lang w:val="en-GB"/>
        </w:rPr>
        <w:t xml:space="preserve">the </w:t>
      </w:r>
      <w:r w:rsidR="00470559">
        <w:rPr>
          <w:rFonts w:ascii="Avenir Next" w:hAnsi="Avenir Next" w:cs="Arial"/>
          <w:color w:val="7B7B7B" w:themeColor="accent3" w:themeShade="BF"/>
          <w:sz w:val="22"/>
          <w:szCs w:val="22"/>
          <w:lang w:val="en-GB"/>
        </w:rPr>
        <w:t>EIR</w:t>
      </w:r>
      <w:r w:rsidR="00B35B3C">
        <w:rPr>
          <w:rFonts w:ascii="Avenir Next" w:hAnsi="Avenir Next" w:cs="Arial"/>
          <w:color w:val="7B7B7B" w:themeColor="accent3" w:themeShade="BF"/>
          <w:sz w:val="22"/>
          <w:szCs w:val="22"/>
          <w:lang w:val="en-GB"/>
        </w:rPr>
        <w:t xml:space="preserve"> Recast (</w:t>
      </w:r>
      <w:r w:rsidR="007844B9">
        <w:rPr>
          <w:rFonts w:ascii="Avenir Next" w:hAnsi="Avenir Next" w:cs="Arial"/>
          <w:color w:val="7B7B7B" w:themeColor="accent3" w:themeShade="BF"/>
          <w:sz w:val="22"/>
          <w:szCs w:val="22"/>
          <w:lang w:val="en-GB"/>
        </w:rPr>
        <w:t>which is amended by paragraph 4 of IXIT)</w:t>
      </w:r>
      <w:r w:rsidR="00B35B3C">
        <w:rPr>
          <w:rFonts w:ascii="Avenir Next" w:hAnsi="Avenir Next" w:cs="Arial"/>
          <w:color w:val="7B7B7B" w:themeColor="accent3" w:themeShade="BF"/>
          <w:sz w:val="22"/>
          <w:szCs w:val="22"/>
          <w:lang w:val="en-GB"/>
        </w:rPr>
        <w:t xml:space="preserve"> as the place where FPPL</w:t>
      </w:r>
      <w:r w:rsidR="007844B9">
        <w:rPr>
          <w:rFonts w:ascii="Avenir Next" w:hAnsi="Avenir Next" w:cs="Arial"/>
          <w:color w:val="7B7B7B" w:themeColor="accent3" w:themeShade="BF"/>
          <w:sz w:val="22"/>
          <w:szCs w:val="22"/>
          <w:lang w:val="en-GB"/>
        </w:rPr>
        <w:t xml:space="preserve"> </w:t>
      </w:r>
      <w:r w:rsidR="004514B2">
        <w:rPr>
          <w:rFonts w:ascii="Avenir Next" w:hAnsi="Avenir Next" w:cs="Arial"/>
          <w:color w:val="7B7B7B" w:themeColor="accent3" w:themeShade="BF"/>
          <w:sz w:val="22"/>
          <w:szCs w:val="22"/>
          <w:lang w:val="en-GB"/>
        </w:rPr>
        <w:t>“</w:t>
      </w:r>
      <w:r w:rsidR="0000630A" w:rsidRPr="00E86A60">
        <w:rPr>
          <w:rFonts w:ascii="Avenir Next" w:hAnsi="Avenir Next" w:cs="Arial"/>
          <w:i/>
          <w:iCs/>
          <w:color w:val="7B7B7B" w:themeColor="accent3" w:themeShade="BF"/>
          <w:sz w:val="22"/>
          <w:szCs w:val="22"/>
          <w:lang w:val="en-GB"/>
        </w:rPr>
        <w:t xml:space="preserve">conducts the administration of </w:t>
      </w:r>
      <w:r w:rsidR="004514B2" w:rsidRPr="00E86A60">
        <w:rPr>
          <w:rFonts w:ascii="Avenir Next" w:hAnsi="Avenir Next" w:cs="Arial"/>
          <w:i/>
          <w:iCs/>
          <w:color w:val="7B7B7B" w:themeColor="accent3" w:themeShade="BF"/>
          <w:sz w:val="22"/>
          <w:szCs w:val="22"/>
          <w:lang w:val="en-GB"/>
        </w:rPr>
        <w:t>its interests on a regular basis and which is ascertainable by third parties</w:t>
      </w:r>
      <w:r w:rsidR="007A6F29">
        <w:rPr>
          <w:rFonts w:ascii="Avenir Next" w:hAnsi="Avenir Next" w:cs="Arial"/>
          <w:color w:val="7B7B7B" w:themeColor="accent3" w:themeShade="BF"/>
          <w:sz w:val="22"/>
          <w:szCs w:val="22"/>
          <w:lang w:val="en-GB"/>
        </w:rPr>
        <w:t>.</w:t>
      </w:r>
      <w:r w:rsidR="00E86A60">
        <w:rPr>
          <w:rFonts w:ascii="Avenir Next" w:hAnsi="Avenir Next" w:cs="Arial"/>
          <w:color w:val="7B7B7B" w:themeColor="accent3" w:themeShade="BF"/>
          <w:sz w:val="22"/>
          <w:szCs w:val="22"/>
          <w:lang w:val="en-GB"/>
        </w:rPr>
        <w:t>”</w:t>
      </w:r>
      <w:r w:rsidR="007A6F29">
        <w:rPr>
          <w:rFonts w:ascii="Avenir Next" w:hAnsi="Avenir Next" w:cs="Arial"/>
          <w:color w:val="7B7B7B" w:themeColor="accent3" w:themeShade="BF"/>
          <w:sz w:val="22"/>
          <w:szCs w:val="22"/>
          <w:lang w:val="en-GB"/>
        </w:rPr>
        <w:t xml:space="preserve"> </w:t>
      </w:r>
    </w:p>
    <w:p w14:paraId="1C3CAD2C" w14:textId="77777777" w:rsidR="00516F5B" w:rsidRDefault="00516F5B" w:rsidP="00516F5B">
      <w:pPr>
        <w:pStyle w:val="ListParagraph"/>
        <w:ind w:left="426"/>
        <w:jc w:val="both"/>
        <w:rPr>
          <w:rFonts w:ascii="Avenir Next" w:hAnsi="Avenir Next" w:cs="Arial"/>
          <w:color w:val="7B7B7B" w:themeColor="accent3" w:themeShade="BF"/>
          <w:sz w:val="22"/>
          <w:szCs w:val="22"/>
          <w:lang w:val="en-GB"/>
        </w:rPr>
      </w:pPr>
    </w:p>
    <w:p w14:paraId="004E106A" w14:textId="5455060D" w:rsidR="00A95C15" w:rsidRDefault="00A95C15" w:rsidP="00516F5B">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note that the High Court of England </w:t>
      </w:r>
      <w:r w:rsidR="00431F6F">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Wales recently held that</w:t>
      </w:r>
      <w:r>
        <w:rPr>
          <w:rFonts w:ascii="Avenir Next" w:hAnsi="Avenir Next" w:cs="Arial"/>
          <w:color w:val="7B7B7B" w:themeColor="accent3" w:themeShade="BF"/>
          <w:sz w:val="22"/>
          <w:szCs w:val="22"/>
          <w:lang w:val="en-GB"/>
        </w:rPr>
        <w:t xml:space="preserve"> COMI </w:t>
      </w:r>
      <w:r w:rsidR="00431F6F">
        <w:rPr>
          <w:rFonts w:ascii="Avenir Next" w:hAnsi="Avenir Next" w:cs="Arial"/>
          <w:color w:val="7B7B7B" w:themeColor="accent3" w:themeShade="BF"/>
          <w:sz w:val="22"/>
          <w:szCs w:val="22"/>
          <w:lang w:val="en-GB"/>
        </w:rPr>
        <w:t>shall b</w:t>
      </w:r>
      <w:r>
        <w:rPr>
          <w:rFonts w:ascii="Avenir Next" w:hAnsi="Avenir Next" w:cs="Arial"/>
          <w:color w:val="7B7B7B" w:themeColor="accent3" w:themeShade="BF"/>
          <w:sz w:val="22"/>
          <w:szCs w:val="22"/>
          <w:lang w:val="en-GB"/>
        </w:rPr>
        <w:t>e determined by reference to the</w:t>
      </w:r>
      <w:r w:rsidR="00431F6F">
        <w:rPr>
          <w:rFonts w:ascii="Avenir Next" w:hAnsi="Avenir Next" w:cs="Arial"/>
          <w:color w:val="7B7B7B" w:themeColor="accent3" w:themeShade="BF"/>
          <w:sz w:val="22"/>
          <w:szCs w:val="22"/>
          <w:lang w:val="en-GB"/>
        </w:rPr>
        <w:t xml:space="preserve"> </w:t>
      </w:r>
      <w:r w:rsidR="004C02F9">
        <w:rPr>
          <w:rFonts w:ascii="Avenir Next" w:hAnsi="Avenir Next" w:cs="Arial"/>
          <w:color w:val="7B7B7B" w:themeColor="accent3" w:themeShade="BF"/>
          <w:sz w:val="22"/>
          <w:szCs w:val="22"/>
          <w:lang w:val="en-GB"/>
        </w:rPr>
        <w:t>EIR Recast</w:t>
      </w:r>
      <w:r w:rsidR="004C02F9">
        <w:rPr>
          <w:rFonts w:ascii="Avenir Next" w:hAnsi="Avenir Next" w:cs="Arial"/>
          <w:color w:val="7B7B7B" w:themeColor="accent3" w:themeShade="BF"/>
          <w:sz w:val="22"/>
          <w:szCs w:val="22"/>
          <w:lang w:val="en-GB"/>
        </w:rPr>
        <w:t xml:space="preserve">’s </w:t>
      </w:r>
      <w:r w:rsidR="00431F6F">
        <w:rPr>
          <w:rFonts w:ascii="Avenir Next" w:hAnsi="Avenir Next" w:cs="Arial"/>
          <w:color w:val="7B7B7B" w:themeColor="accent3" w:themeShade="BF"/>
          <w:sz w:val="22"/>
          <w:szCs w:val="22"/>
          <w:lang w:val="en-GB"/>
        </w:rPr>
        <w:t>principles and jurisprudence</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01"/>
      </w:r>
    </w:p>
    <w:p w14:paraId="79F61528" w14:textId="77777777" w:rsidR="00A95C15" w:rsidRDefault="00A95C15" w:rsidP="00A95C15">
      <w:pPr>
        <w:pStyle w:val="ListParagraph"/>
        <w:ind w:left="993"/>
        <w:jc w:val="both"/>
        <w:rPr>
          <w:rFonts w:ascii="Avenir Next" w:hAnsi="Avenir Next" w:cs="Arial"/>
          <w:color w:val="7B7B7B" w:themeColor="accent3" w:themeShade="BF"/>
          <w:sz w:val="22"/>
          <w:szCs w:val="22"/>
          <w:lang w:val="en-GB"/>
        </w:rPr>
      </w:pPr>
    </w:p>
    <w:p w14:paraId="11DD90BB" w14:textId="2B97F992" w:rsidR="00C00090" w:rsidRDefault="007A6F29" w:rsidP="00516F5B">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registered office </w:t>
      </w:r>
      <w:r w:rsidR="00516F5B">
        <w:rPr>
          <w:rFonts w:ascii="Avenir Next" w:hAnsi="Avenir Next" w:cs="Arial"/>
          <w:color w:val="7B7B7B" w:themeColor="accent3" w:themeShade="BF"/>
          <w:sz w:val="22"/>
          <w:szCs w:val="22"/>
          <w:lang w:val="en-GB"/>
        </w:rPr>
        <w:t xml:space="preserve">of FPPL </w:t>
      </w:r>
      <w:r>
        <w:rPr>
          <w:rFonts w:ascii="Avenir Next" w:hAnsi="Avenir Next" w:cs="Arial"/>
          <w:color w:val="7B7B7B" w:themeColor="accent3" w:themeShade="BF"/>
          <w:sz w:val="22"/>
          <w:szCs w:val="22"/>
          <w:lang w:val="en-GB"/>
        </w:rPr>
        <w:t>is also presumed to be</w:t>
      </w:r>
      <w:r w:rsidR="00B2155B">
        <w:rPr>
          <w:rFonts w:ascii="Avenir Next" w:hAnsi="Avenir Next" w:cs="Arial"/>
          <w:color w:val="7B7B7B" w:themeColor="accent3" w:themeShade="BF"/>
          <w:sz w:val="22"/>
          <w:szCs w:val="22"/>
          <w:lang w:val="en-GB"/>
        </w:rPr>
        <w:t xml:space="preserve"> the COMI</w:t>
      </w:r>
      <w:r w:rsidR="007D4CAA">
        <w:rPr>
          <w:rFonts w:ascii="Avenir Next" w:hAnsi="Avenir Next" w:cs="Arial"/>
          <w:color w:val="7B7B7B" w:themeColor="accent3" w:themeShade="BF"/>
          <w:sz w:val="22"/>
          <w:szCs w:val="22"/>
          <w:lang w:val="en-GB"/>
        </w:rPr>
        <w:t>, in the absence of contrary proof. The factual matrix does not provide details on what FPPL’s registered office is</w:t>
      </w:r>
      <w:r w:rsidR="000D3495">
        <w:rPr>
          <w:rFonts w:ascii="Avenir Next" w:hAnsi="Avenir Next" w:cs="Arial"/>
          <w:color w:val="7B7B7B" w:themeColor="accent3" w:themeShade="BF"/>
          <w:sz w:val="22"/>
          <w:szCs w:val="22"/>
          <w:lang w:val="en-GB"/>
        </w:rPr>
        <w:t xml:space="preserve">, rather it just records that </w:t>
      </w:r>
      <w:r w:rsidR="000D3495">
        <w:rPr>
          <w:rFonts w:ascii="Avenir Next" w:hAnsi="Avenir Next" w:cs="Arial"/>
          <w:color w:val="7B7B7B" w:themeColor="accent3" w:themeShade="BF"/>
          <w:sz w:val="22"/>
          <w:szCs w:val="22"/>
          <w:lang w:val="en-GB"/>
        </w:rPr>
        <w:t>FPPL has offices throughout the EU and the UK</w:t>
      </w:r>
      <w:r w:rsidR="000D3495">
        <w:rPr>
          <w:rFonts w:ascii="Avenir Next" w:hAnsi="Avenir Next" w:cs="Arial"/>
          <w:color w:val="7B7B7B" w:themeColor="accent3" w:themeShade="BF"/>
          <w:sz w:val="22"/>
          <w:szCs w:val="22"/>
          <w:lang w:val="en-GB"/>
        </w:rPr>
        <w:t>. I would perform company searches on FPPL in the UK and EU to determine whether this presumption arises.</w:t>
      </w:r>
    </w:p>
    <w:p w14:paraId="14ACD2B3" w14:textId="77777777" w:rsidR="000D3495" w:rsidRDefault="000D3495" w:rsidP="000D3495">
      <w:pPr>
        <w:pStyle w:val="ListParagraph"/>
        <w:ind w:left="993"/>
        <w:jc w:val="both"/>
        <w:rPr>
          <w:rFonts w:ascii="Avenir Next" w:hAnsi="Avenir Next" w:cs="Arial"/>
          <w:color w:val="7B7B7B" w:themeColor="accent3" w:themeShade="BF"/>
          <w:sz w:val="22"/>
          <w:szCs w:val="22"/>
          <w:lang w:val="en-GB"/>
        </w:rPr>
      </w:pPr>
    </w:p>
    <w:p w14:paraId="3B3F6F3A" w14:textId="46699CBB" w:rsidR="00180945" w:rsidRDefault="00B92004" w:rsidP="00516F5B">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presumption in 3.1 above does not arise though if the registered office was moved from, or to, the UK</w:t>
      </w:r>
      <w:r w:rsidR="00DD3B50">
        <w:rPr>
          <w:rFonts w:ascii="Avenir Next" w:hAnsi="Avenir Next" w:cs="Arial"/>
          <w:color w:val="7B7B7B" w:themeColor="accent3" w:themeShade="BF"/>
          <w:sz w:val="22"/>
          <w:szCs w:val="22"/>
          <w:lang w:val="en-GB"/>
        </w:rPr>
        <w:t xml:space="preserve"> </w:t>
      </w:r>
      <w:r w:rsidR="00E167F8">
        <w:rPr>
          <w:rFonts w:ascii="Avenir Next" w:hAnsi="Avenir Next" w:cs="Arial"/>
          <w:color w:val="7B7B7B" w:themeColor="accent3" w:themeShade="BF"/>
          <w:sz w:val="22"/>
          <w:szCs w:val="22"/>
          <w:lang w:val="en-GB"/>
        </w:rPr>
        <w:t>to</w:t>
      </w:r>
      <w:r w:rsidR="00DD3B50">
        <w:rPr>
          <w:rFonts w:ascii="Avenir Next" w:hAnsi="Avenir Next" w:cs="Arial"/>
          <w:color w:val="7B7B7B" w:themeColor="accent3" w:themeShade="BF"/>
          <w:sz w:val="22"/>
          <w:szCs w:val="22"/>
          <w:lang w:val="en-GB"/>
        </w:rPr>
        <w:t xml:space="preserve">, or </w:t>
      </w:r>
      <w:r w:rsidR="00E167F8">
        <w:rPr>
          <w:rFonts w:ascii="Avenir Next" w:hAnsi="Avenir Next" w:cs="Arial"/>
          <w:color w:val="7B7B7B" w:themeColor="accent3" w:themeShade="BF"/>
          <w:sz w:val="22"/>
          <w:szCs w:val="22"/>
          <w:lang w:val="en-GB"/>
        </w:rPr>
        <w:t>from</w:t>
      </w:r>
      <w:r w:rsidR="00DD3B50">
        <w:rPr>
          <w:rFonts w:ascii="Avenir Next" w:hAnsi="Avenir Next" w:cs="Arial"/>
          <w:color w:val="7B7B7B" w:themeColor="accent3" w:themeShade="BF"/>
          <w:sz w:val="22"/>
          <w:szCs w:val="22"/>
          <w:lang w:val="en-GB"/>
        </w:rPr>
        <w:t>, the EU (respectively)</w:t>
      </w:r>
      <w:r>
        <w:rPr>
          <w:rFonts w:ascii="Avenir Next" w:hAnsi="Avenir Next" w:cs="Arial"/>
          <w:color w:val="7B7B7B" w:themeColor="accent3" w:themeShade="BF"/>
          <w:sz w:val="22"/>
          <w:szCs w:val="22"/>
          <w:lang w:val="en-GB"/>
        </w:rPr>
        <w:t xml:space="preserve"> </w:t>
      </w:r>
      <w:r w:rsidR="005F4209">
        <w:rPr>
          <w:rFonts w:ascii="Avenir Next" w:hAnsi="Avenir Next" w:cs="Arial"/>
          <w:color w:val="7B7B7B" w:themeColor="accent3" w:themeShade="BF"/>
          <w:sz w:val="22"/>
          <w:szCs w:val="22"/>
          <w:lang w:val="en-GB"/>
        </w:rPr>
        <w:t>within the preceding 3 months.</w:t>
      </w:r>
      <w:r w:rsidR="00180945">
        <w:rPr>
          <w:rStyle w:val="FootnoteReference"/>
          <w:rFonts w:ascii="Avenir Next" w:hAnsi="Avenir Next" w:cs="Arial"/>
          <w:color w:val="7B7B7B" w:themeColor="accent3" w:themeShade="BF"/>
          <w:sz w:val="22"/>
          <w:szCs w:val="22"/>
          <w:lang w:val="en-GB"/>
        </w:rPr>
        <w:footnoteReference w:id="102"/>
      </w:r>
      <w:r w:rsidR="005F4209">
        <w:rPr>
          <w:rFonts w:ascii="Avenir Next" w:hAnsi="Avenir Next" w:cs="Arial"/>
          <w:color w:val="7B7B7B" w:themeColor="accent3" w:themeShade="BF"/>
          <w:sz w:val="22"/>
          <w:szCs w:val="22"/>
          <w:lang w:val="en-GB"/>
        </w:rPr>
        <w:t xml:space="preserve"> </w:t>
      </w:r>
    </w:p>
    <w:p w14:paraId="0B9ACD47" w14:textId="77777777" w:rsidR="00180945" w:rsidRPr="00180945" w:rsidRDefault="00180945" w:rsidP="00180945">
      <w:pPr>
        <w:pStyle w:val="ListParagraph"/>
        <w:rPr>
          <w:rFonts w:ascii="Avenir Next" w:hAnsi="Avenir Next" w:cs="Arial"/>
          <w:color w:val="7B7B7B" w:themeColor="accent3" w:themeShade="BF"/>
          <w:sz w:val="22"/>
          <w:szCs w:val="22"/>
          <w:lang w:val="en-GB"/>
        </w:rPr>
      </w:pPr>
    </w:p>
    <w:p w14:paraId="23DD6687" w14:textId="033F065F" w:rsidR="00760CBB" w:rsidRPr="0096170E" w:rsidRDefault="006A236F" w:rsidP="00760CBB">
      <w:pPr>
        <w:pStyle w:val="ListParagraph"/>
        <w:numPr>
          <w:ilvl w:val="1"/>
          <w:numId w:val="34"/>
        </w:numPr>
        <w:ind w:left="993" w:hanging="567"/>
        <w:jc w:val="both"/>
        <w:rPr>
          <w:rFonts w:ascii="Avenir Next" w:hAnsi="Avenir Next" w:cs="Arial"/>
          <w:color w:val="7B7B7B" w:themeColor="accent3" w:themeShade="BF"/>
          <w:sz w:val="22"/>
          <w:szCs w:val="22"/>
          <w:lang w:val="en-AU"/>
        </w:rPr>
      </w:pPr>
      <w:r>
        <w:rPr>
          <w:rFonts w:ascii="Avenir Next" w:hAnsi="Avenir Next" w:cs="Arial"/>
          <w:color w:val="7B7B7B" w:themeColor="accent3" w:themeShade="BF"/>
          <w:sz w:val="22"/>
          <w:szCs w:val="22"/>
          <w:lang w:val="en-GB"/>
        </w:rPr>
        <w:t>I note that the t</w:t>
      </w:r>
      <w:r w:rsidR="00180945" w:rsidRPr="006A236F">
        <w:rPr>
          <w:rFonts w:ascii="Avenir Next" w:hAnsi="Avenir Next" w:cs="Arial"/>
          <w:color w:val="7B7B7B" w:themeColor="accent3" w:themeShade="BF"/>
          <w:sz w:val="22"/>
          <w:szCs w:val="22"/>
          <w:lang w:val="en-GB"/>
        </w:rPr>
        <w:t>ime for determining COMI</w:t>
      </w:r>
      <w:r w:rsidR="005F4209" w:rsidRPr="006A236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is not </w:t>
      </w:r>
      <w:r w:rsidR="00070A34">
        <w:rPr>
          <w:rFonts w:ascii="Avenir Next" w:hAnsi="Avenir Next" w:cs="Arial"/>
          <w:color w:val="7B7B7B" w:themeColor="accent3" w:themeShade="BF"/>
          <w:sz w:val="22"/>
          <w:szCs w:val="22"/>
          <w:lang w:val="en-GB"/>
        </w:rPr>
        <w:t xml:space="preserve">defined in the EIR Recast. </w:t>
      </w:r>
      <w:r w:rsidR="00760CBB" w:rsidRPr="00760CBB">
        <w:rPr>
          <w:rFonts w:ascii="Avenir Next" w:hAnsi="Avenir Next" w:cs="Arial"/>
          <w:color w:val="7B7B7B" w:themeColor="accent3" w:themeShade="BF"/>
          <w:sz w:val="22"/>
          <w:szCs w:val="22"/>
          <w:lang w:val="en-GB"/>
        </w:rPr>
        <w:t>The Guide to Enactment and Interpretation (</w:t>
      </w:r>
      <w:r w:rsidR="00760CBB" w:rsidRPr="00760CBB">
        <w:rPr>
          <w:rFonts w:ascii="Avenir Next" w:hAnsi="Avenir Next" w:cs="Arial"/>
          <w:b/>
          <w:bCs/>
          <w:color w:val="7B7B7B" w:themeColor="accent3" w:themeShade="BF"/>
          <w:sz w:val="22"/>
          <w:szCs w:val="22"/>
          <w:lang w:val="en-GB"/>
        </w:rPr>
        <w:t>UNCITRAL Guide</w:t>
      </w:r>
      <w:r w:rsidR="00760CBB" w:rsidRPr="00760CBB">
        <w:rPr>
          <w:rFonts w:ascii="Avenir Next" w:hAnsi="Avenir Next" w:cs="Arial"/>
          <w:color w:val="7B7B7B" w:themeColor="accent3" w:themeShade="BF"/>
          <w:sz w:val="22"/>
          <w:szCs w:val="22"/>
          <w:lang w:val="en-GB"/>
        </w:rPr>
        <w:t>) argues that the relevant date is at the date of commencement of the foreign proceedings (</w:t>
      </w:r>
      <w:proofErr w:type="spellStart"/>
      <w:r w:rsidR="00760CBB" w:rsidRPr="00760CBB">
        <w:rPr>
          <w:rFonts w:ascii="Avenir Next" w:hAnsi="Avenir Next" w:cs="Arial"/>
          <w:color w:val="7B7B7B" w:themeColor="accent3" w:themeShade="BF"/>
          <w:sz w:val="22"/>
          <w:szCs w:val="22"/>
          <w:lang w:val="en-GB"/>
        </w:rPr>
        <w:t>ie</w:t>
      </w:r>
      <w:proofErr w:type="spellEnd"/>
      <w:r w:rsidR="00760CBB" w:rsidRPr="00760CBB">
        <w:rPr>
          <w:rFonts w:ascii="Avenir Next" w:hAnsi="Avenir Next" w:cs="Arial"/>
          <w:color w:val="7B7B7B" w:themeColor="accent3" w:themeShade="BF"/>
          <w:sz w:val="22"/>
          <w:szCs w:val="22"/>
          <w:lang w:val="en-GB"/>
        </w:rPr>
        <w:t xml:space="preserve"> as at the date of the </w:t>
      </w:r>
      <w:r w:rsidR="00760CBB">
        <w:rPr>
          <w:rFonts w:ascii="Avenir Next" w:hAnsi="Avenir Next" w:cs="Arial"/>
          <w:color w:val="7B7B7B" w:themeColor="accent3" w:themeShade="BF"/>
          <w:sz w:val="22"/>
          <w:szCs w:val="22"/>
          <w:lang w:val="en-GB"/>
        </w:rPr>
        <w:t>FPPL</w:t>
      </w:r>
      <w:r w:rsidR="00760CBB" w:rsidRPr="00760CBB">
        <w:rPr>
          <w:rFonts w:ascii="Avenir Next" w:hAnsi="Avenir Next" w:cs="Arial"/>
          <w:color w:val="7B7B7B" w:themeColor="accent3" w:themeShade="BF"/>
          <w:sz w:val="22"/>
          <w:szCs w:val="22"/>
          <w:lang w:val="en-GB"/>
        </w:rPr>
        <w:t xml:space="preserve"> winding-up order).</w:t>
      </w:r>
      <w:r w:rsidR="00760CBB" w:rsidRPr="00760CBB">
        <w:rPr>
          <w:rFonts w:ascii="Avenir Next" w:hAnsi="Avenir Next" w:cs="Arial"/>
          <w:color w:val="7B7B7B" w:themeColor="accent3" w:themeShade="BF"/>
          <w:sz w:val="22"/>
          <w:szCs w:val="22"/>
          <w:vertAlign w:val="superscript"/>
          <w:lang w:val="en-GB"/>
        </w:rPr>
        <w:footnoteReference w:id="103"/>
      </w:r>
      <w:r w:rsidR="00760CBB" w:rsidRPr="00760CBB">
        <w:rPr>
          <w:rFonts w:ascii="Avenir Next" w:hAnsi="Avenir Next" w:cs="Arial"/>
          <w:color w:val="7B7B7B" w:themeColor="accent3" w:themeShade="BF"/>
          <w:sz w:val="22"/>
          <w:szCs w:val="22"/>
          <w:lang w:val="en-GB"/>
        </w:rPr>
        <w:t xml:space="preserve"> However, I understand that not all countries adopt this approach.</w:t>
      </w:r>
      <w:r w:rsidR="00760CBB" w:rsidRPr="00760CBB">
        <w:rPr>
          <w:rFonts w:ascii="Avenir Next" w:hAnsi="Avenir Next" w:cs="Arial"/>
          <w:color w:val="7B7B7B" w:themeColor="accent3" w:themeShade="BF"/>
          <w:sz w:val="22"/>
          <w:szCs w:val="22"/>
          <w:vertAlign w:val="superscript"/>
          <w:lang w:val="en-GB"/>
        </w:rPr>
        <w:footnoteReference w:id="104"/>
      </w:r>
      <w:r w:rsidR="00760CBB" w:rsidRPr="00760CBB">
        <w:rPr>
          <w:rFonts w:ascii="Avenir Next" w:hAnsi="Avenir Next" w:cs="Arial"/>
          <w:color w:val="7B7B7B" w:themeColor="accent3" w:themeShade="BF"/>
          <w:sz w:val="22"/>
          <w:szCs w:val="22"/>
          <w:vertAlign w:val="superscript"/>
          <w:lang w:val="en-GB"/>
        </w:rPr>
        <w:t xml:space="preserve">, </w:t>
      </w:r>
      <w:r w:rsidR="00760CBB" w:rsidRPr="00760CBB">
        <w:rPr>
          <w:rFonts w:ascii="Avenir Next" w:hAnsi="Avenir Next" w:cs="Arial"/>
          <w:color w:val="7B7B7B" w:themeColor="accent3" w:themeShade="BF"/>
          <w:sz w:val="22"/>
          <w:szCs w:val="22"/>
          <w:vertAlign w:val="superscript"/>
          <w:lang w:val="en-GB"/>
        </w:rPr>
        <w:footnoteReference w:id="105"/>
      </w:r>
      <w:r w:rsidR="00760CBB" w:rsidRPr="00760CBB">
        <w:rPr>
          <w:rFonts w:ascii="Avenir Next" w:hAnsi="Avenir Next" w:cs="Arial"/>
          <w:color w:val="7B7B7B" w:themeColor="accent3" w:themeShade="BF"/>
          <w:sz w:val="22"/>
          <w:szCs w:val="22"/>
          <w:lang w:val="en-GB"/>
        </w:rPr>
        <w:t xml:space="preserve"> </w:t>
      </w:r>
    </w:p>
    <w:p w14:paraId="02BDF4D0" w14:textId="77777777" w:rsidR="0096170E" w:rsidRPr="0096170E" w:rsidRDefault="0096170E" w:rsidP="0096170E">
      <w:pPr>
        <w:pStyle w:val="ListParagraph"/>
        <w:rPr>
          <w:rFonts w:ascii="Avenir Next" w:hAnsi="Avenir Next" w:cs="Arial"/>
          <w:color w:val="7B7B7B" w:themeColor="accent3" w:themeShade="BF"/>
          <w:sz w:val="22"/>
          <w:szCs w:val="22"/>
          <w:lang w:val="en-AU"/>
        </w:rPr>
      </w:pPr>
    </w:p>
    <w:p w14:paraId="2AF48FD7" w14:textId="11F7B269" w:rsidR="0096170E" w:rsidRDefault="0096170E" w:rsidP="0096170E">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note that sub-paragraphs (2) to (4) of Article 3 of the EIR Recast have been omitted entirely by paragraph 4(4) of the IXIT. This is particularly relevant given sub-paragraph (2) of Article 3 of the EIR Recast otherwise grants permission to courts of Member States to open </w:t>
      </w:r>
      <w:r w:rsidR="007E5972">
        <w:rPr>
          <w:rFonts w:ascii="Avenir Next" w:hAnsi="Avenir Next" w:cs="Arial"/>
          <w:color w:val="7B7B7B" w:themeColor="accent3" w:themeShade="BF"/>
          <w:sz w:val="22"/>
          <w:szCs w:val="22"/>
          <w:lang w:val="en-GB"/>
        </w:rPr>
        <w:t xml:space="preserve">secondary </w:t>
      </w:r>
      <w:r>
        <w:rPr>
          <w:rFonts w:ascii="Avenir Next" w:hAnsi="Avenir Next" w:cs="Arial"/>
          <w:color w:val="7B7B7B" w:themeColor="accent3" w:themeShade="BF"/>
          <w:sz w:val="22"/>
          <w:szCs w:val="22"/>
          <w:lang w:val="en-GB"/>
        </w:rPr>
        <w:t>insolvency proceedings against FPPL (in the appropriate circumstances).</w:t>
      </w:r>
      <w:r w:rsidR="001E5B0A">
        <w:rPr>
          <w:rFonts w:ascii="Avenir Next" w:hAnsi="Avenir Next" w:cs="Arial"/>
          <w:color w:val="7B7B7B" w:themeColor="accent3" w:themeShade="BF"/>
          <w:sz w:val="22"/>
          <w:szCs w:val="22"/>
          <w:lang w:val="en-GB"/>
        </w:rPr>
        <w:t xml:space="preserve"> </w:t>
      </w:r>
    </w:p>
    <w:p w14:paraId="675BA8FE" w14:textId="77777777" w:rsidR="00D80DE6" w:rsidRPr="00D80DE6" w:rsidRDefault="00D80DE6" w:rsidP="00D80DE6">
      <w:pPr>
        <w:pStyle w:val="ListParagraph"/>
        <w:rPr>
          <w:rFonts w:ascii="Avenir Next" w:hAnsi="Avenir Next" w:cs="Arial"/>
          <w:color w:val="7B7B7B" w:themeColor="accent3" w:themeShade="BF"/>
          <w:sz w:val="22"/>
          <w:szCs w:val="22"/>
          <w:lang w:val="en-GB"/>
        </w:rPr>
      </w:pPr>
    </w:p>
    <w:p w14:paraId="664104A2" w14:textId="199CB9A8" w:rsidR="00D80DE6" w:rsidRDefault="00672C19" w:rsidP="00F64CDA">
      <w:pPr>
        <w:pStyle w:val="ListParagraph"/>
        <w:numPr>
          <w:ilvl w:val="0"/>
          <w:numId w:val="34"/>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Establishment is defined in Article 2(10) of the </w:t>
      </w:r>
      <w:r w:rsidR="00470559">
        <w:rPr>
          <w:rFonts w:ascii="Avenir Next" w:hAnsi="Avenir Next" w:cs="Arial"/>
          <w:color w:val="7B7B7B" w:themeColor="accent3" w:themeShade="BF"/>
          <w:sz w:val="22"/>
          <w:szCs w:val="22"/>
          <w:lang w:val="en-GB"/>
        </w:rPr>
        <w:t>EIR</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Recast (which is amended by paragraph </w:t>
      </w:r>
      <w:r w:rsidR="00072587">
        <w:rPr>
          <w:rFonts w:ascii="Avenir Next" w:hAnsi="Avenir Next" w:cs="Arial"/>
          <w:color w:val="7B7B7B" w:themeColor="accent3" w:themeShade="BF"/>
          <w:sz w:val="22"/>
          <w:szCs w:val="22"/>
          <w:lang w:val="en-GB"/>
        </w:rPr>
        <w:t>3(f)</w:t>
      </w:r>
      <w:r>
        <w:rPr>
          <w:rFonts w:ascii="Avenir Next" w:hAnsi="Avenir Next" w:cs="Arial"/>
          <w:color w:val="7B7B7B" w:themeColor="accent3" w:themeShade="BF"/>
          <w:sz w:val="22"/>
          <w:szCs w:val="22"/>
          <w:lang w:val="en-GB"/>
        </w:rPr>
        <w:t xml:space="preserve"> of IXIT) as the</w:t>
      </w:r>
      <w:r w:rsidR="00072587">
        <w:rPr>
          <w:rFonts w:ascii="Avenir Next" w:hAnsi="Avenir Next" w:cs="Arial"/>
          <w:color w:val="7B7B7B" w:themeColor="accent3" w:themeShade="BF"/>
          <w:sz w:val="22"/>
          <w:szCs w:val="22"/>
          <w:lang w:val="en-GB"/>
        </w:rPr>
        <w:t xml:space="preserve"> </w:t>
      </w:r>
      <w:r w:rsidR="000B02D9">
        <w:rPr>
          <w:rFonts w:ascii="Avenir Next" w:hAnsi="Avenir Next" w:cs="Arial"/>
          <w:color w:val="7B7B7B" w:themeColor="accent3" w:themeShade="BF"/>
          <w:sz w:val="22"/>
          <w:szCs w:val="22"/>
          <w:lang w:val="en-GB"/>
        </w:rPr>
        <w:t>place of operations where FPPL carries out (or withing the prior 3 months, carried out)</w:t>
      </w:r>
      <w:r w:rsidR="00574F35">
        <w:rPr>
          <w:rFonts w:ascii="Avenir Next" w:hAnsi="Avenir Next" w:cs="Arial"/>
          <w:color w:val="7B7B7B" w:themeColor="accent3" w:themeShade="BF"/>
          <w:sz w:val="22"/>
          <w:szCs w:val="22"/>
          <w:lang w:val="en-GB"/>
        </w:rPr>
        <w:t>, “</w:t>
      </w:r>
      <w:r w:rsidR="00574F35" w:rsidRPr="00B0034C">
        <w:rPr>
          <w:rFonts w:ascii="Avenir Next" w:hAnsi="Avenir Next" w:cs="Arial"/>
          <w:i/>
          <w:iCs/>
          <w:color w:val="7B7B7B" w:themeColor="accent3" w:themeShade="BF"/>
          <w:sz w:val="22"/>
          <w:szCs w:val="22"/>
          <w:lang w:val="en-GB"/>
        </w:rPr>
        <w:t>prior to the request to open insolvency proceedings a non-transitory econ</w:t>
      </w:r>
      <w:r w:rsidR="00B0034C" w:rsidRPr="00B0034C">
        <w:rPr>
          <w:rFonts w:ascii="Avenir Next" w:hAnsi="Avenir Next" w:cs="Arial"/>
          <w:i/>
          <w:iCs/>
          <w:color w:val="7B7B7B" w:themeColor="accent3" w:themeShade="BF"/>
          <w:sz w:val="22"/>
          <w:szCs w:val="22"/>
          <w:lang w:val="en-GB"/>
        </w:rPr>
        <w:t>omic activity with human means and assets</w:t>
      </w:r>
      <w:r w:rsidR="00B0034C">
        <w:rPr>
          <w:rFonts w:ascii="Avenir Next" w:hAnsi="Avenir Next" w:cs="Arial"/>
          <w:color w:val="7B7B7B" w:themeColor="accent3" w:themeShade="BF"/>
          <w:sz w:val="22"/>
          <w:szCs w:val="22"/>
          <w:lang w:val="en-GB"/>
        </w:rPr>
        <w:t>.”</w:t>
      </w:r>
    </w:p>
    <w:p w14:paraId="358D6303" w14:textId="77777777" w:rsidR="00713B2C" w:rsidRPr="00713B2C" w:rsidRDefault="00713B2C" w:rsidP="00713B2C">
      <w:pPr>
        <w:pStyle w:val="ListParagraph"/>
        <w:rPr>
          <w:rFonts w:ascii="Avenir Next" w:hAnsi="Avenir Next" w:cs="Arial"/>
          <w:color w:val="7B7B7B" w:themeColor="accent3" w:themeShade="BF"/>
          <w:sz w:val="22"/>
          <w:szCs w:val="22"/>
          <w:lang w:val="en-GB"/>
        </w:rPr>
      </w:pPr>
    </w:p>
    <w:p w14:paraId="1CFA3D7D" w14:textId="64B84CB1" w:rsidR="00DB542B" w:rsidRDefault="00006EC4" w:rsidP="00DB542B">
      <w:pPr>
        <w:pStyle w:val="ListParagraph"/>
        <w:numPr>
          <w:ilvl w:val="1"/>
          <w:numId w:val="34"/>
        </w:numPr>
        <w:ind w:left="993" w:hanging="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 note that non-transitory economic activity with human means and assets is not defined in the EIR Recast.</w:t>
      </w:r>
      <w:r>
        <w:rPr>
          <w:rStyle w:val="FootnoteReference"/>
          <w:rFonts w:ascii="Avenir Next" w:hAnsi="Avenir Next" w:cs="Arial"/>
          <w:color w:val="7B7B7B" w:themeColor="accent3" w:themeShade="BF"/>
          <w:sz w:val="22"/>
          <w:szCs w:val="22"/>
          <w:lang w:val="en-GB"/>
        </w:rPr>
        <w:footnoteReference w:id="106"/>
      </w:r>
      <w:r>
        <w:rPr>
          <w:rFonts w:ascii="Avenir Next" w:hAnsi="Avenir Next" w:cs="Arial"/>
          <w:color w:val="7B7B7B" w:themeColor="accent3" w:themeShade="BF"/>
          <w:sz w:val="22"/>
          <w:szCs w:val="22"/>
          <w:lang w:val="en-GB"/>
        </w:rPr>
        <w:t xml:space="preserve"> </w:t>
      </w:r>
      <w:r w:rsidR="00260AD1">
        <w:rPr>
          <w:rFonts w:ascii="Avenir Next" w:hAnsi="Avenir Next" w:cs="Arial"/>
          <w:color w:val="7B7B7B" w:themeColor="accent3" w:themeShade="BF"/>
          <w:sz w:val="22"/>
          <w:szCs w:val="22"/>
          <w:lang w:val="en-GB"/>
        </w:rPr>
        <w:t>Justice Snowden had regard</w:t>
      </w:r>
      <w:r w:rsidR="00DB542B">
        <w:rPr>
          <w:rStyle w:val="FootnoteReference"/>
          <w:rFonts w:ascii="Avenir Next" w:hAnsi="Avenir Next" w:cs="Arial"/>
          <w:color w:val="7B7B7B" w:themeColor="accent3" w:themeShade="BF"/>
          <w:sz w:val="22"/>
          <w:szCs w:val="22"/>
          <w:lang w:val="en-GB"/>
        </w:rPr>
        <w:footnoteReference w:id="107"/>
      </w:r>
      <w:r w:rsidR="00260AD1">
        <w:rPr>
          <w:rFonts w:ascii="Avenir Next" w:hAnsi="Avenir Next" w:cs="Arial"/>
          <w:color w:val="7B7B7B" w:themeColor="accent3" w:themeShade="BF"/>
          <w:sz w:val="22"/>
          <w:szCs w:val="22"/>
          <w:lang w:val="en-GB"/>
        </w:rPr>
        <w:t xml:space="preserve"> instead to the </w:t>
      </w:r>
      <w:r w:rsidR="00DB542B">
        <w:rPr>
          <w:rFonts w:ascii="Avenir Next" w:hAnsi="Avenir Next" w:cs="Arial"/>
          <w:b/>
          <w:bCs/>
          <w:color w:val="7B7B7B" w:themeColor="accent3" w:themeShade="BF"/>
          <w:sz w:val="22"/>
          <w:szCs w:val="22"/>
          <w:lang w:val="en-GB"/>
        </w:rPr>
        <w:t>Virgos-</w:t>
      </w:r>
      <w:proofErr w:type="spellStart"/>
      <w:r w:rsidR="00DB542B">
        <w:rPr>
          <w:rFonts w:ascii="Avenir Next" w:hAnsi="Avenir Next" w:cs="Arial"/>
          <w:b/>
          <w:bCs/>
          <w:color w:val="7B7B7B" w:themeColor="accent3" w:themeShade="BF"/>
          <w:sz w:val="22"/>
          <w:szCs w:val="22"/>
          <w:lang w:val="en-GB"/>
        </w:rPr>
        <w:t>Schmit</w:t>
      </w:r>
      <w:proofErr w:type="spellEnd"/>
      <w:r w:rsidR="00DB542B">
        <w:rPr>
          <w:rFonts w:ascii="Avenir Next" w:hAnsi="Avenir Next" w:cs="Arial"/>
          <w:b/>
          <w:bCs/>
          <w:color w:val="7B7B7B" w:themeColor="accent3" w:themeShade="BF"/>
          <w:sz w:val="22"/>
          <w:szCs w:val="22"/>
          <w:lang w:val="en-GB"/>
        </w:rPr>
        <w:t xml:space="preserve"> Report</w:t>
      </w:r>
      <w:r w:rsidR="00DB542B">
        <w:rPr>
          <w:rStyle w:val="FootnoteReference"/>
          <w:rFonts w:ascii="Avenir Next" w:hAnsi="Avenir Next" w:cs="Arial"/>
          <w:color w:val="7B7B7B" w:themeColor="accent3" w:themeShade="BF"/>
          <w:sz w:val="22"/>
          <w:szCs w:val="22"/>
          <w:lang w:val="en-GB"/>
        </w:rPr>
        <w:footnoteReference w:id="108"/>
      </w:r>
      <w:r w:rsidR="00DB542B">
        <w:rPr>
          <w:rFonts w:ascii="Avenir Next" w:hAnsi="Avenir Next" w:cs="Arial"/>
          <w:color w:val="7B7B7B" w:themeColor="accent3" w:themeShade="BF"/>
          <w:sz w:val="22"/>
          <w:szCs w:val="22"/>
          <w:lang w:val="en-GB"/>
        </w:rPr>
        <w:t xml:space="preserve"> to provide the following further explanation of the word “establishment:”</w:t>
      </w:r>
      <w:r w:rsidR="00DB542B">
        <w:rPr>
          <w:rStyle w:val="FootnoteReference"/>
          <w:rFonts w:ascii="Avenir Next" w:hAnsi="Avenir Next" w:cs="Arial"/>
          <w:color w:val="7B7B7B" w:themeColor="accent3" w:themeShade="BF"/>
          <w:sz w:val="22"/>
          <w:szCs w:val="22"/>
          <w:lang w:val="en-GB"/>
        </w:rPr>
        <w:footnoteReference w:id="109"/>
      </w:r>
    </w:p>
    <w:p w14:paraId="4715A200" w14:textId="77777777" w:rsidR="00DB542B" w:rsidRDefault="00DB542B" w:rsidP="00DB542B">
      <w:pPr>
        <w:pStyle w:val="ListParagraph"/>
        <w:ind w:left="792"/>
        <w:jc w:val="both"/>
        <w:rPr>
          <w:rFonts w:ascii="Avenir Next" w:hAnsi="Avenir Next" w:cs="Arial"/>
          <w:color w:val="7B7B7B" w:themeColor="accent3" w:themeShade="BF"/>
          <w:sz w:val="14"/>
          <w:szCs w:val="14"/>
          <w:lang w:val="en-GB"/>
        </w:rPr>
      </w:pPr>
    </w:p>
    <w:p w14:paraId="23F4BFAE" w14:textId="4908DAA2" w:rsidR="00DB542B" w:rsidRDefault="00DB542B" w:rsidP="00DB542B">
      <w:pPr>
        <w:pStyle w:val="ListParagraph"/>
        <w:numPr>
          <w:ilvl w:val="0"/>
          <w:numId w:val="36"/>
        </w:numPr>
        <w:ind w:left="1418" w:hanging="425"/>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Human resources require a minimum level of organisation; and</w:t>
      </w:r>
    </w:p>
    <w:p w14:paraId="7F6A3C57" w14:textId="5641AA45" w:rsidR="00DB542B" w:rsidRDefault="00DB542B" w:rsidP="00DB542B">
      <w:pPr>
        <w:pStyle w:val="ListParagraph"/>
        <w:numPr>
          <w:ilvl w:val="0"/>
          <w:numId w:val="36"/>
        </w:numPr>
        <w:ind w:left="1418" w:hanging="425"/>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Non-transitory requires that the place not be occasional, such that stability is required. </w:t>
      </w:r>
      <w:r w:rsidR="00D67CE8">
        <w:rPr>
          <w:rFonts w:ascii="Avenir Next" w:hAnsi="Avenir Next" w:cs="Arial"/>
          <w:color w:val="7B7B7B" w:themeColor="accent3" w:themeShade="BF"/>
          <w:sz w:val="22"/>
          <w:szCs w:val="22"/>
          <w:lang w:val="en-GB"/>
        </w:rPr>
        <w:t>Based on paragraph 3(f) of IXIT, I understand that this time limit must have been within the prior 3 months</w:t>
      </w:r>
      <w:r>
        <w:rPr>
          <w:rFonts w:ascii="Avenir Next" w:hAnsi="Avenir Next" w:cs="Arial"/>
          <w:color w:val="7B7B7B" w:themeColor="accent3" w:themeShade="BF"/>
          <w:sz w:val="22"/>
          <w:szCs w:val="22"/>
          <w:lang w:val="en-GB"/>
        </w:rPr>
        <w:t xml:space="preserve">. </w:t>
      </w:r>
    </w:p>
    <w:p w14:paraId="2999D669" w14:textId="77777777" w:rsidR="00DB542B" w:rsidRDefault="00DB542B" w:rsidP="00DB542B">
      <w:pPr>
        <w:ind w:left="709"/>
        <w:jc w:val="both"/>
        <w:rPr>
          <w:rFonts w:ascii="Avenir Next" w:hAnsi="Avenir Next" w:cs="Arial"/>
          <w:color w:val="7B7B7B" w:themeColor="accent3" w:themeShade="BF"/>
          <w:sz w:val="22"/>
          <w:szCs w:val="22"/>
          <w:lang w:val="en-GB"/>
        </w:rPr>
      </w:pPr>
    </w:p>
    <w:p w14:paraId="0DC336EA" w14:textId="507A0E13" w:rsidR="00DB542B" w:rsidRDefault="00DB542B" w:rsidP="00DB542B">
      <w:pPr>
        <w:ind w:left="709"/>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factual matrix does not provide sufficient factual evidence to determine</w:t>
      </w:r>
      <w:r w:rsidR="008A7C43">
        <w:rPr>
          <w:rFonts w:ascii="Avenir Next" w:hAnsi="Avenir Next" w:cs="Arial"/>
          <w:color w:val="7B7B7B" w:themeColor="accent3" w:themeShade="BF"/>
          <w:sz w:val="22"/>
          <w:szCs w:val="22"/>
          <w:lang w:val="en-GB"/>
        </w:rPr>
        <w:t xml:space="preserve"> </w:t>
      </w:r>
      <w:r w:rsidR="00EB2F5D">
        <w:rPr>
          <w:rFonts w:ascii="Avenir Next" w:hAnsi="Avenir Next" w:cs="Arial"/>
          <w:color w:val="7B7B7B" w:themeColor="accent3" w:themeShade="BF"/>
          <w:sz w:val="22"/>
          <w:szCs w:val="22"/>
          <w:lang w:val="en-GB"/>
        </w:rPr>
        <w:t>the operations of FPPL in the 3 month period leading up to the insolvency proceedings</w:t>
      </w:r>
      <w:r>
        <w:rPr>
          <w:rFonts w:ascii="Avenir Next" w:hAnsi="Avenir Next" w:cs="Arial"/>
          <w:color w:val="7B7B7B" w:themeColor="accent3" w:themeShade="BF"/>
          <w:sz w:val="22"/>
          <w:szCs w:val="22"/>
          <w:lang w:val="en-GB"/>
        </w:rPr>
        <w:t>.</w:t>
      </w:r>
      <w:r w:rsidR="00EB2F5D">
        <w:rPr>
          <w:rFonts w:ascii="Avenir Next" w:hAnsi="Avenir Next" w:cs="Arial"/>
          <w:color w:val="7B7B7B" w:themeColor="accent3" w:themeShade="BF"/>
          <w:sz w:val="22"/>
          <w:szCs w:val="22"/>
          <w:lang w:val="en-GB"/>
        </w:rPr>
        <w:t xml:space="preserve"> It does however </w:t>
      </w:r>
      <w:r w:rsidR="00F45944">
        <w:rPr>
          <w:rFonts w:ascii="Avenir Next" w:hAnsi="Avenir Next" w:cs="Arial"/>
          <w:color w:val="7B7B7B" w:themeColor="accent3" w:themeShade="BF"/>
          <w:sz w:val="22"/>
          <w:szCs w:val="22"/>
          <w:lang w:val="en-GB"/>
        </w:rPr>
        <w:t>record that FPPL has offices through</w:t>
      </w:r>
      <w:r w:rsidR="00835A31">
        <w:rPr>
          <w:rFonts w:ascii="Avenir Next" w:hAnsi="Avenir Next" w:cs="Arial"/>
          <w:color w:val="7B7B7B" w:themeColor="accent3" w:themeShade="BF"/>
          <w:sz w:val="22"/>
          <w:szCs w:val="22"/>
          <w:lang w:val="en-GB"/>
        </w:rPr>
        <w:t>out</w:t>
      </w:r>
      <w:r w:rsidR="00F45944">
        <w:rPr>
          <w:rFonts w:ascii="Avenir Next" w:hAnsi="Avenir Next" w:cs="Arial"/>
          <w:color w:val="7B7B7B" w:themeColor="accent3" w:themeShade="BF"/>
          <w:sz w:val="22"/>
          <w:szCs w:val="22"/>
          <w:lang w:val="en-GB"/>
        </w:rPr>
        <w:t xml:space="preserve"> the EU and the UK, which presumably </w:t>
      </w:r>
      <w:r w:rsidR="00835A31">
        <w:rPr>
          <w:rFonts w:ascii="Avenir Next" w:hAnsi="Avenir Next" w:cs="Arial"/>
          <w:color w:val="7B7B7B" w:themeColor="accent3" w:themeShade="BF"/>
          <w:sz w:val="22"/>
          <w:szCs w:val="22"/>
          <w:lang w:val="en-GB"/>
        </w:rPr>
        <w:t xml:space="preserve">meets the definition of establishment. </w:t>
      </w:r>
    </w:p>
    <w:p w14:paraId="5B8A2AA0" w14:textId="77777777" w:rsidR="008A7C43" w:rsidRDefault="008A7C43" w:rsidP="008A7C43">
      <w:pPr>
        <w:jc w:val="both"/>
        <w:rPr>
          <w:rFonts w:ascii="Avenir Next" w:hAnsi="Avenir Next" w:cs="Arial"/>
          <w:color w:val="7B7B7B" w:themeColor="accent3" w:themeShade="BF"/>
          <w:sz w:val="22"/>
          <w:szCs w:val="22"/>
          <w:lang w:val="en-GB"/>
        </w:rPr>
      </w:pPr>
    </w:p>
    <w:p w14:paraId="55799D1E" w14:textId="4B833DAF" w:rsidR="00713B2C" w:rsidRDefault="006A7D47" w:rsidP="00B55220">
      <w:pPr>
        <w:pStyle w:val="ListParagraph"/>
        <w:numPr>
          <w:ilvl w:val="0"/>
          <w:numId w:val="34"/>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EU Member court must have regard </w:t>
      </w:r>
      <w:r w:rsidR="0000102D">
        <w:rPr>
          <w:rFonts w:ascii="Avenir Next" w:hAnsi="Avenir Next" w:cs="Arial"/>
          <w:color w:val="7B7B7B" w:themeColor="accent3" w:themeShade="BF"/>
          <w:sz w:val="22"/>
          <w:szCs w:val="22"/>
          <w:lang w:val="en-GB"/>
        </w:rPr>
        <w:t xml:space="preserve">to paragraph (1) of IXIT and </w:t>
      </w:r>
      <w:r w:rsidR="00B55220">
        <w:rPr>
          <w:rFonts w:ascii="Avenir Next" w:hAnsi="Avenir Next" w:cs="Arial"/>
          <w:color w:val="7B7B7B" w:themeColor="accent3" w:themeShade="BF"/>
          <w:sz w:val="22"/>
          <w:szCs w:val="22"/>
          <w:lang w:val="en-GB"/>
        </w:rPr>
        <w:t>shall specify the grounds for making a decision (</w:t>
      </w:r>
      <w:r w:rsidR="00B55244">
        <w:rPr>
          <w:rFonts w:ascii="Avenir Next" w:hAnsi="Avenir Next" w:cs="Arial"/>
          <w:color w:val="7B7B7B" w:themeColor="accent3" w:themeShade="BF"/>
          <w:sz w:val="22"/>
          <w:szCs w:val="22"/>
          <w:lang w:val="en-GB"/>
        </w:rPr>
        <w:t>Article 4 of the EIR Recast and paragraph 5 (inclusive) of IXIT).</w:t>
      </w:r>
    </w:p>
    <w:p w14:paraId="04E2342D" w14:textId="77777777" w:rsidR="00B55244" w:rsidRDefault="00B55244" w:rsidP="00B55244">
      <w:pPr>
        <w:pStyle w:val="ListParagraph"/>
        <w:ind w:left="426"/>
        <w:jc w:val="both"/>
        <w:rPr>
          <w:rFonts w:ascii="Avenir Next" w:hAnsi="Avenir Next" w:cs="Arial"/>
          <w:color w:val="7B7B7B" w:themeColor="accent3" w:themeShade="BF"/>
          <w:sz w:val="22"/>
          <w:szCs w:val="22"/>
          <w:lang w:val="en-GB"/>
        </w:rPr>
      </w:pPr>
    </w:p>
    <w:p w14:paraId="3B2D14C9" w14:textId="0FAFC3C4" w:rsidR="00B55244" w:rsidRDefault="007F288D" w:rsidP="00B55220">
      <w:pPr>
        <w:pStyle w:val="ListParagraph"/>
        <w:numPr>
          <w:ilvl w:val="0"/>
          <w:numId w:val="34"/>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w:t>
      </w:r>
      <w:r w:rsidR="001A6C64">
        <w:rPr>
          <w:rFonts w:ascii="Avenir Next" w:hAnsi="Avenir Next" w:cs="Arial"/>
          <w:color w:val="7B7B7B" w:themeColor="accent3" w:themeShade="BF"/>
          <w:sz w:val="22"/>
          <w:szCs w:val="22"/>
          <w:lang w:val="en-GB"/>
        </w:rPr>
        <w:t xml:space="preserve"> IXIT, g</w:t>
      </w:r>
      <w:r w:rsidR="00870A34">
        <w:rPr>
          <w:rFonts w:ascii="Avenir Next" w:hAnsi="Avenir Next" w:cs="Arial"/>
          <w:color w:val="7B7B7B" w:themeColor="accent3" w:themeShade="BF"/>
          <w:sz w:val="22"/>
          <w:szCs w:val="22"/>
          <w:lang w:val="en-GB"/>
        </w:rPr>
        <w:t xml:space="preserve">iven the </w:t>
      </w:r>
      <w:r w:rsidR="00593572">
        <w:rPr>
          <w:rFonts w:ascii="Avenir Next" w:hAnsi="Avenir Next" w:cs="Arial"/>
          <w:color w:val="7B7B7B" w:themeColor="accent3" w:themeShade="BF"/>
          <w:sz w:val="22"/>
          <w:szCs w:val="22"/>
          <w:lang w:val="en-GB"/>
        </w:rPr>
        <w:t xml:space="preserve">UK insolvency proceedings was commenced first, it is likely that the UK liquidator will have some difficulties in </w:t>
      </w:r>
      <w:r w:rsidR="001A6C64">
        <w:rPr>
          <w:rFonts w:ascii="Avenir Next" w:hAnsi="Avenir Next" w:cs="Arial"/>
          <w:color w:val="7B7B7B" w:themeColor="accent3" w:themeShade="BF"/>
          <w:sz w:val="22"/>
          <w:szCs w:val="22"/>
          <w:lang w:val="en-GB"/>
        </w:rPr>
        <w:t xml:space="preserve">applying to EU Member States for recognition. This is particularly so if Lobo was to commence </w:t>
      </w:r>
      <w:r w:rsidR="00E0649F">
        <w:rPr>
          <w:rFonts w:ascii="Avenir Next" w:hAnsi="Avenir Next" w:cs="Arial"/>
          <w:color w:val="7B7B7B" w:themeColor="accent3" w:themeShade="BF"/>
          <w:sz w:val="22"/>
          <w:szCs w:val="22"/>
          <w:lang w:val="en-GB"/>
        </w:rPr>
        <w:t>a main insolvency proceeding in the EU.</w:t>
      </w:r>
      <w:r w:rsidR="0001495B">
        <w:rPr>
          <w:rStyle w:val="FootnoteReference"/>
          <w:rFonts w:ascii="Avenir Next" w:hAnsi="Avenir Next" w:cs="Arial"/>
          <w:color w:val="7B7B7B" w:themeColor="accent3" w:themeShade="BF"/>
          <w:sz w:val="22"/>
          <w:szCs w:val="22"/>
          <w:lang w:val="en-GB"/>
        </w:rPr>
        <w:footnoteReference w:id="110"/>
      </w:r>
      <w:r w:rsidR="00E0649F">
        <w:rPr>
          <w:rFonts w:ascii="Avenir Next" w:hAnsi="Avenir Next" w:cs="Arial"/>
          <w:color w:val="7B7B7B" w:themeColor="accent3" w:themeShade="BF"/>
          <w:sz w:val="22"/>
          <w:szCs w:val="22"/>
          <w:lang w:val="en-GB"/>
        </w:rPr>
        <w:t xml:space="preserve"> Practically, the liquidator in the UK may </w:t>
      </w:r>
      <w:r w:rsidR="000800C2">
        <w:rPr>
          <w:rFonts w:ascii="Avenir Next" w:hAnsi="Avenir Next" w:cs="Arial"/>
          <w:color w:val="7B7B7B" w:themeColor="accent3" w:themeShade="BF"/>
          <w:sz w:val="22"/>
          <w:szCs w:val="22"/>
          <w:lang w:val="en-GB"/>
        </w:rPr>
        <w:t>also have issues with costs, lack of assets</w:t>
      </w:r>
      <w:r w:rsidR="0001495B">
        <w:rPr>
          <w:rFonts w:ascii="Avenir Next" w:hAnsi="Avenir Next" w:cs="Arial"/>
          <w:color w:val="7B7B7B" w:themeColor="accent3" w:themeShade="BF"/>
          <w:sz w:val="22"/>
          <w:szCs w:val="22"/>
          <w:lang w:val="en-GB"/>
        </w:rPr>
        <w:t xml:space="preserve">, delays and dissipation of asset risks that they may not be able to control or cover. </w:t>
      </w:r>
    </w:p>
    <w:p w14:paraId="5BB09351" w14:textId="77777777" w:rsidR="00E406A7" w:rsidRPr="00E406A7" w:rsidRDefault="00E406A7" w:rsidP="00E406A7">
      <w:pPr>
        <w:pStyle w:val="ListParagraph"/>
        <w:rPr>
          <w:rFonts w:ascii="Avenir Next" w:hAnsi="Avenir Next" w:cs="Arial"/>
          <w:color w:val="7B7B7B" w:themeColor="accent3" w:themeShade="BF"/>
          <w:sz w:val="22"/>
          <w:szCs w:val="22"/>
          <w:lang w:val="en-GB"/>
        </w:rPr>
      </w:pPr>
    </w:p>
    <w:p w14:paraId="719AD37F" w14:textId="49C1DD69" w:rsidR="00E406A7" w:rsidRPr="00F64CDA" w:rsidRDefault="00E406A7" w:rsidP="00B55220">
      <w:pPr>
        <w:pStyle w:val="ListParagraph"/>
        <w:numPr>
          <w:ilvl w:val="0"/>
          <w:numId w:val="34"/>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not clear </w:t>
      </w:r>
      <w:r w:rsidR="004436FE">
        <w:rPr>
          <w:rFonts w:ascii="Avenir Next" w:hAnsi="Avenir Next" w:cs="Arial"/>
          <w:color w:val="7B7B7B" w:themeColor="accent3" w:themeShade="BF"/>
          <w:sz w:val="22"/>
          <w:szCs w:val="22"/>
          <w:lang w:val="en-GB"/>
        </w:rPr>
        <w:t xml:space="preserve">on the factual matrix which EU Member State Lobo may consider filing insolvency proceedings in. </w:t>
      </w:r>
      <w:r w:rsidR="00CB5F53">
        <w:rPr>
          <w:rFonts w:ascii="Avenir Next" w:hAnsi="Avenir Next" w:cs="Arial"/>
          <w:color w:val="7B7B7B" w:themeColor="accent3" w:themeShade="BF"/>
          <w:sz w:val="22"/>
          <w:szCs w:val="22"/>
          <w:lang w:val="en-GB"/>
        </w:rPr>
        <w:t>The UK Government has provided a handy guide on cross-border insolvency recognition in each of the different EU Member States, post BREXIT.</w:t>
      </w:r>
      <w:r w:rsidR="00561D03">
        <w:rPr>
          <w:rStyle w:val="FootnoteReference"/>
          <w:rFonts w:ascii="Avenir Next" w:hAnsi="Avenir Next" w:cs="Arial"/>
          <w:color w:val="7B7B7B" w:themeColor="accent3" w:themeShade="BF"/>
          <w:sz w:val="22"/>
          <w:szCs w:val="22"/>
          <w:lang w:val="en-GB"/>
        </w:rPr>
        <w:footnoteReference w:id="111"/>
      </w:r>
      <w:r w:rsidR="00CB5F53">
        <w:rPr>
          <w:rFonts w:ascii="Avenir Next" w:hAnsi="Avenir Next" w:cs="Arial"/>
          <w:color w:val="7B7B7B" w:themeColor="accent3" w:themeShade="BF"/>
          <w:sz w:val="22"/>
          <w:szCs w:val="22"/>
          <w:lang w:val="en-GB"/>
        </w:rPr>
        <w:t xml:space="preserve"> </w:t>
      </w:r>
      <w:r w:rsidR="007F288D">
        <w:rPr>
          <w:rFonts w:ascii="Avenir Next" w:hAnsi="Avenir Next" w:cs="Arial"/>
          <w:color w:val="7B7B7B" w:themeColor="accent3" w:themeShade="BF"/>
          <w:sz w:val="22"/>
          <w:szCs w:val="22"/>
          <w:lang w:val="en-GB"/>
        </w:rPr>
        <w:t xml:space="preserve">I would seek instructions from Lobo on identifying the strategically favourable </w:t>
      </w:r>
      <w:r w:rsidR="009D229E">
        <w:rPr>
          <w:rFonts w:ascii="Avenir Next" w:hAnsi="Avenir Next" w:cs="Arial"/>
          <w:color w:val="7B7B7B" w:themeColor="accent3" w:themeShade="BF"/>
          <w:sz w:val="22"/>
          <w:szCs w:val="22"/>
          <w:lang w:val="en-GB"/>
        </w:rPr>
        <w:t>EU Member State to consider seeking recognition of the main insolvency proceeding in.</w:t>
      </w:r>
    </w:p>
    <w:p w14:paraId="52632DD0" w14:textId="77777777" w:rsidR="000A0B25" w:rsidRDefault="000A0B25" w:rsidP="00727901">
      <w:pPr>
        <w:jc w:val="both"/>
        <w:rPr>
          <w:rFonts w:ascii="Avenir Next" w:hAnsi="Avenir Next" w:cs="Arial"/>
          <w:color w:val="7B7B7B" w:themeColor="accent3" w:themeShade="BF"/>
          <w:sz w:val="22"/>
          <w:szCs w:val="22"/>
          <w:highlight w:val="yellow"/>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2227" w14:textId="77777777" w:rsidR="003C33B4" w:rsidRDefault="003C33B4" w:rsidP="00241B44">
      <w:r>
        <w:separator/>
      </w:r>
    </w:p>
  </w:endnote>
  <w:endnote w:type="continuationSeparator" w:id="0">
    <w:p w14:paraId="7B782ABF" w14:textId="77777777" w:rsidR="003C33B4" w:rsidRDefault="003C33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8CA52DF" w:rsidR="00B64A85" w:rsidRPr="00297BDF" w:rsidRDefault="00004C27" w:rsidP="0052732A">
    <w:pPr>
      <w:pStyle w:val="Footer"/>
      <w:ind w:right="360"/>
      <w:rPr>
        <w:rFonts w:ascii="Avenir Next" w:hAnsi="Avenir Next" w:cs="Arial"/>
        <w:sz w:val="22"/>
        <w:szCs w:val="22"/>
      </w:rPr>
    </w:pPr>
    <w:r>
      <w:rPr>
        <w:rFonts w:ascii="Avenir Next" w:hAnsi="Avenir Next" w:cs="Arial"/>
        <w:sz w:val="22"/>
        <w:szCs w:val="22"/>
      </w:rPr>
      <w:t>202122-595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3D35" w14:textId="77777777" w:rsidR="003C33B4" w:rsidRDefault="003C33B4" w:rsidP="00241B44">
      <w:r>
        <w:separator/>
      </w:r>
    </w:p>
  </w:footnote>
  <w:footnote w:type="continuationSeparator" w:id="0">
    <w:p w14:paraId="7F050E72" w14:textId="77777777" w:rsidR="003C33B4" w:rsidRDefault="003C33B4" w:rsidP="00241B44">
      <w:r>
        <w:continuationSeparator/>
      </w:r>
    </w:p>
  </w:footnote>
  <w:footnote w:id="1">
    <w:p w14:paraId="221DB87B" w14:textId="35926052" w:rsidR="00771DBA" w:rsidRPr="004B3955" w:rsidRDefault="00771DBA" w:rsidP="009B31BF">
      <w:pPr>
        <w:ind w:left="284" w:hanging="284"/>
        <w:jc w:val="both"/>
        <w:rPr>
          <w:rFonts w:ascii="Avenir Next" w:hAnsi="Avenir Next" w:cs="Arial"/>
          <w:color w:val="808080" w:themeColor="background1" w:themeShade="80"/>
          <w:sz w:val="22"/>
          <w:szCs w:val="22"/>
          <w:lang w:val="en-AU"/>
        </w:rPr>
      </w:pPr>
      <w:r w:rsidRPr="004B3955">
        <w:rPr>
          <w:rStyle w:val="FootnoteReference"/>
          <w:sz w:val="18"/>
          <w:szCs w:val="22"/>
          <w:lang w:val="en-AU"/>
        </w:rPr>
        <w:footnoteRef/>
      </w:r>
      <w:r w:rsidRPr="004B3955">
        <w:rPr>
          <w:sz w:val="18"/>
          <w:szCs w:val="22"/>
          <w:lang w:val="en-AU"/>
        </w:rPr>
        <w:t xml:space="preserve"> </w:t>
      </w:r>
      <w:r w:rsidR="00C839B3" w:rsidRPr="004B3955">
        <w:rPr>
          <w:sz w:val="18"/>
          <w:szCs w:val="22"/>
          <w:lang w:val="en-AU"/>
        </w:rPr>
        <w:t xml:space="preserve">&lt;https://www.lexafrica.com/guide-to-insolvency-and-business-restructuring-in-africa-2/&gt; </w:t>
      </w:r>
      <w:r w:rsidR="00C839B3" w:rsidRPr="004B3955">
        <w:rPr>
          <w:sz w:val="18"/>
          <w:szCs w:val="18"/>
          <w:lang w:val="en-AU"/>
        </w:rPr>
        <w:t>(accessed 13 November 2022).</w:t>
      </w:r>
    </w:p>
  </w:footnote>
  <w:footnote w:id="2">
    <w:p w14:paraId="2743DC2D" w14:textId="310DDC98" w:rsidR="00A15467" w:rsidRPr="004B3955" w:rsidRDefault="00A15467">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D800CF" w:rsidRPr="004B3955">
        <w:rPr>
          <w:sz w:val="18"/>
          <w:szCs w:val="18"/>
          <w:lang w:val="en-AU"/>
        </w:rPr>
        <w:t>&lt;</w:t>
      </w:r>
      <w:r w:rsidR="00446FDA" w:rsidRPr="004B3955">
        <w:rPr>
          <w:sz w:val="18"/>
          <w:szCs w:val="18"/>
          <w:lang w:val="en-AU"/>
        </w:rPr>
        <w:t>https://www.ohada.org/en/organizing-simplified-recovery-procedures-and-measures-of-execution/</w:t>
      </w:r>
      <w:r w:rsidR="00D800CF" w:rsidRPr="004B3955">
        <w:rPr>
          <w:sz w:val="18"/>
          <w:szCs w:val="18"/>
          <w:lang w:val="en-AU"/>
        </w:rPr>
        <w:t>&gt; (accessed 13 November 2022).</w:t>
      </w:r>
    </w:p>
  </w:footnote>
  <w:footnote w:id="3">
    <w:p w14:paraId="5F1CE6C6" w14:textId="51456D8C" w:rsidR="00A15467" w:rsidRPr="004B3955" w:rsidRDefault="00A15467">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D800CF" w:rsidRPr="004B3955">
        <w:rPr>
          <w:sz w:val="18"/>
          <w:szCs w:val="18"/>
          <w:lang w:val="en-AU"/>
        </w:rPr>
        <w:t>&lt;https://www.ohada.org/en/insolvency-law/&gt; (accessed 13 November 2022).</w:t>
      </w:r>
    </w:p>
  </w:footnote>
  <w:footnote w:id="4">
    <w:p w14:paraId="06721EF2" w14:textId="1338DDFC" w:rsidR="007B5B5A" w:rsidRPr="004B3955" w:rsidRDefault="007B5B5A">
      <w:pPr>
        <w:pStyle w:val="FootnoteText"/>
        <w:rPr>
          <w:lang w:val="en-AU"/>
        </w:rPr>
      </w:pPr>
      <w:r w:rsidRPr="004B3955">
        <w:rPr>
          <w:rStyle w:val="FootnoteReference"/>
          <w:sz w:val="18"/>
          <w:szCs w:val="18"/>
          <w:lang w:val="en-AU"/>
        </w:rPr>
        <w:footnoteRef/>
      </w:r>
      <w:r w:rsidRPr="004B3955">
        <w:rPr>
          <w:sz w:val="18"/>
          <w:szCs w:val="18"/>
          <w:lang w:val="en-AU"/>
        </w:rPr>
        <w:t xml:space="preserve"> &lt;https://www.ohada.org/en/state-members/&gt; (accessed 13 November 2022).</w:t>
      </w:r>
    </w:p>
  </w:footnote>
  <w:footnote w:id="5">
    <w:p w14:paraId="36583CD8" w14:textId="0032DEC1" w:rsidR="00F86FED" w:rsidRPr="00F86FED" w:rsidRDefault="00F86FED">
      <w:pPr>
        <w:pStyle w:val="FootnoteText"/>
        <w:rPr>
          <w:lang w:val="en-AU"/>
        </w:rPr>
      </w:pPr>
      <w:r w:rsidRPr="00F86FED">
        <w:rPr>
          <w:rStyle w:val="FootnoteReference"/>
          <w:sz w:val="18"/>
          <w:szCs w:val="18"/>
        </w:rPr>
        <w:footnoteRef/>
      </w:r>
      <w:r w:rsidRPr="00F86FED">
        <w:rPr>
          <w:sz w:val="18"/>
          <w:szCs w:val="18"/>
        </w:rPr>
        <w:t xml:space="preserve"> </w:t>
      </w:r>
      <w:proofErr w:type="spellStart"/>
      <w:r w:rsidR="00022568">
        <w:rPr>
          <w:sz w:val="18"/>
          <w:szCs w:val="18"/>
        </w:rPr>
        <w:t>Spuling</w:t>
      </w:r>
      <w:proofErr w:type="spellEnd"/>
      <w:r w:rsidR="00022568">
        <w:rPr>
          <w:sz w:val="18"/>
          <w:szCs w:val="18"/>
        </w:rPr>
        <w:t xml:space="preserve">, N. (2021) </w:t>
      </w:r>
      <w:r w:rsidR="00022568">
        <w:rPr>
          <w:i/>
          <w:iCs/>
          <w:sz w:val="18"/>
          <w:szCs w:val="18"/>
        </w:rPr>
        <w:t xml:space="preserve">Cross-border insolvencies in Southeast Asia: Regional insolvency framework for </w:t>
      </w:r>
      <w:r w:rsidR="00022568" w:rsidRPr="00022568">
        <w:rPr>
          <w:sz w:val="18"/>
          <w:szCs w:val="18"/>
        </w:rPr>
        <w:t>ASEAN</w:t>
      </w:r>
      <w:r w:rsidR="00022568">
        <w:rPr>
          <w:sz w:val="18"/>
          <w:szCs w:val="18"/>
        </w:rPr>
        <w:t xml:space="preserve">, </w:t>
      </w:r>
      <w:r w:rsidR="00022568" w:rsidRPr="00022568">
        <w:rPr>
          <w:sz w:val="18"/>
          <w:szCs w:val="18"/>
        </w:rPr>
        <w:t>p</w:t>
      </w:r>
      <w:r w:rsidRPr="00022568">
        <w:rPr>
          <w:sz w:val="18"/>
          <w:szCs w:val="18"/>
        </w:rPr>
        <w:t>ages</w:t>
      </w:r>
      <w:r>
        <w:rPr>
          <w:sz w:val="18"/>
          <w:szCs w:val="18"/>
        </w:rPr>
        <w:t xml:space="preserve"> </w:t>
      </w:r>
      <w:r w:rsidR="00022568">
        <w:rPr>
          <w:sz w:val="18"/>
          <w:szCs w:val="18"/>
        </w:rPr>
        <w:t>10 to 14.</w:t>
      </w:r>
    </w:p>
  </w:footnote>
  <w:footnote w:id="6">
    <w:p w14:paraId="1F4A0614" w14:textId="6D7C5B70" w:rsidR="008854C3" w:rsidRPr="004B3955" w:rsidRDefault="008854C3">
      <w:pPr>
        <w:pStyle w:val="FootnoteText"/>
        <w:rPr>
          <w:lang w:val="en-AU"/>
        </w:rPr>
      </w:pPr>
      <w:r w:rsidRPr="004B3955">
        <w:rPr>
          <w:rStyle w:val="FootnoteReference"/>
          <w:sz w:val="18"/>
          <w:szCs w:val="18"/>
          <w:lang w:val="en-AU"/>
        </w:rPr>
        <w:footnoteRef/>
      </w:r>
      <w:r w:rsidRPr="004B3955">
        <w:rPr>
          <w:sz w:val="18"/>
          <w:szCs w:val="18"/>
          <w:lang w:val="en-AU"/>
        </w:rPr>
        <w:t xml:space="preserve"> </w:t>
      </w:r>
      <w:proofErr w:type="spellStart"/>
      <w:r w:rsidR="00776F0A" w:rsidRPr="004B3955">
        <w:rPr>
          <w:sz w:val="18"/>
          <w:szCs w:val="18"/>
          <w:lang w:val="en-AU"/>
        </w:rPr>
        <w:t>Antons</w:t>
      </w:r>
      <w:proofErr w:type="spellEnd"/>
      <w:r w:rsidR="00776F0A" w:rsidRPr="004B3955">
        <w:rPr>
          <w:sz w:val="18"/>
          <w:szCs w:val="18"/>
          <w:lang w:val="en-AU"/>
        </w:rPr>
        <w:t xml:space="preserve">, C and </w:t>
      </w:r>
      <w:proofErr w:type="spellStart"/>
      <w:r w:rsidR="00776F0A" w:rsidRPr="004B3955">
        <w:rPr>
          <w:sz w:val="18"/>
          <w:szCs w:val="18"/>
          <w:lang w:val="en-AU"/>
        </w:rPr>
        <w:t>Tomasic</w:t>
      </w:r>
      <w:proofErr w:type="spellEnd"/>
      <w:r w:rsidR="00776F0A" w:rsidRPr="004B3955">
        <w:rPr>
          <w:sz w:val="18"/>
          <w:szCs w:val="18"/>
          <w:lang w:val="en-AU"/>
        </w:rPr>
        <w:t xml:space="preserve">, R, </w:t>
      </w:r>
      <w:r w:rsidR="00E04F87" w:rsidRPr="004B3955">
        <w:rPr>
          <w:sz w:val="18"/>
          <w:szCs w:val="18"/>
          <w:lang w:val="en-AU"/>
        </w:rPr>
        <w:t>Law Reform and Legal Change: An Introduction to Law and Society in East Asia (Surrey, England, Ashgate Publishing, 2013, Chapter 1, page 3). Also accessible at &lt;https://ssrn.com/abstract</w:t>
      </w:r>
      <w:r w:rsidR="007E1BF2" w:rsidRPr="004B3955">
        <w:rPr>
          <w:sz w:val="18"/>
          <w:szCs w:val="18"/>
          <w:lang w:val="en-AU"/>
        </w:rPr>
        <w:t>=2253930</w:t>
      </w:r>
      <w:r w:rsidR="00E04F87" w:rsidRPr="004B3955">
        <w:rPr>
          <w:sz w:val="18"/>
          <w:szCs w:val="18"/>
          <w:lang w:val="en-AU"/>
        </w:rPr>
        <w:t>&gt;</w:t>
      </w:r>
      <w:r w:rsidR="007E1BF2" w:rsidRPr="004B3955">
        <w:rPr>
          <w:sz w:val="18"/>
          <w:szCs w:val="18"/>
          <w:lang w:val="en-AU"/>
        </w:rPr>
        <w:t xml:space="preserve"> (accessed 13 November 2022). See also </w:t>
      </w:r>
      <w:r w:rsidR="00D923A5" w:rsidRPr="004B3955">
        <w:rPr>
          <w:sz w:val="18"/>
          <w:szCs w:val="18"/>
          <w:lang w:val="en-AU"/>
        </w:rPr>
        <w:t xml:space="preserve">generally </w:t>
      </w:r>
      <w:r w:rsidR="0085098A" w:rsidRPr="004B3955">
        <w:rPr>
          <w:sz w:val="18"/>
          <w:szCs w:val="18"/>
          <w:lang w:val="en-AU"/>
        </w:rPr>
        <w:t xml:space="preserve">Halliday, Terence C and Carruthers, Bruce G (2009) </w:t>
      </w:r>
      <w:r w:rsidR="0085098A" w:rsidRPr="004B3955">
        <w:rPr>
          <w:i/>
          <w:iCs/>
          <w:sz w:val="18"/>
          <w:szCs w:val="18"/>
          <w:lang w:val="en-AU"/>
        </w:rPr>
        <w:t>Bankrupt – Global Lawmaking and Systemic Financial Crisis</w:t>
      </w:r>
      <w:r w:rsidR="00D923A5" w:rsidRPr="004B3955">
        <w:rPr>
          <w:sz w:val="18"/>
          <w:szCs w:val="18"/>
          <w:lang w:val="en-AU"/>
        </w:rPr>
        <w:t xml:space="preserve"> (Stanford University Press). </w:t>
      </w:r>
    </w:p>
  </w:footnote>
  <w:footnote w:id="7">
    <w:p w14:paraId="433D8139" w14:textId="758CCA28" w:rsidR="00786431" w:rsidRPr="00786431" w:rsidRDefault="00786431" w:rsidP="00E25124">
      <w:pPr>
        <w:pStyle w:val="FootnoteText"/>
        <w:rPr>
          <w:lang w:val="en-AU"/>
        </w:rPr>
      </w:pPr>
      <w:r w:rsidRPr="00E25124">
        <w:rPr>
          <w:rStyle w:val="FootnoteReference"/>
          <w:sz w:val="18"/>
          <w:szCs w:val="18"/>
        </w:rPr>
        <w:footnoteRef/>
      </w:r>
      <w:r w:rsidRPr="00E25124">
        <w:rPr>
          <w:sz w:val="18"/>
          <w:szCs w:val="18"/>
        </w:rPr>
        <w:t xml:space="preserve"> </w:t>
      </w:r>
      <w:proofErr w:type="spellStart"/>
      <w:r w:rsidR="00AC0A67">
        <w:rPr>
          <w:sz w:val="18"/>
          <w:szCs w:val="18"/>
        </w:rPr>
        <w:t>Spuling</w:t>
      </w:r>
      <w:proofErr w:type="spellEnd"/>
      <w:r w:rsidR="00AC0A67">
        <w:rPr>
          <w:sz w:val="18"/>
          <w:szCs w:val="18"/>
        </w:rPr>
        <w:t xml:space="preserve">, N. (2021) </w:t>
      </w:r>
      <w:r w:rsidR="00AC0A67">
        <w:rPr>
          <w:i/>
          <w:iCs/>
          <w:sz w:val="18"/>
          <w:szCs w:val="18"/>
        </w:rPr>
        <w:t xml:space="preserve">Cross-border insolvencies in Southeast Asia: Regional insolvency framework for </w:t>
      </w:r>
      <w:r w:rsidR="00AC0A67" w:rsidRPr="00022568">
        <w:rPr>
          <w:sz w:val="18"/>
          <w:szCs w:val="18"/>
        </w:rPr>
        <w:t>ASEAN</w:t>
      </w:r>
      <w:r w:rsidR="00AC0A67">
        <w:rPr>
          <w:sz w:val="18"/>
          <w:szCs w:val="18"/>
        </w:rPr>
        <w:t xml:space="preserve">, </w:t>
      </w:r>
      <w:r w:rsidR="00AC0A67" w:rsidRPr="00022568">
        <w:rPr>
          <w:sz w:val="18"/>
          <w:szCs w:val="18"/>
        </w:rPr>
        <w:t>page</w:t>
      </w:r>
      <w:r w:rsidR="00E95AFF">
        <w:rPr>
          <w:sz w:val="18"/>
          <w:szCs w:val="18"/>
        </w:rPr>
        <w:t xml:space="preserve"> 92 citing </w:t>
      </w:r>
      <w:r w:rsidRPr="00E25124">
        <w:rPr>
          <w:sz w:val="18"/>
          <w:szCs w:val="18"/>
          <w:lang w:val="en-AU"/>
        </w:rPr>
        <w:t>I C Nam and S O</w:t>
      </w:r>
      <w:r w:rsidR="00955199" w:rsidRPr="00E25124">
        <w:rPr>
          <w:sz w:val="18"/>
          <w:szCs w:val="18"/>
          <w:lang w:val="en-AU"/>
        </w:rPr>
        <w:t xml:space="preserve">h, ‘Asian Insolvency Regimes from a Comparative Perspective: </w:t>
      </w:r>
      <w:r w:rsidR="00E25124" w:rsidRPr="00E25124">
        <w:rPr>
          <w:sz w:val="18"/>
          <w:szCs w:val="18"/>
          <w:lang w:val="en-AU"/>
        </w:rPr>
        <w:t>Problems</w:t>
      </w:r>
      <w:r w:rsidR="00955199" w:rsidRPr="00E25124">
        <w:rPr>
          <w:sz w:val="18"/>
          <w:szCs w:val="18"/>
          <w:lang w:val="en-AU"/>
        </w:rPr>
        <w:t xml:space="preserve"> and Issues for </w:t>
      </w:r>
      <w:r w:rsidR="008D2143">
        <w:rPr>
          <w:sz w:val="18"/>
          <w:szCs w:val="18"/>
          <w:lang w:val="en-AU"/>
        </w:rPr>
        <w:t>R</w:t>
      </w:r>
      <w:r w:rsidR="00E25124" w:rsidRPr="00E25124">
        <w:rPr>
          <w:sz w:val="18"/>
          <w:szCs w:val="18"/>
          <w:lang w:val="en-AU"/>
        </w:rPr>
        <w:t>eform</w:t>
      </w:r>
      <w:r w:rsidR="00955199" w:rsidRPr="00E25124">
        <w:rPr>
          <w:sz w:val="18"/>
          <w:szCs w:val="18"/>
          <w:lang w:val="en-AU"/>
        </w:rPr>
        <w:t xml:space="preserve">’ in Organisation </w:t>
      </w:r>
      <w:r w:rsidR="00E25124" w:rsidRPr="00E25124">
        <w:rPr>
          <w:sz w:val="18"/>
          <w:szCs w:val="18"/>
          <w:lang w:val="en-AU"/>
        </w:rPr>
        <w:t>for Economic Cooperation and Development (ed.), Insolvency Systems in Asia: An</w:t>
      </w:r>
      <w:r w:rsidR="00E25124">
        <w:rPr>
          <w:sz w:val="18"/>
          <w:szCs w:val="18"/>
          <w:lang w:val="en-AU"/>
        </w:rPr>
        <w:t xml:space="preserve"> </w:t>
      </w:r>
      <w:r w:rsidR="00E25124" w:rsidRPr="00E25124">
        <w:rPr>
          <w:sz w:val="18"/>
          <w:szCs w:val="18"/>
          <w:lang w:val="en-AU"/>
        </w:rPr>
        <w:t>Efficiency Perspective.</w:t>
      </w:r>
      <w:r w:rsidR="00AC0A67">
        <w:rPr>
          <w:sz w:val="18"/>
          <w:szCs w:val="18"/>
          <w:lang w:val="en-AU"/>
        </w:rPr>
        <w:t xml:space="preserve"> </w:t>
      </w:r>
      <w:r w:rsidR="00E25124" w:rsidRPr="00E25124">
        <w:rPr>
          <w:sz w:val="18"/>
          <w:szCs w:val="18"/>
          <w:lang w:val="en-AU"/>
        </w:rPr>
        <w:t>Conclusions of the Conference on 'Insolvency Systems in Asia: An Efficiency Perspective'</w:t>
      </w:r>
      <w:r w:rsidR="00AC0A67">
        <w:rPr>
          <w:sz w:val="18"/>
          <w:szCs w:val="18"/>
          <w:lang w:val="en-AU"/>
        </w:rPr>
        <w:t xml:space="preserve"> </w:t>
      </w:r>
      <w:r w:rsidR="00E25124" w:rsidRPr="00E25124">
        <w:rPr>
          <w:sz w:val="18"/>
          <w:szCs w:val="18"/>
          <w:lang w:val="en-AU"/>
        </w:rPr>
        <w:t>(Paris: OECD Publishing, 2001), pp. 19–103, at p. 92.</w:t>
      </w:r>
    </w:p>
  </w:footnote>
  <w:footnote w:id="8">
    <w:p w14:paraId="5E501842" w14:textId="148386AB" w:rsidR="00BC794A" w:rsidRPr="00BC794A" w:rsidRDefault="00BC794A">
      <w:pPr>
        <w:pStyle w:val="FootnoteText"/>
        <w:rPr>
          <w:lang w:val="en-AU"/>
        </w:rPr>
      </w:pPr>
      <w:r w:rsidRPr="00BC794A">
        <w:rPr>
          <w:rStyle w:val="FootnoteReference"/>
          <w:sz w:val="18"/>
          <w:szCs w:val="18"/>
        </w:rPr>
        <w:footnoteRef/>
      </w:r>
      <w:r w:rsidRPr="00BC794A">
        <w:rPr>
          <w:sz w:val="18"/>
          <w:szCs w:val="18"/>
        </w:rPr>
        <w:t xml:space="preserve"> </w:t>
      </w:r>
      <w:proofErr w:type="spellStart"/>
      <w:r>
        <w:rPr>
          <w:sz w:val="18"/>
          <w:szCs w:val="18"/>
        </w:rPr>
        <w:t>Spuling</w:t>
      </w:r>
      <w:proofErr w:type="spellEnd"/>
      <w:r>
        <w:rPr>
          <w:sz w:val="18"/>
          <w:szCs w:val="18"/>
        </w:rPr>
        <w:t xml:space="preserve">, N. (2021) </w:t>
      </w:r>
      <w:r>
        <w:rPr>
          <w:i/>
          <w:iCs/>
          <w:sz w:val="18"/>
          <w:szCs w:val="18"/>
        </w:rPr>
        <w:t xml:space="preserve">Cross-border insolvencies in Southeast Asia: Regional insolvency framework for </w:t>
      </w:r>
      <w:r w:rsidRPr="00022568">
        <w:rPr>
          <w:sz w:val="18"/>
          <w:szCs w:val="18"/>
        </w:rPr>
        <w:t>ASEAN</w:t>
      </w:r>
      <w:r>
        <w:rPr>
          <w:sz w:val="18"/>
          <w:szCs w:val="18"/>
        </w:rPr>
        <w:t xml:space="preserve">, </w:t>
      </w:r>
      <w:r w:rsidRPr="00022568">
        <w:rPr>
          <w:sz w:val="18"/>
          <w:szCs w:val="18"/>
        </w:rPr>
        <w:t>page</w:t>
      </w:r>
      <w:r>
        <w:rPr>
          <w:sz w:val="18"/>
          <w:szCs w:val="18"/>
        </w:rPr>
        <w:t xml:space="preserve"> 92.</w:t>
      </w:r>
    </w:p>
  </w:footnote>
  <w:footnote w:id="9">
    <w:p w14:paraId="04820BE5" w14:textId="0398367E" w:rsidR="00C17C20" w:rsidRPr="00C17C20" w:rsidRDefault="00C17C20">
      <w:pPr>
        <w:pStyle w:val="FootnoteText"/>
        <w:rPr>
          <w:lang w:val="en-AU"/>
        </w:rPr>
      </w:pPr>
      <w:r w:rsidRPr="00C17C20">
        <w:rPr>
          <w:rStyle w:val="FootnoteReference"/>
          <w:sz w:val="18"/>
          <w:szCs w:val="18"/>
        </w:rPr>
        <w:footnoteRef/>
      </w:r>
      <w:r w:rsidRPr="00C17C20">
        <w:rPr>
          <w:sz w:val="18"/>
          <w:szCs w:val="18"/>
        </w:rPr>
        <w:t xml:space="preserve"> </w:t>
      </w:r>
      <w:r>
        <w:rPr>
          <w:sz w:val="18"/>
          <w:szCs w:val="18"/>
        </w:rPr>
        <w:t>Ibid, page 94.</w:t>
      </w:r>
    </w:p>
  </w:footnote>
  <w:footnote w:id="10">
    <w:p w14:paraId="694A3E88" w14:textId="313FB52B" w:rsidR="008B3EE8" w:rsidRPr="008B3EE8" w:rsidRDefault="008B3EE8">
      <w:pPr>
        <w:pStyle w:val="FootnoteText"/>
        <w:rPr>
          <w:lang w:val="en-AU"/>
        </w:rPr>
      </w:pPr>
      <w:r w:rsidRPr="005361D9">
        <w:rPr>
          <w:rStyle w:val="FootnoteReference"/>
          <w:sz w:val="18"/>
          <w:szCs w:val="18"/>
        </w:rPr>
        <w:footnoteRef/>
      </w:r>
      <w:r w:rsidRPr="005361D9">
        <w:rPr>
          <w:sz w:val="18"/>
          <w:szCs w:val="18"/>
        </w:rPr>
        <w:t xml:space="preserve"> </w:t>
      </w:r>
      <w:r w:rsidRPr="005361D9">
        <w:rPr>
          <w:sz w:val="18"/>
          <w:szCs w:val="18"/>
          <w:lang w:val="en-AU"/>
        </w:rPr>
        <w:t xml:space="preserve">In </w:t>
      </w:r>
      <w:r w:rsidR="007231F9" w:rsidRPr="005361D9">
        <w:rPr>
          <w:sz w:val="18"/>
          <w:szCs w:val="18"/>
          <w:lang w:val="en-AU"/>
        </w:rPr>
        <w:t xml:space="preserve">a report filed by the Committee to Strengthen Singapore as an International Centre for Debt Restructuring </w:t>
      </w:r>
      <w:r w:rsidR="005361D9" w:rsidRPr="005361D9">
        <w:rPr>
          <w:sz w:val="18"/>
          <w:szCs w:val="18"/>
          <w:lang w:val="en-AU"/>
        </w:rPr>
        <w:t>(</w:t>
      </w:r>
      <w:r w:rsidR="005361D9" w:rsidRPr="005361D9">
        <w:rPr>
          <w:b/>
          <w:bCs/>
          <w:sz w:val="18"/>
          <w:szCs w:val="18"/>
          <w:lang w:val="en-AU"/>
        </w:rPr>
        <w:t>CSSICDR</w:t>
      </w:r>
      <w:r w:rsidR="005361D9" w:rsidRPr="005361D9">
        <w:rPr>
          <w:sz w:val="18"/>
          <w:szCs w:val="18"/>
          <w:lang w:val="en-AU"/>
        </w:rPr>
        <w:t>), dated 20 April 2016.</w:t>
      </w:r>
    </w:p>
  </w:footnote>
  <w:footnote w:id="11">
    <w:p w14:paraId="57F905D5" w14:textId="109861A5" w:rsidR="009175CA" w:rsidRPr="009175CA" w:rsidRDefault="009175CA">
      <w:pPr>
        <w:pStyle w:val="FootnoteText"/>
        <w:rPr>
          <w:lang w:val="en-AU"/>
        </w:rPr>
      </w:pPr>
      <w:r w:rsidRPr="009175CA">
        <w:rPr>
          <w:rStyle w:val="FootnoteReference"/>
          <w:sz w:val="18"/>
          <w:szCs w:val="18"/>
        </w:rPr>
        <w:footnoteRef/>
      </w:r>
      <w:r w:rsidRPr="009175CA">
        <w:rPr>
          <w:sz w:val="18"/>
          <w:szCs w:val="18"/>
        </w:rPr>
        <w:t xml:space="preserve"> </w:t>
      </w:r>
      <w:r w:rsidRPr="009175CA">
        <w:rPr>
          <w:sz w:val="18"/>
          <w:szCs w:val="18"/>
          <w:lang w:val="en-AU"/>
        </w:rPr>
        <w:t>&lt;https://www.herbertsmithfreehills.com/latest-thinking/singapore-unveils-new-omnibus-insolvency-restructuring-and-dissolution-bill&gt; (accessed 1</w:t>
      </w:r>
      <w:r>
        <w:rPr>
          <w:sz w:val="18"/>
          <w:szCs w:val="18"/>
          <w:lang w:val="en-AU"/>
        </w:rPr>
        <w:t>0</w:t>
      </w:r>
      <w:r w:rsidRPr="009175CA">
        <w:rPr>
          <w:sz w:val="18"/>
          <w:szCs w:val="18"/>
          <w:lang w:val="en-AU"/>
        </w:rPr>
        <w:t xml:space="preserve"> November 2022).</w:t>
      </w:r>
    </w:p>
  </w:footnote>
  <w:footnote w:id="12">
    <w:p w14:paraId="6C263E29" w14:textId="0CB4D705" w:rsidR="00A270C3" w:rsidRPr="00A270C3" w:rsidRDefault="00A270C3">
      <w:pPr>
        <w:pStyle w:val="FootnoteText"/>
        <w:rPr>
          <w:lang w:val="en-AU"/>
        </w:rPr>
      </w:pPr>
      <w:r w:rsidRPr="000F5CA8">
        <w:rPr>
          <w:rStyle w:val="FootnoteReference"/>
          <w:sz w:val="18"/>
          <w:szCs w:val="18"/>
        </w:rPr>
        <w:footnoteRef/>
      </w:r>
      <w:r w:rsidRPr="000F5CA8">
        <w:rPr>
          <w:sz w:val="18"/>
          <w:szCs w:val="18"/>
        </w:rPr>
        <w:t xml:space="preserve"> </w:t>
      </w:r>
      <w:r w:rsidR="000F5CA8" w:rsidRPr="009175CA">
        <w:rPr>
          <w:sz w:val="18"/>
          <w:szCs w:val="18"/>
          <w:lang w:val="en-AU"/>
        </w:rPr>
        <w:t>&lt;</w:t>
      </w:r>
      <w:r w:rsidR="000F5CA8" w:rsidRPr="000F5CA8">
        <w:rPr>
          <w:sz w:val="18"/>
          <w:szCs w:val="18"/>
          <w:lang w:val="en-AU"/>
        </w:rPr>
        <w:t>https://www.mlaw.gov.sg/news/press-releases/omnibus-bill-introduced-to-update-singapore-insovlency-debtrestructuring-laws</w:t>
      </w:r>
      <w:r w:rsidR="000F5CA8" w:rsidRPr="009175CA">
        <w:rPr>
          <w:sz w:val="18"/>
          <w:szCs w:val="18"/>
          <w:lang w:val="en-AU"/>
        </w:rPr>
        <w:t>&gt; (accessed 1</w:t>
      </w:r>
      <w:r w:rsidR="000F5CA8">
        <w:rPr>
          <w:sz w:val="18"/>
          <w:szCs w:val="18"/>
          <w:lang w:val="en-AU"/>
        </w:rPr>
        <w:t>0</w:t>
      </w:r>
      <w:r w:rsidR="000F5CA8" w:rsidRPr="009175CA">
        <w:rPr>
          <w:sz w:val="18"/>
          <w:szCs w:val="18"/>
          <w:lang w:val="en-AU"/>
        </w:rPr>
        <w:t xml:space="preserve"> November 2022).</w:t>
      </w:r>
    </w:p>
  </w:footnote>
  <w:footnote w:id="13">
    <w:p w14:paraId="433F1212" w14:textId="43A31D4D" w:rsidR="00E8568B" w:rsidRPr="00E8568B" w:rsidRDefault="00E8568B">
      <w:pPr>
        <w:pStyle w:val="FootnoteText"/>
        <w:rPr>
          <w:lang w:val="en-AU"/>
        </w:rPr>
      </w:pPr>
      <w:r w:rsidRPr="00CF60EB">
        <w:rPr>
          <w:rStyle w:val="FootnoteReference"/>
          <w:sz w:val="18"/>
          <w:szCs w:val="18"/>
        </w:rPr>
        <w:footnoteRef/>
      </w:r>
      <w:r w:rsidRPr="00CF60EB">
        <w:rPr>
          <w:sz w:val="18"/>
          <w:szCs w:val="18"/>
        </w:rPr>
        <w:t xml:space="preserve"> </w:t>
      </w:r>
      <w:r w:rsidR="00CF60EB">
        <w:rPr>
          <w:sz w:val="18"/>
          <w:szCs w:val="18"/>
        </w:rPr>
        <w:t>&lt;</w:t>
      </w:r>
      <w:r w:rsidR="00CF60EB" w:rsidRPr="00CF60EB">
        <w:rPr>
          <w:sz w:val="18"/>
          <w:szCs w:val="18"/>
        </w:rPr>
        <w:t>http://www.jin-global.org/about-us.html</w:t>
      </w:r>
      <w:r w:rsidR="00CF60EB">
        <w:rPr>
          <w:sz w:val="18"/>
          <w:szCs w:val="18"/>
        </w:rPr>
        <w:t xml:space="preserve">&gt; </w:t>
      </w:r>
      <w:r w:rsidR="00CF60EB" w:rsidRPr="009175CA">
        <w:rPr>
          <w:sz w:val="18"/>
          <w:szCs w:val="18"/>
          <w:lang w:val="en-AU"/>
        </w:rPr>
        <w:t>(accessed 1</w:t>
      </w:r>
      <w:r w:rsidR="00CF60EB">
        <w:rPr>
          <w:sz w:val="18"/>
          <w:szCs w:val="18"/>
          <w:lang w:val="en-AU"/>
        </w:rPr>
        <w:t>0</w:t>
      </w:r>
      <w:r w:rsidR="00CF60EB" w:rsidRPr="009175CA">
        <w:rPr>
          <w:sz w:val="18"/>
          <w:szCs w:val="18"/>
          <w:lang w:val="en-AU"/>
        </w:rPr>
        <w:t xml:space="preserve"> November 2022).</w:t>
      </w:r>
    </w:p>
  </w:footnote>
  <w:footnote w:id="14">
    <w:p w14:paraId="28B95BA0" w14:textId="1FB0632E" w:rsidR="008A2435" w:rsidRPr="004B3955" w:rsidRDefault="008A2435">
      <w:pPr>
        <w:pStyle w:val="FootnoteText"/>
        <w:rPr>
          <w:lang w:val="en-AU"/>
        </w:rPr>
      </w:pPr>
      <w:r w:rsidRPr="004B3955">
        <w:rPr>
          <w:rStyle w:val="FootnoteReference"/>
          <w:sz w:val="18"/>
          <w:szCs w:val="18"/>
          <w:lang w:val="en-AU"/>
        </w:rPr>
        <w:footnoteRef/>
      </w:r>
      <w:r w:rsidRPr="004B3955">
        <w:rPr>
          <w:sz w:val="18"/>
          <w:szCs w:val="18"/>
          <w:lang w:val="en-AU"/>
        </w:rPr>
        <w:t xml:space="preserve"> Westbrook, Jay L, </w:t>
      </w:r>
      <w:r w:rsidRPr="004B3955">
        <w:rPr>
          <w:i/>
          <w:iCs/>
          <w:sz w:val="18"/>
          <w:szCs w:val="18"/>
          <w:lang w:val="en-AU"/>
        </w:rPr>
        <w:t>The Transnational Insolvency Project of the American Law Institute</w:t>
      </w:r>
      <w:r w:rsidR="00D338A7" w:rsidRPr="004B3955">
        <w:rPr>
          <w:sz w:val="18"/>
          <w:szCs w:val="18"/>
          <w:lang w:val="en-AU"/>
        </w:rPr>
        <w:t>, 17 Conn</w:t>
      </w:r>
      <w:r w:rsidR="00A24482" w:rsidRPr="004B3955">
        <w:rPr>
          <w:sz w:val="18"/>
          <w:szCs w:val="18"/>
          <w:lang w:val="en-AU"/>
        </w:rPr>
        <w:t xml:space="preserve">ecticut Journal of </w:t>
      </w:r>
      <w:r w:rsidR="00D338A7" w:rsidRPr="004B3955">
        <w:rPr>
          <w:sz w:val="18"/>
          <w:szCs w:val="18"/>
          <w:lang w:val="en-AU"/>
        </w:rPr>
        <w:t>International Law 99 (2001-2002)</w:t>
      </w:r>
      <w:r w:rsidR="000B4F1A" w:rsidRPr="004B3955">
        <w:rPr>
          <w:sz w:val="18"/>
          <w:szCs w:val="18"/>
          <w:lang w:val="en-AU"/>
        </w:rPr>
        <w:t>, 99.</w:t>
      </w:r>
    </w:p>
  </w:footnote>
  <w:footnote w:id="15">
    <w:p w14:paraId="618E914F" w14:textId="77777777" w:rsidR="003F5869" w:rsidRPr="004B3955" w:rsidRDefault="003F5869" w:rsidP="003F5869">
      <w:pPr>
        <w:pStyle w:val="FootnoteText"/>
        <w:rPr>
          <w:lang w:val="en-AU"/>
        </w:rPr>
      </w:pPr>
      <w:r w:rsidRPr="004B3955">
        <w:rPr>
          <w:rStyle w:val="FootnoteReference"/>
          <w:sz w:val="18"/>
          <w:szCs w:val="18"/>
          <w:lang w:val="en-AU"/>
        </w:rPr>
        <w:footnoteRef/>
      </w:r>
      <w:r w:rsidRPr="004B3955">
        <w:rPr>
          <w:sz w:val="18"/>
          <w:szCs w:val="18"/>
          <w:lang w:val="en-AU"/>
        </w:rPr>
        <w:t xml:space="preserve"> Final Report of the High Level Forum on Capital Markets Union – A new vision for Europe’s Capital Markets (2020), p 114.</w:t>
      </w:r>
    </w:p>
  </w:footnote>
  <w:footnote w:id="16">
    <w:p w14:paraId="4E28FAFA" w14:textId="0F7C88E2" w:rsidR="00F135FE" w:rsidRPr="004B3955" w:rsidRDefault="00F135FE">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BD3964" w:rsidRPr="004B3955">
        <w:rPr>
          <w:sz w:val="18"/>
          <w:szCs w:val="18"/>
          <w:lang w:val="en-AU"/>
        </w:rPr>
        <w:t xml:space="preserve">Harold S. Burman, </w:t>
      </w:r>
      <w:r w:rsidR="00BD3964" w:rsidRPr="004B3955">
        <w:rPr>
          <w:i/>
          <w:iCs/>
          <w:sz w:val="18"/>
          <w:szCs w:val="18"/>
          <w:lang w:val="en-AU"/>
        </w:rPr>
        <w:t>Harmonization of International Bankruptcy Law: A United States Perspective</w:t>
      </w:r>
      <w:r w:rsidR="00E26B56" w:rsidRPr="004B3955">
        <w:rPr>
          <w:sz w:val="18"/>
          <w:szCs w:val="18"/>
          <w:lang w:val="en-AU"/>
        </w:rPr>
        <w:t>,</w:t>
      </w:r>
      <w:r w:rsidR="00E26B56" w:rsidRPr="004B3955">
        <w:rPr>
          <w:i/>
          <w:iCs/>
          <w:sz w:val="18"/>
          <w:szCs w:val="18"/>
          <w:lang w:val="en-AU"/>
        </w:rPr>
        <w:t xml:space="preserve"> </w:t>
      </w:r>
      <w:r w:rsidR="00E26B56" w:rsidRPr="004B3955">
        <w:rPr>
          <w:sz w:val="18"/>
          <w:szCs w:val="18"/>
          <w:lang w:val="en-AU"/>
        </w:rPr>
        <w:t xml:space="preserve">64 Fordham Law Review 2543 (1996), </w:t>
      </w:r>
      <w:r w:rsidR="00BD3964" w:rsidRPr="004B3955">
        <w:rPr>
          <w:sz w:val="18"/>
          <w:szCs w:val="18"/>
          <w:lang w:val="en-AU"/>
        </w:rPr>
        <w:t>2556</w:t>
      </w:r>
      <w:r w:rsidR="00E26B56" w:rsidRPr="004B3955">
        <w:rPr>
          <w:sz w:val="18"/>
          <w:szCs w:val="18"/>
          <w:lang w:val="en-AU"/>
        </w:rPr>
        <w:t>.</w:t>
      </w:r>
    </w:p>
  </w:footnote>
  <w:footnote w:id="17">
    <w:p w14:paraId="1EE5A744" w14:textId="7449A678" w:rsidR="00B02EEA" w:rsidRPr="004B3955" w:rsidRDefault="00B02EEA">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I F Fletcher, </w:t>
      </w:r>
      <w:r w:rsidRPr="004B3955">
        <w:rPr>
          <w:i/>
          <w:iCs/>
          <w:sz w:val="18"/>
          <w:szCs w:val="18"/>
          <w:lang w:val="en-AU"/>
        </w:rPr>
        <w:t xml:space="preserve">The Law of Insolvency, </w:t>
      </w:r>
      <w:r w:rsidRPr="004B3955">
        <w:rPr>
          <w:sz w:val="18"/>
          <w:szCs w:val="18"/>
          <w:lang w:val="en-AU"/>
        </w:rPr>
        <w:t>London (Sweet and Maxwell, 5</w:t>
      </w:r>
      <w:r w:rsidRPr="004B3955">
        <w:rPr>
          <w:sz w:val="18"/>
          <w:szCs w:val="18"/>
          <w:vertAlign w:val="superscript"/>
          <w:lang w:val="en-AU"/>
        </w:rPr>
        <w:t>th</w:t>
      </w:r>
      <w:r w:rsidRPr="004B3955">
        <w:rPr>
          <w:sz w:val="18"/>
          <w:szCs w:val="18"/>
          <w:lang w:val="en-AU"/>
        </w:rPr>
        <w:t xml:space="preserve"> ed, 2017), </w:t>
      </w:r>
      <w:r w:rsidR="00204BF0" w:rsidRPr="004B3955">
        <w:rPr>
          <w:sz w:val="18"/>
          <w:szCs w:val="18"/>
          <w:lang w:val="en-AU"/>
        </w:rPr>
        <w:t>32-058.</w:t>
      </w:r>
      <w:r w:rsidRPr="004B3955">
        <w:rPr>
          <w:sz w:val="18"/>
          <w:szCs w:val="18"/>
          <w:lang w:val="en-AU"/>
        </w:rPr>
        <w:t xml:space="preserve"> </w:t>
      </w:r>
    </w:p>
  </w:footnote>
  <w:footnote w:id="18">
    <w:p w14:paraId="49670A6D" w14:textId="5B71B56E" w:rsidR="008A3FF0" w:rsidRPr="004B3955" w:rsidRDefault="008A3FF0">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I F Fletcher and B Wessels, “Transnational Insolvency</w:t>
      </w:r>
      <w:r w:rsidR="00CA1652" w:rsidRPr="004B3955">
        <w:rPr>
          <w:sz w:val="18"/>
          <w:szCs w:val="18"/>
          <w:lang w:val="en-AU"/>
        </w:rPr>
        <w:t xml:space="preserve">: Global Principles for Cooperation in International Insolvency Cases” (Report, </w:t>
      </w:r>
      <w:r w:rsidR="00CA1652" w:rsidRPr="004B3955">
        <w:rPr>
          <w:i/>
          <w:iCs/>
          <w:sz w:val="18"/>
          <w:szCs w:val="18"/>
          <w:lang w:val="en-AU"/>
        </w:rPr>
        <w:t>The American Law Institute and the International Insolvency Institute</w:t>
      </w:r>
      <w:r w:rsidR="00CA1652" w:rsidRPr="004B3955">
        <w:rPr>
          <w:sz w:val="18"/>
          <w:szCs w:val="18"/>
          <w:lang w:val="en-AU"/>
        </w:rPr>
        <w:t xml:space="preserve">, 20 </w:t>
      </w:r>
      <w:r w:rsidR="009B31BF" w:rsidRPr="004B3955">
        <w:rPr>
          <w:sz w:val="18"/>
          <w:szCs w:val="18"/>
          <w:lang w:val="en-AU"/>
        </w:rPr>
        <w:t>March</w:t>
      </w:r>
      <w:r w:rsidR="00CA1652" w:rsidRPr="004B3955">
        <w:rPr>
          <w:sz w:val="18"/>
          <w:szCs w:val="18"/>
          <w:lang w:val="en-AU"/>
        </w:rPr>
        <w:t xml:space="preserve"> 2012), p xvii.</w:t>
      </w:r>
    </w:p>
  </w:footnote>
  <w:footnote w:id="19">
    <w:p w14:paraId="0B80AE51" w14:textId="08D5C8DD" w:rsidR="00C778E3" w:rsidRPr="004B3955" w:rsidRDefault="00C778E3">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AC5768" w:rsidRPr="004B3955">
        <w:rPr>
          <w:sz w:val="18"/>
          <w:szCs w:val="18"/>
          <w:lang w:val="en-AU"/>
        </w:rPr>
        <w:t>&lt;https://uncitral.un.org/en/texts/insolvency/modellaw/cross-border_insolvency/status&gt; (accessed 15/10/2022).</w:t>
      </w:r>
    </w:p>
  </w:footnote>
  <w:footnote w:id="20">
    <w:p w14:paraId="47005E78" w14:textId="193429D4" w:rsidR="00D46969" w:rsidRPr="004B3955" w:rsidRDefault="00D46969">
      <w:pPr>
        <w:pStyle w:val="FootnoteText"/>
        <w:rPr>
          <w:lang w:val="en-AU"/>
        </w:rPr>
      </w:pPr>
      <w:r w:rsidRPr="004B3955">
        <w:rPr>
          <w:rStyle w:val="FootnoteReference"/>
          <w:sz w:val="18"/>
          <w:szCs w:val="18"/>
          <w:lang w:val="en-AU"/>
        </w:rPr>
        <w:footnoteRef/>
      </w:r>
      <w:r w:rsidRPr="004B3955">
        <w:rPr>
          <w:sz w:val="18"/>
          <w:szCs w:val="18"/>
          <w:lang w:val="en-AU"/>
        </w:rPr>
        <w:t xml:space="preserve"> I F Fletcher and B Wessels, “Transnational Insolvency: Global Principles for Cooperation in International Insolvency Cases” (Report, </w:t>
      </w:r>
      <w:r w:rsidRPr="004B3955">
        <w:rPr>
          <w:i/>
          <w:iCs/>
          <w:sz w:val="18"/>
          <w:szCs w:val="18"/>
          <w:lang w:val="en-AU"/>
        </w:rPr>
        <w:t>The American Law Institute and the International Insolvency Institute</w:t>
      </w:r>
      <w:r w:rsidRPr="004B3955">
        <w:rPr>
          <w:sz w:val="18"/>
          <w:szCs w:val="18"/>
          <w:lang w:val="en-AU"/>
        </w:rPr>
        <w:t xml:space="preserve">, 20 </w:t>
      </w:r>
      <w:r w:rsidR="009B31BF" w:rsidRPr="004B3955">
        <w:rPr>
          <w:sz w:val="18"/>
          <w:szCs w:val="18"/>
          <w:lang w:val="en-AU"/>
        </w:rPr>
        <w:t>March</w:t>
      </w:r>
      <w:r w:rsidRPr="004B3955">
        <w:rPr>
          <w:sz w:val="18"/>
          <w:szCs w:val="18"/>
          <w:lang w:val="en-AU"/>
        </w:rPr>
        <w:t xml:space="preserve"> 2012).</w:t>
      </w:r>
    </w:p>
  </w:footnote>
  <w:footnote w:id="21">
    <w:p w14:paraId="01E1A0DB" w14:textId="7986C2F7" w:rsidR="000678E8" w:rsidRPr="004B3955" w:rsidRDefault="000678E8">
      <w:pPr>
        <w:pStyle w:val="FootnoteText"/>
        <w:rPr>
          <w:lang w:val="en-AU"/>
        </w:rPr>
      </w:pPr>
      <w:r w:rsidRPr="004B3955">
        <w:rPr>
          <w:rStyle w:val="FootnoteReference"/>
          <w:sz w:val="18"/>
          <w:szCs w:val="18"/>
          <w:lang w:val="en-AU"/>
        </w:rPr>
        <w:footnoteRef/>
      </w:r>
      <w:r w:rsidRPr="004B3955">
        <w:rPr>
          <w:sz w:val="18"/>
          <w:szCs w:val="18"/>
          <w:lang w:val="en-AU"/>
        </w:rPr>
        <w:t xml:space="preserve"> I F Fletcher and B Wessels, “Transnational Insolvency: Global Principles for Cooperation in International Insolvency Cases” (Report, </w:t>
      </w:r>
      <w:r w:rsidRPr="004B3955">
        <w:rPr>
          <w:i/>
          <w:iCs/>
          <w:sz w:val="18"/>
          <w:szCs w:val="18"/>
          <w:lang w:val="en-AU"/>
        </w:rPr>
        <w:t>The American Law Institute and the International Insolvency Institute</w:t>
      </w:r>
      <w:r w:rsidRPr="004B3955">
        <w:rPr>
          <w:sz w:val="18"/>
          <w:szCs w:val="18"/>
          <w:lang w:val="en-AU"/>
        </w:rPr>
        <w:t xml:space="preserve">, 20 </w:t>
      </w:r>
      <w:r w:rsidR="009B31BF" w:rsidRPr="004B3955">
        <w:rPr>
          <w:sz w:val="18"/>
          <w:szCs w:val="18"/>
          <w:lang w:val="en-AU"/>
        </w:rPr>
        <w:t>March</w:t>
      </w:r>
      <w:r w:rsidRPr="004B3955">
        <w:rPr>
          <w:sz w:val="18"/>
          <w:szCs w:val="18"/>
          <w:lang w:val="en-AU"/>
        </w:rPr>
        <w:t xml:space="preserve"> 2012), p xvii.</w:t>
      </w:r>
    </w:p>
  </w:footnote>
  <w:footnote w:id="22">
    <w:p w14:paraId="0AFFF52F" w14:textId="377870D8" w:rsidR="00A047AD" w:rsidRPr="004B3955" w:rsidRDefault="00A047AD">
      <w:pPr>
        <w:pStyle w:val="FootnoteText"/>
        <w:rPr>
          <w:lang w:val="en-AU"/>
        </w:rPr>
      </w:pPr>
      <w:r w:rsidRPr="004B3955">
        <w:rPr>
          <w:rStyle w:val="FootnoteReference"/>
          <w:sz w:val="18"/>
          <w:szCs w:val="18"/>
          <w:lang w:val="en-AU"/>
        </w:rPr>
        <w:footnoteRef/>
      </w:r>
      <w:r w:rsidRPr="004B3955">
        <w:rPr>
          <w:sz w:val="18"/>
          <w:szCs w:val="18"/>
          <w:lang w:val="en-AU"/>
        </w:rPr>
        <w:t xml:space="preserve"> &lt;</w:t>
      </w:r>
      <w:r w:rsidR="00452662" w:rsidRPr="004B3955">
        <w:rPr>
          <w:sz w:val="18"/>
          <w:szCs w:val="18"/>
          <w:lang w:val="en-AU"/>
        </w:rPr>
        <w:t>https://www.iiiglobal.org/initiatives/projects-sponsored-by-iii/</w:t>
      </w:r>
      <w:r w:rsidRPr="004B3955">
        <w:rPr>
          <w:sz w:val="18"/>
          <w:szCs w:val="18"/>
          <w:lang w:val="en-AU"/>
        </w:rPr>
        <w:t>&gt;</w:t>
      </w:r>
      <w:r w:rsidR="00452662" w:rsidRPr="004B3955">
        <w:rPr>
          <w:sz w:val="18"/>
          <w:szCs w:val="18"/>
          <w:lang w:val="en-AU"/>
        </w:rPr>
        <w:t xml:space="preserve"> (accessed 13 November 2022).</w:t>
      </w:r>
    </w:p>
  </w:footnote>
  <w:footnote w:id="23">
    <w:p w14:paraId="791AF0A0" w14:textId="35709C3B" w:rsidR="00E1487A" w:rsidRPr="004B3955" w:rsidRDefault="00E1487A">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E4125E" w:rsidRPr="004B3955">
        <w:rPr>
          <w:sz w:val="18"/>
          <w:szCs w:val="18"/>
          <w:lang w:val="en-AU"/>
        </w:rPr>
        <w:t xml:space="preserve">American Law Institute, “Transnational </w:t>
      </w:r>
      <w:r w:rsidR="00906788" w:rsidRPr="004B3955">
        <w:rPr>
          <w:sz w:val="18"/>
          <w:szCs w:val="18"/>
          <w:lang w:val="en-AU"/>
        </w:rPr>
        <w:t>Insolvency: Cooperation Among the NAFTA Countries: Principles</w:t>
      </w:r>
      <w:r w:rsidR="003E57AF" w:rsidRPr="004B3955">
        <w:rPr>
          <w:sz w:val="18"/>
          <w:szCs w:val="18"/>
          <w:lang w:val="en-AU"/>
        </w:rPr>
        <w:t xml:space="preserve"> of Cooperation Among the NAFTA Countries,” 2003, p. 93 and 99.</w:t>
      </w:r>
      <w:r w:rsidR="00906788" w:rsidRPr="004B3955">
        <w:rPr>
          <w:sz w:val="18"/>
          <w:szCs w:val="18"/>
          <w:lang w:val="en-AU"/>
        </w:rPr>
        <w:t xml:space="preserve"> </w:t>
      </w:r>
    </w:p>
  </w:footnote>
  <w:footnote w:id="24">
    <w:p w14:paraId="7B090E5F" w14:textId="0DD6428C" w:rsidR="00862BC0" w:rsidRPr="004B3955" w:rsidRDefault="00862BC0">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A86A7E" w:rsidRPr="004B3955">
        <w:rPr>
          <w:sz w:val="18"/>
          <w:szCs w:val="18"/>
          <w:lang w:val="en-AU"/>
        </w:rPr>
        <w:t xml:space="preserve">I F Fletcher and B Wessels, “Transnational Insolvency: Global Principles for Cooperation in International Insolvency Cases” (Report, </w:t>
      </w:r>
      <w:r w:rsidR="00A86A7E" w:rsidRPr="004B3955">
        <w:rPr>
          <w:i/>
          <w:iCs/>
          <w:sz w:val="18"/>
          <w:szCs w:val="18"/>
          <w:lang w:val="en-AU"/>
        </w:rPr>
        <w:t>The American Law Institute and the International Insolvency Institute</w:t>
      </w:r>
      <w:r w:rsidR="00A86A7E" w:rsidRPr="004B3955">
        <w:rPr>
          <w:sz w:val="18"/>
          <w:szCs w:val="18"/>
          <w:lang w:val="en-AU"/>
        </w:rPr>
        <w:t xml:space="preserve">, 20 </w:t>
      </w:r>
      <w:r w:rsidR="009B31BF" w:rsidRPr="004B3955">
        <w:rPr>
          <w:sz w:val="18"/>
          <w:szCs w:val="18"/>
          <w:lang w:val="en-AU"/>
        </w:rPr>
        <w:t>March</w:t>
      </w:r>
      <w:r w:rsidR="00A86A7E" w:rsidRPr="004B3955">
        <w:rPr>
          <w:sz w:val="18"/>
          <w:szCs w:val="18"/>
          <w:lang w:val="en-AU"/>
        </w:rPr>
        <w:t xml:space="preserve"> 2012), p xviii.</w:t>
      </w:r>
    </w:p>
  </w:footnote>
  <w:footnote w:id="25">
    <w:p w14:paraId="497C0985" w14:textId="710B3A93" w:rsidR="003B7383" w:rsidRPr="004B3955" w:rsidRDefault="003B7383">
      <w:pPr>
        <w:pStyle w:val="FootnoteText"/>
        <w:rPr>
          <w:lang w:val="en-AU"/>
        </w:rPr>
      </w:pPr>
      <w:r w:rsidRPr="004B3955">
        <w:rPr>
          <w:rStyle w:val="FootnoteReference"/>
          <w:sz w:val="18"/>
          <w:szCs w:val="18"/>
          <w:lang w:val="en-AU"/>
        </w:rPr>
        <w:footnoteRef/>
      </w:r>
      <w:r w:rsidRPr="004B3955">
        <w:rPr>
          <w:sz w:val="18"/>
          <w:szCs w:val="18"/>
          <w:lang w:val="en-AU"/>
        </w:rPr>
        <w:t xml:space="preserve"> Ibid, p xliv.</w:t>
      </w:r>
    </w:p>
  </w:footnote>
  <w:footnote w:id="26">
    <w:p w14:paraId="0BF6E641" w14:textId="388635A4" w:rsidR="00FE2E39" w:rsidRPr="004B3955" w:rsidRDefault="00FE2E39">
      <w:pPr>
        <w:pStyle w:val="FootnoteText"/>
        <w:rPr>
          <w:lang w:val="en-AU"/>
        </w:rPr>
      </w:pPr>
      <w:r w:rsidRPr="004B3955">
        <w:rPr>
          <w:rStyle w:val="FootnoteReference"/>
          <w:sz w:val="18"/>
          <w:szCs w:val="18"/>
          <w:lang w:val="en-AU"/>
        </w:rPr>
        <w:footnoteRef/>
      </w:r>
      <w:r w:rsidRPr="004B3955">
        <w:rPr>
          <w:sz w:val="18"/>
          <w:szCs w:val="18"/>
          <w:lang w:val="en-AU"/>
        </w:rPr>
        <w:t xml:space="preserve"> &lt;https://bobwessels.nl/blog/2017-09-doc1-ali-iii-global-principles-and-guidelines-2012/&gt; (accessed 14 November 2022).</w:t>
      </w:r>
    </w:p>
  </w:footnote>
  <w:footnote w:id="27">
    <w:p w14:paraId="221E146B" w14:textId="431D3A62" w:rsidR="00DE3147" w:rsidRPr="004B3955" w:rsidRDefault="00DE3147">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FE2E39" w:rsidRPr="004B3955">
        <w:rPr>
          <w:sz w:val="18"/>
          <w:szCs w:val="18"/>
          <w:lang w:val="en-AU"/>
        </w:rPr>
        <w:t xml:space="preserve">I F Fletcher and B Wessels, “Transnational Insolvency: Global Principles for Cooperation in International Insolvency Cases” (Report, </w:t>
      </w:r>
      <w:r w:rsidR="00FE2E39" w:rsidRPr="004B3955">
        <w:rPr>
          <w:i/>
          <w:iCs/>
          <w:sz w:val="18"/>
          <w:szCs w:val="18"/>
          <w:lang w:val="en-AU"/>
        </w:rPr>
        <w:t>The American Law Institute and the International Insolvency Institute</w:t>
      </w:r>
      <w:r w:rsidR="00FE2E39" w:rsidRPr="004B3955">
        <w:rPr>
          <w:sz w:val="18"/>
          <w:szCs w:val="18"/>
          <w:lang w:val="en-AU"/>
        </w:rPr>
        <w:t xml:space="preserve">, 20 </w:t>
      </w:r>
      <w:r w:rsidR="009B31BF" w:rsidRPr="004B3955">
        <w:rPr>
          <w:sz w:val="18"/>
          <w:szCs w:val="18"/>
          <w:lang w:val="en-AU"/>
        </w:rPr>
        <w:t>March</w:t>
      </w:r>
      <w:r w:rsidR="00FE2E39" w:rsidRPr="004B3955">
        <w:rPr>
          <w:sz w:val="18"/>
          <w:szCs w:val="18"/>
          <w:lang w:val="en-AU"/>
        </w:rPr>
        <w:t xml:space="preserve"> 2012)</w:t>
      </w:r>
      <w:r w:rsidRPr="004B3955">
        <w:rPr>
          <w:sz w:val="18"/>
          <w:szCs w:val="18"/>
          <w:lang w:val="en-AU"/>
        </w:rPr>
        <w:t xml:space="preserve">, p </w:t>
      </w:r>
      <w:r w:rsidR="00F94452" w:rsidRPr="004B3955">
        <w:rPr>
          <w:sz w:val="18"/>
          <w:szCs w:val="18"/>
          <w:lang w:val="en-AU"/>
        </w:rPr>
        <w:t>xliii</w:t>
      </w:r>
      <w:r w:rsidRPr="004B3955">
        <w:rPr>
          <w:sz w:val="18"/>
          <w:szCs w:val="18"/>
          <w:lang w:val="en-AU"/>
        </w:rPr>
        <w:t>.</w:t>
      </w:r>
    </w:p>
  </w:footnote>
  <w:footnote w:id="28">
    <w:p w14:paraId="3B860DE0" w14:textId="76FE4DCF" w:rsidR="00566F00" w:rsidRPr="004B3955" w:rsidRDefault="00566F00">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Mason, R, Jackson, S and Wellard, M, “</w:t>
      </w:r>
      <w:r w:rsidR="00B86FA2" w:rsidRPr="004B3955">
        <w:rPr>
          <w:sz w:val="18"/>
          <w:szCs w:val="18"/>
          <w:lang w:val="en-AU"/>
        </w:rPr>
        <w:t>What further benefit, if any, might Australia get from the ALI-III Transnational Insolvency:</w:t>
      </w:r>
      <w:r w:rsidR="00AB1B91" w:rsidRPr="004B3955">
        <w:rPr>
          <w:sz w:val="18"/>
          <w:szCs w:val="18"/>
          <w:lang w:val="en-AU"/>
        </w:rPr>
        <w:t xml:space="preserve"> Global Principles for Cooperation in International Insolvency Cases”</w:t>
      </w:r>
      <w:r w:rsidR="00B86FA2" w:rsidRPr="004B3955">
        <w:rPr>
          <w:sz w:val="18"/>
          <w:szCs w:val="18"/>
          <w:lang w:val="en-AU"/>
        </w:rPr>
        <w:t xml:space="preserve"> </w:t>
      </w:r>
      <w:r w:rsidR="008B2949" w:rsidRPr="004B3955">
        <w:rPr>
          <w:sz w:val="18"/>
          <w:szCs w:val="18"/>
          <w:lang w:val="en-AU"/>
        </w:rPr>
        <w:t>(</w:t>
      </w:r>
      <w:r w:rsidR="008B2949" w:rsidRPr="004B3955">
        <w:rPr>
          <w:i/>
          <w:iCs/>
          <w:sz w:val="18"/>
          <w:szCs w:val="18"/>
          <w:lang w:val="en-AU"/>
        </w:rPr>
        <w:t>Queensland University of Technology</w:t>
      </w:r>
      <w:r w:rsidR="009B31BF" w:rsidRPr="004B3955">
        <w:rPr>
          <w:sz w:val="18"/>
          <w:szCs w:val="18"/>
          <w:lang w:val="en-AU"/>
        </w:rPr>
        <w:t>, 2014)</w:t>
      </w:r>
      <w:r w:rsidRPr="004B3955">
        <w:rPr>
          <w:sz w:val="18"/>
          <w:szCs w:val="18"/>
          <w:lang w:val="en-AU"/>
        </w:rPr>
        <w:t>,</w:t>
      </w:r>
      <w:r w:rsidR="009B31BF" w:rsidRPr="004B3955">
        <w:rPr>
          <w:sz w:val="18"/>
          <w:szCs w:val="18"/>
          <w:lang w:val="en-AU"/>
        </w:rPr>
        <w:t xml:space="preserve"> </w:t>
      </w:r>
      <w:r w:rsidRPr="004B3955">
        <w:rPr>
          <w:sz w:val="18"/>
          <w:szCs w:val="18"/>
          <w:lang w:val="en-AU"/>
        </w:rPr>
        <w:t>97.</w:t>
      </w:r>
    </w:p>
  </w:footnote>
  <w:footnote w:id="29">
    <w:p w14:paraId="42A49972" w14:textId="7FF2AD19" w:rsidR="00194CFD" w:rsidRPr="004B3955" w:rsidRDefault="00194CFD">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566F00" w:rsidRPr="004B3955">
        <w:rPr>
          <w:sz w:val="18"/>
          <w:szCs w:val="18"/>
          <w:lang w:val="en-AU"/>
        </w:rPr>
        <w:t>Ibid, 6.</w:t>
      </w:r>
    </w:p>
  </w:footnote>
  <w:footnote w:id="30">
    <w:p w14:paraId="3E5C668C" w14:textId="4D9043B4" w:rsidR="00F30B50" w:rsidRPr="004B3955" w:rsidRDefault="00F30B50">
      <w:pPr>
        <w:pStyle w:val="FootnoteText"/>
        <w:rPr>
          <w:lang w:val="en-AU"/>
        </w:rPr>
      </w:pPr>
      <w:r w:rsidRPr="004B3955">
        <w:rPr>
          <w:rStyle w:val="FootnoteReference"/>
          <w:sz w:val="18"/>
          <w:szCs w:val="18"/>
          <w:lang w:val="en-AU"/>
        </w:rPr>
        <w:footnoteRef/>
      </w:r>
      <w:r w:rsidRPr="004B3955">
        <w:rPr>
          <w:sz w:val="18"/>
          <w:szCs w:val="18"/>
          <w:lang w:val="en-AU"/>
        </w:rPr>
        <w:t xml:space="preserve"> &lt;http://www.jin-global.org/jin-guidelines.html&gt; (accessed 11 November 2022).</w:t>
      </w:r>
    </w:p>
  </w:footnote>
  <w:footnote w:id="31">
    <w:p w14:paraId="3A6C451B" w14:textId="2C445509" w:rsidR="007F5F5C" w:rsidRPr="007F5F5C" w:rsidRDefault="007F5F5C">
      <w:pPr>
        <w:pStyle w:val="FootnoteText"/>
        <w:rPr>
          <w:lang w:val="en-AU"/>
        </w:rPr>
      </w:pPr>
      <w:r w:rsidRPr="006B47A8">
        <w:rPr>
          <w:rStyle w:val="FootnoteReference"/>
          <w:sz w:val="18"/>
          <w:szCs w:val="18"/>
        </w:rPr>
        <w:footnoteRef/>
      </w:r>
      <w:r w:rsidRPr="006B47A8">
        <w:rPr>
          <w:sz w:val="18"/>
          <w:szCs w:val="18"/>
        </w:rPr>
        <w:t xml:space="preserve"> </w:t>
      </w:r>
      <w:r w:rsidR="006B47A8" w:rsidRPr="004B3955">
        <w:rPr>
          <w:sz w:val="18"/>
          <w:szCs w:val="18"/>
          <w:lang w:val="en-AU"/>
        </w:rPr>
        <w:t>J L Westbrook, “</w:t>
      </w:r>
      <w:r w:rsidR="00172C28">
        <w:rPr>
          <w:sz w:val="18"/>
          <w:szCs w:val="18"/>
          <w:lang w:val="en-AU"/>
        </w:rPr>
        <w:t>Choice of Avoidance Law in Global Insolvencies</w:t>
      </w:r>
      <w:r w:rsidR="006B47A8" w:rsidRPr="004B3955">
        <w:rPr>
          <w:sz w:val="18"/>
          <w:szCs w:val="18"/>
          <w:lang w:val="en-AU"/>
        </w:rPr>
        <w:t>” (</w:t>
      </w:r>
      <w:r w:rsidR="00172C28">
        <w:rPr>
          <w:sz w:val="18"/>
          <w:szCs w:val="18"/>
          <w:lang w:val="en-AU"/>
        </w:rPr>
        <w:t>1991</w:t>
      </w:r>
      <w:r w:rsidR="006B47A8" w:rsidRPr="004B3955">
        <w:rPr>
          <w:sz w:val="18"/>
          <w:szCs w:val="18"/>
          <w:lang w:val="en-AU"/>
        </w:rPr>
        <w:t xml:space="preserve">) </w:t>
      </w:r>
      <w:r w:rsidR="00172C28">
        <w:rPr>
          <w:sz w:val="18"/>
          <w:szCs w:val="18"/>
          <w:lang w:val="en-AU"/>
        </w:rPr>
        <w:t>17</w:t>
      </w:r>
      <w:r w:rsidR="006B47A8" w:rsidRPr="004B3955">
        <w:rPr>
          <w:sz w:val="18"/>
          <w:szCs w:val="18"/>
          <w:lang w:val="en-AU"/>
        </w:rPr>
        <w:t xml:space="preserve"> </w:t>
      </w:r>
      <w:r w:rsidR="00172C28">
        <w:rPr>
          <w:i/>
          <w:iCs/>
          <w:sz w:val="18"/>
          <w:szCs w:val="18"/>
          <w:lang w:val="en-AU"/>
        </w:rPr>
        <w:t>Brooklyn Journal of International Law 499</w:t>
      </w:r>
      <w:r w:rsidR="006B47A8" w:rsidRPr="004B3955">
        <w:rPr>
          <w:sz w:val="18"/>
          <w:szCs w:val="18"/>
          <w:lang w:val="en-AU"/>
        </w:rPr>
        <w:t xml:space="preserve">, </w:t>
      </w:r>
      <w:r w:rsidR="00172C28">
        <w:rPr>
          <w:sz w:val="18"/>
          <w:szCs w:val="18"/>
          <w:lang w:val="en-AU"/>
        </w:rPr>
        <w:t>500</w:t>
      </w:r>
      <w:r w:rsidR="006B47A8" w:rsidRPr="004B3955">
        <w:rPr>
          <w:sz w:val="18"/>
          <w:szCs w:val="18"/>
          <w:lang w:val="en-AU"/>
        </w:rPr>
        <w:t>.</w:t>
      </w:r>
    </w:p>
  </w:footnote>
  <w:footnote w:id="32">
    <w:p w14:paraId="5F4094BB" w14:textId="0977B841" w:rsidR="00057DFD" w:rsidRPr="00057DFD" w:rsidRDefault="00057DFD">
      <w:pPr>
        <w:pStyle w:val="FootnoteText"/>
        <w:rPr>
          <w:lang w:val="en-AU"/>
        </w:rPr>
      </w:pPr>
      <w:r w:rsidRPr="00057DFD">
        <w:rPr>
          <w:rStyle w:val="FootnoteReference"/>
          <w:sz w:val="18"/>
          <w:szCs w:val="18"/>
        </w:rPr>
        <w:footnoteRef/>
      </w:r>
      <w:r w:rsidRPr="00057DFD">
        <w:rPr>
          <w:sz w:val="18"/>
          <w:szCs w:val="18"/>
        </w:rPr>
        <w:t xml:space="preserve"> </w:t>
      </w:r>
      <w:r w:rsidRPr="004B3955">
        <w:rPr>
          <w:sz w:val="18"/>
          <w:szCs w:val="18"/>
          <w:lang w:val="en-AU"/>
        </w:rPr>
        <w:t>UNCITRAL Legislative Guide on Insolvency Law 2004 Part 1, page</w:t>
      </w:r>
      <w:r w:rsidR="00CA1088">
        <w:rPr>
          <w:sz w:val="18"/>
          <w:szCs w:val="18"/>
          <w:lang w:val="en-AU"/>
        </w:rPr>
        <w:t>s</w:t>
      </w:r>
      <w:r w:rsidRPr="004B3955">
        <w:rPr>
          <w:sz w:val="18"/>
          <w:szCs w:val="18"/>
          <w:lang w:val="en-AU"/>
        </w:rPr>
        <w:t xml:space="preserve"> </w:t>
      </w:r>
      <w:r w:rsidR="00CA1088">
        <w:rPr>
          <w:sz w:val="18"/>
          <w:szCs w:val="18"/>
          <w:lang w:val="en-AU"/>
        </w:rPr>
        <w:t>10 to 14</w:t>
      </w:r>
      <w:r w:rsidRPr="004B3955">
        <w:rPr>
          <w:sz w:val="18"/>
          <w:szCs w:val="18"/>
          <w:lang w:val="en-AU"/>
        </w:rPr>
        <w:t>.</w:t>
      </w:r>
    </w:p>
  </w:footnote>
  <w:footnote w:id="33">
    <w:p w14:paraId="4217025D" w14:textId="7790F5B2" w:rsidR="00903373" w:rsidRPr="00903373" w:rsidRDefault="00903373">
      <w:pPr>
        <w:pStyle w:val="FootnoteText"/>
        <w:rPr>
          <w:lang w:val="en-AU"/>
        </w:rPr>
      </w:pPr>
      <w:r w:rsidRPr="00532BD0">
        <w:rPr>
          <w:rStyle w:val="FootnoteReference"/>
          <w:sz w:val="18"/>
          <w:szCs w:val="18"/>
        </w:rPr>
        <w:footnoteRef/>
      </w:r>
      <w:r w:rsidRPr="00532BD0">
        <w:rPr>
          <w:sz w:val="18"/>
          <w:szCs w:val="18"/>
        </w:rPr>
        <w:t xml:space="preserve"> </w:t>
      </w:r>
      <w:r w:rsidR="003E03D4" w:rsidRPr="00532BD0">
        <w:rPr>
          <w:sz w:val="18"/>
          <w:szCs w:val="18"/>
          <w:lang w:val="en-AU"/>
        </w:rPr>
        <w:t xml:space="preserve">According to a report published by </w:t>
      </w:r>
      <w:proofErr w:type="spellStart"/>
      <w:r w:rsidR="003E03D4" w:rsidRPr="00532BD0">
        <w:rPr>
          <w:sz w:val="18"/>
          <w:szCs w:val="18"/>
          <w:lang w:val="en-AU"/>
        </w:rPr>
        <w:t>Price</w:t>
      </w:r>
      <w:r w:rsidR="00532BD0" w:rsidRPr="00532BD0">
        <w:rPr>
          <w:sz w:val="18"/>
          <w:szCs w:val="18"/>
          <w:lang w:val="en-AU"/>
        </w:rPr>
        <w:t>w</w:t>
      </w:r>
      <w:r w:rsidR="003E03D4" w:rsidRPr="00532BD0">
        <w:rPr>
          <w:sz w:val="18"/>
          <w:szCs w:val="18"/>
          <w:lang w:val="en-AU"/>
        </w:rPr>
        <w:t>aterhouse</w:t>
      </w:r>
      <w:proofErr w:type="spellEnd"/>
      <w:r w:rsidR="003E03D4" w:rsidRPr="00532BD0">
        <w:rPr>
          <w:sz w:val="18"/>
          <w:szCs w:val="18"/>
          <w:lang w:val="en-AU"/>
        </w:rPr>
        <w:t xml:space="preserve"> Coopers</w:t>
      </w:r>
      <w:r w:rsidR="00532BD0" w:rsidRPr="00532BD0">
        <w:rPr>
          <w:sz w:val="18"/>
          <w:szCs w:val="18"/>
          <w:lang w:val="en-AU"/>
        </w:rPr>
        <w:t xml:space="preserve"> on behalf of the Australian Taxation Office, Fair Work Ombudsman and Australian Securities and Investments Commission, “the Economic Impacts of Potential Illegal Phoenix Activity” (2018). </w:t>
      </w:r>
    </w:p>
  </w:footnote>
  <w:footnote w:id="34">
    <w:p w14:paraId="79A6CFD1" w14:textId="57CEA3A9" w:rsidR="00693A8C" w:rsidRPr="00693A8C" w:rsidRDefault="00693A8C">
      <w:pPr>
        <w:pStyle w:val="FootnoteText"/>
        <w:rPr>
          <w:lang w:val="en-AU"/>
        </w:rPr>
      </w:pPr>
      <w:r w:rsidRPr="00693A8C">
        <w:rPr>
          <w:rStyle w:val="FootnoteReference"/>
          <w:sz w:val="18"/>
          <w:szCs w:val="18"/>
        </w:rPr>
        <w:footnoteRef/>
      </w:r>
      <w:r w:rsidRPr="00693A8C">
        <w:rPr>
          <w:sz w:val="18"/>
          <w:szCs w:val="18"/>
        </w:rPr>
        <w:t xml:space="preserve"> </w:t>
      </w:r>
      <w:r>
        <w:rPr>
          <w:sz w:val="18"/>
          <w:szCs w:val="18"/>
        </w:rPr>
        <w:t>Another example includes s 22</w:t>
      </w:r>
      <w:r w:rsidR="00903373">
        <w:rPr>
          <w:sz w:val="18"/>
          <w:szCs w:val="18"/>
        </w:rPr>
        <w:t>8</w:t>
      </w:r>
      <w:r>
        <w:rPr>
          <w:sz w:val="18"/>
          <w:szCs w:val="18"/>
        </w:rPr>
        <w:t xml:space="preserve"> of the </w:t>
      </w:r>
      <w:r w:rsidRPr="00693A8C">
        <w:rPr>
          <w:i/>
          <w:iCs/>
          <w:sz w:val="18"/>
          <w:szCs w:val="18"/>
        </w:rPr>
        <w:t>Property Law Act</w:t>
      </w:r>
      <w:r>
        <w:rPr>
          <w:sz w:val="18"/>
          <w:szCs w:val="18"/>
        </w:rPr>
        <w:t xml:space="preserve"> (QLD). </w:t>
      </w:r>
    </w:p>
  </w:footnote>
  <w:footnote w:id="35">
    <w:p w14:paraId="37E7DA8E" w14:textId="579529F1" w:rsidR="0098669F" w:rsidRPr="0098669F" w:rsidRDefault="0098669F">
      <w:pPr>
        <w:pStyle w:val="FootnoteText"/>
        <w:rPr>
          <w:lang w:val="en-AU"/>
        </w:rPr>
      </w:pPr>
      <w:r w:rsidRPr="00EB26C5">
        <w:rPr>
          <w:rStyle w:val="FootnoteReference"/>
          <w:sz w:val="18"/>
          <w:szCs w:val="18"/>
        </w:rPr>
        <w:footnoteRef/>
      </w:r>
      <w:r w:rsidRPr="00EB26C5">
        <w:rPr>
          <w:sz w:val="18"/>
          <w:szCs w:val="18"/>
        </w:rPr>
        <w:t xml:space="preserve"> </w:t>
      </w:r>
      <w:r w:rsidRPr="00EB26C5">
        <w:rPr>
          <w:sz w:val="18"/>
          <w:szCs w:val="18"/>
          <w:lang w:val="en-AU"/>
        </w:rPr>
        <w:t xml:space="preserve">Ibid, </w:t>
      </w:r>
      <w:r w:rsidR="00EB26C5" w:rsidRPr="00EB26C5">
        <w:rPr>
          <w:sz w:val="18"/>
          <w:szCs w:val="18"/>
          <w:lang w:val="en-AU"/>
        </w:rPr>
        <w:t>505.</w:t>
      </w:r>
    </w:p>
  </w:footnote>
  <w:footnote w:id="36">
    <w:p w14:paraId="7504CB7B" w14:textId="261F6836" w:rsidR="008F0096" w:rsidRPr="008F0096" w:rsidRDefault="008F0096">
      <w:pPr>
        <w:pStyle w:val="FootnoteText"/>
        <w:rPr>
          <w:lang w:val="en-AU"/>
        </w:rPr>
      </w:pPr>
      <w:r w:rsidRPr="00C56EC5">
        <w:rPr>
          <w:rStyle w:val="FootnoteReference"/>
          <w:sz w:val="18"/>
          <w:szCs w:val="18"/>
        </w:rPr>
        <w:footnoteRef/>
      </w:r>
      <w:r w:rsidRPr="00C56EC5">
        <w:rPr>
          <w:sz w:val="18"/>
          <w:szCs w:val="18"/>
        </w:rPr>
        <w:t xml:space="preserve"> </w:t>
      </w:r>
      <w:r w:rsidR="00C56EC5" w:rsidRPr="00C56EC5">
        <w:rPr>
          <w:sz w:val="18"/>
          <w:szCs w:val="18"/>
          <w:lang w:val="en-AU"/>
        </w:rPr>
        <w:t xml:space="preserve">Page 23 of the course material. </w:t>
      </w:r>
    </w:p>
  </w:footnote>
  <w:footnote w:id="37">
    <w:p w14:paraId="238C398A" w14:textId="559AE3E4" w:rsidR="00BF2492" w:rsidRPr="00BF2492" w:rsidRDefault="00BF2492">
      <w:pPr>
        <w:pStyle w:val="FootnoteText"/>
        <w:rPr>
          <w:lang w:val="en-AU"/>
        </w:rPr>
      </w:pPr>
      <w:r w:rsidRPr="00BF2492">
        <w:rPr>
          <w:rStyle w:val="FootnoteReference"/>
          <w:sz w:val="18"/>
          <w:szCs w:val="18"/>
        </w:rPr>
        <w:footnoteRef/>
      </w:r>
      <w:r w:rsidRPr="00BF2492">
        <w:rPr>
          <w:sz w:val="18"/>
          <w:szCs w:val="18"/>
        </w:rPr>
        <w:t xml:space="preserve"> </w:t>
      </w:r>
      <w:r w:rsidRPr="00BF2492">
        <w:rPr>
          <w:sz w:val="18"/>
          <w:szCs w:val="18"/>
          <w:lang w:val="en-AU"/>
        </w:rPr>
        <w:t xml:space="preserve">Ibid, </w:t>
      </w:r>
      <w:r w:rsidR="00FF76CA">
        <w:rPr>
          <w:sz w:val="18"/>
          <w:szCs w:val="18"/>
          <w:lang w:val="en-AU"/>
        </w:rPr>
        <w:t xml:space="preserve">505 to </w:t>
      </w:r>
      <w:r w:rsidRPr="00BF2492">
        <w:rPr>
          <w:sz w:val="18"/>
          <w:szCs w:val="18"/>
          <w:lang w:val="en-AU"/>
        </w:rPr>
        <w:t>507.</w:t>
      </w:r>
    </w:p>
  </w:footnote>
  <w:footnote w:id="38">
    <w:p w14:paraId="2A2EB75F" w14:textId="4ED9A117" w:rsidR="00372777" w:rsidRPr="00372777" w:rsidRDefault="00372777">
      <w:pPr>
        <w:pStyle w:val="FootnoteText"/>
        <w:rPr>
          <w:lang w:val="en-AU"/>
        </w:rPr>
      </w:pPr>
      <w:r w:rsidRPr="005115F1">
        <w:rPr>
          <w:rStyle w:val="FootnoteReference"/>
          <w:sz w:val="18"/>
          <w:szCs w:val="18"/>
        </w:rPr>
        <w:footnoteRef/>
      </w:r>
      <w:r w:rsidRPr="005115F1">
        <w:rPr>
          <w:sz w:val="18"/>
          <w:szCs w:val="18"/>
        </w:rPr>
        <w:t xml:space="preserve"> </w:t>
      </w:r>
      <w:r w:rsidRPr="005115F1">
        <w:rPr>
          <w:i/>
          <w:iCs/>
          <w:sz w:val="18"/>
          <w:szCs w:val="18"/>
          <w:lang w:val="en-AU"/>
        </w:rPr>
        <w:t xml:space="preserve">Rubin v </w:t>
      </w:r>
      <w:proofErr w:type="spellStart"/>
      <w:r w:rsidRPr="005115F1">
        <w:rPr>
          <w:i/>
          <w:iCs/>
          <w:sz w:val="18"/>
          <w:szCs w:val="18"/>
          <w:lang w:val="en-AU"/>
        </w:rPr>
        <w:t>Eurofinance</w:t>
      </w:r>
      <w:proofErr w:type="spellEnd"/>
      <w:r w:rsidRPr="005115F1">
        <w:rPr>
          <w:i/>
          <w:iCs/>
          <w:sz w:val="18"/>
          <w:szCs w:val="18"/>
          <w:lang w:val="en-AU"/>
        </w:rPr>
        <w:t xml:space="preserve"> SA; New Cap Reinsurance Corp (in </w:t>
      </w:r>
      <w:proofErr w:type="spellStart"/>
      <w:r w:rsidRPr="005115F1">
        <w:rPr>
          <w:i/>
          <w:iCs/>
          <w:sz w:val="18"/>
          <w:szCs w:val="18"/>
          <w:lang w:val="en-AU"/>
        </w:rPr>
        <w:t>liq</w:t>
      </w:r>
      <w:proofErr w:type="spellEnd"/>
      <w:r w:rsidRPr="005115F1">
        <w:rPr>
          <w:i/>
          <w:iCs/>
          <w:sz w:val="18"/>
          <w:szCs w:val="18"/>
          <w:lang w:val="en-AU"/>
        </w:rPr>
        <w:t>) v Grant</w:t>
      </w:r>
      <w:r w:rsidRPr="005115F1">
        <w:rPr>
          <w:sz w:val="18"/>
          <w:szCs w:val="18"/>
          <w:lang w:val="en-AU"/>
        </w:rPr>
        <w:t xml:space="preserve"> </w:t>
      </w:r>
      <w:r w:rsidR="005115F1" w:rsidRPr="005115F1">
        <w:rPr>
          <w:sz w:val="18"/>
          <w:szCs w:val="18"/>
          <w:lang w:val="en-AU"/>
        </w:rPr>
        <w:t>[2012] UKSC 46.</w:t>
      </w:r>
    </w:p>
  </w:footnote>
  <w:footnote w:id="39">
    <w:p w14:paraId="0E88BA66" w14:textId="76DC2453" w:rsidR="005115F1" w:rsidRPr="005115F1" w:rsidRDefault="005115F1">
      <w:pPr>
        <w:pStyle w:val="FootnoteText"/>
        <w:rPr>
          <w:lang w:val="en-AU"/>
        </w:rPr>
      </w:pPr>
      <w:r w:rsidRPr="00674E37">
        <w:rPr>
          <w:rStyle w:val="FootnoteReference"/>
          <w:sz w:val="18"/>
          <w:szCs w:val="18"/>
        </w:rPr>
        <w:footnoteRef/>
      </w:r>
      <w:r w:rsidRPr="00674E37">
        <w:rPr>
          <w:sz w:val="18"/>
          <w:szCs w:val="18"/>
        </w:rPr>
        <w:t xml:space="preserve"> </w:t>
      </w:r>
      <w:r w:rsidRPr="00674E37">
        <w:rPr>
          <w:sz w:val="18"/>
          <w:szCs w:val="18"/>
          <w:lang w:val="en-AU"/>
        </w:rPr>
        <w:t xml:space="preserve">Ibid, </w:t>
      </w:r>
      <w:r w:rsidR="0097556A" w:rsidRPr="00674E37">
        <w:rPr>
          <w:sz w:val="18"/>
          <w:szCs w:val="18"/>
          <w:lang w:val="en-AU"/>
        </w:rPr>
        <w:t xml:space="preserve">128. See also </w:t>
      </w:r>
      <w:r w:rsidR="00674E37" w:rsidRPr="00674E37">
        <w:rPr>
          <w:sz w:val="18"/>
          <w:szCs w:val="18"/>
          <w:lang w:val="en-AU"/>
        </w:rPr>
        <w:t xml:space="preserve">I </w:t>
      </w:r>
      <w:proofErr w:type="spellStart"/>
      <w:r w:rsidR="00674E37" w:rsidRPr="00674E37">
        <w:rPr>
          <w:sz w:val="18"/>
          <w:szCs w:val="18"/>
          <w:lang w:val="en-AU"/>
        </w:rPr>
        <w:t>Mevorach</w:t>
      </w:r>
      <w:proofErr w:type="spellEnd"/>
      <w:r w:rsidR="00674E37" w:rsidRPr="00674E37">
        <w:rPr>
          <w:sz w:val="18"/>
          <w:szCs w:val="18"/>
          <w:lang w:val="en-AU"/>
        </w:rPr>
        <w:t xml:space="preserve">, </w:t>
      </w:r>
      <w:r w:rsidR="00674E37" w:rsidRPr="003D70E9">
        <w:rPr>
          <w:i/>
          <w:iCs/>
          <w:sz w:val="18"/>
          <w:szCs w:val="18"/>
          <w:lang w:val="en-AU"/>
        </w:rPr>
        <w:t>The Future of Cross-Border Insolvency: Overcoming Biases and Closing Gaps</w:t>
      </w:r>
      <w:r w:rsidR="00674E37" w:rsidRPr="00674E37">
        <w:rPr>
          <w:sz w:val="18"/>
          <w:szCs w:val="18"/>
          <w:lang w:val="en-AU"/>
        </w:rPr>
        <w:t xml:space="preserve"> (Oxford University Press, 2018), page </w:t>
      </w:r>
      <w:r w:rsidR="003D70E9">
        <w:rPr>
          <w:sz w:val="18"/>
          <w:szCs w:val="18"/>
          <w:lang w:val="en-AU"/>
        </w:rPr>
        <w:t>43</w:t>
      </w:r>
      <w:r w:rsidR="00674E37" w:rsidRPr="00674E37">
        <w:rPr>
          <w:sz w:val="18"/>
          <w:szCs w:val="18"/>
          <w:lang w:val="en-AU"/>
        </w:rPr>
        <w:t>.</w:t>
      </w:r>
    </w:p>
  </w:footnote>
  <w:footnote w:id="40">
    <w:p w14:paraId="407CF9E8" w14:textId="01156A21" w:rsidR="00FD56BD" w:rsidRPr="00E23702" w:rsidRDefault="00FD56BD">
      <w:pPr>
        <w:pStyle w:val="FootnoteText"/>
        <w:rPr>
          <w:sz w:val="18"/>
          <w:szCs w:val="18"/>
          <w:lang w:val="en-AU"/>
        </w:rPr>
      </w:pPr>
      <w:r w:rsidRPr="00E23702">
        <w:rPr>
          <w:rStyle w:val="FootnoteReference"/>
          <w:sz w:val="18"/>
          <w:szCs w:val="18"/>
        </w:rPr>
        <w:footnoteRef/>
      </w:r>
      <w:r w:rsidRPr="00E23702">
        <w:rPr>
          <w:sz w:val="18"/>
          <w:szCs w:val="18"/>
        </w:rPr>
        <w:t xml:space="preserve"> </w:t>
      </w:r>
      <w:proofErr w:type="spellStart"/>
      <w:r w:rsidR="00DE63DA" w:rsidRPr="00E23702">
        <w:rPr>
          <w:i/>
          <w:iCs/>
          <w:sz w:val="18"/>
          <w:szCs w:val="18"/>
        </w:rPr>
        <w:t>Singularis</w:t>
      </w:r>
      <w:proofErr w:type="spellEnd"/>
      <w:r w:rsidR="00DE63DA" w:rsidRPr="00E23702">
        <w:rPr>
          <w:i/>
          <w:iCs/>
          <w:sz w:val="18"/>
          <w:szCs w:val="18"/>
        </w:rPr>
        <w:t xml:space="preserve"> Holdings Limited (Appellant) v PricewaterhouseCoopers (Respondent)</w:t>
      </w:r>
      <w:r w:rsidR="00DE63DA" w:rsidRPr="00E23702">
        <w:rPr>
          <w:sz w:val="18"/>
          <w:szCs w:val="18"/>
        </w:rPr>
        <w:t xml:space="preserve"> </w:t>
      </w:r>
      <w:r w:rsidR="00E23702" w:rsidRPr="00E23702">
        <w:rPr>
          <w:sz w:val="18"/>
          <w:szCs w:val="18"/>
        </w:rPr>
        <w:t>[2014] UKPC 36.</w:t>
      </w:r>
      <w:r w:rsidR="00E23702" w:rsidRPr="00E23702">
        <w:rPr>
          <w:sz w:val="18"/>
          <w:szCs w:val="18"/>
          <w:lang w:val="en-AU"/>
        </w:rPr>
        <w:t xml:space="preserve"> </w:t>
      </w:r>
      <w:r w:rsidR="00E23702" w:rsidRPr="00674E37">
        <w:rPr>
          <w:sz w:val="18"/>
          <w:szCs w:val="18"/>
          <w:lang w:val="en-AU"/>
        </w:rPr>
        <w:t xml:space="preserve">See also I </w:t>
      </w:r>
      <w:proofErr w:type="spellStart"/>
      <w:r w:rsidR="00E23702" w:rsidRPr="00674E37">
        <w:rPr>
          <w:sz w:val="18"/>
          <w:szCs w:val="18"/>
          <w:lang w:val="en-AU"/>
        </w:rPr>
        <w:t>Mevorach</w:t>
      </w:r>
      <w:proofErr w:type="spellEnd"/>
      <w:r w:rsidR="00E23702" w:rsidRPr="00674E37">
        <w:rPr>
          <w:sz w:val="18"/>
          <w:szCs w:val="18"/>
          <w:lang w:val="en-AU"/>
        </w:rPr>
        <w:t xml:space="preserve">, </w:t>
      </w:r>
      <w:r w:rsidR="00E23702" w:rsidRPr="003D70E9">
        <w:rPr>
          <w:i/>
          <w:iCs/>
          <w:sz w:val="18"/>
          <w:szCs w:val="18"/>
          <w:lang w:val="en-AU"/>
        </w:rPr>
        <w:t>The Future of Cross-Border Insolvency: Overcoming Biases and Closing Gaps</w:t>
      </w:r>
      <w:r w:rsidR="00E23702" w:rsidRPr="00674E37">
        <w:rPr>
          <w:sz w:val="18"/>
          <w:szCs w:val="18"/>
          <w:lang w:val="en-AU"/>
        </w:rPr>
        <w:t xml:space="preserve"> (Oxford University Press, 2018), page </w:t>
      </w:r>
      <w:r w:rsidR="00E23702">
        <w:rPr>
          <w:sz w:val="18"/>
          <w:szCs w:val="18"/>
          <w:lang w:val="en-AU"/>
        </w:rPr>
        <w:t>43</w:t>
      </w:r>
      <w:r w:rsidR="00E23702" w:rsidRPr="00674E37">
        <w:rPr>
          <w:sz w:val="18"/>
          <w:szCs w:val="18"/>
          <w:lang w:val="en-AU"/>
        </w:rPr>
        <w:t>.</w:t>
      </w:r>
    </w:p>
  </w:footnote>
  <w:footnote w:id="41">
    <w:p w14:paraId="4B8E3E7A" w14:textId="029D1AD1" w:rsidR="00DE63DA" w:rsidRPr="00DE63DA" w:rsidRDefault="00DE63DA">
      <w:pPr>
        <w:pStyle w:val="FootnoteText"/>
        <w:rPr>
          <w:lang w:val="en-AU"/>
        </w:rPr>
      </w:pPr>
      <w:r w:rsidRPr="00E23702">
        <w:rPr>
          <w:rStyle w:val="FootnoteReference"/>
          <w:sz w:val="18"/>
          <w:szCs w:val="18"/>
        </w:rPr>
        <w:footnoteRef/>
      </w:r>
      <w:r w:rsidRPr="00E23702">
        <w:rPr>
          <w:sz w:val="18"/>
          <w:szCs w:val="18"/>
        </w:rPr>
        <w:t xml:space="preserve"> </w:t>
      </w:r>
      <w:r w:rsidR="00E23702" w:rsidRPr="00E23702">
        <w:rPr>
          <w:sz w:val="18"/>
          <w:szCs w:val="18"/>
        </w:rPr>
        <w:t>Ibid, 33.</w:t>
      </w:r>
      <w:r w:rsidR="00E23702">
        <w:rPr>
          <w:sz w:val="18"/>
          <w:szCs w:val="18"/>
        </w:rPr>
        <w:t xml:space="preserve"> The </w:t>
      </w:r>
      <w:proofErr w:type="spellStart"/>
      <w:r w:rsidR="00E23702">
        <w:rPr>
          <w:sz w:val="18"/>
          <w:szCs w:val="18"/>
        </w:rPr>
        <w:t>Singularis</w:t>
      </w:r>
      <w:proofErr w:type="spellEnd"/>
      <w:r w:rsidR="00E23702">
        <w:rPr>
          <w:sz w:val="18"/>
          <w:szCs w:val="18"/>
        </w:rPr>
        <w:t xml:space="preserve"> decision </w:t>
      </w:r>
      <w:r w:rsidR="003C16CE">
        <w:rPr>
          <w:sz w:val="18"/>
          <w:szCs w:val="18"/>
        </w:rPr>
        <w:t xml:space="preserve">was also applied in the Scottish decision of </w:t>
      </w:r>
      <w:r w:rsidR="003C16CE" w:rsidRPr="003C16CE">
        <w:rPr>
          <w:i/>
          <w:iCs/>
          <w:sz w:val="18"/>
          <w:szCs w:val="18"/>
        </w:rPr>
        <w:t xml:space="preserve">Hooley Ltd v </w:t>
      </w:r>
      <w:proofErr w:type="spellStart"/>
      <w:r w:rsidR="003C16CE" w:rsidRPr="003C16CE">
        <w:rPr>
          <w:i/>
          <w:iCs/>
          <w:sz w:val="18"/>
          <w:szCs w:val="18"/>
        </w:rPr>
        <w:t>Titaghur</w:t>
      </w:r>
      <w:proofErr w:type="spellEnd"/>
      <w:r w:rsidR="003C16CE" w:rsidRPr="003C16CE">
        <w:rPr>
          <w:i/>
          <w:iCs/>
          <w:sz w:val="18"/>
          <w:szCs w:val="18"/>
        </w:rPr>
        <w:t xml:space="preserve"> plc, The </w:t>
      </w:r>
      <w:proofErr w:type="spellStart"/>
      <w:r w:rsidR="003C16CE" w:rsidRPr="003C16CE">
        <w:rPr>
          <w:i/>
          <w:iCs/>
          <w:sz w:val="18"/>
          <w:szCs w:val="18"/>
        </w:rPr>
        <w:t>Samnugger</w:t>
      </w:r>
      <w:proofErr w:type="spellEnd"/>
      <w:r w:rsidR="003C16CE" w:rsidRPr="003C16CE">
        <w:rPr>
          <w:i/>
          <w:iCs/>
          <w:sz w:val="18"/>
          <w:szCs w:val="18"/>
        </w:rPr>
        <w:t xml:space="preserve"> Jute Factory and the Victoria Jute Co Ltd </w:t>
      </w:r>
      <w:r w:rsidR="003C16CE">
        <w:rPr>
          <w:sz w:val="18"/>
          <w:szCs w:val="18"/>
        </w:rPr>
        <w:t>[2016] CSOH 141.</w:t>
      </w:r>
    </w:p>
  </w:footnote>
  <w:footnote w:id="42">
    <w:p w14:paraId="077CCBF3" w14:textId="4F44A4E0" w:rsidR="009940C5" w:rsidRPr="00F843FA" w:rsidRDefault="009940C5">
      <w:pPr>
        <w:pStyle w:val="FootnoteText"/>
        <w:rPr>
          <w:sz w:val="18"/>
          <w:szCs w:val="18"/>
          <w:lang w:val="en-AU"/>
        </w:rPr>
      </w:pPr>
      <w:r w:rsidRPr="00F843FA">
        <w:rPr>
          <w:rStyle w:val="FootnoteReference"/>
          <w:sz w:val="18"/>
          <w:szCs w:val="18"/>
        </w:rPr>
        <w:footnoteRef/>
      </w:r>
      <w:r w:rsidRPr="00F843FA">
        <w:rPr>
          <w:sz w:val="18"/>
          <w:szCs w:val="18"/>
        </w:rPr>
        <w:t xml:space="preserve"> </w:t>
      </w:r>
      <w:r w:rsidR="005D7292" w:rsidRPr="005D7292">
        <w:rPr>
          <w:sz w:val="18"/>
          <w:szCs w:val="18"/>
        </w:rPr>
        <w:t>UNCITRAL Legislative Guide on Insolvency Law (2004)</w:t>
      </w:r>
      <w:r w:rsidR="00CA7F4C">
        <w:rPr>
          <w:sz w:val="18"/>
          <w:szCs w:val="18"/>
        </w:rPr>
        <w:t xml:space="preserve">, </w:t>
      </w:r>
      <w:r w:rsidR="0081551E">
        <w:rPr>
          <w:sz w:val="18"/>
          <w:szCs w:val="18"/>
        </w:rPr>
        <w:t xml:space="preserve">pages </w:t>
      </w:r>
      <w:r w:rsidR="00CA7F4C">
        <w:rPr>
          <w:sz w:val="18"/>
          <w:szCs w:val="18"/>
        </w:rPr>
        <w:t>137 to 141.</w:t>
      </w:r>
    </w:p>
  </w:footnote>
  <w:footnote w:id="43">
    <w:p w14:paraId="5A5AB10C" w14:textId="516C90E3" w:rsidR="00F843FA" w:rsidRPr="00F843FA" w:rsidRDefault="00F843FA">
      <w:pPr>
        <w:pStyle w:val="FootnoteText"/>
        <w:rPr>
          <w:lang w:val="en-AU"/>
        </w:rPr>
      </w:pPr>
      <w:r w:rsidRPr="00F843FA">
        <w:rPr>
          <w:rStyle w:val="FootnoteReference"/>
          <w:sz w:val="18"/>
          <w:szCs w:val="18"/>
        </w:rPr>
        <w:footnoteRef/>
      </w:r>
      <w:r w:rsidRPr="00F843FA">
        <w:rPr>
          <w:sz w:val="18"/>
          <w:szCs w:val="18"/>
        </w:rPr>
        <w:t xml:space="preserve"> </w:t>
      </w:r>
      <w:r w:rsidRPr="00F843FA">
        <w:rPr>
          <w:sz w:val="18"/>
          <w:szCs w:val="18"/>
          <w:lang w:val="en-AU"/>
        </w:rPr>
        <w:t>See</w:t>
      </w:r>
      <w:r w:rsidR="00C36530">
        <w:rPr>
          <w:sz w:val="18"/>
          <w:szCs w:val="18"/>
          <w:lang w:val="en-AU"/>
        </w:rPr>
        <w:t>,</w:t>
      </w:r>
      <w:r w:rsidRPr="00F843FA">
        <w:rPr>
          <w:sz w:val="18"/>
          <w:szCs w:val="18"/>
          <w:lang w:val="en-AU"/>
        </w:rPr>
        <w:t xml:space="preserve"> for instance, s 588FG of the </w:t>
      </w:r>
      <w:r w:rsidRPr="00F843FA">
        <w:rPr>
          <w:i/>
          <w:iCs/>
          <w:sz w:val="18"/>
          <w:szCs w:val="18"/>
          <w:lang w:val="en-AU"/>
        </w:rPr>
        <w:t>Corporations Act 2001</w:t>
      </w:r>
      <w:r w:rsidRPr="00F843FA">
        <w:rPr>
          <w:sz w:val="18"/>
          <w:szCs w:val="18"/>
          <w:lang w:val="en-AU"/>
        </w:rPr>
        <w:t xml:space="preserve"> (</w:t>
      </w:r>
      <w:proofErr w:type="spellStart"/>
      <w:r w:rsidRPr="00F843FA">
        <w:rPr>
          <w:sz w:val="18"/>
          <w:szCs w:val="18"/>
          <w:lang w:val="en-AU"/>
        </w:rPr>
        <w:t>Cth</w:t>
      </w:r>
      <w:proofErr w:type="spellEnd"/>
      <w:r w:rsidRPr="00F843FA">
        <w:rPr>
          <w:sz w:val="18"/>
          <w:szCs w:val="18"/>
          <w:lang w:val="en-AU"/>
        </w:rPr>
        <w:t>).</w:t>
      </w:r>
    </w:p>
  </w:footnote>
  <w:footnote w:id="44">
    <w:p w14:paraId="3E9A29CD" w14:textId="6FEC1CF9" w:rsidR="00C36530" w:rsidRPr="00C36530" w:rsidRDefault="00C36530">
      <w:pPr>
        <w:pStyle w:val="FootnoteText"/>
        <w:rPr>
          <w:lang w:val="en-AU"/>
        </w:rPr>
      </w:pPr>
      <w:r w:rsidRPr="00C36530">
        <w:rPr>
          <w:rStyle w:val="FootnoteReference"/>
          <w:sz w:val="18"/>
          <w:szCs w:val="18"/>
        </w:rPr>
        <w:footnoteRef/>
      </w:r>
      <w:r w:rsidRPr="00C36530">
        <w:rPr>
          <w:sz w:val="18"/>
          <w:szCs w:val="18"/>
        </w:rPr>
        <w:t xml:space="preserve"> </w:t>
      </w:r>
      <w:r w:rsidRPr="00C36530">
        <w:rPr>
          <w:sz w:val="18"/>
          <w:szCs w:val="18"/>
          <w:lang w:val="en-AU"/>
        </w:rPr>
        <w:t xml:space="preserve">See, for instance, the unfair preference regime in s </w:t>
      </w:r>
      <w:r w:rsidRPr="00F843FA">
        <w:rPr>
          <w:sz w:val="18"/>
          <w:szCs w:val="18"/>
          <w:lang w:val="en-AU"/>
        </w:rPr>
        <w:t>588F</w:t>
      </w:r>
      <w:r>
        <w:rPr>
          <w:sz w:val="18"/>
          <w:szCs w:val="18"/>
          <w:lang w:val="en-AU"/>
        </w:rPr>
        <w:t>A</w:t>
      </w:r>
      <w:r w:rsidRPr="00F843FA">
        <w:rPr>
          <w:sz w:val="18"/>
          <w:szCs w:val="18"/>
          <w:lang w:val="en-AU"/>
        </w:rPr>
        <w:t xml:space="preserve"> of the </w:t>
      </w:r>
      <w:r w:rsidRPr="00F843FA">
        <w:rPr>
          <w:i/>
          <w:iCs/>
          <w:sz w:val="18"/>
          <w:szCs w:val="18"/>
          <w:lang w:val="en-AU"/>
        </w:rPr>
        <w:t>Corporations Act 2001</w:t>
      </w:r>
      <w:r w:rsidRPr="00F843FA">
        <w:rPr>
          <w:sz w:val="18"/>
          <w:szCs w:val="18"/>
          <w:lang w:val="en-AU"/>
        </w:rPr>
        <w:t xml:space="preserve"> (</w:t>
      </w:r>
      <w:proofErr w:type="spellStart"/>
      <w:r w:rsidRPr="00F843FA">
        <w:rPr>
          <w:sz w:val="18"/>
          <w:szCs w:val="18"/>
          <w:lang w:val="en-AU"/>
        </w:rPr>
        <w:t>Cth</w:t>
      </w:r>
      <w:proofErr w:type="spellEnd"/>
      <w:r w:rsidRPr="00F843FA">
        <w:rPr>
          <w:sz w:val="18"/>
          <w:szCs w:val="18"/>
          <w:lang w:val="en-AU"/>
        </w:rPr>
        <w:t>)</w:t>
      </w:r>
      <w:r>
        <w:rPr>
          <w:sz w:val="18"/>
          <w:szCs w:val="18"/>
          <w:lang w:val="en-AU"/>
        </w:rPr>
        <w:t xml:space="preserve">, which typically involves </w:t>
      </w:r>
      <w:r w:rsidR="00FB4AA8">
        <w:rPr>
          <w:sz w:val="18"/>
          <w:szCs w:val="18"/>
          <w:lang w:val="en-AU"/>
        </w:rPr>
        <w:t xml:space="preserve">clawing back </w:t>
      </w:r>
      <w:r>
        <w:rPr>
          <w:sz w:val="18"/>
          <w:szCs w:val="18"/>
          <w:lang w:val="en-AU"/>
        </w:rPr>
        <w:t xml:space="preserve">payments to trade creditors </w:t>
      </w:r>
      <w:r w:rsidR="00FB4AA8">
        <w:rPr>
          <w:sz w:val="18"/>
          <w:szCs w:val="18"/>
          <w:lang w:val="en-AU"/>
        </w:rPr>
        <w:t xml:space="preserve">(despite potentially being </w:t>
      </w:r>
      <w:r>
        <w:rPr>
          <w:sz w:val="18"/>
          <w:szCs w:val="18"/>
          <w:lang w:val="en-AU"/>
        </w:rPr>
        <w:t>in the ordinary course of business</w:t>
      </w:r>
      <w:r w:rsidR="00FB4AA8">
        <w:rPr>
          <w:sz w:val="18"/>
          <w:szCs w:val="18"/>
          <w:lang w:val="en-AU"/>
        </w:rPr>
        <w:t>)</w:t>
      </w:r>
      <w:r w:rsidRPr="00F843FA">
        <w:rPr>
          <w:sz w:val="18"/>
          <w:szCs w:val="18"/>
          <w:lang w:val="en-AU"/>
        </w:rPr>
        <w:t>.</w:t>
      </w:r>
    </w:p>
  </w:footnote>
  <w:footnote w:id="45">
    <w:p w14:paraId="046580CA" w14:textId="4031981F" w:rsidR="002D17BB" w:rsidRPr="002D17BB" w:rsidRDefault="002D17BB">
      <w:pPr>
        <w:pStyle w:val="FootnoteText"/>
        <w:rPr>
          <w:lang w:val="en-AU"/>
        </w:rPr>
      </w:pPr>
      <w:r w:rsidRPr="004538FD">
        <w:rPr>
          <w:rStyle w:val="FootnoteReference"/>
          <w:sz w:val="18"/>
          <w:szCs w:val="18"/>
        </w:rPr>
        <w:footnoteRef/>
      </w:r>
      <w:r w:rsidRPr="004538FD">
        <w:rPr>
          <w:sz w:val="18"/>
          <w:szCs w:val="18"/>
        </w:rPr>
        <w:t xml:space="preserve"> </w:t>
      </w:r>
      <w:r w:rsidR="004538FD" w:rsidRPr="004538FD">
        <w:rPr>
          <w:sz w:val="18"/>
          <w:szCs w:val="18"/>
          <w:lang w:val="en-AU"/>
        </w:rPr>
        <w:t>The MLIJ was downloaded and extracted from this website: &lt;</w:t>
      </w:r>
      <w:r w:rsidR="004538FD" w:rsidRPr="004538FD">
        <w:rPr>
          <w:sz w:val="18"/>
          <w:szCs w:val="18"/>
          <w:lang w:val="en-AU"/>
        </w:rPr>
        <w:t>https://uncitral.un.org/en/texts/insolvency/modellaw/mlij</w:t>
      </w:r>
      <w:r w:rsidR="004538FD" w:rsidRPr="004538FD">
        <w:rPr>
          <w:sz w:val="18"/>
          <w:szCs w:val="18"/>
          <w:lang w:val="en-AU"/>
        </w:rPr>
        <w:t>&gt; (accessed 8 November 2022).</w:t>
      </w:r>
    </w:p>
  </w:footnote>
  <w:footnote w:id="46">
    <w:p w14:paraId="70C9E318" w14:textId="77777777" w:rsidR="005C5A6B" w:rsidRPr="004B3955" w:rsidRDefault="005C5A6B" w:rsidP="005C5A6B">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For example, see B </w:t>
      </w:r>
      <w:proofErr w:type="spellStart"/>
      <w:r w:rsidRPr="004B3955">
        <w:rPr>
          <w:sz w:val="18"/>
          <w:szCs w:val="18"/>
          <w:lang w:val="en-AU"/>
        </w:rPr>
        <w:t>Wessells</w:t>
      </w:r>
      <w:proofErr w:type="spellEnd"/>
      <w:r w:rsidRPr="004B3955">
        <w:rPr>
          <w:sz w:val="18"/>
          <w:szCs w:val="18"/>
          <w:lang w:val="en-AU"/>
        </w:rPr>
        <w:t xml:space="preserve">, </w:t>
      </w:r>
      <w:r w:rsidRPr="004B3955">
        <w:rPr>
          <w:i/>
          <w:iCs/>
          <w:sz w:val="18"/>
          <w:szCs w:val="18"/>
          <w:lang w:val="en-AU"/>
        </w:rPr>
        <w:t>International Insolvency Law</w:t>
      </w:r>
      <w:r w:rsidRPr="004B3955">
        <w:rPr>
          <w:sz w:val="18"/>
          <w:szCs w:val="18"/>
          <w:lang w:val="en-AU"/>
        </w:rPr>
        <w:t xml:space="preserve"> (Kluwer, 2006), p 1 and Fletcher, Ian F, “International Insolvency: The Way Ahead” 28 </w:t>
      </w:r>
      <w:r w:rsidRPr="004B3955">
        <w:rPr>
          <w:i/>
          <w:iCs/>
          <w:sz w:val="18"/>
          <w:szCs w:val="18"/>
          <w:lang w:val="en-AU"/>
        </w:rPr>
        <w:t>International Insolvency Review</w:t>
      </w:r>
      <w:r w:rsidRPr="004B3955">
        <w:rPr>
          <w:sz w:val="18"/>
          <w:szCs w:val="18"/>
          <w:lang w:val="en-AU"/>
        </w:rPr>
        <w:t xml:space="preserve"> 1993, Vol 2, p 7. </w:t>
      </w:r>
    </w:p>
  </w:footnote>
  <w:footnote w:id="47">
    <w:p w14:paraId="110CA644" w14:textId="77777777" w:rsidR="00007F0F" w:rsidRPr="004B3955" w:rsidRDefault="00007F0F" w:rsidP="00007F0F">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Fletcher, Ian F, “International Insolvency: The Way Ahead” 28 </w:t>
      </w:r>
      <w:r w:rsidRPr="004B3955">
        <w:rPr>
          <w:i/>
          <w:iCs/>
          <w:sz w:val="18"/>
          <w:szCs w:val="18"/>
          <w:lang w:val="en-AU"/>
        </w:rPr>
        <w:t>International Insolvency Review</w:t>
      </w:r>
      <w:r w:rsidRPr="004B3955">
        <w:rPr>
          <w:sz w:val="18"/>
          <w:szCs w:val="18"/>
          <w:lang w:val="en-AU"/>
        </w:rPr>
        <w:t xml:space="preserve"> 1993, Vol 2, p 11.</w:t>
      </w:r>
    </w:p>
  </w:footnote>
  <w:footnote w:id="48">
    <w:p w14:paraId="2AE61613" w14:textId="10CA0E84" w:rsidR="00485BAE" w:rsidRPr="004B3955" w:rsidRDefault="00485BAE">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9C5EAF" w:rsidRPr="004B3955">
        <w:rPr>
          <w:sz w:val="18"/>
          <w:szCs w:val="18"/>
          <w:lang w:val="en-AU"/>
        </w:rPr>
        <w:t>For example,</w:t>
      </w:r>
      <w:r w:rsidR="00B0187D" w:rsidRPr="004B3955">
        <w:rPr>
          <w:sz w:val="18"/>
          <w:szCs w:val="18"/>
          <w:lang w:val="en-AU"/>
        </w:rPr>
        <w:t xml:space="preserve"> on 3 September 2022,</w:t>
      </w:r>
      <w:r w:rsidR="009C5EAF" w:rsidRPr="004B3955">
        <w:rPr>
          <w:sz w:val="18"/>
          <w:szCs w:val="18"/>
          <w:lang w:val="en-AU"/>
        </w:rPr>
        <w:t xml:space="preserve"> the Asian Development Bank </w:t>
      </w:r>
      <w:r w:rsidR="00B0187D" w:rsidRPr="004B3955">
        <w:rPr>
          <w:sz w:val="18"/>
          <w:szCs w:val="18"/>
          <w:lang w:val="en-AU"/>
        </w:rPr>
        <w:t xml:space="preserve">published for tender </w:t>
      </w:r>
      <w:r w:rsidR="0014257B" w:rsidRPr="004B3955">
        <w:rPr>
          <w:sz w:val="18"/>
          <w:szCs w:val="18"/>
          <w:lang w:val="en-AU"/>
        </w:rPr>
        <w:t xml:space="preserve">an expression of interest campaign to develop an appropriate insolvency regime for the country of Bhutan. </w:t>
      </w:r>
      <w:r w:rsidR="000133EA" w:rsidRPr="004B3955">
        <w:rPr>
          <w:sz w:val="18"/>
          <w:szCs w:val="18"/>
          <w:lang w:val="en-AU"/>
        </w:rPr>
        <w:t xml:space="preserve">See </w:t>
      </w:r>
      <w:r w:rsidR="00605185" w:rsidRPr="004B3955">
        <w:rPr>
          <w:sz w:val="18"/>
          <w:szCs w:val="18"/>
          <w:lang w:val="en-AU"/>
        </w:rPr>
        <w:t>&lt;https://selfservice.adb.org/OA_HTML/OA.jsp?OAFunc=XXCRS_CSRN_PROFILE_PAGE&amp;csrnKey=AECDED9BFEF300E53B1B0A451A9DCCA2308926D713936B48DF3231669E70A34D&amp;fromDER=Y&amp;refresh_csrn=true&gt; (accessed 13 November 2022).</w:t>
      </w:r>
    </w:p>
  </w:footnote>
  <w:footnote w:id="49">
    <w:p w14:paraId="095ABEF5" w14:textId="77777777" w:rsidR="00150677" w:rsidRPr="004B3955" w:rsidRDefault="00150677" w:rsidP="00150677">
      <w:pPr>
        <w:pStyle w:val="FootnoteText"/>
        <w:rPr>
          <w:lang w:val="en-AU"/>
        </w:rPr>
      </w:pPr>
      <w:r w:rsidRPr="004B3955">
        <w:rPr>
          <w:rStyle w:val="FootnoteReference"/>
          <w:sz w:val="18"/>
          <w:szCs w:val="18"/>
          <w:lang w:val="en-AU"/>
        </w:rPr>
        <w:footnoteRef/>
      </w:r>
      <w:r w:rsidRPr="004B3955">
        <w:rPr>
          <w:sz w:val="18"/>
          <w:szCs w:val="18"/>
          <w:lang w:val="en-AU"/>
        </w:rPr>
        <w:t xml:space="preserve"> For example, debtor versus creditor friendly systems, or a focus on winding-up versus corporate turnaround/restructure.</w:t>
      </w:r>
    </w:p>
  </w:footnote>
  <w:footnote w:id="50">
    <w:p w14:paraId="795C6430" w14:textId="77777777" w:rsidR="00150677" w:rsidRPr="004B3955" w:rsidRDefault="00150677" w:rsidP="00150677">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B </w:t>
      </w:r>
      <w:proofErr w:type="spellStart"/>
      <w:r w:rsidRPr="004B3955">
        <w:rPr>
          <w:sz w:val="18"/>
          <w:szCs w:val="18"/>
          <w:lang w:val="en-AU"/>
        </w:rPr>
        <w:t>Wessells</w:t>
      </w:r>
      <w:proofErr w:type="spellEnd"/>
      <w:r w:rsidRPr="004B3955">
        <w:rPr>
          <w:sz w:val="18"/>
          <w:szCs w:val="18"/>
          <w:lang w:val="en-AU"/>
        </w:rPr>
        <w:t xml:space="preserve">, </w:t>
      </w:r>
      <w:r w:rsidRPr="004B3955">
        <w:rPr>
          <w:i/>
          <w:iCs/>
          <w:sz w:val="18"/>
          <w:szCs w:val="18"/>
          <w:lang w:val="en-AU"/>
        </w:rPr>
        <w:t>International Insolvency Law</w:t>
      </w:r>
      <w:r w:rsidRPr="004B3955">
        <w:rPr>
          <w:sz w:val="18"/>
          <w:szCs w:val="18"/>
          <w:lang w:val="en-AU"/>
        </w:rPr>
        <w:t xml:space="preserve"> (Kluwer, 2006), p 1.</w:t>
      </w:r>
    </w:p>
  </w:footnote>
  <w:footnote w:id="51">
    <w:p w14:paraId="568BD0FC" w14:textId="77777777" w:rsidR="00963230" w:rsidRPr="004B3955" w:rsidRDefault="00963230" w:rsidP="00963230">
      <w:pPr>
        <w:pStyle w:val="FootnoteText"/>
        <w:rPr>
          <w:lang w:val="en-AU"/>
        </w:rPr>
      </w:pPr>
      <w:r w:rsidRPr="004B3955">
        <w:rPr>
          <w:rStyle w:val="FootnoteReference"/>
          <w:sz w:val="18"/>
          <w:szCs w:val="18"/>
          <w:lang w:val="en-AU"/>
        </w:rPr>
        <w:footnoteRef/>
      </w:r>
      <w:r w:rsidRPr="004B3955">
        <w:rPr>
          <w:sz w:val="18"/>
          <w:szCs w:val="18"/>
          <w:lang w:val="en-AU"/>
        </w:rPr>
        <w:t xml:space="preserve"> P J Omar, “The Landscape of International Insolvency”, (2002) 11, </w:t>
      </w:r>
      <w:r w:rsidRPr="004B3955">
        <w:rPr>
          <w:i/>
          <w:iCs/>
          <w:sz w:val="18"/>
          <w:szCs w:val="18"/>
          <w:lang w:val="en-AU"/>
        </w:rPr>
        <w:t>IIR</w:t>
      </w:r>
      <w:r w:rsidRPr="004B3955">
        <w:rPr>
          <w:sz w:val="18"/>
          <w:szCs w:val="18"/>
          <w:lang w:val="en-AU"/>
        </w:rPr>
        <w:t xml:space="preserve"> 173, p 175. </w:t>
      </w:r>
    </w:p>
  </w:footnote>
  <w:footnote w:id="52">
    <w:p w14:paraId="0CEE2B8B" w14:textId="77777777" w:rsidR="006F0FC4" w:rsidRPr="004B3955" w:rsidRDefault="006F0FC4" w:rsidP="006F0FC4">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I am adopting the definition of insolvency representative on page 30 of the course material. It was not apparent to me on the material how one is to go about referencing the course material.</w:t>
      </w:r>
    </w:p>
  </w:footnote>
  <w:footnote w:id="53">
    <w:p w14:paraId="2809228E" w14:textId="77777777" w:rsidR="006F0FC4" w:rsidRPr="004B3955" w:rsidRDefault="006F0FC4" w:rsidP="006F0FC4">
      <w:pPr>
        <w:pStyle w:val="FootnoteText"/>
        <w:rPr>
          <w:lang w:val="en-AU"/>
        </w:rPr>
      </w:pPr>
      <w:r w:rsidRPr="004B3955">
        <w:rPr>
          <w:rStyle w:val="FootnoteReference"/>
          <w:sz w:val="18"/>
          <w:szCs w:val="18"/>
          <w:lang w:val="en-AU"/>
        </w:rPr>
        <w:footnoteRef/>
      </w:r>
      <w:r w:rsidRPr="004B3955">
        <w:rPr>
          <w:sz w:val="18"/>
          <w:szCs w:val="18"/>
          <w:lang w:val="en-AU"/>
        </w:rPr>
        <w:t xml:space="preserve"> See generally the list of nine key issues of universalism described in J L Westbrook, “Global Insolvency Proceedings for a Global market: The Universalist system and the Choice of a Central Court” (2018) 96 </w:t>
      </w:r>
      <w:r w:rsidRPr="004B3955">
        <w:rPr>
          <w:i/>
          <w:iCs/>
          <w:sz w:val="18"/>
          <w:szCs w:val="18"/>
          <w:lang w:val="en-AU"/>
        </w:rPr>
        <w:t>Texas Law Review</w:t>
      </w:r>
      <w:r w:rsidRPr="004B3955">
        <w:rPr>
          <w:sz w:val="18"/>
          <w:szCs w:val="18"/>
          <w:lang w:val="en-AU"/>
        </w:rPr>
        <w:t xml:space="preserve">, p 1473. </w:t>
      </w:r>
    </w:p>
  </w:footnote>
  <w:footnote w:id="54">
    <w:p w14:paraId="42E63097" w14:textId="77777777" w:rsidR="00F247D8" w:rsidRPr="004B3955" w:rsidRDefault="00F247D8" w:rsidP="00F247D8">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R K Rasmussen, “A new Approach to Transnational Insolvencies” (1998) 19 </w:t>
      </w:r>
      <w:r w:rsidRPr="004B3955">
        <w:rPr>
          <w:i/>
          <w:iCs/>
          <w:sz w:val="18"/>
          <w:szCs w:val="18"/>
          <w:lang w:val="en-AU"/>
        </w:rPr>
        <w:t>Michigan Journal of International Law</w:t>
      </w:r>
      <w:r w:rsidRPr="004B3955">
        <w:rPr>
          <w:sz w:val="18"/>
          <w:szCs w:val="18"/>
          <w:lang w:val="en-AU"/>
        </w:rPr>
        <w:t xml:space="preserve"> 1, 1-36.</w:t>
      </w:r>
    </w:p>
  </w:footnote>
  <w:footnote w:id="55">
    <w:p w14:paraId="0D5D656B" w14:textId="276CE0D4" w:rsidR="006141EB" w:rsidRPr="004B3955" w:rsidRDefault="006141EB">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801EA9" w:rsidRPr="004B3955">
        <w:rPr>
          <w:sz w:val="18"/>
          <w:szCs w:val="18"/>
          <w:lang w:val="en-AU"/>
        </w:rPr>
        <w:t xml:space="preserve">Harold S Burman, </w:t>
      </w:r>
      <w:r w:rsidR="00801EA9" w:rsidRPr="004B3955">
        <w:rPr>
          <w:i/>
          <w:iCs/>
          <w:sz w:val="18"/>
          <w:szCs w:val="18"/>
          <w:lang w:val="en-AU"/>
        </w:rPr>
        <w:t>Harmonization of International Bankruptcy Law: A United States Perspective</w:t>
      </w:r>
      <w:r w:rsidR="00801EA9" w:rsidRPr="004B3955">
        <w:rPr>
          <w:sz w:val="18"/>
          <w:szCs w:val="18"/>
          <w:lang w:val="en-AU"/>
        </w:rPr>
        <w:t xml:space="preserve">, 64 Fordham L. Rev. </w:t>
      </w:r>
      <w:r w:rsidR="00D83316" w:rsidRPr="004B3955">
        <w:rPr>
          <w:sz w:val="18"/>
          <w:szCs w:val="18"/>
          <w:lang w:val="en-AU"/>
        </w:rPr>
        <w:t>2543 (1996), 2544.</w:t>
      </w:r>
    </w:p>
  </w:footnote>
  <w:footnote w:id="56">
    <w:p w14:paraId="5BC5C6F4" w14:textId="77777777" w:rsidR="00E90348" w:rsidRPr="004B3955" w:rsidRDefault="00E90348" w:rsidP="00E90348">
      <w:pPr>
        <w:pStyle w:val="FootnoteText"/>
        <w:rPr>
          <w:lang w:val="en-AU"/>
        </w:rPr>
      </w:pPr>
      <w:r w:rsidRPr="004B3955">
        <w:rPr>
          <w:rStyle w:val="FootnoteReference"/>
          <w:sz w:val="18"/>
          <w:szCs w:val="18"/>
          <w:lang w:val="en-AU"/>
        </w:rPr>
        <w:footnoteRef/>
      </w:r>
      <w:r w:rsidRPr="004B3955">
        <w:rPr>
          <w:sz w:val="18"/>
          <w:szCs w:val="18"/>
          <w:lang w:val="en-AU"/>
        </w:rPr>
        <w:t xml:space="preserve"> J L Westbrook, “The Lessons of Maxwell Communications” (1996) </w:t>
      </w:r>
      <w:r w:rsidRPr="004B3955">
        <w:rPr>
          <w:i/>
          <w:iCs/>
          <w:sz w:val="18"/>
          <w:szCs w:val="18"/>
          <w:lang w:val="en-AU"/>
        </w:rPr>
        <w:t>Fordham Law Review</w:t>
      </w:r>
      <w:r w:rsidRPr="004B3955">
        <w:rPr>
          <w:sz w:val="18"/>
          <w:szCs w:val="18"/>
          <w:lang w:val="en-AU"/>
        </w:rPr>
        <w:t xml:space="preserve"> 64 2531, p 2532.</w:t>
      </w:r>
    </w:p>
  </w:footnote>
  <w:footnote w:id="57">
    <w:p w14:paraId="63C52F8A" w14:textId="265F3D12" w:rsidR="00B20CBC" w:rsidRPr="004B3955" w:rsidRDefault="00B20CBC">
      <w:pPr>
        <w:pStyle w:val="FootnoteText"/>
        <w:rPr>
          <w:lang w:val="en-AU"/>
        </w:rPr>
      </w:pPr>
      <w:r w:rsidRPr="004B3955">
        <w:rPr>
          <w:rStyle w:val="FootnoteReference"/>
          <w:sz w:val="18"/>
          <w:szCs w:val="18"/>
          <w:lang w:val="en-AU"/>
        </w:rPr>
        <w:footnoteRef/>
      </w:r>
      <w:r w:rsidRPr="004B3955">
        <w:rPr>
          <w:sz w:val="18"/>
          <w:szCs w:val="18"/>
          <w:lang w:val="en-AU"/>
        </w:rPr>
        <w:t xml:space="preserve"> Ian F F</w:t>
      </w:r>
      <w:r w:rsidR="003C5F81" w:rsidRPr="004B3955">
        <w:rPr>
          <w:sz w:val="18"/>
          <w:szCs w:val="18"/>
          <w:lang w:val="en-AU"/>
        </w:rPr>
        <w:t>l</w:t>
      </w:r>
      <w:r w:rsidRPr="004B3955">
        <w:rPr>
          <w:sz w:val="18"/>
          <w:szCs w:val="18"/>
          <w:lang w:val="en-AU"/>
        </w:rPr>
        <w:t>etcher</w:t>
      </w:r>
      <w:r w:rsidR="003C5F81" w:rsidRPr="004B3955">
        <w:rPr>
          <w:sz w:val="18"/>
          <w:szCs w:val="18"/>
          <w:lang w:val="en-AU"/>
        </w:rPr>
        <w:t xml:space="preserve">, </w:t>
      </w:r>
      <w:r w:rsidR="002D7F70" w:rsidRPr="004B3955">
        <w:rPr>
          <w:sz w:val="18"/>
          <w:szCs w:val="18"/>
          <w:lang w:val="en-AU"/>
        </w:rPr>
        <w:t>“</w:t>
      </w:r>
      <w:r w:rsidR="003C5F81" w:rsidRPr="004B3955">
        <w:rPr>
          <w:sz w:val="18"/>
          <w:szCs w:val="18"/>
          <w:lang w:val="en-AU"/>
        </w:rPr>
        <w:t>International Insolvency: A Case Study and Treatment</w:t>
      </w:r>
      <w:r w:rsidR="002D7F70" w:rsidRPr="004B3955">
        <w:rPr>
          <w:sz w:val="18"/>
          <w:szCs w:val="18"/>
          <w:lang w:val="en-AU"/>
        </w:rPr>
        <w:t>” (1993)</w:t>
      </w:r>
      <w:r w:rsidR="003C5F81" w:rsidRPr="004B3955">
        <w:rPr>
          <w:sz w:val="18"/>
          <w:szCs w:val="18"/>
          <w:lang w:val="en-AU"/>
        </w:rPr>
        <w:t xml:space="preserve"> 27 </w:t>
      </w:r>
      <w:r w:rsidR="002D7F70" w:rsidRPr="004B3955">
        <w:rPr>
          <w:i/>
          <w:iCs/>
          <w:sz w:val="18"/>
          <w:szCs w:val="18"/>
          <w:lang w:val="en-AU"/>
        </w:rPr>
        <w:t>International Lawyer</w:t>
      </w:r>
      <w:r w:rsidR="003C5F81" w:rsidRPr="004B3955">
        <w:rPr>
          <w:sz w:val="18"/>
          <w:szCs w:val="18"/>
          <w:lang w:val="en-AU"/>
        </w:rPr>
        <w:t xml:space="preserve"> 429</w:t>
      </w:r>
      <w:r w:rsidR="002D7F70" w:rsidRPr="004B3955">
        <w:rPr>
          <w:sz w:val="18"/>
          <w:szCs w:val="18"/>
          <w:lang w:val="en-AU"/>
        </w:rPr>
        <w:t>,</w:t>
      </w:r>
      <w:r w:rsidR="005F5265" w:rsidRPr="004B3955">
        <w:rPr>
          <w:sz w:val="18"/>
          <w:szCs w:val="18"/>
          <w:lang w:val="en-AU"/>
        </w:rPr>
        <w:t xml:space="preserve"> 430.</w:t>
      </w:r>
      <w:r w:rsidR="002D7F70" w:rsidRPr="004B3955">
        <w:rPr>
          <w:lang w:val="en-AU"/>
        </w:rPr>
        <w:t xml:space="preserve"> </w:t>
      </w:r>
    </w:p>
  </w:footnote>
  <w:footnote w:id="58">
    <w:p w14:paraId="0583EFC4" w14:textId="77777777" w:rsidR="00821C46" w:rsidRPr="004B3955" w:rsidRDefault="00821C46" w:rsidP="00821C46">
      <w:pPr>
        <w:pStyle w:val="FootnoteText"/>
        <w:rPr>
          <w:lang w:val="en-AU"/>
        </w:rPr>
      </w:pPr>
      <w:r w:rsidRPr="004B3955">
        <w:rPr>
          <w:rStyle w:val="FootnoteReference"/>
          <w:sz w:val="18"/>
          <w:szCs w:val="18"/>
          <w:lang w:val="en-AU"/>
        </w:rPr>
        <w:footnoteRef/>
      </w:r>
      <w:r w:rsidRPr="004B3955">
        <w:rPr>
          <w:sz w:val="18"/>
          <w:szCs w:val="18"/>
          <w:lang w:val="en-AU"/>
        </w:rPr>
        <w:t xml:space="preserve"> &lt;https://www.worldbank.org/en/topic/financialsector/brief/the-world-bank-principles-for-effective-insolvency-and-creditor-rights&gt; (accessed 15/10/2022).</w:t>
      </w:r>
    </w:p>
  </w:footnote>
  <w:footnote w:id="59">
    <w:p w14:paraId="2BE3FC00" w14:textId="49F4554E" w:rsidR="004C59A4" w:rsidRPr="004B3955" w:rsidRDefault="004C59A4">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w:t>
      </w:r>
      <w:r w:rsidR="00392A0F" w:rsidRPr="004B3955">
        <w:rPr>
          <w:sz w:val="18"/>
          <w:szCs w:val="18"/>
          <w:lang w:val="en-AU"/>
        </w:rPr>
        <w:t xml:space="preserve">The notion of binding and non-binding was challenged in the works of I </w:t>
      </w:r>
      <w:proofErr w:type="spellStart"/>
      <w:r w:rsidR="00392A0F" w:rsidRPr="004B3955">
        <w:rPr>
          <w:sz w:val="18"/>
          <w:szCs w:val="18"/>
          <w:lang w:val="en-AU"/>
        </w:rPr>
        <w:t>Mevorach</w:t>
      </w:r>
      <w:proofErr w:type="spellEnd"/>
      <w:r w:rsidR="00392A0F" w:rsidRPr="004B3955">
        <w:rPr>
          <w:sz w:val="18"/>
          <w:szCs w:val="18"/>
          <w:lang w:val="en-AU"/>
        </w:rPr>
        <w:t xml:space="preserve">, </w:t>
      </w:r>
      <w:bookmarkStart w:id="3" w:name="_Hlk119402951"/>
      <w:r w:rsidR="00392A0F" w:rsidRPr="004B3955">
        <w:rPr>
          <w:i/>
          <w:iCs/>
          <w:sz w:val="18"/>
          <w:szCs w:val="18"/>
          <w:lang w:val="en-AU"/>
        </w:rPr>
        <w:t xml:space="preserve">The Future of </w:t>
      </w:r>
      <w:r w:rsidR="008E6FA3" w:rsidRPr="004B3955">
        <w:rPr>
          <w:i/>
          <w:iCs/>
          <w:sz w:val="18"/>
          <w:szCs w:val="18"/>
          <w:lang w:val="en-AU"/>
        </w:rPr>
        <w:t>Cross-Border Insolvency: Overcoming Biases and Closing Gaps</w:t>
      </w:r>
      <w:r w:rsidR="008E6FA3" w:rsidRPr="004B3955">
        <w:rPr>
          <w:sz w:val="18"/>
          <w:szCs w:val="18"/>
          <w:lang w:val="en-AU"/>
        </w:rPr>
        <w:t xml:space="preserve"> </w:t>
      </w:r>
      <w:bookmarkEnd w:id="3"/>
      <w:r w:rsidR="008E6FA3" w:rsidRPr="004B3955">
        <w:rPr>
          <w:sz w:val="18"/>
          <w:szCs w:val="18"/>
          <w:lang w:val="en-AU"/>
        </w:rPr>
        <w:t xml:space="preserve">(Oxford University Press, 2018), </w:t>
      </w:r>
      <w:r w:rsidR="00D863AC" w:rsidRPr="004B3955">
        <w:rPr>
          <w:sz w:val="18"/>
          <w:szCs w:val="18"/>
          <w:lang w:val="en-AU"/>
        </w:rPr>
        <w:t xml:space="preserve">page </w:t>
      </w:r>
      <w:r w:rsidR="008E6FA3" w:rsidRPr="004B3955">
        <w:rPr>
          <w:sz w:val="18"/>
          <w:szCs w:val="18"/>
          <w:lang w:val="en-AU"/>
        </w:rPr>
        <w:t>1</w:t>
      </w:r>
      <w:r w:rsidR="00D863AC" w:rsidRPr="004B3955">
        <w:rPr>
          <w:sz w:val="18"/>
          <w:szCs w:val="18"/>
          <w:lang w:val="en-AU"/>
        </w:rPr>
        <w:t>50</w:t>
      </w:r>
      <w:r w:rsidR="008E6FA3" w:rsidRPr="004B3955">
        <w:rPr>
          <w:sz w:val="18"/>
          <w:szCs w:val="18"/>
          <w:lang w:val="en-AU"/>
        </w:rPr>
        <w:t>.</w:t>
      </w:r>
    </w:p>
  </w:footnote>
  <w:footnote w:id="60">
    <w:p w14:paraId="2E6594BA" w14:textId="18135A7F" w:rsidR="00BE5EDD" w:rsidRPr="004B3955" w:rsidRDefault="00BE5EDD">
      <w:pPr>
        <w:pStyle w:val="FootnoteText"/>
        <w:rPr>
          <w:lang w:val="en-AU"/>
        </w:rPr>
      </w:pPr>
      <w:r w:rsidRPr="004B3955">
        <w:rPr>
          <w:rStyle w:val="FootnoteReference"/>
          <w:sz w:val="18"/>
          <w:szCs w:val="18"/>
          <w:lang w:val="en-AU"/>
        </w:rPr>
        <w:footnoteRef/>
      </w:r>
      <w:r w:rsidRPr="004B3955">
        <w:rPr>
          <w:sz w:val="18"/>
          <w:szCs w:val="18"/>
          <w:lang w:val="en-AU"/>
        </w:rPr>
        <w:t xml:space="preserve"> Ibid. See also Mason, Rosalind and </w:t>
      </w:r>
      <w:proofErr w:type="spellStart"/>
      <w:r w:rsidRPr="004B3955">
        <w:rPr>
          <w:sz w:val="18"/>
          <w:szCs w:val="18"/>
          <w:lang w:val="en-AU"/>
        </w:rPr>
        <w:t>Streton</w:t>
      </w:r>
      <w:proofErr w:type="spellEnd"/>
      <w:r w:rsidRPr="004B3955">
        <w:rPr>
          <w:sz w:val="18"/>
          <w:szCs w:val="18"/>
          <w:lang w:val="en-AU"/>
        </w:rPr>
        <w:t>, Elizabeth (201</w:t>
      </w:r>
      <w:r w:rsidR="0048413E" w:rsidRPr="004B3955">
        <w:rPr>
          <w:sz w:val="18"/>
          <w:szCs w:val="18"/>
          <w:lang w:val="en-AU"/>
        </w:rPr>
        <w:t xml:space="preserve">8) “The Future of Cross-Border Insolvency: Overcoming Biases and Closing Gaps (Book Review),” </w:t>
      </w:r>
      <w:r w:rsidR="0048413E" w:rsidRPr="004B3955">
        <w:rPr>
          <w:i/>
          <w:iCs/>
          <w:sz w:val="18"/>
          <w:szCs w:val="18"/>
          <w:lang w:val="en-AU"/>
        </w:rPr>
        <w:t xml:space="preserve">International Insolvency Review </w:t>
      </w:r>
      <w:r w:rsidR="003C00EB" w:rsidRPr="004B3955">
        <w:rPr>
          <w:sz w:val="18"/>
          <w:szCs w:val="18"/>
          <w:lang w:val="en-AU"/>
        </w:rPr>
        <w:t>27(3), pages 447-450.</w:t>
      </w:r>
    </w:p>
  </w:footnote>
  <w:footnote w:id="61">
    <w:p w14:paraId="6F511337" w14:textId="147E8761" w:rsidR="00C628EA" w:rsidRPr="004B3955" w:rsidRDefault="00C628EA">
      <w:pPr>
        <w:pStyle w:val="FootnoteText"/>
        <w:rPr>
          <w:sz w:val="18"/>
          <w:szCs w:val="18"/>
          <w:lang w:val="en-AU"/>
        </w:rPr>
      </w:pPr>
      <w:r w:rsidRPr="004B3955">
        <w:rPr>
          <w:rStyle w:val="FootnoteReference"/>
          <w:sz w:val="18"/>
          <w:szCs w:val="18"/>
          <w:lang w:val="en-AU"/>
        </w:rPr>
        <w:footnoteRef/>
      </w:r>
      <w:r w:rsidRPr="004B3955">
        <w:rPr>
          <w:sz w:val="18"/>
          <w:szCs w:val="18"/>
          <w:lang w:val="en-AU"/>
        </w:rPr>
        <w:t xml:space="preserve"> </w:t>
      </w:r>
      <w:r w:rsidR="003C745A" w:rsidRPr="004B3955">
        <w:rPr>
          <w:sz w:val="18"/>
          <w:szCs w:val="18"/>
          <w:lang w:val="en-AU"/>
        </w:rPr>
        <w:t xml:space="preserve">Commonwealth Treasury of Australia, </w:t>
      </w:r>
      <w:r w:rsidR="004E0BC5" w:rsidRPr="004B3955">
        <w:rPr>
          <w:sz w:val="18"/>
          <w:szCs w:val="18"/>
          <w:lang w:val="en-AU"/>
        </w:rPr>
        <w:t>Corporate Law Economic Reform Program Proposal for Reform: Paper No. 8</w:t>
      </w:r>
      <w:r w:rsidR="003C745A" w:rsidRPr="004B3955">
        <w:rPr>
          <w:sz w:val="18"/>
          <w:szCs w:val="18"/>
          <w:lang w:val="en-AU"/>
        </w:rPr>
        <w:t xml:space="preserve">: </w:t>
      </w:r>
      <w:r w:rsidR="008B5CF8" w:rsidRPr="004B3955">
        <w:rPr>
          <w:sz w:val="18"/>
          <w:szCs w:val="18"/>
          <w:lang w:val="en-AU"/>
        </w:rPr>
        <w:t>Cross-Border Insolvency: Promoting international cooperation and coordination (2002), page 18</w:t>
      </w:r>
      <w:r w:rsidR="003C745A" w:rsidRPr="004B3955">
        <w:rPr>
          <w:sz w:val="18"/>
          <w:szCs w:val="18"/>
          <w:lang w:val="en-AU"/>
        </w:rPr>
        <w:t>.</w:t>
      </w:r>
    </w:p>
  </w:footnote>
  <w:footnote w:id="62">
    <w:p w14:paraId="47548562" w14:textId="28F82822" w:rsidR="004E72A6" w:rsidRPr="004B3955" w:rsidRDefault="004E72A6">
      <w:pPr>
        <w:pStyle w:val="FootnoteText"/>
        <w:rPr>
          <w:lang w:val="en-AU"/>
        </w:rPr>
      </w:pPr>
      <w:r w:rsidRPr="004B3955">
        <w:rPr>
          <w:rStyle w:val="FootnoteReference"/>
          <w:sz w:val="18"/>
          <w:szCs w:val="18"/>
          <w:lang w:val="en-AU"/>
        </w:rPr>
        <w:footnoteRef/>
      </w:r>
      <w:r w:rsidRPr="004B3955">
        <w:rPr>
          <w:sz w:val="18"/>
          <w:szCs w:val="18"/>
          <w:lang w:val="en-AU"/>
        </w:rPr>
        <w:t xml:space="preserve"> The notion of binding and non-binding was challenged in the works of I </w:t>
      </w:r>
      <w:proofErr w:type="spellStart"/>
      <w:r w:rsidRPr="004B3955">
        <w:rPr>
          <w:sz w:val="18"/>
          <w:szCs w:val="18"/>
          <w:lang w:val="en-AU"/>
        </w:rPr>
        <w:t>Mevorach</w:t>
      </w:r>
      <w:proofErr w:type="spellEnd"/>
      <w:r w:rsidRPr="004B3955">
        <w:rPr>
          <w:sz w:val="18"/>
          <w:szCs w:val="18"/>
          <w:lang w:val="en-AU"/>
        </w:rPr>
        <w:t xml:space="preserve">, </w:t>
      </w:r>
      <w:r w:rsidRPr="004B3955">
        <w:rPr>
          <w:i/>
          <w:iCs/>
          <w:sz w:val="18"/>
          <w:szCs w:val="18"/>
          <w:lang w:val="en-AU"/>
        </w:rPr>
        <w:t>The Future of Cross-Border Insolvency: Overcoming Biases and Closing Gaps</w:t>
      </w:r>
      <w:r w:rsidRPr="004B3955">
        <w:rPr>
          <w:sz w:val="18"/>
          <w:szCs w:val="18"/>
          <w:lang w:val="en-AU"/>
        </w:rPr>
        <w:t xml:space="preserve"> (Oxford University Press, 2018), page 83.</w:t>
      </w:r>
    </w:p>
  </w:footnote>
  <w:footnote w:id="63">
    <w:p w14:paraId="508390B5" w14:textId="19AB368D" w:rsidR="00D83044" w:rsidRPr="004B3955" w:rsidRDefault="00D83044">
      <w:pPr>
        <w:pStyle w:val="FootnoteText"/>
        <w:rPr>
          <w:lang w:val="en-AU"/>
        </w:rPr>
      </w:pPr>
      <w:r w:rsidRPr="004B3955">
        <w:rPr>
          <w:rStyle w:val="FootnoteReference"/>
          <w:sz w:val="18"/>
          <w:szCs w:val="18"/>
          <w:lang w:val="en-AU"/>
        </w:rPr>
        <w:footnoteRef/>
      </w:r>
      <w:r w:rsidRPr="004B3955">
        <w:rPr>
          <w:sz w:val="18"/>
          <w:szCs w:val="18"/>
          <w:lang w:val="en-AU"/>
        </w:rPr>
        <w:t xml:space="preserve"> I F Fletcher and B Wessels, “Transnational Insolvency: Global Principles for Cooperation in International Insolvency Cases” (Report, </w:t>
      </w:r>
      <w:r w:rsidRPr="004B3955">
        <w:rPr>
          <w:i/>
          <w:iCs/>
          <w:sz w:val="18"/>
          <w:szCs w:val="18"/>
          <w:lang w:val="en-AU"/>
        </w:rPr>
        <w:t>The American Law Institute and the International Insolvency Institute</w:t>
      </w:r>
      <w:r w:rsidRPr="004B3955">
        <w:rPr>
          <w:sz w:val="18"/>
          <w:szCs w:val="18"/>
          <w:lang w:val="en-AU"/>
        </w:rPr>
        <w:t>, 20 March 2012), p x</w:t>
      </w:r>
      <w:r w:rsidR="004D6315" w:rsidRPr="004B3955">
        <w:rPr>
          <w:sz w:val="18"/>
          <w:szCs w:val="18"/>
          <w:lang w:val="en-AU"/>
        </w:rPr>
        <w:t>lv</w:t>
      </w:r>
      <w:r w:rsidRPr="004B3955">
        <w:rPr>
          <w:sz w:val="18"/>
          <w:szCs w:val="18"/>
          <w:lang w:val="en-AU"/>
        </w:rPr>
        <w:t>ii.</w:t>
      </w:r>
    </w:p>
  </w:footnote>
  <w:footnote w:id="64">
    <w:p w14:paraId="2DA2A4F8" w14:textId="7B046B51" w:rsidR="00A253F5" w:rsidRPr="004B3955" w:rsidRDefault="00A253F5" w:rsidP="00A253F5">
      <w:pPr>
        <w:pStyle w:val="FootnoteText"/>
        <w:rPr>
          <w:lang w:val="en-AU"/>
        </w:rPr>
      </w:pPr>
      <w:r w:rsidRPr="004B3955">
        <w:rPr>
          <w:rStyle w:val="FootnoteReference"/>
          <w:sz w:val="18"/>
          <w:szCs w:val="18"/>
          <w:lang w:val="en-AU"/>
        </w:rPr>
        <w:footnoteRef/>
      </w:r>
      <w:r w:rsidRPr="004B3955">
        <w:rPr>
          <w:sz w:val="18"/>
          <w:szCs w:val="18"/>
          <w:lang w:val="en-AU"/>
        </w:rPr>
        <w:t xml:space="preserve"> &lt;https://uncitral.un.org/en/texts/insolvency/modellaw/cross-border_insolvency/status&gt; (accessed 15</w:t>
      </w:r>
      <w:r w:rsidR="002C7B5D" w:rsidRPr="004B3955">
        <w:rPr>
          <w:sz w:val="18"/>
          <w:szCs w:val="18"/>
          <w:lang w:val="en-AU"/>
        </w:rPr>
        <w:t xml:space="preserve"> November </w:t>
      </w:r>
      <w:r w:rsidRPr="004B3955">
        <w:rPr>
          <w:sz w:val="18"/>
          <w:szCs w:val="18"/>
          <w:lang w:val="en-AU"/>
        </w:rPr>
        <w:t>2022).</w:t>
      </w:r>
    </w:p>
  </w:footnote>
  <w:footnote w:id="65">
    <w:p w14:paraId="3C381069" w14:textId="29312D9F" w:rsidR="00371899" w:rsidRPr="004B3955" w:rsidRDefault="00371899">
      <w:pPr>
        <w:pStyle w:val="FootnoteText"/>
        <w:rPr>
          <w:lang w:val="en-AU"/>
        </w:rPr>
      </w:pPr>
      <w:r w:rsidRPr="004B3955">
        <w:rPr>
          <w:rStyle w:val="FootnoteReference"/>
          <w:sz w:val="18"/>
          <w:szCs w:val="18"/>
          <w:lang w:val="en-AU"/>
        </w:rPr>
        <w:footnoteRef/>
      </w:r>
      <w:r w:rsidRPr="004B3955">
        <w:rPr>
          <w:sz w:val="18"/>
          <w:szCs w:val="18"/>
          <w:lang w:val="en-AU"/>
        </w:rPr>
        <w:t xml:space="preserve"> See generally S Chandra Mohan, “Cross-Border Insolvency Problems: Is the UNCITRAL Model Law the Answer?” (2012) 21 </w:t>
      </w:r>
      <w:r w:rsidRPr="004B3955">
        <w:rPr>
          <w:i/>
          <w:iCs/>
          <w:sz w:val="18"/>
          <w:szCs w:val="18"/>
          <w:lang w:val="en-AU"/>
        </w:rPr>
        <w:t xml:space="preserve">Int </w:t>
      </w:r>
      <w:proofErr w:type="spellStart"/>
      <w:r w:rsidRPr="004B3955">
        <w:rPr>
          <w:i/>
          <w:iCs/>
          <w:sz w:val="18"/>
          <w:szCs w:val="18"/>
          <w:lang w:val="en-AU"/>
        </w:rPr>
        <w:t>Insolv</w:t>
      </w:r>
      <w:proofErr w:type="spellEnd"/>
      <w:r w:rsidRPr="004B3955">
        <w:rPr>
          <w:i/>
          <w:iCs/>
          <w:sz w:val="18"/>
          <w:szCs w:val="18"/>
          <w:lang w:val="en-AU"/>
        </w:rPr>
        <w:t xml:space="preserve"> Rev</w:t>
      </w:r>
      <w:r w:rsidRPr="004B3955">
        <w:rPr>
          <w:sz w:val="18"/>
          <w:szCs w:val="18"/>
          <w:lang w:val="en-AU"/>
        </w:rPr>
        <w:t xml:space="preserve"> 199</w:t>
      </w:r>
      <w:r w:rsidR="00050B16" w:rsidRPr="004B3955">
        <w:rPr>
          <w:sz w:val="18"/>
          <w:szCs w:val="18"/>
          <w:lang w:val="en-AU"/>
        </w:rPr>
        <w:t xml:space="preserve">. </w:t>
      </w:r>
    </w:p>
  </w:footnote>
  <w:footnote w:id="66">
    <w:p w14:paraId="4B8EB6F8" w14:textId="5C9D1C53" w:rsidR="00211B80" w:rsidRPr="004B3955" w:rsidRDefault="00211B80">
      <w:pPr>
        <w:pStyle w:val="FootnoteText"/>
        <w:rPr>
          <w:sz w:val="18"/>
          <w:szCs w:val="18"/>
          <w:lang w:val="en-AU"/>
        </w:rPr>
      </w:pPr>
      <w:r w:rsidRPr="004B3955">
        <w:rPr>
          <w:rStyle w:val="FootnoteReference"/>
          <w:sz w:val="16"/>
          <w:szCs w:val="16"/>
          <w:lang w:val="en-AU"/>
        </w:rPr>
        <w:footnoteRef/>
      </w:r>
      <w:r w:rsidR="006F6262" w:rsidRPr="004B3955">
        <w:rPr>
          <w:sz w:val="18"/>
          <w:szCs w:val="18"/>
          <w:lang w:val="en-AU"/>
        </w:rPr>
        <w:t xml:space="preserve"> </w:t>
      </w:r>
      <w:r w:rsidR="00E01E30" w:rsidRPr="004B3955">
        <w:rPr>
          <w:sz w:val="18"/>
          <w:szCs w:val="18"/>
          <w:lang w:val="en-AU"/>
        </w:rPr>
        <w:t xml:space="preserve">I </w:t>
      </w:r>
      <w:proofErr w:type="spellStart"/>
      <w:r w:rsidR="00E01E30" w:rsidRPr="004B3955">
        <w:rPr>
          <w:sz w:val="18"/>
          <w:szCs w:val="18"/>
          <w:lang w:val="en-AU"/>
        </w:rPr>
        <w:t>Mevorach</w:t>
      </w:r>
      <w:proofErr w:type="spellEnd"/>
      <w:r w:rsidR="00E01E30" w:rsidRPr="004B3955">
        <w:rPr>
          <w:sz w:val="18"/>
          <w:szCs w:val="18"/>
          <w:lang w:val="en-AU"/>
        </w:rPr>
        <w:t xml:space="preserve">, </w:t>
      </w:r>
      <w:r w:rsidR="00E01E30" w:rsidRPr="004B3955">
        <w:rPr>
          <w:i/>
          <w:iCs/>
          <w:sz w:val="18"/>
          <w:szCs w:val="18"/>
          <w:lang w:val="en-AU"/>
        </w:rPr>
        <w:t>The Future of Cross-Border Insolvency: Overcoming Biases and Closing Gaps</w:t>
      </w:r>
      <w:r w:rsidR="00E01E30" w:rsidRPr="004B3955">
        <w:rPr>
          <w:sz w:val="18"/>
          <w:szCs w:val="18"/>
          <w:lang w:val="en-AU"/>
        </w:rPr>
        <w:t xml:space="preserve"> (Oxford University Press, 2018), page </w:t>
      </w:r>
      <w:r w:rsidR="0046572B" w:rsidRPr="004B3955">
        <w:rPr>
          <w:sz w:val="18"/>
          <w:szCs w:val="18"/>
          <w:lang w:val="en-AU"/>
        </w:rPr>
        <w:t>45,</w:t>
      </w:r>
      <w:r w:rsidR="00E01E30" w:rsidRPr="004B3955">
        <w:rPr>
          <w:sz w:val="18"/>
          <w:szCs w:val="18"/>
          <w:lang w:val="en-AU"/>
        </w:rPr>
        <w:t xml:space="preserve"> </w:t>
      </w:r>
      <w:r w:rsidR="006F6262" w:rsidRPr="004B3955">
        <w:rPr>
          <w:sz w:val="18"/>
          <w:szCs w:val="18"/>
          <w:lang w:val="en-AU"/>
        </w:rPr>
        <w:t>Chapter 4, section 4.2.2.</w:t>
      </w:r>
    </w:p>
  </w:footnote>
  <w:footnote w:id="67">
    <w:p w14:paraId="408427B4" w14:textId="77777777" w:rsidR="00950AA5" w:rsidRPr="004B3955" w:rsidRDefault="00950AA5" w:rsidP="00950AA5">
      <w:pPr>
        <w:pStyle w:val="FootnoteText"/>
        <w:rPr>
          <w:lang w:val="en-AU"/>
        </w:rPr>
      </w:pPr>
      <w:r w:rsidRPr="004B3955">
        <w:rPr>
          <w:rStyle w:val="FootnoteReference"/>
          <w:sz w:val="18"/>
          <w:szCs w:val="18"/>
          <w:lang w:val="en-AU"/>
        </w:rPr>
        <w:footnoteRef/>
      </w:r>
      <w:r w:rsidRPr="004B3955">
        <w:rPr>
          <w:sz w:val="18"/>
          <w:szCs w:val="18"/>
          <w:lang w:val="en-AU"/>
        </w:rPr>
        <w:t xml:space="preserve"> Harold S. Burman, </w:t>
      </w:r>
      <w:r w:rsidRPr="004B3955">
        <w:rPr>
          <w:i/>
          <w:iCs/>
          <w:sz w:val="18"/>
          <w:szCs w:val="18"/>
          <w:lang w:val="en-AU"/>
        </w:rPr>
        <w:t>Harmonization of International Bankruptcy Law: A United States Perspective</w:t>
      </w:r>
      <w:r w:rsidRPr="004B3955">
        <w:rPr>
          <w:sz w:val="18"/>
          <w:szCs w:val="18"/>
          <w:lang w:val="en-AU"/>
        </w:rPr>
        <w:t>,</w:t>
      </w:r>
      <w:r w:rsidRPr="004B3955">
        <w:rPr>
          <w:i/>
          <w:iCs/>
          <w:sz w:val="18"/>
          <w:szCs w:val="18"/>
          <w:lang w:val="en-AU"/>
        </w:rPr>
        <w:t xml:space="preserve"> </w:t>
      </w:r>
      <w:r w:rsidRPr="004B3955">
        <w:rPr>
          <w:sz w:val="18"/>
          <w:szCs w:val="18"/>
          <w:lang w:val="en-AU"/>
        </w:rPr>
        <w:t>64 Fordham Law Review 2543 (1996), 2556.</w:t>
      </w:r>
    </w:p>
  </w:footnote>
  <w:footnote w:id="68">
    <w:p w14:paraId="74764878" w14:textId="77777777" w:rsidR="00223571" w:rsidRPr="004B3955" w:rsidRDefault="00223571" w:rsidP="00223571">
      <w:pPr>
        <w:pStyle w:val="FootnoteText"/>
        <w:rPr>
          <w:lang w:val="en-AU"/>
        </w:rPr>
      </w:pPr>
      <w:r w:rsidRPr="004B3955">
        <w:rPr>
          <w:rStyle w:val="FootnoteReference"/>
          <w:sz w:val="18"/>
          <w:szCs w:val="18"/>
          <w:lang w:val="en-AU"/>
        </w:rPr>
        <w:footnoteRef/>
      </w:r>
      <w:r w:rsidRPr="004B3955">
        <w:rPr>
          <w:sz w:val="18"/>
          <w:szCs w:val="18"/>
          <w:lang w:val="en-AU"/>
        </w:rPr>
        <w:t xml:space="preserve"> &lt;https://www.ohada.org/en/organizing-simplified-recovery-procedures-and-measures-of-execution/&gt; (accessed 13 November 2022).</w:t>
      </w:r>
    </w:p>
  </w:footnote>
  <w:footnote w:id="69">
    <w:p w14:paraId="78C71ACD" w14:textId="77777777" w:rsidR="00223571" w:rsidRPr="004B3955" w:rsidRDefault="00223571" w:rsidP="00223571">
      <w:pPr>
        <w:pStyle w:val="FootnoteText"/>
        <w:rPr>
          <w:lang w:val="en-AU"/>
        </w:rPr>
      </w:pPr>
      <w:r w:rsidRPr="004B3955">
        <w:rPr>
          <w:rStyle w:val="FootnoteReference"/>
          <w:sz w:val="18"/>
          <w:szCs w:val="18"/>
          <w:lang w:val="en-AU"/>
        </w:rPr>
        <w:footnoteRef/>
      </w:r>
      <w:r w:rsidRPr="004B3955">
        <w:rPr>
          <w:sz w:val="18"/>
          <w:szCs w:val="18"/>
          <w:lang w:val="en-AU"/>
        </w:rPr>
        <w:t xml:space="preserve"> &lt;https://www.ohada.org/en/insolvency-law/&gt; (accessed 13 November 2022).</w:t>
      </w:r>
    </w:p>
  </w:footnote>
  <w:footnote w:id="70">
    <w:p w14:paraId="095C2A61" w14:textId="77777777" w:rsidR="00223571" w:rsidRPr="004B3955" w:rsidRDefault="00223571" w:rsidP="00223571">
      <w:pPr>
        <w:pStyle w:val="FootnoteText"/>
        <w:rPr>
          <w:lang w:val="en-AU"/>
        </w:rPr>
      </w:pPr>
      <w:r w:rsidRPr="004B3955">
        <w:rPr>
          <w:rStyle w:val="FootnoteReference"/>
          <w:sz w:val="18"/>
          <w:szCs w:val="18"/>
          <w:lang w:val="en-AU"/>
        </w:rPr>
        <w:footnoteRef/>
      </w:r>
      <w:r w:rsidRPr="004B3955">
        <w:rPr>
          <w:sz w:val="18"/>
          <w:szCs w:val="18"/>
          <w:lang w:val="en-AU"/>
        </w:rPr>
        <w:t xml:space="preserve"> &lt;https://www.ohada.org/en/state-members/&gt; (accessed 13 November 2022).</w:t>
      </w:r>
    </w:p>
  </w:footnote>
  <w:footnote w:id="71">
    <w:p w14:paraId="78B09056" w14:textId="277709D1" w:rsidR="00061F66" w:rsidRPr="004B3955" w:rsidRDefault="00061F66">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06555B" w:rsidRPr="004B3955">
        <w:rPr>
          <w:sz w:val="18"/>
          <w:szCs w:val="18"/>
          <w:lang w:val="en-AU"/>
        </w:rPr>
        <w:t xml:space="preserve">I F Fletcher, </w:t>
      </w:r>
      <w:r w:rsidR="0006555B" w:rsidRPr="004B3955">
        <w:rPr>
          <w:i/>
          <w:iCs/>
          <w:sz w:val="18"/>
          <w:szCs w:val="18"/>
          <w:lang w:val="en-AU"/>
        </w:rPr>
        <w:t xml:space="preserve">Insolvency in Private International Law – National and International Approaches </w:t>
      </w:r>
      <w:r w:rsidR="0006555B" w:rsidRPr="004B3955">
        <w:rPr>
          <w:sz w:val="18"/>
          <w:szCs w:val="18"/>
          <w:lang w:val="en-AU"/>
        </w:rPr>
        <w:t>(Oxford University Press, 2</w:t>
      </w:r>
      <w:r w:rsidR="0006555B" w:rsidRPr="004B3955">
        <w:rPr>
          <w:sz w:val="18"/>
          <w:szCs w:val="18"/>
          <w:vertAlign w:val="superscript"/>
          <w:lang w:val="en-AU"/>
        </w:rPr>
        <w:t>nd</w:t>
      </w:r>
      <w:r w:rsidR="0006555B" w:rsidRPr="004B3955">
        <w:rPr>
          <w:sz w:val="18"/>
          <w:szCs w:val="18"/>
          <w:lang w:val="en-AU"/>
        </w:rPr>
        <w:t xml:space="preserve"> </w:t>
      </w:r>
      <w:r w:rsidR="0018746B" w:rsidRPr="004B3955">
        <w:rPr>
          <w:sz w:val="18"/>
          <w:szCs w:val="18"/>
          <w:lang w:val="en-AU"/>
        </w:rPr>
        <w:t>ed, 2005), page</w:t>
      </w:r>
      <w:r w:rsidR="00D5322E" w:rsidRPr="004B3955">
        <w:rPr>
          <w:sz w:val="18"/>
          <w:szCs w:val="18"/>
          <w:lang w:val="en-AU"/>
        </w:rPr>
        <w:t>s 11-17.</w:t>
      </w:r>
    </w:p>
  </w:footnote>
  <w:footnote w:id="72">
    <w:p w14:paraId="73F5AE15" w14:textId="77777777" w:rsidR="00C101C5" w:rsidRPr="004B3955" w:rsidRDefault="00C101C5" w:rsidP="00C101C5">
      <w:pPr>
        <w:pStyle w:val="FootnoteText"/>
        <w:rPr>
          <w:lang w:val="en-AU"/>
        </w:rPr>
      </w:pPr>
      <w:r w:rsidRPr="004B3955">
        <w:rPr>
          <w:rStyle w:val="FootnoteReference"/>
          <w:sz w:val="18"/>
          <w:szCs w:val="18"/>
          <w:lang w:val="en-AU"/>
        </w:rPr>
        <w:footnoteRef/>
      </w:r>
      <w:r w:rsidRPr="004B3955">
        <w:rPr>
          <w:sz w:val="18"/>
          <w:szCs w:val="18"/>
          <w:lang w:val="en-AU"/>
        </w:rPr>
        <w:t xml:space="preserve"> Ibid, p xliv.</w:t>
      </w:r>
    </w:p>
  </w:footnote>
  <w:footnote w:id="73">
    <w:p w14:paraId="76B46525" w14:textId="66464189" w:rsidR="00ED3BD6" w:rsidRPr="004B3955" w:rsidRDefault="00ED3BD6">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646F7B" w:rsidRPr="004B3955">
        <w:rPr>
          <w:sz w:val="18"/>
          <w:szCs w:val="18"/>
          <w:lang w:val="en-AU"/>
        </w:rPr>
        <w:t>I am adopting the definition of insolvency proceeding</w:t>
      </w:r>
      <w:r w:rsidR="007E227D" w:rsidRPr="004B3955">
        <w:rPr>
          <w:sz w:val="18"/>
          <w:szCs w:val="18"/>
          <w:lang w:val="en-AU"/>
        </w:rPr>
        <w:t>s</w:t>
      </w:r>
      <w:r w:rsidR="00646F7B" w:rsidRPr="004B3955">
        <w:rPr>
          <w:sz w:val="18"/>
          <w:szCs w:val="18"/>
          <w:lang w:val="en-AU"/>
        </w:rPr>
        <w:t xml:space="preserve"> on page 30 of the course material, but also include formal </w:t>
      </w:r>
      <w:r w:rsidR="00D420A4" w:rsidRPr="004B3955">
        <w:rPr>
          <w:sz w:val="18"/>
          <w:szCs w:val="18"/>
          <w:lang w:val="en-AU"/>
        </w:rPr>
        <w:t>member</w:t>
      </w:r>
      <w:r w:rsidR="007E227D" w:rsidRPr="004B3955">
        <w:rPr>
          <w:sz w:val="18"/>
          <w:szCs w:val="18"/>
          <w:lang w:val="en-AU"/>
        </w:rPr>
        <w:t>-initiated</w:t>
      </w:r>
      <w:r w:rsidR="00D420A4" w:rsidRPr="004B3955">
        <w:rPr>
          <w:sz w:val="18"/>
          <w:szCs w:val="18"/>
          <w:lang w:val="en-AU"/>
        </w:rPr>
        <w:t xml:space="preserve"> or director-initiated external administration appointments where an insolvency representative is appointed</w:t>
      </w:r>
      <w:r w:rsidR="00646F7B" w:rsidRPr="004B3955">
        <w:rPr>
          <w:sz w:val="18"/>
          <w:szCs w:val="18"/>
          <w:lang w:val="en-AU"/>
        </w:rPr>
        <w:t>.</w:t>
      </w:r>
      <w:r w:rsidR="00D420A4" w:rsidRPr="004B3955">
        <w:rPr>
          <w:sz w:val="18"/>
          <w:szCs w:val="18"/>
          <w:lang w:val="en-AU"/>
        </w:rPr>
        <w:t xml:space="preserve"> </w:t>
      </w:r>
      <w:r w:rsidR="00F04DA5" w:rsidRPr="004B3955">
        <w:rPr>
          <w:sz w:val="18"/>
          <w:szCs w:val="18"/>
          <w:lang w:val="en-AU"/>
        </w:rPr>
        <w:t xml:space="preserve">For example, in Australia, directors of a </w:t>
      </w:r>
      <w:r w:rsidR="007E227D" w:rsidRPr="004B3955">
        <w:rPr>
          <w:sz w:val="18"/>
          <w:szCs w:val="18"/>
          <w:lang w:val="en-AU"/>
        </w:rPr>
        <w:t>c</w:t>
      </w:r>
      <w:r w:rsidR="00F04DA5" w:rsidRPr="004B3955">
        <w:rPr>
          <w:sz w:val="18"/>
          <w:szCs w:val="18"/>
          <w:lang w:val="en-AU"/>
        </w:rPr>
        <w:t>ompany can appoint a Voluntary Administrator by resolution,</w:t>
      </w:r>
      <w:r w:rsidR="00AF73D5" w:rsidRPr="004B3955">
        <w:rPr>
          <w:sz w:val="18"/>
          <w:szCs w:val="18"/>
          <w:lang w:val="en-AU"/>
        </w:rPr>
        <w:t xml:space="preserve"> pursuant to s 43</w:t>
      </w:r>
      <w:r w:rsidR="007E227D" w:rsidRPr="004B3955">
        <w:rPr>
          <w:sz w:val="18"/>
          <w:szCs w:val="18"/>
          <w:lang w:val="en-AU"/>
        </w:rPr>
        <w:t>6</w:t>
      </w:r>
      <w:r w:rsidR="00AF73D5" w:rsidRPr="004B3955">
        <w:rPr>
          <w:sz w:val="18"/>
          <w:szCs w:val="18"/>
          <w:lang w:val="en-AU"/>
        </w:rPr>
        <w:t>A</w:t>
      </w:r>
      <w:r w:rsidR="007E227D" w:rsidRPr="004B3955">
        <w:rPr>
          <w:sz w:val="18"/>
          <w:szCs w:val="18"/>
          <w:lang w:val="en-AU"/>
        </w:rPr>
        <w:t>(1)</w:t>
      </w:r>
      <w:r w:rsidR="00AF73D5" w:rsidRPr="004B3955">
        <w:rPr>
          <w:sz w:val="18"/>
          <w:szCs w:val="18"/>
          <w:lang w:val="en-AU"/>
        </w:rPr>
        <w:t xml:space="preserve"> of the </w:t>
      </w:r>
      <w:bookmarkStart w:id="4" w:name="_Hlk119418030"/>
      <w:r w:rsidR="00AF73D5" w:rsidRPr="004B3955">
        <w:rPr>
          <w:i/>
          <w:iCs/>
          <w:sz w:val="18"/>
          <w:szCs w:val="18"/>
          <w:lang w:val="en-AU"/>
        </w:rPr>
        <w:t>Corporations Act 2001</w:t>
      </w:r>
      <w:r w:rsidR="00AF73D5" w:rsidRPr="004B3955">
        <w:rPr>
          <w:sz w:val="18"/>
          <w:szCs w:val="18"/>
          <w:lang w:val="en-AU"/>
        </w:rPr>
        <w:t xml:space="preserve"> (</w:t>
      </w:r>
      <w:proofErr w:type="spellStart"/>
      <w:r w:rsidR="00AF73D5" w:rsidRPr="004B3955">
        <w:rPr>
          <w:sz w:val="18"/>
          <w:szCs w:val="18"/>
          <w:lang w:val="en-AU"/>
        </w:rPr>
        <w:t>Cth</w:t>
      </w:r>
      <w:proofErr w:type="spellEnd"/>
      <w:r w:rsidR="00AF73D5" w:rsidRPr="004B3955">
        <w:rPr>
          <w:sz w:val="18"/>
          <w:szCs w:val="18"/>
          <w:lang w:val="en-AU"/>
        </w:rPr>
        <w:t xml:space="preserve">). </w:t>
      </w:r>
      <w:bookmarkEnd w:id="4"/>
      <w:r w:rsidR="00AF73D5" w:rsidRPr="004B3955">
        <w:rPr>
          <w:sz w:val="18"/>
          <w:szCs w:val="18"/>
          <w:lang w:val="en-AU"/>
        </w:rPr>
        <w:t xml:space="preserve">Although a court is not required to commence this Voluntary Administration process, it is still </w:t>
      </w:r>
      <w:r w:rsidR="00B34C34" w:rsidRPr="004B3955">
        <w:rPr>
          <w:sz w:val="18"/>
          <w:szCs w:val="18"/>
          <w:lang w:val="en-AU"/>
        </w:rPr>
        <w:t xml:space="preserve">regarded as a formal external administration appointment. </w:t>
      </w:r>
    </w:p>
  </w:footnote>
  <w:footnote w:id="74">
    <w:p w14:paraId="7E4EF92A" w14:textId="18B729C4" w:rsidR="00E85915" w:rsidRPr="004B3955" w:rsidRDefault="00E85915">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79460E" w:rsidRPr="004B3955">
        <w:rPr>
          <w:sz w:val="18"/>
          <w:szCs w:val="18"/>
          <w:lang w:val="en-AU"/>
        </w:rPr>
        <w:t>UNCITRAL Legislative Guide on Insolvency Law 2004 Part 1, page 9.</w:t>
      </w:r>
    </w:p>
  </w:footnote>
  <w:footnote w:id="75">
    <w:p w14:paraId="7308B9F0" w14:textId="65F0383C" w:rsidR="00687685" w:rsidRPr="004B3955" w:rsidRDefault="00687685">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C02380" w:rsidRPr="004B3955">
        <w:rPr>
          <w:sz w:val="18"/>
          <w:szCs w:val="18"/>
          <w:lang w:val="en-AU"/>
        </w:rPr>
        <w:t xml:space="preserve">See generally Part 5.3B of the </w:t>
      </w:r>
      <w:r w:rsidR="00C02380" w:rsidRPr="004B3955">
        <w:rPr>
          <w:i/>
          <w:iCs/>
          <w:sz w:val="18"/>
          <w:szCs w:val="18"/>
          <w:lang w:val="en-AU"/>
        </w:rPr>
        <w:t>Corporations Act 2001</w:t>
      </w:r>
      <w:r w:rsidR="00C02380" w:rsidRPr="004B3955">
        <w:rPr>
          <w:sz w:val="18"/>
          <w:szCs w:val="18"/>
          <w:lang w:val="en-AU"/>
        </w:rPr>
        <w:t xml:space="preserve"> (</w:t>
      </w:r>
      <w:proofErr w:type="spellStart"/>
      <w:r w:rsidR="00C02380" w:rsidRPr="004B3955">
        <w:rPr>
          <w:sz w:val="18"/>
          <w:szCs w:val="18"/>
          <w:lang w:val="en-AU"/>
        </w:rPr>
        <w:t>Cth</w:t>
      </w:r>
      <w:proofErr w:type="spellEnd"/>
      <w:r w:rsidR="00C02380" w:rsidRPr="004B3955">
        <w:rPr>
          <w:sz w:val="18"/>
          <w:szCs w:val="18"/>
          <w:lang w:val="en-AU"/>
        </w:rPr>
        <w:t>).</w:t>
      </w:r>
    </w:p>
  </w:footnote>
  <w:footnote w:id="76">
    <w:p w14:paraId="3680C652" w14:textId="2EDAF13F" w:rsidR="0079460E" w:rsidRPr="004B3955" w:rsidRDefault="0079460E">
      <w:pPr>
        <w:pStyle w:val="FootnoteText"/>
        <w:rPr>
          <w:lang w:val="en-AU"/>
        </w:rPr>
      </w:pPr>
      <w:r w:rsidRPr="004B3955">
        <w:rPr>
          <w:rStyle w:val="FootnoteReference"/>
          <w:lang w:val="en-AU"/>
        </w:rPr>
        <w:footnoteRef/>
      </w:r>
      <w:r w:rsidRPr="004B3955">
        <w:rPr>
          <w:lang w:val="en-AU"/>
        </w:rPr>
        <w:t xml:space="preserve"> </w:t>
      </w:r>
      <w:r w:rsidRPr="004B3955">
        <w:rPr>
          <w:sz w:val="18"/>
          <w:szCs w:val="18"/>
          <w:lang w:val="en-AU"/>
        </w:rPr>
        <w:t xml:space="preserve">UNCITRAL Legislative Guide on Insolvency Law 2004 Part 1, pages </w:t>
      </w:r>
      <w:r w:rsidR="00597D8F" w:rsidRPr="004B3955">
        <w:rPr>
          <w:sz w:val="18"/>
          <w:szCs w:val="18"/>
          <w:lang w:val="en-AU"/>
        </w:rPr>
        <w:t xml:space="preserve">7, </w:t>
      </w:r>
      <w:r w:rsidRPr="004B3955">
        <w:rPr>
          <w:sz w:val="18"/>
          <w:szCs w:val="18"/>
          <w:lang w:val="en-AU"/>
        </w:rPr>
        <w:t>9-10</w:t>
      </w:r>
      <w:r w:rsidR="00DE0EC9" w:rsidRPr="004B3955">
        <w:rPr>
          <w:sz w:val="18"/>
          <w:szCs w:val="18"/>
          <w:lang w:val="en-AU"/>
        </w:rPr>
        <w:t>, 21</w:t>
      </w:r>
      <w:r w:rsidR="00976C19" w:rsidRPr="004B3955">
        <w:rPr>
          <w:sz w:val="18"/>
          <w:szCs w:val="18"/>
          <w:lang w:val="en-AU"/>
        </w:rPr>
        <w:t xml:space="preserve"> and 238</w:t>
      </w:r>
      <w:r w:rsidRPr="004B3955">
        <w:rPr>
          <w:sz w:val="18"/>
          <w:szCs w:val="18"/>
          <w:lang w:val="en-AU"/>
        </w:rPr>
        <w:t>.</w:t>
      </w:r>
    </w:p>
  </w:footnote>
  <w:footnote w:id="77">
    <w:p w14:paraId="2A0831ED" w14:textId="37672BA3" w:rsidR="00EE492C" w:rsidRPr="004B3955" w:rsidRDefault="00EE492C">
      <w:pPr>
        <w:pStyle w:val="FootnoteText"/>
        <w:rPr>
          <w:lang w:val="en-AU"/>
        </w:rPr>
      </w:pPr>
      <w:r w:rsidRPr="004B3955">
        <w:rPr>
          <w:rStyle w:val="FootnoteReference"/>
          <w:sz w:val="18"/>
          <w:szCs w:val="18"/>
          <w:lang w:val="en-AU"/>
        </w:rPr>
        <w:footnoteRef/>
      </w:r>
      <w:r w:rsidRPr="004B3955">
        <w:rPr>
          <w:sz w:val="18"/>
          <w:szCs w:val="18"/>
          <w:lang w:val="en-AU"/>
        </w:rPr>
        <w:t xml:space="preserve"> I use this word in the </w:t>
      </w:r>
      <w:r w:rsidR="003F1CFE" w:rsidRPr="004B3955">
        <w:rPr>
          <w:sz w:val="18"/>
          <w:szCs w:val="18"/>
          <w:lang w:val="en-AU"/>
        </w:rPr>
        <w:t xml:space="preserve">Australian sense, not the United Kingdom </w:t>
      </w:r>
      <w:r w:rsidR="006E1945" w:rsidRPr="004B3955">
        <w:rPr>
          <w:sz w:val="18"/>
          <w:szCs w:val="18"/>
          <w:lang w:val="en-AU"/>
        </w:rPr>
        <w:t>sense</w:t>
      </w:r>
      <w:r w:rsidR="003F1CFE" w:rsidRPr="004B3955">
        <w:rPr>
          <w:sz w:val="18"/>
          <w:szCs w:val="18"/>
          <w:lang w:val="en-AU"/>
        </w:rPr>
        <w:t xml:space="preserve">. In Australia, many small business owners are approached by unlicenced </w:t>
      </w:r>
      <w:r w:rsidR="006E1945" w:rsidRPr="004B3955">
        <w:rPr>
          <w:sz w:val="18"/>
          <w:szCs w:val="18"/>
          <w:lang w:val="en-AU"/>
        </w:rPr>
        <w:t>pre-insolvency advisors to conduct these pre-packs, which can lead to illegal phoenix allegations.</w:t>
      </w:r>
      <w:r w:rsidR="006E1945" w:rsidRPr="004B3955">
        <w:rPr>
          <w:lang w:val="en-AU"/>
        </w:rPr>
        <w:t xml:space="preserve"> </w:t>
      </w:r>
      <w:r w:rsidRPr="004B3955">
        <w:rPr>
          <w:lang w:val="en-AU"/>
        </w:rPr>
        <w:t xml:space="preserve"> </w:t>
      </w:r>
    </w:p>
  </w:footnote>
  <w:footnote w:id="78">
    <w:p w14:paraId="1D2BEDE5" w14:textId="64343F5B" w:rsidR="008A4861" w:rsidRPr="00E5618B" w:rsidRDefault="008A4861" w:rsidP="00E5618B">
      <w:pPr>
        <w:rPr>
          <w:rFonts w:cstheme="minorHAnsi"/>
          <w:sz w:val="18"/>
          <w:szCs w:val="18"/>
        </w:rPr>
      </w:pPr>
      <w:r w:rsidRPr="00E5618B">
        <w:rPr>
          <w:rStyle w:val="FootnoteReference"/>
          <w:rFonts w:cstheme="minorHAnsi"/>
          <w:sz w:val="18"/>
          <w:szCs w:val="18"/>
          <w:lang w:val="en-AU"/>
        </w:rPr>
        <w:footnoteRef/>
      </w:r>
      <w:r w:rsidRPr="00E5618B">
        <w:rPr>
          <w:rFonts w:cstheme="minorHAnsi"/>
          <w:sz w:val="18"/>
          <w:szCs w:val="18"/>
          <w:lang w:val="en-AU"/>
        </w:rPr>
        <w:t xml:space="preserve"> </w:t>
      </w:r>
      <w:r w:rsidR="00E5618B" w:rsidRPr="00E5618B">
        <w:rPr>
          <w:rStyle w:val="Emphasis"/>
          <w:rFonts w:cstheme="minorHAnsi"/>
          <w:color w:val="231F20"/>
          <w:sz w:val="18"/>
          <w:szCs w:val="18"/>
          <w:shd w:val="clear" w:color="auto" w:fill="FFFFFF"/>
        </w:rPr>
        <w:t>Mighty River International Limited v Hughes</w:t>
      </w:r>
      <w:r w:rsidR="00E5618B" w:rsidRPr="00E5618B">
        <w:rPr>
          <w:rFonts w:cstheme="minorHAnsi"/>
          <w:color w:val="231F20"/>
          <w:sz w:val="18"/>
          <w:szCs w:val="18"/>
          <w:shd w:val="clear" w:color="auto" w:fill="FFFFFF"/>
        </w:rPr>
        <w:t> [2018] HCA 38</w:t>
      </w:r>
      <w:r w:rsidR="00E5618B" w:rsidRPr="00E5618B">
        <w:rPr>
          <w:rFonts w:cstheme="minorHAnsi"/>
          <w:color w:val="231F20"/>
          <w:sz w:val="18"/>
          <w:szCs w:val="18"/>
          <w:shd w:val="clear" w:color="auto" w:fill="FFFFFF"/>
        </w:rPr>
        <w:t>.</w:t>
      </w:r>
    </w:p>
  </w:footnote>
  <w:footnote w:id="79">
    <w:p w14:paraId="7F8DA535" w14:textId="21D16BE0" w:rsidR="00AA28AD" w:rsidRPr="004B3955" w:rsidRDefault="00AA28AD">
      <w:pPr>
        <w:pStyle w:val="FootnoteText"/>
        <w:rPr>
          <w:lang w:val="en-AU"/>
        </w:rPr>
      </w:pPr>
      <w:r w:rsidRPr="004B3955">
        <w:rPr>
          <w:rStyle w:val="FootnoteReference"/>
          <w:lang w:val="en-AU"/>
        </w:rPr>
        <w:footnoteRef/>
      </w:r>
      <w:r w:rsidRPr="004B3955">
        <w:rPr>
          <w:lang w:val="en-AU"/>
        </w:rPr>
        <w:t xml:space="preserve"> </w:t>
      </w:r>
      <w:r w:rsidRPr="004B3955">
        <w:rPr>
          <w:sz w:val="18"/>
          <w:szCs w:val="18"/>
          <w:lang w:val="en-AU"/>
        </w:rPr>
        <w:t>UNCITRAL Legislative Guide on Insolvency Law 2004 Part 1, pages 22-23.</w:t>
      </w:r>
    </w:p>
  </w:footnote>
  <w:footnote w:id="80">
    <w:p w14:paraId="6FE9A8F1" w14:textId="1ED4FE77" w:rsidR="00F419F6" w:rsidRPr="004B3955" w:rsidRDefault="00F419F6">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Pr="004B3955">
        <w:rPr>
          <w:i/>
          <w:iCs/>
          <w:sz w:val="18"/>
          <w:szCs w:val="18"/>
          <w:lang w:val="en-AU"/>
        </w:rPr>
        <w:t>UNCITRAL Legislative Guide on Insolvency Law 2004</w:t>
      </w:r>
      <w:r w:rsidRPr="004B3955">
        <w:rPr>
          <w:sz w:val="18"/>
          <w:szCs w:val="18"/>
          <w:lang w:val="en-AU"/>
        </w:rPr>
        <w:t xml:space="preserve"> Part 1, pages 24-2</w:t>
      </w:r>
      <w:r w:rsidR="00A535B7" w:rsidRPr="004B3955">
        <w:rPr>
          <w:sz w:val="18"/>
          <w:szCs w:val="18"/>
          <w:lang w:val="en-AU"/>
        </w:rPr>
        <w:t>6</w:t>
      </w:r>
      <w:r w:rsidRPr="004B3955">
        <w:rPr>
          <w:sz w:val="18"/>
          <w:szCs w:val="18"/>
          <w:lang w:val="en-AU"/>
        </w:rPr>
        <w:t>.</w:t>
      </w:r>
    </w:p>
  </w:footnote>
  <w:footnote w:id="81">
    <w:p w14:paraId="77A00F21" w14:textId="0C84EB8B" w:rsidR="0015021E" w:rsidRPr="004B3955" w:rsidRDefault="0015021E">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6F469B" w:rsidRPr="004B3955">
        <w:rPr>
          <w:sz w:val="18"/>
          <w:szCs w:val="18"/>
          <w:lang w:val="en-AU"/>
        </w:rPr>
        <w:t xml:space="preserve">MLA. Fisher, Roger, et al. </w:t>
      </w:r>
      <w:r w:rsidR="006F469B" w:rsidRPr="004B3955">
        <w:rPr>
          <w:i/>
          <w:iCs/>
          <w:sz w:val="18"/>
          <w:szCs w:val="18"/>
          <w:lang w:val="en-AU"/>
        </w:rPr>
        <w:t>Getting to Yes</w:t>
      </w:r>
      <w:r w:rsidR="006F469B" w:rsidRPr="004B3955">
        <w:rPr>
          <w:sz w:val="18"/>
          <w:szCs w:val="18"/>
          <w:lang w:val="en-AU"/>
        </w:rPr>
        <w:t>. 2nd ed., Penguin Putnam, 2006.</w:t>
      </w:r>
      <w:r w:rsidR="00372AE2" w:rsidRPr="004B3955">
        <w:rPr>
          <w:sz w:val="18"/>
          <w:szCs w:val="18"/>
          <w:lang w:val="en-AU"/>
        </w:rPr>
        <w:t xml:space="preserve"> WATNA means worst alternative to a negotiated agreement and BATNA means best alternative to a negotiated agreement.</w:t>
      </w:r>
    </w:p>
  </w:footnote>
  <w:footnote w:id="82">
    <w:p w14:paraId="4FDEC1A2" w14:textId="2EC151D6" w:rsidR="003D299A" w:rsidRPr="004B3955" w:rsidRDefault="003D299A">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Pr="004B3955">
        <w:rPr>
          <w:i/>
          <w:iCs/>
          <w:sz w:val="18"/>
          <w:szCs w:val="18"/>
          <w:lang w:val="en-AU"/>
        </w:rPr>
        <w:t>UNCITRAL Legislative Guide on Insolvency Law 2004</w:t>
      </w:r>
      <w:r w:rsidRPr="004B3955">
        <w:rPr>
          <w:sz w:val="18"/>
          <w:szCs w:val="18"/>
          <w:lang w:val="en-AU"/>
        </w:rPr>
        <w:t xml:space="preserve"> Part 1, pages 24-26</w:t>
      </w:r>
      <w:r w:rsidR="00E545FA" w:rsidRPr="004B3955">
        <w:rPr>
          <w:sz w:val="18"/>
          <w:szCs w:val="18"/>
          <w:lang w:val="en-AU"/>
        </w:rPr>
        <w:t xml:space="preserve">, </w:t>
      </w:r>
      <w:r w:rsidR="00973C27" w:rsidRPr="004B3955">
        <w:rPr>
          <w:sz w:val="18"/>
          <w:szCs w:val="18"/>
          <w:lang w:val="en-AU"/>
        </w:rPr>
        <w:t>29</w:t>
      </w:r>
      <w:r w:rsidR="00E545FA" w:rsidRPr="004B3955">
        <w:rPr>
          <w:sz w:val="18"/>
          <w:szCs w:val="18"/>
          <w:lang w:val="en-AU"/>
        </w:rPr>
        <w:t xml:space="preserve"> and 238</w:t>
      </w:r>
      <w:r w:rsidRPr="004B3955">
        <w:rPr>
          <w:sz w:val="18"/>
          <w:szCs w:val="18"/>
          <w:lang w:val="en-AU"/>
        </w:rPr>
        <w:t>.</w:t>
      </w:r>
    </w:p>
  </w:footnote>
  <w:footnote w:id="83">
    <w:p w14:paraId="32F62AFD" w14:textId="4210BE52" w:rsidR="005F437C" w:rsidRPr="004B3955" w:rsidRDefault="005F437C">
      <w:pPr>
        <w:pStyle w:val="FootnoteText"/>
        <w:rPr>
          <w:lang w:val="en-AU"/>
        </w:rPr>
      </w:pPr>
      <w:r w:rsidRPr="004B3955">
        <w:rPr>
          <w:rStyle w:val="FootnoteReference"/>
          <w:lang w:val="en-AU"/>
        </w:rPr>
        <w:footnoteRef/>
      </w:r>
      <w:r w:rsidRPr="004B3955">
        <w:rPr>
          <w:lang w:val="en-AU"/>
        </w:rPr>
        <w:t xml:space="preserve"> Ibid, </w:t>
      </w:r>
      <w:r w:rsidR="009767E8" w:rsidRPr="004B3955">
        <w:rPr>
          <w:lang w:val="en-AU"/>
        </w:rPr>
        <w:t>pages 21 to 22.</w:t>
      </w:r>
    </w:p>
  </w:footnote>
  <w:footnote w:id="84">
    <w:p w14:paraId="32778C06" w14:textId="32969600" w:rsidR="006D3DF6" w:rsidRPr="004B3955" w:rsidRDefault="006D3DF6" w:rsidP="006D3DF6">
      <w:pPr>
        <w:pStyle w:val="FootnoteText"/>
        <w:rPr>
          <w:lang w:val="en-AU"/>
        </w:rPr>
      </w:pPr>
      <w:r w:rsidRPr="004B3955">
        <w:rPr>
          <w:rStyle w:val="FootnoteReference"/>
          <w:sz w:val="18"/>
          <w:szCs w:val="18"/>
          <w:lang w:val="en-AU"/>
        </w:rPr>
        <w:footnoteRef/>
      </w:r>
      <w:r w:rsidRPr="004B3955">
        <w:rPr>
          <w:sz w:val="18"/>
          <w:szCs w:val="18"/>
          <w:lang w:val="en-AU"/>
        </w:rPr>
        <w:t xml:space="preserve"> I </w:t>
      </w:r>
      <w:r w:rsidR="0044074D" w:rsidRPr="004B3955">
        <w:rPr>
          <w:sz w:val="18"/>
          <w:szCs w:val="18"/>
          <w:lang w:val="en-AU"/>
        </w:rPr>
        <w:t>presume in my answer that the question is utilising</w:t>
      </w:r>
      <w:r w:rsidRPr="004B3955">
        <w:rPr>
          <w:sz w:val="18"/>
          <w:szCs w:val="18"/>
          <w:lang w:val="en-AU"/>
        </w:rPr>
        <w:t xml:space="preserve"> the definition of insolvency proceedings on page 30 of the course material. </w:t>
      </w:r>
    </w:p>
  </w:footnote>
  <w:footnote w:id="85">
    <w:p w14:paraId="36905F9B" w14:textId="3C71D07B" w:rsidR="00CA7A18" w:rsidRPr="004B3955" w:rsidRDefault="00CA7A18">
      <w:pPr>
        <w:pStyle w:val="FootnoteText"/>
        <w:rPr>
          <w:lang w:val="en-AU"/>
        </w:rPr>
      </w:pPr>
      <w:r w:rsidRPr="004B3955">
        <w:rPr>
          <w:rStyle w:val="FootnoteReference"/>
          <w:sz w:val="18"/>
          <w:szCs w:val="18"/>
          <w:lang w:val="en-AU"/>
        </w:rPr>
        <w:footnoteRef/>
      </w:r>
      <w:r w:rsidRPr="004B3955">
        <w:rPr>
          <w:sz w:val="18"/>
          <w:szCs w:val="18"/>
          <w:lang w:val="en-AU"/>
        </w:rPr>
        <w:t xml:space="preserve"> </w:t>
      </w:r>
      <w:r w:rsidR="00E8651A" w:rsidRPr="004B3955">
        <w:rPr>
          <w:sz w:val="18"/>
          <w:szCs w:val="18"/>
          <w:lang w:val="en-AU"/>
        </w:rPr>
        <w:t>Universality is a theory in which upon the commencement of an insolvency proceeding in a given country</w:t>
      </w:r>
      <w:r w:rsidR="00FB23C7" w:rsidRPr="004B3955">
        <w:rPr>
          <w:sz w:val="18"/>
          <w:szCs w:val="18"/>
          <w:lang w:val="en-AU"/>
        </w:rPr>
        <w:t xml:space="preserve"> (the </w:t>
      </w:r>
      <w:r w:rsidR="00FB23C7" w:rsidRPr="004B3955">
        <w:rPr>
          <w:i/>
          <w:iCs/>
          <w:sz w:val="18"/>
          <w:szCs w:val="18"/>
          <w:lang w:val="en-AU"/>
        </w:rPr>
        <w:t xml:space="preserve">lex </w:t>
      </w:r>
      <w:proofErr w:type="spellStart"/>
      <w:r w:rsidR="00FB23C7" w:rsidRPr="004B3955">
        <w:rPr>
          <w:i/>
          <w:iCs/>
          <w:sz w:val="18"/>
          <w:szCs w:val="18"/>
          <w:lang w:val="en-AU"/>
        </w:rPr>
        <w:t>fori</w:t>
      </w:r>
      <w:proofErr w:type="spellEnd"/>
      <w:r w:rsidR="00FB23C7" w:rsidRPr="004B3955">
        <w:rPr>
          <w:i/>
          <w:iCs/>
          <w:sz w:val="18"/>
          <w:szCs w:val="18"/>
          <w:lang w:val="en-AU"/>
        </w:rPr>
        <w:t xml:space="preserve"> concursus</w:t>
      </w:r>
      <w:r w:rsidR="00FB23C7" w:rsidRPr="004B3955">
        <w:rPr>
          <w:sz w:val="18"/>
          <w:szCs w:val="18"/>
          <w:lang w:val="en-AU"/>
        </w:rPr>
        <w:t>)</w:t>
      </w:r>
      <w:r w:rsidR="00E8651A" w:rsidRPr="004B3955">
        <w:rPr>
          <w:sz w:val="18"/>
          <w:szCs w:val="18"/>
          <w:lang w:val="en-AU"/>
        </w:rPr>
        <w:t xml:space="preserve">, no other proceedings or forms of execution against a debtors’ assets should be possible in any other country. The lex </w:t>
      </w:r>
      <w:proofErr w:type="spellStart"/>
      <w:r w:rsidR="00E8651A" w:rsidRPr="004B3955">
        <w:rPr>
          <w:sz w:val="18"/>
          <w:szCs w:val="18"/>
          <w:lang w:val="en-AU"/>
        </w:rPr>
        <w:t>fori</w:t>
      </w:r>
      <w:proofErr w:type="spellEnd"/>
      <w:r w:rsidR="00E8651A" w:rsidRPr="004B3955">
        <w:rPr>
          <w:sz w:val="18"/>
          <w:szCs w:val="18"/>
          <w:lang w:val="en-AU"/>
        </w:rPr>
        <w:t xml:space="preserve"> concursus may be determined by the choice of forum (</w:t>
      </w:r>
      <w:proofErr w:type="spellStart"/>
      <w:r w:rsidR="00E8651A" w:rsidRPr="004B3955">
        <w:rPr>
          <w:sz w:val="18"/>
          <w:szCs w:val="18"/>
          <w:lang w:val="en-AU"/>
        </w:rPr>
        <w:t>ie</w:t>
      </w:r>
      <w:proofErr w:type="spellEnd"/>
      <w:r w:rsidR="00E8651A" w:rsidRPr="004B3955">
        <w:rPr>
          <w:sz w:val="18"/>
          <w:szCs w:val="18"/>
          <w:lang w:val="en-AU"/>
        </w:rPr>
        <w:t xml:space="preserve"> centre of main interests or jurisdictional clauses in a written contract/document) or a worldwide implemented insolvency law.</w:t>
      </w:r>
      <w:r w:rsidR="0051101C" w:rsidRPr="004B3955">
        <w:rPr>
          <w:sz w:val="18"/>
          <w:szCs w:val="18"/>
          <w:lang w:val="en-AU"/>
        </w:rPr>
        <w:t xml:space="preserve"> See: R K Rasmussen, “A new Approach to Transnational Insolvencies” (1998) 19 </w:t>
      </w:r>
      <w:r w:rsidR="0051101C" w:rsidRPr="004B3955">
        <w:rPr>
          <w:i/>
          <w:iCs/>
          <w:sz w:val="18"/>
          <w:szCs w:val="18"/>
          <w:lang w:val="en-AU"/>
        </w:rPr>
        <w:t>Michigan Journal of International Law</w:t>
      </w:r>
      <w:r w:rsidR="0051101C" w:rsidRPr="004B3955">
        <w:rPr>
          <w:sz w:val="18"/>
          <w:szCs w:val="18"/>
          <w:lang w:val="en-AU"/>
        </w:rPr>
        <w:t xml:space="preserve"> 1, 1-36.</w:t>
      </w:r>
    </w:p>
  </w:footnote>
  <w:footnote w:id="86">
    <w:p w14:paraId="39ADBE77" w14:textId="4B644E63" w:rsidR="00C126F5" w:rsidRPr="004B3955" w:rsidRDefault="00C126F5">
      <w:pPr>
        <w:pStyle w:val="FootnoteText"/>
        <w:rPr>
          <w:lang w:val="en-AU"/>
        </w:rPr>
      </w:pPr>
      <w:r w:rsidRPr="004B3955">
        <w:rPr>
          <w:rStyle w:val="FootnoteReference"/>
          <w:sz w:val="18"/>
          <w:szCs w:val="18"/>
          <w:lang w:val="en-AU"/>
        </w:rPr>
        <w:footnoteRef/>
      </w:r>
      <w:r w:rsidRPr="004B3955">
        <w:rPr>
          <w:sz w:val="18"/>
          <w:szCs w:val="18"/>
          <w:lang w:val="en-AU"/>
        </w:rPr>
        <w:t xml:space="preserve"> For ease of reference, I am assuming that the Encanto insolvency proceedings </w:t>
      </w:r>
      <w:r w:rsidR="005B008E" w:rsidRPr="004B3955">
        <w:rPr>
          <w:sz w:val="18"/>
          <w:szCs w:val="18"/>
          <w:lang w:val="en-AU"/>
        </w:rPr>
        <w:t xml:space="preserve">also caused FPPL to enter liquidation in Encanto (similar to </w:t>
      </w:r>
      <w:proofErr w:type="spellStart"/>
      <w:r w:rsidR="005B008E" w:rsidRPr="004B3955">
        <w:rPr>
          <w:sz w:val="18"/>
          <w:szCs w:val="18"/>
          <w:lang w:val="en-AU"/>
        </w:rPr>
        <w:t>Asgard</w:t>
      </w:r>
      <w:proofErr w:type="spellEnd"/>
      <w:r w:rsidR="005B008E" w:rsidRPr="004B3955">
        <w:rPr>
          <w:sz w:val="18"/>
          <w:szCs w:val="18"/>
          <w:lang w:val="en-AU"/>
        </w:rPr>
        <w:t xml:space="preserve">). If the insolvency proceedings </w:t>
      </w:r>
      <w:r w:rsidR="00F030F8" w:rsidRPr="004B3955">
        <w:rPr>
          <w:sz w:val="18"/>
          <w:szCs w:val="18"/>
          <w:lang w:val="en-AU"/>
        </w:rPr>
        <w:t>in Encanto caused FPPL to enter some other type of formal insolvency appointment, I do not consider this would change my answer.</w:t>
      </w:r>
    </w:p>
  </w:footnote>
  <w:footnote w:id="87">
    <w:p w14:paraId="4F8AFC0A" w14:textId="11CD205A" w:rsidR="00C600CE" w:rsidRPr="00A10B27" w:rsidRDefault="00C600CE">
      <w:pPr>
        <w:pStyle w:val="FootnoteText"/>
        <w:rPr>
          <w:sz w:val="18"/>
          <w:szCs w:val="18"/>
          <w:lang w:val="en-AU"/>
        </w:rPr>
      </w:pPr>
      <w:r w:rsidRPr="00A10B27">
        <w:rPr>
          <w:rStyle w:val="FootnoteReference"/>
          <w:sz w:val="18"/>
          <w:szCs w:val="18"/>
        </w:rPr>
        <w:footnoteRef/>
      </w:r>
      <w:r w:rsidRPr="00A10B27">
        <w:rPr>
          <w:sz w:val="18"/>
          <w:szCs w:val="18"/>
        </w:rPr>
        <w:t xml:space="preserve"> </w:t>
      </w:r>
      <w:r w:rsidRPr="00A10B27">
        <w:rPr>
          <w:sz w:val="18"/>
          <w:szCs w:val="18"/>
          <w:lang w:val="en-AU"/>
        </w:rPr>
        <w:t>The ALI – III Global Principles provide a</w:t>
      </w:r>
      <w:r w:rsidR="00F614B0" w:rsidRPr="00A10B27">
        <w:rPr>
          <w:sz w:val="18"/>
          <w:szCs w:val="18"/>
          <w:lang w:val="en-AU"/>
        </w:rPr>
        <w:t xml:space="preserve"> duty to provide full and frank disclosure in all insolvency proceedings. See I F Fletcher and B Wessels, “Transnational Insolvency: Global Principles for Cooperation in International Insolvency Cases” (Report, </w:t>
      </w:r>
      <w:r w:rsidR="00F614B0" w:rsidRPr="00A10B27">
        <w:rPr>
          <w:i/>
          <w:iCs/>
          <w:sz w:val="18"/>
          <w:szCs w:val="18"/>
          <w:lang w:val="en-AU"/>
        </w:rPr>
        <w:t>The American Law Institute and the International Insolvency Institute</w:t>
      </w:r>
      <w:r w:rsidR="00F614B0" w:rsidRPr="00A10B27">
        <w:rPr>
          <w:sz w:val="18"/>
          <w:szCs w:val="18"/>
          <w:lang w:val="en-AU"/>
        </w:rPr>
        <w:t xml:space="preserve">, 20 March 2012), p </w:t>
      </w:r>
      <w:r w:rsidR="00A10B27" w:rsidRPr="00A10B27">
        <w:rPr>
          <w:sz w:val="18"/>
          <w:szCs w:val="18"/>
          <w:lang w:val="en-AU"/>
        </w:rPr>
        <w:t>xcv and xcvi</w:t>
      </w:r>
      <w:r w:rsidR="00F614B0" w:rsidRPr="00A10B27">
        <w:rPr>
          <w:sz w:val="18"/>
          <w:szCs w:val="18"/>
          <w:lang w:val="en-AU"/>
        </w:rPr>
        <w:t>.</w:t>
      </w:r>
    </w:p>
  </w:footnote>
  <w:footnote w:id="88">
    <w:p w14:paraId="37218B5F" w14:textId="57F4AC51" w:rsidR="009F3494" w:rsidRPr="009F3494" w:rsidRDefault="009F3494">
      <w:pPr>
        <w:pStyle w:val="FootnoteText"/>
        <w:rPr>
          <w:lang w:val="en-AU"/>
        </w:rPr>
      </w:pPr>
      <w:r w:rsidRPr="009F3494">
        <w:rPr>
          <w:rStyle w:val="FootnoteReference"/>
          <w:sz w:val="18"/>
          <w:szCs w:val="18"/>
        </w:rPr>
        <w:footnoteRef/>
      </w:r>
      <w:r w:rsidRPr="009F3494">
        <w:rPr>
          <w:sz w:val="18"/>
          <w:szCs w:val="18"/>
        </w:rPr>
        <w:t xml:space="preserve"> </w:t>
      </w:r>
      <w:r w:rsidR="003577A9">
        <w:rPr>
          <w:sz w:val="18"/>
          <w:szCs w:val="18"/>
        </w:rPr>
        <w:t xml:space="preserve">Modified universalism typically </w:t>
      </w:r>
      <w:r w:rsidR="00761C44">
        <w:rPr>
          <w:sz w:val="18"/>
          <w:szCs w:val="18"/>
        </w:rPr>
        <w:t xml:space="preserve">involves the primary and secondary courts in different States cooperating </w:t>
      </w:r>
      <w:r w:rsidR="00DF11E1">
        <w:rPr>
          <w:sz w:val="18"/>
          <w:szCs w:val="18"/>
        </w:rPr>
        <w:t>with each other. See page 43 of the course material.</w:t>
      </w:r>
    </w:p>
  </w:footnote>
  <w:footnote w:id="89">
    <w:p w14:paraId="104AB781" w14:textId="77777777" w:rsidR="002A7856" w:rsidRPr="00992690" w:rsidRDefault="002A7856" w:rsidP="002A7856">
      <w:pPr>
        <w:pStyle w:val="FootnoteText"/>
        <w:rPr>
          <w:lang w:val="en-AU"/>
        </w:rPr>
      </w:pPr>
      <w:r w:rsidRPr="00992690">
        <w:rPr>
          <w:rStyle w:val="FootnoteReference"/>
          <w:sz w:val="18"/>
          <w:szCs w:val="18"/>
        </w:rPr>
        <w:footnoteRef/>
      </w:r>
      <w:r w:rsidRPr="00992690">
        <w:rPr>
          <w:sz w:val="18"/>
          <w:szCs w:val="18"/>
        </w:rPr>
        <w:t xml:space="preserve"> </w:t>
      </w:r>
      <w:r w:rsidRPr="00844309">
        <w:rPr>
          <w:sz w:val="18"/>
          <w:szCs w:val="18"/>
          <w:lang w:val="en-AU"/>
        </w:rPr>
        <w:t xml:space="preserve">J L Westbrook, “The Lessons of Maxwell Communications” (1996) </w:t>
      </w:r>
      <w:r w:rsidRPr="00844309">
        <w:rPr>
          <w:i/>
          <w:iCs/>
          <w:sz w:val="18"/>
          <w:szCs w:val="18"/>
          <w:lang w:val="en-AU"/>
        </w:rPr>
        <w:t>Fordham Law Review</w:t>
      </w:r>
      <w:r w:rsidRPr="00844309">
        <w:rPr>
          <w:sz w:val="18"/>
          <w:szCs w:val="18"/>
          <w:lang w:val="en-AU"/>
        </w:rPr>
        <w:t xml:space="preserve"> 64 2531, pp 2532.</w:t>
      </w:r>
    </w:p>
  </w:footnote>
  <w:footnote w:id="90">
    <w:p w14:paraId="78E64280" w14:textId="77777777" w:rsidR="00690CD0" w:rsidRPr="004B3955" w:rsidRDefault="00690CD0" w:rsidP="00690CD0">
      <w:pPr>
        <w:pStyle w:val="FootnoteText"/>
        <w:rPr>
          <w:lang w:val="en-AU"/>
        </w:rPr>
      </w:pPr>
      <w:r w:rsidRPr="004B3955">
        <w:rPr>
          <w:rStyle w:val="FootnoteReference"/>
          <w:sz w:val="18"/>
          <w:szCs w:val="18"/>
          <w:lang w:val="en-AU"/>
        </w:rPr>
        <w:footnoteRef/>
      </w:r>
      <w:r w:rsidRPr="004B3955">
        <w:rPr>
          <w:sz w:val="18"/>
          <w:szCs w:val="18"/>
          <w:lang w:val="en-AU"/>
        </w:rPr>
        <w:t xml:space="preserve"> I F Fletcher and B Wessels, “Transnational Insolvency: Global Principles for Cooperation in International Insolvency Cases” (Report, </w:t>
      </w:r>
      <w:r w:rsidRPr="004B3955">
        <w:rPr>
          <w:i/>
          <w:iCs/>
          <w:sz w:val="18"/>
          <w:szCs w:val="18"/>
          <w:lang w:val="en-AU"/>
        </w:rPr>
        <w:t>The American Law Institute and the International Insolvency Institute</w:t>
      </w:r>
      <w:r w:rsidRPr="004B3955">
        <w:rPr>
          <w:sz w:val="18"/>
          <w:szCs w:val="18"/>
          <w:lang w:val="en-AU"/>
        </w:rPr>
        <w:t>, 20 March 2012).</w:t>
      </w:r>
    </w:p>
  </w:footnote>
  <w:footnote w:id="91">
    <w:p w14:paraId="34921A64" w14:textId="77777777" w:rsidR="00690CD0" w:rsidRPr="004B3955" w:rsidRDefault="00690CD0" w:rsidP="00690CD0">
      <w:pPr>
        <w:pStyle w:val="FootnoteText"/>
        <w:rPr>
          <w:lang w:val="en-AU"/>
        </w:rPr>
      </w:pPr>
      <w:r w:rsidRPr="004B3955">
        <w:rPr>
          <w:rStyle w:val="FootnoteReference"/>
          <w:sz w:val="18"/>
          <w:szCs w:val="18"/>
          <w:lang w:val="en-AU"/>
        </w:rPr>
        <w:footnoteRef/>
      </w:r>
      <w:r w:rsidRPr="004B3955">
        <w:rPr>
          <w:sz w:val="18"/>
          <w:szCs w:val="18"/>
          <w:lang w:val="en-AU"/>
        </w:rPr>
        <w:t xml:space="preserve"> I F Fletcher and B Wessels, “Transnational Insolvency: Global Principles for Cooperation in International Insolvency Cases” (Report, </w:t>
      </w:r>
      <w:r w:rsidRPr="004B3955">
        <w:rPr>
          <w:i/>
          <w:iCs/>
          <w:sz w:val="18"/>
          <w:szCs w:val="18"/>
          <w:lang w:val="en-AU"/>
        </w:rPr>
        <w:t>The American Law Institute and the International Insolvency Institute</w:t>
      </w:r>
      <w:r w:rsidRPr="004B3955">
        <w:rPr>
          <w:sz w:val="18"/>
          <w:szCs w:val="18"/>
          <w:lang w:val="en-AU"/>
        </w:rPr>
        <w:t>, 20 March 2012), p xvii.</w:t>
      </w:r>
    </w:p>
  </w:footnote>
  <w:footnote w:id="92">
    <w:p w14:paraId="640B4BC3" w14:textId="77777777" w:rsidR="00690CD0" w:rsidRPr="004B3955" w:rsidRDefault="00690CD0" w:rsidP="00690CD0">
      <w:pPr>
        <w:pStyle w:val="FootnoteText"/>
        <w:rPr>
          <w:lang w:val="en-AU"/>
        </w:rPr>
      </w:pPr>
      <w:r w:rsidRPr="004B3955">
        <w:rPr>
          <w:rStyle w:val="FootnoteReference"/>
          <w:sz w:val="18"/>
          <w:szCs w:val="18"/>
          <w:lang w:val="en-AU"/>
        </w:rPr>
        <w:footnoteRef/>
      </w:r>
      <w:r w:rsidRPr="004B3955">
        <w:rPr>
          <w:sz w:val="18"/>
          <w:szCs w:val="18"/>
          <w:lang w:val="en-AU"/>
        </w:rPr>
        <w:t xml:space="preserve"> &lt;https://www.iiiglobal.org/initiatives/projects-sponsored-by-iii/&gt; (accessed 13 November 2022).</w:t>
      </w:r>
    </w:p>
  </w:footnote>
  <w:footnote w:id="93">
    <w:p w14:paraId="75AE9603" w14:textId="4C635700" w:rsidR="00633641" w:rsidRPr="00633641" w:rsidRDefault="00633641">
      <w:pPr>
        <w:pStyle w:val="FootnoteText"/>
        <w:rPr>
          <w:lang w:val="en-AU"/>
        </w:rPr>
      </w:pPr>
      <w:r w:rsidRPr="00C51941">
        <w:rPr>
          <w:rStyle w:val="FootnoteReference"/>
          <w:sz w:val="18"/>
          <w:szCs w:val="18"/>
        </w:rPr>
        <w:footnoteRef/>
      </w:r>
      <w:r w:rsidRPr="00C51941">
        <w:rPr>
          <w:sz w:val="18"/>
          <w:szCs w:val="18"/>
        </w:rPr>
        <w:t xml:space="preserve"> </w:t>
      </w:r>
      <w:r w:rsidR="00690727" w:rsidRPr="00C51941">
        <w:rPr>
          <w:sz w:val="18"/>
          <w:szCs w:val="18"/>
          <w:lang w:val="en-AU"/>
        </w:rPr>
        <w:t xml:space="preserve">Main goal is to maximise the value of the debtor’s assets </w:t>
      </w:r>
      <w:r w:rsidR="00DC47DA" w:rsidRPr="00C51941">
        <w:rPr>
          <w:sz w:val="18"/>
          <w:szCs w:val="18"/>
          <w:lang w:val="en-AU"/>
        </w:rPr>
        <w:t xml:space="preserve">or business(es) </w:t>
      </w:r>
      <w:r w:rsidR="00690727" w:rsidRPr="00C51941">
        <w:rPr>
          <w:sz w:val="18"/>
          <w:szCs w:val="18"/>
          <w:lang w:val="en-AU"/>
        </w:rPr>
        <w:t>globally</w:t>
      </w:r>
      <w:r w:rsidR="00DC47DA" w:rsidRPr="00C51941">
        <w:rPr>
          <w:sz w:val="18"/>
          <w:szCs w:val="18"/>
          <w:lang w:val="en-AU"/>
        </w:rPr>
        <w:t xml:space="preserve"> in the furtherance of the “just administration of the proceeding” (Global Principle 1.1).</w:t>
      </w:r>
    </w:p>
  </w:footnote>
  <w:footnote w:id="94">
    <w:p w14:paraId="7D3A58A1" w14:textId="1575BB98" w:rsidR="002D1B19" w:rsidRPr="00633641" w:rsidRDefault="002D1B19" w:rsidP="002D1B19">
      <w:pPr>
        <w:pStyle w:val="FootnoteText"/>
        <w:rPr>
          <w:lang w:val="en-AU"/>
        </w:rPr>
      </w:pPr>
      <w:r w:rsidRPr="00C51941">
        <w:rPr>
          <w:rStyle w:val="FootnoteReference"/>
          <w:sz w:val="18"/>
          <w:szCs w:val="18"/>
        </w:rPr>
        <w:footnoteRef/>
      </w:r>
      <w:r w:rsidRPr="00C51941">
        <w:rPr>
          <w:sz w:val="18"/>
          <w:szCs w:val="18"/>
        </w:rPr>
        <w:t xml:space="preserve"> </w:t>
      </w:r>
      <w:r w:rsidR="00F747CE">
        <w:rPr>
          <w:sz w:val="18"/>
          <w:szCs w:val="18"/>
          <w:lang w:val="en-AU"/>
        </w:rPr>
        <w:t>Overriding</w:t>
      </w:r>
      <w:r w:rsidRPr="00C51941">
        <w:rPr>
          <w:sz w:val="18"/>
          <w:szCs w:val="18"/>
          <w:lang w:val="en-AU"/>
        </w:rPr>
        <w:t xml:space="preserve"> goal is to maximise the value of the debtor’s assets or business(es) globally in the furtherance of the “just administration of the proceeding” (Principle </w:t>
      </w:r>
      <w:r w:rsidR="00F747CE">
        <w:rPr>
          <w:sz w:val="18"/>
          <w:szCs w:val="18"/>
          <w:lang w:val="en-AU"/>
        </w:rPr>
        <w:t>3</w:t>
      </w:r>
      <w:r w:rsidRPr="00C51941">
        <w:rPr>
          <w:sz w:val="18"/>
          <w:szCs w:val="18"/>
          <w:lang w:val="en-AU"/>
        </w:rPr>
        <w:t>.1).</w:t>
      </w:r>
    </w:p>
  </w:footnote>
  <w:footnote w:id="95">
    <w:p w14:paraId="62299DAB" w14:textId="598A5EF5" w:rsidR="00617A37" w:rsidRPr="00617A37" w:rsidRDefault="00617A37">
      <w:pPr>
        <w:pStyle w:val="FootnoteText"/>
        <w:rPr>
          <w:lang w:val="en-AU"/>
        </w:rPr>
      </w:pPr>
      <w:r w:rsidRPr="00617A37">
        <w:rPr>
          <w:rStyle w:val="FootnoteReference"/>
          <w:sz w:val="18"/>
          <w:szCs w:val="18"/>
        </w:rPr>
        <w:footnoteRef/>
      </w:r>
      <w:r w:rsidRPr="00617A37">
        <w:rPr>
          <w:sz w:val="18"/>
          <w:szCs w:val="18"/>
        </w:rPr>
        <w:t xml:space="preserve"> United States Bankruptcy Court for the District of Delaware, the United States Bankruptcy Court for the Southern District of New York, the United States Bankruptcy Court for the Southern District of Texas, the Commercial List of Users’ Committee of the Superior Court of Justice – Ontario (Commercial List), the Supreme Court of British Columbia and Brazil</w:t>
      </w:r>
      <w:r>
        <w:rPr>
          <w:sz w:val="18"/>
          <w:szCs w:val="18"/>
        </w:rPr>
        <w:t>.</w:t>
      </w:r>
    </w:p>
  </w:footnote>
  <w:footnote w:id="96">
    <w:p w14:paraId="55E98E7F" w14:textId="77777777" w:rsidR="00690CD0" w:rsidRPr="004B3955" w:rsidRDefault="00690CD0" w:rsidP="00690CD0">
      <w:pPr>
        <w:pStyle w:val="FootnoteText"/>
        <w:rPr>
          <w:lang w:val="en-AU"/>
        </w:rPr>
      </w:pPr>
      <w:r w:rsidRPr="004B3955">
        <w:rPr>
          <w:rStyle w:val="FootnoteReference"/>
          <w:sz w:val="18"/>
          <w:szCs w:val="18"/>
          <w:lang w:val="en-AU"/>
        </w:rPr>
        <w:footnoteRef/>
      </w:r>
      <w:r w:rsidRPr="004B3955">
        <w:rPr>
          <w:sz w:val="18"/>
          <w:szCs w:val="18"/>
          <w:lang w:val="en-AU"/>
        </w:rPr>
        <w:t xml:space="preserve"> &lt;http://www.jin-global.org/jin-guidelines.html&gt; (accessed 11 November 2022).</w:t>
      </w:r>
    </w:p>
  </w:footnote>
  <w:footnote w:id="97">
    <w:p w14:paraId="543E4CEC" w14:textId="77777777" w:rsidR="00AE5332" w:rsidRPr="004B3955" w:rsidRDefault="00AE5332" w:rsidP="00AE5332">
      <w:pPr>
        <w:pStyle w:val="FootnoteText"/>
        <w:rPr>
          <w:lang w:val="en-AU"/>
        </w:rPr>
      </w:pPr>
      <w:r w:rsidRPr="004B3955">
        <w:rPr>
          <w:rStyle w:val="FootnoteReference"/>
          <w:sz w:val="18"/>
          <w:szCs w:val="18"/>
          <w:lang w:val="en-AU"/>
        </w:rPr>
        <w:footnoteRef/>
      </w:r>
      <w:r w:rsidRPr="004B3955">
        <w:rPr>
          <w:sz w:val="18"/>
          <w:szCs w:val="18"/>
          <w:lang w:val="en-AU"/>
        </w:rPr>
        <w:t xml:space="preserve"> Harold S Burman, </w:t>
      </w:r>
      <w:r w:rsidRPr="004B3955">
        <w:rPr>
          <w:i/>
          <w:iCs/>
          <w:sz w:val="18"/>
          <w:szCs w:val="18"/>
          <w:lang w:val="en-AU"/>
        </w:rPr>
        <w:t>Harmonization of International Bankruptcy Law: A United States Perspective</w:t>
      </w:r>
      <w:r w:rsidRPr="004B3955">
        <w:rPr>
          <w:sz w:val="18"/>
          <w:szCs w:val="18"/>
          <w:lang w:val="en-AU"/>
        </w:rPr>
        <w:t>, 64 Fordham L. Rev. 2543 (1996), 2544.</w:t>
      </w:r>
    </w:p>
  </w:footnote>
  <w:footnote w:id="98">
    <w:p w14:paraId="7519CFF9" w14:textId="77777777" w:rsidR="00AE5332" w:rsidRPr="004B3955" w:rsidRDefault="00AE5332" w:rsidP="00AE5332">
      <w:pPr>
        <w:pStyle w:val="FootnoteText"/>
        <w:rPr>
          <w:lang w:val="en-AU"/>
        </w:rPr>
      </w:pPr>
      <w:r w:rsidRPr="004B3955">
        <w:rPr>
          <w:rStyle w:val="FootnoteReference"/>
          <w:sz w:val="18"/>
          <w:szCs w:val="18"/>
          <w:lang w:val="en-AU"/>
        </w:rPr>
        <w:footnoteRef/>
      </w:r>
      <w:r w:rsidRPr="004B3955">
        <w:rPr>
          <w:sz w:val="18"/>
          <w:szCs w:val="18"/>
          <w:lang w:val="en-AU"/>
        </w:rPr>
        <w:t xml:space="preserve"> J L Westbrook, “The Lessons of Maxwell Communications” (1996) </w:t>
      </w:r>
      <w:r w:rsidRPr="004B3955">
        <w:rPr>
          <w:i/>
          <w:iCs/>
          <w:sz w:val="18"/>
          <w:szCs w:val="18"/>
          <w:lang w:val="en-AU"/>
        </w:rPr>
        <w:t>Fordham Law Review</w:t>
      </w:r>
      <w:r w:rsidRPr="004B3955">
        <w:rPr>
          <w:sz w:val="18"/>
          <w:szCs w:val="18"/>
          <w:lang w:val="en-AU"/>
        </w:rPr>
        <w:t xml:space="preserve"> 64 2531, p 2532.</w:t>
      </w:r>
    </w:p>
  </w:footnote>
  <w:footnote w:id="99">
    <w:p w14:paraId="7A4C8647" w14:textId="77777777" w:rsidR="00AE5332" w:rsidRPr="004B3955" w:rsidRDefault="00AE5332" w:rsidP="00AE5332">
      <w:pPr>
        <w:pStyle w:val="FootnoteText"/>
        <w:rPr>
          <w:lang w:val="en-AU"/>
        </w:rPr>
      </w:pPr>
      <w:r w:rsidRPr="004B3955">
        <w:rPr>
          <w:rStyle w:val="FootnoteReference"/>
          <w:sz w:val="18"/>
          <w:szCs w:val="18"/>
          <w:lang w:val="en-AU"/>
        </w:rPr>
        <w:footnoteRef/>
      </w:r>
      <w:r w:rsidRPr="004B3955">
        <w:rPr>
          <w:sz w:val="18"/>
          <w:szCs w:val="18"/>
          <w:lang w:val="en-AU"/>
        </w:rPr>
        <w:t xml:space="preserve"> Ian F Fletcher, “International Insolvency: A Case Study and Treatment” (1993) 27 </w:t>
      </w:r>
      <w:r w:rsidRPr="004B3955">
        <w:rPr>
          <w:i/>
          <w:iCs/>
          <w:sz w:val="18"/>
          <w:szCs w:val="18"/>
          <w:lang w:val="en-AU"/>
        </w:rPr>
        <w:t>International Lawyer</w:t>
      </w:r>
      <w:r w:rsidRPr="004B3955">
        <w:rPr>
          <w:sz w:val="18"/>
          <w:szCs w:val="18"/>
          <w:lang w:val="en-AU"/>
        </w:rPr>
        <w:t xml:space="preserve"> 429, 430.</w:t>
      </w:r>
      <w:r w:rsidRPr="004B3955">
        <w:rPr>
          <w:lang w:val="en-AU"/>
        </w:rPr>
        <w:t xml:space="preserve"> </w:t>
      </w:r>
    </w:p>
  </w:footnote>
  <w:footnote w:id="100">
    <w:p w14:paraId="0E8FDE95" w14:textId="18A5BA46" w:rsidR="000452E0" w:rsidRPr="000452E0" w:rsidRDefault="000452E0">
      <w:pPr>
        <w:pStyle w:val="FootnoteText"/>
        <w:rPr>
          <w:lang w:val="en-AU"/>
        </w:rPr>
      </w:pPr>
      <w:r w:rsidRPr="000452E0">
        <w:rPr>
          <w:rStyle w:val="FootnoteReference"/>
          <w:sz w:val="18"/>
          <w:szCs w:val="18"/>
        </w:rPr>
        <w:footnoteRef/>
      </w:r>
      <w:r w:rsidRPr="000452E0">
        <w:rPr>
          <w:sz w:val="18"/>
          <w:szCs w:val="18"/>
        </w:rPr>
        <w:t xml:space="preserve"> </w:t>
      </w:r>
      <w:r w:rsidRPr="000452E0">
        <w:rPr>
          <w:sz w:val="18"/>
          <w:szCs w:val="18"/>
          <w:lang w:val="en-AU"/>
        </w:rPr>
        <w:t xml:space="preserve">COMI means the centre of the </w:t>
      </w:r>
      <w:r w:rsidR="009202AB" w:rsidRPr="000452E0">
        <w:rPr>
          <w:sz w:val="18"/>
          <w:szCs w:val="18"/>
          <w:lang w:val="en-AU"/>
        </w:rPr>
        <w:t>debtor’s</w:t>
      </w:r>
      <w:r w:rsidRPr="000452E0">
        <w:rPr>
          <w:sz w:val="18"/>
          <w:szCs w:val="18"/>
          <w:lang w:val="en-AU"/>
        </w:rPr>
        <w:t xml:space="preserve"> main interest.</w:t>
      </w:r>
    </w:p>
  </w:footnote>
  <w:footnote w:id="101">
    <w:p w14:paraId="5C69AD41" w14:textId="0236998A" w:rsidR="00A95C15" w:rsidRPr="00A95C15" w:rsidRDefault="00A95C15">
      <w:pPr>
        <w:pStyle w:val="FootnoteText"/>
        <w:rPr>
          <w:lang w:val="en-AU"/>
        </w:rPr>
      </w:pPr>
      <w:r w:rsidRPr="0066547C">
        <w:rPr>
          <w:rStyle w:val="FootnoteReference"/>
          <w:sz w:val="18"/>
          <w:szCs w:val="18"/>
        </w:rPr>
        <w:footnoteRef/>
      </w:r>
      <w:r w:rsidRPr="0066547C">
        <w:rPr>
          <w:sz w:val="18"/>
          <w:szCs w:val="18"/>
        </w:rPr>
        <w:t xml:space="preserve"> </w:t>
      </w:r>
      <w:r w:rsidR="0066547C" w:rsidRPr="0066547C">
        <w:rPr>
          <w:i/>
          <w:iCs/>
          <w:sz w:val="18"/>
          <w:szCs w:val="18"/>
        </w:rPr>
        <w:t xml:space="preserve">Barings (UK) Ltd &amp; </w:t>
      </w:r>
      <w:proofErr w:type="spellStart"/>
      <w:r w:rsidR="0066547C" w:rsidRPr="0066547C">
        <w:rPr>
          <w:i/>
          <w:iCs/>
          <w:sz w:val="18"/>
          <w:szCs w:val="18"/>
        </w:rPr>
        <w:t>Ors</w:t>
      </w:r>
      <w:proofErr w:type="spellEnd"/>
      <w:r w:rsidR="0066547C" w:rsidRPr="0066547C">
        <w:rPr>
          <w:i/>
          <w:iCs/>
          <w:sz w:val="18"/>
          <w:szCs w:val="18"/>
        </w:rPr>
        <w:t xml:space="preserve"> v Galapagos SA</w:t>
      </w:r>
      <w:r w:rsidR="0066547C" w:rsidRPr="0066547C">
        <w:rPr>
          <w:sz w:val="18"/>
          <w:szCs w:val="18"/>
        </w:rPr>
        <w:t xml:space="preserve"> [2022] EWHC 1633</w:t>
      </w:r>
      <w:r w:rsidR="0066547C" w:rsidRPr="0066547C">
        <w:rPr>
          <w:sz w:val="18"/>
          <w:szCs w:val="18"/>
        </w:rPr>
        <w:t>.</w:t>
      </w:r>
    </w:p>
  </w:footnote>
  <w:footnote w:id="102">
    <w:p w14:paraId="6E18899C" w14:textId="75463874" w:rsidR="00180945" w:rsidRPr="00180945" w:rsidRDefault="00180945">
      <w:pPr>
        <w:pStyle w:val="FootnoteText"/>
        <w:rPr>
          <w:lang w:val="en-AU"/>
        </w:rPr>
      </w:pPr>
      <w:r w:rsidRPr="00180945">
        <w:rPr>
          <w:rStyle w:val="FootnoteReference"/>
          <w:sz w:val="18"/>
          <w:szCs w:val="18"/>
        </w:rPr>
        <w:footnoteRef/>
      </w:r>
      <w:r w:rsidRPr="00180945">
        <w:rPr>
          <w:sz w:val="18"/>
          <w:szCs w:val="18"/>
        </w:rPr>
        <w:t xml:space="preserve"> </w:t>
      </w:r>
      <w:r>
        <w:rPr>
          <w:sz w:val="18"/>
          <w:szCs w:val="18"/>
        </w:rPr>
        <w:t xml:space="preserve">Article 3 of the EIR Recast and </w:t>
      </w:r>
      <w:r w:rsidR="00CA2FBF">
        <w:rPr>
          <w:sz w:val="18"/>
          <w:szCs w:val="18"/>
        </w:rPr>
        <w:t>paragraph 4(3) (inclusive) of IXIT.</w:t>
      </w:r>
    </w:p>
  </w:footnote>
  <w:footnote w:id="103">
    <w:p w14:paraId="14CFBAFA" w14:textId="77777777" w:rsidR="00760CBB" w:rsidRDefault="00760CBB" w:rsidP="00760CBB">
      <w:pPr>
        <w:pStyle w:val="FootnoteText"/>
        <w:rPr>
          <w:sz w:val="18"/>
          <w:szCs w:val="18"/>
          <w:lang w:val="en-AU"/>
        </w:rPr>
      </w:pPr>
      <w:r>
        <w:rPr>
          <w:rStyle w:val="FootnoteReference"/>
          <w:sz w:val="18"/>
          <w:szCs w:val="18"/>
        </w:rPr>
        <w:footnoteRef/>
      </w:r>
      <w:r>
        <w:rPr>
          <w:sz w:val="18"/>
          <w:szCs w:val="18"/>
        </w:rPr>
        <w:t xml:space="preserve"> Guide to Enactment and Interpretation of the UNCITRAL Model Law on Cross-Border Insolvency, Part Two, </w:t>
      </w:r>
      <w:r>
        <w:rPr>
          <w:sz w:val="18"/>
          <w:szCs w:val="18"/>
          <w:lang w:val="en-AU"/>
        </w:rPr>
        <w:t>paragraphs 31 and 157-160.</w:t>
      </w:r>
    </w:p>
  </w:footnote>
  <w:footnote w:id="104">
    <w:p w14:paraId="0044C6F1" w14:textId="77777777" w:rsidR="00760CBB" w:rsidRDefault="00760CBB" w:rsidP="00760CBB">
      <w:pPr>
        <w:pStyle w:val="FootnoteText"/>
        <w:rPr>
          <w:sz w:val="18"/>
          <w:szCs w:val="18"/>
          <w:lang w:val="en-AU"/>
        </w:rPr>
      </w:pPr>
      <w:r>
        <w:rPr>
          <w:rStyle w:val="FootnoteReference"/>
          <w:sz w:val="18"/>
          <w:szCs w:val="18"/>
        </w:rPr>
        <w:footnoteRef/>
      </w:r>
      <w:r>
        <w:rPr>
          <w:sz w:val="18"/>
          <w:szCs w:val="18"/>
        </w:rPr>
        <w:t xml:space="preserve"> </w:t>
      </w:r>
      <w:r>
        <w:rPr>
          <w:sz w:val="18"/>
          <w:szCs w:val="18"/>
          <w:lang w:val="en-AU"/>
        </w:rPr>
        <w:t xml:space="preserve">The United States (see page 11 of </w:t>
      </w:r>
      <w:r>
        <w:rPr>
          <w:i/>
          <w:iCs/>
          <w:sz w:val="18"/>
          <w:szCs w:val="18"/>
          <w:lang w:val="en-AU"/>
        </w:rPr>
        <w:t xml:space="preserve">In re Paul </w:t>
      </w:r>
      <w:proofErr w:type="spellStart"/>
      <w:r>
        <w:rPr>
          <w:i/>
          <w:iCs/>
          <w:sz w:val="18"/>
          <w:szCs w:val="18"/>
          <w:lang w:val="en-AU"/>
        </w:rPr>
        <w:t>Zeital</w:t>
      </w:r>
      <w:proofErr w:type="spellEnd"/>
      <w:r>
        <w:rPr>
          <w:i/>
          <w:iCs/>
          <w:sz w:val="18"/>
          <w:szCs w:val="18"/>
          <w:lang w:val="en-AU"/>
        </w:rPr>
        <w:t xml:space="preserve"> </w:t>
      </w:r>
      <w:proofErr w:type="spellStart"/>
      <w:r>
        <w:rPr>
          <w:i/>
          <w:iCs/>
          <w:sz w:val="18"/>
          <w:szCs w:val="18"/>
          <w:lang w:val="en-AU"/>
        </w:rPr>
        <w:t>Kemsley</w:t>
      </w:r>
      <w:proofErr w:type="spellEnd"/>
      <w:r>
        <w:rPr>
          <w:sz w:val="18"/>
          <w:szCs w:val="18"/>
          <w:lang w:val="en-AU"/>
        </w:rPr>
        <w:t xml:space="preserve"> [2013] Case No 12-13570 (JMP), U.S. Bankruptcy Court) and the United Kingdom (</w:t>
      </w:r>
      <w:r>
        <w:rPr>
          <w:i/>
          <w:iCs/>
          <w:sz w:val="18"/>
          <w:szCs w:val="18"/>
          <w:lang w:val="en-AU"/>
        </w:rPr>
        <w:t xml:space="preserve">Re </w:t>
      </w:r>
      <w:proofErr w:type="spellStart"/>
      <w:r>
        <w:rPr>
          <w:i/>
          <w:iCs/>
          <w:sz w:val="18"/>
          <w:szCs w:val="18"/>
          <w:lang w:val="en-AU"/>
        </w:rPr>
        <w:t>Videology</w:t>
      </w:r>
      <w:proofErr w:type="spellEnd"/>
      <w:r>
        <w:rPr>
          <w:i/>
          <w:iCs/>
          <w:sz w:val="18"/>
          <w:szCs w:val="18"/>
          <w:lang w:val="en-AU"/>
        </w:rPr>
        <w:t xml:space="preserve"> Ltd</w:t>
      </w:r>
      <w:r>
        <w:rPr>
          <w:sz w:val="18"/>
          <w:szCs w:val="18"/>
          <w:lang w:val="en-AU"/>
        </w:rPr>
        <w:t xml:space="preserve"> [2018] EWHC 2186 (Ch)) positions appear to follow the UNCITRAL Guide on this issue. The Australian position on this issue is still not decided (see for instance</w:t>
      </w:r>
      <w:r>
        <w:rPr>
          <w:sz w:val="18"/>
          <w:szCs w:val="18"/>
        </w:rPr>
        <w:t xml:space="preserve"> </w:t>
      </w:r>
      <w:r>
        <w:rPr>
          <w:i/>
          <w:iCs/>
          <w:sz w:val="18"/>
          <w:szCs w:val="18"/>
          <w:lang w:val="en-AU"/>
        </w:rPr>
        <w:t xml:space="preserve">Kapila, in the matter of </w:t>
      </w:r>
      <w:proofErr w:type="spellStart"/>
      <w:r>
        <w:rPr>
          <w:i/>
          <w:iCs/>
          <w:sz w:val="18"/>
          <w:szCs w:val="18"/>
          <w:lang w:val="en-AU"/>
        </w:rPr>
        <w:t>Edelsten</w:t>
      </w:r>
      <w:proofErr w:type="spellEnd"/>
      <w:r>
        <w:rPr>
          <w:sz w:val="18"/>
          <w:szCs w:val="18"/>
          <w:lang w:val="en-AU"/>
        </w:rPr>
        <w:t xml:space="preserve"> [2014] FCA 1112, 39 and </w:t>
      </w:r>
      <w:r>
        <w:rPr>
          <w:i/>
          <w:iCs/>
          <w:sz w:val="18"/>
          <w:szCs w:val="18"/>
          <w:lang w:val="en-AU"/>
        </w:rPr>
        <w:t xml:space="preserve">In the matter of </w:t>
      </w:r>
      <w:proofErr w:type="spellStart"/>
      <w:r>
        <w:rPr>
          <w:i/>
          <w:iCs/>
          <w:sz w:val="18"/>
          <w:szCs w:val="18"/>
          <w:lang w:val="en-AU"/>
        </w:rPr>
        <w:t>Hydrodec</w:t>
      </w:r>
      <w:proofErr w:type="spellEnd"/>
      <w:r>
        <w:rPr>
          <w:i/>
          <w:iCs/>
          <w:sz w:val="18"/>
          <w:szCs w:val="18"/>
          <w:lang w:val="en-AU"/>
        </w:rPr>
        <w:t xml:space="preserve"> Group Plc</w:t>
      </w:r>
      <w:r>
        <w:rPr>
          <w:sz w:val="18"/>
          <w:szCs w:val="18"/>
          <w:lang w:val="en-AU"/>
        </w:rPr>
        <w:t xml:space="preserve"> [2021] NSWSC 755, 139.</w:t>
      </w:r>
    </w:p>
  </w:footnote>
  <w:footnote w:id="105">
    <w:p w14:paraId="6990AEEA" w14:textId="77777777" w:rsidR="00760CBB" w:rsidRDefault="00760CBB" w:rsidP="00760CBB">
      <w:pPr>
        <w:pStyle w:val="FootnoteText"/>
        <w:rPr>
          <w:lang w:val="en-AU"/>
        </w:rPr>
      </w:pPr>
      <w:r>
        <w:rPr>
          <w:rStyle w:val="FootnoteReference"/>
          <w:sz w:val="18"/>
          <w:szCs w:val="18"/>
        </w:rPr>
        <w:footnoteRef/>
      </w:r>
      <w:r>
        <w:rPr>
          <w:sz w:val="18"/>
          <w:szCs w:val="18"/>
        </w:rPr>
        <w:t xml:space="preserve"> </w:t>
      </w:r>
      <w:r>
        <w:rPr>
          <w:sz w:val="18"/>
          <w:szCs w:val="18"/>
          <w:lang w:val="en-AU"/>
        </w:rPr>
        <w:t>Nicki Gunn, Hugh Raisin and Amelia Kelly, “</w:t>
      </w:r>
      <w:r>
        <w:rPr>
          <w:i/>
          <w:iCs/>
          <w:sz w:val="18"/>
          <w:szCs w:val="18"/>
          <w:lang w:val="en-AU"/>
        </w:rPr>
        <w:t>A Saad compromise? Different interpretations of the model law promoting inconsistency in a law meant to remove it</w:t>
      </w:r>
      <w:r>
        <w:rPr>
          <w:sz w:val="18"/>
          <w:szCs w:val="18"/>
          <w:lang w:val="en-AU"/>
        </w:rPr>
        <w:t>” &lt;https://www.dlapiper.com/ko/korea/insights/publications/2019/12/global-insight-issue-31/a-saad-compromise/&gt; (accessed 15/10/2022).</w:t>
      </w:r>
    </w:p>
  </w:footnote>
  <w:footnote w:id="106">
    <w:p w14:paraId="3AFD9899" w14:textId="408290F7" w:rsidR="00006EC4" w:rsidRPr="00006EC4" w:rsidRDefault="00006EC4">
      <w:pPr>
        <w:pStyle w:val="FootnoteText"/>
        <w:rPr>
          <w:lang w:val="en-AU"/>
        </w:rPr>
      </w:pPr>
      <w:r w:rsidRPr="00DE4444">
        <w:rPr>
          <w:rStyle w:val="FootnoteReference"/>
          <w:sz w:val="18"/>
          <w:szCs w:val="18"/>
        </w:rPr>
        <w:footnoteRef/>
      </w:r>
      <w:r w:rsidRPr="00DE4444">
        <w:rPr>
          <w:sz w:val="18"/>
          <w:szCs w:val="18"/>
        </w:rPr>
        <w:t xml:space="preserve"> </w:t>
      </w:r>
      <w:r w:rsidR="00FC14EA" w:rsidRPr="00DE4444">
        <w:rPr>
          <w:i/>
          <w:iCs/>
          <w:sz w:val="18"/>
          <w:szCs w:val="18"/>
          <w:lang w:val="en-AU"/>
        </w:rPr>
        <w:t xml:space="preserve">In the Matter of </w:t>
      </w:r>
      <w:proofErr w:type="spellStart"/>
      <w:r w:rsidR="00FC14EA" w:rsidRPr="00DE4444">
        <w:rPr>
          <w:i/>
          <w:iCs/>
          <w:sz w:val="18"/>
          <w:szCs w:val="18"/>
          <w:lang w:val="en-AU"/>
        </w:rPr>
        <w:t>Videology</w:t>
      </w:r>
      <w:proofErr w:type="spellEnd"/>
      <w:r w:rsidR="00FC14EA" w:rsidRPr="00DE4444">
        <w:rPr>
          <w:i/>
          <w:iCs/>
          <w:sz w:val="18"/>
          <w:szCs w:val="18"/>
          <w:lang w:val="en-AU"/>
        </w:rPr>
        <w:t xml:space="preserve"> Limited and In the matter of the Cross-Border Insolvency Regulations 2006</w:t>
      </w:r>
      <w:r w:rsidR="00DE4444" w:rsidRPr="00DE4444">
        <w:rPr>
          <w:i/>
          <w:iCs/>
          <w:sz w:val="18"/>
          <w:szCs w:val="18"/>
          <w:lang w:val="en-AU"/>
        </w:rPr>
        <w:t xml:space="preserve"> </w:t>
      </w:r>
      <w:r w:rsidR="00DE4444" w:rsidRPr="00DE4444">
        <w:rPr>
          <w:sz w:val="18"/>
          <w:szCs w:val="18"/>
          <w:lang w:val="en-AU"/>
        </w:rPr>
        <w:t>[2018] EWHC 2186 (</w:t>
      </w:r>
      <w:proofErr w:type="spellStart"/>
      <w:r w:rsidR="00DE4444" w:rsidRPr="00DE4444">
        <w:rPr>
          <w:sz w:val="18"/>
          <w:szCs w:val="18"/>
          <w:lang w:val="en-AU"/>
        </w:rPr>
        <w:t>Cth</w:t>
      </w:r>
      <w:proofErr w:type="spellEnd"/>
      <w:r w:rsidR="00DE4444" w:rsidRPr="00DE4444">
        <w:rPr>
          <w:sz w:val="18"/>
          <w:szCs w:val="18"/>
          <w:lang w:val="en-AU"/>
        </w:rPr>
        <w:t>)</w:t>
      </w:r>
      <w:r w:rsidR="00D17599">
        <w:rPr>
          <w:sz w:val="18"/>
          <w:szCs w:val="18"/>
          <w:lang w:val="en-AU"/>
        </w:rPr>
        <w:t xml:space="preserve"> (herein defined as the </w:t>
      </w:r>
      <w:proofErr w:type="spellStart"/>
      <w:r w:rsidR="00D17599">
        <w:rPr>
          <w:b/>
          <w:bCs/>
          <w:sz w:val="18"/>
          <w:szCs w:val="18"/>
          <w:lang w:val="en-AU"/>
        </w:rPr>
        <w:t>Videology</w:t>
      </w:r>
      <w:proofErr w:type="spellEnd"/>
      <w:r w:rsidR="00D17599">
        <w:rPr>
          <w:b/>
          <w:bCs/>
          <w:sz w:val="18"/>
          <w:szCs w:val="18"/>
          <w:lang w:val="en-AU"/>
        </w:rPr>
        <w:t xml:space="preserve"> Case</w:t>
      </w:r>
      <w:r w:rsidR="00D17599">
        <w:rPr>
          <w:sz w:val="18"/>
          <w:szCs w:val="18"/>
          <w:lang w:val="en-AU"/>
        </w:rPr>
        <w:t>)</w:t>
      </w:r>
      <w:r w:rsidR="00DE4444" w:rsidRPr="00DE4444">
        <w:rPr>
          <w:sz w:val="18"/>
          <w:szCs w:val="18"/>
          <w:lang w:val="en-AU"/>
        </w:rPr>
        <w:t>.</w:t>
      </w:r>
    </w:p>
  </w:footnote>
  <w:footnote w:id="107">
    <w:p w14:paraId="0D631D69" w14:textId="2E751C4E" w:rsidR="00DB542B" w:rsidRPr="00DB542B" w:rsidRDefault="00DB542B">
      <w:pPr>
        <w:pStyle w:val="FootnoteText"/>
        <w:rPr>
          <w:lang w:val="en-AU"/>
        </w:rPr>
      </w:pPr>
      <w:r w:rsidRPr="00CB7674">
        <w:rPr>
          <w:rStyle w:val="FootnoteReference"/>
          <w:sz w:val="18"/>
          <w:szCs w:val="18"/>
        </w:rPr>
        <w:footnoteRef/>
      </w:r>
      <w:r w:rsidRPr="00CB7674">
        <w:rPr>
          <w:sz w:val="18"/>
          <w:szCs w:val="18"/>
        </w:rPr>
        <w:t xml:space="preserve"> </w:t>
      </w:r>
      <w:r w:rsidR="00CB7674" w:rsidRPr="00CB7674">
        <w:rPr>
          <w:sz w:val="18"/>
          <w:szCs w:val="18"/>
          <w:lang w:val="en-AU"/>
        </w:rPr>
        <w:t>Ibid, paragraph 78.</w:t>
      </w:r>
    </w:p>
  </w:footnote>
  <w:footnote w:id="108">
    <w:p w14:paraId="4B7E0C28" w14:textId="77777777" w:rsidR="00DB542B" w:rsidRDefault="00DB542B" w:rsidP="00DB542B">
      <w:pPr>
        <w:pStyle w:val="FootnoteText"/>
        <w:rPr>
          <w:lang w:val="en-AU"/>
        </w:rPr>
      </w:pPr>
      <w:r>
        <w:rPr>
          <w:rStyle w:val="FootnoteReference"/>
          <w:sz w:val="18"/>
          <w:szCs w:val="18"/>
        </w:rPr>
        <w:footnoteRef/>
      </w:r>
      <w:r>
        <w:rPr>
          <w:sz w:val="18"/>
          <w:szCs w:val="18"/>
        </w:rPr>
        <w:t xml:space="preserve"> M Virgos and E </w:t>
      </w:r>
      <w:proofErr w:type="spellStart"/>
      <w:r>
        <w:rPr>
          <w:sz w:val="18"/>
          <w:szCs w:val="18"/>
        </w:rPr>
        <w:t>Schmit</w:t>
      </w:r>
      <w:proofErr w:type="spellEnd"/>
      <w:r>
        <w:rPr>
          <w:sz w:val="18"/>
          <w:szCs w:val="18"/>
        </w:rPr>
        <w:t xml:space="preserve">, </w:t>
      </w:r>
      <w:r>
        <w:rPr>
          <w:i/>
          <w:iCs/>
          <w:sz w:val="18"/>
          <w:szCs w:val="18"/>
        </w:rPr>
        <w:t>Report on the Convention on Insolvency Proceedings</w:t>
      </w:r>
      <w:r>
        <w:rPr>
          <w:sz w:val="18"/>
          <w:szCs w:val="18"/>
        </w:rPr>
        <w:t>, Brussels 3 May 1996.</w:t>
      </w:r>
    </w:p>
  </w:footnote>
  <w:footnote w:id="109">
    <w:p w14:paraId="3DA530D9" w14:textId="77777777" w:rsidR="00DB542B" w:rsidRDefault="00DB542B" w:rsidP="00DB542B">
      <w:pPr>
        <w:pStyle w:val="FootnoteText"/>
        <w:rPr>
          <w:sz w:val="18"/>
          <w:szCs w:val="18"/>
          <w:lang w:val="en-AU"/>
        </w:rPr>
      </w:pPr>
      <w:r>
        <w:rPr>
          <w:rStyle w:val="FootnoteReference"/>
          <w:sz w:val="18"/>
          <w:szCs w:val="18"/>
        </w:rPr>
        <w:footnoteRef/>
      </w:r>
      <w:r>
        <w:rPr>
          <w:sz w:val="18"/>
          <w:szCs w:val="18"/>
        </w:rPr>
        <w:t xml:space="preserve"> </w:t>
      </w:r>
      <w:r>
        <w:rPr>
          <w:sz w:val="18"/>
          <w:szCs w:val="18"/>
          <w:lang w:val="en-AU"/>
        </w:rPr>
        <w:t>Ibid, para 7.1.</w:t>
      </w:r>
    </w:p>
  </w:footnote>
  <w:footnote w:id="110">
    <w:p w14:paraId="236FD758" w14:textId="18E8DD7B" w:rsidR="0001495B" w:rsidRPr="0001495B" w:rsidRDefault="0001495B">
      <w:pPr>
        <w:pStyle w:val="FootnoteText"/>
        <w:rPr>
          <w:lang w:val="en-AU"/>
        </w:rPr>
      </w:pPr>
      <w:r w:rsidRPr="00E406A7">
        <w:rPr>
          <w:rStyle w:val="FootnoteReference"/>
          <w:sz w:val="18"/>
          <w:szCs w:val="18"/>
        </w:rPr>
        <w:footnoteRef/>
      </w:r>
      <w:r w:rsidRPr="00E406A7">
        <w:rPr>
          <w:sz w:val="18"/>
          <w:szCs w:val="18"/>
        </w:rPr>
        <w:t xml:space="preserve"> </w:t>
      </w:r>
      <w:r w:rsidRPr="00E406A7">
        <w:rPr>
          <w:sz w:val="18"/>
          <w:szCs w:val="18"/>
          <w:lang w:val="en-AU"/>
        </w:rPr>
        <w:t>&lt;</w:t>
      </w:r>
      <w:r w:rsidR="008E6E31" w:rsidRPr="00E406A7">
        <w:rPr>
          <w:sz w:val="18"/>
          <w:szCs w:val="18"/>
          <w:lang w:val="en-AU"/>
        </w:rPr>
        <w:t>https://www.herbertsmithfreehills.com/insight/cross-border-insolvencies-in-the-uk-and-eu-%E2%80%93-a-post-brexit-guide</w:t>
      </w:r>
      <w:r w:rsidRPr="00E406A7">
        <w:rPr>
          <w:sz w:val="18"/>
          <w:szCs w:val="18"/>
          <w:lang w:val="en-AU"/>
        </w:rPr>
        <w:t>&gt; (accessed 15 November 2022)</w:t>
      </w:r>
      <w:r w:rsidR="00E406A7" w:rsidRPr="00E406A7">
        <w:rPr>
          <w:sz w:val="18"/>
          <w:szCs w:val="18"/>
          <w:lang w:val="en-AU"/>
        </w:rPr>
        <w:t>.</w:t>
      </w:r>
    </w:p>
  </w:footnote>
  <w:footnote w:id="111">
    <w:p w14:paraId="368223E3" w14:textId="47442BBC" w:rsidR="00561D03" w:rsidRPr="00561D03" w:rsidRDefault="00561D03">
      <w:pPr>
        <w:pStyle w:val="FootnoteText"/>
        <w:rPr>
          <w:lang w:val="en-AU"/>
        </w:rPr>
      </w:pPr>
      <w:r>
        <w:rPr>
          <w:rStyle w:val="FootnoteReference"/>
        </w:rPr>
        <w:footnoteRef/>
      </w:r>
      <w:r>
        <w:t xml:space="preserve"> </w:t>
      </w:r>
      <w:r w:rsidRPr="00E406A7">
        <w:rPr>
          <w:sz w:val="18"/>
          <w:szCs w:val="18"/>
          <w:lang w:val="en-AU"/>
        </w:rPr>
        <w:t>&lt;</w:t>
      </w:r>
      <w:r w:rsidR="001D1BBB" w:rsidRPr="001D1BBB">
        <w:rPr>
          <w:sz w:val="18"/>
          <w:szCs w:val="18"/>
          <w:lang w:val="en-AU"/>
        </w:rPr>
        <w:t>https://www.gov.uk/government/publications/cross-border-insolvencies-recognition-and-enforcement-in-eu-member-states/cross-border-insolvencies-recognition-and-enforcement-in-eu-member-states</w:t>
      </w:r>
      <w:r w:rsidRPr="00E406A7">
        <w:rPr>
          <w:sz w:val="18"/>
          <w:szCs w:val="18"/>
          <w:lang w:val="en-AU"/>
        </w:rPr>
        <w:t>&gt; (accessed 15 November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2540E9"/>
    <w:multiLevelType w:val="hybridMultilevel"/>
    <w:tmpl w:val="F51CE91E"/>
    <w:lvl w:ilvl="0" w:tplc="6C928DF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B3912D8"/>
    <w:multiLevelType w:val="hybridMultilevel"/>
    <w:tmpl w:val="D8F0097E"/>
    <w:lvl w:ilvl="0" w:tplc="D6B8EE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0520CD"/>
    <w:multiLevelType w:val="hybridMultilevel"/>
    <w:tmpl w:val="D5E41D9E"/>
    <w:lvl w:ilvl="0" w:tplc="A43061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2B196E"/>
    <w:multiLevelType w:val="multilevel"/>
    <w:tmpl w:val="744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4055D"/>
    <w:multiLevelType w:val="hybridMultilevel"/>
    <w:tmpl w:val="B4CC6416"/>
    <w:lvl w:ilvl="0" w:tplc="5D0E7A7E">
      <w:start w:val="1"/>
      <w:numFmt w:val="decimal"/>
      <w:lvlText w:val="%1."/>
      <w:lvlJc w:val="left"/>
      <w:pPr>
        <w:ind w:left="360" w:hanging="360"/>
      </w:pPr>
      <w:rPr>
        <w:rFonts w:hint="default"/>
        <w:color w:val="7B7B7B" w:themeColor="accent3"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AA42D1"/>
    <w:multiLevelType w:val="hybridMultilevel"/>
    <w:tmpl w:val="FF7E4266"/>
    <w:lvl w:ilvl="0" w:tplc="67E8A4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7095F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FB9274B"/>
    <w:multiLevelType w:val="hybridMultilevel"/>
    <w:tmpl w:val="647204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3CE2009"/>
    <w:multiLevelType w:val="hybridMultilevel"/>
    <w:tmpl w:val="60A8694E"/>
    <w:lvl w:ilvl="0" w:tplc="2C52BB8C">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D9630E"/>
    <w:multiLevelType w:val="hybridMultilevel"/>
    <w:tmpl w:val="52BA1AC6"/>
    <w:lvl w:ilvl="0" w:tplc="EC9002B0">
      <w:numFmt w:val="bullet"/>
      <w:lvlText w:val=""/>
      <w:lvlJc w:val="left"/>
      <w:pPr>
        <w:ind w:left="360" w:hanging="360"/>
      </w:pPr>
      <w:rPr>
        <w:rFonts w:ascii="Symbol" w:eastAsia="Times New Roman" w:hAnsi="Symbol" w:cs="Arial" w:hint="default"/>
        <w:color w:val="7B7B7B" w:themeColor="accent3" w:themeShade="B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459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32"/>
  </w:num>
  <w:num w:numId="3">
    <w:abstractNumId w:val="3"/>
  </w:num>
  <w:num w:numId="4">
    <w:abstractNumId w:val="4"/>
  </w:num>
  <w:num w:numId="5">
    <w:abstractNumId w:val="22"/>
  </w:num>
  <w:num w:numId="6">
    <w:abstractNumId w:val="27"/>
  </w:num>
  <w:num w:numId="7">
    <w:abstractNumId w:val="14"/>
  </w:num>
  <w:num w:numId="8">
    <w:abstractNumId w:val="33"/>
  </w:num>
  <w:num w:numId="9">
    <w:abstractNumId w:val="13"/>
  </w:num>
  <w:num w:numId="10">
    <w:abstractNumId w:val="30"/>
  </w:num>
  <w:num w:numId="11">
    <w:abstractNumId w:val="11"/>
  </w:num>
  <w:num w:numId="12">
    <w:abstractNumId w:val="31"/>
  </w:num>
  <w:num w:numId="13">
    <w:abstractNumId w:val="20"/>
  </w:num>
  <w:num w:numId="14">
    <w:abstractNumId w:val="19"/>
  </w:num>
  <w:num w:numId="15">
    <w:abstractNumId w:val="7"/>
  </w:num>
  <w:num w:numId="16">
    <w:abstractNumId w:val="23"/>
  </w:num>
  <w:num w:numId="17">
    <w:abstractNumId w:val="16"/>
  </w:num>
  <w:num w:numId="18">
    <w:abstractNumId w:val="18"/>
  </w:num>
  <w:num w:numId="19">
    <w:abstractNumId w:val="25"/>
  </w:num>
  <w:num w:numId="20">
    <w:abstractNumId w:val="10"/>
  </w:num>
  <w:num w:numId="21">
    <w:abstractNumId w:val="15"/>
  </w:num>
  <w:num w:numId="22">
    <w:abstractNumId w:val="0"/>
  </w:num>
  <w:num w:numId="23">
    <w:abstractNumId w:val="24"/>
  </w:num>
  <w:num w:numId="24">
    <w:abstractNumId w:val="1"/>
  </w:num>
  <w:num w:numId="25">
    <w:abstractNumId w:val="28"/>
  </w:num>
  <w:num w:numId="26">
    <w:abstractNumId w:val="12"/>
  </w:num>
  <w:num w:numId="27">
    <w:abstractNumId w:val="9"/>
  </w:num>
  <w:num w:numId="28">
    <w:abstractNumId w:val="5"/>
  </w:num>
  <w:num w:numId="29">
    <w:abstractNumId w:val="21"/>
  </w:num>
  <w:num w:numId="30">
    <w:abstractNumId w:val="8"/>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02D"/>
    <w:rsid w:val="000010DD"/>
    <w:rsid w:val="00001321"/>
    <w:rsid w:val="00001BA3"/>
    <w:rsid w:val="00003D8F"/>
    <w:rsid w:val="0000420A"/>
    <w:rsid w:val="00004AE7"/>
    <w:rsid w:val="00004C27"/>
    <w:rsid w:val="0000630A"/>
    <w:rsid w:val="00006EC4"/>
    <w:rsid w:val="00007968"/>
    <w:rsid w:val="00007F0F"/>
    <w:rsid w:val="00010BA0"/>
    <w:rsid w:val="000133EA"/>
    <w:rsid w:val="0001449B"/>
    <w:rsid w:val="0001495B"/>
    <w:rsid w:val="00015EE6"/>
    <w:rsid w:val="00020557"/>
    <w:rsid w:val="00022042"/>
    <w:rsid w:val="00022568"/>
    <w:rsid w:val="0002322B"/>
    <w:rsid w:val="000234B0"/>
    <w:rsid w:val="000250C7"/>
    <w:rsid w:val="00025C83"/>
    <w:rsid w:val="0002625B"/>
    <w:rsid w:val="00031918"/>
    <w:rsid w:val="000329A6"/>
    <w:rsid w:val="00034C0C"/>
    <w:rsid w:val="00036AE4"/>
    <w:rsid w:val="00036CCA"/>
    <w:rsid w:val="00037621"/>
    <w:rsid w:val="00040B8F"/>
    <w:rsid w:val="000419D4"/>
    <w:rsid w:val="000428C5"/>
    <w:rsid w:val="00043365"/>
    <w:rsid w:val="000436F0"/>
    <w:rsid w:val="00043960"/>
    <w:rsid w:val="000442E3"/>
    <w:rsid w:val="0004484C"/>
    <w:rsid w:val="00044D46"/>
    <w:rsid w:val="00045088"/>
    <w:rsid w:val="000452E0"/>
    <w:rsid w:val="00045904"/>
    <w:rsid w:val="00045D16"/>
    <w:rsid w:val="00045DC7"/>
    <w:rsid w:val="00046789"/>
    <w:rsid w:val="00050414"/>
    <w:rsid w:val="00050B16"/>
    <w:rsid w:val="000521C4"/>
    <w:rsid w:val="00052A5E"/>
    <w:rsid w:val="0005310B"/>
    <w:rsid w:val="00054EC2"/>
    <w:rsid w:val="00055EB9"/>
    <w:rsid w:val="00057BF2"/>
    <w:rsid w:val="00057DFD"/>
    <w:rsid w:val="0006130F"/>
    <w:rsid w:val="000617A8"/>
    <w:rsid w:val="00061F66"/>
    <w:rsid w:val="00062D42"/>
    <w:rsid w:val="00062E85"/>
    <w:rsid w:val="0006467B"/>
    <w:rsid w:val="000649D1"/>
    <w:rsid w:val="00064C44"/>
    <w:rsid w:val="00065166"/>
    <w:rsid w:val="0006555B"/>
    <w:rsid w:val="00066AE7"/>
    <w:rsid w:val="000678E8"/>
    <w:rsid w:val="0007091D"/>
    <w:rsid w:val="00070A34"/>
    <w:rsid w:val="00072587"/>
    <w:rsid w:val="00072FEA"/>
    <w:rsid w:val="00073452"/>
    <w:rsid w:val="00075D77"/>
    <w:rsid w:val="00076483"/>
    <w:rsid w:val="0007752B"/>
    <w:rsid w:val="000800C2"/>
    <w:rsid w:val="00080757"/>
    <w:rsid w:val="0008155B"/>
    <w:rsid w:val="000815BB"/>
    <w:rsid w:val="00081A63"/>
    <w:rsid w:val="00082609"/>
    <w:rsid w:val="00082B6D"/>
    <w:rsid w:val="0008457E"/>
    <w:rsid w:val="000851CC"/>
    <w:rsid w:val="00085349"/>
    <w:rsid w:val="00085D4B"/>
    <w:rsid w:val="00086BDD"/>
    <w:rsid w:val="00090933"/>
    <w:rsid w:val="0009123C"/>
    <w:rsid w:val="00092378"/>
    <w:rsid w:val="00093BE8"/>
    <w:rsid w:val="00093FE2"/>
    <w:rsid w:val="0009471C"/>
    <w:rsid w:val="0009504E"/>
    <w:rsid w:val="000A0041"/>
    <w:rsid w:val="000A01B9"/>
    <w:rsid w:val="000A0B25"/>
    <w:rsid w:val="000A0C1B"/>
    <w:rsid w:val="000A0E14"/>
    <w:rsid w:val="000A1B05"/>
    <w:rsid w:val="000A65E5"/>
    <w:rsid w:val="000A68ED"/>
    <w:rsid w:val="000A74CA"/>
    <w:rsid w:val="000B02D9"/>
    <w:rsid w:val="000B1FA8"/>
    <w:rsid w:val="000B41F3"/>
    <w:rsid w:val="000B4F1A"/>
    <w:rsid w:val="000B5B93"/>
    <w:rsid w:val="000B5C10"/>
    <w:rsid w:val="000B5FF1"/>
    <w:rsid w:val="000B609F"/>
    <w:rsid w:val="000B6B56"/>
    <w:rsid w:val="000B76E0"/>
    <w:rsid w:val="000B77CA"/>
    <w:rsid w:val="000C021F"/>
    <w:rsid w:val="000C0CC3"/>
    <w:rsid w:val="000C2C7F"/>
    <w:rsid w:val="000C6D40"/>
    <w:rsid w:val="000C708E"/>
    <w:rsid w:val="000D3495"/>
    <w:rsid w:val="000D55A8"/>
    <w:rsid w:val="000D57BE"/>
    <w:rsid w:val="000D6876"/>
    <w:rsid w:val="000E0165"/>
    <w:rsid w:val="000E0948"/>
    <w:rsid w:val="000E3A82"/>
    <w:rsid w:val="000E3C5A"/>
    <w:rsid w:val="000E406D"/>
    <w:rsid w:val="000E4841"/>
    <w:rsid w:val="000E5CB4"/>
    <w:rsid w:val="000E7F37"/>
    <w:rsid w:val="000F0DC0"/>
    <w:rsid w:val="000F0FFF"/>
    <w:rsid w:val="000F12BD"/>
    <w:rsid w:val="000F1677"/>
    <w:rsid w:val="000F3387"/>
    <w:rsid w:val="000F3D6C"/>
    <w:rsid w:val="000F3DC1"/>
    <w:rsid w:val="000F58B0"/>
    <w:rsid w:val="000F5CA8"/>
    <w:rsid w:val="000F756B"/>
    <w:rsid w:val="000F7CFE"/>
    <w:rsid w:val="00100A77"/>
    <w:rsid w:val="00101707"/>
    <w:rsid w:val="0010172C"/>
    <w:rsid w:val="00102F47"/>
    <w:rsid w:val="00104760"/>
    <w:rsid w:val="00105BB3"/>
    <w:rsid w:val="00105CBD"/>
    <w:rsid w:val="001107F2"/>
    <w:rsid w:val="00110B18"/>
    <w:rsid w:val="00110E0C"/>
    <w:rsid w:val="001131C6"/>
    <w:rsid w:val="0011333B"/>
    <w:rsid w:val="0011473D"/>
    <w:rsid w:val="00115C85"/>
    <w:rsid w:val="00115E45"/>
    <w:rsid w:val="001174E6"/>
    <w:rsid w:val="00120B4D"/>
    <w:rsid w:val="00120BD5"/>
    <w:rsid w:val="001223D5"/>
    <w:rsid w:val="0012303D"/>
    <w:rsid w:val="00123855"/>
    <w:rsid w:val="00124757"/>
    <w:rsid w:val="00124B70"/>
    <w:rsid w:val="00124FF3"/>
    <w:rsid w:val="00125A7C"/>
    <w:rsid w:val="00126A4D"/>
    <w:rsid w:val="00131AC3"/>
    <w:rsid w:val="00131D42"/>
    <w:rsid w:val="0013278B"/>
    <w:rsid w:val="001329BB"/>
    <w:rsid w:val="00135FFC"/>
    <w:rsid w:val="00136333"/>
    <w:rsid w:val="00136505"/>
    <w:rsid w:val="0014171F"/>
    <w:rsid w:val="0014257B"/>
    <w:rsid w:val="0014567B"/>
    <w:rsid w:val="0014622C"/>
    <w:rsid w:val="00146456"/>
    <w:rsid w:val="0015021E"/>
    <w:rsid w:val="00150677"/>
    <w:rsid w:val="00150848"/>
    <w:rsid w:val="00150F6C"/>
    <w:rsid w:val="00150FC6"/>
    <w:rsid w:val="001522E3"/>
    <w:rsid w:val="00152348"/>
    <w:rsid w:val="0015316F"/>
    <w:rsid w:val="0015328F"/>
    <w:rsid w:val="0015456D"/>
    <w:rsid w:val="00157719"/>
    <w:rsid w:val="001617C2"/>
    <w:rsid w:val="00161F1B"/>
    <w:rsid w:val="001620AF"/>
    <w:rsid w:val="00162829"/>
    <w:rsid w:val="001631F9"/>
    <w:rsid w:val="0016472D"/>
    <w:rsid w:val="00164B28"/>
    <w:rsid w:val="001677CC"/>
    <w:rsid w:val="00172549"/>
    <w:rsid w:val="00172C28"/>
    <w:rsid w:val="00173647"/>
    <w:rsid w:val="00180548"/>
    <w:rsid w:val="00180945"/>
    <w:rsid w:val="00180AC4"/>
    <w:rsid w:val="00180B1E"/>
    <w:rsid w:val="00180CCE"/>
    <w:rsid w:val="00181013"/>
    <w:rsid w:val="00181438"/>
    <w:rsid w:val="0018267A"/>
    <w:rsid w:val="001826E6"/>
    <w:rsid w:val="00182779"/>
    <w:rsid w:val="00182A8D"/>
    <w:rsid w:val="001830DF"/>
    <w:rsid w:val="00183285"/>
    <w:rsid w:val="001833C2"/>
    <w:rsid w:val="00183C64"/>
    <w:rsid w:val="00185A50"/>
    <w:rsid w:val="0018746B"/>
    <w:rsid w:val="001879CA"/>
    <w:rsid w:val="001915CB"/>
    <w:rsid w:val="00193AB3"/>
    <w:rsid w:val="00193AD3"/>
    <w:rsid w:val="00194CFD"/>
    <w:rsid w:val="001966D9"/>
    <w:rsid w:val="00197963"/>
    <w:rsid w:val="001979F3"/>
    <w:rsid w:val="001A21F4"/>
    <w:rsid w:val="001A2537"/>
    <w:rsid w:val="001A365E"/>
    <w:rsid w:val="001A3F00"/>
    <w:rsid w:val="001A620B"/>
    <w:rsid w:val="001A66E7"/>
    <w:rsid w:val="001A6C64"/>
    <w:rsid w:val="001A716A"/>
    <w:rsid w:val="001A7E9A"/>
    <w:rsid w:val="001B057B"/>
    <w:rsid w:val="001B0F70"/>
    <w:rsid w:val="001B1142"/>
    <w:rsid w:val="001B5016"/>
    <w:rsid w:val="001B5888"/>
    <w:rsid w:val="001B6CEE"/>
    <w:rsid w:val="001C228E"/>
    <w:rsid w:val="001C45FC"/>
    <w:rsid w:val="001C594A"/>
    <w:rsid w:val="001D0ED4"/>
    <w:rsid w:val="001D1BBB"/>
    <w:rsid w:val="001D1BF7"/>
    <w:rsid w:val="001D4862"/>
    <w:rsid w:val="001D632F"/>
    <w:rsid w:val="001D7EF2"/>
    <w:rsid w:val="001E1C34"/>
    <w:rsid w:val="001E1FB4"/>
    <w:rsid w:val="001E23FD"/>
    <w:rsid w:val="001E25B9"/>
    <w:rsid w:val="001E392F"/>
    <w:rsid w:val="001E49E0"/>
    <w:rsid w:val="001E5B0A"/>
    <w:rsid w:val="001E6052"/>
    <w:rsid w:val="001E7B5A"/>
    <w:rsid w:val="001E7EF3"/>
    <w:rsid w:val="001F0BCF"/>
    <w:rsid w:val="001F1478"/>
    <w:rsid w:val="001F2AF5"/>
    <w:rsid w:val="001F5204"/>
    <w:rsid w:val="001F603D"/>
    <w:rsid w:val="001F7412"/>
    <w:rsid w:val="001F7C77"/>
    <w:rsid w:val="00201386"/>
    <w:rsid w:val="002016F4"/>
    <w:rsid w:val="00202C2B"/>
    <w:rsid w:val="00204BF0"/>
    <w:rsid w:val="00205B31"/>
    <w:rsid w:val="0020725B"/>
    <w:rsid w:val="0020730B"/>
    <w:rsid w:val="00211B80"/>
    <w:rsid w:val="0021284A"/>
    <w:rsid w:val="00212B14"/>
    <w:rsid w:val="00216499"/>
    <w:rsid w:val="002164C0"/>
    <w:rsid w:val="00216CB4"/>
    <w:rsid w:val="002173C5"/>
    <w:rsid w:val="00220AC6"/>
    <w:rsid w:val="00223571"/>
    <w:rsid w:val="00223780"/>
    <w:rsid w:val="00224D9A"/>
    <w:rsid w:val="0022719C"/>
    <w:rsid w:val="00231F38"/>
    <w:rsid w:val="002362AB"/>
    <w:rsid w:val="0024001E"/>
    <w:rsid w:val="002400DB"/>
    <w:rsid w:val="002406A4"/>
    <w:rsid w:val="0024116D"/>
    <w:rsid w:val="00241B44"/>
    <w:rsid w:val="00245EFB"/>
    <w:rsid w:val="002526C5"/>
    <w:rsid w:val="002529D2"/>
    <w:rsid w:val="00252DF8"/>
    <w:rsid w:val="0025386E"/>
    <w:rsid w:val="00254AB3"/>
    <w:rsid w:val="00257151"/>
    <w:rsid w:val="00260AD1"/>
    <w:rsid w:val="0026167E"/>
    <w:rsid w:val="002638B0"/>
    <w:rsid w:val="0026510C"/>
    <w:rsid w:val="0026647A"/>
    <w:rsid w:val="002668D3"/>
    <w:rsid w:val="00266F17"/>
    <w:rsid w:val="002672D0"/>
    <w:rsid w:val="00270D04"/>
    <w:rsid w:val="002717DA"/>
    <w:rsid w:val="0027242B"/>
    <w:rsid w:val="002726AD"/>
    <w:rsid w:val="0027299F"/>
    <w:rsid w:val="00275182"/>
    <w:rsid w:val="00275946"/>
    <w:rsid w:val="00275A87"/>
    <w:rsid w:val="00276414"/>
    <w:rsid w:val="00276FEA"/>
    <w:rsid w:val="00280614"/>
    <w:rsid w:val="00280AED"/>
    <w:rsid w:val="0028252D"/>
    <w:rsid w:val="00284EBE"/>
    <w:rsid w:val="00286720"/>
    <w:rsid w:val="002872E1"/>
    <w:rsid w:val="00287B2E"/>
    <w:rsid w:val="00287D4D"/>
    <w:rsid w:val="00290116"/>
    <w:rsid w:val="0029283F"/>
    <w:rsid w:val="0029433F"/>
    <w:rsid w:val="00294829"/>
    <w:rsid w:val="00294EB4"/>
    <w:rsid w:val="00295742"/>
    <w:rsid w:val="0029690F"/>
    <w:rsid w:val="00297288"/>
    <w:rsid w:val="00297BDF"/>
    <w:rsid w:val="00297D9B"/>
    <w:rsid w:val="002A2A60"/>
    <w:rsid w:val="002A2E0C"/>
    <w:rsid w:val="002A3360"/>
    <w:rsid w:val="002A3815"/>
    <w:rsid w:val="002A6646"/>
    <w:rsid w:val="002A74AB"/>
    <w:rsid w:val="002A7856"/>
    <w:rsid w:val="002A7ECE"/>
    <w:rsid w:val="002B1C45"/>
    <w:rsid w:val="002B1CDD"/>
    <w:rsid w:val="002B2970"/>
    <w:rsid w:val="002B6423"/>
    <w:rsid w:val="002C1227"/>
    <w:rsid w:val="002C13C8"/>
    <w:rsid w:val="002C259C"/>
    <w:rsid w:val="002C306F"/>
    <w:rsid w:val="002C3547"/>
    <w:rsid w:val="002C4C9B"/>
    <w:rsid w:val="002C7B5D"/>
    <w:rsid w:val="002D0021"/>
    <w:rsid w:val="002D08DC"/>
    <w:rsid w:val="002D0EE1"/>
    <w:rsid w:val="002D10A3"/>
    <w:rsid w:val="002D13D5"/>
    <w:rsid w:val="002D17BB"/>
    <w:rsid w:val="002D1B19"/>
    <w:rsid w:val="002D2356"/>
    <w:rsid w:val="002D261F"/>
    <w:rsid w:val="002D295D"/>
    <w:rsid w:val="002D3473"/>
    <w:rsid w:val="002D35F6"/>
    <w:rsid w:val="002D3A7B"/>
    <w:rsid w:val="002D7F70"/>
    <w:rsid w:val="002E2B7A"/>
    <w:rsid w:val="002E37B7"/>
    <w:rsid w:val="002E3AF4"/>
    <w:rsid w:val="002E4A02"/>
    <w:rsid w:val="002E4A1F"/>
    <w:rsid w:val="002E66F4"/>
    <w:rsid w:val="002E6D76"/>
    <w:rsid w:val="002F0482"/>
    <w:rsid w:val="002F0FC5"/>
    <w:rsid w:val="002F11E4"/>
    <w:rsid w:val="002F14C5"/>
    <w:rsid w:val="002F1956"/>
    <w:rsid w:val="002F2B8D"/>
    <w:rsid w:val="002F3440"/>
    <w:rsid w:val="002F3B17"/>
    <w:rsid w:val="002F5DD8"/>
    <w:rsid w:val="002F75A3"/>
    <w:rsid w:val="002F75CD"/>
    <w:rsid w:val="002F7EB5"/>
    <w:rsid w:val="00301EA4"/>
    <w:rsid w:val="0030201F"/>
    <w:rsid w:val="00302723"/>
    <w:rsid w:val="00303C2F"/>
    <w:rsid w:val="0030558B"/>
    <w:rsid w:val="00306E87"/>
    <w:rsid w:val="00310FC2"/>
    <w:rsid w:val="003134B4"/>
    <w:rsid w:val="003144EF"/>
    <w:rsid w:val="00316B20"/>
    <w:rsid w:val="00320B16"/>
    <w:rsid w:val="00322342"/>
    <w:rsid w:val="00323821"/>
    <w:rsid w:val="0032538A"/>
    <w:rsid w:val="003253FB"/>
    <w:rsid w:val="00326292"/>
    <w:rsid w:val="00326415"/>
    <w:rsid w:val="003266F8"/>
    <w:rsid w:val="00330937"/>
    <w:rsid w:val="00330F31"/>
    <w:rsid w:val="003320BC"/>
    <w:rsid w:val="003326F0"/>
    <w:rsid w:val="00332CE1"/>
    <w:rsid w:val="00332EC3"/>
    <w:rsid w:val="00334648"/>
    <w:rsid w:val="003351CB"/>
    <w:rsid w:val="003351E4"/>
    <w:rsid w:val="00336365"/>
    <w:rsid w:val="00336CA6"/>
    <w:rsid w:val="0033768C"/>
    <w:rsid w:val="00337938"/>
    <w:rsid w:val="00340769"/>
    <w:rsid w:val="00341A65"/>
    <w:rsid w:val="00341AA6"/>
    <w:rsid w:val="00342E57"/>
    <w:rsid w:val="003459CB"/>
    <w:rsid w:val="00347D98"/>
    <w:rsid w:val="003500E5"/>
    <w:rsid w:val="00350D56"/>
    <w:rsid w:val="003530CB"/>
    <w:rsid w:val="00355B57"/>
    <w:rsid w:val="003577A9"/>
    <w:rsid w:val="00361A0A"/>
    <w:rsid w:val="00361DF9"/>
    <w:rsid w:val="0036565C"/>
    <w:rsid w:val="0036625E"/>
    <w:rsid w:val="00366944"/>
    <w:rsid w:val="00367162"/>
    <w:rsid w:val="00371899"/>
    <w:rsid w:val="00372777"/>
    <w:rsid w:val="00372AE2"/>
    <w:rsid w:val="00372CD4"/>
    <w:rsid w:val="0037386C"/>
    <w:rsid w:val="003739AE"/>
    <w:rsid w:val="0037465A"/>
    <w:rsid w:val="00375580"/>
    <w:rsid w:val="0038255B"/>
    <w:rsid w:val="00382C98"/>
    <w:rsid w:val="0038325E"/>
    <w:rsid w:val="00383827"/>
    <w:rsid w:val="00384604"/>
    <w:rsid w:val="00384E3D"/>
    <w:rsid w:val="00385041"/>
    <w:rsid w:val="0038533C"/>
    <w:rsid w:val="00385D73"/>
    <w:rsid w:val="00391804"/>
    <w:rsid w:val="00391B12"/>
    <w:rsid w:val="00392058"/>
    <w:rsid w:val="00392A0F"/>
    <w:rsid w:val="003937B9"/>
    <w:rsid w:val="003948D5"/>
    <w:rsid w:val="00394CD0"/>
    <w:rsid w:val="00395672"/>
    <w:rsid w:val="003957FD"/>
    <w:rsid w:val="00396821"/>
    <w:rsid w:val="00396CE5"/>
    <w:rsid w:val="003979A3"/>
    <w:rsid w:val="00397D3A"/>
    <w:rsid w:val="003A051E"/>
    <w:rsid w:val="003A0BBE"/>
    <w:rsid w:val="003A118C"/>
    <w:rsid w:val="003A2448"/>
    <w:rsid w:val="003A2F5D"/>
    <w:rsid w:val="003A3128"/>
    <w:rsid w:val="003A4108"/>
    <w:rsid w:val="003A49B8"/>
    <w:rsid w:val="003A5AD1"/>
    <w:rsid w:val="003A60FF"/>
    <w:rsid w:val="003A696A"/>
    <w:rsid w:val="003B170F"/>
    <w:rsid w:val="003B3C5F"/>
    <w:rsid w:val="003B5FE2"/>
    <w:rsid w:val="003B7383"/>
    <w:rsid w:val="003C00EB"/>
    <w:rsid w:val="003C1451"/>
    <w:rsid w:val="003C16CE"/>
    <w:rsid w:val="003C2017"/>
    <w:rsid w:val="003C33B4"/>
    <w:rsid w:val="003C4471"/>
    <w:rsid w:val="003C4D1C"/>
    <w:rsid w:val="003C5AF5"/>
    <w:rsid w:val="003C5F81"/>
    <w:rsid w:val="003C619F"/>
    <w:rsid w:val="003C6A64"/>
    <w:rsid w:val="003C745A"/>
    <w:rsid w:val="003D0A6D"/>
    <w:rsid w:val="003D100A"/>
    <w:rsid w:val="003D10BA"/>
    <w:rsid w:val="003D20C1"/>
    <w:rsid w:val="003D284D"/>
    <w:rsid w:val="003D299A"/>
    <w:rsid w:val="003D3045"/>
    <w:rsid w:val="003D3410"/>
    <w:rsid w:val="003D4300"/>
    <w:rsid w:val="003D6AC4"/>
    <w:rsid w:val="003D70E9"/>
    <w:rsid w:val="003D7B57"/>
    <w:rsid w:val="003E004D"/>
    <w:rsid w:val="003E03D4"/>
    <w:rsid w:val="003E064D"/>
    <w:rsid w:val="003E0B16"/>
    <w:rsid w:val="003E2C9E"/>
    <w:rsid w:val="003E2D1B"/>
    <w:rsid w:val="003E2E7C"/>
    <w:rsid w:val="003E4659"/>
    <w:rsid w:val="003E57AF"/>
    <w:rsid w:val="003E67D1"/>
    <w:rsid w:val="003F0B80"/>
    <w:rsid w:val="003F1CFE"/>
    <w:rsid w:val="003F28F7"/>
    <w:rsid w:val="003F500E"/>
    <w:rsid w:val="003F5812"/>
    <w:rsid w:val="003F5869"/>
    <w:rsid w:val="003F655E"/>
    <w:rsid w:val="003F743B"/>
    <w:rsid w:val="003F74D9"/>
    <w:rsid w:val="00400920"/>
    <w:rsid w:val="00402C30"/>
    <w:rsid w:val="00403F09"/>
    <w:rsid w:val="00404EF7"/>
    <w:rsid w:val="0040511A"/>
    <w:rsid w:val="00405DC1"/>
    <w:rsid w:val="004112FE"/>
    <w:rsid w:val="00411E1B"/>
    <w:rsid w:val="00414BF9"/>
    <w:rsid w:val="00415DFF"/>
    <w:rsid w:val="00415F1F"/>
    <w:rsid w:val="0042108F"/>
    <w:rsid w:val="004214D4"/>
    <w:rsid w:val="004216EA"/>
    <w:rsid w:val="004235F4"/>
    <w:rsid w:val="004258D6"/>
    <w:rsid w:val="00426223"/>
    <w:rsid w:val="00426969"/>
    <w:rsid w:val="00426B64"/>
    <w:rsid w:val="00427583"/>
    <w:rsid w:val="00430FED"/>
    <w:rsid w:val="00431F6F"/>
    <w:rsid w:val="0043343A"/>
    <w:rsid w:val="00433AB6"/>
    <w:rsid w:val="00434A8C"/>
    <w:rsid w:val="00435A01"/>
    <w:rsid w:val="00437297"/>
    <w:rsid w:val="00437ABE"/>
    <w:rsid w:val="0044074D"/>
    <w:rsid w:val="00440AC5"/>
    <w:rsid w:val="004436FE"/>
    <w:rsid w:val="00444284"/>
    <w:rsid w:val="004442F1"/>
    <w:rsid w:val="00445CE6"/>
    <w:rsid w:val="0044624A"/>
    <w:rsid w:val="004463EE"/>
    <w:rsid w:val="00446987"/>
    <w:rsid w:val="00446FDA"/>
    <w:rsid w:val="004514B2"/>
    <w:rsid w:val="00452662"/>
    <w:rsid w:val="0045328A"/>
    <w:rsid w:val="004534C2"/>
    <w:rsid w:val="004538FD"/>
    <w:rsid w:val="00453967"/>
    <w:rsid w:val="0045417A"/>
    <w:rsid w:val="0045446F"/>
    <w:rsid w:val="00454C9D"/>
    <w:rsid w:val="0045520B"/>
    <w:rsid w:val="0045683E"/>
    <w:rsid w:val="004568EE"/>
    <w:rsid w:val="0046142D"/>
    <w:rsid w:val="0046274F"/>
    <w:rsid w:val="0046298C"/>
    <w:rsid w:val="00462A19"/>
    <w:rsid w:val="00463259"/>
    <w:rsid w:val="004645D2"/>
    <w:rsid w:val="00465111"/>
    <w:rsid w:val="0046572B"/>
    <w:rsid w:val="004659E0"/>
    <w:rsid w:val="00466ED6"/>
    <w:rsid w:val="00467C71"/>
    <w:rsid w:val="00470559"/>
    <w:rsid w:val="0047084C"/>
    <w:rsid w:val="00470A63"/>
    <w:rsid w:val="00470C55"/>
    <w:rsid w:val="004715C1"/>
    <w:rsid w:val="004731F4"/>
    <w:rsid w:val="00473B00"/>
    <w:rsid w:val="00481FC8"/>
    <w:rsid w:val="0048258B"/>
    <w:rsid w:val="00482C52"/>
    <w:rsid w:val="00482FE3"/>
    <w:rsid w:val="0048413E"/>
    <w:rsid w:val="00485BAE"/>
    <w:rsid w:val="00486065"/>
    <w:rsid w:val="004863DF"/>
    <w:rsid w:val="00486776"/>
    <w:rsid w:val="004868BB"/>
    <w:rsid w:val="00491675"/>
    <w:rsid w:val="004936B4"/>
    <w:rsid w:val="00493855"/>
    <w:rsid w:val="004950FB"/>
    <w:rsid w:val="004962FC"/>
    <w:rsid w:val="00497558"/>
    <w:rsid w:val="00497CF9"/>
    <w:rsid w:val="004A27CB"/>
    <w:rsid w:val="004A33C5"/>
    <w:rsid w:val="004A57DD"/>
    <w:rsid w:val="004A7B51"/>
    <w:rsid w:val="004A7D71"/>
    <w:rsid w:val="004A7EF3"/>
    <w:rsid w:val="004B0830"/>
    <w:rsid w:val="004B0EBE"/>
    <w:rsid w:val="004B10C5"/>
    <w:rsid w:val="004B11FD"/>
    <w:rsid w:val="004B23A2"/>
    <w:rsid w:val="004B25E4"/>
    <w:rsid w:val="004B3955"/>
    <w:rsid w:val="004B428D"/>
    <w:rsid w:val="004B5623"/>
    <w:rsid w:val="004B607C"/>
    <w:rsid w:val="004C02F9"/>
    <w:rsid w:val="004C1DA6"/>
    <w:rsid w:val="004C1FCA"/>
    <w:rsid w:val="004C59A4"/>
    <w:rsid w:val="004C5E4F"/>
    <w:rsid w:val="004C7030"/>
    <w:rsid w:val="004D080C"/>
    <w:rsid w:val="004D09D5"/>
    <w:rsid w:val="004D10F7"/>
    <w:rsid w:val="004D1A5A"/>
    <w:rsid w:val="004D2FFF"/>
    <w:rsid w:val="004D3721"/>
    <w:rsid w:val="004D3C17"/>
    <w:rsid w:val="004D4872"/>
    <w:rsid w:val="004D6315"/>
    <w:rsid w:val="004D64F9"/>
    <w:rsid w:val="004D687E"/>
    <w:rsid w:val="004E0BC5"/>
    <w:rsid w:val="004E1802"/>
    <w:rsid w:val="004E1D03"/>
    <w:rsid w:val="004E340F"/>
    <w:rsid w:val="004E3528"/>
    <w:rsid w:val="004E4224"/>
    <w:rsid w:val="004E5A14"/>
    <w:rsid w:val="004E622C"/>
    <w:rsid w:val="004E64DB"/>
    <w:rsid w:val="004E72A6"/>
    <w:rsid w:val="004F0520"/>
    <w:rsid w:val="004F1534"/>
    <w:rsid w:val="004F2DD1"/>
    <w:rsid w:val="004F301B"/>
    <w:rsid w:val="004F3375"/>
    <w:rsid w:val="004F3B43"/>
    <w:rsid w:val="004F55F1"/>
    <w:rsid w:val="004F5FDF"/>
    <w:rsid w:val="004F7A5D"/>
    <w:rsid w:val="0050085E"/>
    <w:rsid w:val="0050156C"/>
    <w:rsid w:val="00501DE5"/>
    <w:rsid w:val="005029BD"/>
    <w:rsid w:val="00504AFA"/>
    <w:rsid w:val="005059A4"/>
    <w:rsid w:val="005077CE"/>
    <w:rsid w:val="0051101C"/>
    <w:rsid w:val="005115F1"/>
    <w:rsid w:val="005152B1"/>
    <w:rsid w:val="00515756"/>
    <w:rsid w:val="00515F63"/>
    <w:rsid w:val="00516568"/>
    <w:rsid w:val="00516F5B"/>
    <w:rsid w:val="005177FE"/>
    <w:rsid w:val="0052263B"/>
    <w:rsid w:val="00522AD3"/>
    <w:rsid w:val="00523D95"/>
    <w:rsid w:val="00524219"/>
    <w:rsid w:val="00524728"/>
    <w:rsid w:val="0052483F"/>
    <w:rsid w:val="00524840"/>
    <w:rsid w:val="00525459"/>
    <w:rsid w:val="00525C99"/>
    <w:rsid w:val="0052732A"/>
    <w:rsid w:val="00527527"/>
    <w:rsid w:val="00530010"/>
    <w:rsid w:val="00530CA0"/>
    <w:rsid w:val="00532283"/>
    <w:rsid w:val="005323A7"/>
    <w:rsid w:val="00532BD0"/>
    <w:rsid w:val="005331CA"/>
    <w:rsid w:val="005337E0"/>
    <w:rsid w:val="00533E76"/>
    <w:rsid w:val="0053523A"/>
    <w:rsid w:val="00535889"/>
    <w:rsid w:val="005361D9"/>
    <w:rsid w:val="00537970"/>
    <w:rsid w:val="00540E3A"/>
    <w:rsid w:val="005423CF"/>
    <w:rsid w:val="0054245E"/>
    <w:rsid w:val="00542E08"/>
    <w:rsid w:val="005433D7"/>
    <w:rsid w:val="00543941"/>
    <w:rsid w:val="00544127"/>
    <w:rsid w:val="005508BB"/>
    <w:rsid w:val="005526E2"/>
    <w:rsid w:val="00553EB2"/>
    <w:rsid w:val="00555C4D"/>
    <w:rsid w:val="00557F65"/>
    <w:rsid w:val="00560534"/>
    <w:rsid w:val="00561D03"/>
    <w:rsid w:val="00562B7A"/>
    <w:rsid w:val="0056391B"/>
    <w:rsid w:val="005650E2"/>
    <w:rsid w:val="00566D80"/>
    <w:rsid w:val="00566F00"/>
    <w:rsid w:val="00567AD7"/>
    <w:rsid w:val="005716C3"/>
    <w:rsid w:val="00573258"/>
    <w:rsid w:val="00573594"/>
    <w:rsid w:val="00574F35"/>
    <w:rsid w:val="00575B2D"/>
    <w:rsid w:val="005800D0"/>
    <w:rsid w:val="005833D0"/>
    <w:rsid w:val="00583C5E"/>
    <w:rsid w:val="005846F3"/>
    <w:rsid w:val="00584AA2"/>
    <w:rsid w:val="005859D2"/>
    <w:rsid w:val="0058622F"/>
    <w:rsid w:val="005863A2"/>
    <w:rsid w:val="005865D6"/>
    <w:rsid w:val="00586968"/>
    <w:rsid w:val="00590880"/>
    <w:rsid w:val="00590FE6"/>
    <w:rsid w:val="00591631"/>
    <w:rsid w:val="00592E7F"/>
    <w:rsid w:val="00592F82"/>
    <w:rsid w:val="00593572"/>
    <w:rsid w:val="005936B3"/>
    <w:rsid w:val="00594792"/>
    <w:rsid w:val="005953ED"/>
    <w:rsid w:val="00595B58"/>
    <w:rsid w:val="00596474"/>
    <w:rsid w:val="005966E3"/>
    <w:rsid w:val="00597D8F"/>
    <w:rsid w:val="005A0CCA"/>
    <w:rsid w:val="005A2152"/>
    <w:rsid w:val="005A2194"/>
    <w:rsid w:val="005A2628"/>
    <w:rsid w:val="005A26C6"/>
    <w:rsid w:val="005A383D"/>
    <w:rsid w:val="005A43F4"/>
    <w:rsid w:val="005A500C"/>
    <w:rsid w:val="005A5ACB"/>
    <w:rsid w:val="005A6D3E"/>
    <w:rsid w:val="005A726D"/>
    <w:rsid w:val="005A7D93"/>
    <w:rsid w:val="005B008E"/>
    <w:rsid w:val="005B0BB2"/>
    <w:rsid w:val="005B2AA0"/>
    <w:rsid w:val="005B4936"/>
    <w:rsid w:val="005B503A"/>
    <w:rsid w:val="005B67AC"/>
    <w:rsid w:val="005C01B0"/>
    <w:rsid w:val="005C0350"/>
    <w:rsid w:val="005C26F1"/>
    <w:rsid w:val="005C2790"/>
    <w:rsid w:val="005C2D9E"/>
    <w:rsid w:val="005C36E9"/>
    <w:rsid w:val="005C3B3A"/>
    <w:rsid w:val="005C41CF"/>
    <w:rsid w:val="005C4FF2"/>
    <w:rsid w:val="005C5A6B"/>
    <w:rsid w:val="005C6778"/>
    <w:rsid w:val="005C6A56"/>
    <w:rsid w:val="005D0511"/>
    <w:rsid w:val="005D1C66"/>
    <w:rsid w:val="005D3437"/>
    <w:rsid w:val="005D43E0"/>
    <w:rsid w:val="005D5579"/>
    <w:rsid w:val="005D58A3"/>
    <w:rsid w:val="005D5FD0"/>
    <w:rsid w:val="005D6DCE"/>
    <w:rsid w:val="005D7292"/>
    <w:rsid w:val="005E092B"/>
    <w:rsid w:val="005E1B79"/>
    <w:rsid w:val="005E1EA8"/>
    <w:rsid w:val="005E2B20"/>
    <w:rsid w:val="005E2C3F"/>
    <w:rsid w:val="005E44F1"/>
    <w:rsid w:val="005E46E4"/>
    <w:rsid w:val="005E5A66"/>
    <w:rsid w:val="005E605E"/>
    <w:rsid w:val="005E645E"/>
    <w:rsid w:val="005E6959"/>
    <w:rsid w:val="005E73B9"/>
    <w:rsid w:val="005E7FE2"/>
    <w:rsid w:val="005F026D"/>
    <w:rsid w:val="005F0764"/>
    <w:rsid w:val="005F19FA"/>
    <w:rsid w:val="005F244F"/>
    <w:rsid w:val="005F2D0B"/>
    <w:rsid w:val="005F4209"/>
    <w:rsid w:val="005F437C"/>
    <w:rsid w:val="005F453F"/>
    <w:rsid w:val="005F4B31"/>
    <w:rsid w:val="005F5265"/>
    <w:rsid w:val="005F5449"/>
    <w:rsid w:val="005F6059"/>
    <w:rsid w:val="006007BC"/>
    <w:rsid w:val="0060196E"/>
    <w:rsid w:val="0060397D"/>
    <w:rsid w:val="00604723"/>
    <w:rsid w:val="00605185"/>
    <w:rsid w:val="00610388"/>
    <w:rsid w:val="00611E92"/>
    <w:rsid w:val="00612092"/>
    <w:rsid w:val="00612947"/>
    <w:rsid w:val="00612CA5"/>
    <w:rsid w:val="00613951"/>
    <w:rsid w:val="006141EB"/>
    <w:rsid w:val="00614858"/>
    <w:rsid w:val="006153EC"/>
    <w:rsid w:val="00617A37"/>
    <w:rsid w:val="0062038F"/>
    <w:rsid w:val="00620ACA"/>
    <w:rsid w:val="00621A17"/>
    <w:rsid w:val="00621F21"/>
    <w:rsid w:val="00622312"/>
    <w:rsid w:val="0062260C"/>
    <w:rsid w:val="00624A5D"/>
    <w:rsid w:val="00625DEA"/>
    <w:rsid w:val="00627CC9"/>
    <w:rsid w:val="00627E7B"/>
    <w:rsid w:val="00630542"/>
    <w:rsid w:val="00630727"/>
    <w:rsid w:val="00631106"/>
    <w:rsid w:val="00631E7B"/>
    <w:rsid w:val="00632E44"/>
    <w:rsid w:val="00633050"/>
    <w:rsid w:val="0063316D"/>
    <w:rsid w:val="00633641"/>
    <w:rsid w:val="00633DC9"/>
    <w:rsid w:val="00634622"/>
    <w:rsid w:val="00636808"/>
    <w:rsid w:val="0064043F"/>
    <w:rsid w:val="00641515"/>
    <w:rsid w:val="0064169B"/>
    <w:rsid w:val="00643ABE"/>
    <w:rsid w:val="00643D97"/>
    <w:rsid w:val="00643ED6"/>
    <w:rsid w:val="00646108"/>
    <w:rsid w:val="00646F7B"/>
    <w:rsid w:val="00651E87"/>
    <w:rsid w:val="006521CD"/>
    <w:rsid w:val="00652A22"/>
    <w:rsid w:val="00653584"/>
    <w:rsid w:val="006546D7"/>
    <w:rsid w:val="00654C2F"/>
    <w:rsid w:val="00655438"/>
    <w:rsid w:val="0065547D"/>
    <w:rsid w:val="00657087"/>
    <w:rsid w:val="0065715A"/>
    <w:rsid w:val="006574FC"/>
    <w:rsid w:val="006578EC"/>
    <w:rsid w:val="006609E8"/>
    <w:rsid w:val="006643E7"/>
    <w:rsid w:val="0066547C"/>
    <w:rsid w:val="00665FD1"/>
    <w:rsid w:val="006661EF"/>
    <w:rsid w:val="00672C19"/>
    <w:rsid w:val="006746CB"/>
    <w:rsid w:val="00674E37"/>
    <w:rsid w:val="00677AEB"/>
    <w:rsid w:val="00680868"/>
    <w:rsid w:val="00680EF2"/>
    <w:rsid w:val="00682A3E"/>
    <w:rsid w:val="00682D62"/>
    <w:rsid w:val="006850AE"/>
    <w:rsid w:val="00686C53"/>
    <w:rsid w:val="00687430"/>
    <w:rsid w:val="00687685"/>
    <w:rsid w:val="00687A1D"/>
    <w:rsid w:val="00690727"/>
    <w:rsid w:val="00690AC4"/>
    <w:rsid w:val="00690CD0"/>
    <w:rsid w:val="00692852"/>
    <w:rsid w:val="00693A8C"/>
    <w:rsid w:val="00697236"/>
    <w:rsid w:val="00697AB9"/>
    <w:rsid w:val="00697EA1"/>
    <w:rsid w:val="006A051A"/>
    <w:rsid w:val="006A1C6F"/>
    <w:rsid w:val="006A236F"/>
    <w:rsid w:val="006A2646"/>
    <w:rsid w:val="006A652B"/>
    <w:rsid w:val="006A6530"/>
    <w:rsid w:val="006A67AC"/>
    <w:rsid w:val="006A695F"/>
    <w:rsid w:val="006A6D1D"/>
    <w:rsid w:val="006A719E"/>
    <w:rsid w:val="006A7D47"/>
    <w:rsid w:val="006B2893"/>
    <w:rsid w:val="006B435A"/>
    <w:rsid w:val="006B4539"/>
    <w:rsid w:val="006B47A8"/>
    <w:rsid w:val="006B4C64"/>
    <w:rsid w:val="006B5AE8"/>
    <w:rsid w:val="006C595B"/>
    <w:rsid w:val="006C5CE2"/>
    <w:rsid w:val="006C69ED"/>
    <w:rsid w:val="006D00B1"/>
    <w:rsid w:val="006D0529"/>
    <w:rsid w:val="006D0605"/>
    <w:rsid w:val="006D176A"/>
    <w:rsid w:val="006D254E"/>
    <w:rsid w:val="006D2E17"/>
    <w:rsid w:val="006D3DF6"/>
    <w:rsid w:val="006D564C"/>
    <w:rsid w:val="006D6BD5"/>
    <w:rsid w:val="006E1945"/>
    <w:rsid w:val="006E1A00"/>
    <w:rsid w:val="006E1CB0"/>
    <w:rsid w:val="006E254C"/>
    <w:rsid w:val="006E2974"/>
    <w:rsid w:val="006E481A"/>
    <w:rsid w:val="006E5298"/>
    <w:rsid w:val="006E6A1F"/>
    <w:rsid w:val="006E6A6A"/>
    <w:rsid w:val="006E77B0"/>
    <w:rsid w:val="006F0FC4"/>
    <w:rsid w:val="006F172E"/>
    <w:rsid w:val="006F2D25"/>
    <w:rsid w:val="006F469B"/>
    <w:rsid w:val="006F6262"/>
    <w:rsid w:val="006F6B2E"/>
    <w:rsid w:val="006F734A"/>
    <w:rsid w:val="007004CF"/>
    <w:rsid w:val="00700D83"/>
    <w:rsid w:val="00704852"/>
    <w:rsid w:val="00704C24"/>
    <w:rsid w:val="00705A77"/>
    <w:rsid w:val="007074E9"/>
    <w:rsid w:val="00707954"/>
    <w:rsid w:val="00707BC5"/>
    <w:rsid w:val="0071070E"/>
    <w:rsid w:val="00710D80"/>
    <w:rsid w:val="00713B2C"/>
    <w:rsid w:val="00713CA6"/>
    <w:rsid w:val="00713DA4"/>
    <w:rsid w:val="007142FA"/>
    <w:rsid w:val="00714BF1"/>
    <w:rsid w:val="00716F42"/>
    <w:rsid w:val="00721383"/>
    <w:rsid w:val="007216AD"/>
    <w:rsid w:val="007231F9"/>
    <w:rsid w:val="007250D3"/>
    <w:rsid w:val="00726972"/>
    <w:rsid w:val="00726E9A"/>
    <w:rsid w:val="00727864"/>
    <w:rsid w:val="00727901"/>
    <w:rsid w:val="00732524"/>
    <w:rsid w:val="007333CC"/>
    <w:rsid w:val="007335D8"/>
    <w:rsid w:val="0073399A"/>
    <w:rsid w:val="007369C7"/>
    <w:rsid w:val="00741D74"/>
    <w:rsid w:val="00743531"/>
    <w:rsid w:val="00744B0E"/>
    <w:rsid w:val="007452BB"/>
    <w:rsid w:val="007462D9"/>
    <w:rsid w:val="00746A22"/>
    <w:rsid w:val="00751986"/>
    <w:rsid w:val="00752A1F"/>
    <w:rsid w:val="0075428A"/>
    <w:rsid w:val="00756ABD"/>
    <w:rsid w:val="007576A3"/>
    <w:rsid w:val="007603F5"/>
    <w:rsid w:val="00760A70"/>
    <w:rsid w:val="00760BB2"/>
    <w:rsid w:val="00760CBB"/>
    <w:rsid w:val="0076181C"/>
    <w:rsid w:val="00761C44"/>
    <w:rsid w:val="00764DB0"/>
    <w:rsid w:val="007671EB"/>
    <w:rsid w:val="0076764D"/>
    <w:rsid w:val="0076766F"/>
    <w:rsid w:val="00770DF5"/>
    <w:rsid w:val="00771DBA"/>
    <w:rsid w:val="007737D8"/>
    <w:rsid w:val="0077498C"/>
    <w:rsid w:val="00776F0A"/>
    <w:rsid w:val="00777070"/>
    <w:rsid w:val="007773A2"/>
    <w:rsid w:val="00782AD3"/>
    <w:rsid w:val="00782B3F"/>
    <w:rsid w:val="00784128"/>
    <w:rsid w:val="007844B9"/>
    <w:rsid w:val="00784CCF"/>
    <w:rsid w:val="00786431"/>
    <w:rsid w:val="0078662F"/>
    <w:rsid w:val="00787729"/>
    <w:rsid w:val="00787A5F"/>
    <w:rsid w:val="00790B4C"/>
    <w:rsid w:val="0079206E"/>
    <w:rsid w:val="00793173"/>
    <w:rsid w:val="007938BA"/>
    <w:rsid w:val="0079460E"/>
    <w:rsid w:val="007958F0"/>
    <w:rsid w:val="00797E1B"/>
    <w:rsid w:val="007A12A4"/>
    <w:rsid w:val="007A398B"/>
    <w:rsid w:val="007A6B97"/>
    <w:rsid w:val="007A6F29"/>
    <w:rsid w:val="007B07B0"/>
    <w:rsid w:val="007B07FB"/>
    <w:rsid w:val="007B1E13"/>
    <w:rsid w:val="007B3B1B"/>
    <w:rsid w:val="007B5180"/>
    <w:rsid w:val="007B5B5A"/>
    <w:rsid w:val="007B5F0B"/>
    <w:rsid w:val="007C0111"/>
    <w:rsid w:val="007C0260"/>
    <w:rsid w:val="007C0663"/>
    <w:rsid w:val="007C1AC9"/>
    <w:rsid w:val="007C1FCC"/>
    <w:rsid w:val="007C2831"/>
    <w:rsid w:val="007C2AA1"/>
    <w:rsid w:val="007C2BE7"/>
    <w:rsid w:val="007C2E04"/>
    <w:rsid w:val="007C3439"/>
    <w:rsid w:val="007C6201"/>
    <w:rsid w:val="007C7DD9"/>
    <w:rsid w:val="007D0348"/>
    <w:rsid w:val="007D03E9"/>
    <w:rsid w:val="007D13C6"/>
    <w:rsid w:val="007D18C8"/>
    <w:rsid w:val="007D1E28"/>
    <w:rsid w:val="007D2D8C"/>
    <w:rsid w:val="007D3435"/>
    <w:rsid w:val="007D4CAA"/>
    <w:rsid w:val="007D799A"/>
    <w:rsid w:val="007D7C92"/>
    <w:rsid w:val="007D7E30"/>
    <w:rsid w:val="007E1154"/>
    <w:rsid w:val="007E1212"/>
    <w:rsid w:val="007E1654"/>
    <w:rsid w:val="007E1BF2"/>
    <w:rsid w:val="007E227D"/>
    <w:rsid w:val="007E3AA5"/>
    <w:rsid w:val="007E3ADF"/>
    <w:rsid w:val="007E41A0"/>
    <w:rsid w:val="007E43C3"/>
    <w:rsid w:val="007E45CA"/>
    <w:rsid w:val="007E530F"/>
    <w:rsid w:val="007E5913"/>
    <w:rsid w:val="007E5972"/>
    <w:rsid w:val="007E6BA4"/>
    <w:rsid w:val="007E7477"/>
    <w:rsid w:val="007F105C"/>
    <w:rsid w:val="007F19A2"/>
    <w:rsid w:val="007F21A1"/>
    <w:rsid w:val="007F288D"/>
    <w:rsid w:val="007F3EA5"/>
    <w:rsid w:val="007F41F8"/>
    <w:rsid w:val="007F5B4C"/>
    <w:rsid w:val="007F5F5C"/>
    <w:rsid w:val="007F7B8F"/>
    <w:rsid w:val="00801B30"/>
    <w:rsid w:val="00801EA9"/>
    <w:rsid w:val="00803BE9"/>
    <w:rsid w:val="00804000"/>
    <w:rsid w:val="0080454E"/>
    <w:rsid w:val="008049B4"/>
    <w:rsid w:val="00804BC5"/>
    <w:rsid w:val="00804C32"/>
    <w:rsid w:val="00806302"/>
    <w:rsid w:val="00807119"/>
    <w:rsid w:val="008071D5"/>
    <w:rsid w:val="00807FE8"/>
    <w:rsid w:val="00811865"/>
    <w:rsid w:val="00812962"/>
    <w:rsid w:val="00814A55"/>
    <w:rsid w:val="0081547D"/>
    <w:rsid w:val="0081551E"/>
    <w:rsid w:val="00821C46"/>
    <w:rsid w:val="0082483F"/>
    <w:rsid w:val="00827849"/>
    <w:rsid w:val="008279C0"/>
    <w:rsid w:val="00834763"/>
    <w:rsid w:val="00835A31"/>
    <w:rsid w:val="008400CE"/>
    <w:rsid w:val="00840924"/>
    <w:rsid w:val="00841E70"/>
    <w:rsid w:val="00845226"/>
    <w:rsid w:val="00845483"/>
    <w:rsid w:val="00846C2D"/>
    <w:rsid w:val="008473AA"/>
    <w:rsid w:val="0085098A"/>
    <w:rsid w:val="0085098D"/>
    <w:rsid w:val="00852538"/>
    <w:rsid w:val="00852883"/>
    <w:rsid w:val="00852F37"/>
    <w:rsid w:val="008571F6"/>
    <w:rsid w:val="00857A02"/>
    <w:rsid w:val="00861E51"/>
    <w:rsid w:val="00862BC0"/>
    <w:rsid w:val="0086546D"/>
    <w:rsid w:val="008679DE"/>
    <w:rsid w:val="00870A34"/>
    <w:rsid w:val="00870B96"/>
    <w:rsid w:val="0087212E"/>
    <w:rsid w:val="008723F3"/>
    <w:rsid w:val="00873246"/>
    <w:rsid w:val="008753F7"/>
    <w:rsid w:val="00875E2E"/>
    <w:rsid w:val="00876556"/>
    <w:rsid w:val="00876641"/>
    <w:rsid w:val="00880F99"/>
    <w:rsid w:val="00881DA8"/>
    <w:rsid w:val="00881DE6"/>
    <w:rsid w:val="008837A6"/>
    <w:rsid w:val="008841E5"/>
    <w:rsid w:val="0088493E"/>
    <w:rsid w:val="00884D7C"/>
    <w:rsid w:val="008854C3"/>
    <w:rsid w:val="00887840"/>
    <w:rsid w:val="0089145D"/>
    <w:rsid w:val="00895CB3"/>
    <w:rsid w:val="00896FD7"/>
    <w:rsid w:val="00897428"/>
    <w:rsid w:val="008A15DA"/>
    <w:rsid w:val="008A2435"/>
    <w:rsid w:val="008A30C3"/>
    <w:rsid w:val="008A30EE"/>
    <w:rsid w:val="008A3FF0"/>
    <w:rsid w:val="008A4861"/>
    <w:rsid w:val="008A4DF2"/>
    <w:rsid w:val="008A6841"/>
    <w:rsid w:val="008A6CFE"/>
    <w:rsid w:val="008A7C43"/>
    <w:rsid w:val="008B2949"/>
    <w:rsid w:val="008B3EE8"/>
    <w:rsid w:val="008B40E7"/>
    <w:rsid w:val="008B4681"/>
    <w:rsid w:val="008B4ABC"/>
    <w:rsid w:val="008B4B58"/>
    <w:rsid w:val="008B5333"/>
    <w:rsid w:val="008B5476"/>
    <w:rsid w:val="008B5CF8"/>
    <w:rsid w:val="008B6223"/>
    <w:rsid w:val="008C0772"/>
    <w:rsid w:val="008C165D"/>
    <w:rsid w:val="008C4066"/>
    <w:rsid w:val="008C66E0"/>
    <w:rsid w:val="008C680A"/>
    <w:rsid w:val="008C6AC9"/>
    <w:rsid w:val="008C7F14"/>
    <w:rsid w:val="008D0122"/>
    <w:rsid w:val="008D04D9"/>
    <w:rsid w:val="008D1311"/>
    <w:rsid w:val="008D15FF"/>
    <w:rsid w:val="008D2143"/>
    <w:rsid w:val="008D3C9A"/>
    <w:rsid w:val="008D3E17"/>
    <w:rsid w:val="008D4156"/>
    <w:rsid w:val="008D5D34"/>
    <w:rsid w:val="008D7406"/>
    <w:rsid w:val="008D7718"/>
    <w:rsid w:val="008D7931"/>
    <w:rsid w:val="008D7AE3"/>
    <w:rsid w:val="008E220E"/>
    <w:rsid w:val="008E3339"/>
    <w:rsid w:val="008E3ADC"/>
    <w:rsid w:val="008E64D3"/>
    <w:rsid w:val="008E6E31"/>
    <w:rsid w:val="008E6F11"/>
    <w:rsid w:val="008E6FA3"/>
    <w:rsid w:val="008F0096"/>
    <w:rsid w:val="008F1A04"/>
    <w:rsid w:val="008F20FC"/>
    <w:rsid w:val="008F3248"/>
    <w:rsid w:val="008F4DF8"/>
    <w:rsid w:val="008F50C4"/>
    <w:rsid w:val="008F5DFF"/>
    <w:rsid w:val="008F5FFE"/>
    <w:rsid w:val="0090037B"/>
    <w:rsid w:val="009015F4"/>
    <w:rsid w:val="009023B9"/>
    <w:rsid w:val="00902835"/>
    <w:rsid w:val="0090283D"/>
    <w:rsid w:val="00903373"/>
    <w:rsid w:val="00904257"/>
    <w:rsid w:val="00905A43"/>
    <w:rsid w:val="009064FE"/>
    <w:rsid w:val="00906788"/>
    <w:rsid w:val="009078CE"/>
    <w:rsid w:val="009078FC"/>
    <w:rsid w:val="009108EF"/>
    <w:rsid w:val="00911C23"/>
    <w:rsid w:val="00912C79"/>
    <w:rsid w:val="00913FB9"/>
    <w:rsid w:val="00915010"/>
    <w:rsid w:val="0091528C"/>
    <w:rsid w:val="009173D1"/>
    <w:rsid w:val="009175CA"/>
    <w:rsid w:val="009202AB"/>
    <w:rsid w:val="00922052"/>
    <w:rsid w:val="0092350E"/>
    <w:rsid w:val="00923CCC"/>
    <w:rsid w:val="009253CB"/>
    <w:rsid w:val="00926D10"/>
    <w:rsid w:val="009275FE"/>
    <w:rsid w:val="00933091"/>
    <w:rsid w:val="009334CE"/>
    <w:rsid w:val="0093409D"/>
    <w:rsid w:val="00934537"/>
    <w:rsid w:val="009347C0"/>
    <w:rsid w:val="009355DB"/>
    <w:rsid w:val="00936D52"/>
    <w:rsid w:val="00937567"/>
    <w:rsid w:val="00940548"/>
    <w:rsid w:val="009407AD"/>
    <w:rsid w:val="00940C1F"/>
    <w:rsid w:val="0094122F"/>
    <w:rsid w:val="00942123"/>
    <w:rsid w:val="0094263A"/>
    <w:rsid w:val="00943E90"/>
    <w:rsid w:val="00944D1B"/>
    <w:rsid w:val="009466B4"/>
    <w:rsid w:val="00946EE0"/>
    <w:rsid w:val="0095029B"/>
    <w:rsid w:val="00950AA5"/>
    <w:rsid w:val="0095207B"/>
    <w:rsid w:val="009521C5"/>
    <w:rsid w:val="0095223A"/>
    <w:rsid w:val="009533CB"/>
    <w:rsid w:val="00953B5C"/>
    <w:rsid w:val="0095487C"/>
    <w:rsid w:val="00955199"/>
    <w:rsid w:val="0095526F"/>
    <w:rsid w:val="0095593A"/>
    <w:rsid w:val="00955CE0"/>
    <w:rsid w:val="009609CA"/>
    <w:rsid w:val="0096170E"/>
    <w:rsid w:val="00961BC2"/>
    <w:rsid w:val="00962045"/>
    <w:rsid w:val="009624DD"/>
    <w:rsid w:val="00963230"/>
    <w:rsid w:val="00966E44"/>
    <w:rsid w:val="00966EAE"/>
    <w:rsid w:val="009703BD"/>
    <w:rsid w:val="009708BB"/>
    <w:rsid w:val="00970AC4"/>
    <w:rsid w:val="009727DF"/>
    <w:rsid w:val="009729E8"/>
    <w:rsid w:val="00973C27"/>
    <w:rsid w:val="00975009"/>
    <w:rsid w:val="0097556A"/>
    <w:rsid w:val="00975640"/>
    <w:rsid w:val="00975B29"/>
    <w:rsid w:val="009767E8"/>
    <w:rsid w:val="00976C19"/>
    <w:rsid w:val="00976DA5"/>
    <w:rsid w:val="009773BA"/>
    <w:rsid w:val="00980DF0"/>
    <w:rsid w:val="00981608"/>
    <w:rsid w:val="009825B1"/>
    <w:rsid w:val="00983A54"/>
    <w:rsid w:val="00984680"/>
    <w:rsid w:val="009846FD"/>
    <w:rsid w:val="009853CF"/>
    <w:rsid w:val="0098669F"/>
    <w:rsid w:val="00987C47"/>
    <w:rsid w:val="00990F04"/>
    <w:rsid w:val="00991272"/>
    <w:rsid w:val="00991428"/>
    <w:rsid w:val="00992676"/>
    <w:rsid w:val="009940C5"/>
    <w:rsid w:val="00997A85"/>
    <w:rsid w:val="009A0501"/>
    <w:rsid w:val="009A2B27"/>
    <w:rsid w:val="009A2BCA"/>
    <w:rsid w:val="009A3D3C"/>
    <w:rsid w:val="009A4050"/>
    <w:rsid w:val="009A4714"/>
    <w:rsid w:val="009A5354"/>
    <w:rsid w:val="009A6A10"/>
    <w:rsid w:val="009A7156"/>
    <w:rsid w:val="009A7172"/>
    <w:rsid w:val="009B0723"/>
    <w:rsid w:val="009B07AD"/>
    <w:rsid w:val="009B0883"/>
    <w:rsid w:val="009B15E2"/>
    <w:rsid w:val="009B31BF"/>
    <w:rsid w:val="009C07C3"/>
    <w:rsid w:val="009C0B8E"/>
    <w:rsid w:val="009C1527"/>
    <w:rsid w:val="009C1BC8"/>
    <w:rsid w:val="009C1E0F"/>
    <w:rsid w:val="009C2442"/>
    <w:rsid w:val="009C2628"/>
    <w:rsid w:val="009C26AB"/>
    <w:rsid w:val="009C27B1"/>
    <w:rsid w:val="009C5EAF"/>
    <w:rsid w:val="009C687D"/>
    <w:rsid w:val="009C7F17"/>
    <w:rsid w:val="009C7F73"/>
    <w:rsid w:val="009D0811"/>
    <w:rsid w:val="009D0E12"/>
    <w:rsid w:val="009D0EE1"/>
    <w:rsid w:val="009D1FD6"/>
    <w:rsid w:val="009D229E"/>
    <w:rsid w:val="009D382E"/>
    <w:rsid w:val="009D43D0"/>
    <w:rsid w:val="009D510C"/>
    <w:rsid w:val="009D5CDB"/>
    <w:rsid w:val="009D6709"/>
    <w:rsid w:val="009D780C"/>
    <w:rsid w:val="009E13C1"/>
    <w:rsid w:val="009E2A9C"/>
    <w:rsid w:val="009E2AEB"/>
    <w:rsid w:val="009E2E27"/>
    <w:rsid w:val="009E3FB2"/>
    <w:rsid w:val="009E400E"/>
    <w:rsid w:val="009E44C0"/>
    <w:rsid w:val="009E4DE3"/>
    <w:rsid w:val="009E50C1"/>
    <w:rsid w:val="009E653D"/>
    <w:rsid w:val="009E7238"/>
    <w:rsid w:val="009F08DC"/>
    <w:rsid w:val="009F0C29"/>
    <w:rsid w:val="009F2472"/>
    <w:rsid w:val="009F3494"/>
    <w:rsid w:val="009F55F5"/>
    <w:rsid w:val="00A02198"/>
    <w:rsid w:val="00A047AD"/>
    <w:rsid w:val="00A047EE"/>
    <w:rsid w:val="00A057CA"/>
    <w:rsid w:val="00A060FD"/>
    <w:rsid w:val="00A10B27"/>
    <w:rsid w:val="00A11359"/>
    <w:rsid w:val="00A118A4"/>
    <w:rsid w:val="00A13F8F"/>
    <w:rsid w:val="00A149B7"/>
    <w:rsid w:val="00A153F3"/>
    <w:rsid w:val="00A15467"/>
    <w:rsid w:val="00A160E3"/>
    <w:rsid w:val="00A164F5"/>
    <w:rsid w:val="00A17224"/>
    <w:rsid w:val="00A177BC"/>
    <w:rsid w:val="00A17930"/>
    <w:rsid w:val="00A2274A"/>
    <w:rsid w:val="00A235B7"/>
    <w:rsid w:val="00A24482"/>
    <w:rsid w:val="00A249AC"/>
    <w:rsid w:val="00A253F5"/>
    <w:rsid w:val="00A2646D"/>
    <w:rsid w:val="00A270C3"/>
    <w:rsid w:val="00A27A7A"/>
    <w:rsid w:val="00A301D1"/>
    <w:rsid w:val="00A30ED3"/>
    <w:rsid w:val="00A31881"/>
    <w:rsid w:val="00A32858"/>
    <w:rsid w:val="00A3389F"/>
    <w:rsid w:val="00A3680B"/>
    <w:rsid w:val="00A40529"/>
    <w:rsid w:val="00A407EF"/>
    <w:rsid w:val="00A411B7"/>
    <w:rsid w:val="00A42661"/>
    <w:rsid w:val="00A4266C"/>
    <w:rsid w:val="00A45800"/>
    <w:rsid w:val="00A465B8"/>
    <w:rsid w:val="00A46B4C"/>
    <w:rsid w:val="00A50297"/>
    <w:rsid w:val="00A506D9"/>
    <w:rsid w:val="00A5117B"/>
    <w:rsid w:val="00A52E88"/>
    <w:rsid w:val="00A535B7"/>
    <w:rsid w:val="00A55B93"/>
    <w:rsid w:val="00A560B6"/>
    <w:rsid w:val="00A566E3"/>
    <w:rsid w:val="00A56CF7"/>
    <w:rsid w:val="00A56DBC"/>
    <w:rsid w:val="00A60074"/>
    <w:rsid w:val="00A60301"/>
    <w:rsid w:val="00A61985"/>
    <w:rsid w:val="00A64131"/>
    <w:rsid w:val="00A646E2"/>
    <w:rsid w:val="00A651A9"/>
    <w:rsid w:val="00A6627C"/>
    <w:rsid w:val="00A71019"/>
    <w:rsid w:val="00A71930"/>
    <w:rsid w:val="00A7565E"/>
    <w:rsid w:val="00A81029"/>
    <w:rsid w:val="00A82AFB"/>
    <w:rsid w:val="00A82FB4"/>
    <w:rsid w:val="00A8485D"/>
    <w:rsid w:val="00A86046"/>
    <w:rsid w:val="00A86584"/>
    <w:rsid w:val="00A86A7E"/>
    <w:rsid w:val="00A86B29"/>
    <w:rsid w:val="00A9056F"/>
    <w:rsid w:val="00A90BDB"/>
    <w:rsid w:val="00A91258"/>
    <w:rsid w:val="00A94F10"/>
    <w:rsid w:val="00A95C15"/>
    <w:rsid w:val="00A96062"/>
    <w:rsid w:val="00A96489"/>
    <w:rsid w:val="00A96BB0"/>
    <w:rsid w:val="00A97D88"/>
    <w:rsid w:val="00AA0E39"/>
    <w:rsid w:val="00AA1B24"/>
    <w:rsid w:val="00AA1F76"/>
    <w:rsid w:val="00AA23CE"/>
    <w:rsid w:val="00AA28AD"/>
    <w:rsid w:val="00AA2CBD"/>
    <w:rsid w:val="00AA2DB6"/>
    <w:rsid w:val="00AA434E"/>
    <w:rsid w:val="00AA5A58"/>
    <w:rsid w:val="00AA670C"/>
    <w:rsid w:val="00AB1B60"/>
    <w:rsid w:val="00AB1B91"/>
    <w:rsid w:val="00AB350E"/>
    <w:rsid w:val="00AB5A37"/>
    <w:rsid w:val="00AB61D6"/>
    <w:rsid w:val="00AB63DE"/>
    <w:rsid w:val="00AB685C"/>
    <w:rsid w:val="00AB6C2D"/>
    <w:rsid w:val="00AC08F7"/>
    <w:rsid w:val="00AC0A67"/>
    <w:rsid w:val="00AC126D"/>
    <w:rsid w:val="00AC3075"/>
    <w:rsid w:val="00AC33FB"/>
    <w:rsid w:val="00AC36E5"/>
    <w:rsid w:val="00AC3839"/>
    <w:rsid w:val="00AC487C"/>
    <w:rsid w:val="00AC5768"/>
    <w:rsid w:val="00AC6717"/>
    <w:rsid w:val="00AC7082"/>
    <w:rsid w:val="00AD0662"/>
    <w:rsid w:val="00AD109D"/>
    <w:rsid w:val="00AD1171"/>
    <w:rsid w:val="00AD1B6B"/>
    <w:rsid w:val="00AD331C"/>
    <w:rsid w:val="00AD57A5"/>
    <w:rsid w:val="00AD65A8"/>
    <w:rsid w:val="00AD74AD"/>
    <w:rsid w:val="00AD7A9A"/>
    <w:rsid w:val="00AE027F"/>
    <w:rsid w:val="00AE260F"/>
    <w:rsid w:val="00AE3F16"/>
    <w:rsid w:val="00AE4945"/>
    <w:rsid w:val="00AE4D6F"/>
    <w:rsid w:val="00AE5332"/>
    <w:rsid w:val="00AE7ED6"/>
    <w:rsid w:val="00AF228E"/>
    <w:rsid w:val="00AF455B"/>
    <w:rsid w:val="00AF4E32"/>
    <w:rsid w:val="00AF5899"/>
    <w:rsid w:val="00AF73D5"/>
    <w:rsid w:val="00B0034C"/>
    <w:rsid w:val="00B0123F"/>
    <w:rsid w:val="00B0187D"/>
    <w:rsid w:val="00B01A95"/>
    <w:rsid w:val="00B0281B"/>
    <w:rsid w:val="00B02EEA"/>
    <w:rsid w:val="00B04004"/>
    <w:rsid w:val="00B047CB"/>
    <w:rsid w:val="00B12F13"/>
    <w:rsid w:val="00B14819"/>
    <w:rsid w:val="00B17AA9"/>
    <w:rsid w:val="00B20CBC"/>
    <w:rsid w:val="00B2155B"/>
    <w:rsid w:val="00B221FF"/>
    <w:rsid w:val="00B2292D"/>
    <w:rsid w:val="00B26B31"/>
    <w:rsid w:val="00B26EFC"/>
    <w:rsid w:val="00B30323"/>
    <w:rsid w:val="00B30A70"/>
    <w:rsid w:val="00B32674"/>
    <w:rsid w:val="00B33280"/>
    <w:rsid w:val="00B333FE"/>
    <w:rsid w:val="00B34C34"/>
    <w:rsid w:val="00B3503B"/>
    <w:rsid w:val="00B35107"/>
    <w:rsid w:val="00B35B3C"/>
    <w:rsid w:val="00B378FA"/>
    <w:rsid w:val="00B40120"/>
    <w:rsid w:val="00B40733"/>
    <w:rsid w:val="00B42352"/>
    <w:rsid w:val="00B443F6"/>
    <w:rsid w:val="00B50712"/>
    <w:rsid w:val="00B51227"/>
    <w:rsid w:val="00B518D8"/>
    <w:rsid w:val="00B51975"/>
    <w:rsid w:val="00B52E4D"/>
    <w:rsid w:val="00B53AE6"/>
    <w:rsid w:val="00B54238"/>
    <w:rsid w:val="00B54F90"/>
    <w:rsid w:val="00B55220"/>
    <w:rsid w:val="00B55244"/>
    <w:rsid w:val="00B556B0"/>
    <w:rsid w:val="00B55C9E"/>
    <w:rsid w:val="00B55CE6"/>
    <w:rsid w:val="00B56B95"/>
    <w:rsid w:val="00B607DF"/>
    <w:rsid w:val="00B62723"/>
    <w:rsid w:val="00B6409C"/>
    <w:rsid w:val="00B64845"/>
    <w:rsid w:val="00B64A85"/>
    <w:rsid w:val="00B66053"/>
    <w:rsid w:val="00B7193E"/>
    <w:rsid w:val="00B72999"/>
    <w:rsid w:val="00B72FD7"/>
    <w:rsid w:val="00B736DF"/>
    <w:rsid w:val="00B74FBD"/>
    <w:rsid w:val="00B7502B"/>
    <w:rsid w:val="00B816A0"/>
    <w:rsid w:val="00B82586"/>
    <w:rsid w:val="00B829A3"/>
    <w:rsid w:val="00B84CE9"/>
    <w:rsid w:val="00B86537"/>
    <w:rsid w:val="00B86DB1"/>
    <w:rsid w:val="00B86FA2"/>
    <w:rsid w:val="00B875DB"/>
    <w:rsid w:val="00B87869"/>
    <w:rsid w:val="00B87A61"/>
    <w:rsid w:val="00B87B21"/>
    <w:rsid w:val="00B92004"/>
    <w:rsid w:val="00B92D5B"/>
    <w:rsid w:val="00B93F94"/>
    <w:rsid w:val="00B9417E"/>
    <w:rsid w:val="00B948AE"/>
    <w:rsid w:val="00BA0983"/>
    <w:rsid w:val="00BA1648"/>
    <w:rsid w:val="00BA2637"/>
    <w:rsid w:val="00BA2919"/>
    <w:rsid w:val="00BA35FF"/>
    <w:rsid w:val="00BB044D"/>
    <w:rsid w:val="00BB09FD"/>
    <w:rsid w:val="00BB0F2B"/>
    <w:rsid w:val="00BB1845"/>
    <w:rsid w:val="00BB278E"/>
    <w:rsid w:val="00BB5A37"/>
    <w:rsid w:val="00BB6955"/>
    <w:rsid w:val="00BB6F7A"/>
    <w:rsid w:val="00BB7F8A"/>
    <w:rsid w:val="00BC04F8"/>
    <w:rsid w:val="00BC1043"/>
    <w:rsid w:val="00BC2252"/>
    <w:rsid w:val="00BC3761"/>
    <w:rsid w:val="00BC48EB"/>
    <w:rsid w:val="00BC585F"/>
    <w:rsid w:val="00BC5898"/>
    <w:rsid w:val="00BC5B3D"/>
    <w:rsid w:val="00BC5D7D"/>
    <w:rsid w:val="00BC6BCE"/>
    <w:rsid w:val="00BC794A"/>
    <w:rsid w:val="00BD0299"/>
    <w:rsid w:val="00BD0F7F"/>
    <w:rsid w:val="00BD23B4"/>
    <w:rsid w:val="00BD260F"/>
    <w:rsid w:val="00BD288F"/>
    <w:rsid w:val="00BD3363"/>
    <w:rsid w:val="00BD3964"/>
    <w:rsid w:val="00BD3F18"/>
    <w:rsid w:val="00BD4B45"/>
    <w:rsid w:val="00BD64FB"/>
    <w:rsid w:val="00BD71D7"/>
    <w:rsid w:val="00BD785A"/>
    <w:rsid w:val="00BD7D49"/>
    <w:rsid w:val="00BE077D"/>
    <w:rsid w:val="00BE2464"/>
    <w:rsid w:val="00BE5EDD"/>
    <w:rsid w:val="00BE7FEB"/>
    <w:rsid w:val="00BF130D"/>
    <w:rsid w:val="00BF2492"/>
    <w:rsid w:val="00BF2B49"/>
    <w:rsid w:val="00BF2E7A"/>
    <w:rsid w:val="00BF3925"/>
    <w:rsid w:val="00BF3D02"/>
    <w:rsid w:val="00BF40B9"/>
    <w:rsid w:val="00BF462F"/>
    <w:rsid w:val="00BF50F7"/>
    <w:rsid w:val="00BF5D90"/>
    <w:rsid w:val="00BF756C"/>
    <w:rsid w:val="00C00090"/>
    <w:rsid w:val="00C00231"/>
    <w:rsid w:val="00C01017"/>
    <w:rsid w:val="00C01742"/>
    <w:rsid w:val="00C02380"/>
    <w:rsid w:val="00C02F29"/>
    <w:rsid w:val="00C04632"/>
    <w:rsid w:val="00C07852"/>
    <w:rsid w:val="00C07905"/>
    <w:rsid w:val="00C07B0B"/>
    <w:rsid w:val="00C101C5"/>
    <w:rsid w:val="00C11499"/>
    <w:rsid w:val="00C126F5"/>
    <w:rsid w:val="00C13122"/>
    <w:rsid w:val="00C14995"/>
    <w:rsid w:val="00C15A16"/>
    <w:rsid w:val="00C1724E"/>
    <w:rsid w:val="00C17C20"/>
    <w:rsid w:val="00C20337"/>
    <w:rsid w:val="00C20AFE"/>
    <w:rsid w:val="00C22A25"/>
    <w:rsid w:val="00C22CF3"/>
    <w:rsid w:val="00C26E4B"/>
    <w:rsid w:val="00C31102"/>
    <w:rsid w:val="00C31C63"/>
    <w:rsid w:val="00C33C84"/>
    <w:rsid w:val="00C3448A"/>
    <w:rsid w:val="00C3453F"/>
    <w:rsid w:val="00C34A50"/>
    <w:rsid w:val="00C35026"/>
    <w:rsid w:val="00C35671"/>
    <w:rsid w:val="00C35B77"/>
    <w:rsid w:val="00C36530"/>
    <w:rsid w:val="00C376EB"/>
    <w:rsid w:val="00C412A0"/>
    <w:rsid w:val="00C4187E"/>
    <w:rsid w:val="00C444EC"/>
    <w:rsid w:val="00C45A03"/>
    <w:rsid w:val="00C46EC1"/>
    <w:rsid w:val="00C50F86"/>
    <w:rsid w:val="00C51941"/>
    <w:rsid w:val="00C53E2C"/>
    <w:rsid w:val="00C5497B"/>
    <w:rsid w:val="00C550C8"/>
    <w:rsid w:val="00C56136"/>
    <w:rsid w:val="00C56B61"/>
    <w:rsid w:val="00C56D56"/>
    <w:rsid w:val="00C56EC5"/>
    <w:rsid w:val="00C570AC"/>
    <w:rsid w:val="00C5730D"/>
    <w:rsid w:val="00C57573"/>
    <w:rsid w:val="00C600CE"/>
    <w:rsid w:val="00C60631"/>
    <w:rsid w:val="00C606C3"/>
    <w:rsid w:val="00C620F4"/>
    <w:rsid w:val="00C628EA"/>
    <w:rsid w:val="00C629CB"/>
    <w:rsid w:val="00C646EA"/>
    <w:rsid w:val="00C64CE4"/>
    <w:rsid w:val="00C71F4F"/>
    <w:rsid w:val="00C72848"/>
    <w:rsid w:val="00C72906"/>
    <w:rsid w:val="00C750BA"/>
    <w:rsid w:val="00C769EF"/>
    <w:rsid w:val="00C7736C"/>
    <w:rsid w:val="00C778E3"/>
    <w:rsid w:val="00C7798D"/>
    <w:rsid w:val="00C80272"/>
    <w:rsid w:val="00C80942"/>
    <w:rsid w:val="00C82D87"/>
    <w:rsid w:val="00C839B3"/>
    <w:rsid w:val="00C849B2"/>
    <w:rsid w:val="00C85F15"/>
    <w:rsid w:val="00C8712A"/>
    <w:rsid w:val="00C90C02"/>
    <w:rsid w:val="00C90EF8"/>
    <w:rsid w:val="00C92A0D"/>
    <w:rsid w:val="00C947E4"/>
    <w:rsid w:val="00C952A2"/>
    <w:rsid w:val="00C95CFA"/>
    <w:rsid w:val="00C963D3"/>
    <w:rsid w:val="00C97223"/>
    <w:rsid w:val="00C97546"/>
    <w:rsid w:val="00CA1088"/>
    <w:rsid w:val="00CA1652"/>
    <w:rsid w:val="00CA1802"/>
    <w:rsid w:val="00CA2FBF"/>
    <w:rsid w:val="00CA3360"/>
    <w:rsid w:val="00CA48B6"/>
    <w:rsid w:val="00CA4EB2"/>
    <w:rsid w:val="00CA7A18"/>
    <w:rsid w:val="00CA7F4C"/>
    <w:rsid w:val="00CB092E"/>
    <w:rsid w:val="00CB098A"/>
    <w:rsid w:val="00CB262C"/>
    <w:rsid w:val="00CB2CBB"/>
    <w:rsid w:val="00CB3427"/>
    <w:rsid w:val="00CB4CE0"/>
    <w:rsid w:val="00CB5F53"/>
    <w:rsid w:val="00CB6812"/>
    <w:rsid w:val="00CB7283"/>
    <w:rsid w:val="00CB7674"/>
    <w:rsid w:val="00CB7CAC"/>
    <w:rsid w:val="00CC467D"/>
    <w:rsid w:val="00CC49B3"/>
    <w:rsid w:val="00CC5051"/>
    <w:rsid w:val="00CC5335"/>
    <w:rsid w:val="00CC5586"/>
    <w:rsid w:val="00CC579C"/>
    <w:rsid w:val="00CC5BA4"/>
    <w:rsid w:val="00CC5ECB"/>
    <w:rsid w:val="00CC7728"/>
    <w:rsid w:val="00CD0E2B"/>
    <w:rsid w:val="00CD0FFE"/>
    <w:rsid w:val="00CD135F"/>
    <w:rsid w:val="00CD2A9D"/>
    <w:rsid w:val="00CD2B39"/>
    <w:rsid w:val="00CD34DB"/>
    <w:rsid w:val="00CD377A"/>
    <w:rsid w:val="00CD466D"/>
    <w:rsid w:val="00CD4998"/>
    <w:rsid w:val="00CD499F"/>
    <w:rsid w:val="00CD729B"/>
    <w:rsid w:val="00CD7DBC"/>
    <w:rsid w:val="00CE1035"/>
    <w:rsid w:val="00CE10F0"/>
    <w:rsid w:val="00CE1C0E"/>
    <w:rsid w:val="00CE50CB"/>
    <w:rsid w:val="00CE62CA"/>
    <w:rsid w:val="00CF01D6"/>
    <w:rsid w:val="00CF0414"/>
    <w:rsid w:val="00CF0AC1"/>
    <w:rsid w:val="00CF2819"/>
    <w:rsid w:val="00CF4F9D"/>
    <w:rsid w:val="00CF5AD8"/>
    <w:rsid w:val="00CF60EB"/>
    <w:rsid w:val="00CF70DC"/>
    <w:rsid w:val="00CF717B"/>
    <w:rsid w:val="00D006D8"/>
    <w:rsid w:val="00D02CA6"/>
    <w:rsid w:val="00D03FBE"/>
    <w:rsid w:val="00D04DA6"/>
    <w:rsid w:val="00D053AA"/>
    <w:rsid w:val="00D068C5"/>
    <w:rsid w:val="00D07F87"/>
    <w:rsid w:val="00D126FB"/>
    <w:rsid w:val="00D148DC"/>
    <w:rsid w:val="00D1688E"/>
    <w:rsid w:val="00D17599"/>
    <w:rsid w:val="00D17FDC"/>
    <w:rsid w:val="00D223E4"/>
    <w:rsid w:val="00D24944"/>
    <w:rsid w:val="00D2550E"/>
    <w:rsid w:val="00D256C6"/>
    <w:rsid w:val="00D2592E"/>
    <w:rsid w:val="00D25F51"/>
    <w:rsid w:val="00D26324"/>
    <w:rsid w:val="00D31B2C"/>
    <w:rsid w:val="00D336F9"/>
    <w:rsid w:val="00D338A7"/>
    <w:rsid w:val="00D35229"/>
    <w:rsid w:val="00D35ADE"/>
    <w:rsid w:val="00D35EAE"/>
    <w:rsid w:val="00D37601"/>
    <w:rsid w:val="00D37A3E"/>
    <w:rsid w:val="00D4112B"/>
    <w:rsid w:val="00D420A4"/>
    <w:rsid w:val="00D43711"/>
    <w:rsid w:val="00D439AD"/>
    <w:rsid w:val="00D4685B"/>
    <w:rsid w:val="00D46969"/>
    <w:rsid w:val="00D4715A"/>
    <w:rsid w:val="00D500E1"/>
    <w:rsid w:val="00D5322E"/>
    <w:rsid w:val="00D535B6"/>
    <w:rsid w:val="00D55EAD"/>
    <w:rsid w:val="00D57C59"/>
    <w:rsid w:val="00D60215"/>
    <w:rsid w:val="00D60874"/>
    <w:rsid w:val="00D63EFD"/>
    <w:rsid w:val="00D6588F"/>
    <w:rsid w:val="00D676F1"/>
    <w:rsid w:val="00D67802"/>
    <w:rsid w:val="00D67828"/>
    <w:rsid w:val="00D67CE8"/>
    <w:rsid w:val="00D67E8B"/>
    <w:rsid w:val="00D70592"/>
    <w:rsid w:val="00D714E4"/>
    <w:rsid w:val="00D76E0B"/>
    <w:rsid w:val="00D77BDC"/>
    <w:rsid w:val="00D800CF"/>
    <w:rsid w:val="00D80DE6"/>
    <w:rsid w:val="00D814D8"/>
    <w:rsid w:val="00D829EB"/>
    <w:rsid w:val="00D83044"/>
    <w:rsid w:val="00D83316"/>
    <w:rsid w:val="00D84752"/>
    <w:rsid w:val="00D84BD2"/>
    <w:rsid w:val="00D85A9C"/>
    <w:rsid w:val="00D863AC"/>
    <w:rsid w:val="00D86A74"/>
    <w:rsid w:val="00D86B3B"/>
    <w:rsid w:val="00D8748A"/>
    <w:rsid w:val="00D87AB4"/>
    <w:rsid w:val="00D905E4"/>
    <w:rsid w:val="00D910D5"/>
    <w:rsid w:val="00D923A5"/>
    <w:rsid w:val="00D93196"/>
    <w:rsid w:val="00D931A2"/>
    <w:rsid w:val="00D959F5"/>
    <w:rsid w:val="00D970D2"/>
    <w:rsid w:val="00DA08D8"/>
    <w:rsid w:val="00DA0D19"/>
    <w:rsid w:val="00DA1F39"/>
    <w:rsid w:val="00DA42EF"/>
    <w:rsid w:val="00DA482A"/>
    <w:rsid w:val="00DB1A35"/>
    <w:rsid w:val="00DB2166"/>
    <w:rsid w:val="00DB243C"/>
    <w:rsid w:val="00DB482A"/>
    <w:rsid w:val="00DB542B"/>
    <w:rsid w:val="00DB56F2"/>
    <w:rsid w:val="00DB5D9B"/>
    <w:rsid w:val="00DB6E78"/>
    <w:rsid w:val="00DB6EF5"/>
    <w:rsid w:val="00DC2A3F"/>
    <w:rsid w:val="00DC2BEC"/>
    <w:rsid w:val="00DC2FDB"/>
    <w:rsid w:val="00DC3089"/>
    <w:rsid w:val="00DC3536"/>
    <w:rsid w:val="00DC4420"/>
    <w:rsid w:val="00DC47DA"/>
    <w:rsid w:val="00DC6681"/>
    <w:rsid w:val="00DD01DA"/>
    <w:rsid w:val="00DD0802"/>
    <w:rsid w:val="00DD0A55"/>
    <w:rsid w:val="00DD0B2C"/>
    <w:rsid w:val="00DD19C6"/>
    <w:rsid w:val="00DD2C98"/>
    <w:rsid w:val="00DD2E11"/>
    <w:rsid w:val="00DD3B50"/>
    <w:rsid w:val="00DD4E68"/>
    <w:rsid w:val="00DD511D"/>
    <w:rsid w:val="00DD526C"/>
    <w:rsid w:val="00DD59B5"/>
    <w:rsid w:val="00DD6923"/>
    <w:rsid w:val="00DD71B9"/>
    <w:rsid w:val="00DD7AD7"/>
    <w:rsid w:val="00DE03AF"/>
    <w:rsid w:val="00DE097E"/>
    <w:rsid w:val="00DE0EC9"/>
    <w:rsid w:val="00DE121C"/>
    <w:rsid w:val="00DE3147"/>
    <w:rsid w:val="00DE4444"/>
    <w:rsid w:val="00DE475E"/>
    <w:rsid w:val="00DE5E37"/>
    <w:rsid w:val="00DE63DA"/>
    <w:rsid w:val="00DE6633"/>
    <w:rsid w:val="00DE7120"/>
    <w:rsid w:val="00DF056D"/>
    <w:rsid w:val="00DF11E1"/>
    <w:rsid w:val="00DF14C7"/>
    <w:rsid w:val="00DF31C8"/>
    <w:rsid w:val="00DF3292"/>
    <w:rsid w:val="00DF4D51"/>
    <w:rsid w:val="00DF4F99"/>
    <w:rsid w:val="00DF687B"/>
    <w:rsid w:val="00DF75F8"/>
    <w:rsid w:val="00DF7A3A"/>
    <w:rsid w:val="00DF7AD4"/>
    <w:rsid w:val="00E005B7"/>
    <w:rsid w:val="00E009E1"/>
    <w:rsid w:val="00E00C00"/>
    <w:rsid w:val="00E00E54"/>
    <w:rsid w:val="00E01C69"/>
    <w:rsid w:val="00E01E30"/>
    <w:rsid w:val="00E027FB"/>
    <w:rsid w:val="00E03EED"/>
    <w:rsid w:val="00E041F9"/>
    <w:rsid w:val="00E04F87"/>
    <w:rsid w:val="00E05837"/>
    <w:rsid w:val="00E058A2"/>
    <w:rsid w:val="00E0649F"/>
    <w:rsid w:val="00E077E9"/>
    <w:rsid w:val="00E07C5A"/>
    <w:rsid w:val="00E10271"/>
    <w:rsid w:val="00E10A73"/>
    <w:rsid w:val="00E12C13"/>
    <w:rsid w:val="00E1403D"/>
    <w:rsid w:val="00E14459"/>
    <w:rsid w:val="00E1487A"/>
    <w:rsid w:val="00E1489C"/>
    <w:rsid w:val="00E15BA9"/>
    <w:rsid w:val="00E161D2"/>
    <w:rsid w:val="00E167F8"/>
    <w:rsid w:val="00E177E2"/>
    <w:rsid w:val="00E17BF1"/>
    <w:rsid w:val="00E20BAA"/>
    <w:rsid w:val="00E22DE4"/>
    <w:rsid w:val="00E23702"/>
    <w:rsid w:val="00E25124"/>
    <w:rsid w:val="00E26934"/>
    <w:rsid w:val="00E26B56"/>
    <w:rsid w:val="00E26E19"/>
    <w:rsid w:val="00E31DF3"/>
    <w:rsid w:val="00E339D4"/>
    <w:rsid w:val="00E36582"/>
    <w:rsid w:val="00E37049"/>
    <w:rsid w:val="00E3736E"/>
    <w:rsid w:val="00E3755B"/>
    <w:rsid w:val="00E406A7"/>
    <w:rsid w:val="00E411C7"/>
    <w:rsid w:val="00E4125E"/>
    <w:rsid w:val="00E4126D"/>
    <w:rsid w:val="00E44989"/>
    <w:rsid w:val="00E450A4"/>
    <w:rsid w:val="00E506BE"/>
    <w:rsid w:val="00E50BBE"/>
    <w:rsid w:val="00E518B6"/>
    <w:rsid w:val="00E525B9"/>
    <w:rsid w:val="00E535CF"/>
    <w:rsid w:val="00E53AE9"/>
    <w:rsid w:val="00E545FA"/>
    <w:rsid w:val="00E54ADD"/>
    <w:rsid w:val="00E55547"/>
    <w:rsid w:val="00E5581C"/>
    <w:rsid w:val="00E55E9B"/>
    <w:rsid w:val="00E5618B"/>
    <w:rsid w:val="00E5691C"/>
    <w:rsid w:val="00E57962"/>
    <w:rsid w:val="00E6115C"/>
    <w:rsid w:val="00E61363"/>
    <w:rsid w:val="00E6211B"/>
    <w:rsid w:val="00E6302B"/>
    <w:rsid w:val="00E6452F"/>
    <w:rsid w:val="00E64F45"/>
    <w:rsid w:val="00E65113"/>
    <w:rsid w:val="00E6525B"/>
    <w:rsid w:val="00E668F2"/>
    <w:rsid w:val="00E6742D"/>
    <w:rsid w:val="00E70DFD"/>
    <w:rsid w:val="00E718DF"/>
    <w:rsid w:val="00E71CB0"/>
    <w:rsid w:val="00E7537E"/>
    <w:rsid w:val="00E7793C"/>
    <w:rsid w:val="00E77C3D"/>
    <w:rsid w:val="00E80299"/>
    <w:rsid w:val="00E8234D"/>
    <w:rsid w:val="00E82672"/>
    <w:rsid w:val="00E8272F"/>
    <w:rsid w:val="00E84DA5"/>
    <w:rsid w:val="00E84DD5"/>
    <w:rsid w:val="00E8568B"/>
    <w:rsid w:val="00E85915"/>
    <w:rsid w:val="00E8651A"/>
    <w:rsid w:val="00E86549"/>
    <w:rsid w:val="00E86A60"/>
    <w:rsid w:val="00E86D64"/>
    <w:rsid w:val="00E90348"/>
    <w:rsid w:val="00E905B4"/>
    <w:rsid w:val="00E909F0"/>
    <w:rsid w:val="00E90B4B"/>
    <w:rsid w:val="00E90D47"/>
    <w:rsid w:val="00E91550"/>
    <w:rsid w:val="00E91632"/>
    <w:rsid w:val="00E91BE6"/>
    <w:rsid w:val="00E92DA7"/>
    <w:rsid w:val="00E93993"/>
    <w:rsid w:val="00E950C0"/>
    <w:rsid w:val="00E9597C"/>
    <w:rsid w:val="00E95AFF"/>
    <w:rsid w:val="00EA048E"/>
    <w:rsid w:val="00EA0879"/>
    <w:rsid w:val="00EA0913"/>
    <w:rsid w:val="00EA27BA"/>
    <w:rsid w:val="00EA4D77"/>
    <w:rsid w:val="00EA5317"/>
    <w:rsid w:val="00EA6550"/>
    <w:rsid w:val="00EA7BAB"/>
    <w:rsid w:val="00EB02BE"/>
    <w:rsid w:val="00EB146B"/>
    <w:rsid w:val="00EB21D4"/>
    <w:rsid w:val="00EB26C5"/>
    <w:rsid w:val="00EB2845"/>
    <w:rsid w:val="00EB2F5D"/>
    <w:rsid w:val="00EB45AC"/>
    <w:rsid w:val="00EB488B"/>
    <w:rsid w:val="00EB6668"/>
    <w:rsid w:val="00EB6A2F"/>
    <w:rsid w:val="00EC2069"/>
    <w:rsid w:val="00EC3875"/>
    <w:rsid w:val="00EC3BD1"/>
    <w:rsid w:val="00EC5031"/>
    <w:rsid w:val="00EC549E"/>
    <w:rsid w:val="00EC6E55"/>
    <w:rsid w:val="00EC7A10"/>
    <w:rsid w:val="00ED0BC4"/>
    <w:rsid w:val="00ED151E"/>
    <w:rsid w:val="00ED1782"/>
    <w:rsid w:val="00ED1DEC"/>
    <w:rsid w:val="00ED3055"/>
    <w:rsid w:val="00ED3BD6"/>
    <w:rsid w:val="00ED3CDA"/>
    <w:rsid w:val="00ED5C37"/>
    <w:rsid w:val="00ED617A"/>
    <w:rsid w:val="00ED69B5"/>
    <w:rsid w:val="00EE177A"/>
    <w:rsid w:val="00EE1A0E"/>
    <w:rsid w:val="00EE492C"/>
    <w:rsid w:val="00EE4971"/>
    <w:rsid w:val="00EE5A48"/>
    <w:rsid w:val="00EE5F7D"/>
    <w:rsid w:val="00EE6390"/>
    <w:rsid w:val="00EE7278"/>
    <w:rsid w:val="00EF090E"/>
    <w:rsid w:val="00EF16B6"/>
    <w:rsid w:val="00EF1B1A"/>
    <w:rsid w:val="00EF2D08"/>
    <w:rsid w:val="00EF3FDB"/>
    <w:rsid w:val="00EF526B"/>
    <w:rsid w:val="00EF54D7"/>
    <w:rsid w:val="00EF5705"/>
    <w:rsid w:val="00EF6653"/>
    <w:rsid w:val="00F030F8"/>
    <w:rsid w:val="00F033DA"/>
    <w:rsid w:val="00F0424E"/>
    <w:rsid w:val="00F0466B"/>
    <w:rsid w:val="00F04DA5"/>
    <w:rsid w:val="00F106CE"/>
    <w:rsid w:val="00F1096A"/>
    <w:rsid w:val="00F11DCD"/>
    <w:rsid w:val="00F12AA4"/>
    <w:rsid w:val="00F12F7B"/>
    <w:rsid w:val="00F135FE"/>
    <w:rsid w:val="00F13FB1"/>
    <w:rsid w:val="00F15181"/>
    <w:rsid w:val="00F1640B"/>
    <w:rsid w:val="00F2025D"/>
    <w:rsid w:val="00F20842"/>
    <w:rsid w:val="00F20845"/>
    <w:rsid w:val="00F228CA"/>
    <w:rsid w:val="00F237A4"/>
    <w:rsid w:val="00F239C2"/>
    <w:rsid w:val="00F247D8"/>
    <w:rsid w:val="00F27A16"/>
    <w:rsid w:val="00F27CD8"/>
    <w:rsid w:val="00F30351"/>
    <w:rsid w:val="00F30B50"/>
    <w:rsid w:val="00F3144D"/>
    <w:rsid w:val="00F3274E"/>
    <w:rsid w:val="00F3323E"/>
    <w:rsid w:val="00F33513"/>
    <w:rsid w:val="00F341F4"/>
    <w:rsid w:val="00F34F9D"/>
    <w:rsid w:val="00F34FAD"/>
    <w:rsid w:val="00F3554C"/>
    <w:rsid w:val="00F35CCE"/>
    <w:rsid w:val="00F35D73"/>
    <w:rsid w:val="00F366E1"/>
    <w:rsid w:val="00F37821"/>
    <w:rsid w:val="00F419F6"/>
    <w:rsid w:val="00F421E6"/>
    <w:rsid w:val="00F42B4B"/>
    <w:rsid w:val="00F4376C"/>
    <w:rsid w:val="00F43BA1"/>
    <w:rsid w:val="00F44D8C"/>
    <w:rsid w:val="00F45599"/>
    <w:rsid w:val="00F45944"/>
    <w:rsid w:val="00F50D48"/>
    <w:rsid w:val="00F5239B"/>
    <w:rsid w:val="00F52552"/>
    <w:rsid w:val="00F52E31"/>
    <w:rsid w:val="00F5304E"/>
    <w:rsid w:val="00F54776"/>
    <w:rsid w:val="00F5524B"/>
    <w:rsid w:val="00F56E72"/>
    <w:rsid w:val="00F5710B"/>
    <w:rsid w:val="00F614B0"/>
    <w:rsid w:val="00F61C66"/>
    <w:rsid w:val="00F61DD2"/>
    <w:rsid w:val="00F62000"/>
    <w:rsid w:val="00F6256A"/>
    <w:rsid w:val="00F63720"/>
    <w:rsid w:val="00F64CDA"/>
    <w:rsid w:val="00F65FB6"/>
    <w:rsid w:val="00F66AFF"/>
    <w:rsid w:val="00F71433"/>
    <w:rsid w:val="00F71CE8"/>
    <w:rsid w:val="00F738B0"/>
    <w:rsid w:val="00F7409A"/>
    <w:rsid w:val="00F747CE"/>
    <w:rsid w:val="00F77393"/>
    <w:rsid w:val="00F801C5"/>
    <w:rsid w:val="00F82185"/>
    <w:rsid w:val="00F82ADD"/>
    <w:rsid w:val="00F83231"/>
    <w:rsid w:val="00F843FA"/>
    <w:rsid w:val="00F844DC"/>
    <w:rsid w:val="00F85A51"/>
    <w:rsid w:val="00F85DB2"/>
    <w:rsid w:val="00F86FED"/>
    <w:rsid w:val="00F91FA7"/>
    <w:rsid w:val="00F94452"/>
    <w:rsid w:val="00F94E8D"/>
    <w:rsid w:val="00F95955"/>
    <w:rsid w:val="00F96AF1"/>
    <w:rsid w:val="00F97C5B"/>
    <w:rsid w:val="00FA0EB4"/>
    <w:rsid w:val="00FA1853"/>
    <w:rsid w:val="00FA29FD"/>
    <w:rsid w:val="00FA2A46"/>
    <w:rsid w:val="00FA32C0"/>
    <w:rsid w:val="00FA3739"/>
    <w:rsid w:val="00FA3D50"/>
    <w:rsid w:val="00FA4060"/>
    <w:rsid w:val="00FA43E7"/>
    <w:rsid w:val="00FB0EB1"/>
    <w:rsid w:val="00FB23C7"/>
    <w:rsid w:val="00FB2B21"/>
    <w:rsid w:val="00FB2C81"/>
    <w:rsid w:val="00FB3D80"/>
    <w:rsid w:val="00FB4AA8"/>
    <w:rsid w:val="00FB642E"/>
    <w:rsid w:val="00FB6700"/>
    <w:rsid w:val="00FB6703"/>
    <w:rsid w:val="00FB6D5E"/>
    <w:rsid w:val="00FB7C8F"/>
    <w:rsid w:val="00FB7D52"/>
    <w:rsid w:val="00FC14EA"/>
    <w:rsid w:val="00FC2368"/>
    <w:rsid w:val="00FC2741"/>
    <w:rsid w:val="00FC30E1"/>
    <w:rsid w:val="00FC337F"/>
    <w:rsid w:val="00FC343B"/>
    <w:rsid w:val="00FC374A"/>
    <w:rsid w:val="00FC4F43"/>
    <w:rsid w:val="00FC5D26"/>
    <w:rsid w:val="00FC7B47"/>
    <w:rsid w:val="00FD0169"/>
    <w:rsid w:val="00FD035C"/>
    <w:rsid w:val="00FD1240"/>
    <w:rsid w:val="00FD1A35"/>
    <w:rsid w:val="00FD2564"/>
    <w:rsid w:val="00FD36C5"/>
    <w:rsid w:val="00FD3FC5"/>
    <w:rsid w:val="00FD5117"/>
    <w:rsid w:val="00FD56BD"/>
    <w:rsid w:val="00FD5B6F"/>
    <w:rsid w:val="00FD5E2E"/>
    <w:rsid w:val="00FD6126"/>
    <w:rsid w:val="00FD6310"/>
    <w:rsid w:val="00FD6A2B"/>
    <w:rsid w:val="00FD719B"/>
    <w:rsid w:val="00FD77E3"/>
    <w:rsid w:val="00FD7C7B"/>
    <w:rsid w:val="00FE0030"/>
    <w:rsid w:val="00FE1D12"/>
    <w:rsid w:val="00FE2122"/>
    <w:rsid w:val="00FE2A86"/>
    <w:rsid w:val="00FE2E39"/>
    <w:rsid w:val="00FE6330"/>
    <w:rsid w:val="00FF0D81"/>
    <w:rsid w:val="00FF22DC"/>
    <w:rsid w:val="00FF296F"/>
    <w:rsid w:val="00FF2F44"/>
    <w:rsid w:val="00FF332F"/>
    <w:rsid w:val="00FF3529"/>
    <w:rsid w:val="00FF374B"/>
    <w:rsid w:val="00FF3A0A"/>
    <w:rsid w:val="00FF549A"/>
    <w:rsid w:val="00FF5E23"/>
    <w:rsid w:val="00FF64CE"/>
    <w:rsid w:val="00FF6D13"/>
    <w:rsid w:val="00FF7578"/>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7B5B5A"/>
    <w:rPr>
      <w:color w:val="605E5C"/>
      <w:shd w:val="clear" w:color="auto" w:fill="E1DFDD"/>
    </w:rPr>
  </w:style>
  <w:style w:type="paragraph" w:styleId="EndnoteText">
    <w:name w:val="endnote text"/>
    <w:basedOn w:val="Normal"/>
    <w:link w:val="EndnoteTextChar"/>
    <w:uiPriority w:val="99"/>
    <w:semiHidden/>
    <w:unhideWhenUsed/>
    <w:rsid w:val="007F5F5C"/>
    <w:rPr>
      <w:szCs w:val="20"/>
    </w:rPr>
  </w:style>
  <w:style w:type="character" w:customStyle="1" w:styleId="EndnoteTextChar">
    <w:name w:val="Endnote Text Char"/>
    <w:basedOn w:val="DefaultParagraphFont"/>
    <w:link w:val="EndnoteText"/>
    <w:uiPriority w:val="99"/>
    <w:semiHidden/>
    <w:rsid w:val="007F5F5C"/>
    <w:rPr>
      <w:rFonts w:eastAsia="Times New Roman"/>
      <w:sz w:val="20"/>
      <w:szCs w:val="20"/>
    </w:rPr>
  </w:style>
  <w:style w:type="character" w:styleId="EndnoteReference">
    <w:name w:val="endnote reference"/>
    <w:basedOn w:val="DefaultParagraphFont"/>
    <w:uiPriority w:val="99"/>
    <w:semiHidden/>
    <w:unhideWhenUsed/>
    <w:rsid w:val="007F5F5C"/>
    <w:rPr>
      <w:vertAlign w:val="superscript"/>
    </w:rPr>
  </w:style>
  <w:style w:type="character" w:styleId="Emphasis">
    <w:name w:val="Emphasis"/>
    <w:basedOn w:val="DefaultParagraphFont"/>
    <w:uiPriority w:val="20"/>
    <w:qFormat/>
    <w:rsid w:val="00E5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2456">
      <w:bodyDiv w:val="1"/>
      <w:marLeft w:val="0"/>
      <w:marRight w:val="0"/>
      <w:marTop w:val="0"/>
      <w:marBottom w:val="0"/>
      <w:divBdr>
        <w:top w:val="none" w:sz="0" w:space="0" w:color="auto"/>
        <w:left w:val="none" w:sz="0" w:space="0" w:color="auto"/>
        <w:bottom w:val="none" w:sz="0" w:space="0" w:color="auto"/>
        <w:right w:val="none" w:sz="0" w:space="0" w:color="auto"/>
      </w:divBdr>
    </w:div>
    <w:div w:id="410850899">
      <w:bodyDiv w:val="1"/>
      <w:marLeft w:val="0"/>
      <w:marRight w:val="0"/>
      <w:marTop w:val="0"/>
      <w:marBottom w:val="0"/>
      <w:divBdr>
        <w:top w:val="none" w:sz="0" w:space="0" w:color="auto"/>
        <w:left w:val="none" w:sz="0" w:space="0" w:color="auto"/>
        <w:bottom w:val="none" w:sz="0" w:space="0" w:color="auto"/>
        <w:right w:val="none" w:sz="0" w:space="0" w:color="auto"/>
      </w:divBdr>
    </w:div>
    <w:div w:id="41328473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00224542">
      <w:bodyDiv w:val="1"/>
      <w:marLeft w:val="0"/>
      <w:marRight w:val="0"/>
      <w:marTop w:val="0"/>
      <w:marBottom w:val="0"/>
      <w:divBdr>
        <w:top w:val="none" w:sz="0" w:space="0" w:color="auto"/>
        <w:left w:val="none" w:sz="0" w:space="0" w:color="auto"/>
        <w:bottom w:val="none" w:sz="0" w:space="0" w:color="auto"/>
        <w:right w:val="none" w:sz="0" w:space="0" w:color="auto"/>
      </w:divBdr>
    </w:div>
    <w:div w:id="80716313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46888779">
      <w:bodyDiv w:val="1"/>
      <w:marLeft w:val="0"/>
      <w:marRight w:val="0"/>
      <w:marTop w:val="0"/>
      <w:marBottom w:val="0"/>
      <w:divBdr>
        <w:top w:val="none" w:sz="0" w:space="0" w:color="auto"/>
        <w:left w:val="none" w:sz="0" w:space="0" w:color="auto"/>
        <w:bottom w:val="none" w:sz="0" w:space="0" w:color="auto"/>
        <w:right w:val="none" w:sz="0" w:space="0" w:color="auto"/>
      </w:divBdr>
    </w:div>
    <w:div w:id="1798644616">
      <w:bodyDiv w:val="1"/>
      <w:marLeft w:val="0"/>
      <w:marRight w:val="0"/>
      <w:marTop w:val="0"/>
      <w:marBottom w:val="0"/>
      <w:divBdr>
        <w:top w:val="none" w:sz="0" w:space="0" w:color="auto"/>
        <w:left w:val="none" w:sz="0" w:space="0" w:color="auto"/>
        <w:bottom w:val="none" w:sz="0" w:space="0" w:color="auto"/>
        <w:right w:val="none" w:sz="0" w:space="0" w:color="auto"/>
      </w:divBdr>
    </w:div>
    <w:div w:id="19696237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26</Pages>
  <Words>8650</Words>
  <Characters>49310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Hudson</cp:lastModifiedBy>
  <cp:revision>938</cp:revision>
  <cp:lastPrinted>2020-06-12T02:43:00Z</cp:lastPrinted>
  <dcterms:created xsi:type="dcterms:W3CDTF">2022-10-15T22:00:00Z</dcterms:created>
  <dcterms:modified xsi:type="dcterms:W3CDTF">2022-11-15T22:54:00Z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