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FB8A40B"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8A5099" w:rsidRDefault="002D2356" w:rsidP="008071D5">
      <w:pPr>
        <w:pStyle w:val="ListParagraph"/>
        <w:numPr>
          <w:ilvl w:val="0"/>
          <w:numId w:val="15"/>
        </w:numPr>
        <w:ind w:left="425" w:hanging="357"/>
        <w:jc w:val="both"/>
        <w:rPr>
          <w:rFonts w:ascii="Avenir Next" w:hAnsi="Avenir Next" w:cs="Arial"/>
          <w:sz w:val="22"/>
          <w:szCs w:val="22"/>
          <w:highlight w:val="yellow"/>
        </w:rPr>
      </w:pPr>
      <w:r w:rsidRPr="008A509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8A5099">
        <w:rPr>
          <w:rFonts w:ascii="Avenir Next" w:hAnsi="Avenir Next" w:cs="Arial"/>
          <w:sz w:val="22"/>
          <w:szCs w:val="22"/>
          <w:highlight w:val="yellow"/>
          <w:vertAlign w:val="superscript"/>
        </w:rPr>
        <w:t>th</w:t>
      </w:r>
      <w:r w:rsidRPr="008A509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A5099" w:rsidRDefault="002D2356" w:rsidP="008071D5">
      <w:pPr>
        <w:pStyle w:val="ListParagraph"/>
        <w:numPr>
          <w:ilvl w:val="0"/>
          <w:numId w:val="16"/>
        </w:numPr>
        <w:ind w:left="426"/>
        <w:jc w:val="both"/>
        <w:rPr>
          <w:rFonts w:ascii="Avenir Next" w:hAnsi="Avenir Next" w:cs="Arial"/>
          <w:sz w:val="22"/>
          <w:szCs w:val="22"/>
          <w:highlight w:val="yellow"/>
        </w:rPr>
      </w:pPr>
      <w:r w:rsidRPr="008A509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8A509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909F8" w:rsidRDefault="00466ED6" w:rsidP="008071D5">
      <w:pPr>
        <w:pStyle w:val="ListParagraph"/>
        <w:numPr>
          <w:ilvl w:val="0"/>
          <w:numId w:val="18"/>
        </w:numPr>
        <w:ind w:left="426"/>
        <w:jc w:val="both"/>
        <w:rPr>
          <w:rFonts w:ascii="Avenir Next" w:hAnsi="Avenir Next" w:cs="Arial"/>
          <w:sz w:val="22"/>
          <w:szCs w:val="22"/>
          <w:highlight w:val="yellow"/>
        </w:rPr>
      </w:pPr>
      <w:r w:rsidRPr="003909F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909F8" w:rsidRDefault="002D2356" w:rsidP="008071D5">
      <w:pPr>
        <w:pStyle w:val="ListParagraph"/>
        <w:numPr>
          <w:ilvl w:val="0"/>
          <w:numId w:val="19"/>
        </w:numPr>
        <w:ind w:left="425" w:hanging="357"/>
        <w:jc w:val="both"/>
        <w:rPr>
          <w:rFonts w:ascii="Avenir Next" w:hAnsi="Avenir Next" w:cs="Arial"/>
          <w:sz w:val="22"/>
          <w:szCs w:val="22"/>
          <w:highlight w:val="yellow"/>
        </w:rPr>
      </w:pPr>
      <w:r w:rsidRPr="003909F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909F8"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909F8">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3909F8"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3909F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909F8">
        <w:rPr>
          <w:rFonts w:ascii="Avenir Next" w:eastAsiaTheme="minorHAnsi" w:hAnsi="Avenir Next" w:cs="Arial"/>
          <w:sz w:val="22"/>
          <w:szCs w:val="22"/>
          <w:highlight w:val="yellow"/>
          <w:lang w:val="en-GB"/>
        </w:rPr>
        <w:t xml:space="preserve"> </w:t>
      </w:r>
      <w:r w:rsidRPr="003909F8">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909F8"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909F8">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3B9816D6" w14:textId="16002979" w:rsidR="003909F8" w:rsidRPr="003909F8" w:rsidRDefault="00F5239B" w:rsidP="003909F8">
      <w:pPr>
        <w:pStyle w:val="ListParagraph"/>
        <w:numPr>
          <w:ilvl w:val="0"/>
          <w:numId w:val="23"/>
        </w:numPr>
        <w:ind w:left="426"/>
        <w:jc w:val="both"/>
        <w:rPr>
          <w:rFonts w:ascii="Avenir Next" w:hAnsi="Avenir Next" w:cs="Arial"/>
          <w:sz w:val="22"/>
          <w:szCs w:val="22"/>
          <w:highlight w:val="yellow"/>
        </w:rPr>
      </w:pPr>
      <w:r w:rsidRPr="003909F8">
        <w:rPr>
          <w:rFonts w:ascii="Avenir Next" w:hAnsi="Avenir Next" w:cs="Arial"/>
          <w:sz w:val="22"/>
          <w:szCs w:val="22"/>
          <w:highlight w:val="yellow"/>
        </w:rPr>
        <w:t xml:space="preserve">This statement is true because </w:t>
      </w:r>
      <w:r w:rsidR="007B5180" w:rsidRPr="003909F8">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38A5C7A3" w14:textId="77777777" w:rsidR="003909F8" w:rsidRPr="003909F8" w:rsidRDefault="003909F8" w:rsidP="003909F8">
      <w:pPr>
        <w:pStyle w:val="ListParagraph"/>
        <w:ind w:left="426"/>
        <w:jc w:val="both"/>
        <w:rPr>
          <w:rFonts w:ascii="Avenir Next" w:hAnsi="Avenir Next" w:cs="Arial"/>
          <w:sz w:val="22"/>
          <w:szCs w:val="22"/>
          <w:highlight w:val="yellow"/>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6426D" w:rsidRDefault="009355DB" w:rsidP="008071D5">
      <w:pPr>
        <w:pStyle w:val="ListParagraph"/>
        <w:numPr>
          <w:ilvl w:val="0"/>
          <w:numId w:val="24"/>
        </w:numPr>
        <w:ind w:left="426"/>
        <w:jc w:val="both"/>
        <w:rPr>
          <w:rFonts w:ascii="Avenir Next" w:hAnsi="Avenir Next" w:cs="Arial"/>
          <w:sz w:val="22"/>
          <w:szCs w:val="22"/>
          <w:highlight w:val="yellow"/>
        </w:rPr>
      </w:pPr>
      <w:r w:rsidRPr="00F6426D">
        <w:rPr>
          <w:rFonts w:ascii="Avenir Next" w:hAnsi="Avenir Next" w:cs="Arial"/>
          <w:sz w:val="22"/>
          <w:szCs w:val="22"/>
          <w:highlight w:val="yellow"/>
        </w:rPr>
        <w:t xml:space="preserve">This statement is true because </w:t>
      </w:r>
      <w:r w:rsidR="005C4FF2" w:rsidRPr="00F6426D">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02372FF" w:rsidR="0081547D" w:rsidRDefault="00F6426D"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roots of the various insolvency law systems in Africa are based on the legal systems of the former colonial powers in each modern day country. </w:t>
      </w:r>
    </w:p>
    <w:p w14:paraId="0AFF6F3D" w14:textId="5C277E2D" w:rsidR="00F6426D" w:rsidRDefault="00F6426D" w:rsidP="00692852">
      <w:pPr>
        <w:ind w:left="720" w:hanging="720"/>
        <w:jc w:val="both"/>
        <w:rPr>
          <w:rFonts w:ascii="Avenir Next" w:hAnsi="Avenir Next" w:cs="Arial"/>
          <w:color w:val="808080" w:themeColor="background1" w:themeShade="80"/>
          <w:sz w:val="22"/>
          <w:szCs w:val="22"/>
          <w:lang w:val="en-GB"/>
        </w:rPr>
      </w:pPr>
    </w:p>
    <w:p w14:paraId="4C165BE8" w14:textId="5742C74D" w:rsidR="00F6426D" w:rsidRDefault="00F6426D" w:rsidP="00F6426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example the legal systems for each of the below countries is outlined below: </w:t>
      </w:r>
    </w:p>
    <w:p w14:paraId="27EB0A19" w14:textId="3E7E71F7" w:rsidR="00F6426D" w:rsidRDefault="00F6426D" w:rsidP="00F6426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South Africa – Roman-Dutch, English </w:t>
      </w:r>
    </w:p>
    <w:p w14:paraId="37E4BEB3" w14:textId="7464ADBB" w:rsidR="00F6426D" w:rsidRDefault="00F6426D" w:rsidP="00F6426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 Zambia</w:t>
      </w:r>
    </w:p>
    <w:p w14:paraId="6D850B48" w14:textId="7BDC7AF8" w:rsidR="00F6426D" w:rsidRDefault="00F6426D" w:rsidP="00F6426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Portuguese – Angola, Cape Verde </w:t>
      </w:r>
    </w:p>
    <w:p w14:paraId="259A6876" w14:textId="47E9F126" w:rsidR="00F6426D" w:rsidRDefault="00F6426D" w:rsidP="00F6426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French – Senegal </w:t>
      </w:r>
    </w:p>
    <w:p w14:paraId="74D527C7" w14:textId="77777777" w:rsidR="00F6426D" w:rsidRPr="00F6426D" w:rsidRDefault="00F6426D" w:rsidP="00F6426D">
      <w:pPr>
        <w:pStyle w:val="ListParagraph"/>
        <w:jc w:val="both"/>
        <w:rPr>
          <w:rFonts w:ascii="Avenir Next" w:hAnsi="Avenir Next" w:cs="Arial"/>
          <w:color w:val="808080" w:themeColor="background1" w:themeShade="80"/>
          <w:sz w:val="22"/>
          <w:szCs w:val="22"/>
          <w:lang w:val="en-GB"/>
        </w:rPr>
      </w:pPr>
    </w:p>
    <w:p w14:paraId="0B17CF2F" w14:textId="6D4BF36A" w:rsidR="0081547D" w:rsidRPr="00692852" w:rsidRDefault="00F6426D"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this is not true across the board, and a number of countries have now started to enact more modern legislation.  </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1B145950" w14:textId="0CD173A5" w:rsidR="00DB4D0E" w:rsidRDefault="00DB4D0E" w:rsidP="00DB4D0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1997 / 1998 financial crisis (the "</w:t>
      </w:r>
      <w:r w:rsidRPr="00DB4D0E">
        <w:rPr>
          <w:rFonts w:ascii="Avenir Next" w:hAnsi="Avenir Next" w:cs="Arial"/>
          <w:b/>
          <w:color w:val="808080" w:themeColor="background1" w:themeShade="80"/>
          <w:sz w:val="22"/>
          <w:szCs w:val="22"/>
          <w:lang w:val="en-GB"/>
        </w:rPr>
        <w:t>Asian Financial Crisis</w:t>
      </w:r>
      <w:r>
        <w:rPr>
          <w:rFonts w:ascii="Avenir Next" w:hAnsi="Avenir Next" w:cs="Arial"/>
          <w:color w:val="808080" w:themeColor="background1" w:themeShade="80"/>
          <w:sz w:val="22"/>
          <w:szCs w:val="22"/>
          <w:lang w:val="en-GB"/>
        </w:rPr>
        <w:t xml:space="preserve">"). This was an important event that led to insolvency law reform in Eastern Asia. </w:t>
      </w:r>
      <w:r w:rsidRPr="00DB4D0E">
        <w:rPr>
          <w:rFonts w:ascii="Avenir Next" w:hAnsi="Avenir Next" w:cs="Arial"/>
          <w:color w:val="808080" w:themeColor="background1" w:themeShade="80"/>
          <w:sz w:val="22"/>
          <w:szCs w:val="22"/>
          <w:lang w:val="en-GB"/>
        </w:rPr>
        <w:t>The Asian Financial Cr</w:t>
      </w:r>
      <w:r>
        <w:rPr>
          <w:rFonts w:ascii="Avenir Next" w:hAnsi="Avenir Next" w:cs="Arial"/>
          <w:color w:val="808080" w:themeColor="background1" w:themeShade="80"/>
          <w:sz w:val="22"/>
          <w:szCs w:val="22"/>
          <w:lang w:val="en-GB"/>
        </w:rPr>
        <w:t xml:space="preserve">isis started in July 1997 in </w:t>
      </w:r>
      <w:r w:rsidRPr="00DB4D0E">
        <w:rPr>
          <w:rFonts w:ascii="Avenir Next" w:hAnsi="Avenir Next" w:cs="Arial"/>
          <w:color w:val="808080" w:themeColor="background1" w:themeShade="80"/>
          <w:sz w:val="22"/>
          <w:szCs w:val="22"/>
          <w:lang w:val="en-GB"/>
        </w:rPr>
        <w:t xml:space="preserve">Thailand </w:t>
      </w:r>
      <w:r>
        <w:rPr>
          <w:rFonts w:ascii="Avenir Next" w:hAnsi="Avenir Next" w:cs="Arial"/>
          <w:color w:val="808080" w:themeColor="background1" w:themeShade="80"/>
          <w:sz w:val="22"/>
          <w:szCs w:val="22"/>
          <w:lang w:val="en-GB"/>
        </w:rPr>
        <w:t xml:space="preserve">when Thailand allowed the baht to devalue quickly (after it become financially unsustainable to support its value). Following this devaluation, there was then contagion to the rest of the East Asian economy, </w:t>
      </w:r>
      <w:r w:rsidRPr="00DB4D0E">
        <w:rPr>
          <w:rFonts w:ascii="Avenir Next" w:hAnsi="Avenir Next" w:cs="Arial"/>
          <w:color w:val="808080" w:themeColor="background1" w:themeShade="80"/>
          <w:sz w:val="22"/>
          <w:szCs w:val="22"/>
          <w:lang w:val="en-GB"/>
        </w:rPr>
        <w:t>with curr</w:t>
      </w:r>
      <w:r>
        <w:rPr>
          <w:rFonts w:ascii="Avenir Next" w:hAnsi="Avenir Next" w:cs="Arial"/>
          <w:color w:val="808080" w:themeColor="background1" w:themeShade="80"/>
          <w:sz w:val="22"/>
          <w:szCs w:val="22"/>
          <w:lang w:val="en-GB"/>
        </w:rPr>
        <w:t xml:space="preserve">encies across the region devaluing. As a result of this crisis many countries like </w:t>
      </w:r>
      <w:r w:rsidRPr="00DB4D0E">
        <w:rPr>
          <w:rFonts w:ascii="Avenir Next" w:hAnsi="Avenir Next" w:cs="Arial"/>
          <w:color w:val="808080" w:themeColor="background1" w:themeShade="80"/>
          <w:sz w:val="22"/>
          <w:szCs w:val="22"/>
          <w:lang w:val="en-GB"/>
        </w:rPr>
        <w:t xml:space="preserve">Thailand </w:t>
      </w:r>
      <w:r>
        <w:rPr>
          <w:rFonts w:ascii="Avenir Next" w:hAnsi="Avenir Next" w:cs="Arial"/>
          <w:color w:val="808080" w:themeColor="background1" w:themeShade="80"/>
          <w:sz w:val="22"/>
          <w:szCs w:val="22"/>
          <w:lang w:val="en-GB"/>
        </w:rPr>
        <w:t>and Indonesia</w:t>
      </w:r>
      <w:r w:rsidRPr="00DB4D0E">
        <w:rPr>
          <w:rFonts w:ascii="Avenir Next" w:hAnsi="Avenir Next" w:cs="Arial"/>
          <w:color w:val="808080" w:themeColor="background1" w:themeShade="80"/>
          <w:sz w:val="22"/>
          <w:szCs w:val="22"/>
          <w:lang w:val="en-GB"/>
        </w:rPr>
        <w:t xml:space="preserve"> overhauled their bankruptcy laws</w:t>
      </w:r>
      <w:r>
        <w:rPr>
          <w:rFonts w:ascii="Avenir Next" w:hAnsi="Avenir Next" w:cs="Arial"/>
          <w:color w:val="808080" w:themeColor="background1" w:themeShade="80"/>
          <w:sz w:val="22"/>
          <w:szCs w:val="22"/>
          <w:lang w:val="en-GB"/>
        </w:rPr>
        <w:t xml:space="preserve">. </w:t>
      </w:r>
    </w:p>
    <w:p w14:paraId="5A4E4AF8" w14:textId="4D156D63" w:rsidR="00DB4D0E" w:rsidRDefault="00DB4D0E" w:rsidP="00DB4D0E">
      <w:pPr>
        <w:ind w:left="720" w:hanging="720"/>
        <w:jc w:val="both"/>
        <w:rPr>
          <w:rFonts w:ascii="Avenir Next" w:hAnsi="Avenir Next" w:cs="Arial"/>
          <w:color w:val="808080" w:themeColor="background1" w:themeShade="80"/>
          <w:sz w:val="22"/>
          <w:szCs w:val="22"/>
          <w:lang w:val="en-GB"/>
        </w:rPr>
      </w:pPr>
    </w:p>
    <w:p w14:paraId="4A124A4D" w14:textId="1A779775" w:rsidR="00DB4D0E" w:rsidRDefault="00DB4D0E" w:rsidP="00DB4D0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Rise of Singapore. Another development in insolvency law reform has been Singapore's rise as a global financial centre. From 2010 to 2018 Singapore worked to transition from its English law insolvency roots to a consolidated legislative framework that adopts and adapts the (</w:t>
      </w:r>
      <w:r w:rsidRPr="00DB4D0E">
        <w:rPr>
          <w:rFonts w:ascii="Avenir Next" w:hAnsi="Avenir Next" w:cs="Arial"/>
          <w:i/>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the UNCITRAL Model Law on Cross-Border Insolvency. </w:t>
      </w:r>
    </w:p>
    <w:p w14:paraId="78FA1B53" w14:textId="77777777" w:rsidR="00DB4D0E" w:rsidRPr="00AB63DE" w:rsidRDefault="00DB4D0E" w:rsidP="00DB4D0E">
      <w:pPr>
        <w:ind w:left="720" w:hanging="720"/>
        <w:jc w:val="both"/>
        <w:rPr>
          <w:rFonts w:ascii="Avenir Next" w:hAnsi="Avenir Next" w:cs="Arial"/>
          <w:color w:val="808080" w:themeColor="background1" w:themeShade="80"/>
          <w:sz w:val="22"/>
          <w:szCs w:val="22"/>
          <w:lang w:val="en-GB"/>
        </w:rPr>
      </w:pPr>
    </w:p>
    <w:p w14:paraId="34516371" w14:textId="77775C3C"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2E8EB2E" w14:textId="074A225E" w:rsidR="00DB4D0E" w:rsidRDefault="00DB4D0E" w:rsidP="0089607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Through the </w:t>
      </w:r>
      <w:r w:rsidRPr="00DB4D0E">
        <w:rPr>
          <w:rFonts w:ascii="Avenir Next" w:hAnsi="Avenir Next" w:cs="Arial"/>
          <w:color w:val="808080" w:themeColor="background1" w:themeShade="80"/>
          <w:sz w:val="22"/>
          <w:szCs w:val="22"/>
          <w:lang w:val="en-GB"/>
        </w:rPr>
        <w:t>197</w:t>
      </w:r>
      <w:r>
        <w:rPr>
          <w:rFonts w:ascii="Avenir Next" w:hAnsi="Avenir Next" w:cs="Arial"/>
          <w:color w:val="808080" w:themeColor="background1" w:themeShade="80"/>
          <w:sz w:val="22"/>
          <w:szCs w:val="22"/>
          <w:lang w:val="en-GB"/>
        </w:rPr>
        <w:t>0s, Canada and the USA worked towards concluding a</w:t>
      </w:r>
      <w:r w:rsidRPr="00DB4D0E">
        <w:rPr>
          <w:rFonts w:ascii="Avenir Next" w:hAnsi="Avenir Next" w:cs="Arial"/>
          <w:color w:val="808080" w:themeColor="background1" w:themeShade="80"/>
          <w:sz w:val="22"/>
          <w:szCs w:val="22"/>
          <w:lang w:val="en-GB"/>
        </w:rPr>
        <w:t xml:space="preserve"> bilateral insolvency treaty.  </w:t>
      </w:r>
      <w:r>
        <w:rPr>
          <w:rFonts w:ascii="Avenir Next" w:hAnsi="Avenir Next" w:cs="Arial"/>
          <w:color w:val="808080" w:themeColor="background1" w:themeShade="80"/>
          <w:sz w:val="22"/>
          <w:szCs w:val="22"/>
          <w:lang w:val="en-GB"/>
        </w:rPr>
        <w:t>T</w:t>
      </w:r>
      <w:r w:rsidRPr="00DB4D0E">
        <w:rPr>
          <w:rFonts w:ascii="Avenir Next" w:hAnsi="Avenir Next" w:cs="Arial"/>
          <w:color w:val="808080" w:themeColor="background1" w:themeShade="80"/>
          <w:sz w:val="22"/>
          <w:szCs w:val="22"/>
          <w:lang w:val="en-GB"/>
        </w:rPr>
        <w:t>he countries failed to reach an agreement</w:t>
      </w:r>
      <w:r>
        <w:rPr>
          <w:rFonts w:ascii="Avenir Next" w:hAnsi="Avenir Next" w:cs="Arial"/>
          <w:color w:val="808080" w:themeColor="background1" w:themeShade="80"/>
          <w:sz w:val="22"/>
          <w:szCs w:val="22"/>
          <w:lang w:val="en-GB"/>
        </w:rPr>
        <w:t xml:space="preserve"> for numerous reasons, and many commentators have said it was because </w:t>
      </w:r>
      <w:r w:rsidRPr="00DB4D0E">
        <w:rPr>
          <w:rFonts w:ascii="Avenir Next" w:hAnsi="Avenir Next" w:cs="Arial"/>
          <w:color w:val="808080" w:themeColor="background1" w:themeShade="80"/>
          <w:sz w:val="22"/>
          <w:szCs w:val="22"/>
          <w:lang w:val="en-GB"/>
        </w:rPr>
        <w:t>the scope of the treaty may have been too ambitious.</w:t>
      </w:r>
      <w:r>
        <w:rPr>
          <w:rFonts w:ascii="Avenir Next" w:hAnsi="Avenir Next" w:cs="Arial"/>
          <w:color w:val="808080" w:themeColor="background1" w:themeShade="80"/>
          <w:sz w:val="22"/>
          <w:szCs w:val="22"/>
          <w:lang w:val="en-GB"/>
        </w:rPr>
        <w:t xml:space="preserve"> However, despite this failure, </w:t>
      </w:r>
      <w:r w:rsidR="00896076">
        <w:rPr>
          <w:rFonts w:ascii="Avenir Next" w:hAnsi="Avenir Next" w:cs="Arial"/>
          <w:color w:val="808080" w:themeColor="background1" w:themeShade="80"/>
          <w:sz w:val="22"/>
          <w:szCs w:val="22"/>
          <w:lang w:val="en-GB"/>
        </w:rPr>
        <w:t xml:space="preserve">the USA and Canada have taken steps to co-operate on a bilateral basis on insolvency matters. Much of this co-0peration started informally through the application of existing legislation and case law in relation to comity. Further, additional progress has been made through the adoption of the Model Law, and mechanisms such as </w:t>
      </w:r>
      <w:r w:rsidRPr="00DB4D0E">
        <w:rPr>
          <w:rFonts w:ascii="Avenir Next" w:hAnsi="Avenir Next" w:cs="Arial"/>
          <w:color w:val="808080" w:themeColor="background1" w:themeShade="80"/>
          <w:sz w:val="22"/>
          <w:szCs w:val="22"/>
          <w:lang w:val="en-GB"/>
        </w:rPr>
        <w:t>cross-border, court-to-court protocols (which established procedures for the coordination of cross-border proceedings in Canada and the United States).</w:t>
      </w:r>
    </w:p>
    <w:p w14:paraId="42151A7C" w14:textId="1AF087EC" w:rsidR="00896076" w:rsidRDefault="00896076" w:rsidP="00896076">
      <w:pPr>
        <w:ind w:left="720" w:hanging="720"/>
        <w:jc w:val="both"/>
        <w:rPr>
          <w:rFonts w:ascii="Avenir Next" w:hAnsi="Avenir Next" w:cs="Arial"/>
          <w:color w:val="808080" w:themeColor="background1" w:themeShade="80"/>
          <w:sz w:val="22"/>
          <w:szCs w:val="22"/>
          <w:lang w:val="en-GB"/>
        </w:rPr>
      </w:pPr>
    </w:p>
    <w:p w14:paraId="1F5C7485" w14:textId="3BC404A3" w:rsidR="00896076" w:rsidRPr="00896076" w:rsidRDefault="00F65EE6" w:rsidP="00F65EE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there has of course been the introduction of the </w:t>
      </w:r>
      <w:r w:rsidRPr="00896076">
        <w:rPr>
          <w:rFonts w:ascii="Avenir Next" w:hAnsi="Avenir Next" w:cs="Arial"/>
          <w:color w:val="808080" w:themeColor="background1" w:themeShade="80"/>
          <w:sz w:val="22"/>
          <w:szCs w:val="22"/>
          <w:lang w:val="en-GB"/>
        </w:rPr>
        <w:t>North American Free Trade Agreement ("</w:t>
      </w:r>
      <w:r w:rsidRPr="00F65EE6">
        <w:rPr>
          <w:rFonts w:ascii="Avenir Next" w:hAnsi="Avenir Next" w:cs="Arial"/>
          <w:b/>
          <w:color w:val="808080" w:themeColor="background1" w:themeShade="80"/>
          <w:sz w:val="22"/>
          <w:szCs w:val="22"/>
          <w:lang w:val="en-GB"/>
        </w:rPr>
        <w:t>NAFTA</w:t>
      </w:r>
      <w:r>
        <w:rPr>
          <w:rFonts w:ascii="Avenir Next" w:hAnsi="Avenir Next" w:cs="Arial"/>
          <w:color w:val="808080" w:themeColor="background1" w:themeShade="80"/>
          <w:sz w:val="22"/>
          <w:szCs w:val="22"/>
          <w:lang w:val="en-GB"/>
        </w:rPr>
        <w:t>"), which was signed into law by Bill Clinton in the USA, and covers the USA, Canada and</w:t>
      </w:r>
      <w:r w:rsidR="00896076" w:rsidRPr="00896076">
        <w:rPr>
          <w:rFonts w:ascii="Avenir Next" w:hAnsi="Avenir Next" w:cs="Arial"/>
          <w:color w:val="808080" w:themeColor="background1" w:themeShade="80"/>
          <w:sz w:val="22"/>
          <w:szCs w:val="22"/>
          <w:lang w:val="en-GB"/>
        </w:rPr>
        <w:t xml:space="preserve"> Mexico</w:t>
      </w:r>
      <w:r>
        <w:rPr>
          <w:rFonts w:ascii="Avenir Next" w:hAnsi="Avenir Next" w:cs="Arial"/>
          <w:color w:val="808080" w:themeColor="background1" w:themeShade="80"/>
          <w:sz w:val="22"/>
          <w:szCs w:val="22"/>
          <w:lang w:val="en-GB"/>
        </w:rPr>
        <w:t xml:space="preserve">. Since its introduction, the </w:t>
      </w:r>
      <w:proofErr w:type="spellStart"/>
      <w:r w:rsidR="00896076" w:rsidRPr="00896076">
        <w:rPr>
          <w:rFonts w:ascii="Avenir Next" w:hAnsi="Avenir Next" w:cs="Arial"/>
          <w:color w:val="808080" w:themeColor="background1" w:themeShade="80"/>
          <w:sz w:val="22"/>
          <w:szCs w:val="22"/>
          <w:lang w:val="en-GB"/>
        </w:rPr>
        <w:t>the</w:t>
      </w:r>
      <w:proofErr w:type="spellEnd"/>
      <w:r w:rsidR="00896076" w:rsidRPr="00896076">
        <w:rPr>
          <w:rFonts w:ascii="Avenir Next" w:hAnsi="Avenir Next" w:cs="Arial"/>
          <w:color w:val="808080" w:themeColor="background1" w:themeShade="80"/>
          <w:sz w:val="22"/>
          <w:szCs w:val="22"/>
          <w:lang w:val="en-GB"/>
        </w:rPr>
        <w:t xml:space="preserve"> American Law Institute (the "</w:t>
      </w:r>
      <w:r w:rsidR="00896076" w:rsidRPr="00F65EE6">
        <w:rPr>
          <w:rFonts w:ascii="Avenir Next" w:hAnsi="Avenir Next" w:cs="Arial"/>
          <w:b/>
          <w:color w:val="808080" w:themeColor="background1" w:themeShade="80"/>
          <w:sz w:val="22"/>
          <w:szCs w:val="22"/>
          <w:lang w:val="en-GB"/>
        </w:rPr>
        <w:t>ALI</w:t>
      </w:r>
      <w:r w:rsidR="00896076" w:rsidRPr="00896076">
        <w:rPr>
          <w:rFonts w:ascii="Avenir Next" w:hAnsi="Avenir Next" w:cs="Arial"/>
          <w:color w:val="808080" w:themeColor="background1" w:themeShade="80"/>
          <w:sz w:val="22"/>
          <w:szCs w:val="22"/>
          <w:lang w:val="en-GB"/>
        </w:rPr>
        <w:t xml:space="preserve">") has </w:t>
      </w:r>
      <w:r>
        <w:rPr>
          <w:rFonts w:ascii="Avenir Next" w:hAnsi="Avenir Next" w:cs="Arial"/>
          <w:color w:val="808080" w:themeColor="background1" w:themeShade="80"/>
          <w:sz w:val="22"/>
          <w:szCs w:val="22"/>
          <w:lang w:val="en-GB"/>
        </w:rPr>
        <w:t xml:space="preserve">since </w:t>
      </w:r>
      <w:r w:rsidR="00896076" w:rsidRPr="00896076">
        <w:rPr>
          <w:rFonts w:ascii="Avenir Next" w:hAnsi="Avenir Next" w:cs="Arial"/>
          <w:color w:val="808080" w:themeColor="background1" w:themeShade="80"/>
          <w:sz w:val="22"/>
          <w:szCs w:val="22"/>
          <w:lang w:val="en-GB"/>
        </w:rPr>
        <w:t>taken steps to assist with the resolution of international insolvenc</w:t>
      </w:r>
      <w:r>
        <w:rPr>
          <w:rFonts w:ascii="Avenir Next" w:hAnsi="Avenir Next" w:cs="Arial"/>
          <w:color w:val="808080" w:themeColor="background1" w:themeShade="80"/>
          <w:sz w:val="22"/>
          <w:szCs w:val="22"/>
          <w:lang w:val="en-GB"/>
        </w:rPr>
        <w:t xml:space="preserve">y issues arising out of NAFTA. This initiative, has further sparked progress, such as the </w:t>
      </w:r>
      <w:r w:rsidR="00896076" w:rsidRPr="00896076">
        <w:rPr>
          <w:rFonts w:ascii="Avenir Next" w:hAnsi="Avenir Next" w:cs="Arial"/>
          <w:color w:val="808080" w:themeColor="background1" w:themeShade="80"/>
          <w:sz w:val="22"/>
          <w:szCs w:val="22"/>
          <w:lang w:val="en-GB"/>
        </w:rPr>
        <w:t xml:space="preserve">ALI Insolvency </w:t>
      </w:r>
      <w:r>
        <w:rPr>
          <w:rFonts w:ascii="Avenir Next" w:hAnsi="Avenir Next" w:cs="Arial"/>
          <w:color w:val="808080" w:themeColor="background1" w:themeShade="80"/>
          <w:sz w:val="22"/>
          <w:szCs w:val="22"/>
          <w:lang w:val="en-GB"/>
        </w:rPr>
        <w:t>Project, which aims to</w:t>
      </w:r>
      <w:r w:rsidR="00896076" w:rsidRPr="00896076">
        <w:rPr>
          <w:rFonts w:ascii="Avenir Next" w:hAnsi="Avenir Next" w:cs="Arial"/>
          <w:color w:val="808080" w:themeColor="background1" w:themeShade="80"/>
          <w:sz w:val="22"/>
          <w:szCs w:val="22"/>
          <w:lang w:val="en-GB"/>
        </w:rPr>
        <w:t xml:space="preserve"> improve cooperation in international insolvencies across the NAFTA States.  </w:t>
      </w:r>
      <w:r>
        <w:rPr>
          <w:rFonts w:ascii="Avenir Next" w:hAnsi="Avenir Next" w:cs="Arial"/>
          <w:color w:val="808080" w:themeColor="background1" w:themeShade="80"/>
          <w:sz w:val="22"/>
          <w:szCs w:val="22"/>
          <w:lang w:val="en-GB"/>
        </w:rPr>
        <w:t>For example</w:t>
      </w:r>
      <w:r w:rsidR="00896076" w:rsidRPr="00896076">
        <w:rPr>
          <w:rFonts w:ascii="Avenir Next" w:hAnsi="Avenir Next" w:cs="Arial"/>
          <w:color w:val="808080" w:themeColor="background1" w:themeShade="80"/>
          <w:sz w:val="22"/>
          <w:szCs w:val="22"/>
          <w:lang w:val="en-GB"/>
        </w:rPr>
        <w:t xml:space="preserve">, the ALI </w:t>
      </w:r>
      <w:r>
        <w:rPr>
          <w:rFonts w:ascii="Avenir Next" w:hAnsi="Avenir Next" w:cs="Arial"/>
          <w:color w:val="808080" w:themeColor="background1" w:themeShade="80"/>
          <w:sz w:val="22"/>
          <w:szCs w:val="22"/>
          <w:lang w:val="en-GB"/>
        </w:rPr>
        <w:t xml:space="preserve">Insolvency Project has </w:t>
      </w:r>
      <w:r w:rsidR="00896076" w:rsidRPr="00896076">
        <w:rPr>
          <w:rFonts w:ascii="Avenir Next" w:hAnsi="Avenir Next" w:cs="Arial"/>
          <w:color w:val="808080" w:themeColor="background1" w:themeShade="80"/>
          <w:sz w:val="22"/>
          <w:szCs w:val="22"/>
          <w:lang w:val="en-GB"/>
        </w:rPr>
        <w:t>prepared and issued a "</w:t>
      </w:r>
      <w:r w:rsidR="00896076" w:rsidRPr="00F65EE6">
        <w:rPr>
          <w:rFonts w:ascii="Avenir Next" w:hAnsi="Avenir Next" w:cs="Arial"/>
          <w:i/>
          <w:color w:val="808080" w:themeColor="background1" w:themeShade="80"/>
          <w:sz w:val="22"/>
          <w:szCs w:val="22"/>
          <w:lang w:val="en-GB"/>
        </w:rPr>
        <w:t xml:space="preserve">Transnational Insolvency: Cooperation </w:t>
      </w:r>
      <w:proofErr w:type="gramStart"/>
      <w:r w:rsidR="00896076" w:rsidRPr="00F65EE6">
        <w:rPr>
          <w:rFonts w:ascii="Avenir Next" w:hAnsi="Avenir Next" w:cs="Arial"/>
          <w:i/>
          <w:color w:val="808080" w:themeColor="background1" w:themeShade="80"/>
          <w:sz w:val="22"/>
          <w:szCs w:val="22"/>
          <w:lang w:val="en-GB"/>
        </w:rPr>
        <w:t>Among</w:t>
      </w:r>
      <w:proofErr w:type="gramEnd"/>
      <w:r w:rsidR="00896076" w:rsidRPr="00F65EE6">
        <w:rPr>
          <w:rFonts w:ascii="Avenir Next" w:hAnsi="Avenir Next" w:cs="Arial"/>
          <w:i/>
          <w:color w:val="808080" w:themeColor="background1" w:themeShade="80"/>
          <w:sz w:val="22"/>
          <w:szCs w:val="22"/>
          <w:lang w:val="en-GB"/>
        </w:rPr>
        <w:t xml:space="preserve"> the NAFTA Countries: International Statement</w:t>
      </w:r>
      <w:r>
        <w:rPr>
          <w:rFonts w:ascii="Avenir Next" w:hAnsi="Avenir Next" w:cs="Arial"/>
          <w:color w:val="808080" w:themeColor="background1" w:themeShade="80"/>
          <w:sz w:val="22"/>
          <w:szCs w:val="22"/>
          <w:lang w:val="en-GB"/>
        </w:rPr>
        <w:t xml:space="preserve">" for each of the NAFTA States which sets </w:t>
      </w:r>
      <w:r w:rsidR="00896076" w:rsidRPr="00896076">
        <w:rPr>
          <w:rFonts w:ascii="Avenir Next" w:hAnsi="Avenir Next" w:cs="Arial"/>
          <w:color w:val="808080" w:themeColor="background1" w:themeShade="80"/>
          <w:sz w:val="22"/>
          <w:szCs w:val="22"/>
          <w:lang w:val="en-GB"/>
        </w:rPr>
        <w:t xml:space="preserve">out each of the relevant country's insolvency law </w:t>
      </w:r>
      <w:r>
        <w:rPr>
          <w:rFonts w:ascii="Avenir Next" w:hAnsi="Avenir Next" w:cs="Arial"/>
          <w:color w:val="808080" w:themeColor="background1" w:themeShade="80"/>
          <w:sz w:val="22"/>
          <w:szCs w:val="22"/>
          <w:lang w:val="en-GB"/>
        </w:rPr>
        <w:t>in</w:t>
      </w:r>
      <w:r w:rsidR="00896076" w:rsidRPr="00896076">
        <w:rPr>
          <w:rFonts w:ascii="Avenir Next" w:hAnsi="Avenir Next" w:cs="Arial"/>
          <w:color w:val="808080" w:themeColor="background1" w:themeShade="80"/>
          <w:sz w:val="22"/>
          <w:szCs w:val="22"/>
          <w:lang w:val="en-GB"/>
        </w:rPr>
        <w:t xml:space="preserve"> international cases. </w:t>
      </w:r>
      <w:r>
        <w:rPr>
          <w:rFonts w:ascii="Avenir Next" w:hAnsi="Avenir Next" w:cs="Arial"/>
          <w:color w:val="808080" w:themeColor="background1" w:themeShade="80"/>
          <w:sz w:val="22"/>
          <w:szCs w:val="22"/>
          <w:lang w:val="en-GB"/>
        </w:rPr>
        <w:t xml:space="preserve">At present, such works have culminated into the publication of </w:t>
      </w:r>
      <w:r w:rsidR="00896076" w:rsidRPr="00896076">
        <w:rPr>
          <w:rFonts w:ascii="Avenir Next" w:hAnsi="Avenir Next" w:cs="Arial"/>
          <w:color w:val="808080" w:themeColor="background1" w:themeShade="80"/>
          <w:sz w:val="22"/>
          <w:szCs w:val="22"/>
          <w:lang w:val="en-GB"/>
        </w:rPr>
        <w:t>"Principles of Co-operation among the NAFTA Countries", which was approved by the ALI Council and Members at i</w:t>
      </w:r>
      <w:r>
        <w:rPr>
          <w:rFonts w:ascii="Avenir Next" w:hAnsi="Avenir Next" w:cs="Arial"/>
          <w:color w:val="808080" w:themeColor="background1" w:themeShade="80"/>
          <w:sz w:val="22"/>
          <w:szCs w:val="22"/>
          <w:lang w:val="en-GB"/>
        </w:rPr>
        <w:t xml:space="preserve">ts annual meeting in May 2000. </w:t>
      </w:r>
    </w:p>
    <w:p w14:paraId="38EED11B" w14:textId="77777777" w:rsidR="00896076" w:rsidRPr="00896076" w:rsidRDefault="00896076" w:rsidP="00896076">
      <w:pPr>
        <w:ind w:left="720" w:hanging="720"/>
        <w:jc w:val="both"/>
        <w:rPr>
          <w:rFonts w:ascii="Avenir Next" w:hAnsi="Avenir Next" w:cs="Arial"/>
          <w:color w:val="808080" w:themeColor="background1" w:themeShade="80"/>
          <w:sz w:val="22"/>
          <w:szCs w:val="22"/>
          <w:lang w:val="en-GB"/>
        </w:rPr>
      </w:pPr>
    </w:p>
    <w:p w14:paraId="7AF946CD" w14:textId="2ADF2329" w:rsidR="00DB4D0E" w:rsidRDefault="00F65EE6" w:rsidP="0089607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summary</w:t>
      </w:r>
      <w:r w:rsidR="00896076" w:rsidRPr="00896076">
        <w:rPr>
          <w:rFonts w:ascii="Avenir Next" w:hAnsi="Avenir Next" w:cs="Arial"/>
          <w:color w:val="808080" w:themeColor="background1" w:themeShade="80"/>
          <w:sz w:val="22"/>
          <w:szCs w:val="22"/>
          <w:lang w:val="en-GB"/>
        </w:rPr>
        <w:t>, even though initial</w:t>
      </w:r>
      <w:r>
        <w:rPr>
          <w:rFonts w:ascii="Avenir Next" w:hAnsi="Avenir Next" w:cs="Arial"/>
          <w:color w:val="808080" w:themeColor="background1" w:themeShade="80"/>
          <w:sz w:val="22"/>
          <w:szCs w:val="22"/>
          <w:lang w:val="en-GB"/>
        </w:rPr>
        <w:t>, direct, and bilateral</w:t>
      </w:r>
      <w:r w:rsidR="00896076" w:rsidRPr="00896076">
        <w:rPr>
          <w:rFonts w:ascii="Avenir Next" w:hAnsi="Avenir Next" w:cs="Arial"/>
          <w:color w:val="808080" w:themeColor="background1" w:themeShade="80"/>
          <w:sz w:val="22"/>
          <w:szCs w:val="22"/>
          <w:lang w:val="en-GB"/>
        </w:rPr>
        <w:t xml:space="preserve"> attempts between Canada and the </w:t>
      </w:r>
      <w:r>
        <w:rPr>
          <w:rFonts w:ascii="Avenir Next" w:hAnsi="Avenir Next" w:cs="Arial"/>
          <w:color w:val="808080" w:themeColor="background1" w:themeShade="80"/>
          <w:sz w:val="22"/>
          <w:szCs w:val="22"/>
          <w:lang w:val="en-GB"/>
        </w:rPr>
        <w:t xml:space="preserve">US </w:t>
      </w:r>
      <w:r w:rsidR="00896076" w:rsidRPr="00896076">
        <w:rPr>
          <w:rFonts w:ascii="Avenir Next" w:hAnsi="Avenir Next" w:cs="Arial"/>
          <w:color w:val="808080" w:themeColor="background1" w:themeShade="80"/>
          <w:sz w:val="22"/>
          <w:szCs w:val="22"/>
          <w:lang w:val="en-GB"/>
        </w:rPr>
        <w:t>to formali</w:t>
      </w:r>
      <w:r>
        <w:rPr>
          <w:rFonts w:ascii="Avenir Next" w:hAnsi="Avenir Next" w:cs="Arial"/>
          <w:color w:val="808080" w:themeColor="background1" w:themeShade="80"/>
          <w:sz w:val="22"/>
          <w:szCs w:val="22"/>
          <w:lang w:val="en-GB"/>
        </w:rPr>
        <w:t xml:space="preserve">se a bilateral insolvency treaties have not been </w:t>
      </w:r>
      <w:r w:rsidR="00896076" w:rsidRPr="00896076">
        <w:rPr>
          <w:rFonts w:ascii="Avenir Next" w:hAnsi="Avenir Next" w:cs="Arial"/>
          <w:color w:val="808080" w:themeColor="background1" w:themeShade="80"/>
          <w:sz w:val="22"/>
          <w:szCs w:val="22"/>
          <w:lang w:val="en-GB"/>
        </w:rPr>
        <w:t>successful, since then, significant progress has</w:t>
      </w:r>
      <w:r>
        <w:rPr>
          <w:rFonts w:ascii="Avenir Next" w:hAnsi="Avenir Next" w:cs="Arial"/>
          <w:color w:val="808080" w:themeColor="background1" w:themeShade="80"/>
          <w:sz w:val="22"/>
          <w:szCs w:val="22"/>
          <w:lang w:val="en-GB"/>
        </w:rPr>
        <w:t xml:space="preserve"> been made via soft law methods, and the work of the courts in relation to the same. </w:t>
      </w:r>
    </w:p>
    <w:p w14:paraId="7034F7BB" w14:textId="3197095B"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23688811" w:rsidR="008E3ADC" w:rsidRDefault="008E3ADC" w:rsidP="00692852">
      <w:pPr>
        <w:jc w:val="both"/>
        <w:rPr>
          <w:rFonts w:ascii="Avenir Next" w:hAnsi="Avenir Next" w:cs="Arial"/>
          <w:sz w:val="22"/>
          <w:szCs w:val="22"/>
          <w:lang w:val="en-GB"/>
        </w:rPr>
      </w:pPr>
    </w:p>
    <w:p w14:paraId="71323183" w14:textId="77777777" w:rsidR="00AD779F" w:rsidRDefault="00AD779F" w:rsidP="00AD77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 of v</w:t>
      </w:r>
      <w:r w:rsidRPr="00AD779F">
        <w:rPr>
          <w:rFonts w:ascii="Avenir Next" w:hAnsi="Avenir Next" w:cs="Arial"/>
          <w:color w:val="808080" w:themeColor="background1" w:themeShade="80"/>
          <w:sz w:val="22"/>
          <w:szCs w:val="22"/>
          <w:lang w:val="en-GB"/>
        </w:rPr>
        <w:t>oidable</w:t>
      </w:r>
      <w:r>
        <w:rPr>
          <w:rFonts w:ascii="Avenir Next" w:hAnsi="Avenir Next" w:cs="Arial"/>
          <w:color w:val="808080" w:themeColor="background1" w:themeShade="80"/>
          <w:sz w:val="22"/>
          <w:szCs w:val="22"/>
          <w:lang w:val="en-GB"/>
        </w:rPr>
        <w:t xml:space="preserve"> or impeachable transactions is critical to any insolvency regime as a fundamental duty of any insolvency </w:t>
      </w:r>
      <w:proofErr w:type="spellStart"/>
      <w:r>
        <w:rPr>
          <w:rFonts w:ascii="Avenir Next" w:hAnsi="Avenir Next" w:cs="Arial"/>
          <w:color w:val="808080" w:themeColor="background1" w:themeShade="80"/>
          <w:sz w:val="22"/>
          <w:szCs w:val="22"/>
          <w:lang w:val="en-GB"/>
        </w:rPr>
        <w:t>practiontioner</w:t>
      </w:r>
      <w:proofErr w:type="spellEnd"/>
      <w:r>
        <w:rPr>
          <w:rFonts w:ascii="Avenir Next" w:hAnsi="Avenir Next" w:cs="Arial"/>
          <w:color w:val="808080" w:themeColor="background1" w:themeShade="80"/>
          <w:sz w:val="22"/>
          <w:szCs w:val="22"/>
          <w:lang w:val="en-GB"/>
        </w:rPr>
        <w:t xml:space="preserve"> is 'get in' all the outstanding assets of an insolvent entity for the benefit of the outstanding creditors to the entity (and members if there are still funds outstanding after making the relevant creditors whole) . </w:t>
      </w:r>
    </w:p>
    <w:p w14:paraId="40F3C64B" w14:textId="77777777" w:rsidR="00AD779F" w:rsidRDefault="00AD779F" w:rsidP="00AD779F">
      <w:pPr>
        <w:jc w:val="both"/>
        <w:rPr>
          <w:rFonts w:ascii="Avenir Next" w:hAnsi="Avenir Next" w:cs="Arial"/>
          <w:color w:val="808080" w:themeColor="background1" w:themeShade="80"/>
          <w:sz w:val="22"/>
          <w:szCs w:val="22"/>
          <w:lang w:val="en-GB"/>
        </w:rPr>
      </w:pPr>
    </w:p>
    <w:p w14:paraId="3831EE21" w14:textId="77777777" w:rsidR="00AE3973" w:rsidRDefault="00AD779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most jurisdictions, be the jurisdiction pro-creditor or</w:t>
      </w:r>
      <w:r w:rsidRPr="00AD779F">
        <w:rPr>
          <w:rFonts w:ascii="Avenir Next" w:hAnsi="Avenir Next" w:cs="Arial"/>
          <w:color w:val="808080" w:themeColor="background1" w:themeShade="80"/>
          <w:sz w:val="22"/>
          <w:szCs w:val="22"/>
          <w:lang w:val="en-GB"/>
        </w:rPr>
        <w:t xml:space="preserve"> pro-debtor</w:t>
      </w:r>
      <w:r>
        <w:rPr>
          <w:rFonts w:ascii="Avenir Next" w:hAnsi="Avenir Next" w:cs="Arial"/>
          <w:color w:val="808080" w:themeColor="background1" w:themeShade="80"/>
          <w:sz w:val="22"/>
          <w:szCs w:val="22"/>
          <w:lang w:val="en-GB"/>
        </w:rPr>
        <w:t>, the relevant insolvency practitioner will have some mechanism (which differs from country to country) for getting in assets that were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donated, (ii) disposed of at an </w:t>
      </w:r>
      <w:r w:rsidRPr="00AD779F">
        <w:rPr>
          <w:rFonts w:ascii="Avenir Next" w:hAnsi="Avenir Next" w:cs="Arial"/>
          <w:color w:val="808080" w:themeColor="background1" w:themeShade="80"/>
          <w:sz w:val="22"/>
          <w:szCs w:val="22"/>
          <w:lang w:val="en-GB"/>
        </w:rPr>
        <w:t>undervalue</w:t>
      </w:r>
      <w:r>
        <w:rPr>
          <w:rFonts w:ascii="Avenir Next" w:hAnsi="Avenir Next" w:cs="Arial"/>
          <w:color w:val="808080" w:themeColor="background1" w:themeShade="80"/>
          <w:sz w:val="22"/>
          <w:szCs w:val="22"/>
          <w:lang w:val="en-GB"/>
        </w:rPr>
        <w:t>, or (iii) transferred to selective creditors prior in time to the formal insolvency. In these circumstances that the voidable or impeachable transaction may be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void ab initio, (ii) voidable / liable to being set aside or (iii) otherwise '</w:t>
      </w:r>
      <w:r w:rsidRPr="00AD779F">
        <w:rPr>
          <w:rFonts w:ascii="Avenir Next" w:hAnsi="Avenir Next" w:cs="Arial"/>
          <w:color w:val="808080" w:themeColor="background1" w:themeShade="80"/>
          <w:sz w:val="22"/>
          <w:szCs w:val="22"/>
          <w:lang w:val="en-GB"/>
        </w:rPr>
        <w:t>attacked</w:t>
      </w:r>
      <w:r>
        <w:rPr>
          <w:rFonts w:ascii="Avenir Next" w:hAnsi="Avenir Next" w:cs="Arial"/>
          <w:color w:val="808080" w:themeColor="background1" w:themeShade="80"/>
          <w:sz w:val="22"/>
          <w:szCs w:val="22"/>
          <w:lang w:val="en-GB"/>
        </w:rPr>
        <w:t>' or</w:t>
      </w:r>
      <w:r w:rsidRPr="00AD779F">
        <w:rPr>
          <w:rFonts w:ascii="Avenir Next" w:hAnsi="Avenir Next" w:cs="Arial"/>
          <w:color w:val="808080" w:themeColor="background1" w:themeShade="80"/>
          <w:sz w:val="22"/>
          <w:szCs w:val="22"/>
          <w:lang w:val="en-GB"/>
        </w:rPr>
        <w:t xml:space="preserve"> reclai</w:t>
      </w:r>
      <w:r>
        <w:rPr>
          <w:rFonts w:ascii="Avenir Next" w:hAnsi="Avenir Next" w:cs="Arial"/>
          <w:color w:val="808080" w:themeColor="background1" w:themeShade="80"/>
          <w:sz w:val="22"/>
          <w:szCs w:val="22"/>
          <w:lang w:val="en-GB"/>
        </w:rPr>
        <w:t xml:space="preserve">med for the benefit of the relevant debtor now in administrative / liquidation. </w:t>
      </w:r>
    </w:p>
    <w:p w14:paraId="6D82A70B" w14:textId="77777777" w:rsidR="00AE3973" w:rsidRDefault="00AE3973" w:rsidP="00692852">
      <w:pPr>
        <w:jc w:val="both"/>
        <w:rPr>
          <w:rFonts w:ascii="Avenir Next" w:hAnsi="Avenir Next" w:cs="Arial"/>
          <w:color w:val="808080" w:themeColor="background1" w:themeShade="80"/>
          <w:sz w:val="22"/>
          <w:szCs w:val="22"/>
          <w:lang w:val="en-GB"/>
        </w:rPr>
      </w:pPr>
    </w:p>
    <w:p w14:paraId="72DCF717" w14:textId="36F2F1E0" w:rsidR="00AE3973" w:rsidRDefault="00AE397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major issue in international insolvency law is that the rights outlined above differs between regimes / jurisdictions. One major reason for this difference is that: </w:t>
      </w:r>
    </w:p>
    <w:p w14:paraId="2135EE53" w14:textId="332C728C" w:rsidR="00AE3973" w:rsidRDefault="00AE3973" w:rsidP="00692852">
      <w:pPr>
        <w:jc w:val="both"/>
        <w:rPr>
          <w:rFonts w:ascii="Avenir Next" w:hAnsi="Avenir Next" w:cs="Arial"/>
          <w:color w:val="808080" w:themeColor="background1" w:themeShade="80"/>
          <w:sz w:val="22"/>
          <w:szCs w:val="22"/>
          <w:lang w:val="en-GB"/>
        </w:rPr>
      </w:pPr>
    </w:p>
    <w:p w14:paraId="4B332C6A" w14:textId="7251E4CA" w:rsidR="00AE3973" w:rsidRPr="00AE3973" w:rsidRDefault="00AE3973" w:rsidP="00AE397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countries were informed by Roman law, and in particular the principle of </w:t>
      </w:r>
      <w:proofErr w:type="spellStart"/>
      <w:r w:rsidRPr="00AE3973">
        <w:rPr>
          <w:rFonts w:ascii="Avenir Next" w:hAnsi="Avenir Next" w:cs="Arial"/>
          <w:i/>
          <w:color w:val="808080" w:themeColor="background1" w:themeShade="80"/>
          <w:sz w:val="22"/>
          <w:szCs w:val="22"/>
          <w:lang w:val="en-GB"/>
        </w:rPr>
        <w:t>actio</w:t>
      </w:r>
      <w:proofErr w:type="spellEnd"/>
      <w:r w:rsidRPr="00AE3973">
        <w:rPr>
          <w:rFonts w:ascii="Avenir Next" w:hAnsi="Avenir Next" w:cs="Arial"/>
          <w:i/>
          <w:color w:val="808080" w:themeColor="background1" w:themeShade="80"/>
          <w:sz w:val="22"/>
          <w:szCs w:val="22"/>
          <w:lang w:val="en-GB"/>
        </w:rPr>
        <w:t xml:space="preserve"> </w:t>
      </w:r>
      <w:proofErr w:type="spellStart"/>
      <w:r w:rsidRPr="00AE3973">
        <w:rPr>
          <w:rFonts w:ascii="Avenir Next" w:hAnsi="Avenir Next" w:cs="Arial"/>
          <w:i/>
          <w:color w:val="808080" w:themeColor="background1" w:themeShade="80"/>
          <w:sz w:val="22"/>
          <w:szCs w:val="22"/>
          <w:lang w:val="en-GB"/>
        </w:rPr>
        <w:t>pauliana</w:t>
      </w:r>
      <w:proofErr w:type="spellEnd"/>
      <w:r>
        <w:rPr>
          <w:rFonts w:ascii="Avenir Next" w:hAnsi="Avenir Next" w:cs="Arial"/>
          <w:i/>
          <w:color w:val="808080" w:themeColor="background1" w:themeShade="80"/>
          <w:sz w:val="22"/>
          <w:szCs w:val="22"/>
          <w:lang w:val="en-GB"/>
        </w:rPr>
        <w:t xml:space="preserve">. </w:t>
      </w:r>
      <w:r w:rsidRPr="00AE3973">
        <w:rPr>
          <w:rFonts w:ascii="Avenir Next" w:hAnsi="Avenir Next" w:cs="Arial"/>
          <w:color w:val="808080" w:themeColor="background1" w:themeShade="80"/>
          <w:sz w:val="22"/>
          <w:szCs w:val="22"/>
          <w:lang w:val="en-GB"/>
        </w:rPr>
        <w:t>This principle broadly allows for the recovery of assets that have been alienated</w:t>
      </w:r>
      <w:r>
        <w:rPr>
          <w:rFonts w:ascii="Avenir Next" w:hAnsi="Avenir Next" w:cs="Arial"/>
          <w:i/>
          <w:color w:val="808080" w:themeColor="background1" w:themeShade="80"/>
          <w:sz w:val="22"/>
          <w:szCs w:val="22"/>
          <w:lang w:val="en-GB"/>
        </w:rPr>
        <w:t xml:space="preserve"> in </w:t>
      </w:r>
      <w:proofErr w:type="spellStart"/>
      <w:r>
        <w:rPr>
          <w:rFonts w:ascii="Avenir Next" w:hAnsi="Avenir Next" w:cs="Arial"/>
          <w:i/>
          <w:color w:val="808080" w:themeColor="background1" w:themeShade="80"/>
          <w:sz w:val="22"/>
          <w:szCs w:val="22"/>
          <w:lang w:val="en-GB"/>
        </w:rPr>
        <w:t>fraudem</w:t>
      </w:r>
      <w:proofErr w:type="spellEnd"/>
      <w:r>
        <w:rPr>
          <w:rFonts w:ascii="Avenir Next" w:hAnsi="Avenir Next" w:cs="Arial"/>
          <w:i/>
          <w:color w:val="808080" w:themeColor="background1" w:themeShade="80"/>
          <w:sz w:val="22"/>
          <w:szCs w:val="22"/>
          <w:lang w:val="en-GB"/>
        </w:rPr>
        <w:t xml:space="preserve">. </w:t>
      </w:r>
      <w:r w:rsidR="00C17E8E" w:rsidRPr="00C17E8E">
        <w:rPr>
          <w:rFonts w:ascii="Avenir Next" w:hAnsi="Avenir Next" w:cs="Arial"/>
          <w:color w:val="808080" w:themeColor="background1" w:themeShade="80"/>
          <w:sz w:val="22"/>
          <w:szCs w:val="22"/>
          <w:lang w:val="en-GB"/>
        </w:rPr>
        <w:t>Some commentators say civil law systems are more pro-debtor (or otherwise look to protect other rights, such as labour (for example – France)).</w:t>
      </w:r>
      <w:r w:rsidR="00C17E8E">
        <w:rPr>
          <w:rFonts w:ascii="Avenir Next" w:hAnsi="Avenir Next" w:cs="Arial"/>
          <w:i/>
          <w:color w:val="808080" w:themeColor="background1" w:themeShade="80"/>
          <w:sz w:val="22"/>
          <w:szCs w:val="22"/>
          <w:lang w:val="en-GB"/>
        </w:rPr>
        <w:t xml:space="preserve"> </w:t>
      </w:r>
    </w:p>
    <w:p w14:paraId="2B368910" w14:textId="77777777" w:rsidR="00AE3973" w:rsidRDefault="00AE3973" w:rsidP="00AE3973">
      <w:pPr>
        <w:pStyle w:val="ListParagraph"/>
        <w:jc w:val="both"/>
        <w:rPr>
          <w:rFonts w:ascii="Avenir Next" w:hAnsi="Avenir Next" w:cs="Arial"/>
          <w:color w:val="808080" w:themeColor="background1" w:themeShade="80"/>
          <w:sz w:val="22"/>
          <w:szCs w:val="22"/>
          <w:lang w:val="en-GB"/>
        </w:rPr>
      </w:pPr>
    </w:p>
    <w:p w14:paraId="10225FE4" w14:textId="784F3E74" w:rsidR="00C17E8E" w:rsidRPr="00C17E8E" w:rsidRDefault="00AE3973" w:rsidP="00C17E8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Whereas </w:t>
      </w:r>
      <w:r w:rsidRPr="00AE3973">
        <w:rPr>
          <w:rFonts w:ascii="Avenir Next" w:hAnsi="Avenir Next" w:cs="Arial"/>
          <w:color w:val="808080" w:themeColor="background1" w:themeShade="80"/>
          <w:sz w:val="22"/>
          <w:szCs w:val="22"/>
          <w:lang w:val="en-GB"/>
        </w:rPr>
        <w:t>English law is largely informed by the</w:t>
      </w:r>
      <w:r>
        <w:rPr>
          <w:rFonts w:ascii="Avenir Next" w:hAnsi="Avenir Next" w:cs="Arial"/>
          <w:color w:val="808080" w:themeColor="background1" w:themeShade="80"/>
          <w:sz w:val="22"/>
          <w:szCs w:val="22"/>
          <w:lang w:val="en-GB"/>
        </w:rPr>
        <w:t xml:space="preserve"> Act of Elizabeth of 1570. </w:t>
      </w:r>
      <w:r w:rsidR="00944511">
        <w:rPr>
          <w:rFonts w:ascii="Avenir Next" w:hAnsi="Avenir Next" w:cs="Arial"/>
          <w:color w:val="808080" w:themeColor="background1" w:themeShade="80"/>
          <w:sz w:val="22"/>
          <w:szCs w:val="22"/>
          <w:lang w:val="en-GB"/>
        </w:rPr>
        <w:t xml:space="preserve">In this Act no provision providing for the release of debts was included. </w:t>
      </w:r>
      <w:r w:rsidR="00C17E8E">
        <w:rPr>
          <w:rFonts w:ascii="Avenir Next" w:hAnsi="Avenir Next" w:cs="Arial"/>
          <w:color w:val="808080" w:themeColor="background1" w:themeShade="80"/>
          <w:sz w:val="22"/>
          <w:szCs w:val="22"/>
          <w:lang w:val="en-GB"/>
        </w:rPr>
        <w:t xml:space="preserve">One further common view </w:t>
      </w:r>
      <w:proofErr w:type="spellStart"/>
      <w:r w:rsidR="00C17E8E">
        <w:rPr>
          <w:rFonts w:ascii="Avenir Next" w:hAnsi="Avenir Next" w:cs="Arial"/>
          <w:color w:val="808080" w:themeColor="background1" w:themeShade="80"/>
          <w:sz w:val="22"/>
          <w:szCs w:val="22"/>
          <w:lang w:val="en-GB"/>
        </w:rPr>
        <w:t>amgost</w:t>
      </w:r>
      <w:proofErr w:type="spellEnd"/>
      <w:r w:rsidR="00C17E8E">
        <w:rPr>
          <w:rFonts w:ascii="Avenir Next" w:hAnsi="Avenir Next" w:cs="Arial"/>
          <w:color w:val="808080" w:themeColor="background1" w:themeShade="80"/>
          <w:sz w:val="22"/>
          <w:szCs w:val="22"/>
          <w:lang w:val="en-GB"/>
        </w:rPr>
        <w:t xml:space="preserve"> commentators, are that English courts are pro-creditor.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lastRenderedPageBreak/>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4CB5D5F9" w:rsidR="001E1C34" w:rsidRDefault="0094451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obvious that in an international context judgments and orders from foreign courts and tribunals may not be immediately recognised, enforced or executed in local courts. </w:t>
      </w:r>
    </w:p>
    <w:p w14:paraId="76DE9688" w14:textId="5057E4E9" w:rsidR="00944511" w:rsidRDefault="00944511" w:rsidP="001E1C34">
      <w:pPr>
        <w:ind w:left="720" w:hanging="720"/>
        <w:jc w:val="both"/>
        <w:rPr>
          <w:rFonts w:ascii="Avenir Next" w:hAnsi="Avenir Next" w:cs="Arial"/>
          <w:color w:val="808080" w:themeColor="background1" w:themeShade="80"/>
          <w:sz w:val="22"/>
          <w:szCs w:val="22"/>
          <w:lang w:val="en-GB"/>
        </w:rPr>
      </w:pPr>
    </w:p>
    <w:p w14:paraId="56F5B089" w14:textId="39FCF1D4" w:rsidR="00944511" w:rsidRDefault="0094451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said, there has been a trend towards cooperation and predictability in recent times, and measures and orders in insolvency proceedings from foreign courts and tribunals are today fully enforced in other countries: </w:t>
      </w:r>
    </w:p>
    <w:p w14:paraId="187EF771" w14:textId="0E4E1FFF" w:rsidR="001B4378" w:rsidRDefault="001B4378" w:rsidP="00944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reference to public international law treaties and conventions;</w:t>
      </w:r>
    </w:p>
    <w:p w14:paraId="662E26AB" w14:textId="117F51F8" w:rsidR="001B4378" w:rsidRDefault="001B4378" w:rsidP="00944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reference to basic principles of comity; </w:t>
      </w:r>
    </w:p>
    <w:p w14:paraId="6D2A625F" w14:textId="5F4FDDF0" w:rsidR="001B4378" w:rsidRDefault="001B4378" w:rsidP="00944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reference to many courts inherent jurisdiction, or other principles of the common law (in systems that have their genesis in the English system) </w:t>
      </w:r>
    </w:p>
    <w:p w14:paraId="4B38DBAD" w14:textId="0A01F63F" w:rsidR="001E1C34" w:rsidRDefault="001B4378" w:rsidP="0069285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Through domestic legislation, either national or supra-national, such as frameworks established by OHADA, EU, or on the basis of the UNCITRAL rules (where such frameworks are particularly common (and likely necessary) in common markets); </w:t>
      </w:r>
    </w:p>
    <w:p w14:paraId="5A454CF0" w14:textId="53729AF9" w:rsidR="00944511" w:rsidRPr="001B4378" w:rsidRDefault="001B4378" w:rsidP="0069285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Bespoke protocols created in relation to specific insolvencies, such as Lehman Brothers. </w:t>
      </w:r>
    </w:p>
    <w:p w14:paraId="71FED6BB" w14:textId="572EB6C9" w:rsidR="00944511" w:rsidRDefault="00944511" w:rsidP="00692852">
      <w:pPr>
        <w:jc w:val="both"/>
        <w:rPr>
          <w:rFonts w:ascii="Avenir Next" w:hAnsi="Avenir Next" w:cs="Arial"/>
          <w:color w:val="808080" w:themeColor="background1" w:themeShade="80"/>
          <w:sz w:val="22"/>
          <w:szCs w:val="22"/>
          <w:lang w:val="en-GB"/>
        </w:rPr>
      </w:pPr>
    </w:p>
    <w:p w14:paraId="679694E1" w14:textId="75FAA128" w:rsidR="001B4378" w:rsidRDefault="001B437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measures help in the movement towards a clear and predictable frameworks in international insolvency. </w:t>
      </w:r>
    </w:p>
    <w:p w14:paraId="112D1B61" w14:textId="77777777" w:rsidR="001B4378" w:rsidRPr="004216EA" w:rsidRDefault="001B4378"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E815665" w14:textId="392E8291" w:rsidR="00F44E74" w:rsidRDefault="00C17E8E" w:rsidP="00F44E7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source of law in the insolvency context, for example in countries like the Netherlands, is certain public law instruments (which become directly applicable in local courts there). However, that is the exception, and in most countries conventions and treaties are implemented by local law in order to have an effect (such as Australia). </w:t>
      </w:r>
      <w:r w:rsidR="00F44E74">
        <w:rPr>
          <w:rFonts w:ascii="Avenir Next" w:hAnsi="Avenir Next" w:cs="Arial"/>
          <w:color w:val="808080" w:themeColor="background1" w:themeShade="80"/>
          <w:sz w:val="22"/>
          <w:szCs w:val="22"/>
          <w:lang w:val="en-GB"/>
        </w:rPr>
        <w:t xml:space="preserve">Even so, even in these </w:t>
      </w:r>
      <w:proofErr w:type="gramStart"/>
      <w:r w:rsidR="00F44E74">
        <w:rPr>
          <w:rFonts w:ascii="Avenir Next" w:hAnsi="Avenir Next" w:cs="Arial"/>
          <w:color w:val="808080" w:themeColor="background1" w:themeShade="80"/>
          <w:sz w:val="22"/>
          <w:szCs w:val="22"/>
          <w:lang w:val="en-GB"/>
        </w:rPr>
        <w:t xml:space="preserve">countries </w:t>
      </w:r>
      <w:r>
        <w:rPr>
          <w:rFonts w:ascii="Avenir Next" w:hAnsi="Avenir Next" w:cs="Arial"/>
          <w:color w:val="808080" w:themeColor="background1" w:themeShade="80"/>
          <w:sz w:val="22"/>
          <w:szCs w:val="22"/>
          <w:lang w:val="en-GB"/>
        </w:rPr>
        <w:t xml:space="preserve"> </w:t>
      </w:r>
      <w:r w:rsidR="00F44E74">
        <w:rPr>
          <w:rFonts w:ascii="Avenir Next" w:hAnsi="Avenir Next" w:cs="Arial"/>
          <w:color w:val="808080" w:themeColor="background1" w:themeShade="80"/>
          <w:sz w:val="22"/>
          <w:szCs w:val="22"/>
          <w:lang w:val="en-GB"/>
        </w:rPr>
        <w:t>treaties</w:t>
      </w:r>
      <w:proofErr w:type="gramEnd"/>
      <w:r w:rsidR="00F44E74">
        <w:rPr>
          <w:rFonts w:ascii="Avenir Next" w:hAnsi="Avenir Next" w:cs="Arial"/>
          <w:color w:val="808080" w:themeColor="background1" w:themeShade="80"/>
          <w:sz w:val="22"/>
          <w:szCs w:val="22"/>
          <w:lang w:val="en-GB"/>
        </w:rPr>
        <w:t xml:space="preserve"> or conventions a rich</w:t>
      </w:r>
      <w:r w:rsidR="00F44E74" w:rsidRPr="00F44E74">
        <w:rPr>
          <w:rFonts w:ascii="Avenir Next" w:hAnsi="Avenir Next" w:cs="Arial"/>
          <w:color w:val="808080" w:themeColor="background1" w:themeShade="80"/>
          <w:sz w:val="22"/>
          <w:szCs w:val="22"/>
          <w:lang w:val="en-GB"/>
        </w:rPr>
        <w:t xml:space="preserve"> source for cross-border insolvency law</w:t>
      </w:r>
      <w:r w:rsidR="00F44E74">
        <w:rPr>
          <w:rFonts w:ascii="Avenir Next" w:hAnsi="Avenir Next" w:cs="Arial"/>
          <w:color w:val="808080" w:themeColor="background1" w:themeShade="80"/>
          <w:sz w:val="22"/>
          <w:szCs w:val="22"/>
          <w:lang w:val="en-GB"/>
        </w:rPr>
        <w:t xml:space="preserve">. </w:t>
      </w:r>
    </w:p>
    <w:p w14:paraId="4853D21C" w14:textId="5055E1C6" w:rsidR="00F44E74" w:rsidRDefault="00F44E74" w:rsidP="00F44E74">
      <w:pPr>
        <w:ind w:left="720" w:hanging="720"/>
        <w:jc w:val="both"/>
        <w:rPr>
          <w:rFonts w:ascii="Avenir Next" w:hAnsi="Avenir Next" w:cs="Arial"/>
          <w:color w:val="808080" w:themeColor="background1" w:themeShade="80"/>
          <w:sz w:val="22"/>
          <w:szCs w:val="22"/>
          <w:lang w:val="en-GB"/>
        </w:rPr>
      </w:pPr>
    </w:p>
    <w:p w14:paraId="09C35A26" w14:textId="6C71DB07" w:rsidR="00F44E74" w:rsidRDefault="00F44E74" w:rsidP="00F44E7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pertinent example are the soft law instruments that have been produced by the United Nations, such </w:t>
      </w:r>
      <w:proofErr w:type="gramStart"/>
      <w:r>
        <w:rPr>
          <w:rFonts w:ascii="Avenir Next" w:hAnsi="Avenir Next" w:cs="Arial"/>
          <w:color w:val="808080" w:themeColor="background1" w:themeShade="80"/>
          <w:sz w:val="22"/>
          <w:szCs w:val="22"/>
          <w:lang w:val="en-GB"/>
        </w:rPr>
        <w:t>as  the</w:t>
      </w:r>
      <w:proofErr w:type="gramEnd"/>
      <w:r>
        <w:rPr>
          <w:rFonts w:ascii="Avenir Next" w:hAnsi="Avenir Next" w:cs="Arial"/>
          <w:color w:val="808080" w:themeColor="background1" w:themeShade="80"/>
          <w:sz w:val="22"/>
          <w:szCs w:val="22"/>
          <w:lang w:val="en-GB"/>
        </w:rPr>
        <w:t xml:space="preserve"> UNCITRAL Model Law on Recognition and Enforcement of Insolvency-Related Judgments (2018) and the UNCITRAL Legislative Guide on Insolvency Law (2004).  </w:t>
      </w:r>
    </w:p>
    <w:p w14:paraId="66EC7CF3" w14:textId="2554F00F" w:rsidR="00F44E74" w:rsidRDefault="00F44E74" w:rsidP="00F44E74">
      <w:pPr>
        <w:ind w:left="720" w:hanging="720"/>
        <w:jc w:val="both"/>
        <w:rPr>
          <w:rFonts w:ascii="Avenir Next" w:hAnsi="Avenir Next" w:cs="Arial"/>
          <w:color w:val="808080" w:themeColor="background1" w:themeShade="80"/>
          <w:sz w:val="22"/>
          <w:szCs w:val="22"/>
          <w:lang w:val="en-GB"/>
        </w:rPr>
      </w:pPr>
    </w:p>
    <w:p w14:paraId="4EA8A8C0" w14:textId="4C8A6F9C" w:rsidR="00C17E8E" w:rsidRPr="00F44E74" w:rsidRDefault="00F44E74" w:rsidP="00F44E7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common examples of successful treaties include the Nordic Convention (1933) and the Istanbul Convention (1990). In modern times, other successes include the European Insolvency Regulation (EIR) (2000) </w:t>
      </w:r>
    </w:p>
    <w:p w14:paraId="3D5C8DB0" w14:textId="6159C382" w:rsidR="00C17E8E" w:rsidRDefault="00C17E8E" w:rsidP="00692852">
      <w:pPr>
        <w:jc w:val="both"/>
        <w:rPr>
          <w:rFonts w:ascii="Avenir Next" w:hAnsi="Avenir Next"/>
          <w:sz w:val="22"/>
          <w:szCs w:val="22"/>
        </w:rPr>
      </w:pPr>
    </w:p>
    <w:p w14:paraId="337A4250" w14:textId="155C6276"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proofErr w:type="spellStart"/>
      <w:r w:rsidR="003E2E7C" w:rsidRPr="004216EA">
        <w:rPr>
          <w:rFonts w:ascii="Avenir Next" w:hAnsi="Avenir Next" w:cs="Arial"/>
          <w:sz w:val="22"/>
          <w:szCs w:val="22"/>
          <w:lang w:val="en-GB"/>
        </w:rPr>
        <w:t>Encanto</w:t>
      </w:r>
      <w:proofErr w:type="spellEnd"/>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w:t>
      </w:r>
      <w:proofErr w:type="spellStart"/>
      <w:r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 xml:space="preserve">fallen </w:t>
      </w:r>
      <w:r w:rsidR="00385D73" w:rsidRPr="004216EA">
        <w:rPr>
          <w:rFonts w:ascii="Avenir Next" w:hAnsi="Avenir Next" w:cs="Arial"/>
          <w:sz w:val="22"/>
          <w:szCs w:val="22"/>
          <w:lang w:val="en-GB"/>
        </w:rPr>
        <w:lastRenderedPageBreak/>
        <w:t>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A862B51" w14:textId="5F93153D" w:rsidR="001C5D88" w:rsidRDefault="006E06AF" w:rsidP="001C5D8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Differences between formal and i</w:t>
      </w:r>
      <w:r w:rsidR="001C5D88">
        <w:rPr>
          <w:rFonts w:ascii="Avenir Next" w:hAnsi="Avenir Next" w:cs="Arial"/>
          <w:color w:val="808080" w:themeColor="background1" w:themeShade="80"/>
          <w:sz w:val="22"/>
          <w:szCs w:val="22"/>
          <w:lang w:val="en-GB"/>
        </w:rPr>
        <w:t xml:space="preserve">nformal </w:t>
      </w:r>
      <w:r>
        <w:rPr>
          <w:rFonts w:ascii="Avenir Next" w:hAnsi="Avenir Next" w:cs="Arial"/>
          <w:color w:val="808080" w:themeColor="background1" w:themeShade="80"/>
          <w:sz w:val="22"/>
          <w:szCs w:val="22"/>
          <w:lang w:val="en-GB"/>
        </w:rPr>
        <w:t xml:space="preserve">insolvency </w:t>
      </w:r>
      <w:r w:rsidR="001C5D88">
        <w:rPr>
          <w:rFonts w:ascii="Avenir Next" w:hAnsi="Avenir Next" w:cs="Arial"/>
          <w:color w:val="808080" w:themeColor="background1" w:themeShade="80"/>
          <w:sz w:val="22"/>
          <w:szCs w:val="22"/>
          <w:lang w:val="en-GB"/>
        </w:rPr>
        <w:t xml:space="preserve">proceedings: </w:t>
      </w:r>
    </w:p>
    <w:p w14:paraId="469D4E20" w14:textId="09D508EA" w:rsidR="001E1C34" w:rsidRDefault="006E06AF" w:rsidP="001C5D8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C5D88" w:rsidRPr="001C5D88">
        <w:rPr>
          <w:rFonts w:ascii="Avenir Next" w:hAnsi="Avenir Next" w:cs="Arial"/>
          <w:color w:val="808080" w:themeColor="background1" w:themeShade="80"/>
          <w:sz w:val="22"/>
          <w:szCs w:val="22"/>
          <w:lang w:val="en-GB"/>
        </w:rPr>
        <w:t>nformal out-of-court arrangement</w:t>
      </w:r>
      <w:r>
        <w:rPr>
          <w:rFonts w:ascii="Avenir Next" w:hAnsi="Avenir Next" w:cs="Arial"/>
          <w:color w:val="808080" w:themeColor="background1" w:themeShade="80"/>
          <w:sz w:val="22"/>
          <w:szCs w:val="22"/>
          <w:lang w:val="en-GB"/>
        </w:rPr>
        <w:t xml:space="preserve">s are ad hoc and not collective. </w:t>
      </w:r>
    </w:p>
    <w:p w14:paraId="258B7ED7" w14:textId="290F48F1" w:rsidR="006E06AF" w:rsidRDefault="006E06AF"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informal </w:t>
      </w:r>
      <w:r w:rsidRPr="006E06AF">
        <w:rPr>
          <w:rFonts w:ascii="Avenir Next" w:hAnsi="Avenir Next" w:cs="Arial"/>
          <w:color w:val="808080" w:themeColor="background1" w:themeShade="80"/>
          <w:sz w:val="22"/>
          <w:szCs w:val="22"/>
          <w:lang w:val="en-GB"/>
        </w:rPr>
        <w:t>debt collection</w:t>
      </w:r>
      <w:r>
        <w:rPr>
          <w:rFonts w:ascii="Avenir Next" w:hAnsi="Avenir Next" w:cs="Arial"/>
          <w:color w:val="808080" w:themeColor="background1" w:themeShade="80"/>
          <w:sz w:val="22"/>
          <w:szCs w:val="22"/>
          <w:lang w:val="en-GB"/>
        </w:rPr>
        <w:t xml:space="preserve"> method has been described as 'piece meal' </w:t>
      </w:r>
    </w:p>
    <w:p w14:paraId="4A6E1067" w14:textId="1AC1BE58" w:rsidR="006E06AF" w:rsidRDefault="006E06AF"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formal process is collective and structured and will place a </w:t>
      </w:r>
      <w:r w:rsidRPr="006E06AF">
        <w:rPr>
          <w:rFonts w:ascii="Avenir Next" w:hAnsi="Avenir Next" w:cs="Arial"/>
          <w:color w:val="808080" w:themeColor="background1" w:themeShade="80"/>
          <w:sz w:val="22"/>
          <w:szCs w:val="22"/>
          <w:lang w:val="en-GB"/>
        </w:rPr>
        <w:t>moratorium</w:t>
      </w:r>
      <w:r>
        <w:rPr>
          <w:rFonts w:ascii="Avenir Next" w:hAnsi="Avenir Next" w:cs="Arial"/>
          <w:color w:val="808080" w:themeColor="background1" w:themeShade="80"/>
          <w:sz w:val="22"/>
          <w:szCs w:val="22"/>
          <w:lang w:val="en-GB"/>
        </w:rPr>
        <w:t xml:space="preserve"> on out of court processes</w:t>
      </w:r>
    </w:p>
    <w:p w14:paraId="7CBF012E" w14:textId="73263021" w:rsidR="001E1C34" w:rsidRDefault="001E1C34" w:rsidP="00692852">
      <w:pPr>
        <w:jc w:val="both"/>
        <w:rPr>
          <w:rFonts w:ascii="Avenir Next" w:hAnsi="Avenir Next" w:cs="Arial"/>
          <w:sz w:val="22"/>
          <w:szCs w:val="22"/>
          <w:lang w:val="en-GB"/>
        </w:rPr>
      </w:pPr>
    </w:p>
    <w:p w14:paraId="0CB2D198" w14:textId="23B885EC" w:rsidR="006E06AF" w:rsidRDefault="006E06AF" w:rsidP="006E06AF">
      <w:pPr>
        <w:ind w:left="720" w:hanging="720"/>
        <w:jc w:val="both"/>
        <w:rPr>
          <w:rFonts w:ascii="Avenir Next" w:hAnsi="Avenir Next" w:cs="Arial"/>
          <w:color w:val="808080" w:themeColor="background1" w:themeShade="80"/>
          <w:sz w:val="22"/>
          <w:szCs w:val="22"/>
          <w:lang w:val="en-GB"/>
        </w:rPr>
      </w:pPr>
      <w:r w:rsidRPr="006E06AF">
        <w:rPr>
          <w:rFonts w:ascii="Avenir Next" w:hAnsi="Avenir Next" w:cs="Arial"/>
          <w:color w:val="808080" w:themeColor="background1" w:themeShade="80"/>
          <w:sz w:val="22"/>
          <w:szCs w:val="22"/>
          <w:lang w:val="en-GB"/>
        </w:rPr>
        <w:t xml:space="preserve">Key advantages </w:t>
      </w:r>
      <w:r>
        <w:rPr>
          <w:rFonts w:ascii="Avenir Next" w:hAnsi="Avenir Next" w:cs="Arial"/>
          <w:color w:val="808080" w:themeColor="background1" w:themeShade="80"/>
          <w:sz w:val="22"/>
          <w:szCs w:val="22"/>
          <w:lang w:val="en-GB"/>
        </w:rPr>
        <w:t xml:space="preserve">regarding </w:t>
      </w:r>
      <w:r w:rsidRPr="006E06AF">
        <w:rPr>
          <w:rFonts w:ascii="Avenir Next" w:hAnsi="Avenir Next" w:cs="Arial"/>
          <w:color w:val="808080" w:themeColor="background1" w:themeShade="80"/>
          <w:sz w:val="22"/>
          <w:szCs w:val="22"/>
          <w:lang w:val="en-GB"/>
        </w:rPr>
        <w:t>informal out-of-court arrangement</w:t>
      </w:r>
      <w:r>
        <w:rPr>
          <w:rFonts w:ascii="Avenir Next" w:hAnsi="Avenir Next" w:cs="Arial"/>
          <w:color w:val="808080" w:themeColor="background1" w:themeShade="80"/>
          <w:sz w:val="22"/>
          <w:szCs w:val="22"/>
          <w:lang w:val="en-GB"/>
        </w:rPr>
        <w:t xml:space="preserve">s: </w:t>
      </w:r>
    </w:p>
    <w:p w14:paraId="45A3360A" w14:textId="27D0E3A2" w:rsidR="006E06AF" w:rsidRDefault="006E06AF"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arrangements may be value accretive for both creditors and the debtor company, particular if the company is only cash flow insolvent (but is balance sheet insolvent).</w:t>
      </w:r>
    </w:p>
    <w:p w14:paraId="13B986C3" w14:textId="0F62F0A5" w:rsidR="00574E50" w:rsidRDefault="00574E50"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formal process may cause current management to lose control and may also trigger events of default on other debts which may have a negative impact on Lobo</w:t>
      </w:r>
    </w:p>
    <w:p w14:paraId="1129BB47" w14:textId="48B6E688" w:rsidR="006E06AF" w:rsidRDefault="00574E50"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Triggering a formal process will also trigger the following issue: what will the rules i</w:t>
      </w:r>
      <w:r w:rsidRPr="00574E50">
        <w:rPr>
          <w:rFonts w:ascii="Avenir Next" w:hAnsi="Avenir Next" w:cs="Arial"/>
          <w:color w:val="808080" w:themeColor="background1" w:themeShade="80"/>
          <w:sz w:val="22"/>
          <w:szCs w:val="22"/>
          <w:lang w:val="en-GB"/>
        </w:rPr>
        <w:t xml:space="preserve">n </w:t>
      </w:r>
      <w:r>
        <w:rPr>
          <w:rFonts w:ascii="Avenir Next" w:hAnsi="Avenir Next" w:cs="Arial"/>
          <w:color w:val="808080" w:themeColor="background1" w:themeShade="80"/>
          <w:sz w:val="22"/>
          <w:szCs w:val="22"/>
          <w:lang w:val="en-GB"/>
        </w:rPr>
        <w:t xml:space="preserve">a formal </w:t>
      </w:r>
      <w:r w:rsidRPr="00574E50">
        <w:rPr>
          <w:rFonts w:ascii="Avenir Next" w:hAnsi="Avenir Next" w:cs="Arial"/>
          <w:color w:val="808080" w:themeColor="background1" w:themeShade="80"/>
          <w:sz w:val="22"/>
          <w:szCs w:val="22"/>
          <w:lang w:val="en-GB"/>
        </w:rPr>
        <w:t xml:space="preserve">cross </w:t>
      </w:r>
      <w:proofErr w:type="gramStart"/>
      <w:r w:rsidRPr="00574E50">
        <w:rPr>
          <w:rFonts w:ascii="Avenir Next" w:hAnsi="Avenir Next" w:cs="Arial"/>
          <w:color w:val="808080" w:themeColor="background1" w:themeShade="80"/>
          <w:sz w:val="22"/>
          <w:szCs w:val="22"/>
          <w:lang w:val="en-GB"/>
        </w:rPr>
        <w:t xml:space="preserve">border  </w:t>
      </w:r>
      <w:r>
        <w:rPr>
          <w:rFonts w:ascii="Avenir Next" w:hAnsi="Avenir Next" w:cs="Arial"/>
          <w:color w:val="808080" w:themeColor="background1" w:themeShade="80"/>
          <w:sz w:val="22"/>
          <w:szCs w:val="22"/>
          <w:lang w:val="en-GB"/>
        </w:rPr>
        <w:t>be</w:t>
      </w:r>
      <w:proofErr w:type="gramEnd"/>
      <w:r>
        <w:rPr>
          <w:rFonts w:ascii="Avenir Next" w:hAnsi="Avenir Next" w:cs="Arial"/>
          <w:color w:val="808080" w:themeColor="background1" w:themeShade="80"/>
          <w:sz w:val="22"/>
          <w:szCs w:val="22"/>
          <w:lang w:val="en-GB"/>
        </w:rPr>
        <w:t xml:space="preserve">? In particular, will other creditors have preference? Because they are secured or otherwise have priority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w:t>
      </w:r>
    </w:p>
    <w:p w14:paraId="2BB6DAC8" w14:textId="31493927" w:rsidR="00574E50" w:rsidRPr="00574E50" w:rsidRDefault="00574E50"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summary, an informal process is generally preferable (and likely to be less costly than a formal process). </w:t>
      </w:r>
    </w:p>
    <w:p w14:paraId="4CBEC8BC" w14:textId="77777777" w:rsidR="006E06AF" w:rsidRPr="006E06AF" w:rsidRDefault="006E06AF" w:rsidP="006E06AF">
      <w:pPr>
        <w:jc w:val="both"/>
        <w:rPr>
          <w:rFonts w:ascii="Avenir Next" w:hAnsi="Avenir Next" w:cs="Arial"/>
          <w:color w:val="808080" w:themeColor="background1" w:themeShade="80"/>
          <w:sz w:val="22"/>
          <w:szCs w:val="22"/>
          <w:lang w:val="en-GB"/>
        </w:rPr>
      </w:pPr>
    </w:p>
    <w:p w14:paraId="23A7EFCB" w14:textId="30590095" w:rsidR="001C5D88" w:rsidRDefault="006E06AF" w:rsidP="006E06AF">
      <w:pPr>
        <w:ind w:left="720" w:hanging="720"/>
        <w:jc w:val="both"/>
        <w:rPr>
          <w:rFonts w:ascii="Avenir Next" w:hAnsi="Avenir Next" w:cs="Arial"/>
          <w:color w:val="808080" w:themeColor="background1" w:themeShade="80"/>
          <w:sz w:val="22"/>
          <w:szCs w:val="22"/>
          <w:lang w:val="en-GB"/>
        </w:rPr>
      </w:pPr>
      <w:r w:rsidRPr="006E06AF">
        <w:rPr>
          <w:rFonts w:ascii="Avenir Next" w:hAnsi="Avenir Next" w:cs="Arial"/>
          <w:color w:val="808080" w:themeColor="background1" w:themeShade="80"/>
          <w:sz w:val="22"/>
          <w:szCs w:val="22"/>
          <w:lang w:val="en-GB"/>
        </w:rPr>
        <w:t>Key disadvantages regar</w:t>
      </w:r>
      <w:r>
        <w:rPr>
          <w:rFonts w:ascii="Avenir Next" w:hAnsi="Avenir Next" w:cs="Arial"/>
          <w:color w:val="808080" w:themeColor="background1" w:themeShade="80"/>
          <w:sz w:val="22"/>
          <w:szCs w:val="22"/>
          <w:lang w:val="en-GB"/>
        </w:rPr>
        <w:t>ding any informal out-of-court</w:t>
      </w:r>
      <w:r w:rsidRPr="006E06AF">
        <w:rPr>
          <w:rFonts w:ascii="Avenir Next" w:hAnsi="Avenir Next" w:cs="Arial"/>
          <w:color w:val="808080" w:themeColor="background1" w:themeShade="80"/>
          <w:sz w:val="22"/>
          <w:szCs w:val="22"/>
          <w:lang w:val="en-GB"/>
        </w:rPr>
        <w:t xml:space="preserve"> arrangement</w:t>
      </w:r>
      <w:r>
        <w:rPr>
          <w:rFonts w:ascii="Avenir Next" w:hAnsi="Avenir Next" w:cs="Arial"/>
          <w:color w:val="808080" w:themeColor="background1" w:themeShade="80"/>
          <w:sz w:val="22"/>
          <w:szCs w:val="22"/>
          <w:lang w:val="en-GB"/>
        </w:rPr>
        <w:t>s</w:t>
      </w:r>
      <w:r w:rsidRPr="006E06A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reasons why a formal debt recovery option may be preferable): </w:t>
      </w:r>
    </w:p>
    <w:p w14:paraId="61781996" w14:textId="6BC21F4A" w:rsidR="006E06AF" w:rsidRDefault="00574E50"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will be structure and order to proceedings; </w:t>
      </w:r>
    </w:p>
    <w:p w14:paraId="11373B71" w14:textId="7CF31D2A" w:rsidR="00574E50" w:rsidRDefault="00574E50"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Does not require the consent of FPPL; </w:t>
      </w:r>
    </w:p>
    <w:p w14:paraId="15B2C6AD" w14:textId="7A2841CC" w:rsidR="00574E50" w:rsidRPr="006E06AF" w:rsidRDefault="00574E50" w:rsidP="006E06A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 arrangements under the informal process may be void if a formal process is ultimately commenced (and thus it may be preferable to skip the step of an informal process, especially if a formal process is inevitable). </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proofErr w:type="spellStart"/>
      <w:r w:rsidR="003E2E7C"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4FE9A1B5" w14:textId="77777777" w:rsidR="002E4C79" w:rsidRDefault="002E4C79" w:rsidP="002E4C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w:t>
      </w:r>
      <w:r w:rsidR="00574E50" w:rsidRPr="00574E50">
        <w:rPr>
          <w:rFonts w:ascii="Avenir Next" w:hAnsi="Avenir Next" w:cs="Arial"/>
          <w:color w:val="808080" w:themeColor="background1" w:themeShade="80"/>
          <w:sz w:val="22"/>
          <w:szCs w:val="22"/>
          <w:lang w:val="en-GB"/>
        </w:rPr>
        <w:t xml:space="preserve">debtor </w:t>
      </w:r>
      <w:r>
        <w:rPr>
          <w:rFonts w:ascii="Avenir Next" w:hAnsi="Avenir Next" w:cs="Arial"/>
          <w:color w:val="808080" w:themeColor="background1" w:themeShade="80"/>
          <w:sz w:val="22"/>
          <w:szCs w:val="22"/>
          <w:lang w:val="en-GB"/>
        </w:rPr>
        <w:t xml:space="preserve">has </w:t>
      </w:r>
      <w:r w:rsidR="00574E50" w:rsidRPr="00574E50">
        <w:rPr>
          <w:rFonts w:ascii="Avenir Next" w:hAnsi="Avenir Next" w:cs="Arial"/>
          <w:color w:val="808080" w:themeColor="background1" w:themeShade="80"/>
          <w:sz w:val="22"/>
          <w:szCs w:val="22"/>
          <w:lang w:val="en-GB"/>
        </w:rPr>
        <w:t>been put into a</w:t>
      </w:r>
      <w:r>
        <w:rPr>
          <w:rFonts w:ascii="Avenir Next" w:hAnsi="Avenir Next" w:cs="Arial"/>
          <w:color w:val="808080" w:themeColor="background1" w:themeShade="80"/>
          <w:sz w:val="22"/>
          <w:szCs w:val="22"/>
          <w:lang w:val="en-GB"/>
        </w:rPr>
        <w:t xml:space="preserve"> formal state of insolvency in both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the following issues will arise: </w:t>
      </w:r>
    </w:p>
    <w:p w14:paraId="63F1433A" w14:textId="77777777"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r</w:t>
      </w:r>
      <w:r w:rsidRPr="002E4C79">
        <w:rPr>
          <w:rFonts w:ascii="Avenir Next" w:hAnsi="Avenir Next" w:cs="Arial"/>
          <w:color w:val="808080" w:themeColor="background1" w:themeShade="80"/>
          <w:sz w:val="22"/>
          <w:szCs w:val="22"/>
          <w:lang w:val="en-GB"/>
        </w:rPr>
        <w:t>ules on cross border</w:t>
      </w:r>
      <w:r>
        <w:rPr>
          <w:rFonts w:ascii="Avenir Next" w:hAnsi="Avenir Next" w:cs="Arial"/>
          <w:color w:val="808080" w:themeColor="background1" w:themeShade="80"/>
          <w:sz w:val="22"/>
          <w:szCs w:val="22"/>
          <w:lang w:val="en-GB"/>
        </w:rPr>
        <w:t xml:space="preserve"> insolvency apply? </w:t>
      </w:r>
    </w:p>
    <w:p w14:paraId="18E938C7" w14:textId="015B252A"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Will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be more pro-creditor (potential discharge in 10 years) / pro-debtor (potential discharge in 1 year)? </w:t>
      </w:r>
    </w:p>
    <w:p w14:paraId="677FB680" w14:textId="71FA847D"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 will employees be treated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w:t>
      </w:r>
    </w:p>
    <w:p w14:paraId="32B9B4DC" w14:textId="6B6C2498"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 will property law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effect the insolvency? </w:t>
      </w:r>
    </w:p>
    <w:p w14:paraId="2EC4DD5F" w14:textId="5C324A7B"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is the law in relation to security in either jurisdiction, and how will that effect matters? </w:t>
      </w:r>
    </w:p>
    <w:p w14:paraId="10603504" w14:textId="2014E1A7"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particular, are there special rules in relation to banks / FI, groups of companies, State Owned Enterprises, non-profits, </w:t>
      </w:r>
      <w:proofErr w:type="spellStart"/>
      <w:r>
        <w:rPr>
          <w:rFonts w:ascii="Avenir Next" w:hAnsi="Avenir Next" w:cs="Arial"/>
          <w:color w:val="808080" w:themeColor="background1" w:themeShade="80"/>
          <w:sz w:val="22"/>
          <w:szCs w:val="22"/>
          <w:lang w:val="en-GB"/>
        </w:rPr>
        <w:t>municpalties</w:t>
      </w:r>
      <w:proofErr w:type="spellEnd"/>
      <w:r>
        <w:rPr>
          <w:rFonts w:ascii="Avenir Next" w:hAnsi="Avenir Next" w:cs="Arial"/>
          <w:color w:val="808080" w:themeColor="background1" w:themeShade="80"/>
          <w:sz w:val="22"/>
          <w:szCs w:val="22"/>
          <w:lang w:val="en-GB"/>
        </w:rPr>
        <w:t xml:space="preserve">, or sovereign debt (and is any of that applicable in this circumstance)? </w:t>
      </w:r>
    </w:p>
    <w:p w14:paraId="5C21878D" w14:textId="6F354B4E" w:rsidR="00B810EF" w:rsidRDefault="00B810EF"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 will contracts be dealt with in each jurisdiction? </w:t>
      </w:r>
    </w:p>
    <w:p w14:paraId="44FF2459" w14:textId="77777777" w:rsidR="002E4C79" w:rsidRDefault="002E4C79" w:rsidP="002E4C7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issues that will also arise also include: </w:t>
      </w:r>
    </w:p>
    <w:p w14:paraId="3092FF75" w14:textId="77777777" w:rsidR="002E4C79" w:rsidRDefault="002E4C79" w:rsidP="002E4C79">
      <w:pPr>
        <w:pStyle w:val="ListParagraph"/>
        <w:numPr>
          <w:ilvl w:val="1"/>
          <w:numId w:val="25"/>
        </w:numPr>
        <w:jc w:val="both"/>
        <w:rPr>
          <w:rFonts w:ascii="Avenir Next" w:hAnsi="Avenir Next" w:cs="Arial"/>
          <w:color w:val="808080" w:themeColor="background1" w:themeShade="80"/>
          <w:sz w:val="22"/>
          <w:szCs w:val="22"/>
          <w:lang w:val="en-GB"/>
        </w:rPr>
      </w:pPr>
      <w:r w:rsidRPr="002E4C79">
        <w:rPr>
          <w:rFonts w:ascii="Avenir Next" w:hAnsi="Avenir Next" w:cs="Arial"/>
          <w:color w:val="808080" w:themeColor="background1" w:themeShade="80"/>
          <w:sz w:val="22"/>
          <w:szCs w:val="22"/>
          <w:lang w:val="en-GB"/>
        </w:rPr>
        <w:t>Will the system provide a moratorium or automatic stay</w:t>
      </w:r>
      <w:r>
        <w:rPr>
          <w:rFonts w:ascii="Avenir Next" w:hAnsi="Avenir Next" w:cs="Arial"/>
          <w:color w:val="808080" w:themeColor="background1" w:themeShade="80"/>
          <w:sz w:val="22"/>
          <w:szCs w:val="22"/>
          <w:lang w:val="en-GB"/>
        </w:rPr>
        <w:t xml:space="preserve"> in </w:t>
      </w:r>
      <w:proofErr w:type="spellStart"/>
      <w:r>
        <w:rPr>
          <w:rFonts w:ascii="Avenir Next" w:hAnsi="Avenir Next" w:cs="Arial"/>
          <w:color w:val="808080" w:themeColor="background1" w:themeShade="80"/>
          <w:sz w:val="22"/>
          <w:szCs w:val="22"/>
          <w:lang w:val="en-GB"/>
        </w:rPr>
        <w:t>Asgard</w:t>
      </w:r>
      <w:proofErr w:type="spellEnd"/>
      <w:r w:rsidRPr="002E4C79">
        <w:rPr>
          <w:rFonts w:ascii="Avenir Next" w:hAnsi="Avenir Next" w:cs="Arial"/>
          <w:color w:val="808080" w:themeColor="background1" w:themeShade="80"/>
          <w:sz w:val="22"/>
          <w:szCs w:val="22"/>
          <w:lang w:val="en-GB"/>
        </w:rPr>
        <w:t xml:space="preserve">? </w:t>
      </w:r>
    </w:p>
    <w:p w14:paraId="6855C77D" w14:textId="77777777" w:rsidR="002E4C79" w:rsidRDefault="002E4C79" w:rsidP="002E4C79">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Will the IP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remain in possession / will the company directors remain in position? </w:t>
      </w:r>
      <w:r w:rsidRPr="002E4C79">
        <w:rPr>
          <w:rFonts w:ascii="Avenir Next" w:hAnsi="Avenir Next" w:cs="Arial"/>
          <w:color w:val="808080" w:themeColor="background1" w:themeShade="80"/>
          <w:sz w:val="22"/>
          <w:szCs w:val="22"/>
          <w:lang w:val="en-GB"/>
        </w:rPr>
        <w:t xml:space="preserve"> </w:t>
      </w:r>
    </w:p>
    <w:p w14:paraId="5E8EE7A2" w14:textId="608AE36B" w:rsidR="002E4C79" w:rsidRDefault="002E4C79" w:rsidP="002E4C79">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concurrent proceedings, w</w:t>
      </w:r>
      <w:r w:rsidRPr="002E4C79">
        <w:rPr>
          <w:rFonts w:ascii="Avenir Next" w:hAnsi="Avenir Next" w:cs="Arial"/>
          <w:color w:val="808080" w:themeColor="background1" w:themeShade="80"/>
          <w:sz w:val="22"/>
          <w:szCs w:val="22"/>
          <w:lang w:val="en-GB"/>
        </w:rPr>
        <w:t>hat is the power of the I</w:t>
      </w:r>
      <w:r>
        <w:rPr>
          <w:rFonts w:ascii="Avenir Next" w:hAnsi="Avenir Next" w:cs="Arial"/>
          <w:color w:val="808080" w:themeColor="background1" w:themeShade="80"/>
          <w:sz w:val="22"/>
          <w:szCs w:val="22"/>
          <w:lang w:val="en-GB"/>
        </w:rPr>
        <w:t xml:space="preserve">P professional / the directors in each instance? </w:t>
      </w:r>
    </w:p>
    <w:p w14:paraId="11155B51" w14:textId="77777777" w:rsidR="002E4C79" w:rsidRDefault="002E4C79" w:rsidP="002E4C79">
      <w:pPr>
        <w:pStyle w:val="ListParagraph"/>
        <w:numPr>
          <w:ilvl w:val="1"/>
          <w:numId w:val="25"/>
        </w:numPr>
        <w:jc w:val="both"/>
        <w:rPr>
          <w:rFonts w:ascii="Avenir Next" w:hAnsi="Avenir Next" w:cs="Arial"/>
          <w:color w:val="808080" w:themeColor="background1" w:themeShade="80"/>
          <w:sz w:val="22"/>
          <w:szCs w:val="22"/>
          <w:lang w:val="en-GB"/>
        </w:rPr>
      </w:pPr>
      <w:r w:rsidRPr="002E4C79">
        <w:rPr>
          <w:rFonts w:ascii="Avenir Next" w:hAnsi="Avenir Next" w:cs="Arial"/>
          <w:color w:val="808080" w:themeColor="background1" w:themeShade="80"/>
          <w:sz w:val="22"/>
          <w:szCs w:val="22"/>
          <w:lang w:val="en-GB"/>
        </w:rPr>
        <w:t xml:space="preserve">Will the company be entitled to discharge / partial discharge? </w:t>
      </w:r>
    </w:p>
    <w:p w14:paraId="1B179310" w14:textId="797CFDA9" w:rsidR="002E4C79" w:rsidRDefault="002E4C79" w:rsidP="002E4C79">
      <w:pPr>
        <w:pStyle w:val="ListParagraph"/>
        <w:numPr>
          <w:ilvl w:val="1"/>
          <w:numId w:val="25"/>
        </w:numPr>
        <w:jc w:val="both"/>
        <w:rPr>
          <w:rFonts w:ascii="Avenir Next" w:hAnsi="Avenir Next" w:cs="Arial"/>
          <w:color w:val="808080" w:themeColor="background1" w:themeShade="80"/>
          <w:sz w:val="22"/>
          <w:szCs w:val="22"/>
          <w:lang w:val="en-GB"/>
        </w:rPr>
      </w:pPr>
      <w:r w:rsidRPr="002E4C79">
        <w:rPr>
          <w:rFonts w:ascii="Avenir Next" w:hAnsi="Avenir Next" w:cs="Arial"/>
          <w:color w:val="808080" w:themeColor="background1" w:themeShade="80"/>
          <w:sz w:val="22"/>
          <w:szCs w:val="22"/>
          <w:lang w:val="en-GB"/>
        </w:rPr>
        <w:t>Will there be a creditors committee?</w:t>
      </w:r>
      <w:r>
        <w:rPr>
          <w:rFonts w:ascii="Avenir Next" w:hAnsi="Avenir Next" w:cs="Arial"/>
          <w:color w:val="808080" w:themeColor="background1" w:themeShade="80"/>
          <w:sz w:val="22"/>
          <w:szCs w:val="22"/>
          <w:lang w:val="en-GB"/>
        </w:rPr>
        <w:t xml:space="preserve"> How? </w:t>
      </w:r>
    </w:p>
    <w:p w14:paraId="4B1C3E8B" w14:textId="57FAD999" w:rsidR="00B810EF" w:rsidRDefault="00B810EF" w:rsidP="00B810EF">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is the standing of the foreign Insolvency e</w:t>
      </w:r>
      <w:r w:rsidRPr="00B810EF">
        <w:rPr>
          <w:rFonts w:ascii="Avenir Next" w:hAnsi="Avenir Next" w:cs="Arial"/>
          <w:color w:val="808080" w:themeColor="background1" w:themeShade="80"/>
          <w:sz w:val="22"/>
          <w:szCs w:val="22"/>
          <w:lang w:val="en-GB"/>
        </w:rPr>
        <w:t>state representative</w:t>
      </w:r>
      <w:r>
        <w:rPr>
          <w:rFonts w:ascii="Avenir Next" w:hAnsi="Avenir Next" w:cs="Arial"/>
          <w:color w:val="808080" w:themeColor="background1" w:themeShade="80"/>
          <w:sz w:val="22"/>
          <w:szCs w:val="22"/>
          <w:lang w:val="en-GB"/>
        </w:rPr>
        <w:t xml:space="preserve">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now? </w:t>
      </w:r>
    </w:p>
    <w:p w14:paraId="5958BB60" w14:textId="6DF8473C" w:rsidR="002E4C79" w:rsidRDefault="002E4C79" w:rsidP="002E4C79">
      <w:pPr>
        <w:jc w:val="both"/>
        <w:rPr>
          <w:rFonts w:ascii="Avenir Next" w:hAnsi="Avenir Next" w:cs="Arial"/>
          <w:color w:val="808080" w:themeColor="background1" w:themeShade="80"/>
          <w:sz w:val="22"/>
          <w:szCs w:val="22"/>
          <w:lang w:val="en-GB"/>
        </w:rPr>
      </w:pPr>
    </w:p>
    <w:p w14:paraId="212266D0" w14:textId="01F0774C" w:rsidR="002E4C79" w:rsidRDefault="002E4C79" w:rsidP="00B810E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of these issues are solved through </w:t>
      </w:r>
      <w:r w:rsidR="00B810EF" w:rsidRPr="00B810EF">
        <w:rPr>
          <w:rFonts w:ascii="Avenir Next" w:hAnsi="Avenir Next" w:cs="Arial"/>
          <w:color w:val="808080" w:themeColor="background1" w:themeShade="80"/>
          <w:sz w:val="22"/>
          <w:szCs w:val="22"/>
          <w:lang w:val="en-GB"/>
        </w:rPr>
        <w:t>international insolvency instruments</w:t>
      </w:r>
      <w:r w:rsidR="00B810EF">
        <w:rPr>
          <w:rFonts w:ascii="Avenir Next" w:hAnsi="Avenir Next" w:cs="Arial"/>
          <w:color w:val="808080" w:themeColor="background1" w:themeShade="80"/>
          <w:sz w:val="22"/>
          <w:szCs w:val="22"/>
          <w:lang w:val="en-GB"/>
        </w:rPr>
        <w:t xml:space="preserve"> as they can move to create greater certain and predictability as to how these issues will be dealt with. Current instruments are driving predictability / certainty in: </w:t>
      </w:r>
    </w:p>
    <w:p w14:paraId="011D4C2C" w14:textId="6493A431" w:rsidR="00B810EF" w:rsidRDefault="00B810EF" w:rsidP="00B810EF">
      <w:pPr>
        <w:pStyle w:val="ListParagraph"/>
        <w:numPr>
          <w:ilvl w:val="0"/>
          <w:numId w:val="25"/>
        </w:numPr>
        <w:jc w:val="both"/>
        <w:rPr>
          <w:rFonts w:ascii="Avenir Next" w:hAnsi="Avenir Next" w:cs="Arial"/>
          <w:color w:val="808080" w:themeColor="background1" w:themeShade="80"/>
          <w:sz w:val="22"/>
          <w:szCs w:val="22"/>
          <w:lang w:val="en-GB"/>
        </w:rPr>
      </w:pPr>
      <w:r w:rsidRPr="00B810EF">
        <w:rPr>
          <w:rFonts w:ascii="Avenir Next" w:hAnsi="Avenir Next" w:cs="Arial"/>
          <w:color w:val="808080" w:themeColor="background1" w:themeShade="80"/>
          <w:sz w:val="22"/>
          <w:szCs w:val="22"/>
          <w:lang w:val="en-GB"/>
        </w:rPr>
        <w:t>Recognition of foreign judgments</w:t>
      </w:r>
    </w:p>
    <w:p w14:paraId="6D7E0649" w14:textId="12402BA5" w:rsidR="001E1C34" w:rsidRDefault="00B810EF" w:rsidP="0069285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Creating protocols for communication between courts when there are multiple proceedings. </w:t>
      </w:r>
    </w:p>
    <w:p w14:paraId="42D71077" w14:textId="6BCA74C5" w:rsidR="00B810EF" w:rsidRDefault="00B810EF" w:rsidP="00B810EF">
      <w:pPr>
        <w:jc w:val="both"/>
        <w:rPr>
          <w:rFonts w:ascii="Avenir Next" w:hAnsi="Avenir Next" w:cs="Arial"/>
          <w:color w:val="808080" w:themeColor="background1" w:themeShade="80"/>
          <w:sz w:val="22"/>
          <w:szCs w:val="22"/>
          <w:lang w:val="en-GB"/>
        </w:rPr>
      </w:pPr>
    </w:p>
    <w:p w14:paraId="0D3B1D18" w14:textId="7B89800A" w:rsidR="004E1D03" w:rsidRDefault="00B810E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Apply these principles, given that the </w:t>
      </w:r>
      <w:r w:rsidRPr="00B810EF">
        <w:rPr>
          <w:rFonts w:ascii="Avenir Next" w:hAnsi="Avenir Next" w:cs="Arial"/>
          <w:color w:val="808080" w:themeColor="background1" w:themeShade="80"/>
          <w:sz w:val="22"/>
          <w:szCs w:val="22"/>
          <w:lang w:val="en-GB"/>
        </w:rPr>
        <w:t>headquarters</w:t>
      </w:r>
      <w:r>
        <w:rPr>
          <w:rFonts w:ascii="Avenir Next" w:hAnsi="Avenir Next" w:cs="Arial"/>
          <w:color w:val="808080" w:themeColor="background1" w:themeShade="80"/>
          <w:sz w:val="22"/>
          <w:szCs w:val="22"/>
          <w:lang w:val="en-GB"/>
        </w:rPr>
        <w:t>, place</w:t>
      </w:r>
      <w:r w:rsidRPr="00B810EF">
        <w:rPr>
          <w:rFonts w:ascii="Avenir Next" w:hAnsi="Avenir Next" w:cs="Arial"/>
          <w:color w:val="808080" w:themeColor="background1" w:themeShade="80"/>
          <w:sz w:val="22"/>
          <w:szCs w:val="22"/>
          <w:lang w:val="en-GB"/>
        </w:rPr>
        <w:t xml:space="preserve"> of incorp</w:t>
      </w:r>
      <w:r>
        <w:rPr>
          <w:rFonts w:ascii="Avenir Next" w:hAnsi="Avenir Next" w:cs="Arial"/>
          <w:color w:val="808080" w:themeColor="background1" w:themeShade="80"/>
          <w:sz w:val="22"/>
          <w:szCs w:val="22"/>
          <w:lang w:val="en-GB"/>
        </w:rPr>
        <w:t>oration</w:t>
      </w:r>
      <w:r w:rsidRPr="00B810E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main place of business are all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one would expect that </w:t>
      </w:r>
      <w:proofErr w:type="spellStart"/>
      <w:r>
        <w:rPr>
          <w:rFonts w:ascii="Avenir Next" w:hAnsi="Avenir Next" w:cs="Arial"/>
          <w:color w:val="808080" w:themeColor="background1" w:themeShade="80"/>
          <w:sz w:val="22"/>
          <w:szCs w:val="22"/>
          <w:lang w:val="en-GB"/>
        </w:rPr>
        <w:t>Encanto</w:t>
      </w:r>
      <w:proofErr w:type="spellEnd"/>
      <w:r w:rsidRPr="00B810EF">
        <w:rPr>
          <w:rFonts w:ascii="Avenir Next" w:hAnsi="Avenir Next" w:cs="Arial"/>
          <w:color w:val="808080" w:themeColor="background1" w:themeShade="80"/>
          <w:sz w:val="22"/>
          <w:szCs w:val="22"/>
          <w:lang w:val="en-GB"/>
        </w:rPr>
        <w:t xml:space="preserve"> procedure s</w:t>
      </w:r>
      <w:r>
        <w:rPr>
          <w:rFonts w:ascii="Avenir Next" w:hAnsi="Avenir Next" w:cs="Arial"/>
          <w:color w:val="808080" w:themeColor="background1" w:themeShade="80"/>
          <w:sz w:val="22"/>
          <w:szCs w:val="22"/>
          <w:lang w:val="en-GB"/>
        </w:rPr>
        <w:t xml:space="preserve">hould regulate the whole matter, </w:t>
      </w:r>
      <w:r w:rsidRPr="00B810EF">
        <w:rPr>
          <w:rFonts w:ascii="Avenir Next" w:hAnsi="Avenir Next" w:cs="Arial"/>
          <w:color w:val="808080" w:themeColor="background1" w:themeShade="80"/>
          <w:sz w:val="22"/>
          <w:szCs w:val="22"/>
          <w:lang w:val="en-GB"/>
        </w:rPr>
        <w:t>even if the</w:t>
      </w:r>
      <w:r>
        <w:rPr>
          <w:rFonts w:ascii="Avenir Next" w:hAnsi="Avenir Next" w:cs="Arial"/>
          <w:color w:val="808080" w:themeColor="background1" w:themeShade="80"/>
          <w:sz w:val="22"/>
          <w:szCs w:val="22"/>
          <w:lang w:val="en-GB"/>
        </w:rPr>
        <w:t>re are</w:t>
      </w:r>
      <w:r w:rsidRPr="00B810EF">
        <w:rPr>
          <w:rFonts w:ascii="Avenir Next" w:hAnsi="Avenir Next" w:cs="Arial"/>
          <w:color w:val="808080" w:themeColor="background1" w:themeShade="80"/>
          <w:sz w:val="22"/>
          <w:szCs w:val="22"/>
          <w:lang w:val="en-GB"/>
        </w:rPr>
        <w:t xml:space="preserve"> assets </w:t>
      </w:r>
      <w:r>
        <w:rPr>
          <w:rFonts w:ascii="Avenir Next" w:hAnsi="Avenir Next" w:cs="Arial"/>
          <w:color w:val="808080" w:themeColor="background1" w:themeShade="80"/>
          <w:sz w:val="22"/>
          <w:szCs w:val="22"/>
          <w:lang w:val="en-GB"/>
        </w:rPr>
        <w:t xml:space="preserve">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w:t>
      </w:r>
    </w:p>
    <w:p w14:paraId="08B8B827" w14:textId="77777777" w:rsidR="00B810EF" w:rsidRPr="004216EA" w:rsidRDefault="00B810EF"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C55463F" w14:textId="26CE1A12" w:rsidR="001E1C34" w:rsidRDefault="00B810EF"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B810EF">
        <w:rPr>
          <w:rFonts w:ascii="Avenir Next" w:hAnsi="Avenir Next" w:cs="Arial"/>
          <w:color w:val="808080" w:themeColor="background1" w:themeShade="80"/>
          <w:sz w:val="22"/>
          <w:szCs w:val="22"/>
          <w:lang w:val="en-GB"/>
        </w:rPr>
        <w:t>he European Inso</w:t>
      </w:r>
      <w:r>
        <w:rPr>
          <w:rFonts w:ascii="Avenir Next" w:hAnsi="Avenir Next" w:cs="Arial"/>
          <w:color w:val="808080" w:themeColor="background1" w:themeShade="80"/>
          <w:sz w:val="22"/>
          <w:szCs w:val="22"/>
          <w:lang w:val="en-GB"/>
        </w:rPr>
        <w:t xml:space="preserve">lvency Regulation Recast would be influential </w:t>
      </w:r>
      <w:r w:rsidRPr="00B810EF">
        <w:rPr>
          <w:rFonts w:ascii="Avenir Next" w:hAnsi="Avenir Next" w:cs="Arial"/>
          <w:color w:val="808080" w:themeColor="background1" w:themeShade="80"/>
          <w:sz w:val="22"/>
          <w:szCs w:val="22"/>
          <w:lang w:val="en-GB"/>
        </w:rPr>
        <w:t>with respect to the UK commenced insolvency proceedings</w:t>
      </w:r>
      <w:r>
        <w:rPr>
          <w:rFonts w:ascii="Avenir Next" w:hAnsi="Avenir Next" w:cs="Arial"/>
          <w:color w:val="808080" w:themeColor="background1" w:themeShade="80"/>
          <w:sz w:val="22"/>
          <w:szCs w:val="22"/>
          <w:lang w:val="en-GB"/>
        </w:rPr>
        <w:t xml:space="preserve">. Further, the Insolvency Act 1986 would also naturally be on importance. </w:t>
      </w:r>
    </w:p>
    <w:p w14:paraId="79DEA5AD" w14:textId="1023D0BE" w:rsidR="00B810EF" w:rsidRDefault="00B810EF" w:rsidP="00692852">
      <w:pPr>
        <w:ind w:left="720" w:hanging="720"/>
        <w:jc w:val="both"/>
        <w:rPr>
          <w:rFonts w:ascii="Avenir Next" w:hAnsi="Avenir Next" w:cs="Arial"/>
          <w:color w:val="808080" w:themeColor="background1" w:themeShade="80"/>
          <w:sz w:val="22"/>
          <w:szCs w:val="22"/>
          <w:lang w:val="en-GB"/>
        </w:rPr>
      </w:pPr>
    </w:p>
    <w:p w14:paraId="490BC664" w14:textId="641BDD04" w:rsidR="00B810EF" w:rsidRPr="00B810EF" w:rsidRDefault="00B810EF"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factors would be highly determinative as to whether proceedings could be successful brought in </w:t>
      </w:r>
      <w:proofErr w:type="spellStart"/>
      <w:r w:rsidRPr="00B810EF">
        <w:rPr>
          <w:rFonts w:ascii="Avenir Next" w:hAnsi="Avenir Next" w:cs="Arial"/>
          <w:color w:val="808080" w:themeColor="background1" w:themeShade="80"/>
          <w:sz w:val="22"/>
          <w:szCs w:val="22"/>
          <w:lang w:val="en-GB"/>
        </w:rPr>
        <w:t>Asgard</w:t>
      </w:r>
      <w:proofErr w:type="spellEnd"/>
      <w:r w:rsidRPr="00B810EF">
        <w:rPr>
          <w:rFonts w:ascii="Avenir Next" w:hAnsi="Avenir Next" w:cs="Arial"/>
          <w:color w:val="808080" w:themeColor="background1" w:themeShade="80"/>
          <w:sz w:val="22"/>
          <w:szCs w:val="22"/>
          <w:lang w:val="en-GB"/>
        </w:rPr>
        <w:t xml:space="preserve">, or whether </w:t>
      </w:r>
      <w:proofErr w:type="spellStart"/>
      <w:r w:rsidRPr="00B810EF">
        <w:rPr>
          <w:rFonts w:ascii="Avenir Next" w:hAnsi="Avenir Next" w:cs="Arial"/>
          <w:color w:val="808080" w:themeColor="background1" w:themeShade="80"/>
          <w:sz w:val="22"/>
          <w:szCs w:val="22"/>
          <w:lang w:val="en-GB"/>
        </w:rPr>
        <w:t>Encanto</w:t>
      </w:r>
      <w:proofErr w:type="spellEnd"/>
      <w:r w:rsidRPr="00B810EF">
        <w:rPr>
          <w:rFonts w:ascii="Avenir Next" w:hAnsi="Avenir Next" w:cs="Arial"/>
          <w:color w:val="808080" w:themeColor="background1" w:themeShade="80"/>
          <w:sz w:val="22"/>
          <w:szCs w:val="22"/>
          <w:lang w:val="en-GB"/>
        </w:rPr>
        <w:t xml:space="preserve"> should be the only place where proceedings are brought: </w:t>
      </w:r>
    </w:p>
    <w:p w14:paraId="7FFF4885" w14:textId="111A7345" w:rsidR="00B810EF" w:rsidRPr="00B61917" w:rsidRDefault="00B810EF" w:rsidP="00B810EF">
      <w:pPr>
        <w:pStyle w:val="ListParagraph"/>
        <w:numPr>
          <w:ilvl w:val="0"/>
          <w:numId w:val="25"/>
        </w:numPr>
        <w:jc w:val="both"/>
        <w:rPr>
          <w:rFonts w:ascii="Avenir Next" w:hAnsi="Avenir Next" w:cs="Arial"/>
          <w:color w:val="808080" w:themeColor="background1" w:themeShade="80"/>
          <w:sz w:val="22"/>
          <w:szCs w:val="22"/>
          <w:lang w:val="en-GB"/>
        </w:rPr>
      </w:pPr>
      <w:r w:rsidRPr="00B61917">
        <w:rPr>
          <w:rFonts w:ascii="Avenir Next" w:hAnsi="Avenir Next" w:cs="Arial"/>
          <w:color w:val="808080" w:themeColor="background1" w:themeShade="80"/>
          <w:sz w:val="22"/>
          <w:szCs w:val="22"/>
          <w:lang w:val="en-GB"/>
        </w:rPr>
        <w:t xml:space="preserve">Where is FPPL incorporated? </w:t>
      </w:r>
    </w:p>
    <w:p w14:paraId="3EC4CAB9" w14:textId="78868E2D" w:rsidR="00B810EF" w:rsidRPr="00B61917" w:rsidRDefault="00B810EF" w:rsidP="00B810EF">
      <w:pPr>
        <w:pStyle w:val="ListParagraph"/>
        <w:numPr>
          <w:ilvl w:val="0"/>
          <w:numId w:val="25"/>
        </w:numPr>
        <w:jc w:val="both"/>
        <w:rPr>
          <w:rFonts w:ascii="Avenir Next" w:hAnsi="Avenir Next" w:cs="Arial"/>
          <w:color w:val="808080" w:themeColor="background1" w:themeShade="80"/>
          <w:sz w:val="22"/>
          <w:szCs w:val="22"/>
          <w:lang w:val="en-GB"/>
        </w:rPr>
      </w:pPr>
      <w:r w:rsidRPr="00B61917">
        <w:rPr>
          <w:rFonts w:ascii="Avenir Next" w:hAnsi="Avenir Next" w:cs="Arial"/>
          <w:color w:val="808080" w:themeColor="background1" w:themeShade="80"/>
          <w:sz w:val="22"/>
          <w:szCs w:val="22"/>
          <w:lang w:val="en-GB"/>
        </w:rPr>
        <w:t>Where is FPPL's main office</w:t>
      </w:r>
      <w:r w:rsidR="00B61917" w:rsidRPr="00B61917">
        <w:rPr>
          <w:rFonts w:ascii="Avenir Next" w:hAnsi="Avenir Next" w:cs="Arial"/>
          <w:color w:val="808080" w:themeColor="background1" w:themeShade="80"/>
          <w:sz w:val="22"/>
          <w:szCs w:val="22"/>
          <w:lang w:val="en-GB"/>
        </w:rPr>
        <w:t xml:space="preserve"> / HQ</w:t>
      </w:r>
      <w:r w:rsidRPr="00B61917">
        <w:rPr>
          <w:rFonts w:ascii="Avenir Next" w:hAnsi="Avenir Next" w:cs="Arial"/>
          <w:color w:val="808080" w:themeColor="background1" w:themeShade="80"/>
          <w:sz w:val="22"/>
          <w:szCs w:val="22"/>
          <w:lang w:val="en-GB"/>
        </w:rPr>
        <w:t xml:space="preserve">? </w:t>
      </w:r>
    </w:p>
    <w:p w14:paraId="77D00640" w14:textId="705D8ACC" w:rsidR="00B810EF" w:rsidRPr="00B61917" w:rsidRDefault="00B810EF" w:rsidP="00B810EF">
      <w:pPr>
        <w:pStyle w:val="ListParagraph"/>
        <w:numPr>
          <w:ilvl w:val="0"/>
          <w:numId w:val="25"/>
        </w:numPr>
        <w:jc w:val="both"/>
        <w:rPr>
          <w:rFonts w:ascii="Avenir Next" w:hAnsi="Avenir Next" w:cs="Arial"/>
          <w:color w:val="808080" w:themeColor="background1" w:themeShade="80"/>
          <w:sz w:val="22"/>
          <w:szCs w:val="22"/>
          <w:lang w:val="en-GB"/>
        </w:rPr>
      </w:pPr>
      <w:r w:rsidRPr="00B61917">
        <w:rPr>
          <w:rFonts w:ascii="Avenir Next" w:hAnsi="Avenir Next" w:cs="Arial"/>
          <w:color w:val="808080" w:themeColor="background1" w:themeShade="80"/>
          <w:sz w:val="22"/>
          <w:szCs w:val="22"/>
          <w:lang w:val="en-GB"/>
        </w:rPr>
        <w:t xml:space="preserve">Where is FPPL's centre of business? </w:t>
      </w:r>
    </w:p>
    <w:p w14:paraId="4FA2B237" w14:textId="01CCA08A" w:rsidR="00B810EF" w:rsidRPr="00B61917" w:rsidRDefault="00B810EF" w:rsidP="00B810EF">
      <w:pPr>
        <w:pStyle w:val="ListParagraph"/>
        <w:numPr>
          <w:ilvl w:val="0"/>
          <w:numId w:val="25"/>
        </w:numPr>
        <w:jc w:val="both"/>
        <w:rPr>
          <w:rFonts w:ascii="Avenir Next" w:hAnsi="Avenir Next" w:cs="Arial"/>
          <w:color w:val="808080" w:themeColor="background1" w:themeShade="80"/>
          <w:sz w:val="22"/>
          <w:szCs w:val="22"/>
          <w:lang w:val="en-GB"/>
        </w:rPr>
      </w:pPr>
      <w:r w:rsidRPr="00B61917">
        <w:rPr>
          <w:rFonts w:ascii="Avenir Next" w:hAnsi="Avenir Next" w:cs="Arial"/>
          <w:color w:val="808080" w:themeColor="background1" w:themeShade="80"/>
          <w:sz w:val="22"/>
          <w:szCs w:val="22"/>
          <w:lang w:val="en-GB"/>
        </w:rPr>
        <w:t xml:space="preserve">Was the process in the UK closed / dismissed / stayed? </w:t>
      </w:r>
    </w:p>
    <w:p w14:paraId="5CCBBB58" w14:textId="00E2A76D" w:rsidR="00B810EF" w:rsidRPr="00B61917" w:rsidRDefault="00B61917" w:rsidP="00B61917">
      <w:pPr>
        <w:pStyle w:val="ListParagraph"/>
        <w:numPr>
          <w:ilvl w:val="0"/>
          <w:numId w:val="25"/>
        </w:numPr>
        <w:jc w:val="both"/>
        <w:rPr>
          <w:rFonts w:ascii="Avenir Next" w:hAnsi="Avenir Next" w:cs="Arial"/>
          <w:color w:val="808080" w:themeColor="background1" w:themeShade="80"/>
          <w:sz w:val="22"/>
          <w:szCs w:val="22"/>
          <w:lang w:val="en-GB"/>
        </w:rPr>
      </w:pPr>
      <w:r w:rsidRPr="00B61917">
        <w:rPr>
          <w:rFonts w:ascii="Avenir Next" w:hAnsi="Avenir Next" w:cs="Arial"/>
          <w:color w:val="808080" w:themeColor="background1" w:themeShade="80"/>
          <w:sz w:val="22"/>
          <w:szCs w:val="22"/>
          <w:lang w:val="en-GB"/>
        </w:rPr>
        <w:lastRenderedPageBreak/>
        <w:t xml:space="preserve">Is the business a special kind of business such that there is a special application of the EU/ UK regulations? </w:t>
      </w:r>
    </w:p>
    <w:p w14:paraId="745658D2" w14:textId="28130D39" w:rsidR="00B810EF" w:rsidRPr="00B810EF" w:rsidRDefault="00B810EF" w:rsidP="00B61917">
      <w:pPr>
        <w:jc w:val="both"/>
        <w:rPr>
          <w:rFonts w:ascii="Avenir Next" w:hAnsi="Avenir Next" w:cs="Arial"/>
          <w:sz w:val="22"/>
          <w:szCs w:val="22"/>
          <w:lang w:val="en-GB"/>
        </w:rPr>
      </w:pPr>
      <w:bookmarkStart w:id="0" w:name="_GoBack"/>
      <w:bookmarkEnd w:id="0"/>
    </w:p>
    <w:p w14:paraId="14C2023D" w14:textId="77777777" w:rsidR="00B810EF" w:rsidRPr="004216EA" w:rsidRDefault="00B810EF"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0C276EC5"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B61917">
          <w:rPr>
            <w:rStyle w:val="PageNumber"/>
            <w:rFonts w:ascii="Avenir Next" w:hAnsi="Avenir Next" w:cs="Arial"/>
            <w:noProof/>
            <w:sz w:val="22"/>
            <w:szCs w:val="22"/>
          </w:rPr>
          <w:t>11</w:t>
        </w:r>
        <w:r w:rsidRPr="00297BDF">
          <w:rPr>
            <w:rStyle w:val="PageNumber"/>
            <w:rFonts w:ascii="Avenir Next" w:hAnsi="Avenir Next" w:cs="Arial"/>
            <w:sz w:val="22"/>
            <w:szCs w:val="22"/>
          </w:rPr>
          <w:fldChar w:fldCharType="end"/>
        </w:r>
      </w:p>
    </w:sdtContent>
  </w:sdt>
  <w:p w14:paraId="12ABA5E1" w14:textId="1EC3321A" w:rsidR="00B64A85" w:rsidRPr="00297BDF" w:rsidRDefault="00B909A0" w:rsidP="00B909A0">
    <w:pPr>
      <w:pStyle w:val="Footer"/>
      <w:ind w:right="360"/>
      <w:rPr>
        <w:rFonts w:ascii="Avenir Next" w:hAnsi="Avenir Next" w:cs="Arial"/>
        <w:sz w:val="22"/>
        <w:szCs w:val="22"/>
      </w:rPr>
    </w:pPr>
    <w:r w:rsidRPr="00B909A0">
      <w:rPr>
        <w:rFonts w:ascii="Avenir Next" w:hAnsi="Avenir Next" w:cs="Arial"/>
        <w:sz w:val="22"/>
        <w:szCs w:val="22"/>
      </w:rPr>
      <w:t>202223-808.assessment1summative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6FA"/>
    <w:multiLevelType w:val="hybridMultilevel"/>
    <w:tmpl w:val="56288C98"/>
    <w:lvl w:ilvl="0" w:tplc="CDB408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44619"/>
    <w:multiLevelType w:val="hybridMultilevel"/>
    <w:tmpl w:val="A076784C"/>
    <w:lvl w:ilvl="0" w:tplc="679E8616">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3"/>
  </w:num>
  <w:num w:numId="4">
    <w:abstractNumId w:val="4"/>
  </w:num>
  <w:num w:numId="5">
    <w:abstractNumId w:val="16"/>
  </w:num>
  <w:num w:numId="6">
    <w:abstractNumId w:val="21"/>
  </w:num>
  <w:num w:numId="7">
    <w:abstractNumId w:val="10"/>
  </w:num>
  <w:num w:numId="8">
    <w:abstractNumId w:val="25"/>
  </w:num>
  <w:num w:numId="9">
    <w:abstractNumId w:val="9"/>
  </w:num>
  <w:num w:numId="10">
    <w:abstractNumId w:val="22"/>
  </w:num>
  <w:num w:numId="11">
    <w:abstractNumId w:val="8"/>
  </w:num>
  <w:num w:numId="12">
    <w:abstractNumId w:val="23"/>
  </w:num>
  <w:num w:numId="13">
    <w:abstractNumId w:val="15"/>
  </w:num>
  <w:num w:numId="14">
    <w:abstractNumId w:val="14"/>
  </w:num>
  <w:num w:numId="15">
    <w:abstractNumId w:val="5"/>
  </w:num>
  <w:num w:numId="16">
    <w:abstractNumId w:val="17"/>
  </w:num>
  <w:num w:numId="17">
    <w:abstractNumId w:val="12"/>
  </w:num>
  <w:num w:numId="18">
    <w:abstractNumId w:val="13"/>
  </w:num>
  <w:num w:numId="19">
    <w:abstractNumId w:val="19"/>
  </w:num>
  <w:num w:numId="20">
    <w:abstractNumId w:val="7"/>
  </w:num>
  <w:num w:numId="21">
    <w:abstractNumId w:val="11"/>
  </w:num>
  <w:num w:numId="22">
    <w:abstractNumId w:val="1"/>
  </w:num>
  <w:num w:numId="23">
    <w:abstractNumId w:val="18"/>
  </w:num>
  <w:num w:numId="24">
    <w:abstractNumId w:val="2"/>
  </w:num>
  <w:num w:numId="25">
    <w:abstractNumId w:val="6"/>
  </w:num>
  <w:num w:numId="26">
    <w:abstractNumId w:val="0"/>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4378"/>
    <w:rsid w:val="001B5016"/>
    <w:rsid w:val="001B6CEE"/>
    <w:rsid w:val="001C45FC"/>
    <w:rsid w:val="001C594A"/>
    <w:rsid w:val="001C5D88"/>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4C79"/>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09F8"/>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4E50"/>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06AF"/>
    <w:rsid w:val="006E1CB0"/>
    <w:rsid w:val="006E254C"/>
    <w:rsid w:val="006E2974"/>
    <w:rsid w:val="006E481A"/>
    <w:rsid w:val="006E5298"/>
    <w:rsid w:val="006E6A1F"/>
    <w:rsid w:val="006E6A6A"/>
    <w:rsid w:val="006E7386"/>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1921"/>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076"/>
    <w:rsid w:val="00896FD7"/>
    <w:rsid w:val="00897428"/>
    <w:rsid w:val="008A15DA"/>
    <w:rsid w:val="008A30C3"/>
    <w:rsid w:val="008A30EE"/>
    <w:rsid w:val="008A4DF2"/>
    <w:rsid w:val="008A5099"/>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4511"/>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67AA"/>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2693"/>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79F"/>
    <w:rsid w:val="00AD7A9A"/>
    <w:rsid w:val="00AE027F"/>
    <w:rsid w:val="00AE3973"/>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1917"/>
    <w:rsid w:val="00B6409C"/>
    <w:rsid w:val="00B64845"/>
    <w:rsid w:val="00B64A85"/>
    <w:rsid w:val="00B66053"/>
    <w:rsid w:val="00B7193E"/>
    <w:rsid w:val="00B72999"/>
    <w:rsid w:val="00B72FD7"/>
    <w:rsid w:val="00B736DF"/>
    <w:rsid w:val="00B74FBD"/>
    <w:rsid w:val="00B810EF"/>
    <w:rsid w:val="00B82586"/>
    <w:rsid w:val="00B829A3"/>
    <w:rsid w:val="00B84CE9"/>
    <w:rsid w:val="00B86537"/>
    <w:rsid w:val="00B86DB1"/>
    <w:rsid w:val="00B87869"/>
    <w:rsid w:val="00B87A61"/>
    <w:rsid w:val="00B909A0"/>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D68"/>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17E8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4D0E"/>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4E74"/>
    <w:rsid w:val="00F45599"/>
    <w:rsid w:val="00F50D48"/>
    <w:rsid w:val="00F5239B"/>
    <w:rsid w:val="00F52552"/>
    <w:rsid w:val="00F52E31"/>
    <w:rsid w:val="00F54776"/>
    <w:rsid w:val="00F5524B"/>
    <w:rsid w:val="00F5710B"/>
    <w:rsid w:val="00F61DD2"/>
    <w:rsid w:val="00F62000"/>
    <w:rsid w:val="00F63720"/>
    <w:rsid w:val="00F6426D"/>
    <w:rsid w:val="00F65EE6"/>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8941">
      <w:bodyDiv w:val="1"/>
      <w:marLeft w:val="0"/>
      <w:marRight w:val="0"/>
      <w:marTop w:val="0"/>
      <w:marBottom w:val="0"/>
      <w:divBdr>
        <w:top w:val="none" w:sz="0" w:space="0" w:color="auto"/>
        <w:left w:val="none" w:sz="0" w:space="0" w:color="auto"/>
        <w:bottom w:val="none" w:sz="0" w:space="0" w:color="auto"/>
        <w:right w:val="none" w:sz="0" w:space="0" w:color="auto"/>
      </w:divBdr>
    </w:div>
    <w:div w:id="462045475">
      <w:bodyDiv w:val="1"/>
      <w:marLeft w:val="0"/>
      <w:marRight w:val="0"/>
      <w:marTop w:val="0"/>
      <w:marBottom w:val="0"/>
      <w:divBdr>
        <w:top w:val="none" w:sz="0" w:space="0" w:color="auto"/>
        <w:left w:val="none" w:sz="0" w:space="0" w:color="auto"/>
        <w:bottom w:val="none" w:sz="0" w:space="0" w:color="auto"/>
        <w:right w:val="none" w:sz="0" w:space="0" w:color="auto"/>
      </w:divBdr>
    </w:div>
    <w:div w:id="48313335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47193592">
      <w:bodyDiv w:val="1"/>
      <w:marLeft w:val="0"/>
      <w:marRight w:val="0"/>
      <w:marTop w:val="0"/>
      <w:marBottom w:val="0"/>
      <w:divBdr>
        <w:top w:val="none" w:sz="0" w:space="0" w:color="auto"/>
        <w:left w:val="none" w:sz="0" w:space="0" w:color="auto"/>
        <w:bottom w:val="none" w:sz="0" w:space="0" w:color="auto"/>
        <w:right w:val="none" w:sz="0" w:space="0" w:color="auto"/>
      </w:divBdr>
    </w:div>
    <w:div w:id="75629066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7735084">
      <w:bodyDiv w:val="1"/>
      <w:marLeft w:val="0"/>
      <w:marRight w:val="0"/>
      <w:marTop w:val="0"/>
      <w:marBottom w:val="0"/>
      <w:divBdr>
        <w:top w:val="none" w:sz="0" w:space="0" w:color="auto"/>
        <w:left w:val="none" w:sz="0" w:space="0" w:color="auto"/>
        <w:bottom w:val="none" w:sz="0" w:space="0" w:color="auto"/>
        <w:right w:val="none" w:sz="0" w:space="0" w:color="auto"/>
      </w:divBdr>
    </w:div>
    <w:div w:id="1082293347">
      <w:bodyDiv w:val="1"/>
      <w:marLeft w:val="0"/>
      <w:marRight w:val="0"/>
      <w:marTop w:val="0"/>
      <w:marBottom w:val="0"/>
      <w:divBdr>
        <w:top w:val="none" w:sz="0" w:space="0" w:color="auto"/>
        <w:left w:val="none" w:sz="0" w:space="0" w:color="auto"/>
        <w:bottom w:val="none" w:sz="0" w:space="0" w:color="auto"/>
        <w:right w:val="none" w:sz="0" w:space="0" w:color="auto"/>
      </w:divBdr>
    </w:div>
    <w:div w:id="1102846605">
      <w:bodyDiv w:val="1"/>
      <w:marLeft w:val="0"/>
      <w:marRight w:val="0"/>
      <w:marTop w:val="0"/>
      <w:marBottom w:val="0"/>
      <w:divBdr>
        <w:top w:val="none" w:sz="0" w:space="0" w:color="auto"/>
        <w:left w:val="none" w:sz="0" w:space="0" w:color="auto"/>
        <w:bottom w:val="none" w:sz="0" w:space="0" w:color="auto"/>
        <w:right w:val="none" w:sz="0" w:space="0" w:color="auto"/>
      </w:divBdr>
    </w:div>
    <w:div w:id="1177230486">
      <w:bodyDiv w:val="1"/>
      <w:marLeft w:val="0"/>
      <w:marRight w:val="0"/>
      <w:marTop w:val="0"/>
      <w:marBottom w:val="0"/>
      <w:divBdr>
        <w:top w:val="none" w:sz="0" w:space="0" w:color="auto"/>
        <w:left w:val="none" w:sz="0" w:space="0" w:color="auto"/>
        <w:bottom w:val="none" w:sz="0" w:space="0" w:color="auto"/>
        <w:right w:val="none" w:sz="0" w:space="0" w:color="auto"/>
      </w:divBdr>
    </w:div>
    <w:div w:id="1480266959">
      <w:bodyDiv w:val="1"/>
      <w:marLeft w:val="0"/>
      <w:marRight w:val="0"/>
      <w:marTop w:val="0"/>
      <w:marBottom w:val="0"/>
      <w:divBdr>
        <w:top w:val="none" w:sz="0" w:space="0" w:color="auto"/>
        <w:left w:val="none" w:sz="0" w:space="0" w:color="auto"/>
        <w:bottom w:val="none" w:sz="0" w:space="0" w:color="auto"/>
        <w:right w:val="none" w:sz="0" w:space="0" w:color="auto"/>
      </w:divBdr>
    </w:div>
    <w:div w:id="1582714918">
      <w:bodyDiv w:val="1"/>
      <w:marLeft w:val="0"/>
      <w:marRight w:val="0"/>
      <w:marTop w:val="0"/>
      <w:marBottom w:val="0"/>
      <w:divBdr>
        <w:top w:val="none" w:sz="0" w:space="0" w:color="auto"/>
        <w:left w:val="none" w:sz="0" w:space="0" w:color="auto"/>
        <w:bottom w:val="none" w:sz="0" w:space="0" w:color="auto"/>
        <w:right w:val="none" w:sz="0" w:space="0" w:color="auto"/>
      </w:divBdr>
    </w:div>
    <w:div w:id="1648515003">
      <w:bodyDiv w:val="1"/>
      <w:marLeft w:val="0"/>
      <w:marRight w:val="0"/>
      <w:marTop w:val="0"/>
      <w:marBottom w:val="0"/>
      <w:divBdr>
        <w:top w:val="none" w:sz="0" w:space="0" w:color="auto"/>
        <w:left w:val="none" w:sz="0" w:space="0" w:color="auto"/>
        <w:bottom w:val="none" w:sz="0" w:space="0" w:color="auto"/>
        <w:right w:val="none" w:sz="0" w:space="0" w:color="auto"/>
      </w:divBdr>
    </w:div>
    <w:div w:id="1837959093">
      <w:bodyDiv w:val="1"/>
      <w:marLeft w:val="0"/>
      <w:marRight w:val="0"/>
      <w:marTop w:val="0"/>
      <w:marBottom w:val="0"/>
      <w:divBdr>
        <w:top w:val="none" w:sz="0" w:space="0" w:color="auto"/>
        <w:left w:val="none" w:sz="0" w:space="0" w:color="auto"/>
        <w:bottom w:val="none" w:sz="0" w:space="0" w:color="auto"/>
        <w:right w:val="none" w:sz="0" w:space="0" w:color="auto"/>
      </w:divBdr>
    </w:div>
    <w:div w:id="1851486999">
      <w:bodyDiv w:val="1"/>
      <w:marLeft w:val="0"/>
      <w:marRight w:val="0"/>
      <w:marTop w:val="0"/>
      <w:marBottom w:val="0"/>
      <w:divBdr>
        <w:top w:val="none" w:sz="0" w:space="0" w:color="auto"/>
        <w:left w:val="none" w:sz="0" w:space="0" w:color="auto"/>
        <w:bottom w:val="none" w:sz="0" w:space="0" w:color="auto"/>
        <w:right w:val="none" w:sz="0" w:space="0" w:color="auto"/>
      </w:divBdr>
    </w:div>
    <w:div w:id="1904171231">
      <w:bodyDiv w:val="1"/>
      <w:marLeft w:val="0"/>
      <w:marRight w:val="0"/>
      <w:marTop w:val="0"/>
      <w:marBottom w:val="0"/>
      <w:divBdr>
        <w:top w:val="none" w:sz="0" w:space="0" w:color="auto"/>
        <w:left w:val="none" w:sz="0" w:space="0" w:color="auto"/>
        <w:bottom w:val="none" w:sz="0" w:space="0" w:color="auto"/>
        <w:right w:val="none" w:sz="0" w:space="0" w:color="auto"/>
      </w:divBdr>
    </w:div>
    <w:div w:id="202185195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openxmlformats.org/package/2006/metadata/core-properties"/>
    <ds:schemaRef ds:uri="http://schemas.microsoft.com/office/2006/documentManagement/types"/>
    <ds:schemaRef ds:uri="a21de7b9-cad9-43f2-8459-9b1b4f9894e2"/>
    <ds:schemaRef ds:uri="http://purl.org/dc/elements/1.1/"/>
    <ds:schemaRef ds:uri="http://schemas.microsoft.com/office/2006/metadata/properties"/>
    <ds:schemaRef ds:uri="d0ad2d52-4869-465d-a93a-001fa21a593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D00F62-C36B-4DD0-9AD9-B6B58A4C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Fourie</cp:lastModifiedBy>
  <cp:revision>7</cp:revision>
  <cp:lastPrinted>2020-06-12T02:43:00Z</cp:lastPrinted>
  <dcterms:created xsi:type="dcterms:W3CDTF">2022-11-14T19:47:00Z</dcterms:created>
  <dcterms:modified xsi:type="dcterms:W3CDTF">2022-11-15T22:15:00Z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