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5D427C" w:rsidRDefault="002D2356" w:rsidP="008071D5">
      <w:pPr>
        <w:pStyle w:val="ListParagraph"/>
        <w:numPr>
          <w:ilvl w:val="0"/>
          <w:numId w:val="15"/>
        </w:numPr>
        <w:ind w:left="425" w:hanging="357"/>
        <w:jc w:val="both"/>
        <w:rPr>
          <w:rFonts w:ascii="Avenir Next" w:hAnsi="Avenir Next" w:cs="Arial"/>
          <w:sz w:val="22"/>
          <w:szCs w:val="22"/>
          <w:highlight w:val="yellow"/>
        </w:rPr>
      </w:pPr>
      <w:r w:rsidRPr="005D427C">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5D427C">
        <w:rPr>
          <w:rFonts w:ascii="Avenir Next" w:hAnsi="Avenir Next" w:cs="Arial"/>
          <w:sz w:val="22"/>
          <w:szCs w:val="22"/>
          <w:highlight w:val="yellow"/>
          <w:vertAlign w:val="superscript"/>
        </w:rPr>
        <w:t>th</w:t>
      </w:r>
      <w:r w:rsidRPr="005D427C">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D427C" w:rsidRDefault="002D2356" w:rsidP="008071D5">
      <w:pPr>
        <w:pStyle w:val="ListParagraph"/>
        <w:numPr>
          <w:ilvl w:val="0"/>
          <w:numId w:val="16"/>
        </w:numPr>
        <w:ind w:left="426"/>
        <w:jc w:val="both"/>
        <w:rPr>
          <w:rFonts w:ascii="Avenir Next" w:hAnsi="Avenir Next" w:cs="Arial"/>
          <w:sz w:val="22"/>
          <w:szCs w:val="22"/>
          <w:highlight w:val="yellow"/>
        </w:rPr>
      </w:pPr>
      <w:r w:rsidRPr="005D427C">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D427C" w:rsidRDefault="002D2356" w:rsidP="008071D5">
      <w:pPr>
        <w:pStyle w:val="ListParagraph"/>
        <w:numPr>
          <w:ilvl w:val="0"/>
          <w:numId w:val="17"/>
        </w:numPr>
        <w:ind w:left="426"/>
        <w:jc w:val="both"/>
        <w:rPr>
          <w:rFonts w:ascii="Avenir Next" w:hAnsi="Avenir Next" w:cs="Arial"/>
          <w:sz w:val="22"/>
          <w:szCs w:val="22"/>
          <w:highlight w:val="yellow"/>
        </w:rPr>
      </w:pPr>
      <w:r w:rsidRPr="005D427C">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5D427C"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5D427C" w:rsidRDefault="00466ED6" w:rsidP="008071D5">
      <w:pPr>
        <w:pStyle w:val="ListParagraph"/>
        <w:numPr>
          <w:ilvl w:val="0"/>
          <w:numId w:val="18"/>
        </w:numPr>
        <w:ind w:left="426"/>
        <w:jc w:val="both"/>
        <w:rPr>
          <w:rFonts w:ascii="Avenir Next" w:hAnsi="Avenir Next" w:cs="Arial"/>
          <w:sz w:val="22"/>
          <w:szCs w:val="22"/>
          <w:highlight w:val="yellow"/>
        </w:rPr>
      </w:pPr>
      <w:r w:rsidRPr="005D427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611D6E" w:rsidRDefault="002D2356" w:rsidP="008071D5">
      <w:pPr>
        <w:pStyle w:val="ListParagraph"/>
        <w:numPr>
          <w:ilvl w:val="0"/>
          <w:numId w:val="19"/>
        </w:numPr>
        <w:ind w:left="425" w:hanging="357"/>
        <w:jc w:val="both"/>
        <w:rPr>
          <w:rFonts w:ascii="Avenir Next" w:hAnsi="Avenir Next" w:cs="Arial"/>
          <w:sz w:val="22"/>
          <w:szCs w:val="22"/>
          <w:highlight w:val="yellow"/>
        </w:rPr>
      </w:pPr>
      <w:r w:rsidRPr="00611D6E">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611D6E"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611D6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6E4ADA"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6E4AD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6E4ADA">
        <w:rPr>
          <w:rFonts w:ascii="Avenir Next" w:eastAsiaTheme="minorHAnsi" w:hAnsi="Avenir Next" w:cs="Arial"/>
          <w:sz w:val="22"/>
          <w:szCs w:val="22"/>
          <w:highlight w:val="yellow"/>
          <w:lang w:val="en-GB"/>
        </w:rPr>
        <w:t xml:space="preserve"> </w:t>
      </w:r>
      <w:r w:rsidRPr="006E4ADA">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611D6E"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611D6E">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611D6E" w:rsidRDefault="00F5239B" w:rsidP="008071D5">
      <w:pPr>
        <w:pStyle w:val="ListParagraph"/>
        <w:numPr>
          <w:ilvl w:val="0"/>
          <w:numId w:val="23"/>
        </w:numPr>
        <w:ind w:left="426"/>
        <w:jc w:val="both"/>
        <w:rPr>
          <w:rFonts w:ascii="Avenir Next" w:hAnsi="Avenir Next" w:cs="Arial"/>
          <w:sz w:val="22"/>
          <w:szCs w:val="22"/>
          <w:highlight w:val="yellow"/>
        </w:rPr>
      </w:pPr>
      <w:r w:rsidRPr="00611D6E">
        <w:rPr>
          <w:rFonts w:ascii="Avenir Next" w:hAnsi="Avenir Next" w:cs="Arial"/>
          <w:sz w:val="22"/>
          <w:szCs w:val="22"/>
          <w:highlight w:val="yellow"/>
        </w:rPr>
        <w:t xml:space="preserve">This statement is true because </w:t>
      </w:r>
      <w:r w:rsidR="007B5180" w:rsidRPr="00611D6E">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F774E" w:rsidRDefault="009355DB" w:rsidP="008071D5">
      <w:pPr>
        <w:pStyle w:val="ListParagraph"/>
        <w:numPr>
          <w:ilvl w:val="0"/>
          <w:numId w:val="24"/>
        </w:numPr>
        <w:ind w:left="426"/>
        <w:jc w:val="both"/>
        <w:rPr>
          <w:rFonts w:ascii="Avenir Next" w:hAnsi="Avenir Next" w:cs="Arial"/>
          <w:sz w:val="22"/>
          <w:szCs w:val="22"/>
          <w:highlight w:val="yellow"/>
        </w:rPr>
      </w:pPr>
      <w:r w:rsidRPr="00EF774E">
        <w:rPr>
          <w:rFonts w:ascii="Avenir Next" w:hAnsi="Avenir Next" w:cs="Arial"/>
          <w:sz w:val="22"/>
          <w:szCs w:val="22"/>
          <w:highlight w:val="yellow"/>
        </w:rPr>
        <w:t xml:space="preserve">This statement is true because </w:t>
      </w:r>
      <w:r w:rsidR="005C4FF2" w:rsidRPr="00EF774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3F1ADCC9" w14:textId="0494F280" w:rsidR="00A5155D" w:rsidRPr="00545709" w:rsidRDefault="00A5155D" w:rsidP="00A5155D">
      <w:pPr>
        <w:jc w:val="both"/>
        <w:rPr>
          <w:rFonts w:ascii="Avenir Next" w:hAnsi="Avenir Next" w:cs="Arial"/>
          <w:color w:val="0070C0"/>
          <w:sz w:val="22"/>
          <w:szCs w:val="22"/>
          <w:lang w:val="en-GB"/>
        </w:rPr>
      </w:pPr>
      <w:r w:rsidRPr="00545709">
        <w:rPr>
          <w:rFonts w:ascii="Avenir Next" w:hAnsi="Avenir Next" w:cs="Arial"/>
          <w:color w:val="0070C0"/>
          <w:sz w:val="22"/>
          <w:szCs w:val="22"/>
          <w:lang w:val="en-GB"/>
        </w:rPr>
        <w:t>As is to be expected, given the extent to which colonial powers imposed their legal systems and norms on the countries which they occupied, the insolvency law systems present in Africa today are largely dependent on which colonial masters occupied the particular jurisdiction. Using this factor, three broad categories can be seen:</w:t>
      </w:r>
    </w:p>
    <w:p w14:paraId="6127C60E" w14:textId="77777777" w:rsidR="00A5155D" w:rsidRPr="00545709" w:rsidRDefault="00A5155D" w:rsidP="00A5155D">
      <w:pPr>
        <w:jc w:val="both"/>
        <w:rPr>
          <w:rFonts w:ascii="Avenir Next" w:hAnsi="Avenir Next" w:cs="Arial"/>
          <w:color w:val="0070C0"/>
          <w:sz w:val="22"/>
          <w:szCs w:val="22"/>
          <w:lang w:val="en-GB"/>
        </w:rPr>
      </w:pPr>
    </w:p>
    <w:p w14:paraId="734816B4" w14:textId="7B642104" w:rsidR="0081547D" w:rsidRPr="00545709" w:rsidRDefault="00A5155D" w:rsidP="00A5155D">
      <w:pPr>
        <w:pStyle w:val="ListParagraph"/>
        <w:numPr>
          <w:ilvl w:val="0"/>
          <w:numId w:val="25"/>
        </w:numPr>
        <w:jc w:val="both"/>
        <w:rPr>
          <w:rFonts w:ascii="Avenir Next" w:hAnsi="Avenir Next" w:cs="Arial"/>
          <w:color w:val="0070C0"/>
          <w:sz w:val="22"/>
          <w:szCs w:val="22"/>
          <w:lang w:val="en-GB"/>
        </w:rPr>
      </w:pPr>
      <w:r w:rsidRPr="00545709">
        <w:rPr>
          <w:rFonts w:ascii="Avenir Next" w:hAnsi="Avenir Next" w:cs="Arial"/>
          <w:color w:val="0070C0"/>
          <w:sz w:val="22"/>
          <w:szCs w:val="22"/>
          <w:lang w:val="en-GB"/>
        </w:rPr>
        <w:t>For countries which were colonised by the British, their insolvency system usually follows the English common law system of which received colonial law is a fundamental part. These pieces of received law are supplemented by various common law principles as are applied by the English courts. This category includes former British colonies</w:t>
      </w:r>
      <w:r w:rsidR="00E57385" w:rsidRPr="00545709">
        <w:rPr>
          <w:rFonts w:ascii="Avenir Next" w:hAnsi="Avenir Next" w:cs="Arial"/>
          <w:color w:val="0070C0"/>
          <w:sz w:val="22"/>
          <w:szCs w:val="22"/>
          <w:lang w:val="en-GB"/>
        </w:rPr>
        <w:t xml:space="preserve"> like Nigeria, Uganda, Kenya, and Zambia.</w:t>
      </w:r>
    </w:p>
    <w:p w14:paraId="74B092F9" w14:textId="77777777" w:rsidR="00A5155D" w:rsidRPr="00545709" w:rsidRDefault="00A5155D" w:rsidP="00A5155D">
      <w:pPr>
        <w:pStyle w:val="ListParagraph"/>
        <w:ind w:left="1080"/>
        <w:jc w:val="both"/>
        <w:rPr>
          <w:rFonts w:ascii="Avenir Next" w:hAnsi="Avenir Next" w:cs="Arial"/>
          <w:color w:val="0070C0"/>
          <w:sz w:val="22"/>
          <w:szCs w:val="22"/>
          <w:lang w:val="en-GB"/>
        </w:rPr>
      </w:pPr>
    </w:p>
    <w:p w14:paraId="2E762857" w14:textId="50B934E0" w:rsidR="00545709" w:rsidRPr="00545709" w:rsidRDefault="00A5155D" w:rsidP="00545709">
      <w:pPr>
        <w:pStyle w:val="ListParagraph"/>
        <w:numPr>
          <w:ilvl w:val="0"/>
          <w:numId w:val="25"/>
        </w:numPr>
        <w:jc w:val="both"/>
        <w:rPr>
          <w:rFonts w:ascii="Avenir Next" w:hAnsi="Avenir Next" w:cs="Arial"/>
          <w:color w:val="0070C0"/>
          <w:sz w:val="22"/>
          <w:szCs w:val="22"/>
          <w:lang w:val="en-GB"/>
        </w:rPr>
      </w:pPr>
      <w:r w:rsidRPr="00545709">
        <w:rPr>
          <w:rFonts w:ascii="Avenir Next" w:hAnsi="Avenir Next" w:cs="Arial"/>
          <w:color w:val="0070C0"/>
          <w:sz w:val="22"/>
          <w:szCs w:val="22"/>
          <w:lang w:val="en-GB"/>
        </w:rPr>
        <w:t xml:space="preserve">For countries that were colonised by continental European powers, their insolvency systems </w:t>
      </w:r>
      <w:r w:rsidR="00E57385" w:rsidRPr="00545709">
        <w:rPr>
          <w:rFonts w:ascii="Avenir Next" w:hAnsi="Avenir Next" w:cs="Arial"/>
          <w:color w:val="0070C0"/>
          <w:sz w:val="22"/>
          <w:szCs w:val="22"/>
          <w:lang w:val="en-GB"/>
        </w:rPr>
        <w:t xml:space="preserve">have been significantly influenced by the civil law tradition and that influence continued post-independence. Countries such as </w:t>
      </w:r>
      <w:r w:rsidR="00545709" w:rsidRPr="00545709">
        <w:rPr>
          <w:rFonts w:ascii="Avenir Next" w:hAnsi="Avenir Next" w:cs="Arial"/>
          <w:color w:val="0070C0"/>
          <w:sz w:val="22"/>
          <w:szCs w:val="22"/>
          <w:lang w:val="en-GB"/>
        </w:rPr>
        <w:t>Senegal, Algeria and Ivory Coast apply tradition</w:t>
      </w:r>
      <w:r w:rsidR="000036DD">
        <w:rPr>
          <w:rFonts w:ascii="Avenir Next" w:hAnsi="Avenir Next" w:cs="Arial"/>
          <w:color w:val="0070C0"/>
          <w:sz w:val="22"/>
          <w:szCs w:val="22"/>
          <w:lang w:val="en-GB"/>
        </w:rPr>
        <w:t xml:space="preserve">al </w:t>
      </w:r>
      <w:r w:rsidR="00545709" w:rsidRPr="00545709">
        <w:rPr>
          <w:rFonts w:ascii="Avenir Next" w:hAnsi="Avenir Next" w:cs="Arial"/>
          <w:color w:val="0070C0"/>
          <w:sz w:val="22"/>
          <w:szCs w:val="22"/>
          <w:lang w:val="en-GB"/>
        </w:rPr>
        <w:t>French civil law principles while countries such as Democratic Republic of the Congo apply Belgian civil law principles which are themselves influenced by ancient Roman law and the French Civil Code.</w:t>
      </w:r>
    </w:p>
    <w:p w14:paraId="1D209BD0" w14:textId="77777777" w:rsidR="00545709" w:rsidRPr="00545709" w:rsidRDefault="00545709" w:rsidP="00545709">
      <w:pPr>
        <w:pStyle w:val="ListParagraph"/>
        <w:rPr>
          <w:rFonts w:ascii="Avenir Next" w:hAnsi="Avenir Next" w:cs="Arial"/>
          <w:color w:val="0070C0"/>
          <w:sz w:val="22"/>
          <w:szCs w:val="22"/>
          <w:lang w:val="en-GB"/>
        </w:rPr>
      </w:pPr>
    </w:p>
    <w:p w14:paraId="0D9F2330" w14:textId="5315B705" w:rsidR="0081547D" w:rsidRDefault="00545709" w:rsidP="00B7164A">
      <w:pPr>
        <w:pStyle w:val="ListParagraph"/>
        <w:numPr>
          <w:ilvl w:val="0"/>
          <w:numId w:val="25"/>
        </w:numPr>
        <w:jc w:val="both"/>
        <w:rPr>
          <w:rFonts w:ascii="Avenir Next" w:hAnsi="Avenir Next" w:cs="Arial"/>
          <w:color w:val="0070C0"/>
          <w:sz w:val="22"/>
          <w:szCs w:val="22"/>
          <w:lang w:val="en-GB"/>
        </w:rPr>
      </w:pPr>
      <w:r w:rsidRPr="00545709">
        <w:rPr>
          <w:rFonts w:ascii="Avenir Next" w:hAnsi="Avenir Next" w:cs="Arial"/>
          <w:color w:val="0070C0"/>
          <w:sz w:val="22"/>
          <w:szCs w:val="22"/>
          <w:lang w:val="en-GB"/>
        </w:rPr>
        <w:t xml:space="preserve">The </w:t>
      </w:r>
      <w:r>
        <w:rPr>
          <w:rFonts w:ascii="Avenir Next" w:hAnsi="Avenir Next" w:cs="Arial"/>
          <w:color w:val="0070C0"/>
          <w:sz w:val="22"/>
          <w:szCs w:val="22"/>
          <w:lang w:val="en-GB"/>
        </w:rPr>
        <w:t xml:space="preserve">third category covers countries which, due to their mixed colonial heritage, apply principles influenced by two or more legal systems. The most prominent </w:t>
      </w:r>
      <w:r>
        <w:rPr>
          <w:rFonts w:ascii="Avenir Next" w:hAnsi="Avenir Next" w:cs="Arial"/>
          <w:color w:val="0070C0"/>
          <w:sz w:val="22"/>
          <w:szCs w:val="22"/>
          <w:lang w:val="en-GB"/>
        </w:rPr>
        <w:lastRenderedPageBreak/>
        <w:t xml:space="preserve">examples </w:t>
      </w:r>
      <w:proofErr w:type="gramStart"/>
      <w:r>
        <w:rPr>
          <w:rFonts w:ascii="Avenir Next" w:hAnsi="Avenir Next" w:cs="Arial"/>
          <w:color w:val="0070C0"/>
          <w:sz w:val="22"/>
          <w:szCs w:val="22"/>
          <w:lang w:val="en-GB"/>
        </w:rPr>
        <w:t>is</w:t>
      </w:r>
      <w:proofErr w:type="gramEnd"/>
      <w:r>
        <w:rPr>
          <w:rFonts w:ascii="Avenir Next" w:hAnsi="Avenir Next" w:cs="Arial"/>
          <w:color w:val="0070C0"/>
          <w:sz w:val="22"/>
          <w:szCs w:val="22"/>
          <w:lang w:val="en-GB"/>
        </w:rPr>
        <w:t xml:space="preserve"> South Africa which applies principles emanating from Roman-Dutch law as well as English common law. </w:t>
      </w:r>
    </w:p>
    <w:p w14:paraId="425E7269" w14:textId="77777777" w:rsidR="00B7164A" w:rsidRPr="00B7164A" w:rsidRDefault="00B7164A" w:rsidP="00B7164A">
      <w:pPr>
        <w:pStyle w:val="ListParagraph"/>
        <w:rPr>
          <w:rFonts w:ascii="Avenir Next" w:hAnsi="Avenir Next" w:cs="Arial"/>
          <w:color w:val="0070C0"/>
          <w:sz w:val="22"/>
          <w:szCs w:val="22"/>
          <w:lang w:val="en-GB"/>
        </w:rPr>
      </w:pPr>
    </w:p>
    <w:p w14:paraId="4E67AF9A" w14:textId="4BEB62D6" w:rsidR="00B7164A" w:rsidRDefault="00B7164A" w:rsidP="00B7164A">
      <w:pPr>
        <w:jc w:val="both"/>
        <w:rPr>
          <w:rFonts w:ascii="Avenir Next" w:hAnsi="Avenir Next" w:cs="Arial"/>
          <w:color w:val="0070C0"/>
          <w:sz w:val="22"/>
          <w:szCs w:val="22"/>
          <w:lang w:val="fr-FR"/>
        </w:rPr>
      </w:pPr>
      <w:proofErr w:type="gramStart"/>
      <w:r w:rsidRPr="00B7164A">
        <w:rPr>
          <w:rFonts w:ascii="Avenir Next" w:hAnsi="Avenir Next" w:cs="Arial"/>
          <w:color w:val="0070C0"/>
          <w:sz w:val="22"/>
          <w:szCs w:val="22"/>
          <w:lang w:val="fr-FR"/>
        </w:rPr>
        <w:t>Source:</w:t>
      </w:r>
      <w:proofErr w:type="gramEnd"/>
      <w:r w:rsidRPr="00B7164A">
        <w:rPr>
          <w:rFonts w:ascii="Avenir Next" w:hAnsi="Avenir Next" w:cs="Arial"/>
          <w:color w:val="0070C0"/>
          <w:sz w:val="22"/>
          <w:szCs w:val="22"/>
          <w:lang w:val="fr-FR"/>
        </w:rPr>
        <w:t xml:space="preserve">   </w:t>
      </w:r>
      <w:hyperlink r:id="rId12" w:history="1">
        <w:r w:rsidRPr="00BF5B8C">
          <w:rPr>
            <w:rStyle w:val="Hyperlink"/>
            <w:rFonts w:ascii="Avenir Next" w:hAnsi="Avenir Next" w:cs="Arial"/>
            <w:sz w:val="22"/>
            <w:szCs w:val="22"/>
            <w:lang w:val="fr-FR"/>
          </w:rPr>
          <w:t>https://www.lexafrica.com/wp-content/uploads/2022/10/LEX-Africa-Insolvency-Guide-Digital.pdf</w:t>
        </w:r>
      </w:hyperlink>
    </w:p>
    <w:p w14:paraId="7651087D" w14:textId="77777777" w:rsidR="00B7164A" w:rsidRPr="00B7164A" w:rsidRDefault="00B7164A" w:rsidP="00B7164A">
      <w:pPr>
        <w:jc w:val="both"/>
        <w:rPr>
          <w:rFonts w:ascii="Avenir Next" w:hAnsi="Avenir Next" w:cs="Arial"/>
          <w:color w:val="0070C0"/>
          <w:sz w:val="22"/>
          <w:szCs w:val="22"/>
          <w:lang w:val="fr-FR"/>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67307387" w14:textId="77777777" w:rsidR="00E9394D" w:rsidRDefault="00E9394D" w:rsidP="00E9394D">
      <w:pPr>
        <w:ind w:left="720" w:hanging="720"/>
        <w:jc w:val="both"/>
        <w:rPr>
          <w:rFonts w:ascii="Avenir Next" w:hAnsi="Avenir Next" w:cs="Arial"/>
          <w:sz w:val="22"/>
          <w:szCs w:val="22"/>
          <w:lang w:val="en-GB"/>
        </w:rPr>
      </w:pPr>
    </w:p>
    <w:p w14:paraId="0F1B8AB4" w14:textId="77777777" w:rsidR="00E9394D" w:rsidRDefault="00E9394D" w:rsidP="00E9394D">
      <w:pPr>
        <w:ind w:left="720" w:hanging="720"/>
        <w:jc w:val="both"/>
        <w:rPr>
          <w:rFonts w:ascii="Avenir Next" w:hAnsi="Avenir Next" w:cs="Arial"/>
          <w:color w:val="0070C0"/>
          <w:sz w:val="22"/>
          <w:szCs w:val="22"/>
          <w:lang w:val="en-GB"/>
        </w:rPr>
      </w:pPr>
      <w:r>
        <w:rPr>
          <w:rFonts w:ascii="Avenir Next" w:hAnsi="Avenir Next" w:cs="Arial"/>
          <w:color w:val="0070C0"/>
          <w:sz w:val="22"/>
          <w:szCs w:val="22"/>
          <w:lang w:val="en-GB"/>
        </w:rPr>
        <w:t>There have been two primary catalysts for insolvency reform in East Asia, particularly</w:t>
      </w:r>
    </w:p>
    <w:p w14:paraId="683A65D7" w14:textId="77777777" w:rsidR="00D6035F" w:rsidRDefault="00E9394D" w:rsidP="00D6035F">
      <w:pPr>
        <w:ind w:left="720" w:hanging="720"/>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South East Asia: </w:t>
      </w:r>
      <w:r w:rsidR="00D6035F">
        <w:rPr>
          <w:rFonts w:ascii="Avenir Next" w:hAnsi="Avenir Next" w:cs="Arial"/>
          <w:color w:val="0070C0"/>
          <w:sz w:val="22"/>
          <w:szCs w:val="22"/>
          <w:lang w:val="en-GB"/>
        </w:rPr>
        <w:t xml:space="preserve">(1) </w:t>
      </w:r>
      <w:r>
        <w:rPr>
          <w:rFonts w:ascii="Avenir Next" w:hAnsi="Avenir Next" w:cs="Arial"/>
          <w:color w:val="0070C0"/>
          <w:sz w:val="22"/>
          <w:szCs w:val="22"/>
          <w:lang w:val="en-GB"/>
        </w:rPr>
        <w:t xml:space="preserve">globalisation and </w:t>
      </w:r>
      <w:r w:rsidR="00D6035F">
        <w:rPr>
          <w:rFonts w:ascii="Avenir Next" w:hAnsi="Avenir Next" w:cs="Arial"/>
          <w:color w:val="0070C0"/>
          <w:sz w:val="22"/>
          <w:szCs w:val="22"/>
          <w:lang w:val="en-GB"/>
        </w:rPr>
        <w:t xml:space="preserve">the resultant </w:t>
      </w:r>
      <w:r>
        <w:rPr>
          <w:rFonts w:ascii="Avenir Next" w:hAnsi="Avenir Next" w:cs="Arial"/>
          <w:color w:val="0070C0"/>
          <w:sz w:val="22"/>
          <w:szCs w:val="22"/>
          <w:lang w:val="en-GB"/>
        </w:rPr>
        <w:t>increases global trade which saw Eas</w:t>
      </w:r>
      <w:r w:rsidR="00D6035F">
        <w:rPr>
          <w:rFonts w:ascii="Avenir Next" w:hAnsi="Avenir Next" w:cs="Arial"/>
          <w:color w:val="0070C0"/>
          <w:sz w:val="22"/>
          <w:szCs w:val="22"/>
          <w:lang w:val="en-GB"/>
        </w:rPr>
        <w:t>t</w:t>
      </w:r>
    </w:p>
    <w:p w14:paraId="62F2DE8A" w14:textId="2361EA22" w:rsidR="00D6035F" w:rsidRDefault="00E9394D" w:rsidP="00D6035F">
      <w:pPr>
        <w:ind w:left="720" w:hanging="720"/>
        <w:jc w:val="both"/>
        <w:rPr>
          <w:rFonts w:ascii="Avenir Next" w:hAnsi="Avenir Next" w:cs="Arial"/>
          <w:color w:val="0070C0"/>
          <w:sz w:val="22"/>
          <w:szCs w:val="22"/>
          <w:lang w:val="en-GB"/>
        </w:rPr>
      </w:pPr>
      <w:r>
        <w:rPr>
          <w:rFonts w:ascii="Avenir Next" w:hAnsi="Avenir Next" w:cs="Arial"/>
          <w:color w:val="0070C0"/>
          <w:sz w:val="22"/>
          <w:szCs w:val="22"/>
          <w:lang w:val="en-GB"/>
        </w:rPr>
        <w:t>Asia</w:t>
      </w:r>
      <w:r w:rsidR="00D6035F">
        <w:rPr>
          <w:rFonts w:ascii="Avenir Next" w:hAnsi="Avenir Next" w:cs="Arial"/>
          <w:color w:val="0070C0"/>
          <w:sz w:val="22"/>
          <w:szCs w:val="22"/>
          <w:lang w:val="en-GB"/>
        </w:rPr>
        <w:t xml:space="preserve"> c</w:t>
      </w:r>
      <w:r>
        <w:rPr>
          <w:rFonts w:ascii="Avenir Next" w:hAnsi="Avenir Next" w:cs="Arial"/>
          <w:color w:val="0070C0"/>
          <w:sz w:val="22"/>
          <w:szCs w:val="22"/>
          <w:lang w:val="en-GB"/>
        </w:rPr>
        <w:t>ompanies</w:t>
      </w:r>
      <w:r w:rsidR="00D6035F">
        <w:rPr>
          <w:rFonts w:ascii="Avenir Next" w:hAnsi="Avenir Next" w:cs="Arial"/>
          <w:color w:val="0070C0"/>
          <w:sz w:val="22"/>
          <w:szCs w:val="22"/>
          <w:lang w:val="en-GB"/>
        </w:rPr>
        <w:t xml:space="preserve"> </w:t>
      </w:r>
      <w:r>
        <w:rPr>
          <w:rFonts w:ascii="Avenir Next" w:hAnsi="Avenir Next" w:cs="Arial"/>
          <w:color w:val="0070C0"/>
          <w:sz w:val="22"/>
          <w:szCs w:val="22"/>
          <w:lang w:val="en-GB"/>
        </w:rPr>
        <w:t>conduct cross border trading in a wider variety of goods and services</w:t>
      </w:r>
    </w:p>
    <w:p w14:paraId="04EE06E3" w14:textId="368685FE" w:rsidR="00D6035F" w:rsidRDefault="00E9394D" w:rsidP="00D6035F">
      <w:pPr>
        <w:ind w:left="720" w:hanging="720"/>
        <w:jc w:val="both"/>
        <w:rPr>
          <w:rFonts w:ascii="Avenir Next" w:hAnsi="Avenir Next" w:cs="Arial"/>
          <w:color w:val="0070C0"/>
          <w:sz w:val="22"/>
          <w:szCs w:val="22"/>
          <w:lang w:val="en-GB"/>
        </w:rPr>
      </w:pPr>
      <w:r>
        <w:rPr>
          <w:rFonts w:ascii="Avenir Next" w:hAnsi="Avenir Next" w:cs="Arial"/>
          <w:color w:val="0070C0"/>
          <w:sz w:val="22"/>
          <w:szCs w:val="22"/>
          <w:lang w:val="en-GB"/>
        </w:rPr>
        <w:t>with the</w:t>
      </w:r>
      <w:r w:rsidR="00D6035F">
        <w:rPr>
          <w:rFonts w:ascii="Avenir Next" w:hAnsi="Avenir Next" w:cs="Arial"/>
          <w:color w:val="0070C0"/>
          <w:sz w:val="22"/>
          <w:szCs w:val="22"/>
          <w:lang w:val="en-GB"/>
        </w:rPr>
        <w:t xml:space="preserve"> </w:t>
      </w:r>
      <w:r>
        <w:rPr>
          <w:rFonts w:ascii="Avenir Next" w:hAnsi="Avenir Next" w:cs="Arial"/>
          <w:color w:val="0070C0"/>
          <w:sz w:val="22"/>
          <w:szCs w:val="22"/>
          <w:lang w:val="en-GB"/>
        </w:rPr>
        <w:t xml:space="preserve">world </w:t>
      </w:r>
      <w:r w:rsidR="00D6035F">
        <w:rPr>
          <w:rFonts w:ascii="Avenir Next" w:hAnsi="Avenir Next" w:cs="Arial"/>
          <w:color w:val="0070C0"/>
          <w:sz w:val="22"/>
          <w:szCs w:val="22"/>
          <w:lang w:val="en-GB"/>
        </w:rPr>
        <w:t xml:space="preserve">and (2) </w:t>
      </w:r>
      <w:r>
        <w:rPr>
          <w:rFonts w:ascii="Avenir Next" w:hAnsi="Avenir Next" w:cs="Arial"/>
          <w:color w:val="0070C0"/>
          <w:sz w:val="22"/>
          <w:szCs w:val="22"/>
          <w:lang w:val="en-GB"/>
        </w:rPr>
        <w:t xml:space="preserve">the Asian Financial Crisis of </w:t>
      </w:r>
      <w:r w:rsidR="00D6035F">
        <w:rPr>
          <w:rFonts w:ascii="Avenir Next" w:hAnsi="Avenir Next" w:cs="Arial"/>
          <w:color w:val="0070C0"/>
          <w:sz w:val="22"/>
          <w:szCs w:val="22"/>
          <w:lang w:val="en-GB"/>
        </w:rPr>
        <w:t>1997.</w:t>
      </w:r>
      <w:r>
        <w:rPr>
          <w:rFonts w:ascii="Avenir Next" w:hAnsi="Avenir Next" w:cs="Arial"/>
          <w:color w:val="0070C0"/>
          <w:sz w:val="22"/>
          <w:szCs w:val="22"/>
          <w:lang w:val="en-GB"/>
        </w:rPr>
        <w:t xml:space="preserve"> </w:t>
      </w:r>
      <w:r w:rsidR="00D6035F">
        <w:rPr>
          <w:rFonts w:ascii="Avenir Next" w:hAnsi="Avenir Next" w:cs="Arial"/>
          <w:color w:val="0070C0"/>
          <w:sz w:val="22"/>
          <w:szCs w:val="22"/>
          <w:lang w:val="en-GB"/>
        </w:rPr>
        <w:t>(See</w:t>
      </w:r>
      <w:r>
        <w:rPr>
          <w:rFonts w:ascii="Avenir Next" w:hAnsi="Avenir Next" w:cs="Arial"/>
          <w:color w:val="0070C0"/>
          <w:sz w:val="22"/>
          <w:szCs w:val="22"/>
          <w:lang w:val="en-GB"/>
        </w:rPr>
        <w:t xml:space="preserve"> Spuling, N, (2021) Cross</w:t>
      </w:r>
    </w:p>
    <w:p w14:paraId="253E0F17" w14:textId="77777777" w:rsidR="00D6035F" w:rsidRDefault="00E9394D" w:rsidP="00D6035F">
      <w:pPr>
        <w:ind w:left="720" w:hanging="720"/>
        <w:jc w:val="both"/>
        <w:rPr>
          <w:rFonts w:ascii="Avenir Next" w:hAnsi="Avenir Next" w:cs="Arial"/>
          <w:color w:val="0070C0"/>
          <w:sz w:val="22"/>
          <w:szCs w:val="22"/>
          <w:lang w:val="en-GB"/>
        </w:rPr>
      </w:pPr>
      <w:r>
        <w:rPr>
          <w:rFonts w:ascii="Avenir Next" w:hAnsi="Avenir Next" w:cs="Arial"/>
          <w:color w:val="0070C0"/>
          <w:sz w:val="22"/>
          <w:szCs w:val="22"/>
          <w:lang w:val="en-GB"/>
        </w:rPr>
        <w:t>Border</w:t>
      </w:r>
      <w:r w:rsidR="00D6035F">
        <w:rPr>
          <w:rFonts w:ascii="Avenir Next" w:hAnsi="Avenir Next" w:cs="Arial"/>
          <w:color w:val="0070C0"/>
          <w:sz w:val="22"/>
          <w:szCs w:val="22"/>
          <w:lang w:val="en-GB"/>
        </w:rPr>
        <w:t xml:space="preserve"> </w:t>
      </w:r>
      <w:r>
        <w:rPr>
          <w:rFonts w:ascii="Avenir Next" w:hAnsi="Avenir Next" w:cs="Arial"/>
          <w:color w:val="0070C0"/>
          <w:sz w:val="22"/>
          <w:szCs w:val="22"/>
          <w:lang w:val="en-GB"/>
        </w:rPr>
        <w:t>Insolvencies in South East Asia: Regional Insolvency Framework for ASEAN</w:t>
      </w:r>
      <w:r w:rsidR="00E92F01">
        <w:rPr>
          <w:rFonts w:ascii="Avenir Next" w:hAnsi="Avenir Next" w:cs="Arial"/>
          <w:color w:val="0070C0"/>
          <w:sz w:val="22"/>
          <w:szCs w:val="22"/>
          <w:lang w:val="en-GB"/>
        </w:rPr>
        <w:t xml:space="preserve"> at page</w:t>
      </w:r>
    </w:p>
    <w:p w14:paraId="6B5EC12D" w14:textId="0CEE18E7" w:rsidR="00AB63DE" w:rsidRDefault="00E92F01" w:rsidP="00D6035F">
      <w:pPr>
        <w:ind w:left="720" w:hanging="720"/>
        <w:jc w:val="both"/>
        <w:rPr>
          <w:rFonts w:ascii="Avenir Next" w:hAnsi="Avenir Next" w:cs="Arial"/>
          <w:color w:val="0070C0"/>
          <w:sz w:val="22"/>
          <w:szCs w:val="22"/>
          <w:lang w:val="en-GB"/>
        </w:rPr>
      </w:pPr>
      <w:r>
        <w:rPr>
          <w:rFonts w:ascii="Avenir Next" w:hAnsi="Avenir Next" w:cs="Arial"/>
          <w:color w:val="0070C0"/>
          <w:sz w:val="22"/>
          <w:szCs w:val="22"/>
          <w:lang w:val="en-GB"/>
        </w:rPr>
        <w:t>10.</w:t>
      </w:r>
      <w:r w:rsidR="00E9394D">
        <w:rPr>
          <w:rFonts w:ascii="Avenir Next" w:hAnsi="Avenir Next" w:cs="Arial"/>
          <w:color w:val="0070C0"/>
          <w:sz w:val="22"/>
          <w:szCs w:val="22"/>
          <w:lang w:val="en-GB"/>
        </w:rPr>
        <w:t xml:space="preserve">) </w:t>
      </w:r>
    </w:p>
    <w:p w14:paraId="233DC713" w14:textId="140AE252" w:rsidR="00E92F01" w:rsidRDefault="00E92F01" w:rsidP="00E9394D">
      <w:pPr>
        <w:jc w:val="both"/>
        <w:rPr>
          <w:rFonts w:ascii="Avenir Next" w:hAnsi="Avenir Next" w:cs="Arial"/>
          <w:color w:val="0070C0"/>
          <w:sz w:val="22"/>
          <w:szCs w:val="22"/>
          <w:lang w:val="en-GB"/>
        </w:rPr>
      </w:pPr>
    </w:p>
    <w:p w14:paraId="366B1DAE" w14:textId="44EA3074" w:rsidR="0030782F" w:rsidRDefault="00E92F01" w:rsidP="00E9394D">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Arguably, a third catalyst has been the return to democracy in some Eastern Asian countries such as South Korea and the prosperity </w:t>
      </w:r>
      <w:r w:rsidR="009B2F18">
        <w:rPr>
          <w:rFonts w:ascii="Avenir Next" w:hAnsi="Avenir Next" w:cs="Arial"/>
          <w:color w:val="0070C0"/>
          <w:sz w:val="22"/>
          <w:szCs w:val="22"/>
          <w:lang w:val="en-GB"/>
        </w:rPr>
        <w:t>which</w:t>
      </w:r>
      <w:r>
        <w:rPr>
          <w:rFonts w:ascii="Avenir Next" w:hAnsi="Avenir Next" w:cs="Arial"/>
          <w:color w:val="0070C0"/>
          <w:sz w:val="22"/>
          <w:szCs w:val="22"/>
          <w:lang w:val="en-GB"/>
        </w:rPr>
        <w:t xml:space="preserve"> followed. This particular development showed the need for a modern insolvency system that was free from corruption and was also responsive to the needs of companies functioning, largely for the first time, as part of the global </w:t>
      </w:r>
      <w:r w:rsidR="0077055D">
        <w:rPr>
          <w:rFonts w:ascii="Avenir Next" w:hAnsi="Avenir Next" w:cs="Arial"/>
          <w:color w:val="0070C0"/>
          <w:sz w:val="22"/>
          <w:szCs w:val="22"/>
          <w:lang w:val="en-GB"/>
        </w:rPr>
        <w:t>democratic and</w:t>
      </w:r>
      <w:r w:rsidR="009B2F18">
        <w:rPr>
          <w:rFonts w:ascii="Avenir Next" w:hAnsi="Avenir Next" w:cs="Arial"/>
          <w:color w:val="0070C0"/>
          <w:sz w:val="22"/>
          <w:szCs w:val="22"/>
          <w:lang w:val="en-GB"/>
        </w:rPr>
        <w:t xml:space="preserve"> economic </w:t>
      </w:r>
      <w:r>
        <w:rPr>
          <w:rFonts w:ascii="Avenir Next" w:hAnsi="Avenir Next" w:cs="Arial"/>
          <w:color w:val="0070C0"/>
          <w:sz w:val="22"/>
          <w:szCs w:val="22"/>
          <w:lang w:val="en-GB"/>
        </w:rPr>
        <w:t xml:space="preserve">system. </w:t>
      </w:r>
      <w:r w:rsidR="00D6035F">
        <w:rPr>
          <w:rFonts w:ascii="Avenir Next" w:hAnsi="Avenir Next" w:cs="Arial"/>
          <w:color w:val="0070C0"/>
          <w:sz w:val="22"/>
          <w:szCs w:val="22"/>
          <w:lang w:val="en-GB"/>
        </w:rPr>
        <w:t>(See</w:t>
      </w:r>
      <w:r>
        <w:rPr>
          <w:rFonts w:ascii="Avenir Next" w:hAnsi="Avenir Next" w:cs="Arial"/>
          <w:color w:val="0070C0"/>
          <w:sz w:val="22"/>
          <w:szCs w:val="22"/>
          <w:lang w:val="en-GB"/>
        </w:rPr>
        <w:t xml:space="preserve"> Halliday, Terrence C. and Carruthers, B.G.  (2004) Institutional Lessons from Insolvency Reforms in East Asia</w:t>
      </w:r>
      <w:r w:rsidR="0030782F">
        <w:rPr>
          <w:rFonts w:ascii="Avenir Next" w:hAnsi="Avenir Next" w:cs="Arial"/>
          <w:color w:val="0070C0"/>
          <w:sz w:val="22"/>
          <w:szCs w:val="22"/>
          <w:lang w:val="en-GB"/>
        </w:rPr>
        <w:t xml:space="preserve"> published in Credit Risk and Credit Access in Asia, OECD 2006 at pages 21 – 24)</w:t>
      </w:r>
    </w:p>
    <w:p w14:paraId="30B23607" w14:textId="3FCF67D3" w:rsidR="009B2F18" w:rsidRDefault="009B2F18" w:rsidP="00E9394D">
      <w:pPr>
        <w:jc w:val="both"/>
        <w:rPr>
          <w:rFonts w:ascii="Avenir Next" w:hAnsi="Avenir Next" w:cs="Arial"/>
          <w:color w:val="0070C0"/>
          <w:sz w:val="22"/>
          <w:szCs w:val="22"/>
          <w:lang w:val="en-GB"/>
        </w:rPr>
      </w:pPr>
    </w:p>
    <w:p w14:paraId="7CF1A2F4" w14:textId="313770F1" w:rsidR="008F77B2" w:rsidRDefault="009B2F18" w:rsidP="00E9394D">
      <w:pPr>
        <w:jc w:val="both"/>
        <w:rPr>
          <w:rFonts w:ascii="Avenir Next" w:hAnsi="Avenir Next" w:cs="Arial"/>
          <w:color w:val="0070C0"/>
          <w:sz w:val="22"/>
          <w:szCs w:val="22"/>
          <w:lang w:val="en-GB"/>
        </w:rPr>
      </w:pPr>
      <w:r>
        <w:rPr>
          <w:rFonts w:ascii="Avenir Next" w:hAnsi="Avenir Next" w:cs="Arial"/>
          <w:color w:val="0070C0"/>
          <w:sz w:val="22"/>
          <w:szCs w:val="22"/>
          <w:lang w:val="en-GB"/>
        </w:rPr>
        <w:t>These catalysts resulted in several reform initiatives</w:t>
      </w:r>
      <w:r w:rsidR="008F77B2">
        <w:rPr>
          <w:rFonts w:ascii="Avenir Next" w:hAnsi="Avenir Next" w:cs="Arial"/>
          <w:color w:val="0070C0"/>
          <w:sz w:val="22"/>
          <w:szCs w:val="22"/>
          <w:lang w:val="en-GB"/>
        </w:rPr>
        <w:t xml:space="preserve"> which include the following:</w:t>
      </w:r>
    </w:p>
    <w:p w14:paraId="36F4A01F" w14:textId="61AFA58B" w:rsidR="008F77B2" w:rsidRDefault="008F77B2" w:rsidP="00E9394D">
      <w:pPr>
        <w:jc w:val="both"/>
        <w:rPr>
          <w:rFonts w:ascii="Avenir Next" w:hAnsi="Avenir Next" w:cs="Arial"/>
          <w:color w:val="0070C0"/>
          <w:sz w:val="22"/>
          <w:szCs w:val="22"/>
          <w:lang w:val="en-GB"/>
        </w:rPr>
      </w:pPr>
    </w:p>
    <w:p w14:paraId="2A6EAEFF" w14:textId="294553C0" w:rsidR="008F77B2" w:rsidRDefault="00BE4A70" w:rsidP="008F77B2">
      <w:pPr>
        <w:pStyle w:val="ListParagraph"/>
        <w:numPr>
          <w:ilvl w:val="0"/>
          <w:numId w:val="26"/>
        </w:numPr>
        <w:jc w:val="both"/>
        <w:rPr>
          <w:rFonts w:ascii="Avenir Next" w:hAnsi="Avenir Next" w:cs="Arial"/>
          <w:color w:val="0070C0"/>
          <w:sz w:val="22"/>
          <w:szCs w:val="22"/>
          <w:lang w:val="en-GB"/>
        </w:rPr>
      </w:pPr>
      <w:r>
        <w:rPr>
          <w:rFonts w:ascii="Avenir Next" w:hAnsi="Avenir Next" w:cs="Arial"/>
          <w:color w:val="0070C0"/>
          <w:sz w:val="22"/>
          <w:szCs w:val="22"/>
          <w:lang w:val="en-GB"/>
        </w:rPr>
        <w:t>Reform of the Court system:</w:t>
      </w:r>
      <w:r w:rsidR="008F77B2">
        <w:rPr>
          <w:rFonts w:ascii="Avenir Next" w:hAnsi="Avenir Next" w:cs="Arial"/>
          <w:color w:val="0070C0"/>
          <w:sz w:val="22"/>
          <w:szCs w:val="22"/>
          <w:lang w:val="en-GB"/>
        </w:rPr>
        <w:t xml:space="preserve"> This was particularly the case in Korea and Indonesia. In Korea, the judicial system was overhauled beginning with the establishment of a specialised Insolvency court in the Seoul district. A similar development took place in Indonesia with the establishment of the Commercial Court in 1998. The establishment of these courts enabled the judicial system in both countries to apply specialised legal solutions when treating with insolvency issues.</w:t>
      </w:r>
      <w:r w:rsidR="0077055D">
        <w:rPr>
          <w:rFonts w:ascii="Avenir Next" w:hAnsi="Avenir Next" w:cs="Arial"/>
          <w:color w:val="0070C0"/>
          <w:sz w:val="22"/>
          <w:szCs w:val="22"/>
          <w:lang w:val="en-GB"/>
        </w:rPr>
        <w:t xml:space="preserve"> </w:t>
      </w:r>
    </w:p>
    <w:p w14:paraId="445DED2C" w14:textId="77777777" w:rsidR="0077055D" w:rsidRDefault="0077055D" w:rsidP="0077055D">
      <w:pPr>
        <w:pStyle w:val="ListParagraph"/>
        <w:jc w:val="both"/>
        <w:rPr>
          <w:rFonts w:ascii="Avenir Next" w:hAnsi="Avenir Next" w:cs="Arial"/>
          <w:color w:val="0070C0"/>
          <w:sz w:val="22"/>
          <w:szCs w:val="22"/>
          <w:lang w:val="en-GB"/>
        </w:rPr>
      </w:pPr>
    </w:p>
    <w:p w14:paraId="58EA402D" w14:textId="5F578A1F" w:rsidR="008F77B2" w:rsidRPr="008F77B2" w:rsidRDefault="00BE4A70" w:rsidP="008F77B2">
      <w:pPr>
        <w:pStyle w:val="ListParagraph"/>
        <w:numPr>
          <w:ilvl w:val="0"/>
          <w:numId w:val="26"/>
        </w:numPr>
        <w:jc w:val="both"/>
        <w:rPr>
          <w:rFonts w:ascii="Avenir Next" w:hAnsi="Avenir Next" w:cs="Arial"/>
          <w:color w:val="0070C0"/>
          <w:sz w:val="22"/>
          <w:szCs w:val="22"/>
          <w:lang w:val="en-GB"/>
        </w:rPr>
      </w:pPr>
      <w:r>
        <w:rPr>
          <w:rFonts w:ascii="Avenir Next" w:hAnsi="Avenir Next" w:cs="Arial"/>
          <w:color w:val="0070C0"/>
          <w:sz w:val="22"/>
          <w:szCs w:val="22"/>
          <w:lang w:val="en-GB"/>
        </w:rPr>
        <w:t>Reform of substantive insolvency law: as a corollary to the relatively modern judicial system, most countries in East Asia also reformed their substantive insolvency laws. Thailand put in place new bankruptcy laws in 1998 and 1999 as did South Korea in that same period. Existing bankruptcy laws were also substantially amended in the case of Indonesia which amended its Bankruptcy Regulation in 1998</w:t>
      </w:r>
    </w:p>
    <w:p w14:paraId="7D4B3C34" w14:textId="3C5AB615" w:rsidR="008F77B2" w:rsidRDefault="008F77B2" w:rsidP="00BE4A70">
      <w:pPr>
        <w:ind w:left="720"/>
        <w:jc w:val="both"/>
        <w:rPr>
          <w:rFonts w:ascii="Avenir Next" w:hAnsi="Avenir Next" w:cs="Arial"/>
          <w:color w:val="0070C0"/>
          <w:sz w:val="22"/>
          <w:szCs w:val="22"/>
          <w:lang w:val="en-GB"/>
        </w:rPr>
      </w:pPr>
    </w:p>
    <w:p w14:paraId="7F080FE7" w14:textId="13C10612" w:rsidR="00BE4A70" w:rsidRDefault="00BE4A70" w:rsidP="00BE4A70">
      <w:pPr>
        <w:ind w:left="720"/>
        <w:jc w:val="both"/>
        <w:rPr>
          <w:rFonts w:ascii="Avenir Next" w:hAnsi="Avenir Next" w:cs="Arial"/>
          <w:color w:val="0070C0"/>
          <w:sz w:val="22"/>
          <w:szCs w:val="22"/>
          <w:lang w:val="en-GB"/>
        </w:rPr>
      </w:pPr>
      <w:r>
        <w:rPr>
          <w:rFonts w:ascii="Avenir Next" w:hAnsi="Avenir Next" w:cs="Arial"/>
          <w:color w:val="0070C0"/>
          <w:sz w:val="22"/>
          <w:szCs w:val="22"/>
          <w:lang w:val="en-GB"/>
        </w:rPr>
        <w:t>Source: Rocha, Bruno, At Different Speeds: Policy Complementarities and the Recovery from the Asian Crisis (2009) published in Asian Development Bank Research Paper Series No. 74, July 2009</w:t>
      </w:r>
      <w:r w:rsidR="006F7B05">
        <w:rPr>
          <w:rFonts w:ascii="Avenir Next" w:hAnsi="Avenir Next" w:cs="Arial"/>
          <w:color w:val="0070C0"/>
          <w:sz w:val="22"/>
          <w:szCs w:val="22"/>
          <w:lang w:val="en-GB"/>
        </w:rPr>
        <w:t xml:space="preserve"> at pages 20 - 22</w:t>
      </w:r>
    </w:p>
    <w:p w14:paraId="1ADC6319" w14:textId="72D7DC60" w:rsidR="00E9394D" w:rsidRDefault="00E9394D" w:rsidP="00E9394D">
      <w:pPr>
        <w:jc w:val="both"/>
        <w:rPr>
          <w:rFonts w:ascii="Avenir Next" w:hAnsi="Avenir Next" w:cs="Arial"/>
          <w:color w:val="0070C0"/>
          <w:sz w:val="22"/>
          <w:szCs w:val="22"/>
          <w:lang w:val="en-GB"/>
        </w:rPr>
      </w:pPr>
    </w:p>
    <w:p w14:paraId="5E2E34ED" w14:textId="77777777" w:rsidR="00594872" w:rsidRPr="004216EA" w:rsidRDefault="00594872" w:rsidP="00E9394D">
      <w:pPr>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1ED06724" w:rsidR="00FF0D81" w:rsidRDefault="00FF0D81" w:rsidP="00692852">
      <w:pPr>
        <w:jc w:val="both"/>
        <w:rPr>
          <w:rFonts w:ascii="Avenir Next" w:hAnsi="Avenir Next" w:cs="Arial"/>
          <w:sz w:val="22"/>
          <w:szCs w:val="22"/>
          <w:lang w:val="en-GB"/>
        </w:rPr>
      </w:pPr>
    </w:p>
    <w:p w14:paraId="3B10BE24" w14:textId="489A9E00" w:rsidR="00AB63DE" w:rsidRPr="00AB63DE" w:rsidRDefault="00AB63DE" w:rsidP="0020258B">
      <w:pPr>
        <w:jc w:val="both"/>
        <w:rPr>
          <w:rFonts w:ascii="Avenir Next" w:hAnsi="Avenir Next" w:cs="Arial"/>
          <w:color w:val="808080" w:themeColor="background1" w:themeShade="80"/>
          <w:sz w:val="22"/>
          <w:szCs w:val="22"/>
          <w:lang w:val="en-GB"/>
        </w:rPr>
      </w:pPr>
    </w:p>
    <w:p w14:paraId="7034F7BB" w14:textId="5F2A420E" w:rsidR="00AB63DE" w:rsidRDefault="0020258B" w:rsidP="00692852">
      <w:pPr>
        <w:jc w:val="both"/>
        <w:rPr>
          <w:rFonts w:ascii="Avenir Next" w:hAnsi="Avenir Next" w:cs="Arial"/>
          <w:color w:val="0070C0"/>
          <w:sz w:val="22"/>
          <w:szCs w:val="22"/>
          <w:lang w:val="en-GB"/>
        </w:rPr>
      </w:pPr>
      <w:r w:rsidRPr="0020258B">
        <w:rPr>
          <w:rFonts w:ascii="Avenir Next" w:hAnsi="Avenir Next" w:cs="Arial"/>
          <w:color w:val="0070C0"/>
          <w:sz w:val="22"/>
          <w:szCs w:val="22"/>
          <w:lang w:val="en-GB"/>
        </w:rPr>
        <w:t xml:space="preserve">Over the years, North American countries have participated in various initiatives with the ultimate goal being a functional system of international insolvency as between them. these initiatives were quite important mainly due to the economic closeness and interdependence which the countries enjoyed. </w:t>
      </w:r>
      <w:r>
        <w:rPr>
          <w:rFonts w:ascii="Avenir Next" w:hAnsi="Avenir Next" w:cs="Arial"/>
          <w:color w:val="0070C0"/>
          <w:sz w:val="22"/>
          <w:szCs w:val="22"/>
          <w:lang w:val="en-GB"/>
        </w:rPr>
        <w:t>These initiatives include the following:</w:t>
      </w:r>
    </w:p>
    <w:p w14:paraId="7335086C" w14:textId="5491024E" w:rsidR="0020258B" w:rsidRDefault="0020258B" w:rsidP="00692852">
      <w:pPr>
        <w:jc w:val="both"/>
        <w:rPr>
          <w:rFonts w:ascii="Avenir Next" w:hAnsi="Avenir Next" w:cs="Arial"/>
          <w:color w:val="0070C0"/>
          <w:sz w:val="22"/>
          <w:szCs w:val="22"/>
          <w:lang w:val="en-GB"/>
        </w:rPr>
      </w:pPr>
    </w:p>
    <w:p w14:paraId="69C3945F" w14:textId="10266B18" w:rsidR="0020258B" w:rsidRDefault="0020258B" w:rsidP="0020258B">
      <w:pPr>
        <w:pStyle w:val="ListParagraph"/>
        <w:numPr>
          <w:ilvl w:val="0"/>
          <w:numId w:val="27"/>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Judicial comity: this was a long-standing ground of cooperation in international insolvency disputes. It permitted municipal courts to have regard to the ongoing procedures in other states with a view to as far as possible, avoiding conflicting decisions which could have a material impact on the overall legal process. While this was a welcome creature of judicial cooperation, it was not a harmonisation of procedural rules and at times, conflicting decisions were unavoidable. Further, it did not reduce the procedural hurdles which made it necessary for concurrent proceedings to exist in different states. It also did not provide an effective response to the need to treat with the assets of the insolvent company in a holistic way.  </w:t>
      </w:r>
    </w:p>
    <w:p w14:paraId="5A1259E7" w14:textId="4053CBF0" w:rsidR="0020258B" w:rsidRDefault="0020258B" w:rsidP="0020258B">
      <w:pPr>
        <w:pStyle w:val="ListParagraph"/>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 </w:t>
      </w:r>
    </w:p>
    <w:p w14:paraId="38311952" w14:textId="6E859285" w:rsidR="0020258B" w:rsidRDefault="00BC53D8" w:rsidP="0020258B">
      <w:pPr>
        <w:pStyle w:val="ListParagraph"/>
        <w:numPr>
          <w:ilvl w:val="0"/>
          <w:numId w:val="27"/>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NAFTA Principles as the basis for multilateral cooperation on insolvency matters. These Principles fell into three main categories: General, Procedural and Recommendations. The General Principles were basic agreements obliging the courts and </w:t>
      </w:r>
      <w:r w:rsidR="00172599">
        <w:rPr>
          <w:rFonts w:ascii="Avenir Next" w:hAnsi="Avenir Next" w:cs="Arial"/>
          <w:color w:val="0070C0"/>
          <w:sz w:val="22"/>
          <w:szCs w:val="22"/>
          <w:lang w:val="en-GB"/>
        </w:rPr>
        <w:t>administrators to</w:t>
      </w:r>
      <w:r>
        <w:rPr>
          <w:rFonts w:ascii="Avenir Next" w:hAnsi="Avenir Next" w:cs="Arial"/>
          <w:color w:val="0070C0"/>
          <w:sz w:val="22"/>
          <w:szCs w:val="22"/>
          <w:lang w:val="en-GB"/>
        </w:rPr>
        <w:t xml:space="preserve"> cooperate in international insolvency proceedings. This was with a view to achieving two of the primary goals of the insolvency proceedings: obtaining the highest possible value for the insolvent entity’s assets, ensuring proper and as far as possible, equitable distribution, and achieving these </w:t>
      </w:r>
      <w:r w:rsidR="00172599">
        <w:rPr>
          <w:rFonts w:ascii="Avenir Next" w:hAnsi="Avenir Next" w:cs="Arial"/>
          <w:color w:val="0070C0"/>
          <w:sz w:val="22"/>
          <w:szCs w:val="22"/>
          <w:lang w:val="en-GB"/>
        </w:rPr>
        <w:t>goals</w:t>
      </w:r>
      <w:r>
        <w:rPr>
          <w:rFonts w:ascii="Avenir Next" w:hAnsi="Avenir Next" w:cs="Arial"/>
          <w:color w:val="0070C0"/>
          <w:sz w:val="22"/>
          <w:szCs w:val="22"/>
          <w:lang w:val="en-GB"/>
        </w:rPr>
        <w:t xml:space="preserve"> in a just legal framework. </w:t>
      </w:r>
      <w:r w:rsidR="00172599">
        <w:rPr>
          <w:rFonts w:ascii="Avenir Next" w:hAnsi="Avenir Next" w:cs="Arial"/>
          <w:color w:val="0070C0"/>
          <w:sz w:val="22"/>
          <w:szCs w:val="22"/>
          <w:lang w:val="en-GB"/>
        </w:rPr>
        <w:t xml:space="preserve"> These have been moderately successful in that while they have set out basic principles to which all participating countries have agreed to adhere (and in that light, go further than judicial comity), they still fall short of the ultimate goal of harmonisation and the specific drawbacks that unharmonized laws bring. </w:t>
      </w:r>
    </w:p>
    <w:p w14:paraId="5E267859" w14:textId="77777777" w:rsidR="00172599" w:rsidRPr="00172599" w:rsidRDefault="00172599" w:rsidP="00172599">
      <w:pPr>
        <w:pStyle w:val="ListParagraph"/>
        <w:rPr>
          <w:rFonts w:ascii="Avenir Next" w:hAnsi="Avenir Next" w:cs="Arial"/>
          <w:color w:val="0070C0"/>
          <w:sz w:val="22"/>
          <w:szCs w:val="22"/>
          <w:lang w:val="en-GB"/>
        </w:rPr>
      </w:pPr>
    </w:p>
    <w:p w14:paraId="0ACC640A" w14:textId="007A37D5" w:rsidR="00172599" w:rsidRPr="0020258B" w:rsidRDefault="003F5B83" w:rsidP="0020258B">
      <w:pPr>
        <w:pStyle w:val="ListParagraph"/>
        <w:numPr>
          <w:ilvl w:val="0"/>
          <w:numId w:val="27"/>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American Law Institute also generated (1) </w:t>
      </w:r>
      <w:r w:rsidR="00282863">
        <w:rPr>
          <w:rFonts w:ascii="Avenir Next" w:hAnsi="Avenir Next" w:cs="Arial"/>
          <w:color w:val="0070C0"/>
          <w:sz w:val="22"/>
          <w:szCs w:val="22"/>
          <w:lang w:val="en-GB"/>
        </w:rPr>
        <w:t>Guidelines Applicable</w:t>
      </w:r>
      <w:r>
        <w:rPr>
          <w:rFonts w:ascii="Avenir Next" w:hAnsi="Avenir Next" w:cs="Arial"/>
          <w:color w:val="0070C0"/>
          <w:sz w:val="22"/>
          <w:szCs w:val="22"/>
          <w:lang w:val="en-GB"/>
        </w:rPr>
        <w:t xml:space="preserve"> to Court-to-Court Communications in Cross-border Cases and (2) </w:t>
      </w:r>
      <w:r w:rsidR="00282863">
        <w:rPr>
          <w:rFonts w:ascii="Avenir Next" w:hAnsi="Avenir Next" w:cs="Arial"/>
          <w:color w:val="0070C0"/>
          <w:sz w:val="22"/>
          <w:szCs w:val="22"/>
          <w:lang w:val="en-GB"/>
        </w:rPr>
        <w:t xml:space="preserve">ALI – III Report.  These were important developments which, building on the NAFTA Principles, sought to enhance and harmonise cross border insolvency cases as a blueprint for international adoption and implementation. Their main drawback was that they did not go far enough in actually harmonising the procedures in the various states nor did they seek to substantively affect the insolvency process in individual countries. </w:t>
      </w:r>
    </w:p>
    <w:p w14:paraId="49984A27" w14:textId="726189AA" w:rsidR="00AB63DE" w:rsidRDefault="00AB63DE" w:rsidP="00692852">
      <w:pPr>
        <w:jc w:val="both"/>
        <w:rPr>
          <w:rFonts w:ascii="Avenir Next" w:hAnsi="Avenir Next" w:cs="Arial"/>
          <w:sz w:val="22"/>
          <w:szCs w:val="22"/>
          <w:lang w:val="en-GB"/>
        </w:rPr>
      </w:pPr>
    </w:p>
    <w:p w14:paraId="22EB343F" w14:textId="6BBCA923" w:rsidR="00AB63DE" w:rsidRDefault="00AB63DE" w:rsidP="00692852">
      <w:pPr>
        <w:jc w:val="both"/>
        <w:rPr>
          <w:rFonts w:ascii="Avenir Next" w:hAnsi="Avenir Next" w:cs="Arial"/>
          <w:sz w:val="22"/>
          <w:szCs w:val="22"/>
          <w:lang w:val="en-GB"/>
        </w:rPr>
      </w:pPr>
    </w:p>
    <w:p w14:paraId="3FB19DD9" w14:textId="1C01760F" w:rsidR="00282863" w:rsidRDefault="00282863" w:rsidP="00692852">
      <w:pPr>
        <w:jc w:val="both"/>
        <w:rPr>
          <w:rFonts w:ascii="Avenir Next" w:hAnsi="Avenir Next" w:cs="Arial"/>
          <w:sz w:val="22"/>
          <w:szCs w:val="22"/>
          <w:lang w:val="en-GB"/>
        </w:rPr>
      </w:pPr>
    </w:p>
    <w:p w14:paraId="7F1AEA52" w14:textId="77777777" w:rsidR="00282863" w:rsidRDefault="00282863"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43768720" w14:textId="097DAE9A" w:rsidR="00AB63DE" w:rsidRPr="00AB63DE" w:rsidRDefault="00AB63DE" w:rsidP="00F524F4">
      <w:pPr>
        <w:jc w:val="both"/>
        <w:rPr>
          <w:rFonts w:ascii="Avenir Next" w:hAnsi="Avenir Next" w:cs="Arial"/>
          <w:color w:val="808080" w:themeColor="background1" w:themeShade="80"/>
          <w:sz w:val="22"/>
          <w:szCs w:val="22"/>
          <w:lang w:val="en-GB"/>
        </w:rPr>
      </w:pPr>
    </w:p>
    <w:p w14:paraId="411DDF67" w14:textId="77777777" w:rsidR="00F524F4" w:rsidRDefault="00F524F4" w:rsidP="00692852">
      <w:pPr>
        <w:jc w:val="both"/>
        <w:rPr>
          <w:rFonts w:ascii="Avenir Next" w:hAnsi="Avenir Next" w:cs="Arial"/>
          <w:color w:val="0070C0"/>
          <w:sz w:val="22"/>
          <w:szCs w:val="22"/>
          <w:lang w:val="en-GB"/>
        </w:rPr>
      </w:pPr>
      <w:r w:rsidRPr="00F524F4">
        <w:rPr>
          <w:rFonts w:ascii="Avenir Next" w:hAnsi="Avenir Next" w:cs="Arial"/>
          <w:color w:val="0070C0"/>
          <w:sz w:val="22"/>
          <w:szCs w:val="22"/>
          <w:lang w:val="en-GB"/>
        </w:rPr>
        <w:t xml:space="preserve">The greatest challenge </w:t>
      </w:r>
      <w:r>
        <w:rPr>
          <w:rFonts w:ascii="Avenir Next" w:hAnsi="Avenir Next" w:cs="Arial"/>
          <w:color w:val="0070C0"/>
          <w:sz w:val="22"/>
          <w:szCs w:val="22"/>
          <w:lang w:val="en-GB"/>
        </w:rPr>
        <w:t xml:space="preserve">to the formulation of a comprehensive international insolvency framework has been the extent to which the individual jurisdictions apply different rules with varying objectives. </w:t>
      </w:r>
    </w:p>
    <w:p w14:paraId="34C0835E" w14:textId="77777777" w:rsidR="00F524F4" w:rsidRDefault="00F524F4" w:rsidP="00692852">
      <w:pPr>
        <w:jc w:val="both"/>
        <w:rPr>
          <w:rFonts w:ascii="Avenir Next" w:hAnsi="Avenir Next" w:cs="Arial"/>
          <w:color w:val="0070C0"/>
          <w:sz w:val="22"/>
          <w:szCs w:val="22"/>
          <w:lang w:val="en-GB"/>
        </w:rPr>
      </w:pPr>
    </w:p>
    <w:p w14:paraId="7E9F61C4" w14:textId="587C7BAC" w:rsidR="00AB63DE" w:rsidRDefault="00F524F4" w:rsidP="00692852">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While there are broad similarities in those objectives, developing a unified international insolvency system requires states to adopt rules and laws which may fundamentally disrupt their local system. In the vast majority of cases, these differences in rules and law have their origin in the historical development of insolvency procedures in the individual jurisdictions. </w:t>
      </w:r>
    </w:p>
    <w:p w14:paraId="0FE87BEA" w14:textId="64E679EE" w:rsidR="008B72EB" w:rsidRDefault="008B72EB" w:rsidP="00692852">
      <w:pPr>
        <w:jc w:val="both"/>
        <w:rPr>
          <w:rFonts w:ascii="Avenir Next" w:hAnsi="Avenir Next" w:cs="Arial"/>
          <w:color w:val="0070C0"/>
          <w:sz w:val="22"/>
          <w:szCs w:val="22"/>
          <w:lang w:val="en-GB"/>
        </w:rPr>
      </w:pPr>
    </w:p>
    <w:p w14:paraId="1697DFA6" w14:textId="77777777" w:rsidR="0092624A" w:rsidRDefault="008B72EB" w:rsidP="00692852">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It is accepted that one of the primary purposes of the insolvency process is to realise the assets of the debtor for the benefit of its existing creditors. (See Wood, Phillip. R., Principles of Insolvency (Part 1), International Insolvency Review – Spring 1995 at page 95). </w:t>
      </w:r>
      <w:r w:rsidR="006E1792">
        <w:rPr>
          <w:rFonts w:ascii="Avenir Next" w:hAnsi="Avenir Next" w:cs="Arial"/>
          <w:color w:val="0070C0"/>
          <w:sz w:val="22"/>
          <w:szCs w:val="22"/>
          <w:lang w:val="en-GB"/>
        </w:rPr>
        <w:t xml:space="preserve">This explains why there is usually an automatic stay of proceedings which bars individual collection by creditors. </w:t>
      </w:r>
    </w:p>
    <w:p w14:paraId="4C36294A" w14:textId="77777777" w:rsidR="0092624A" w:rsidRDefault="0092624A" w:rsidP="00692852">
      <w:pPr>
        <w:jc w:val="both"/>
        <w:rPr>
          <w:rFonts w:ascii="Avenir Next" w:hAnsi="Avenir Next" w:cs="Arial"/>
          <w:color w:val="0070C0"/>
          <w:sz w:val="22"/>
          <w:szCs w:val="22"/>
          <w:lang w:val="en-GB"/>
        </w:rPr>
      </w:pPr>
    </w:p>
    <w:p w14:paraId="6B769E2B" w14:textId="73688D16" w:rsidR="0092624A" w:rsidRDefault="006E1792" w:rsidP="00692852">
      <w:pPr>
        <w:jc w:val="both"/>
        <w:rPr>
          <w:rFonts w:ascii="Avenir Next" w:hAnsi="Avenir Next" w:cs="Arial"/>
          <w:color w:val="0070C0"/>
          <w:sz w:val="22"/>
          <w:szCs w:val="22"/>
          <w:lang w:val="en-GB"/>
        </w:rPr>
      </w:pPr>
      <w:r>
        <w:rPr>
          <w:rFonts w:ascii="Avenir Next" w:hAnsi="Avenir Next" w:cs="Arial"/>
          <w:color w:val="0070C0"/>
          <w:sz w:val="22"/>
          <w:szCs w:val="22"/>
          <w:lang w:val="en-GB"/>
        </w:rPr>
        <w:t>It also explains why, arguably, the interest of the creditors in the distribution of assets is paramount</w:t>
      </w:r>
      <w:r w:rsidR="006025E1">
        <w:rPr>
          <w:rFonts w:ascii="Avenir Next" w:hAnsi="Avenir Next" w:cs="Arial"/>
          <w:color w:val="0070C0"/>
          <w:sz w:val="22"/>
          <w:szCs w:val="22"/>
          <w:lang w:val="en-GB"/>
        </w:rPr>
        <w:t xml:space="preserve"> once insolvency proceedings have been commenced. In securing the assets of the debtor entity for realisation and thereafter distribution, it</w:t>
      </w:r>
      <w:r w:rsidR="00EC398A">
        <w:rPr>
          <w:rFonts w:ascii="Avenir Next" w:hAnsi="Avenir Next" w:cs="Arial"/>
          <w:color w:val="0070C0"/>
          <w:sz w:val="22"/>
          <w:szCs w:val="22"/>
          <w:lang w:val="en-GB"/>
        </w:rPr>
        <w:t xml:space="preserve"> </w:t>
      </w:r>
      <w:r w:rsidR="006025E1">
        <w:rPr>
          <w:rFonts w:ascii="Avenir Next" w:hAnsi="Avenir Next" w:cs="Arial"/>
          <w:color w:val="0070C0"/>
          <w:sz w:val="22"/>
          <w:szCs w:val="22"/>
          <w:lang w:val="en-GB"/>
        </w:rPr>
        <w:t>is</w:t>
      </w:r>
      <w:r w:rsidR="00EC398A">
        <w:rPr>
          <w:rFonts w:ascii="Avenir Next" w:hAnsi="Avenir Next" w:cs="Arial"/>
          <w:color w:val="0070C0"/>
          <w:sz w:val="22"/>
          <w:szCs w:val="22"/>
          <w:lang w:val="en-GB"/>
        </w:rPr>
        <w:t xml:space="preserve"> often</w:t>
      </w:r>
      <w:r w:rsidR="006025E1">
        <w:rPr>
          <w:rFonts w:ascii="Avenir Next" w:hAnsi="Avenir Next" w:cs="Arial"/>
          <w:color w:val="0070C0"/>
          <w:sz w:val="22"/>
          <w:szCs w:val="22"/>
          <w:lang w:val="en-GB"/>
        </w:rPr>
        <w:t xml:space="preserve"> </w:t>
      </w:r>
      <w:r w:rsidR="0092624A">
        <w:rPr>
          <w:rFonts w:ascii="Avenir Next" w:hAnsi="Avenir Next" w:cs="Arial"/>
          <w:color w:val="0070C0"/>
          <w:sz w:val="22"/>
          <w:szCs w:val="22"/>
          <w:lang w:val="en-GB"/>
        </w:rPr>
        <w:t>necessary</w:t>
      </w:r>
      <w:r w:rsidR="006025E1">
        <w:rPr>
          <w:rFonts w:ascii="Avenir Next" w:hAnsi="Avenir Next" w:cs="Arial"/>
          <w:color w:val="0070C0"/>
          <w:sz w:val="22"/>
          <w:szCs w:val="22"/>
          <w:lang w:val="en-GB"/>
        </w:rPr>
        <w:t>, in the appropriate circumstances</w:t>
      </w:r>
      <w:r w:rsidR="00EC398A">
        <w:rPr>
          <w:rFonts w:ascii="Avenir Next" w:hAnsi="Avenir Next" w:cs="Arial"/>
          <w:color w:val="0070C0"/>
          <w:sz w:val="22"/>
          <w:szCs w:val="22"/>
          <w:lang w:val="en-GB"/>
        </w:rPr>
        <w:t>,</w:t>
      </w:r>
      <w:r w:rsidR="006025E1">
        <w:rPr>
          <w:rFonts w:ascii="Avenir Next" w:hAnsi="Avenir Next" w:cs="Arial"/>
          <w:color w:val="0070C0"/>
          <w:sz w:val="22"/>
          <w:szCs w:val="22"/>
          <w:lang w:val="en-GB"/>
        </w:rPr>
        <w:t xml:space="preserve"> to consider pre-insolvency transactions entered into by the company to ascertain whether they were fraudulent </w:t>
      </w:r>
      <w:r w:rsidR="0092624A">
        <w:rPr>
          <w:rFonts w:ascii="Avenir Next" w:hAnsi="Avenir Next" w:cs="Arial"/>
          <w:color w:val="0070C0"/>
          <w:sz w:val="22"/>
          <w:szCs w:val="22"/>
          <w:lang w:val="en-GB"/>
        </w:rPr>
        <w:t xml:space="preserve">or whether they had the effect of preferring one creditor (s) over another.  </w:t>
      </w:r>
      <w:r w:rsidR="00EC398A">
        <w:rPr>
          <w:rFonts w:ascii="Avenir Next" w:hAnsi="Avenir Next" w:cs="Arial"/>
          <w:color w:val="0070C0"/>
          <w:sz w:val="22"/>
          <w:szCs w:val="22"/>
          <w:lang w:val="en-GB"/>
        </w:rPr>
        <w:t>This is critical to achieving one of the core goals of insolvency proceedings: recovering as much as possible for distribution to creditors.</w:t>
      </w:r>
    </w:p>
    <w:p w14:paraId="268025C9" w14:textId="77777777" w:rsidR="0092624A" w:rsidRDefault="0092624A" w:rsidP="00692852">
      <w:pPr>
        <w:jc w:val="both"/>
        <w:rPr>
          <w:rFonts w:ascii="Avenir Next" w:hAnsi="Avenir Next" w:cs="Arial"/>
          <w:color w:val="0070C0"/>
          <w:sz w:val="22"/>
          <w:szCs w:val="22"/>
          <w:lang w:val="en-GB"/>
        </w:rPr>
      </w:pPr>
    </w:p>
    <w:p w14:paraId="78E07999" w14:textId="05341AF0" w:rsidR="008B72EB" w:rsidRDefault="0092624A" w:rsidP="00692852">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The policy basis on which such an exercise can be undertaken has been set out in UNCITRAL Legislative Guide on Insolvency Law, Part 1, cl. 1. </w:t>
      </w:r>
    </w:p>
    <w:p w14:paraId="6C8A77A3" w14:textId="77777777" w:rsidR="006025E1" w:rsidRDefault="006025E1" w:rsidP="006025E1">
      <w:pPr>
        <w:jc w:val="both"/>
        <w:rPr>
          <w:rFonts w:ascii="Avenir Next" w:hAnsi="Avenir Next" w:cs="Arial"/>
          <w:color w:val="0070C0"/>
          <w:sz w:val="22"/>
          <w:szCs w:val="22"/>
          <w:lang w:val="en-GB"/>
        </w:rPr>
      </w:pPr>
    </w:p>
    <w:p w14:paraId="07396245" w14:textId="77777777" w:rsidR="004E2053" w:rsidRDefault="00D3096B" w:rsidP="004E2053">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An example of the differences between the civil law tradition versus the English common law tradition </w:t>
      </w:r>
      <w:r w:rsidR="006025E1">
        <w:rPr>
          <w:rFonts w:ascii="Avenir Next" w:hAnsi="Avenir Next" w:cs="Arial"/>
          <w:color w:val="0070C0"/>
          <w:sz w:val="22"/>
          <w:szCs w:val="22"/>
          <w:lang w:val="en-GB"/>
        </w:rPr>
        <w:t xml:space="preserve">is the manner in which voidable dispositions are </w:t>
      </w:r>
      <w:r>
        <w:rPr>
          <w:rFonts w:ascii="Avenir Next" w:hAnsi="Avenir Next" w:cs="Arial"/>
          <w:color w:val="0070C0"/>
          <w:sz w:val="22"/>
          <w:szCs w:val="22"/>
          <w:lang w:val="en-GB"/>
        </w:rPr>
        <w:t xml:space="preserve">treated. </w:t>
      </w:r>
    </w:p>
    <w:p w14:paraId="02EEB67F" w14:textId="77777777" w:rsidR="004E2053" w:rsidRDefault="004E2053" w:rsidP="004E2053">
      <w:pPr>
        <w:jc w:val="both"/>
        <w:rPr>
          <w:rFonts w:ascii="Avenir Next" w:hAnsi="Avenir Next" w:cs="Arial"/>
          <w:color w:val="0070C0"/>
          <w:sz w:val="22"/>
          <w:szCs w:val="22"/>
          <w:lang w:val="en-GB"/>
        </w:rPr>
      </w:pPr>
    </w:p>
    <w:p w14:paraId="22DDB5C8" w14:textId="3F7B9422" w:rsidR="00EC398A" w:rsidRDefault="00623C8C" w:rsidP="004E2053">
      <w:pPr>
        <w:jc w:val="both"/>
        <w:rPr>
          <w:rFonts w:ascii="Avenir Next" w:hAnsi="Avenir Next" w:cs="Arial"/>
          <w:color w:val="0070C0"/>
          <w:sz w:val="22"/>
          <w:szCs w:val="22"/>
          <w:lang w:val="en-GB"/>
        </w:rPr>
      </w:pPr>
      <w:r>
        <w:rPr>
          <w:rFonts w:ascii="Avenir Next" w:hAnsi="Avenir Next" w:cs="Arial"/>
          <w:color w:val="0070C0"/>
          <w:sz w:val="22"/>
          <w:szCs w:val="22"/>
          <w:lang w:val="en-GB"/>
        </w:rPr>
        <w:t>I</w:t>
      </w:r>
      <w:r w:rsidR="0045316E">
        <w:rPr>
          <w:rFonts w:ascii="Avenir Next" w:hAnsi="Avenir Next" w:cs="Arial"/>
          <w:color w:val="0070C0"/>
          <w:sz w:val="22"/>
          <w:szCs w:val="22"/>
          <w:lang w:val="en-GB"/>
        </w:rPr>
        <w:t>n most civil la</w:t>
      </w:r>
      <w:r w:rsidR="004E2053">
        <w:rPr>
          <w:rFonts w:ascii="Avenir Next" w:hAnsi="Avenir Next" w:cs="Arial"/>
          <w:color w:val="0070C0"/>
          <w:sz w:val="22"/>
          <w:szCs w:val="22"/>
          <w:lang w:val="en-GB"/>
        </w:rPr>
        <w:t>w</w:t>
      </w:r>
      <w:r w:rsidR="0045316E">
        <w:rPr>
          <w:rFonts w:ascii="Avenir Next" w:hAnsi="Avenir Next" w:cs="Arial"/>
          <w:color w:val="0070C0"/>
          <w:sz w:val="22"/>
          <w:szCs w:val="22"/>
          <w:lang w:val="en-GB"/>
        </w:rPr>
        <w:t xml:space="preserve"> countries</w:t>
      </w:r>
      <w:r>
        <w:rPr>
          <w:rFonts w:ascii="Avenir Next" w:hAnsi="Avenir Next" w:cs="Arial"/>
          <w:color w:val="0070C0"/>
          <w:sz w:val="22"/>
          <w:szCs w:val="22"/>
          <w:lang w:val="en-GB"/>
        </w:rPr>
        <w:t>, e</w:t>
      </w:r>
      <w:r w:rsidR="0045316E">
        <w:rPr>
          <w:rFonts w:ascii="Avenir Next" w:hAnsi="Avenir Next" w:cs="Arial"/>
          <w:color w:val="0070C0"/>
          <w:sz w:val="22"/>
          <w:szCs w:val="22"/>
          <w:lang w:val="en-GB"/>
        </w:rPr>
        <w:t>arly developments</w:t>
      </w:r>
      <w:r w:rsidR="0045316E">
        <w:rPr>
          <w:rFonts w:ascii="Avenir Next" w:hAnsi="Avenir Next" w:cs="Arial"/>
          <w:color w:val="0070C0"/>
          <w:sz w:val="22"/>
          <w:szCs w:val="22"/>
          <w:lang w:val="en-GB"/>
        </w:rPr>
        <w:t xml:space="preserve"> in relation to insolvency proceedings started with the custom</w:t>
      </w:r>
      <w:r>
        <w:rPr>
          <w:rFonts w:ascii="Avenir Next" w:hAnsi="Avenir Next" w:cs="Arial"/>
          <w:color w:val="0070C0"/>
          <w:sz w:val="22"/>
          <w:szCs w:val="22"/>
          <w:lang w:val="en-GB"/>
        </w:rPr>
        <w:t>s</w:t>
      </w:r>
      <w:r w:rsidR="0045316E">
        <w:rPr>
          <w:rFonts w:ascii="Avenir Next" w:hAnsi="Avenir Next" w:cs="Arial"/>
          <w:color w:val="0070C0"/>
          <w:sz w:val="22"/>
          <w:szCs w:val="22"/>
          <w:lang w:val="en-GB"/>
        </w:rPr>
        <w:t xml:space="preserve"> between merchants </w:t>
      </w:r>
      <w:r>
        <w:rPr>
          <w:rFonts w:ascii="Avenir Next" w:hAnsi="Avenir Next" w:cs="Arial"/>
          <w:color w:val="0070C0"/>
          <w:sz w:val="22"/>
          <w:szCs w:val="22"/>
          <w:lang w:val="en-GB"/>
        </w:rPr>
        <w:t xml:space="preserve">and tradesmen. </w:t>
      </w:r>
      <w:r w:rsidR="00EC398A">
        <w:rPr>
          <w:rFonts w:ascii="Avenir Next" w:hAnsi="Avenir Next" w:cs="Arial"/>
          <w:color w:val="0070C0"/>
          <w:sz w:val="22"/>
          <w:szCs w:val="22"/>
          <w:lang w:val="en-GB"/>
        </w:rPr>
        <w:t xml:space="preserve"> The principle of voidable disposition or </w:t>
      </w:r>
      <w:proofErr w:type="spellStart"/>
      <w:r w:rsidR="00EC398A" w:rsidRPr="00EC398A">
        <w:rPr>
          <w:rFonts w:ascii="Avenir Next" w:hAnsi="Avenir Next" w:cs="Arial"/>
          <w:i/>
          <w:iCs/>
          <w:color w:val="0070C0"/>
          <w:sz w:val="22"/>
          <w:szCs w:val="22"/>
          <w:lang w:val="en-GB"/>
        </w:rPr>
        <w:t>actio</w:t>
      </w:r>
      <w:proofErr w:type="spellEnd"/>
      <w:r w:rsidR="00EC398A" w:rsidRPr="00EC398A">
        <w:rPr>
          <w:rFonts w:ascii="Avenir Next" w:hAnsi="Avenir Next" w:cs="Arial"/>
          <w:i/>
          <w:iCs/>
          <w:color w:val="0070C0"/>
          <w:sz w:val="22"/>
          <w:szCs w:val="22"/>
          <w:lang w:val="en-GB"/>
        </w:rPr>
        <w:t xml:space="preserve"> </w:t>
      </w:r>
      <w:proofErr w:type="spellStart"/>
      <w:r w:rsidR="00EC398A" w:rsidRPr="00EC398A">
        <w:rPr>
          <w:rFonts w:ascii="Avenir Next" w:hAnsi="Avenir Next" w:cs="Arial"/>
          <w:i/>
          <w:iCs/>
          <w:color w:val="0070C0"/>
          <w:sz w:val="22"/>
          <w:szCs w:val="22"/>
          <w:lang w:val="en-GB"/>
        </w:rPr>
        <w:t>Pauliana</w:t>
      </w:r>
      <w:proofErr w:type="spellEnd"/>
      <w:r w:rsidR="00EC398A">
        <w:rPr>
          <w:rFonts w:ascii="Avenir Next" w:hAnsi="Avenir Next" w:cs="Arial"/>
          <w:color w:val="0070C0"/>
          <w:sz w:val="22"/>
          <w:szCs w:val="22"/>
          <w:lang w:val="en-GB"/>
        </w:rPr>
        <w:t xml:space="preserve"> as it is called in the civil law tradition was designed to prevent debtors </w:t>
      </w:r>
      <w:r w:rsidR="00EC398A">
        <w:rPr>
          <w:rFonts w:ascii="Avenir Next" w:hAnsi="Avenir Next" w:cs="Arial"/>
          <w:color w:val="0070C0"/>
          <w:sz w:val="22"/>
          <w:szCs w:val="22"/>
          <w:lang w:val="en-GB"/>
        </w:rPr>
        <w:lastRenderedPageBreak/>
        <w:t xml:space="preserve">from transferring property to other parties for less than valuable consideration and with a view to reducing the assets available to his creditors. </w:t>
      </w:r>
    </w:p>
    <w:p w14:paraId="505CC89B" w14:textId="46A0DD51" w:rsidR="00EC398A" w:rsidRDefault="00EC398A" w:rsidP="00EC398A">
      <w:pPr>
        <w:pStyle w:val="NormalWeb"/>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(See Commissioner of Customs v Excise </w:t>
      </w:r>
      <w:proofErr w:type="gramStart"/>
      <w:r>
        <w:rPr>
          <w:rFonts w:ascii="Avenir Next" w:hAnsi="Avenir Next" w:cs="Arial"/>
          <w:color w:val="0070C0"/>
          <w:sz w:val="22"/>
          <w:szCs w:val="22"/>
          <w:lang w:val="en-GB"/>
        </w:rPr>
        <w:t>v</w:t>
      </w:r>
      <w:proofErr w:type="gramEnd"/>
      <w:r>
        <w:rPr>
          <w:rFonts w:ascii="Avenir Next" w:hAnsi="Avenir Next" w:cs="Arial"/>
          <w:color w:val="0070C0"/>
          <w:sz w:val="22"/>
          <w:szCs w:val="22"/>
          <w:lang w:val="en-GB"/>
        </w:rPr>
        <w:t xml:space="preserve"> Bank of Lisbon International 1994 (1) SA 928 (A) at para. 208H-I as well as </w:t>
      </w:r>
      <w:proofErr w:type="spellStart"/>
      <w:r>
        <w:rPr>
          <w:rFonts w:ascii="Avenir Next" w:hAnsi="Avenir Next" w:cs="Arial"/>
          <w:color w:val="0070C0"/>
          <w:sz w:val="22"/>
          <w:szCs w:val="22"/>
          <w:lang w:val="en-GB"/>
        </w:rPr>
        <w:t>Boraine</w:t>
      </w:r>
      <w:proofErr w:type="spellEnd"/>
      <w:r>
        <w:rPr>
          <w:rFonts w:ascii="Avenir Next" w:hAnsi="Avenir Next" w:cs="Arial"/>
          <w:color w:val="0070C0"/>
          <w:sz w:val="22"/>
          <w:szCs w:val="22"/>
          <w:lang w:val="en-GB"/>
        </w:rPr>
        <w:t xml:space="preserve">, Andre, Towards Codifying the </w:t>
      </w:r>
      <w:proofErr w:type="spellStart"/>
      <w:r>
        <w:rPr>
          <w:rFonts w:ascii="Avenir Next" w:hAnsi="Avenir Next" w:cs="Arial"/>
          <w:color w:val="0070C0"/>
          <w:sz w:val="22"/>
          <w:szCs w:val="22"/>
          <w:lang w:val="en-GB"/>
        </w:rPr>
        <w:t>Actio</w:t>
      </w:r>
      <w:proofErr w:type="spellEnd"/>
      <w:r>
        <w:rPr>
          <w:rFonts w:ascii="Avenir Next" w:hAnsi="Avenir Next" w:cs="Arial"/>
          <w:color w:val="0070C0"/>
          <w:sz w:val="22"/>
          <w:szCs w:val="22"/>
          <w:lang w:val="en-GB"/>
        </w:rPr>
        <w:t xml:space="preserve"> </w:t>
      </w:r>
      <w:proofErr w:type="spellStart"/>
      <w:r>
        <w:rPr>
          <w:rFonts w:ascii="Avenir Next" w:hAnsi="Avenir Next" w:cs="Arial"/>
          <w:color w:val="0070C0"/>
          <w:sz w:val="22"/>
          <w:szCs w:val="22"/>
          <w:lang w:val="en-GB"/>
        </w:rPr>
        <w:t>Pauliana</w:t>
      </w:r>
      <w:proofErr w:type="spellEnd"/>
      <w:r>
        <w:rPr>
          <w:rFonts w:ascii="Avenir Next" w:hAnsi="Avenir Next" w:cs="Arial"/>
          <w:color w:val="0070C0"/>
          <w:sz w:val="22"/>
          <w:szCs w:val="22"/>
          <w:lang w:val="en-GB"/>
        </w:rPr>
        <w:t xml:space="preserve"> (1996) 8 S. Afr. </w:t>
      </w:r>
      <w:proofErr w:type="spellStart"/>
      <w:r>
        <w:rPr>
          <w:rFonts w:ascii="Avenir Next" w:hAnsi="Avenir Next" w:cs="Arial"/>
          <w:color w:val="0070C0"/>
          <w:sz w:val="22"/>
          <w:szCs w:val="22"/>
          <w:lang w:val="en-GB"/>
        </w:rPr>
        <w:t>MerL.J</w:t>
      </w:r>
      <w:proofErr w:type="spellEnd"/>
      <w:r>
        <w:rPr>
          <w:rFonts w:ascii="Avenir Next" w:hAnsi="Avenir Next" w:cs="Arial"/>
          <w:color w:val="0070C0"/>
          <w:sz w:val="22"/>
          <w:szCs w:val="22"/>
          <w:lang w:val="en-GB"/>
        </w:rPr>
        <w:t>. 213 at page 224 – 225.</w:t>
      </w:r>
    </w:p>
    <w:p w14:paraId="0DCFD5B9" w14:textId="78CFF1C4" w:rsidR="00DD526C" w:rsidRDefault="002559F5" w:rsidP="004E2053">
      <w:pPr>
        <w:pStyle w:val="NormalWeb"/>
        <w:jc w:val="both"/>
        <w:rPr>
          <w:rFonts w:ascii="Avenir Next" w:hAnsi="Avenir Next" w:cs="Arial"/>
          <w:color w:val="0070C0"/>
          <w:sz w:val="22"/>
          <w:szCs w:val="22"/>
          <w:lang w:val="en-GB"/>
        </w:rPr>
      </w:pPr>
      <w:r>
        <w:rPr>
          <w:rFonts w:ascii="Avenir Next" w:hAnsi="Avenir Next" w:cs="Arial"/>
          <w:color w:val="0070C0"/>
          <w:sz w:val="22"/>
          <w:szCs w:val="22"/>
          <w:lang w:val="en-GB"/>
        </w:rPr>
        <w:t>In</w:t>
      </w:r>
      <w:r w:rsidR="00EE1EE7">
        <w:rPr>
          <w:rFonts w:ascii="Avenir Next" w:hAnsi="Avenir Next" w:cs="Arial"/>
          <w:color w:val="0070C0"/>
          <w:sz w:val="22"/>
          <w:szCs w:val="22"/>
          <w:lang w:val="en-GB"/>
        </w:rPr>
        <w:t xml:space="preserve"> contrast, this rule has its beginning in statute in English common law commencing with the Act of Elizabeth 1570.</w:t>
      </w:r>
      <w:r w:rsidR="00D617B7">
        <w:rPr>
          <w:rFonts w:ascii="Avenir Next" w:hAnsi="Avenir Next" w:cs="Arial"/>
          <w:color w:val="0070C0"/>
          <w:sz w:val="22"/>
          <w:szCs w:val="22"/>
          <w:lang w:val="en-GB"/>
        </w:rPr>
        <w:t xml:space="preserve"> Critically, it has been said that this Act originated as part of an attempt for the low to properly treat with the bankruptcy process as opposed to being mainly geared towards prevention of fraud. See Calitz, J.C, “Historical Overview of State Regulation of South African Insolvency Law </w:t>
      </w:r>
      <w:proofErr w:type="gramStart"/>
      <w:r w:rsidR="00D617B7">
        <w:rPr>
          <w:rFonts w:ascii="Avenir Next" w:hAnsi="Avenir Next" w:cs="Arial"/>
          <w:color w:val="0070C0"/>
          <w:sz w:val="22"/>
          <w:szCs w:val="22"/>
          <w:lang w:val="en-GB"/>
        </w:rPr>
        <w:t>“ 2010</w:t>
      </w:r>
      <w:proofErr w:type="gramEnd"/>
      <w:r w:rsidR="00D617B7">
        <w:rPr>
          <w:rFonts w:ascii="Avenir Next" w:hAnsi="Avenir Next" w:cs="Arial"/>
          <w:color w:val="0070C0"/>
          <w:sz w:val="22"/>
          <w:szCs w:val="22"/>
          <w:lang w:val="en-GB"/>
        </w:rPr>
        <w:t xml:space="preserve"> 16(2) </w:t>
      </w:r>
      <w:proofErr w:type="spellStart"/>
      <w:r w:rsidR="00D617B7">
        <w:rPr>
          <w:rFonts w:ascii="Avenir Next" w:hAnsi="Avenir Next" w:cs="Arial"/>
          <w:color w:val="0070C0"/>
          <w:sz w:val="22"/>
          <w:szCs w:val="22"/>
          <w:lang w:val="en-GB"/>
        </w:rPr>
        <w:t>Fundumina</w:t>
      </w:r>
      <w:proofErr w:type="spellEnd"/>
      <w:r w:rsidR="00D617B7">
        <w:rPr>
          <w:rFonts w:ascii="Avenir Next" w:hAnsi="Avenir Next" w:cs="Arial"/>
          <w:color w:val="0070C0"/>
          <w:sz w:val="22"/>
          <w:szCs w:val="22"/>
          <w:lang w:val="en-GB"/>
        </w:rPr>
        <w:t xml:space="preserve"> 1, at page 13.</w:t>
      </w:r>
    </w:p>
    <w:p w14:paraId="3DE6C558" w14:textId="6C234FDB" w:rsidR="006E4ADA" w:rsidRPr="004E2053" w:rsidRDefault="006E4ADA" w:rsidP="004E2053">
      <w:pPr>
        <w:pStyle w:val="NormalWeb"/>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A critical difference is that English common law shields a bona fide purchaser without notice while in civil law, enforcement could be undertaken against that third party once it is shown that the transaction was at an undervalue. </w:t>
      </w: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5F505EC0" w14:textId="07C75052" w:rsidR="001E1C34" w:rsidRPr="00AB63DE" w:rsidRDefault="001E1C34" w:rsidP="004535EA">
      <w:pPr>
        <w:jc w:val="both"/>
        <w:rPr>
          <w:rFonts w:ascii="Avenir Next" w:hAnsi="Avenir Next" w:cs="Arial"/>
          <w:color w:val="808080" w:themeColor="background1" w:themeShade="80"/>
          <w:sz w:val="22"/>
          <w:szCs w:val="22"/>
          <w:lang w:val="en-GB"/>
        </w:rPr>
      </w:pPr>
    </w:p>
    <w:p w14:paraId="4B38DBAD" w14:textId="735D6E06" w:rsidR="001E1C34" w:rsidRPr="004535EA" w:rsidRDefault="004535EA" w:rsidP="00692852">
      <w:pPr>
        <w:jc w:val="both"/>
        <w:rPr>
          <w:rFonts w:ascii="Avenir Next" w:hAnsi="Avenir Next" w:cs="Arial"/>
          <w:color w:val="0070C0"/>
          <w:sz w:val="22"/>
          <w:szCs w:val="22"/>
        </w:rPr>
      </w:pPr>
      <w:r w:rsidRPr="004535EA">
        <w:rPr>
          <w:rFonts w:ascii="Avenir Next" w:hAnsi="Avenir Next" w:cs="Arial"/>
          <w:color w:val="0070C0"/>
          <w:sz w:val="22"/>
          <w:szCs w:val="22"/>
        </w:rPr>
        <w:t>This definition is perceived to have limitations due to the following:</w:t>
      </w:r>
    </w:p>
    <w:p w14:paraId="6252DCC1" w14:textId="1FEBCCA1" w:rsidR="004535EA" w:rsidRPr="004535EA" w:rsidRDefault="004535EA" w:rsidP="00692852">
      <w:pPr>
        <w:jc w:val="both"/>
        <w:rPr>
          <w:rFonts w:ascii="Avenir Next" w:hAnsi="Avenir Next" w:cs="Arial"/>
          <w:color w:val="0070C0"/>
          <w:sz w:val="22"/>
          <w:szCs w:val="22"/>
        </w:rPr>
      </w:pPr>
    </w:p>
    <w:p w14:paraId="67F07A43" w14:textId="5E902284" w:rsidR="004535EA" w:rsidRPr="004535EA" w:rsidRDefault="004535EA" w:rsidP="004535EA">
      <w:pPr>
        <w:pStyle w:val="ListParagraph"/>
        <w:numPr>
          <w:ilvl w:val="0"/>
          <w:numId w:val="32"/>
        </w:numPr>
        <w:jc w:val="both"/>
        <w:rPr>
          <w:rFonts w:ascii="Avenir Next" w:hAnsi="Avenir Next" w:cs="Arial"/>
          <w:sz w:val="22"/>
          <w:szCs w:val="22"/>
        </w:rPr>
      </w:pPr>
      <w:r w:rsidRPr="004535EA">
        <w:rPr>
          <w:rFonts w:ascii="Avenir Next" w:hAnsi="Avenir Next" w:cs="Arial"/>
          <w:color w:val="0070C0"/>
          <w:sz w:val="22"/>
          <w:szCs w:val="22"/>
        </w:rPr>
        <w:t>International insolvency law is extremely difficult to navigate since there are varying legal structures which deal with insolvency matters domestically. Those structures are far from uniform with the result that there is no central body of international law which can be properly said to constitute international insolvency law. While there are common principles, namely that the assets of an insolvent entity are to be preserved for the collective benefit of creditors, the practical distribution of those assets and the procedure governing same are, for the most part, domestic. There are no international rules adopted by countries to deal with this issue</w:t>
      </w:r>
      <w:r>
        <w:rPr>
          <w:rFonts w:ascii="Avenir Next" w:hAnsi="Avenir Next" w:cs="Arial"/>
          <w:color w:val="0070C0"/>
          <w:sz w:val="22"/>
          <w:szCs w:val="22"/>
        </w:rPr>
        <w:t>.</w:t>
      </w:r>
    </w:p>
    <w:p w14:paraId="5A88F9FE" w14:textId="5A4D8B83" w:rsidR="004535EA" w:rsidRDefault="004535EA" w:rsidP="004535EA">
      <w:pPr>
        <w:jc w:val="both"/>
        <w:rPr>
          <w:rFonts w:ascii="Avenir Next" w:hAnsi="Avenir Next" w:cs="Arial"/>
          <w:sz w:val="22"/>
          <w:szCs w:val="22"/>
        </w:rPr>
      </w:pPr>
    </w:p>
    <w:p w14:paraId="6BEE03A5" w14:textId="562A6015" w:rsidR="004535EA" w:rsidRPr="005D0B76" w:rsidRDefault="004535EA" w:rsidP="004535EA">
      <w:pPr>
        <w:pStyle w:val="ListParagraph"/>
        <w:numPr>
          <w:ilvl w:val="0"/>
          <w:numId w:val="32"/>
        </w:numPr>
        <w:jc w:val="both"/>
        <w:rPr>
          <w:rFonts w:ascii="Avenir Next" w:hAnsi="Avenir Next" w:cs="Arial"/>
          <w:color w:val="0070C0"/>
          <w:sz w:val="22"/>
          <w:szCs w:val="22"/>
        </w:rPr>
      </w:pPr>
      <w:r w:rsidRPr="005D0B76">
        <w:rPr>
          <w:rFonts w:ascii="Avenir Next" w:hAnsi="Avenir Next" w:cs="Arial"/>
          <w:color w:val="0070C0"/>
          <w:sz w:val="22"/>
          <w:szCs w:val="22"/>
        </w:rPr>
        <w:t xml:space="preserve">The latter statement that the applicable law cannot be executed immediately without consideration being given to the international aspect of a case is not reflective of the current system. One of the gaps in international insolvency law is the lack of comprehensive rules dealing concurrent proceedings. While a domestic </w:t>
      </w:r>
      <w:r w:rsidRPr="005D0B76">
        <w:rPr>
          <w:rFonts w:ascii="Avenir Next" w:hAnsi="Avenir Next" w:cs="Arial"/>
          <w:color w:val="0070C0"/>
          <w:sz w:val="22"/>
          <w:szCs w:val="22"/>
        </w:rPr>
        <w:lastRenderedPageBreak/>
        <w:t>court dealing with a cross border will, usually as a matter of judicial comity, have regard to foreign proceeding</w:t>
      </w:r>
      <w:r w:rsidR="005D0B76" w:rsidRPr="005D0B76">
        <w:rPr>
          <w:rFonts w:ascii="Avenir Next" w:hAnsi="Avenir Next" w:cs="Arial"/>
          <w:color w:val="0070C0"/>
          <w:sz w:val="22"/>
          <w:szCs w:val="22"/>
        </w:rPr>
        <w:t xml:space="preserve"> with a view to avoiding conflicting decision, that comity has to give way to the actual law governing the process. This may mean that, at times, conflicting decisions are rendered. Based on the definition above this ought not to happen. However, the absence of agreed and comprehensive rules dealing with cross border insolvency such decisions will continue to occur.</w:t>
      </w:r>
    </w:p>
    <w:p w14:paraId="60E50524" w14:textId="77777777" w:rsidR="005D0B76" w:rsidRPr="005D0B76" w:rsidRDefault="005D0B76" w:rsidP="005D0B76">
      <w:pPr>
        <w:pStyle w:val="ListParagraph"/>
        <w:rPr>
          <w:rFonts w:ascii="Avenir Next" w:hAnsi="Avenir Next" w:cs="Arial"/>
          <w:color w:val="0070C0"/>
          <w:sz w:val="22"/>
          <w:szCs w:val="22"/>
        </w:rPr>
      </w:pPr>
    </w:p>
    <w:p w14:paraId="32B4E5EA" w14:textId="2C9DD7EA" w:rsidR="005D0B76" w:rsidRPr="005D0B76" w:rsidRDefault="005D0B76" w:rsidP="004535EA">
      <w:pPr>
        <w:pStyle w:val="ListParagraph"/>
        <w:numPr>
          <w:ilvl w:val="0"/>
          <w:numId w:val="32"/>
        </w:numPr>
        <w:jc w:val="both"/>
        <w:rPr>
          <w:rFonts w:ascii="Avenir Next" w:hAnsi="Avenir Next" w:cs="Arial"/>
          <w:color w:val="0070C0"/>
          <w:sz w:val="22"/>
          <w:szCs w:val="22"/>
        </w:rPr>
      </w:pPr>
      <w:r w:rsidRPr="005D0B76">
        <w:rPr>
          <w:rFonts w:ascii="Avenir Next" w:hAnsi="Avenir Next" w:cs="Arial"/>
          <w:color w:val="0070C0"/>
          <w:sz w:val="22"/>
          <w:szCs w:val="22"/>
        </w:rPr>
        <w:t>Further, while it is possible to enforce cross border insolvency measures in various countries, this is usually done under domestic law via common law or private international law. The Model Laws regarding recognition and enforcement of foreign insolvency proceedings have not been universally adopted with the result being a patchwork of regulations rather than a complete system of rules as the definition contemplates.</w:t>
      </w:r>
    </w:p>
    <w:p w14:paraId="0DCF8BFA" w14:textId="77777777" w:rsidR="005D0B76" w:rsidRPr="005D0B76" w:rsidRDefault="005D0B76" w:rsidP="005D0B76">
      <w:pPr>
        <w:pStyle w:val="ListParagraph"/>
        <w:rPr>
          <w:rFonts w:ascii="Avenir Next" w:hAnsi="Avenir Next" w:cs="Arial"/>
          <w:color w:val="0070C0"/>
          <w:sz w:val="22"/>
          <w:szCs w:val="22"/>
        </w:rPr>
      </w:pPr>
    </w:p>
    <w:p w14:paraId="3E70F0B8" w14:textId="1D1F49AB" w:rsidR="005D0B76" w:rsidRPr="005D0B76" w:rsidRDefault="005D0B76" w:rsidP="004535EA">
      <w:pPr>
        <w:pStyle w:val="ListParagraph"/>
        <w:numPr>
          <w:ilvl w:val="0"/>
          <w:numId w:val="32"/>
        </w:numPr>
        <w:jc w:val="both"/>
        <w:rPr>
          <w:rFonts w:ascii="Avenir Next" w:hAnsi="Avenir Next" w:cs="Arial"/>
          <w:color w:val="0070C0"/>
          <w:sz w:val="22"/>
          <w:szCs w:val="22"/>
        </w:rPr>
      </w:pPr>
      <w:r>
        <w:rPr>
          <w:rFonts w:ascii="Avenir Next" w:hAnsi="Avenir Next" w:cs="Arial"/>
          <w:color w:val="0070C0"/>
          <w:sz w:val="22"/>
          <w:szCs w:val="22"/>
        </w:rPr>
        <w:t>For that reason, it may not be correct to say that insolvency proceedings or measures cannot be fully enforced. Invariably, they can; however, the means of doing so are usually complicated and costly.</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C223C89" w14:textId="2493087D" w:rsidR="001D11FA" w:rsidRPr="001D11FA" w:rsidRDefault="001D11FA" w:rsidP="001D11FA">
      <w:pPr>
        <w:widowControl w:val="0"/>
        <w:jc w:val="both"/>
        <w:rPr>
          <w:rFonts w:ascii="Avenir Next" w:hAnsi="Avenir Next" w:cs="Arial"/>
          <w:color w:val="0070C0"/>
          <w:sz w:val="22"/>
          <w:szCs w:val="22"/>
          <w:lang w:val="en-GB"/>
        </w:rPr>
      </w:pPr>
      <w:r w:rsidRPr="001D11FA">
        <w:rPr>
          <w:rFonts w:ascii="Avenir Next" w:hAnsi="Avenir Next" w:cs="Arial"/>
          <w:color w:val="0070C0"/>
          <w:sz w:val="22"/>
          <w:szCs w:val="22"/>
          <w:lang w:val="en-GB"/>
        </w:rPr>
        <w:t xml:space="preserve">Treaties and conventions are undeniably untapped sources for cross border insolvency law </w:t>
      </w:r>
    </w:p>
    <w:p w14:paraId="48795EFC" w14:textId="77777777" w:rsidR="001D11FA" w:rsidRPr="001D11FA" w:rsidRDefault="001D11FA" w:rsidP="001D11FA">
      <w:pPr>
        <w:widowControl w:val="0"/>
        <w:ind w:left="720" w:hanging="720"/>
        <w:jc w:val="both"/>
        <w:rPr>
          <w:rFonts w:ascii="Avenir Next" w:hAnsi="Avenir Next" w:cs="Arial"/>
          <w:color w:val="0070C0"/>
          <w:sz w:val="22"/>
          <w:szCs w:val="22"/>
          <w:lang w:val="en-GB"/>
        </w:rPr>
      </w:pPr>
      <w:r w:rsidRPr="001D11FA">
        <w:rPr>
          <w:rFonts w:ascii="Avenir Next" w:hAnsi="Avenir Next" w:cs="Arial"/>
          <w:color w:val="0070C0"/>
          <w:sz w:val="22"/>
          <w:szCs w:val="22"/>
          <w:lang w:val="en-GB"/>
        </w:rPr>
        <w:t>which by its very nature is highly dependent on the cooperation between states in the</w:t>
      </w:r>
    </w:p>
    <w:p w14:paraId="733DD644" w14:textId="6B83556A" w:rsidR="001D11FA" w:rsidRDefault="001D11FA" w:rsidP="001D11FA">
      <w:pPr>
        <w:widowControl w:val="0"/>
        <w:jc w:val="both"/>
        <w:rPr>
          <w:rFonts w:ascii="Avenir Next" w:hAnsi="Avenir Next" w:cs="Arial"/>
          <w:color w:val="0070C0"/>
          <w:sz w:val="22"/>
          <w:szCs w:val="22"/>
          <w:lang w:val="en-GB"/>
        </w:rPr>
      </w:pPr>
      <w:r w:rsidRPr="001D11FA">
        <w:rPr>
          <w:rFonts w:ascii="Avenir Next" w:hAnsi="Avenir Next" w:cs="Arial"/>
          <w:color w:val="0070C0"/>
          <w:sz w:val="22"/>
          <w:szCs w:val="22"/>
          <w:lang w:val="en-GB"/>
        </w:rPr>
        <w:t>insolvency process</w:t>
      </w:r>
      <w:r>
        <w:rPr>
          <w:rFonts w:ascii="Avenir Next" w:hAnsi="Avenir Next" w:cs="Arial"/>
          <w:color w:val="0070C0"/>
          <w:sz w:val="22"/>
          <w:szCs w:val="22"/>
          <w:lang w:val="en-GB"/>
        </w:rPr>
        <w:t>. Treaties and convention are arguable best placed achieve important goals in cross border insolvency, namely, (1</w:t>
      </w:r>
      <w:r w:rsidR="00AB1094">
        <w:rPr>
          <w:rFonts w:ascii="Avenir Next" w:hAnsi="Avenir Next" w:cs="Arial"/>
          <w:color w:val="0070C0"/>
          <w:sz w:val="22"/>
          <w:szCs w:val="22"/>
          <w:lang w:val="en-GB"/>
        </w:rPr>
        <w:t>) uniformity</w:t>
      </w:r>
      <w:r>
        <w:rPr>
          <w:rFonts w:ascii="Avenir Next" w:hAnsi="Avenir Next" w:cs="Arial"/>
          <w:color w:val="0070C0"/>
          <w:sz w:val="22"/>
          <w:szCs w:val="22"/>
          <w:lang w:val="en-GB"/>
        </w:rPr>
        <w:t xml:space="preserve"> in procedure for </w:t>
      </w:r>
      <w:r w:rsidR="00AB1094">
        <w:rPr>
          <w:rFonts w:ascii="Avenir Next" w:hAnsi="Avenir Next" w:cs="Arial"/>
          <w:color w:val="0070C0"/>
          <w:sz w:val="22"/>
          <w:szCs w:val="22"/>
          <w:lang w:val="en-GB"/>
        </w:rPr>
        <w:t>commencement</w:t>
      </w:r>
      <w:r>
        <w:rPr>
          <w:rFonts w:ascii="Avenir Next" w:hAnsi="Avenir Next" w:cs="Arial"/>
          <w:color w:val="0070C0"/>
          <w:sz w:val="22"/>
          <w:szCs w:val="22"/>
          <w:lang w:val="en-GB"/>
        </w:rPr>
        <w:t xml:space="preserve"> and recognition of insolvency proceedings, wherever commenced; (2) fair distribution of assets for the benefit of as many creditors as possible; and (3) avoidance of the duplication of proceedings. </w:t>
      </w:r>
      <w:r w:rsidR="00AB1094">
        <w:rPr>
          <w:rFonts w:ascii="Avenir Next" w:hAnsi="Avenir Next" w:cs="Arial"/>
          <w:color w:val="0070C0"/>
          <w:sz w:val="22"/>
          <w:szCs w:val="22"/>
          <w:lang w:val="en-GB"/>
        </w:rPr>
        <w:t xml:space="preserve"> These goals are becoming increasingly important given the globalised nature of commerce.</w:t>
      </w:r>
    </w:p>
    <w:p w14:paraId="2870A19F" w14:textId="03F509A3" w:rsidR="00AB1094" w:rsidRDefault="00AB1094" w:rsidP="001D11FA">
      <w:pPr>
        <w:widowControl w:val="0"/>
        <w:jc w:val="both"/>
        <w:rPr>
          <w:rFonts w:ascii="Avenir Next" w:hAnsi="Avenir Next" w:cs="Arial"/>
          <w:color w:val="0070C0"/>
          <w:sz w:val="22"/>
          <w:szCs w:val="22"/>
          <w:lang w:val="en-GB"/>
        </w:rPr>
      </w:pPr>
    </w:p>
    <w:p w14:paraId="43B64D1A" w14:textId="7524AB03" w:rsidR="00BE1573" w:rsidRDefault="00AB1094" w:rsidP="001D11FA">
      <w:pPr>
        <w:widowControl w:val="0"/>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While many attempts have been made by varying states to formalise cross border insolvency treaties dealing with a wide variety of issues, arguably, the most successful have been the Nordic Convention of 1933, the Montevideo treaties of 1889 and 1940. </w:t>
      </w:r>
    </w:p>
    <w:p w14:paraId="1AC17FF0" w14:textId="0C55D8C2" w:rsidR="00BE1573" w:rsidRDefault="00BE1573" w:rsidP="001D11FA">
      <w:pPr>
        <w:widowControl w:val="0"/>
        <w:jc w:val="both"/>
        <w:rPr>
          <w:rFonts w:ascii="Avenir Next" w:hAnsi="Avenir Next" w:cs="Arial"/>
          <w:color w:val="0070C0"/>
          <w:sz w:val="22"/>
          <w:szCs w:val="22"/>
          <w:lang w:val="en-GB"/>
        </w:rPr>
      </w:pPr>
    </w:p>
    <w:p w14:paraId="022B9721" w14:textId="3B8F92E9" w:rsidR="00BE1573" w:rsidRDefault="00BE1573" w:rsidP="001D11FA">
      <w:pPr>
        <w:widowControl w:val="0"/>
        <w:jc w:val="both"/>
        <w:rPr>
          <w:rFonts w:ascii="Avenir Next" w:hAnsi="Avenir Next" w:cs="Arial"/>
          <w:color w:val="0070C0"/>
          <w:sz w:val="22"/>
          <w:szCs w:val="22"/>
          <w:lang w:val="en-GB"/>
        </w:rPr>
      </w:pPr>
      <w:r>
        <w:rPr>
          <w:rFonts w:ascii="Avenir Next" w:hAnsi="Avenir Next" w:cs="Arial"/>
          <w:color w:val="0070C0"/>
          <w:sz w:val="22"/>
          <w:szCs w:val="22"/>
          <w:lang w:val="en-GB"/>
        </w:rPr>
        <w:t>It is immediately apparent why these groups of countries have been able to negotiate and implement cross border insolvency treaties over such a long period of time:</w:t>
      </w:r>
    </w:p>
    <w:p w14:paraId="2C09784D" w14:textId="0258FA51" w:rsidR="00BE1573" w:rsidRDefault="00BE1573" w:rsidP="001D11FA">
      <w:pPr>
        <w:widowControl w:val="0"/>
        <w:jc w:val="both"/>
        <w:rPr>
          <w:rFonts w:ascii="Avenir Next" w:hAnsi="Avenir Next" w:cs="Arial"/>
          <w:color w:val="0070C0"/>
          <w:sz w:val="22"/>
          <w:szCs w:val="22"/>
          <w:lang w:val="en-GB"/>
        </w:rPr>
      </w:pPr>
    </w:p>
    <w:p w14:paraId="2A87AED3" w14:textId="5A3493E0" w:rsidR="00BE1573" w:rsidRDefault="00BE1573" w:rsidP="00BE1573">
      <w:pPr>
        <w:pStyle w:val="ListParagraph"/>
        <w:widowControl w:val="0"/>
        <w:numPr>
          <w:ilvl w:val="0"/>
          <w:numId w:val="30"/>
        </w:numPr>
        <w:jc w:val="both"/>
        <w:rPr>
          <w:rFonts w:ascii="Avenir Next" w:hAnsi="Avenir Next" w:cs="Arial"/>
          <w:color w:val="0070C0"/>
          <w:sz w:val="22"/>
          <w:szCs w:val="22"/>
          <w:lang w:val="en-GB"/>
        </w:rPr>
      </w:pPr>
      <w:r>
        <w:rPr>
          <w:rFonts w:ascii="Avenir Next" w:hAnsi="Avenir Next" w:cs="Arial"/>
          <w:color w:val="0070C0"/>
          <w:sz w:val="22"/>
          <w:szCs w:val="22"/>
          <w:lang w:val="en-GB"/>
        </w:rPr>
        <w:t>All of the countries come from the civil law tradition. The laws of civil law countries have historically been much more codified than those found in the English common law tradition;</w:t>
      </w:r>
    </w:p>
    <w:p w14:paraId="2E19CB8C" w14:textId="68175C0E" w:rsidR="00BE1573" w:rsidRDefault="00BE1573" w:rsidP="00BE1573">
      <w:pPr>
        <w:pStyle w:val="ListParagraph"/>
        <w:widowControl w:val="0"/>
        <w:numPr>
          <w:ilvl w:val="0"/>
          <w:numId w:val="30"/>
        </w:numPr>
        <w:jc w:val="both"/>
        <w:rPr>
          <w:rFonts w:ascii="Avenir Next" w:hAnsi="Avenir Next" w:cs="Arial"/>
          <w:color w:val="0070C0"/>
          <w:sz w:val="22"/>
          <w:szCs w:val="22"/>
          <w:lang w:val="en-GB"/>
        </w:rPr>
      </w:pPr>
      <w:r>
        <w:rPr>
          <w:rFonts w:ascii="Avenir Next" w:hAnsi="Avenir Next" w:cs="Arial"/>
          <w:color w:val="0070C0"/>
          <w:sz w:val="22"/>
          <w:szCs w:val="22"/>
          <w:lang w:val="en-GB"/>
        </w:rPr>
        <w:t>The said countries are already in political unions to varying degrees and as such there appears to be sufficient confidence in each other’s judicial system;</w:t>
      </w:r>
      <w:r w:rsidR="006025E1">
        <w:rPr>
          <w:rFonts w:ascii="Avenir Next" w:hAnsi="Avenir Next" w:cs="Arial"/>
          <w:color w:val="0070C0"/>
          <w:sz w:val="22"/>
          <w:szCs w:val="22"/>
          <w:lang w:val="en-GB"/>
        </w:rPr>
        <w:t xml:space="preserve"> (See Wood, Philip; Law and Practise of International Finance – Principles of International </w:t>
      </w:r>
      <w:r w:rsidR="006025E1">
        <w:rPr>
          <w:rFonts w:ascii="Avenir Next" w:hAnsi="Avenir Next" w:cs="Arial"/>
          <w:color w:val="0070C0"/>
          <w:sz w:val="22"/>
          <w:szCs w:val="22"/>
          <w:lang w:val="en-GB"/>
        </w:rPr>
        <w:lastRenderedPageBreak/>
        <w:t>Insolvency (1996) at page 293)</w:t>
      </w:r>
    </w:p>
    <w:p w14:paraId="6161A3AD" w14:textId="350C0F27" w:rsidR="00BE1573" w:rsidRDefault="00BE1573" w:rsidP="00BE1573">
      <w:pPr>
        <w:pStyle w:val="ListParagraph"/>
        <w:widowControl w:val="0"/>
        <w:numPr>
          <w:ilvl w:val="0"/>
          <w:numId w:val="30"/>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The signatories to the Montevideo treaties are very culturally similar and have a shared colonial history with Spain which gives them a high degree of uniformity in the first place </w:t>
      </w:r>
    </w:p>
    <w:p w14:paraId="2AAE1712" w14:textId="2B7242AD" w:rsidR="00BE1573" w:rsidRDefault="00BE1573" w:rsidP="00BE1573">
      <w:pPr>
        <w:widowControl w:val="0"/>
        <w:jc w:val="both"/>
        <w:rPr>
          <w:rFonts w:ascii="Avenir Next" w:hAnsi="Avenir Next" w:cs="Arial"/>
          <w:color w:val="0070C0"/>
          <w:sz w:val="22"/>
          <w:szCs w:val="22"/>
          <w:lang w:val="en-GB"/>
        </w:rPr>
      </w:pPr>
    </w:p>
    <w:p w14:paraId="5974C255" w14:textId="342E216A" w:rsidR="00BE1573" w:rsidRDefault="00BE1573" w:rsidP="00BE1573">
      <w:pPr>
        <w:widowControl w:val="0"/>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As has been noted and for the same reasons, it is fair to see that these treaties are more regional than international in nature. It is therefore likely that countries without the shared political and cultural history are much less likely to be able to agree comprehensive cross border insolvency frameworks.  </w:t>
      </w:r>
    </w:p>
    <w:p w14:paraId="68C4B8F8" w14:textId="5DF8FDA6" w:rsidR="00BE1573" w:rsidRDefault="00BE1573" w:rsidP="00BE1573">
      <w:pPr>
        <w:widowControl w:val="0"/>
        <w:jc w:val="both"/>
        <w:rPr>
          <w:rFonts w:ascii="Avenir Next" w:hAnsi="Avenir Next" w:cs="Arial"/>
          <w:color w:val="0070C0"/>
          <w:sz w:val="22"/>
          <w:szCs w:val="22"/>
          <w:lang w:val="en-GB"/>
        </w:rPr>
      </w:pPr>
    </w:p>
    <w:p w14:paraId="3427B74D" w14:textId="4DC32611" w:rsidR="00BE1573" w:rsidRPr="00BE1573" w:rsidRDefault="00BE1573" w:rsidP="00BE1573">
      <w:pPr>
        <w:widowControl w:val="0"/>
        <w:jc w:val="both"/>
        <w:rPr>
          <w:rFonts w:ascii="Avenir Next" w:hAnsi="Avenir Next" w:cs="Arial"/>
          <w:color w:val="0070C0"/>
          <w:sz w:val="22"/>
          <w:szCs w:val="22"/>
          <w:lang w:val="en-GB"/>
        </w:rPr>
      </w:pPr>
      <w:r>
        <w:rPr>
          <w:rFonts w:ascii="Avenir Next" w:hAnsi="Avenir Next" w:cs="Arial"/>
          <w:color w:val="0070C0"/>
          <w:sz w:val="22"/>
          <w:szCs w:val="22"/>
          <w:lang w:val="en-GB"/>
        </w:rPr>
        <w:t>Source</w:t>
      </w:r>
      <w:r w:rsidR="00FB0271">
        <w:rPr>
          <w:rFonts w:ascii="Avenir Next" w:hAnsi="Avenir Next" w:cs="Arial"/>
          <w:color w:val="0070C0"/>
          <w:sz w:val="22"/>
          <w:szCs w:val="22"/>
          <w:lang w:val="en-GB"/>
        </w:rPr>
        <w:t xml:space="preserve">: McKenzie, Donna (1996) “International Solutions to International Insolvency: An Insoluble Problem?” University of Baltimore Law Review: Vol. 26: </w:t>
      </w:r>
      <w:proofErr w:type="spellStart"/>
      <w:r w:rsidR="00FB0271">
        <w:rPr>
          <w:rFonts w:ascii="Avenir Next" w:hAnsi="Avenir Next" w:cs="Arial"/>
          <w:color w:val="0070C0"/>
          <w:sz w:val="22"/>
          <w:szCs w:val="22"/>
          <w:lang w:val="en-GB"/>
        </w:rPr>
        <w:t>Iss</w:t>
      </w:r>
      <w:proofErr w:type="spellEnd"/>
      <w:r w:rsidR="00FB0271">
        <w:rPr>
          <w:rFonts w:ascii="Avenir Next" w:hAnsi="Avenir Next" w:cs="Arial"/>
          <w:color w:val="0070C0"/>
          <w:sz w:val="22"/>
          <w:szCs w:val="22"/>
          <w:lang w:val="en-GB"/>
        </w:rPr>
        <w:t>. 3, Article 4 at pages 24 – 26.</w:t>
      </w:r>
    </w:p>
    <w:p w14:paraId="4BC74F2B" w14:textId="3835111E" w:rsidR="00AB1094" w:rsidRDefault="00AB1094" w:rsidP="001D11FA">
      <w:pPr>
        <w:widowControl w:val="0"/>
        <w:jc w:val="both"/>
        <w:rPr>
          <w:rFonts w:ascii="Avenir Next" w:hAnsi="Avenir Next" w:cs="Arial"/>
          <w:color w:val="0070C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469D4E20" w14:textId="71A55B17" w:rsidR="001E1C34" w:rsidRPr="00AB63DE" w:rsidRDefault="001E1C34" w:rsidP="00873E26">
      <w:pPr>
        <w:jc w:val="both"/>
        <w:rPr>
          <w:rFonts w:ascii="Avenir Next" w:hAnsi="Avenir Next" w:cs="Arial"/>
          <w:color w:val="808080" w:themeColor="background1" w:themeShade="80"/>
          <w:sz w:val="22"/>
          <w:szCs w:val="22"/>
          <w:lang w:val="en-GB"/>
        </w:rPr>
      </w:pPr>
    </w:p>
    <w:p w14:paraId="1A323FEB" w14:textId="77777777" w:rsidR="00623C8C" w:rsidRPr="00873E26" w:rsidRDefault="00623C8C" w:rsidP="00692852">
      <w:pPr>
        <w:jc w:val="both"/>
        <w:rPr>
          <w:rFonts w:ascii="Avenir Next" w:hAnsi="Avenir Next" w:cs="Arial"/>
          <w:color w:val="0070C0"/>
          <w:sz w:val="22"/>
          <w:szCs w:val="22"/>
          <w:lang w:val="en-GB"/>
        </w:rPr>
      </w:pPr>
      <w:r w:rsidRPr="00873E26">
        <w:rPr>
          <w:rFonts w:ascii="Avenir Next" w:hAnsi="Avenir Next" w:cs="Arial"/>
          <w:color w:val="0070C0"/>
          <w:sz w:val="22"/>
          <w:szCs w:val="22"/>
          <w:lang w:val="en-GB"/>
        </w:rPr>
        <w:t>The main differences between “formal” insolvency proceedings and “informal insolvency arrangements are as follows:</w:t>
      </w:r>
    </w:p>
    <w:p w14:paraId="4413E652" w14:textId="77777777" w:rsidR="00623C8C" w:rsidRPr="00873E26" w:rsidRDefault="00623C8C" w:rsidP="00692852">
      <w:pPr>
        <w:jc w:val="both"/>
        <w:rPr>
          <w:rFonts w:ascii="Avenir Next" w:hAnsi="Avenir Next" w:cs="Arial"/>
          <w:color w:val="0070C0"/>
          <w:sz w:val="22"/>
          <w:szCs w:val="22"/>
          <w:lang w:val="en-GB"/>
        </w:rPr>
      </w:pPr>
    </w:p>
    <w:p w14:paraId="7CBF012E" w14:textId="43314EF1" w:rsidR="001E1C34" w:rsidRPr="00873E26" w:rsidRDefault="00623C8C" w:rsidP="00623C8C">
      <w:pPr>
        <w:pStyle w:val="ListParagraph"/>
        <w:numPr>
          <w:ilvl w:val="0"/>
          <w:numId w:val="28"/>
        </w:numPr>
        <w:jc w:val="both"/>
        <w:rPr>
          <w:rFonts w:ascii="Avenir Next" w:hAnsi="Avenir Next" w:cs="Arial"/>
          <w:color w:val="0070C0"/>
          <w:sz w:val="22"/>
          <w:szCs w:val="22"/>
          <w:lang w:val="en-GB"/>
        </w:rPr>
      </w:pPr>
      <w:r w:rsidRPr="00873E26">
        <w:rPr>
          <w:rFonts w:ascii="Avenir Next" w:hAnsi="Avenir Next" w:cs="Arial"/>
          <w:color w:val="0070C0"/>
          <w:sz w:val="22"/>
          <w:szCs w:val="22"/>
          <w:lang w:val="en-GB"/>
        </w:rPr>
        <w:t xml:space="preserve">In informal insolvency proceedings, the debtor entity has the opportunity to meet and agree </w:t>
      </w:r>
      <w:r w:rsidR="00873E26" w:rsidRPr="00873E26">
        <w:rPr>
          <w:rFonts w:ascii="Avenir Next" w:hAnsi="Avenir Next" w:cs="Arial"/>
          <w:color w:val="0070C0"/>
          <w:sz w:val="22"/>
          <w:szCs w:val="22"/>
          <w:lang w:val="en-GB"/>
        </w:rPr>
        <w:t>repayment obligations</w:t>
      </w:r>
      <w:r w:rsidRPr="00873E26">
        <w:rPr>
          <w:rFonts w:ascii="Avenir Next" w:hAnsi="Avenir Next" w:cs="Arial"/>
          <w:color w:val="0070C0"/>
          <w:sz w:val="22"/>
          <w:szCs w:val="22"/>
          <w:lang w:val="en-GB"/>
        </w:rPr>
        <w:t xml:space="preserve"> with individual creditors</w:t>
      </w:r>
      <w:r w:rsidR="00873E26" w:rsidRPr="00873E26">
        <w:rPr>
          <w:rFonts w:ascii="Avenir Next" w:hAnsi="Avenir Next" w:cs="Arial"/>
          <w:color w:val="0070C0"/>
          <w:sz w:val="22"/>
          <w:szCs w:val="22"/>
          <w:lang w:val="en-GB"/>
        </w:rPr>
        <w:t xml:space="preserve"> without judicial oversight. These arrangements are contractual and do not require the consent or approval of anyone other than the creditors and the debtor entity. </w:t>
      </w:r>
      <w:r w:rsidRPr="00873E26">
        <w:rPr>
          <w:rFonts w:ascii="Avenir Next" w:hAnsi="Avenir Next" w:cs="Arial"/>
          <w:color w:val="0070C0"/>
          <w:sz w:val="22"/>
          <w:szCs w:val="22"/>
          <w:lang w:val="en-GB"/>
        </w:rPr>
        <w:t xml:space="preserve"> This is not usually the </w:t>
      </w:r>
      <w:r w:rsidR="00873E26" w:rsidRPr="00873E26">
        <w:rPr>
          <w:rFonts w:ascii="Avenir Next" w:hAnsi="Avenir Next" w:cs="Arial"/>
          <w:color w:val="0070C0"/>
          <w:sz w:val="22"/>
          <w:szCs w:val="22"/>
          <w:lang w:val="en-GB"/>
        </w:rPr>
        <w:t xml:space="preserve">case in formal insolvency proceedings where the applicable legal rules set out how the arrangements between creditors and the debtor entity are to be conducted. Further </w:t>
      </w:r>
      <w:r w:rsidR="00873E26" w:rsidRPr="00873E26">
        <w:rPr>
          <w:rFonts w:ascii="Avenir Next" w:hAnsi="Avenir Next" w:cs="Arial"/>
          <w:color w:val="0070C0"/>
          <w:sz w:val="22"/>
          <w:szCs w:val="22"/>
          <w:lang w:val="en-GB"/>
        </w:rPr>
        <w:lastRenderedPageBreak/>
        <w:t>any arrangements in those circumstances have to be approved by the Court having conduct of the insolvency proceedings unless otherwise stated.</w:t>
      </w:r>
      <w:r w:rsidR="001D38BE">
        <w:rPr>
          <w:rFonts w:ascii="Avenir Next" w:hAnsi="Avenir Next" w:cs="Arial"/>
          <w:color w:val="0070C0"/>
          <w:sz w:val="22"/>
          <w:szCs w:val="22"/>
          <w:lang w:val="en-GB"/>
        </w:rPr>
        <w:t xml:space="preserve"> </w:t>
      </w:r>
    </w:p>
    <w:p w14:paraId="3258007C" w14:textId="77777777" w:rsidR="00873E26" w:rsidRPr="00873E26" w:rsidRDefault="00873E26" w:rsidP="00873E26">
      <w:pPr>
        <w:pStyle w:val="ListParagraph"/>
        <w:jc w:val="both"/>
        <w:rPr>
          <w:rFonts w:ascii="Avenir Next" w:hAnsi="Avenir Next" w:cs="Arial"/>
          <w:color w:val="0070C0"/>
          <w:sz w:val="22"/>
          <w:szCs w:val="22"/>
          <w:lang w:val="en-GB"/>
        </w:rPr>
      </w:pPr>
    </w:p>
    <w:p w14:paraId="4144774E" w14:textId="6B239426" w:rsidR="00873E26" w:rsidRDefault="00873E26" w:rsidP="00623C8C">
      <w:pPr>
        <w:pStyle w:val="ListParagraph"/>
        <w:numPr>
          <w:ilvl w:val="0"/>
          <w:numId w:val="28"/>
        </w:numPr>
        <w:jc w:val="both"/>
        <w:rPr>
          <w:rFonts w:ascii="Avenir Next" w:hAnsi="Avenir Next" w:cs="Arial"/>
          <w:color w:val="0070C0"/>
          <w:sz w:val="22"/>
          <w:szCs w:val="22"/>
          <w:lang w:val="en-GB"/>
        </w:rPr>
      </w:pPr>
      <w:r w:rsidRPr="00873E26">
        <w:rPr>
          <w:rFonts w:ascii="Avenir Next" w:hAnsi="Avenir Next" w:cs="Arial"/>
          <w:color w:val="0070C0"/>
          <w:sz w:val="22"/>
          <w:szCs w:val="22"/>
          <w:lang w:val="en-GB"/>
        </w:rPr>
        <w:t xml:space="preserve">Informal </w:t>
      </w:r>
      <w:r>
        <w:rPr>
          <w:rFonts w:ascii="Avenir Next" w:hAnsi="Avenir Next" w:cs="Arial"/>
          <w:color w:val="0070C0"/>
          <w:sz w:val="22"/>
          <w:szCs w:val="22"/>
          <w:lang w:val="en-GB"/>
        </w:rPr>
        <w:t>insolvency arrangements can be used to arrest financial issues early whereas by the time formal insolvency proceedings are instituted, the debtor entity is already in a legal position where it cannot meet its debts as they fall due</w:t>
      </w:r>
      <w:r w:rsidR="003B28D6">
        <w:rPr>
          <w:rFonts w:ascii="Avenir Next" w:hAnsi="Avenir Next" w:cs="Arial"/>
          <w:color w:val="0070C0"/>
          <w:sz w:val="22"/>
          <w:szCs w:val="22"/>
          <w:lang w:val="en-GB"/>
        </w:rPr>
        <w:t>.</w:t>
      </w:r>
    </w:p>
    <w:p w14:paraId="051B2C33" w14:textId="77777777" w:rsidR="00534EEF" w:rsidRPr="00534EEF" w:rsidRDefault="00534EEF" w:rsidP="00534EEF">
      <w:pPr>
        <w:pStyle w:val="ListParagraph"/>
        <w:rPr>
          <w:rFonts w:ascii="Avenir Next" w:hAnsi="Avenir Next" w:cs="Arial"/>
          <w:color w:val="0070C0"/>
          <w:sz w:val="22"/>
          <w:szCs w:val="22"/>
          <w:lang w:val="en-GB"/>
        </w:rPr>
      </w:pPr>
    </w:p>
    <w:p w14:paraId="4EF76CF1" w14:textId="5BE22149" w:rsidR="00534EEF" w:rsidRDefault="00534EEF" w:rsidP="00623C8C">
      <w:pPr>
        <w:pStyle w:val="ListParagraph"/>
        <w:numPr>
          <w:ilvl w:val="0"/>
          <w:numId w:val="28"/>
        </w:numPr>
        <w:jc w:val="both"/>
        <w:rPr>
          <w:rFonts w:ascii="Avenir Next" w:hAnsi="Avenir Next" w:cs="Arial"/>
          <w:color w:val="0070C0"/>
          <w:sz w:val="22"/>
          <w:szCs w:val="22"/>
          <w:lang w:val="en-GB"/>
        </w:rPr>
      </w:pPr>
      <w:r>
        <w:rPr>
          <w:rFonts w:ascii="Avenir Next" w:hAnsi="Avenir Next" w:cs="Arial"/>
          <w:color w:val="0070C0"/>
          <w:sz w:val="22"/>
          <w:szCs w:val="22"/>
          <w:lang w:val="en-GB"/>
        </w:rPr>
        <w:t>Unlike formal insolvency proceedings, there is no automatic stay and individual creditors are still allowed to commence proceedings against FPPL individually if they so wish</w:t>
      </w:r>
    </w:p>
    <w:p w14:paraId="5434FC8F" w14:textId="77777777" w:rsidR="00873E26" w:rsidRPr="00873E26" w:rsidRDefault="00873E26" w:rsidP="00873E26">
      <w:pPr>
        <w:pStyle w:val="ListParagraph"/>
        <w:rPr>
          <w:rFonts w:ascii="Avenir Next" w:hAnsi="Avenir Next" w:cs="Arial"/>
          <w:color w:val="0070C0"/>
          <w:sz w:val="22"/>
          <w:szCs w:val="22"/>
          <w:lang w:val="en-GB"/>
        </w:rPr>
      </w:pPr>
    </w:p>
    <w:p w14:paraId="31D85B58" w14:textId="1E364260" w:rsidR="00873E26" w:rsidRDefault="00873E26" w:rsidP="00873E26">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The </w:t>
      </w:r>
      <w:r w:rsidR="003B28D6">
        <w:rPr>
          <w:rFonts w:ascii="Avenir Next" w:hAnsi="Avenir Next" w:cs="Arial"/>
          <w:color w:val="0070C0"/>
          <w:sz w:val="22"/>
          <w:szCs w:val="22"/>
          <w:lang w:val="en-GB"/>
        </w:rPr>
        <w:t xml:space="preserve">key </w:t>
      </w:r>
      <w:r>
        <w:rPr>
          <w:rFonts w:ascii="Avenir Next" w:hAnsi="Avenir Next" w:cs="Arial"/>
          <w:color w:val="0070C0"/>
          <w:sz w:val="22"/>
          <w:szCs w:val="22"/>
          <w:lang w:val="en-GB"/>
        </w:rPr>
        <w:t>advantages</w:t>
      </w:r>
      <w:r w:rsidR="003B28D6">
        <w:rPr>
          <w:rFonts w:ascii="Avenir Next" w:hAnsi="Avenir Next" w:cs="Arial"/>
          <w:color w:val="0070C0"/>
          <w:sz w:val="22"/>
          <w:szCs w:val="22"/>
          <w:lang w:val="en-GB"/>
        </w:rPr>
        <w:t xml:space="preserve"> and disadvantages</w:t>
      </w:r>
      <w:r>
        <w:rPr>
          <w:rFonts w:ascii="Avenir Next" w:hAnsi="Avenir Next" w:cs="Arial"/>
          <w:color w:val="0070C0"/>
          <w:sz w:val="22"/>
          <w:szCs w:val="22"/>
          <w:lang w:val="en-GB"/>
        </w:rPr>
        <w:t xml:space="preserve"> that Lobo should consider in deciding whether to enter into informal insolvency arrangements with FPPL are as follows:</w:t>
      </w:r>
    </w:p>
    <w:p w14:paraId="1325ACCA" w14:textId="276285A5" w:rsidR="00873E26" w:rsidRDefault="00873E26" w:rsidP="00873E26">
      <w:pPr>
        <w:jc w:val="both"/>
        <w:rPr>
          <w:rFonts w:ascii="Avenir Next" w:hAnsi="Avenir Next" w:cs="Arial"/>
          <w:color w:val="0070C0"/>
          <w:sz w:val="22"/>
          <w:szCs w:val="22"/>
          <w:lang w:val="en-GB"/>
        </w:rPr>
      </w:pPr>
    </w:p>
    <w:p w14:paraId="09ADD0A1" w14:textId="741F64D3" w:rsidR="00873E26" w:rsidRDefault="00873E26" w:rsidP="00873E26">
      <w:pPr>
        <w:pStyle w:val="ListParagraph"/>
        <w:numPr>
          <w:ilvl w:val="0"/>
          <w:numId w:val="29"/>
        </w:numPr>
        <w:jc w:val="both"/>
        <w:rPr>
          <w:rFonts w:ascii="Avenir Next" w:hAnsi="Avenir Next" w:cs="Arial"/>
          <w:color w:val="0070C0"/>
          <w:sz w:val="22"/>
          <w:szCs w:val="22"/>
          <w:lang w:val="en-GB"/>
        </w:rPr>
      </w:pPr>
      <w:r>
        <w:rPr>
          <w:rFonts w:ascii="Avenir Next" w:hAnsi="Avenir Next" w:cs="Arial"/>
          <w:color w:val="0070C0"/>
          <w:sz w:val="22"/>
          <w:szCs w:val="22"/>
          <w:lang w:val="en-GB"/>
        </w:rPr>
        <w:t>If an agreement can be reached as to the settlement of FPPL’s debts then out of court arrangements are likely to result in FPPL’s Asgard’s operations being put on track to normalcy. This would allow FPPL to meet any current and future indebtedness to Lobo</w:t>
      </w:r>
      <w:r w:rsidR="003B28D6">
        <w:rPr>
          <w:rFonts w:ascii="Avenir Next" w:hAnsi="Avenir Next" w:cs="Arial"/>
          <w:color w:val="0070C0"/>
          <w:sz w:val="22"/>
          <w:szCs w:val="22"/>
          <w:lang w:val="en-GB"/>
        </w:rPr>
        <w:t xml:space="preserve">. This is especially the case since FPPL’s Encanto operations are doing quite well. This suggests the issue is not necessarily an operation issue and is likely an issue of cash flow since the underlying business may be viable. </w:t>
      </w:r>
    </w:p>
    <w:p w14:paraId="17D9D74B" w14:textId="77777777" w:rsidR="00873E26" w:rsidRDefault="00873E26" w:rsidP="00873E26">
      <w:pPr>
        <w:pStyle w:val="ListParagraph"/>
        <w:jc w:val="both"/>
        <w:rPr>
          <w:rFonts w:ascii="Avenir Next" w:hAnsi="Avenir Next" w:cs="Arial"/>
          <w:color w:val="0070C0"/>
          <w:sz w:val="22"/>
          <w:szCs w:val="22"/>
          <w:lang w:val="en-GB"/>
        </w:rPr>
      </w:pPr>
    </w:p>
    <w:p w14:paraId="445698E9" w14:textId="06549F71" w:rsidR="00873E26" w:rsidRDefault="00873E26" w:rsidP="00873E26">
      <w:pPr>
        <w:pStyle w:val="ListParagraph"/>
        <w:numPr>
          <w:ilvl w:val="0"/>
          <w:numId w:val="29"/>
        </w:numPr>
        <w:jc w:val="both"/>
        <w:rPr>
          <w:rFonts w:ascii="Avenir Next" w:hAnsi="Avenir Next" w:cs="Arial"/>
          <w:color w:val="0070C0"/>
          <w:sz w:val="22"/>
          <w:szCs w:val="22"/>
          <w:lang w:val="en-GB"/>
        </w:rPr>
      </w:pPr>
      <w:r>
        <w:rPr>
          <w:rFonts w:ascii="Avenir Next" w:hAnsi="Avenir Next" w:cs="Arial"/>
          <w:color w:val="0070C0"/>
          <w:sz w:val="22"/>
          <w:szCs w:val="22"/>
          <w:lang w:val="en-GB"/>
        </w:rPr>
        <w:t>Out of court arrangements are likely to be less costly and time consuming than formal court supervised insolvency</w:t>
      </w:r>
      <w:r w:rsidR="003B28D6">
        <w:rPr>
          <w:rFonts w:ascii="Avenir Next" w:hAnsi="Avenir Next" w:cs="Arial"/>
          <w:color w:val="0070C0"/>
          <w:sz w:val="22"/>
          <w:szCs w:val="22"/>
          <w:lang w:val="en-GB"/>
        </w:rPr>
        <w:t xml:space="preserve"> which can take years to resolve with a significant portion of the assets being used to settle the costs of the </w:t>
      </w:r>
      <w:r w:rsidR="00F36B81">
        <w:rPr>
          <w:rFonts w:ascii="Avenir Next" w:hAnsi="Avenir Next" w:cs="Arial"/>
          <w:color w:val="0070C0"/>
          <w:sz w:val="22"/>
          <w:szCs w:val="22"/>
          <w:lang w:val="en-GB"/>
        </w:rPr>
        <w:t>insolvency. Out of court arrangements may also be attractive to Lobo since it would not have to deal with the intricacies of the legal system since FPPL is a multinational company;</w:t>
      </w:r>
    </w:p>
    <w:p w14:paraId="2F1C0C85" w14:textId="77777777" w:rsidR="00873E26" w:rsidRPr="00873E26" w:rsidRDefault="00873E26" w:rsidP="00873E26">
      <w:pPr>
        <w:pStyle w:val="ListParagraph"/>
        <w:rPr>
          <w:rFonts w:ascii="Avenir Next" w:hAnsi="Avenir Next" w:cs="Arial"/>
          <w:color w:val="0070C0"/>
          <w:sz w:val="22"/>
          <w:szCs w:val="22"/>
          <w:lang w:val="en-GB"/>
        </w:rPr>
      </w:pPr>
    </w:p>
    <w:p w14:paraId="47DAC749" w14:textId="35C8380C" w:rsidR="00873E26" w:rsidRDefault="00873E26" w:rsidP="00873E26">
      <w:pPr>
        <w:pStyle w:val="ListParagraph"/>
        <w:numPr>
          <w:ilvl w:val="0"/>
          <w:numId w:val="29"/>
        </w:numPr>
        <w:jc w:val="both"/>
        <w:rPr>
          <w:rFonts w:ascii="Avenir Next" w:hAnsi="Avenir Next" w:cs="Arial"/>
          <w:color w:val="0070C0"/>
          <w:sz w:val="22"/>
          <w:szCs w:val="22"/>
          <w:lang w:val="en-GB"/>
        </w:rPr>
      </w:pPr>
      <w:r>
        <w:rPr>
          <w:rFonts w:ascii="Avenir Next" w:hAnsi="Avenir Next" w:cs="Arial"/>
          <w:color w:val="0070C0"/>
          <w:sz w:val="22"/>
          <w:szCs w:val="22"/>
          <w:lang w:val="en-GB"/>
        </w:rPr>
        <w:t>Lobo is much likelier to</w:t>
      </w:r>
      <w:r w:rsidR="003B28D6">
        <w:rPr>
          <w:rFonts w:ascii="Avenir Next" w:hAnsi="Avenir Next" w:cs="Arial"/>
          <w:color w:val="0070C0"/>
          <w:sz w:val="22"/>
          <w:szCs w:val="22"/>
          <w:lang w:val="en-GB"/>
        </w:rPr>
        <w:t xml:space="preserve"> secure more favourable repayment terms </w:t>
      </w:r>
      <w:r>
        <w:rPr>
          <w:rFonts w:ascii="Avenir Next" w:hAnsi="Avenir Next" w:cs="Arial"/>
          <w:color w:val="0070C0"/>
          <w:sz w:val="22"/>
          <w:szCs w:val="22"/>
          <w:lang w:val="en-GB"/>
        </w:rPr>
        <w:t xml:space="preserve">of the debt owed by FPPL in out of court arrangements than </w:t>
      </w:r>
      <w:r w:rsidR="003B28D6">
        <w:rPr>
          <w:rFonts w:ascii="Avenir Next" w:hAnsi="Avenir Next" w:cs="Arial"/>
          <w:color w:val="0070C0"/>
          <w:sz w:val="22"/>
          <w:szCs w:val="22"/>
          <w:lang w:val="en-GB"/>
        </w:rPr>
        <w:t>in formal insolvency proceedings</w:t>
      </w:r>
      <w:r>
        <w:rPr>
          <w:rFonts w:ascii="Avenir Next" w:hAnsi="Avenir Next" w:cs="Arial"/>
          <w:color w:val="0070C0"/>
          <w:sz w:val="22"/>
          <w:szCs w:val="22"/>
          <w:lang w:val="en-GB"/>
        </w:rPr>
        <w:t xml:space="preserve"> where its interests have to be balanced against that of other creditors</w:t>
      </w:r>
      <w:r w:rsidR="003B28D6">
        <w:rPr>
          <w:rFonts w:ascii="Avenir Next" w:hAnsi="Avenir Next" w:cs="Arial"/>
          <w:color w:val="0070C0"/>
          <w:sz w:val="22"/>
          <w:szCs w:val="22"/>
          <w:lang w:val="en-GB"/>
        </w:rPr>
        <w:t>;</w:t>
      </w:r>
    </w:p>
    <w:p w14:paraId="23294B64" w14:textId="77777777" w:rsidR="003B28D6" w:rsidRPr="003B28D6" w:rsidRDefault="003B28D6" w:rsidP="003B28D6">
      <w:pPr>
        <w:pStyle w:val="ListParagraph"/>
        <w:rPr>
          <w:rFonts w:ascii="Avenir Next" w:hAnsi="Avenir Next" w:cs="Arial"/>
          <w:color w:val="0070C0"/>
          <w:sz w:val="22"/>
          <w:szCs w:val="22"/>
          <w:lang w:val="en-GB"/>
        </w:rPr>
      </w:pPr>
    </w:p>
    <w:p w14:paraId="4A3D0D05" w14:textId="4AAE7068" w:rsidR="003B28D6" w:rsidRPr="00873E26" w:rsidRDefault="003B28D6" w:rsidP="00873E26">
      <w:pPr>
        <w:pStyle w:val="ListParagraph"/>
        <w:numPr>
          <w:ilvl w:val="0"/>
          <w:numId w:val="29"/>
        </w:numPr>
        <w:jc w:val="both"/>
        <w:rPr>
          <w:rFonts w:ascii="Avenir Next" w:hAnsi="Avenir Next" w:cs="Arial"/>
          <w:color w:val="0070C0"/>
          <w:sz w:val="22"/>
          <w:szCs w:val="22"/>
          <w:lang w:val="en-GB"/>
        </w:rPr>
      </w:pPr>
      <w:r>
        <w:rPr>
          <w:rFonts w:ascii="Avenir Next" w:hAnsi="Avenir Next" w:cs="Arial"/>
          <w:color w:val="0070C0"/>
          <w:sz w:val="22"/>
          <w:szCs w:val="22"/>
          <w:lang w:val="en-GB"/>
        </w:rPr>
        <w:t>The success of the out of court arrangement is completely dependent on the agreement of all of FPPL’s creditors. Assuming that Lobo is the largest creditor, then it is likely that other, smaller credits would agree once Lobo agrees to the arrangements. A court process is usually definitive and there is no need for the creditors to agree since decisions as to distribution of assets are vested into the administrator subject to the approval of the court.</w:t>
      </w: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16C41B21" w14:textId="3082BEB5" w:rsidR="001E1C34" w:rsidRPr="00EE5917" w:rsidRDefault="004E1D03" w:rsidP="00EE5917">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 xml:space="preserve">with respect to </w:t>
      </w:r>
      <w:r w:rsidR="00F62000" w:rsidRPr="004216EA">
        <w:rPr>
          <w:rFonts w:ascii="Avenir Next" w:hAnsi="Avenir Next" w:cs="Arial"/>
          <w:sz w:val="22"/>
          <w:szCs w:val="22"/>
          <w:lang w:val="en-GB"/>
        </w:rPr>
        <w:lastRenderedPageBreak/>
        <w:t>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42141CE6" w14:textId="18A57036" w:rsidR="00D617B7" w:rsidRDefault="00D617B7" w:rsidP="001E1C34">
      <w:pPr>
        <w:ind w:left="720" w:hanging="720"/>
        <w:jc w:val="both"/>
        <w:rPr>
          <w:rFonts w:ascii="Avenir Next" w:hAnsi="Avenir Next" w:cs="Arial"/>
          <w:color w:val="808080" w:themeColor="background1" w:themeShade="80"/>
          <w:sz w:val="22"/>
          <w:szCs w:val="22"/>
          <w:lang w:val="en-GB"/>
        </w:rPr>
      </w:pPr>
    </w:p>
    <w:p w14:paraId="1DCE7421" w14:textId="5D44CF00" w:rsidR="00D617B7" w:rsidRDefault="00415BB4" w:rsidP="00415BB4">
      <w:pPr>
        <w:jc w:val="both"/>
        <w:rPr>
          <w:rFonts w:ascii="Avenir Next" w:hAnsi="Avenir Next" w:cs="Arial"/>
          <w:color w:val="0070C0"/>
          <w:sz w:val="22"/>
          <w:szCs w:val="22"/>
          <w:lang w:val="en-GB"/>
        </w:rPr>
      </w:pPr>
      <w:r w:rsidRPr="00415BB4">
        <w:rPr>
          <w:rFonts w:ascii="Avenir Next" w:hAnsi="Avenir Next" w:cs="Arial"/>
          <w:color w:val="0070C0"/>
          <w:sz w:val="22"/>
          <w:szCs w:val="22"/>
          <w:lang w:val="en-GB"/>
        </w:rPr>
        <w:t>Some</w:t>
      </w:r>
      <w:r w:rsidR="00D617B7" w:rsidRPr="00415BB4">
        <w:rPr>
          <w:rFonts w:ascii="Avenir Next" w:hAnsi="Avenir Next" w:cs="Arial"/>
          <w:color w:val="0070C0"/>
          <w:sz w:val="22"/>
          <w:szCs w:val="22"/>
          <w:lang w:val="en-GB"/>
        </w:rPr>
        <w:t xml:space="preserve"> of the chief difficulties that would arise in a situation like that set out above </w:t>
      </w:r>
      <w:r w:rsidRPr="00415BB4">
        <w:rPr>
          <w:rFonts w:ascii="Avenir Next" w:hAnsi="Avenir Next" w:cs="Arial"/>
          <w:color w:val="0070C0"/>
          <w:sz w:val="22"/>
          <w:szCs w:val="22"/>
          <w:lang w:val="en-GB"/>
        </w:rPr>
        <w:t>are as follows</w:t>
      </w:r>
      <w:r>
        <w:rPr>
          <w:rFonts w:ascii="Avenir Next" w:hAnsi="Avenir Next" w:cs="Arial"/>
          <w:color w:val="0070C0"/>
          <w:sz w:val="22"/>
          <w:szCs w:val="22"/>
          <w:lang w:val="en-GB"/>
        </w:rPr>
        <w:t>:</w:t>
      </w:r>
    </w:p>
    <w:p w14:paraId="33C61442" w14:textId="5103F8F9" w:rsidR="00415BB4" w:rsidRDefault="00415BB4" w:rsidP="00415BB4">
      <w:pPr>
        <w:jc w:val="both"/>
        <w:rPr>
          <w:rFonts w:ascii="Avenir Next" w:hAnsi="Avenir Next" w:cs="Arial"/>
          <w:color w:val="0070C0"/>
          <w:sz w:val="22"/>
          <w:szCs w:val="22"/>
          <w:lang w:val="en-GB"/>
        </w:rPr>
      </w:pPr>
    </w:p>
    <w:p w14:paraId="20734FDC" w14:textId="4A39AEFA" w:rsidR="00415BB4" w:rsidRDefault="00415BB4" w:rsidP="00415BB4">
      <w:pPr>
        <w:pStyle w:val="ListParagraph"/>
        <w:numPr>
          <w:ilvl w:val="0"/>
          <w:numId w:val="31"/>
        </w:num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The biggest risk is likely to be that of concurrent proceedings having already sequestrated the assets of FPPL in Encanto. This means that much fewer assets are available for the settlement of outstanding creditor obligations in Asgard. </w:t>
      </w:r>
    </w:p>
    <w:p w14:paraId="21FA95B9" w14:textId="77777777" w:rsidR="00415BB4" w:rsidRDefault="00415BB4" w:rsidP="00415BB4">
      <w:pPr>
        <w:pStyle w:val="ListParagraph"/>
        <w:jc w:val="both"/>
        <w:rPr>
          <w:rFonts w:ascii="Avenir Next" w:hAnsi="Avenir Next" w:cs="Arial"/>
          <w:color w:val="0070C0"/>
          <w:sz w:val="22"/>
          <w:szCs w:val="22"/>
          <w:lang w:val="en-GB"/>
        </w:rPr>
      </w:pPr>
    </w:p>
    <w:p w14:paraId="0BC1FCC2" w14:textId="5BD0DCD2" w:rsidR="00415BB4" w:rsidRDefault="00415BB4" w:rsidP="00415BB4">
      <w:pPr>
        <w:pStyle w:val="ListParagraph"/>
        <w:numPr>
          <w:ilvl w:val="0"/>
          <w:numId w:val="31"/>
        </w:numPr>
        <w:jc w:val="both"/>
        <w:rPr>
          <w:rFonts w:ascii="Avenir Next" w:hAnsi="Avenir Next" w:cs="Arial"/>
          <w:color w:val="0070C0"/>
          <w:sz w:val="22"/>
          <w:szCs w:val="22"/>
          <w:lang w:val="en-GB"/>
        </w:rPr>
      </w:pPr>
      <w:r>
        <w:rPr>
          <w:rFonts w:ascii="Avenir Next" w:hAnsi="Avenir Next" w:cs="Arial"/>
          <w:color w:val="0070C0"/>
          <w:sz w:val="22"/>
          <w:szCs w:val="22"/>
          <w:lang w:val="en-GB"/>
        </w:rPr>
        <w:t>This may possibly lead to a situation where those assets in Asgard are further depleted by the commencement of insolvency proceedings and the associated costs.</w:t>
      </w:r>
    </w:p>
    <w:p w14:paraId="7F8BDDF2" w14:textId="77777777" w:rsidR="00415BB4" w:rsidRPr="00415BB4" w:rsidRDefault="00415BB4" w:rsidP="00415BB4">
      <w:pPr>
        <w:pStyle w:val="ListParagraph"/>
        <w:rPr>
          <w:rFonts w:ascii="Avenir Next" w:hAnsi="Avenir Next" w:cs="Arial"/>
          <w:color w:val="0070C0"/>
          <w:sz w:val="22"/>
          <w:szCs w:val="22"/>
          <w:lang w:val="en-GB"/>
        </w:rPr>
      </w:pPr>
    </w:p>
    <w:p w14:paraId="76B45773" w14:textId="1883CD90" w:rsidR="00415BB4" w:rsidRDefault="00415BB4" w:rsidP="00415BB4">
      <w:pPr>
        <w:pStyle w:val="ListParagraph"/>
        <w:numPr>
          <w:ilvl w:val="0"/>
          <w:numId w:val="31"/>
        </w:numPr>
        <w:jc w:val="both"/>
        <w:rPr>
          <w:rFonts w:ascii="Avenir Next" w:hAnsi="Avenir Next" w:cs="Arial"/>
          <w:color w:val="0070C0"/>
          <w:sz w:val="22"/>
          <w:szCs w:val="22"/>
          <w:lang w:val="en-GB"/>
        </w:rPr>
      </w:pPr>
      <w:r>
        <w:rPr>
          <w:rFonts w:ascii="Avenir Next" w:hAnsi="Avenir Next" w:cs="Arial"/>
          <w:color w:val="0070C0"/>
          <w:sz w:val="22"/>
          <w:szCs w:val="22"/>
          <w:lang w:val="en-GB"/>
        </w:rPr>
        <w:t>There is likely to be a pointed lack of uniformity between the two courts with the result that conflicting decisions as to the entitlement of creditors and the priority of claims which could trigger further disarray in the insolvency process.</w:t>
      </w:r>
    </w:p>
    <w:p w14:paraId="0D208104" w14:textId="77777777" w:rsidR="00EE5917" w:rsidRPr="00EE5917" w:rsidRDefault="00EE5917" w:rsidP="00EE5917">
      <w:pPr>
        <w:pStyle w:val="ListParagraph"/>
        <w:rPr>
          <w:rFonts w:ascii="Avenir Next" w:hAnsi="Avenir Next" w:cs="Arial"/>
          <w:color w:val="0070C0"/>
          <w:sz w:val="22"/>
          <w:szCs w:val="22"/>
          <w:lang w:val="en-GB"/>
        </w:rPr>
      </w:pPr>
    </w:p>
    <w:p w14:paraId="1371BB06" w14:textId="60A4CFD7" w:rsidR="00EE5917" w:rsidRDefault="00EE5917" w:rsidP="00415BB4">
      <w:pPr>
        <w:pStyle w:val="ListParagraph"/>
        <w:numPr>
          <w:ilvl w:val="0"/>
          <w:numId w:val="31"/>
        </w:numPr>
        <w:jc w:val="both"/>
        <w:rPr>
          <w:rFonts w:ascii="Avenir Next" w:hAnsi="Avenir Next" w:cs="Arial"/>
          <w:color w:val="0070C0"/>
          <w:sz w:val="22"/>
          <w:szCs w:val="22"/>
          <w:lang w:val="en-GB"/>
        </w:rPr>
      </w:pPr>
      <w:r>
        <w:rPr>
          <w:rFonts w:ascii="Avenir Next" w:hAnsi="Avenir Next" w:cs="Arial"/>
          <w:color w:val="0070C0"/>
          <w:sz w:val="22"/>
          <w:szCs w:val="22"/>
          <w:lang w:val="en-GB"/>
        </w:rPr>
        <w:t>Issues as to applicable law governing assets of FPPL and the distribution of those assets</w:t>
      </w:r>
    </w:p>
    <w:p w14:paraId="286169E3" w14:textId="77777777" w:rsidR="00415BB4" w:rsidRPr="00415BB4" w:rsidRDefault="00415BB4" w:rsidP="00415BB4">
      <w:pPr>
        <w:pStyle w:val="ListParagraph"/>
        <w:rPr>
          <w:rFonts w:ascii="Avenir Next" w:hAnsi="Avenir Next" w:cs="Arial"/>
          <w:color w:val="0070C0"/>
          <w:sz w:val="22"/>
          <w:szCs w:val="22"/>
          <w:lang w:val="en-GB"/>
        </w:rPr>
      </w:pPr>
    </w:p>
    <w:p w14:paraId="199947BA" w14:textId="4729BD83" w:rsidR="00415BB4" w:rsidRDefault="00415BB4" w:rsidP="00415BB4">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In a situation like this, the main international insolvency instruments that would be available to assist Lobo would be </w:t>
      </w:r>
      <w:r w:rsidR="00EE5917">
        <w:rPr>
          <w:rFonts w:ascii="Avenir Next" w:hAnsi="Avenir Next" w:cs="Arial"/>
          <w:color w:val="0070C0"/>
          <w:sz w:val="22"/>
          <w:szCs w:val="22"/>
          <w:lang w:val="en-GB"/>
        </w:rPr>
        <w:t xml:space="preserve">the UNCITRAL Legislative Guide, particularly paras. 80 – 85. However, a marked draw back of the Legislative Guide is that it does not itself creates rules by which different states seised of insolvency proceedings in relation to the same company, can negotiate the difficulties identified above. Instead, reliance is placed on established rules between nations, in private international law. </w:t>
      </w:r>
    </w:p>
    <w:p w14:paraId="27581E36" w14:textId="7A8BCC5D" w:rsidR="00EE5917" w:rsidRDefault="00EE5917" w:rsidP="00415BB4">
      <w:pPr>
        <w:jc w:val="both"/>
        <w:rPr>
          <w:rFonts w:ascii="Avenir Next" w:hAnsi="Avenir Next" w:cs="Arial"/>
          <w:color w:val="0070C0"/>
          <w:sz w:val="22"/>
          <w:szCs w:val="22"/>
          <w:lang w:val="en-GB"/>
        </w:rPr>
      </w:pPr>
    </w:p>
    <w:p w14:paraId="602C0850" w14:textId="5EE01B2B" w:rsidR="00EE5917" w:rsidRPr="00415BB4" w:rsidRDefault="00EE5917" w:rsidP="00415BB4">
      <w:pPr>
        <w:jc w:val="both"/>
        <w:rPr>
          <w:rFonts w:ascii="Avenir Next" w:hAnsi="Avenir Next" w:cs="Arial"/>
          <w:color w:val="0070C0"/>
          <w:sz w:val="22"/>
          <w:szCs w:val="22"/>
          <w:lang w:val="en-GB"/>
        </w:rPr>
      </w:pPr>
      <w:r>
        <w:rPr>
          <w:rFonts w:ascii="Avenir Next" w:hAnsi="Avenir Next" w:cs="Arial"/>
          <w:color w:val="0070C0"/>
          <w:sz w:val="22"/>
          <w:szCs w:val="22"/>
          <w:lang w:val="en-GB"/>
        </w:rPr>
        <w:t>It is fundamentally important that these rules be developed further since it would go a long in providing legal certainty and clarity in cross border insolvency. It would also make the process less costly and time consuming.</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3789A779" w14:textId="0A9CC926" w:rsidR="00F248A9" w:rsidRDefault="00F248A9" w:rsidP="00F248A9">
      <w:pPr>
        <w:jc w:val="both"/>
        <w:rPr>
          <w:rFonts w:ascii="Avenir Next" w:hAnsi="Avenir Next" w:cs="Arial"/>
          <w:color w:val="0070C0"/>
          <w:sz w:val="22"/>
          <w:szCs w:val="22"/>
          <w:lang w:val="en-GB"/>
        </w:rPr>
      </w:pPr>
      <w:r>
        <w:rPr>
          <w:rFonts w:ascii="Avenir Next" w:hAnsi="Avenir Next" w:cs="Arial"/>
          <w:color w:val="0070C0"/>
          <w:sz w:val="22"/>
          <w:szCs w:val="22"/>
          <w:lang w:val="en-GB"/>
        </w:rPr>
        <w:t>It is noted that the insolvency proceedings in the UK were commenced on 30 June 2022.</w:t>
      </w:r>
      <w:r>
        <w:rPr>
          <w:rFonts w:ascii="Avenir Next" w:hAnsi="Avenir Next" w:cs="Arial"/>
          <w:color w:val="0070C0"/>
          <w:sz w:val="22"/>
          <w:szCs w:val="22"/>
          <w:lang w:val="en-GB"/>
        </w:rPr>
        <w:t xml:space="preserve"> In light of that, the European Insolvency Regulation Recast would not apply to the UK </w:t>
      </w:r>
      <w:r>
        <w:rPr>
          <w:rFonts w:ascii="Avenir Next" w:hAnsi="Avenir Next" w:cs="Arial"/>
          <w:color w:val="0070C0"/>
          <w:sz w:val="22"/>
          <w:szCs w:val="22"/>
          <w:lang w:val="en-GB"/>
        </w:rPr>
        <w:lastRenderedPageBreak/>
        <w:t>following Brexit and the end of the transitional period</w:t>
      </w:r>
      <w:r w:rsidR="009F6580">
        <w:rPr>
          <w:rFonts w:ascii="Avenir Next" w:hAnsi="Avenir Next" w:cs="Arial"/>
          <w:color w:val="0070C0"/>
          <w:sz w:val="22"/>
          <w:szCs w:val="22"/>
          <w:lang w:val="en-GB"/>
        </w:rPr>
        <w:t xml:space="preserve"> as per the Withdrawal Agreement. Those proceedings would have had to have been commenced before 31 December 2020.</w:t>
      </w:r>
    </w:p>
    <w:p w14:paraId="5559BC02" w14:textId="6E8E7A48" w:rsidR="00F248A9" w:rsidRDefault="00F248A9" w:rsidP="00F248A9">
      <w:pPr>
        <w:jc w:val="both"/>
        <w:rPr>
          <w:rFonts w:ascii="Avenir Next" w:hAnsi="Avenir Next" w:cs="Arial"/>
          <w:color w:val="0070C0"/>
          <w:sz w:val="22"/>
          <w:szCs w:val="22"/>
          <w:lang w:val="en-GB"/>
        </w:rPr>
      </w:pPr>
    </w:p>
    <w:p w14:paraId="6AF62007" w14:textId="260C083B" w:rsidR="00F248A9" w:rsidRDefault="00F248A9" w:rsidP="00F248A9">
      <w:pPr>
        <w:jc w:val="both"/>
        <w:rPr>
          <w:rFonts w:ascii="Avenir Next" w:hAnsi="Avenir Next" w:cs="Arial"/>
          <w:color w:val="0070C0"/>
          <w:sz w:val="22"/>
          <w:szCs w:val="22"/>
          <w:lang w:val="en-GB"/>
        </w:rPr>
      </w:pPr>
      <w:r>
        <w:rPr>
          <w:rFonts w:ascii="Avenir Next" w:hAnsi="Avenir Next" w:cs="Arial"/>
          <w:color w:val="0070C0"/>
          <w:sz w:val="22"/>
          <w:szCs w:val="22"/>
          <w:lang w:val="en-GB"/>
        </w:rPr>
        <w:t xml:space="preserve">The applicability of the Regulation would have allowed the insolvency proceedings to continue in the country where FPPL has its principal place of business or centre of main interests as provided for in the Regulation. Assuming that this centre of main interests was outside the UK, then the Regulation would have required the minor creditor to make representations there so as to avoid the risk of conflicting decisions regarding the proof of claims and the distribution of assets. </w:t>
      </w:r>
    </w:p>
    <w:p w14:paraId="36A49980" w14:textId="63A183B6" w:rsidR="009F6580" w:rsidRDefault="009F6580" w:rsidP="00F248A9">
      <w:pPr>
        <w:jc w:val="both"/>
        <w:rPr>
          <w:rFonts w:ascii="Avenir Next" w:hAnsi="Avenir Next" w:cs="Arial"/>
          <w:color w:val="0070C0"/>
          <w:sz w:val="22"/>
          <w:szCs w:val="22"/>
          <w:lang w:val="en-GB"/>
        </w:rPr>
      </w:pPr>
    </w:p>
    <w:p w14:paraId="4646D082" w14:textId="09AC722B" w:rsidR="009F6580" w:rsidRPr="00415BB4" w:rsidRDefault="009F6580" w:rsidP="00F248A9">
      <w:pPr>
        <w:jc w:val="both"/>
        <w:rPr>
          <w:rFonts w:ascii="Avenir Next" w:hAnsi="Avenir Next" w:cs="Arial"/>
          <w:color w:val="0070C0"/>
          <w:sz w:val="22"/>
          <w:szCs w:val="22"/>
          <w:lang w:val="en-GB"/>
        </w:rPr>
      </w:pPr>
      <w:r>
        <w:rPr>
          <w:rFonts w:ascii="Avenir Next" w:hAnsi="Avenir Next" w:cs="Arial"/>
          <w:color w:val="0070C0"/>
          <w:sz w:val="22"/>
          <w:szCs w:val="22"/>
          <w:lang w:val="en-GB"/>
        </w:rPr>
        <w:t>In the absence of the Regulation, additional legal procedures need to be undertaken in the other European country by Lobo in order to initiate insolvency proceedings there.  However, if the country is one that has adopted UNCITRAL Model Law then the UK insolvency proceedings may be recognised and enforced in that other European state.</w:t>
      </w:r>
    </w:p>
    <w:p w14:paraId="1395AAC6" w14:textId="398C24EF" w:rsidR="001E1C34" w:rsidRPr="00F248A9" w:rsidRDefault="001E1C34" w:rsidP="00F248A9">
      <w:pPr>
        <w:ind w:left="720" w:hanging="720"/>
        <w:jc w:val="both"/>
        <w:rPr>
          <w:rFonts w:ascii="Avenir Next" w:hAnsi="Avenir Next" w:cs="Arial"/>
          <w:color w:val="808080" w:themeColor="background1" w:themeShade="80"/>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61A5" w14:textId="77777777" w:rsidR="00A735DB" w:rsidRDefault="00A735DB" w:rsidP="00241B44">
      <w:r>
        <w:separator/>
      </w:r>
    </w:p>
  </w:endnote>
  <w:endnote w:type="continuationSeparator" w:id="0">
    <w:p w14:paraId="74D5AA0C" w14:textId="77777777" w:rsidR="00A735DB" w:rsidRDefault="00A735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68869E74" w:rsidR="00B64A85" w:rsidRPr="00297BDF" w:rsidRDefault="00C47C76" w:rsidP="0052732A">
    <w:pPr>
      <w:pStyle w:val="Footer"/>
      <w:ind w:right="360"/>
      <w:rPr>
        <w:rFonts w:ascii="Avenir Next" w:hAnsi="Avenir Next" w:cs="Arial"/>
        <w:sz w:val="22"/>
        <w:szCs w:val="22"/>
      </w:rPr>
    </w:pPr>
    <w:r>
      <w:rPr>
        <w:rFonts w:ascii="Avenir Next" w:hAnsi="Avenir Next" w:cs="Arial"/>
        <w:sz w:val="22"/>
        <w:szCs w:val="22"/>
      </w:rPr>
      <w:t>202223-1001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0124" w14:textId="77777777" w:rsidR="00A735DB" w:rsidRDefault="00A735DB" w:rsidP="00241B44">
      <w:r>
        <w:separator/>
      </w:r>
    </w:p>
  </w:footnote>
  <w:footnote w:type="continuationSeparator" w:id="0">
    <w:p w14:paraId="7BB4EC45" w14:textId="77777777" w:rsidR="00A735DB" w:rsidRDefault="00A735D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18587A"/>
    <w:multiLevelType w:val="hybridMultilevel"/>
    <w:tmpl w:val="9D6262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0719DC"/>
    <w:multiLevelType w:val="hybridMultilevel"/>
    <w:tmpl w:val="90B84B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953E5"/>
    <w:multiLevelType w:val="hybridMultilevel"/>
    <w:tmpl w:val="506EFB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473D3"/>
    <w:multiLevelType w:val="hybridMultilevel"/>
    <w:tmpl w:val="00D409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3C6AAD"/>
    <w:multiLevelType w:val="hybridMultilevel"/>
    <w:tmpl w:val="EC7CD2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62136A"/>
    <w:multiLevelType w:val="hybridMultilevel"/>
    <w:tmpl w:val="FBA0D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8E06AB"/>
    <w:multiLevelType w:val="hybridMultilevel"/>
    <w:tmpl w:val="FB70A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DB4A6C"/>
    <w:multiLevelType w:val="hybridMultilevel"/>
    <w:tmpl w:val="BB5E99B6"/>
    <w:lvl w:ilvl="0" w:tplc="BBF09CD2">
      <w:start w:val="1"/>
      <w:numFmt w:val="lowerRoman"/>
      <w:lvlText w:val="%1."/>
      <w:lvlJc w:val="left"/>
      <w:pPr>
        <w:ind w:left="1080" w:hanging="72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708546">
    <w:abstractNumId w:val="24"/>
  </w:num>
  <w:num w:numId="2" w16cid:durableId="817111142">
    <w:abstractNumId w:val="30"/>
  </w:num>
  <w:num w:numId="3" w16cid:durableId="1284337807">
    <w:abstractNumId w:val="2"/>
  </w:num>
  <w:num w:numId="4" w16cid:durableId="1193224371">
    <w:abstractNumId w:val="4"/>
  </w:num>
  <w:num w:numId="5" w16cid:durableId="1477450052">
    <w:abstractNumId w:val="19"/>
  </w:num>
  <w:num w:numId="6" w16cid:durableId="464738322">
    <w:abstractNumId w:val="25"/>
  </w:num>
  <w:num w:numId="7" w16cid:durableId="1316177021">
    <w:abstractNumId w:val="12"/>
  </w:num>
  <w:num w:numId="8" w16cid:durableId="457456285">
    <w:abstractNumId w:val="31"/>
  </w:num>
  <w:num w:numId="9" w16cid:durableId="1949191453">
    <w:abstractNumId w:val="11"/>
  </w:num>
  <w:num w:numId="10" w16cid:durableId="2072773446">
    <w:abstractNumId w:val="27"/>
  </w:num>
  <w:num w:numId="11" w16cid:durableId="1841192722">
    <w:abstractNumId w:val="9"/>
  </w:num>
  <w:num w:numId="12" w16cid:durableId="1518887560">
    <w:abstractNumId w:val="29"/>
  </w:num>
  <w:num w:numId="13" w16cid:durableId="679507124">
    <w:abstractNumId w:val="18"/>
  </w:num>
  <w:num w:numId="14" w16cid:durableId="1833450866">
    <w:abstractNumId w:val="16"/>
  </w:num>
  <w:num w:numId="15" w16cid:durableId="62486824">
    <w:abstractNumId w:val="5"/>
  </w:num>
  <w:num w:numId="16" w16cid:durableId="873885507">
    <w:abstractNumId w:val="20"/>
  </w:num>
  <w:num w:numId="17" w16cid:durableId="1824151540">
    <w:abstractNumId w:val="14"/>
  </w:num>
  <w:num w:numId="18" w16cid:durableId="1610896120">
    <w:abstractNumId w:val="15"/>
  </w:num>
  <w:num w:numId="19" w16cid:durableId="414517528">
    <w:abstractNumId w:val="23"/>
  </w:num>
  <w:num w:numId="20" w16cid:durableId="1909218707">
    <w:abstractNumId w:val="8"/>
  </w:num>
  <w:num w:numId="21" w16cid:durableId="535430262">
    <w:abstractNumId w:val="13"/>
  </w:num>
  <w:num w:numId="22" w16cid:durableId="1113746206">
    <w:abstractNumId w:val="0"/>
  </w:num>
  <w:num w:numId="23" w16cid:durableId="397172414">
    <w:abstractNumId w:val="21"/>
  </w:num>
  <w:num w:numId="24" w16cid:durableId="527108655">
    <w:abstractNumId w:val="1"/>
  </w:num>
  <w:num w:numId="25" w16cid:durableId="1805925018">
    <w:abstractNumId w:val="28"/>
  </w:num>
  <w:num w:numId="26" w16cid:durableId="1327249058">
    <w:abstractNumId w:val="7"/>
  </w:num>
  <w:num w:numId="27" w16cid:durableId="1312952747">
    <w:abstractNumId w:val="22"/>
  </w:num>
  <w:num w:numId="28" w16cid:durableId="374816511">
    <w:abstractNumId w:val="10"/>
  </w:num>
  <w:num w:numId="29" w16cid:durableId="2141074710">
    <w:abstractNumId w:val="3"/>
  </w:num>
  <w:num w:numId="30" w16cid:durableId="1281381851">
    <w:abstractNumId w:val="26"/>
  </w:num>
  <w:num w:numId="31" w16cid:durableId="781388068">
    <w:abstractNumId w:val="6"/>
  </w:num>
  <w:num w:numId="32" w16cid:durableId="134559377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57"/>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6DD"/>
    <w:rsid w:val="000036F6"/>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2599"/>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1FA"/>
    <w:rsid w:val="001D1BF7"/>
    <w:rsid w:val="001D38BE"/>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58B"/>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559F5"/>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2863"/>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0782F"/>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A81"/>
    <w:rsid w:val="00397D3A"/>
    <w:rsid w:val="003A051E"/>
    <w:rsid w:val="003A0BBE"/>
    <w:rsid w:val="003A2448"/>
    <w:rsid w:val="003A2F5D"/>
    <w:rsid w:val="003A3128"/>
    <w:rsid w:val="003A5AD1"/>
    <w:rsid w:val="003A60FF"/>
    <w:rsid w:val="003A696A"/>
    <w:rsid w:val="003B170F"/>
    <w:rsid w:val="003B28D6"/>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5B83"/>
    <w:rsid w:val="003F655E"/>
    <w:rsid w:val="003F74D9"/>
    <w:rsid w:val="00400920"/>
    <w:rsid w:val="00403F09"/>
    <w:rsid w:val="00404EF7"/>
    <w:rsid w:val="00405DC1"/>
    <w:rsid w:val="00411E1B"/>
    <w:rsid w:val="00414BF9"/>
    <w:rsid w:val="00415BB4"/>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16E"/>
    <w:rsid w:val="004534C2"/>
    <w:rsid w:val="004535EA"/>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2053"/>
    <w:rsid w:val="004E3528"/>
    <w:rsid w:val="004E4224"/>
    <w:rsid w:val="004E5A14"/>
    <w:rsid w:val="004E622C"/>
    <w:rsid w:val="004E64DB"/>
    <w:rsid w:val="004F1534"/>
    <w:rsid w:val="004F2DD1"/>
    <w:rsid w:val="004F301B"/>
    <w:rsid w:val="004F3375"/>
    <w:rsid w:val="004F55F1"/>
    <w:rsid w:val="004F5FDF"/>
    <w:rsid w:val="0050085E"/>
    <w:rsid w:val="0050156C"/>
    <w:rsid w:val="00503A63"/>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4EEF"/>
    <w:rsid w:val="0053523A"/>
    <w:rsid w:val="00537970"/>
    <w:rsid w:val="00540E3A"/>
    <w:rsid w:val="00542E08"/>
    <w:rsid w:val="005433D7"/>
    <w:rsid w:val="00543941"/>
    <w:rsid w:val="00544127"/>
    <w:rsid w:val="00545709"/>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4872"/>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0B76"/>
    <w:rsid w:val="005D3437"/>
    <w:rsid w:val="005D427C"/>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25E1"/>
    <w:rsid w:val="0060397D"/>
    <w:rsid w:val="00604723"/>
    <w:rsid w:val="00610388"/>
    <w:rsid w:val="00611D6E"/>
    <w:rsid w:val="00612092"/>
    <w:rsid w:val="00612CA5"/>
    <w:rsid w:val="00614858"/>
    <w:rsid w:val="006153EC"/>
    <w:rsid w:val="00620ACA"/>
    <w:rsid w:val="00621A17"/>
    <w:rsid w:val="0062260C"/>
    <w:rsid w:val="00623C8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792"/>
    <w:rsid w:val="006E1CB0"/>
    <w:rsid w:val="006E254C"/>
    <w:rsid w:val="006E2974"/>
    <w:rsid w:val="006E481A"/>
    <w:rsid w:val="006E4ADA"/>
    <w:rsid w:val="006E5298"/>
    <w:rsid w:val="006E6A1F"/>
    <w:rsid w:val="006E6A6A"/>
    <w:rsid w:val="006E77B0"/>
    <w:rsid w:val="006F6B2E"/>
    <w:rsid w:val="006F734A"/>
    <w:rsid w:val="006F7B05"/>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55D"/>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3E2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B72EB"/>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8F77B2"/>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24A"/>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2F18"/>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6580"/>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155D"/>
    <w:rsid w:val="00A560B6"/>
    <w:rsid w:val="00A566E3"/>
    <w:rsid w:val="00A56CF7"/>
    <w:rsid w:val="00A56DBC"/>
    <w:rsid w:val="00A60074"/>
    <w:rsid w:val="00A646E2"/>
    <w:rsid w:val="00A651A9"/>
    <w:rsid w:val="00A6627C"/>
    <w:rsid w:val="00A71019"/>
    <w:rsid w:val="00A735DB"/>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094"/>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64A"/>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3D8"/>
    <w:rsid w:val="00BC585F"/>
    <w:rsid w:val="00BC5898"/>
    <w:rsid w:val="00BC5D7D"/>
    <w:rsid w:val="00BC6BCE"/>
    <w:rsid w:val="00BD0299"/>
    <w:rsid w:val="00BD0F7F"/>
    <w:rsid w:val="00BD23B4"/>
    <w:rsid w:val="00BD288F"/>
    <w:rsid w:val="00BD3363"/>
    <w:rsid w:val="00BD3F18"/>
    <w:rsid w:val="00BD64FB"/>
    <w:rsid w:val="00BD71D7"/>
    <w:rsid w:val="00BD7D49"/>
    <w:rsid w:val="00BE1573"/>
    <w:rsid w:val="00BE2464"/>
    <w:rsid w:val="00BE4A70"/>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47C76"/>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096B"/>
    <w:rsid w:val="00D35229"/>
    <w:rsid w:val="00D35ADE"/>
    <w:rsid w:val="00D35EAE"/>
    <w:rsid w:val="00D4685B"/>
    <w:rsid w:val="00D57C59"/>
    <w:rsid w:val="00D60215"/>
    <w:rsid w:val="00D6035F"/>
    <w:rsid w:val="00D60874"/>
    <w:rsid w:val="00D617B7"/>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57385"/>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2F01"/>
    <w:rsid w:val="00E9394D"/>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398A"/>
    <w:rsid w:val="00EC549E"/>
    <w:rsid w:val="00EC6E55"/>
    <w:rsid w:val="00ED0BC4"/>
    <w:rsid w:val="00ED151E"/>
    <w:rsid w:val="00ED3CDA"/>
    <w:rsid w:val="00ED617A"/>
    <w:rsid w:val="00EE1A0E"/>
    <w:rsid w:val="00EE1EE7"/>
    <w:rsid w:val="00EE4971"/>
    <w:rsid w:val="00EE5917"/>
    <w:rsid w:val="00EE5A48"/>
    <w:rsid w:val="00EE5F7D"/>
    <w:rsid w:val="00EE6390"/>
    <w:rsid w:val="00EE7278"/>
    <w:rsid w:val="00EF090E"/>
    <w:rsid w:val="00EF16B6"/>
    <w:rsid w:val="00EF1B1A"/>
    <w:rsid w:val="00EF2D08"/>
    <w:rsid w:val="00EF54D7"/>
    <w:rsid w:val="00EF5705"/>
    <w:rsid w:val="00EF6653"/>
    <w:rsid w:val="00EF774E"/>
    <w:rsid w:val="00F033DA"/>
    <w:rsid w:val="00F0424E"/>
    <w:rsid w:val="00F106CE"/>
    <w:rsid w:val="00F1096A"/>
    <w:rsid w:val="00F12AA4"/>
    <w:rsid w:val="00F12F7B"/>
    <w:rsid w:val="00F13FB1"/>
    <w:rsid w:val="00F15181"/>
    <w:rsid w:val="00F1640B"/>
    <w:rsid w:val="00F2025D"/>
    <w:rsid w:val="00F20842"/>
    <w:rsid w:val="00F248A9"/>
    <w:rsid w:val="00F27CD8"/>
    <w:rsid w:val="00F30351"/>
    <w:rsid w:val="00F3144D"/>
    <w:rsid w:val="00F3323E"/>
    <w:rsid w:val="00F341F4"/>
    <w:rsid w:val="00F34F9D"/>
    <w:rsid w:val="00F34FAD"/>
    <w:rsid w:val="00F3554C"/>
    <w:rsid w:val="00F35CCE"/>
    <w:rsid w:val="00F35D73"/>
    <w:rsid w:val="00F366E1"/>
    <w:rsid w:val="00F36B81"/>
    <w:rsid w:val="00F42B4B"/>
    <w:rsid w:val="00F4376C"/>
    <w:rsid w:val="00F44D8C"/>
    <w:rsid w:val="00F45599"/>
    <w:rsid w:val="00F50D48"/>
    <w:rsid w:val="00F5239B"/>
    <w:rsid w:val="00F524F4"/>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0271"/>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6BC"/>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B7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72599197">
      <w:bodyDiv w:val="1"/>
      <w:marLeft w:val="0"/>
      <w:marRight w:val="0"/>
      <w:marTop w:val="0"/>
      <w:marBottom w:val="0"/>
      <w:divBdr>
        <w:top w:val="none" w:sz="0" w:space="0" w:color="auto"/>
        <w:left w:val="none" w:sz="0" w:space="0" w:color="auto"/>
        <w:bottom w:val="none" w:sz="0" w:space="0" w:color="auto"/>
        <w:right w:val="none" w:sz="0" w:space="0" w:color="auto"/>
      </w:divBdr>
      <w:divsChild>
        <w:div w:id="315301692">
          <w:marLeft w:val="0"/>
          <w:marRight w:val="0"/>
          <w:marTop w:val="0"/>
          <w:marBottom w:val="0"/>
          <w:divBdr>
            <w:top w:val="none" w:sz="0" w:space="0" w:color="auto"/>
            <w:left w:val="none" w:sz="0" w:space="0" w:color="auto"/>
            <w:bottom w:val="none" w:sz="0" w:space="0" w:color="auto"/>
            <w:right w:val="none" w:sz="0" w:space="0" w:color="auto"/>
          </w:divBdr>
          <w:divsChild>
            <w:div w:id="1424766436">
              <w:marLeft w:val="0"/>
              <w:marRight w:val="0"/>
              <w:marTop w:val="0"/>
              <w:marBottom w:val="0"/>
              <w:divBdr>
                <w:top w:val="none" w:sz="0" w:space="0" w:color="auto"/>
                <w:left w:val="none" w:sz="0" w:space="0" w:color="auto"/>
                <w:bottom w:val="none" w:sz="0" w:space="0" w:color="auto"/>
                <w:right w:val="none" w:sz="0" w:space="0" w:color="auto"/>
              </w:divBdr>
              <w:divsChild>
                <w:div w:id="8621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xafrica.com/wp-content/uploads/2022/10/LEX-Africa-Insolvency-Guide-Digit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16</Pages>
  <Words>5392</Words>
  <Characters>30739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Jomokie Phillips</cp:lastModifiedBy>
  <cp:revision>33</cp:revision>
  <cp:lastPrinted>2020-06-12T02:43:00Z</cp:lastPrinted>
  <dcterms:created xsi:type="dcterms:W3CDTF">2022-07-27T13:31:00Z</dcterms:created>
  <dcterms:modified xsi:type="dcterms:W3CDTF">2022-11-15T22:33:00Z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