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460D68" w:rsidRDefault="002D2356" w:rsidP="008071D5">
      <w:pPr>
        <w:pStyle w:val="ListParagraph"/>
        <w:numPr>
          <w:ilvl w:val="0"/>
          <w:numId w:val="15"/>
        </w:numPr>
        <w:ind w:left="425" w:hanging="357"/>
        <w:jc w:val="both"/>
        <w:rPr>
          <w:rFonts w:ascii="Avenir Next" w:hAnsi="Avenir Next" w:cs="Arial"/>
          <w:sz w:val="22"/>
          <w:szCs w:val="22"/>
          <w:highlight w:val="yellow"/>
        </w:rPr>
      </w:pPr>
      <w:r w:rsidRPr="00460D68">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460D68">
        <w:rPr>
          <w:rFonts w:ascii="Avenir Next" w:hAnsi="Avenir Next" w:cs="Arial"/>
          <w:sz w:val="22"/>
          <w:szCs w:val="22"/>
          <w:highlight w:val="yellow"/>
          <w:vertAlign w:val="superscript"/>
        </w:rPr>
        <w:t>th</w:t>
      </w:r>
      <w:r w:rsidRPr="00460D68">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460D68" w:rsidRDefault="002D2356" w:rsidP="008071D5">
      <w:pPr>
        <w:pStyle w:val="ListParagraph"/>
        <w:numPr>
          <w:ilvl w:val="0"/>
          <w:numId w:val="16"/>
        </w:numPr>
        <w:ind w:left="426"/>
        <w:jc w:val="both"/>
        <w:rPr>
          <w:rFonts w:ascii="Avenir Next" w:hAnsi="Avenir Next" w:cs="Arial"/>
          <w:sz w:val="22"/>
          <w:szCs w:val="22"/>
          <w:highlight w:val="yellow"/>
        </w:rPr>
      </w:pPr>
      <w:r w:rsidRPr="00460D6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460D68" w:rsidRDefault="002D2356" w:rsidP="008071D5">
      <w:pPr>
        <w:pStyle w:val="ListParagraph"/>
        <w:numPr>
          <w:ilvl w:val="0"/>
          <w:numId w:val="17"/>
        </w:numPr>
        <w:ind w:left="426"/>
        <w:jc w:val="both"/>
        <w:rPr>
          <w:rFonts w:ascii="Avenir Next" w:hAnsi="Avenir Next" w:cs="Arial"/>
          <w:sz w:val="22"/>
          <w:szCs w:val="22"/>
          <w:highlight w:val="yellow"/>
        </w:rPr>
      </w:pPr>
      <w:r w:rsidRPr="00460D68">
        <w:rPr>
          <w:rFonts w:ascii="Avenir Next" w:hAnsi="Avenir Next" w:cs="Arial"/>
          <w:sz w:val="22"/>
          <w:szCs w:val="22"/>
          <w:highlight w:val="yellow"/>
        </w:rPr>
        <w:t xml:space="preserve">This statement is true since England has the unified 1986 Insolvency </w:t>
      </w:r>
      <w:proofErr w:type="gramStart"/>
      <w:r w:rsidRPr="00460D68">
        <w:rPr>
          <w:rFonts w:ascii="Avenir Next" w:hAnsi="Avenir Next" w:cs="Arial"/>
          <w:sz w:val="22"/>
          <w:szCs w:val="22"/>
          <w:highlight w:val="yellow"/>
        </w:rPr>
        <w:t>Act</w:t>
      </w:r>
      <w:proofErr w:type="gramEnd"/>
      <w:r w:rsidRPr="00460D68">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D142D7" w:rsidRDefault="00466ED6" w:rsidP="008071D5">
      <w:pPr>
        <w:pStyle w:val="ListParagraph"/>
        <w:numPr>
          <w:ilvl w:val="0"/>
          <w:numId w:val="18"/>
        </w:numPr>
        <w:ind w:left="426"/>
        <w:jc w:val="both"/>
        <w:rPr>
          <w:rFonts w:ascii="Avenir Next" w:hAnsi="Avenir Next" w:cs="Arial"/>
          <w:sz w:val="22"/>
          <w:szCs w:val="22"/>
          <w:highlight w:val="yellow"/>
        </w:rPr>
      </w:pPr>
      <w:r w:rsidRPr="00D142D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D142D7" w:rsidRDefault="002D2356" w:rsidP="008071D5">
      <w:pPr>
        <w:pStyle w:val="ListParagraph"/>
        <w:numPr>
          <w:ilvl w:val="0"/>
          <w:numId w:val="19"/>
        </w:numPr>
        <w:ind w:left="425" w:hanging="357"/>
        <w:jc w:val="both"/>
        <w:rPr>
          <w:rFonts w:ascii="Avenir Next" w:hAnsi="Avenir Next" w:cs="Arial"/>
          <w:sz w:val="22"/>
          <w:szCs w:val="22"/>
          <w:highlight w:val="yellow"/>
        </w:rPr>
      </w:pPr>
      <w:r w:rsidRPr="00D142D7">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C3DDD"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C3DDD">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5E141B"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5E141B">
        <w:rPr>
          <w:rFonts w:ascii="Avenir Next" w:eastAsiaTheme="minorHAnsi" w:hAnsi="Avenir Next" w:cs="Arial"/>
          <w:sz w:val="22"/>
          <w:szCs w:val="22"/>
          <w:lang w:val="en-GB"/>
        </w:rPr>
        <w:t>It is relevant</w:t>
      </w:r>
      <w:r w:rsidR="009A0501" w:rsidRPr="005E141B">
        <w:rPr>
          <w:rFonts w:ascii="Avenir Next" w:eastAsiaTheme="minorHAnsi" w:hAnsi="Avenir Next" w:cs="Arial"/>
          <w:sz w:val="22"/>
          <w:szCs w:val="22"/>
          <w:lang w:val="en-GB"/>
        </w:rPr>
        <w:t xml:space="preserve"> factor for the English Court hearing the matter</w:t>
      </w:r>
      <w:r w:rsidR="0095223A" w:rsidRPr="005E141B">
        <w:rPr>
          <w:rFonts w:ascii="Avenir Next" w:eastAsiaTheme="minorHAnsi" w:hAnsi="Avenir Next" w:cs="Arial"/>
          <w:sz w:val="22"/>
          <w:szCs w:val="22"/>
          <w:lang w:val="en-GB"/>
        </w:rPr>
        <w:t xml:space="preserve"> </w:t>
      </w:r>
      <w:r w:rsidR="00D910D5" w:rsidRPr="005E141B">
        <w:rPr>
          <w:rFonts w:ascii="Avenir Next" w:eastAsiaTheme="minorHAnsi" w:hAnsi="Avenir Next" w:cs="Arial"/>
          <w:sz w:val="22"/>
          <w:szCs w:val="22"/>
          <w:lang w:val="en-GB"/>
        </w:rPr>
        <w:t>to consider</w:t>
      </w:r>
      <w:r w:rsidR="009A0501" w:rsidRPr="005E141B">
        <w:rPr>
          <w:rFonts w:ascii="Avenir Next" w:eastAsiaTheme="minorHAnsi" w:hAnsi="Avenir Next" w:cs="Arial"/>
          <w:sz w:val="22"/>
          <w:szCs w:val="22"/>
          <w:lang w:val="en-GB"/>
        </w:rPr>
        <w:t xml:space="preserve"> whether Germany</w:t>
      </w:r>
      <w:r w:rsidRPr="005E141B">
        <w:rPr>
          <w:rFonts w:ascii="Avenir Next" w:eastAsiaTheme="minorHAnsi" w:hAnsi="Avenir Next" w:cs="Arial"/>
          <w:sz w:val="22"/>
          <w:szCs w:val="22"/>
          <w:lang w:val="en-GB"/>
        </w:rPr>
        <w:t xml:space="preserve"> has adopted the UNCITRAL Model Law on Cross-border Insolvency 1997</w:t>
      </w:r>
      <w:r w:rsidR="009A0501" w:rsidRPr="005E141B">
        <w:rPr>
          <w:rFonts w:ascii="Avenir Next" w:eastAsiaTheme="minorHAnsi" w:hAnsi="Avenir Next" w:cs="Arial"/>
          <w:sz w:val="22"/>
          <w:szCs w:val="22"/>
          <w:lang w:val="en-GB"/>
        </w:rPr>
        <w:t>, or not</w:t>
      </w:r>
      <w:r w:rsidRPr="005E141B">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5E141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E141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E141B">
        <w:rPr>
          <w:rFonts w:ascii="Avenir Next" w:eastAsiaTheme="minorHAnsi" w:hAnsi="Avenir Next" w:cs="Arial"/>
          <w:sz w:val="22"/>
          <w:szCs w:val="22"/>
          <w:highlight w:val="yellow"/>
          <w:lang w:val="en-GB"/>
        </w:rPr>
        <w:t xml:space="preserve"> </w:t>
      </w:r>
      <w:r w:rsidRPr="005E141B">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957534"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957534">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957534" w:rsidRDefault="00F5239B" w:rsidP="008071D5">
      <w:pPr>
        <w:pStyle w:val="ListParagraph"/>
        <w:numPr>
          <w:ilvl w:val="0"/>
          <w:numId w:val="23"/>
        </w:numPr>
        <w:ind w:left="426"/>
        <w:jc w:val="both"/>
        <w:rPr>
          <w:rFonts w:ascii="Avenir Next" w:hAnsi="Avenir Next" w:cs="Arial"/>
          <w:sz w:val="22"/>
          <w:szCs w:val="22"/>
          <w:highlight w:val="yellow"/>
        </w:rPr>
      </w:pPr>
      <w:r w:rsidRPr="00957534">
        <w:rPr>
          <w:rFonts w:ascii="Avenir Next" w:hAnsi="Avenir Next" w:cs="Arial"/>
          <w:sz w:val="22"/>
          <w:szCs w:val="22"/>
          <w:highlight w:val="yellow"/>
        </w:rPr>
        <w:t xml:space="preserve">This statement is true because </w:t>
      </w:r>
      <w:r w:rsidR="007B5180" w:rsidRPr="00957534">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B4DDE" w:rsidRDefault="009355DB" w:rsidP="008071D5">
      <w:pPr>
        <w:pStyle w:val="ListParagraph"/>
        <w:numPr>
          <w:ilvl w:val="0"/>
          <w:numId w:val="24"/>
        </w:numPr>
        <w:ind w:left="426"/>
        <w:jc w:val="both"/>
        <w:rPr>
          <w:rFonts w:ascii="Avenir Next" w:hAnsi="Avenir Next" w:cs="Arial"/>
          <w:sz w:val="22"/>
          <w:szCs w:val="22"/>
          <w:highlight w:val="yellow"/>
        </w:rPr>
      </w:pPr>
      <w:r w:rsidRPr="005B4DDE">
        <w:rPr>
          <w:rFonts w:ascii="Avenir Next" w:hAnsi="Avenir Next" w:cs="Arial"/>
          <w:sz w:val="22"/>
          <w:szCs w:val="22"/>
          <w:highlight w:val="yellow"/>
        </w:rPr>
        <w:t xml:space="preserve">This statement is true because </w:t>
      </w:r>
      <w:r w:rsidR="005C4FF2" w:rsidRPr="005B4DDE">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E898856" w:rsidR="0081547D" w:rsidRPr="00AB63DE" w:rsidRDefault="005B4DDE"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historical roots of the insolvency laws of various African countries can be found in the laws of their former colonial powers. Nigeria, Kenya, Botswana, </w:t>
      </w:r>
      <w:proofErr w:type="gramStart"/>
      <w:r>
        <w:rPr>
          <w:rFonts w:ascii="Avenir Next" w:hAnsi="Avenir Next" w:cs="Arial"/>
          <w:color w:val="808080" w:themeColor="background1" w:themeShade="80"/>
          <w:sz w:val="22"/>
          <w:szCs w:val="22"/>
          <w:lang w:val="en-GB"/>
        </w:rPr>
        <w:t>Zambia</w:t>
      </w:r>
      <w:proofErr w:type="gramEnd"/>
      <w:r>
        <w:rPr>
          <w:rFonts w:ascii="Avenir Next" w:hAnsi="Avenir Next" w:cs="Arial"/>
          <w:color w:val="808080" w:themeColor="background1" w:themeShade="80"/>
          <w:sz w:val="22"/>
          <w:szCs w:val="22"/>
          <w:lang w:val="en-GB"/>
        </w:rPr>
        <w:t xml:space="preserve"> and other East African countries including Tanzania have an English law tradition</w:t>
      </w:r>
      <w:r w:rsidR="003A6FEB">
        <w:rPr>
          <w:rFonts w:ascii="Avenir Next" w:hAnsi="Avenir Next" w:cs="Arial"/>
          <w:color w:val="808080" w:themeColor="background1" w:themeShade="80"/>
          <w:sz w:val="22"/>
          <w:szCs w:val="22"/>
          <w:lang w:val="en-GB"/>
        </w:rPr>
        <w:t>, having been colonised by the British</w:t>
      </w:r>
      <w:r>
        <w:rPr>
          <w:rFonts w:ascii="Avenir Next" w:hAnsi="Avenir Next" w:cs="Arial"/>
          <w:color w:val="808080" w:themeColor="background1" w:themeShade="80"/>
          <w:sz w:val="22"/>
          <w:szCs w:val="22"/>
          <w:lang w:val="en-GB"/>
        </w:rPr>
        <w:t xml:space="preserve">. Angola and Mozambique have a civil law tradition based on </w:t>
      </w:r>
      <w:r w:rsidR="003A4B85">
        <w:rPr>
          <w:rFonts w:ascii="Avenir Next" w:hAnsi="Avenir Next" w:cs="Arial"/>
          <w:color w:val="808080" w:themeColor="background1" w:themeShade="80"/>
          <w:sz w:val="22"/>
          <w:szCs w:val="22"/>
          <w:lang w:val="en-GB"/>
        </w:rPr>
        <w:t>Portuguese</w:t>
      </w:r>
      <w:r>
        <w:rPr>
          <w:rFonts w:ascii="Avenir Next" w:hAnsi="Avenir Next" w:cs="Arial"/>
          <w:color w:val="808080" w:themeColor="background1" w:themeShade="80"/>
          <w:sz w:val="22"/>
          <w:szCs w:val="22"/>
          <w:lang w:val="en-GB"/>
        </w:rPr>
        <w:t xml:space="preserve"> law</w:t>
      </w:r>
      <w:r w:rsidR="003A6FEB">
        <w:rPr>
          <w:rFonts w:ascii="Avenir Next" w:hAnsi="Avenir Next" w:cs="Arial"/>
          <w:color w:val="808080" w:themeColor="background1" w:themeShade="80"/>
          <w:sz w:val="22"/>
          <w:szCs w:val="22"/>
          <w:lang w:val="en-GB"/>
        </w:rPr>
        <w:t>, having been colonised by Portugal</w:t>
      </w:r>
      <w:r>
        <w:rPr>
          <w:rFonts w:ascii="Avenir Next" w:hAnsi="Avenir Next" w:cs="Arial"/>
          <w:color w:val="808080" w:themeColor="background1" w:themeShade="80"/>
          <w:sz w:val="22"/>
          <w:szCs w:val="22"/>
          <w:lang w:val="en-GB"/>
        </w:rPr>
        <w:t xml:space="preserve">. West African countries have a civil law tradition, based </w:t>
      </w:r>
      <w:proofErr w:type="gramStart"/>
      <w:r>
        <w:rPr>
          <w:rFonts w:ascii="Avenir Next" w:hAnsi="Avenir Next" w:cs="Arial"/>
          <w:color w:val="808080" w:themeColor="background1" w:themeShade="80"/>
          <w:sz w:val="22"/>
          <w:szCs w:val="22"/>
          <w:lang w:val="en-GB"/>
        </w:rPr>
        <w:t>in particular on</w:t>
      </w:r>
      <w:proofErr w:type="gramEnd"/>
      <w:r>
        <w:rPr>
          <w:rFonts w:ascii="Avenir Next" w:hAnsi="Avenir Next" w:cs="Arial"/>
          <w:color w:val="808080" w:themeColor="background1" w:themeShade="80"/>
          <w:sz w:val="22"/>
          <w:szCs w:val="22"/>
          <w:lang w:val="en-GB"/>
        </w:rPr>
        <w:t xml:space="preserve"> French law</w:t>
      </w:r>
      <w:r w:rsidR="003A6FEB">
        <w:rPr>
          <w:rFonts w:ascii="Avenir Next" w:hAnsi="Avenir Next" w:cs="Arial"/>
          <w:color w:val="808080" w:themeColor="background1" w:themeShade="80"/>
          <w:sz w:val="22"/>
          <w:szCs w:val="22"/>
          <w:lang w:val="en-GB"/>
        </w:rPr>
        <w:t>, having been French colonial territories</w:t>
      </w:r>
      <w:r>
        <w:rPr>
          <w:rFonts w:ascii="Avenir Next" w:hAnsi="Avenir Next" w:cs="Arial"/>
          <w:color w:val="808080" w:themeColor="background1" w:themeShade="80"/>
          <w:sz w:val="22"/>
          <w:szCs w:val="22"/>
          <w:lang w:val="en-GB"/>
        </w:rPr>
        <w:t>. Namibia</w:t>
      </w:r>
      <w:r w:rsidR="00A925E8">
        <w:rPr>
          <w:rFonts w:ascii="Avenir Next" w:hAnsi="Avenir Next" w:cs="Arial"/>
          <w:color w:val="808080" w:themeColor="background1" w:themeShade="80"/>
          <w:sz w:val="22"/>
          <w:szCs w:val="22"/>
          <w:lang w:val="en-GB"/>
        </w:rPr>
        <w:t xml:space="preserve"> and South Africa have mixed systems based on influences of both civil and English law</w:t>
      </w:r>
      <w:r w:rsidR="003A6FEB">
        <w:rPr>
          <w:rFonts w:ascii="Avenir Next" w:hAnsi="Avenir Next" w:cs="Arial"/>
          <w:color w:val="808080" w:themeColor="background1" w:themeShade="80"/>
          <w:sz w:val="22"/>
          <w:szCs w:val="22"/>
          <w:lang w:val="en-GB"/>
        </w:rPr>
        <w:t xml:space="preserve">, having been German, </w:t>
      </w:r>
      <w:proofErr w:type="gramStart"/>
      <w:r w:rsidR="003A6FEB">
        <w:rPr>
          <w:rFonts w:ascii="Avenir Next" w:hAnsi="Avenir Next" w:cs="Arial"/>
          <w:color w:val="808080" w:themeColor="background1" w:themeShade="80"/>
          <w:sz w:val="22"/>
          <w:szCs w:val="22"/>
          <w:lang w:val="en-GB"/>
        </w:rPr>
        <w:t>Dutch</w:t>
      </w:r>
      <w:proofErr w:type="gramEnd"/>
      <w:r w:rsidR="003A6FEB">
        <w:rPr>
          <w:rFonts w:ascii="Avenir Next" w:hAnsi="Avenir Next" w:cs="Arial"/>
          <w:color w:val="808080" w:themeColor="background1" w:themeShade="80"/>
          <w:sz w:val="22"/>
          <w:szCs w:val="22"/>
          <w:lang w:val="en-GB"/>
        </w:rPr>
        <w:t xml:space="preserve"> and British territories at various times.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9F61129" w14:textId="608FFF48" w:rsidR="00AB63DE" w:rsidRDefault="003616C2"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financial crisis in 1998 had a significant economic impact on countries in East Asia, in particular Indonesia and Thailand. The crisis led to widespread insolvency law reforms. </w:t>
      </w:r>
    </w:p>
    <w:p w14:paraId="0F415EFA" w14:textId="59E54CEC" w:rsidR="003616C2" w:rsidRDefault="003616C2" w:rsidP="00692852">
      <w:pPr>
        <w:ind w:left="720" w:hanging="720"/>
        <w:jc w:val="both"/>
        <w:rPr>
          <w:rFonts w:ascii="Avenir Next" w:hAnsi="Avenir Next" w:cs="Arial"/>
          <w:color w:val="808080" w:themeColor="background1" w:themeShade="80"/>
          <w:sz w:val="22"/>
          <w:szCs w:val="22"/>
          <w:lang w:val="en-GB"/>
        </w:rPr>
      </w:pPr>
    </w:p>
    <w:p w14:paraId="4CC4EB1A" w14:textId="06AB0E43" w:rsidR="003616C2" w:rsidRDefault="003616C2"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examples of the reform initiatives are (1) An overhaul of Thailand’s bankruptcy laws, as the pre-existing system was ill-equipped to manage the economic impact of the </w:t>
      </w:r>
      <w:r>
        <w:rPr>
          <w:rFonts w:ascii="Avenir Next" w:hAnsi="Avenir Next" w:cs="Arial"/>
          <w:color w:val="808080" w:themeColor="background1" w:themeShade="80"/>
          <w:sz w:val="22"/>
          <w:szCs w:val="22"/>
          <w:lang w:val="en-GB"/>
        </w:rPr>
        <w:lastRenderedPageBreak/>
        <w:t>crisis (2) In 2010, Singapore convened the Insolvency Law Review Committee to review Singapore’s bankruptcy and corporate insolvency regimes. The recommendations included adoption of the UNCITRAL Model Law</w:t>
      </w:r>
      <w:r w:rsidR="005127BF">
        <w:rPr>
          <w:rFonts w:ascii="Avenir Next" w:hAnsi="Avenir Next" w:cs="Arial"/>
          <w:color w:val="808080" w:themeColor="background1" w:themeShade="80"/>
          <w:sz w:val="22"/>
          <w:szCs w:val="22"/>
          <w:lang w:val="en-GB"/>
        </w:rPr>
        <w:t xml:space="preserve">. Singapore passed a new law in 2018, the Insolvency, Restructuring and Dissolution Act, which </w:t>
      </w:r>
      <w:r w:rsidR="001646C4">
        <w:rPr>
          <w:rFonts w:ascii="Avenir Next" w:hAnsi="Avenir Next" w:cs="Arial"/>
          <w:color w:val="808080" w:themeColor="background1" w:themeShade="80"/>
          <w:sz w:val="22"/>
          <w:szCs w:val="22"/>
          <w:lang w:val="en-GB"/>
        </w:rPr>
        <w:t xml:space="preserve">makes substantive changes to Singapore’s insolvency laws as well as </w:t>
      </w:r>
      <w:r w:rsidR="005127BF">
        <w:rPr>
          <w:rFonts w:ascii="Avenir Next" w:hAnsi="Avenir Next" w:cs="Arial"/>
          <w:color w:val="808080" w:themeColor="background1" w:themeShade="80"/>
          <w:sz w:val="22"/>
          <w:szCs w:val="22"/>
          <w:lang w:val="en-GB"/>
        </w:rPr>
        <w:t>consolidat</w:t>
      </w:r>
      <w:r w:rsidR="001646C4">
        <w:rPr>
          <w:rFonts w:ascii="Avenir Next" w:hAnsi="Avenir Next" w:cs="Arial"/>
          <w:color w:val="808080" w:themeColor="background1" w:themeShade="80"/>
          <w:sz w:val="22"/>
          <w:szCs w:val="22"/>
          <w:lang w:val="en-GB"/>
        </w:rPr>
        <w:t>ing</w:t>
      </w:r>
      <w:r w:rsidR="005127BF">
        <w:rPr>
          <w:rFonts w:ascii="Avenir Next" w:hAnsi="Avenir Next" w:cs="Arial"/>
          <w:color w:val="808080" w:themeColor="background1" w:themeShade="80"/>
          <w:sz w:val="22"/>
          <w:szCs w:val="22"/>
          <w:lang w:val="en-GB"/>
        </w:rPr>
        <w:t xml:space="preserve"> its insolvency and restr</w:t>
      </w:r>
      <w:r w:rsidR="001646C4">
        <w:rPr>
          <w:rFonts w:ascii="Avenir Next" w:hAnsi="Avenir Next" w:cs="Arial"/>
          <w:color w:val="808080" w:themeColor="background1" w:themeShade="80"/>
          <w:sz w:val="22"/>
          <w:szCs w:val="22"/>
          <w:lang w:val="en-GB"/>
        </w:rPr>
        <w:t>u</w:t>
      </w:r>
      <w:r w:rsidR="005127BF">
        <w:rPr>
          <w:rFonts w:ascii="Avenir Next" w:hAnsi="Avenir Next" w:cs="Arial"/>
          <w:color w:val="808080" w:themeColor="background1" w:themeShade="80"/>
          <w:sz w:val="22"/>
          <w:szCs w:val="22"/>
          <w:lang w:val="en-GB"/>
        </w:rPr>
        <w:t>ct</w:t>
      </w:r>
      <w:r w:rsidR="001646C4">
        <w:rPr>
          <w:rFonts w:ascii="Avenir Next" w:hAnsi="Avenir Next" w:cs="Arial"/>
          <w:color w:val="808080" w:themeColor="background1" w:themeShade="80"/>
          <w:sz w:val="22"/>
          <w:szCs w:val="22"/>
          <w:lang w:val="en-GB"/>
        </w:rPr>
        <w:t>ur</w:t>
      </w:r>
      <w:r w:rsidR="005127BF">
        <w:rPr>
          <w:rFonts w:ascii="Avenir Next" w:hAnsi="Avenir Next" w:cs="Arial"/>
          <w:color w:val="808080" w:themeColor="background1" w:themeShade="80"/>
          <w:sz w:val="22"/>
          <w:szCs w:val="22"/>
          <w:lang w:val="en-GB"/>
        </w:rPr>
        <w:t xml:space="preserve">ing </w:t>
      </w:r>
      <w:r w:rsidR="001646C4">
        <w:rPr>
          <w:rFonts w:ascii="Avenir Next" w:hAnsi="Avenir Next" w:cs="Arial"/>
          <w:color w:val="808080" w:themeColor="background1" w:themeShade="80"/>
          <w:sz w:val="22"/>
          <w:szCs w:val="22"/>
          <w:lang w:val="en-GB"/>
        </w:rPr>
        <w:t>laws into a single statute. (</w:t>
      </w:r>
      <w:hyperlink r:id="rId12" w:history="1">
        <w:r w:rsidR="001646C4" w:rsidRPr="00A769F0">
          <w:rPr>
            <w:rStyle w:val="Hyperlink"/>
            <w:rFonts w:ascii="Avenir Next" w:hAnsi="Avenir Next" w:cs="Arial"/>
            <w:sz w:val="22"/>
            <w:szCs w:val="22"/>
            <w:lang w:val="en-GB"/>
          </w:rPr>
          <w:t>https://www.herbertsmithfreehills.com/latest-thinking/singapore-unveils-new-omnibus-insolvency-restructuring-and-dissolution-bill</w:t>
        </w:r>
      </w:hyperlink>
      <w:r w:rsidR="001646C4">
        <w:rPr>
          <w:rFonts w:ascii="Avenir Next" w:hAnsi="Avenir Next" w:cs="Arial"/>
          <w:color w:val="808080" w:themeColor="background1" w:themeShade="80"/>
          <w:sz w:val="22"/>
          <w:szCs w:val="22"/>
          <w:lang w:val="en-GB"/>
        </w:rPr>
        <w:t>).</w:t>
      </w:r>
    </w:p>
    <w:p w14:paraId="75205A25" w14:textId="752F3686" w:rsidR="003616C2" w:rsidRDefault="003616C2" w:rsidP="00692852">
      <w:pPr>
        <w:ind w:left="720" w:hanging="720"/>
        <w:jc w:val="both"/>
        <w:rPr>
          <w:rFonts w:ascii="Avenir Next" w:hAnsi="Avenir Next" w:cs="Arial"/>
          <w:color w:val="808080" w:themeColor="background1" w:themeShade="80"/>
          <w:sz w:val="22"/>
          <w:szCs w:val="22"/>
          <w:lang w:val="en-GB"/>
        </w:rPr>
      </w:pPr>
    </w:p>
    <w:p w14:paraId="2F4BA0E7" w14:textId="77777777" w:rsidR="003616C2" w:rsidRDefault="003616C2"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39A351A1" w:rsidR="00AB63DE" w:rsidRDefault="00954582"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Attempts were made by Canada and the United States in the 1970s to agree a bilateral insolvency treaty, however this was </w:t>
      </w:r>
      <w:proofErr w:type="gramStart"/>
      <w:r>
        <w:rPr>
          <w:rFonts w:ascii="Avenir Next" w:hAnsi="Avenir Next" w:cs="Arial"/>
          <w:color w:val="808080" w:themeColor="background1" w:themeShade="80"/>
          <w:sz w:val="22"/>
          <w:szCs w:val="22"/>
          <w:lang w:val="en-GB"/>
        </w:rPr>
        <w:t>unsuccessful</w:t>
      </w:r>
      <w:proofErr w:type="gramEnd"/>
      <w:r>
        <w:rPr>
          <w:rFonts w:ascii="Avenir Next" w:hAnsi="Avenir Next" w:cs="Arial"/>
          <w:color w:val="808080" w:themeColor="background1" w:themeShade="80"/>
          <w:sz w:val="22"/>
          <w:szCs w:val="22"/>
          <w:lang w:val="en-GB"/>
        </w:rPr>
        <w:t xml:space="preserve"> and agreement was not reached, possibl</w:t>
      </w:r>
      <w:r w:rsidR="000D43DD">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because the scope of the proposed agreement was too wide. </w:t>
      </w:r>
    </w:p>
    <w:p w14:paraId="1C832D7A" w14:textId="6F7460B5" w:rsidR="00C64273" w:rsidRDefault="00C64273" w:rsidP="001A5D67">
      <w:pPr>
        <w:jc w:val="both"/>
        <w:rPr>
          <w:rFonts w:ascii="Avenir Next" w:hAnsi="Avenir Next" w:cs="Arial"/>
          <w:color w:val="808080" w:themeColor="background1" w:themeShade="80"/>
          <w:sz w:val="22"/>
          <w:szCs w:val="22"/>
          <w:lang w:val="en-GB"/>
        </w:rPr>
      </w:pPr>
    </w:p>
    <w:p w14:paraId="57366C37" w14:textId="77777777" w:rsidR="006B4872" w:rsidRDefault="001A5D67" w:rsidP="001A5D6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much greater harmonisation of the insolvency issues in North America was achieved by t</w:t>
      </w:r>
      <w:r w:rsidR="00C64273">
        <w:rPr>
          <w:rFonts w:ascii="Avenir Next" w:hAnsi="Avenir Next" w:cs="Arial"/>
          <w:color w:val="808080" w:themeColor="background1" w:themeShade="80"/>
          <w:sz w:val="22"/>
          <w:szCs w:val="22"/>
          <w:lang w:val="en-GB"/>
        </w:rPr>
        <w:t>he US American Law Institute (ALI)</w:t>
      </w:r>
      <w:r>
        <w:rPr>
          <w:rFonts w:ascii="Avenir Next" w:hAnsi="Avenir Next" w:cs="Arial"/>
          <w:color w:val="808080" w:themeColor="background1" w:themeShade="80"/>
          <w:sz w:val="22"/>
          <w:szCs w:val="22"/>
          <w:lang w:val="en-GB"/>
        </w:rPr>
        <w:t xml:space="preserve"> instigation of the Transnational Insolvency Project (“the Project”) as an initiative to improve co-operation between NAFTA </w:t>
      </w:r>
      <w:r w:rsidR="00C64273">
        <w:rPr>
          <w:rFonts w:ascii="Avenir Next" w:hAnsi="Avenir Next" w:cs="Arial"/>
          <w:color w:val="808080" w:themeColor="background1" w:themeShade="80"/>
          <w:sz w:val="22"/>
          <w:szCs w:val="22"/>
          <w:lang w:val="en-GB"/>
        </w:rPr>
        <w:t xml:space="preserve">(North American Free Trade Agreement) </w:t>
      </w:r>
      <w:r>
        <w:rPr>
          <w:rFonts w:ascii="Avenir Next" w:hAnsi="Avenir Next" w:cs="Arial"/>
          <w:color w:val="808080" w:themeColor="background1" w:themeShade="80"/>
          <w:sz w:val="22"/>
          <w:szCs w:val="22"/>
          <w:lang w:val="en-GB"/>
        </w:rPr>
        <w:t>States. The Project appointed experts from each State, including Professor Westbrook, who produced an International Statement on each country’s insolvency laws as applicable to international cases. This resulted in the   Principles of Cooperation Among the NAFTA Countries, which</w:t>
      </w:r>
      <w:r w:rsidR="00C64273">
        <w:rPr>
          <w:rFonts w:ascii="Avenir Next" w:hAnsi="Avenir Next" w:cs="Arial"/>
          <w:color w:val="808080" w:themeColor="background1" w:themeShade="80"/>
          <w:sz w:val="22"/>
          <w:szCs w:val="22"/>
          <w:lang w:val="en-GB"/>
        </w:rPr>
        <w:t xml:space="preserve"> was </w:t>
      </w:r>
      <w:r>
        <w:rPr>
          <w:rFonts w:ascii="Avenir Next" w:hAnsi="Avenir Next" w:cs="Arial"/>
          <w:color w:val="808080" w:themeColor="background1" w:themeShade="80"/>
          <w:sz w:val="22"/>
          <w:szCs w:val="22"/>
          <w:lang w:val="en-GB"/>
        </w:rPr>
        <w:t>prepared and approved</w:t>
      </w:r>
      <w:r w:rsidR="00C64273">
        <w:rPr>
          <w:rFonts w:ascii="Avenir Next" w:hAnsi="Avenir Next" w:cs="Arial"/>
          <w:color w:val="808080" w:themeColor="background1" w:themeShade="80"/>
          <w:sz w:val="22"/>
          <w:szCs w:val="22"/>
          <w:lang w:val="en-GB"/>
        </w:rPr>
        <w:t xml:space="preserve"> in 200</w:t>
      </w:r>
      <w:r>
        <w:rPr>
          <w:rFonts w:ascii="Avenir Next" w:hAnsi="Avenir Next" w:cs="Arial"/>
          <w:color w:val="808080" w:themeColor="background1" w:themeShade="80"/>
          <w:sz w:val="22"/>
          <w:szCs w:val="22"/>
          <w:lang w:val="en-GB"/>
        </w:rPr>
        <w:t xml:space="preserve">0, and which set out General Principles, Procedural Principles and Recommendations for Legislation, focusing on corporate insolvency. </w:t>
      </w:r>
    </w:p>
    <w:p w14:paraId="50CA3909" w14:textId="77777777" w:rsidR="006B4872" w:rsidRDefault="006B4872" w:rsidP="001A5D67">
      <w:pPr>
        <w:ind w:left="720" w:hanging="720"/>
        <w:jc w:val="both"/>
        <w:rPr>
          <w:rFonts w:ascii="Avenir Next" w:hAnsi="Avenir Next" w:cs="Arial"/>
          <w:color w:val="808080" w:themeColor="background1" w:themeShade="80"/>
          <w:sz w:val="22"/>
          <w:szCs w:val="22"/>
          <w:lang w:val="en-GB"/>
        </w:rPr>
      </w:pPr>
    </w:p>
    <w:p w14:paraId="5EAEF338" w14:textId="5DE261AE" w:rsidR="00C64273" w:rsidRPr="00AB63DE" w:rsidRDefault="006B4872" w:rsidP="001A5D6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gramStart"/>
      <w:r>
        <w:rPr>
          <w:rFonts w:ascii="Avenir Next" w:hAnsi="Avenir Next" w:cs="Arial"/>
          <w:color w:val="808080" w:themeColor="background1" w:themeShade="80"/>
          <w:sz w:val="22"/>
          <w:szCs w:val="22"/>
          <w:lang w:val="en-GB"/>
        </w:rPr>
        <w:t>Principles</w:t>
      </w:r>
      <w:proofErr w:type="gramEnd"/>
      <w:r>
        <w:rPr>
          <w:rFonts w:ascii="Avenir Next" w:hAnsi="Avenir Next" w:cs="Arial"/>
          <w:color w:val="808080" w:themeColor="background1" w:themeShade="80"/>
          <w:sz w:val="22"/>
          <w:szCs w:val="22"/>
          <w:lang w:val="en-GB"/>
        </w:rPr>
        <w:t xml:space="preserve"> recommended that the NAFTA countries adopt the UNICTRAL Model Law, which Mexico did in 2000. The United States and Canada followed suit in 2005.</w:t>
      </w:r>
    </w:p>
    <w:p w14:paraId="56AA3BE6" w14:textId="77777777" w:rsidR="001A5D67" w:rsidRDefault="001A5D67" w:rsidP="006B4872">
      <w:pPr>
        <w:jc w:val="both"/>
        <w:rPr>
          <w:rFonts w:ascii="Avenir Next" w:hAnsi="Avenir Next" w:cs="Arial"/>
          <w:color w:val="808080" w:themeColor="background1" w:themeShade="80"/>
          <w:sz w:val="22"/>
          <w:szCs w:val="22"/>
          <w:lang w:val="en-GB"/>
        </w:rPr>
      </w:pPr>
    </w:p>
    <w:p w14:paraId="5BC8D466" w14:textId="497F550B" w:rsidR="001A5D67" w:rsidRDefault="001A5D67" w:rsidP="001A5D6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example of the Courts of the United States and Canada working co-operatively pursuant to the provisions of the Model Law can be seen in Re Nortel Networks Corporation [2016] ONCA 332. The Canadian and United States Courts reached independent but co-ordinated decisions, albeit the litigation was vastly expensive and time-consuming. Westbrook considers that the case could have been dealt with far more effectively had either Court been able to manage the case centrally (see Westbrook, “Global Insolvency Proceedings for a Global Market” (2018) 96 </w:t>
      </w:r>
      <w:r w:rsidRPr="00C16B89">
        <w:rPr>
          <w:rFonts w:ascii="Avenir Next" w:hAnsi="Avenir Next" w:cs="Arial"/>
          <w:i/>
          <w:iCs/>
          <w:color w:val="808080" w:themeColor="background1" w:themeShade="80"/>
          <w:sz w:val="22"/>
          <w:szCs w:val="22"/>
          <w:lang w:val="en-GB"/>
        </w:rPr>
        <w:t>Texas Law Review</w:t>
      </w:r>
      <w:r>
        <w:rPr>
          <w:rFonts w:ascii="Avenir Next" w:hAnsi="Avenir Next" w:cs="Arial"/>
          <w:color w:val="808080" w:themeColor="background1" w:themeShade="80"/>
          <w:sz w:val="22"/>
          <w:szCs w:val="22"/>
          <w:lang w:val="en-GB"/>
        </w:rPr>
        <w:t xml:space="preserve"> 1473 at p.134). </w:t>
      </w:r>
      <w:r w:rsidR="006B4872">
        <w:rPr>
          <w:rFonts w:ascii="Avenir Next" w:hAnsi="Avenir Next" w:cs="Arial"/>
          <w:color w:val="808080" w:themeColor="background1" w:themeShade="80"/>
          <w:sz w:val="22"/>
          <w:szCs w:val="22"/>
          <w:lang w:val="en-GB"/>
        </w:rPr>
        <w:t xml:space="preserve">It could be said that </w:t>
      </w:r>
      <w:r w:rsidR="006B4872">
        <w:rPr>
          <w:rFonts w:ascii="Avenir Next" w:hAnsi="Avenir Next" w:cs="Arial"/>
          <w:i/>
          <w:iCs/>
          <w:color w:val="808080" w:themeColor="background1" w:themeShade="80"/>
          <w:sz w:val="22"/>
          <w:szCs w:val="22"/>
          <w:lang w:val="en-GB"/>
        </w:rPr>
        <w:t>Re Nortel</w:t>
      </w:r>
      <w:r w:rsidR="006B4872">
        <w:rPr>
          <w:rFonts w:ascii="Avenir Next" w:hAnsi="Avenir Next" w:cs="Arial"/>
          <w:color w:val="808080" w:themeColor="background1" w:themeShade="80"/>
          <w:sz w:val="22"/>
          <w:szCs w:val="22"/>
          <w:lang w:val="en-GB"/>
        </w:rPr>
        <w:t xml:space="preserve"> demonstrates effective co-operation between the Courts, which nevertheless demonstrates room for improvement. This would have been achieved if only one of the States’ Courts had been </w:t>
      </w:r>
      <w:proofErr w:type="spellStart"/>
      <w:r w:rsidR="006B4872">
        <w:rPr>
          <w:rFonts w:ascii="Avenir Next" w:hAnsi="Avenir Next" w:cs="Arial"/>
          <w:color w:val="808080" w:themeColor="background1" w:themeShade="80"/>
          <w:sz w:val="22"/>
          <w:szCs w:val="22"/>
          <w:lang w:val="en-GB"/>
        </w:rPr>
        <w:t>seised</w:t>
      </w:r>
      <w:proofErr w:type="spellEnd"/>
      <w:r w:rsidR="006B4872">
        <w:rPr>
          <w:rFonts w:ascii="Avenir Next" w:hAnsi="Avenir Next" w:cs="Arial"/>
          <w:color w:val="808080" w:themeColor="background1" w:themeShade="80"/>
          <w:sz w:val="22"/>
          <w:szCs w:val="22"/>
          <w:lang w:val="en-GB"/>
        </w:rPr>
        <w:t xml:space="preserve"> of the case. </w:t>
      </w:r>
    </w:p>
    <w:p w14:paraId="071072BE" w14:textId="77777777" w:rsidR="001A5D67" w:rsidRDefault="001A5D67"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 xml:space="preserve">various </w:t>
      </w:r>
      <w:r w:rsidR="00F801C5" w:rsidRPr="000D43DD">
        <w:rPr>
          <w:rFonts w:ascii="Avenir Next" w:hAnsi="Avenir Next" w:cs="Arial"/>
          <w:sz w:val="22"/>
          <w:szCs w:val="22"/>
          <w:lang w:val="en-GB"/>
        </w:rPr>
        <w:t>jurisdictions</w:t>
      </w:r>
      <w:r w:rsidR="00092378" w:rsidRPr="000D43DD">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0D43DD">
        <w:rPr>
          <w:rFonts w:ascii="Avenir Next" w:hAnsi="Avenir Next" w:cs="Arial"/>
          <w:sz w:val="22"/>
          <w:szCs w:val="22"/>
          <w:lang w:val="en-GB"/>
        </w:rPr>
        <w:t>,</w:t>
      </w:r>
      <w:r w:rsidR="00092378" w:rsidRPr="000D43DD">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4216EA">
        <w:rPr>
          <w:rFonts w:ascii="Avenir Next" w:hAnsi="Avenir Next" w:cs="Arial"/>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421E3913" w14:textId="77777777" w:rsidR="0036160E" w:rsidRDefault="00BD3834" w:rsidP="0036160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 key objective of the insolvency law of most legal systems to provide for a legal mechanism which addresses the collective satisfaction of outstanding claims from the assets of the debtor.  (UNCITRAL Legislative Guide on Insolvency Law, </w:t>
      </w:r>
      <w:r w:rsidR="00FD5AC7">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l.1.) It is in th</w:t>
      </w:r>
      <w:r w:rsidR="00FD5AC7">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context </w:t>
      </w:r>
      <w:r w:rsidR="00FD5AC7">
        <w:rPr>
          <w:rFonts w:ascii="Avenir Next" w:hAnsi="Avenir Next" w:cs="Arial"/>
          <w:color w:val="808080" w:themeColor="background1" w:themeShade="80"/>
          <w:sz w:val="22"/>
          <w:szCs w:val="22"/>
          <w:lang w:val="en-GB"/>
        </w:rPr>
        <w:t xml:space="preserve">of collective action </w:t>
      </w:r>
      <w:r>
        <w:rPr>
          <w:rFonts w:ascii="Avenir Next" w:hAnsi="Avenir Next" w:cs="Arial"/>
          <w:color w:val="808080" w:themeColor="background1" w:themeShade="80"/>
          <w:sz w:val="22"/>
          <w:szCs w:val="22"/>
          <w:lang w:val="en-GB"/>
        </w:rPr>
        <w:t>that it is essential to discourage individual creditors from pursuing their debts following the commencement of insolvency proceeding</w:t>
      </w:r>
      <w:r w:rsidR="00FD5AC7">
        <w:rPr>
          <w:rFonts w:ascii="Avenir Next" w:hAnsi="Avenir Next" w:cs="Arial"/>
          <w:color w:val="808080" w:themeColor="background1" w:themeShade="80"/>
          <w:sz w:val="22"/>
          <w:szCs w:val="22"/>
          <w:lang w:val="en-GB"/>
        </w:rPr>
        <w:t>s.</w:t>
      </w:r>
    </w:p>
    <w:p w14:paraId="066066F5" w14:textId="77777777" w:rsidR="0036160E" w:rsidRDefault="0036160E" w:rsidP="0036160E">
      <w:pPr>
        <w:ind w:left="720" w:hanging="720"/>
        <w:jc w:val="both"/>
        <w:rPr>
          <w:rFonts w:ascii="Avenir Next" w:hAnsi="Avenir Next" w:cs="Arial"/>
          <w:color w:val="808080" w:themeColor="background1" w:themeShade="80"/>
          <w:sz w:val="22"/>
          <w:szCs w:val="22"/>
          <w:lang w:val="en-GB"/>
        </w:rPr>
      </w:pPr>
    </w:p>
    <w:p w14:paraId="6D567CD1" w14:textId="3B5A6E97" w:rsidR="00BD3834" w:rsidRDefault="00BD3834" w:rsidP="0036160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law may also provide that transactions which take place prior to th</w:t>
      </w:r>
      <w:r w:rsidR="0036160E">
        <w:rPr>
          <w:rFonts w:ascii="Avenir Next" w:hAnsi="Avenir Next" w:cs="Arial"/>
          <w:color w:val="808080" w:themeColor="background1" w:themeShade="80"/>
          <w:sz w:val="22"/>
          <w:szCs w:val="22"/>
          <w:lang w:val="en-GB"/>
        </w:rPr>
        <w:t xml:space="preserve">e commencement of insolvency </w:t>
      </w:r>
      <w:r>
        <w:rPr>
          <w:rFonts w:ascii="Avenir Next" w:hAnsi="Avenir Next" w:cs="Arial"/>
          <w:color w:val="808080" w:themeColor="background1" w:themeShade="80"/>
          <w:sz w:val="22"/>
          <w:szCs w:val="22"/>
          <w:lang w:val="en-GB"/>
        </w:rPr>
        <w:t>proceedings should also be subject to investigation and, potentially, be set aside</w:t>
      </w:r>
      <w:r w:rsidR="00FD5AC7">
        <w:rPr>
          <w:rFonts w:ascii="Avenir Next" w:hAnsi="Avenir Next" w:cs="Arial"/>
          <w:color w:val="808080" w:themeColor="background1" w:themeShade="80"/>
          <w:sz w:val="22"/>
          <w:szCs w:val="22"/>
          <w:lang w:val="en-GB"/>
        </w:rPr>
        <w:t>, thereby furthering the objective of ensuring that creditors receive a fair allocation of the debtor’s assets</w:t>
      </w:r>
      <w:r>
        <w:rPr>
          <w:rFonts w:ascii="Avenir Next" w:hAnsi="Avenir Next" w:cs="Arial"/>
          <w:color w:val="808080" w:themeColor="background1" w:themeShade="80"/>
          <w:sz w:val="22"/>
          <w:szCs w:val="22"/>
          <w:lang w:val="en-GB"/>
        </w:rPr>
        <w:t xml:space="preserve">. </w:t>
      </w:r>
      <w:r w:rsidR="00FD5AC7">
        <w:rPr>
          <w:rFonts w:ascii="Avenir Next" w:hAnsi="Avenir Next" w:cs="Arial"/>
          <w:color w:val="808080" w:themeColor="background1" w:themeShade="80"/>
          <w:sz w:val="22"/>
          <w:szCs w:val="22"/>
          <w:lang w:val="en-GB"/>
        </w:rPr>
        <w:t>(UNCITRAL Legislative Guide on Insolvency Law, cl.151)</w:t>
      </w:r>
    </w:p>
    <w:p w14:paraId="1751696E" w14:textId="29465AE2" w:rsidR="0036160E" w:rsidRDefault="0036160E" w:rsidP="0036160E">
      <w:pPr>
        <w:ind w:left="720" w:hanging="720"/>
        <w:jc w:val="both"/>
        <w:rPr>
          <w:rFonts w:ascii="Avenir Next" w:hAnsi="Avenir Next" w:cs="Arial"/>
          <w:color w:val="808080" w:themeColor="background1" w:themeShade="80"/>
          <w:sz w:val="22"/>
          <w:szCs w:val="22"/>
          <w:lang w:val="en-GB"/>
        </w:rPr>
      </w:pPr>
    </w:p>
    <w:p w14:paraId="0B19533E" w14:textId="2D0B6ED6" w:rsidR="0036160E" w:rsidRDefault="0036160E" w:rsidP="0036160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rules are crucial in insolvency</w:t>
      </w:r>
      <w:r w:rsidR="00146B25">
        <w:rPr>
          <w:rFonts w:ascii="Avenir Next" w:hAnsi="Avenir Next" w:cs="Arial"/>
          <w:color w:val="808080" w:themeColor="background1" w:themeShade="80"/>
          <w:sz w:val="22"/>
          <w:szCs w:val="22"/>
          <w:lang w:val="en-GB"/>
        </w:rPr>
        <w:t xml:space="preserve"> and have as their aims preventing fraud, ensuring the equitable treatment of creditors, preventing a sudden loss of value shortly before the commencement of insolvency proceedings to the detriment of the body of creditors and, in some jurisdictions, encouraging out of court settlements.  </w:t>
      </w:r>
    </w:p>
    <w:p w14:paraId="5F305A02" w14:textId="77777777" w:rsidR="00BD3834" w:rsidRDefault="00BD3834" w:rsidP="00AB63DE">
      <w:pPr>
        <w:ind w:left="720" w:hanging="720"/>
        <w:jc w:val="both"/>
        <w:rPr>
          <w:rFonts w:ascii="Avenir Next" w:hAnsi="Avenir Next" w:cs="Arial"/>
          <w:color w:val="808080" w:themeColor="background1" w:themeShade="80"/>
          <w:sz w:val="22"/>
          <w:szCs w:val="22"/>
          <w:lang w:val="en-GB"/>
        </w:rPr>
      </w:pPr>
    </w:p>
    <w:p w14:paraId="6CD3308E" w14:textId="5BB2CAB4" w:rsidR="004E68F8" w:rsidRPr="00AB63DE" w:rsidRDefault="004E68F8" w:rsidP="0036160E">
      <w:pPr>
        <w:ind w:left="720" w:hanging="720"/>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Actio</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forms the basis of the law relating to fraudulent conveyances in civil law systems</w:t>
      </w:r>
      <w:r w:rsidR="0036160E">
        <w:rPr>
          <w:rFonts w:ascii="Avenir Next" w:hAnsi="Avenir Next" w:cs="Arial"/>
          <w:color w:val="808080" w:themeColor="background1" w:themeShade="80"/>
          <w:sz w:val="22"/>
          <w:szCs w:val="22"/>
          <w:lang w:val="en-GB"/>
        </w:rPr>
        <w:t xml:space="preserve"> and t</w:t>
      </w:r>
      <w:r>
        <w:rPr>
          <w:rFonts w:ascii="Avenir Next" w:hAnsi="Avenir Next" w:cs="Arial"/>
          <w:color w:val="808080" w:themeColor="background1" w:themeShade="80"/>
          <w:sz w:val="22"/>
          <w:szCs w:val="22"/>
          <w:lang w:val="en-GB"/>
        </w:rPr>
        <w:t xml:space="preserve">he Act of Elizabeth of 1570 is the basis of the equivalent remedy in English </w:t>
      </w:r>
      <w:r w:rsidR="0036160E">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aw</w:t>
      </w:r>
      <w:r w:rsidR="0036160E">
        <w:rPr>
          <w:rFonts w:ascii="Avenir Next" w:hAnsi="Avenir Next" w:cs="Arial"/>
          <w:color w:val="808080" w:themeColor="background1" w:themeShade="80"/>
          <w:sz w:val="22"/>
          <w:szCs w:val="22"/>
          <w:lang w:val="en-GB"/>
        </w:rPr>
        <w:t xml:space="preserve"> systems. As a result of the laws of those different systems having developed from different sources, the laws of voidable dispositions still differ vastly in civil and English law systems, </w:t>
      </w:r>
      <w:proofErr w:type="gramStart"/>
      <w:r w:rsidR="0036160E">
        <w:rPr>
          <w:rFonts w:ascii="Avenir Next" w:hAnsi="Avenir Next" w:cs="Arial"/>
          <w:color w:val="808080" w:themeColor="background1" w:themeShade="80"/>
          <w:sz w:val="22"/>
          <w:szCs w:val="22"/>
          <w:lang w:val="en-GB"/>
        </w:rPr>
        <w:t>in particular in</w:t>
      </w:r>
      <w:proofErr w:type="gramEnd"/>
      <w:r w:rsidR="0036160E">
        <w:rPr>
          <w:rFonts w:ascii="Avenir Next" w:hAnsi="Avenir Next" w:cs="Arial"/>
          <w:color w:val="808080" w:themeColor="background1" w:themeShade="80"/>
          <w:sz w:val="22"/>
          <w:szCs w:val="22"/>
          <w:lang w:val="en-GB"/>
        </w:rPr>
        <w:t xml:space="preserve"> relation to the detail for the requirements for the remedies to be applied.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lastRenderedPageBreak/>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235D71D1" w14:textId="77777777" w:rsidR="009F64E9" w:rsidRDefault="009F64E9" w:rsidP="00692852">
      <w:pPr>
        <w:jc w:val="both"/>
        <w:rPr>
          <w:rFonts w:ascii="Avenir Next" w:hAnsi="Avenir Next" w:cs="Arial"/>
          <w:sz w:val="22"/>
          <w:szCs w:val="22"/>
        </w:rPr>
      </w:pPr>
    </w:p>
    <w:p w14:paraId="71DD5A61" w14:textId="77777777" w:rsidR="009F64E9" w:rsidRDefault="009F64E9" w:rsidP="00692852">
      <w:pPr>
        <w:jc w:val="both"/>
        <w:rPr>
          <w:rFonts w:ascii="Avenir Next" w:hAnsi="Avenir Next" w:cs="Arial"/>
          <w:sz w:val="22"/>
          <w:szCs w:val="22"/>
        </w:rPr>
      </w:pPr>
    </w:p>
    <w:p w14:paraId="01BDF633" w14:textId="354CD386" w:rsidR="009F64E9" w:rsidRDefault="009F64E9" w:rsidP="009F64E9">
      <w:pPr>
        <w:jc w:val="both"/>
        <w:rPr>
          <w:rFonts w:ascii="Avenir Next" w:hAnsi="Avenir Next" w:cs="Arial"/>
          <w:color w:val="808080" w:themeColor="background1" w:themeShade="80"/>
          <w:sz w:val="22"/>
          <w:szCs w:val="22"/>
        </w:rPr>
      </w:pPr>
      <w:r w:rsidRPr="009F64E9">
        <w:rPr>
          <w:rFonts w:ascii="Avenir Next" w:hAnsi="Avenir Next" w:cs="Arial"/>
          <w:color w:val="808080" w:themeColor="background1" w:themeShade="80"/>
          <w:sz w:val="22"/>
          <w:szCs w:val="22"/>
        </w:rPr>
        <w:t xml:space="preserve">Wessels acknowledges that the definition is limited because it presupposes a national legal framework of insolvency law. </w:t>
      </w:r>
      <w:r>
        <w:rPr>
          <w:rFonts w:ascii="Avenir Next" w:hAnsi="Avenir Next" w:cs="Arial"/>
          <w:color w:val="808080" w:themeColor="background1" w:themeShade="80"/>
          <w:sz w:val="22"/>
          <w:szCs w:val="22"/>
        </w:rPr>
        <w:t xml:space="preserve">The same limitation can be seen in Fletcher’s definition of international insolvency law, which expressly refers to a “single set of domestic insolvency provisions”. </w:t>
      </w:r>
    </w:p>
    <w:p w14:paraId="5F5B8854" w14:textId="5589F7C0" w:rsidR="00D00253" w:rsidRDefault="00D00253" w:rsidP="009F64E9">
      <w:pPr>
        <w:jc w:val="both"/>
        <w:rPr>
          <w:rFonts w:ascii="Avenir Next" w:hAnsi="Avenir Next" w:cs="Arial"/>
          <w:color w:val="808080" w:themeColor="background1" w:themeShade="80"/>
          <w:sz w:val="22"/>
          <w:szCs w:val="22"/>
        </w:rPr>
      </w:pPr>
    </w:p>
    <w:p w14:paraId="28277BFF" w14:textId="77777777" w:rsidR="003952C5" w:rsidRDefault="00A025D2" w:rsidP="009F64E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This is problematic </w:t>
      </w:r>
      <w:r w:rsidR="003952C5">
        <w:rPr>
          <w:rFonts w:ascii="Avenir Next" w:hAnsi="Avenir Next" w:cs="Arial"/>
          <w:color w:val="808080" w:themeColor="background1" w:themeShade="80"/>
          <w:sz w:val="22"/>
          <w:szCs w:val="22"/>
        </w:rPr>
        <w:t>as</w:t>
      </w:r>
      <w:r>
        <w:rPr>
          <w:rFonts w:ascii="Avenir Next" w:hAnsi="Avenir Next" w:cs="Arial"/>
          <w:color w:val="808080" w:themeColor="background1" w:themeShade="80"/>
          <w:sz w:val="22"/>
          <w:szCs w:val="22"/>
        </w:rPr>
        <w:t xml:space="preserve"> it assumes that there is a single national law, even in multi-state jurisdictions,</w:t>
      </w:r>
      <w:r w:rsidR="003952C5">
        <w:rPr>
          <w:rFonts w:ascii="Avenir Next" w:hAnsi="Avenir Next" w:cs="Arial"/>
          <w:color w:val="808080" w:themeColor="background1" w:themeShade="80"/>
          <w:sz w:val="22"/>
          <w:szCs w:val="22"/>
        </w:rPr>
        <w:t xml:space="preserve"> which is not universally the case.</w:t>
      </w:r>
    </w:p>
    <w:p w14:paraId="7FDAFF85" w14:textId="77777777" w:rsidR="003952C5" w:rsidRDefault="003952C5" w:rsidP="009F64E9">
      <w:pPr>
        <w:jc w:val="both"/>
        <w:rPr>
          <w:rFonts w:ascii="Avenir Next" w:hAnsi="Avenir Next" w:cs="Arial"/>
          <w:color w:val="808080" w:themeColor="background1" w:themeShade="80"/>
          <w:sz w:val="22"/>
          <w:szCs w:val="22"/>
        </w:rPr>
      </w:pPr>
    </w:p>
    <w:p w14:paraId="000B7659" w14:textId="30E13E7A" w:rsidR="003952C5" w:rsidRDefault="003952C5" w:rsidP="009F64E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w:t>
      </w:r>
      <w:r w:rsidR="00A025D2">
        <w:rPr>
          <w:rFonts w:ascii="Avenir Next" w:hAnsi="Avenir Next" w:cs="Arial"/>
          <w:color w:val="808080" w:themeColor="background1" w:themeShade="80"/>
          <w:sz w:val="22"/>
          <w:szCs w:val="22"/>
        </w:rPr>
        <w:t xml:space="preserve"> also discriminates between domestic law and the international aspect of a case</w:t>
      </w:r>
      <w:r>
        <w:rPr>
          <w:rFonts w:ascii="Avenir Next" w:hAnsi="Avenir Next" w:cs="Arial"/>
          <w:color w:val="808080" w:themeColor="background1" w:themeShade="80"/>
          <w:sz w:val="22"/>
          <w:szCs w:val="22"/>
        </w:rPr>
        <w:t xml:space="preserve">, whereas the reality is that national borders are becoming increasingly irrelevant in the current world economy, in which financial investments in foreign countries are common, capital markets have been deregulated and foreign exchange controls have been relaxed or abolished. </w:t>
      </w:r>
    </w:p>
    <w:p w14:paraId="5AB5BAA1" w14:textId="77777777" w:rsidR="003952C5" w:rsidRDefault="003952C5" w:rsidP="009F64E9">
      <w:pPr>
        <w:jc w:val="both"/>
        <w:rPr>
          <w:rFonts w:ascii="Avenir Next" w:hAnsi="Avenir Next" w:cs="Arial"/>
          <w:color w:val="808080" w:themeColor="background1" w:themeShade="80"/>
          <w:sz w:val="22"/>
          <w:szCs w:val="22"/>
        </w:rPr>
      </w:pPr>
    </w:p>
    <w:p w14:paraId="56BAEE6C" w14:textId="3EAAE185" w:rsidR="00A025D2" w:rsidRDefault="003952C5" w:rsidP="009F64E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effect of th</w:t>
      </w:r>
      <w:r w:rsidR="00057EF2">
        <w:rPr>
          <w:rFonts w:ascii="Avenir Next" w:hAnsi="Avenir Next" w:cs="Arial"/>
          <w:color w:val="808080" w:themeColor="background1" w:themeShade="80"/>
          <w:sz w:val="22"/>
          <w:szCs w:val="22"/>
        </w:rPr>
        <w:t xml:space="preserve">e </w:t>
      </w:r>
      <w:r w:rsidR="003A4B85">
        <w:rPr>
          <w:rFonts w:ascii="Avenir Next" w:hAnsi="Avenir Next" w:cs="Arial"/>
          <w:color w:val="808080" w:themeColor="background1" w:themeShade="80"/>
          <w:sz w:val="22"/>
          <w:szCs w:val="22"/>
        </w:rPr>
        <w:t>way</w:t>
      </w:r>
      <w:r w:rsidR="00057EF2" w:rsidRPr="00057EF2">
        <w:rPr>
          <w:rFonts w:ascii="Avenir Next" w:hAnsi="Avenir Next" w:cs="Arial"/>
          <w:color w:val="808080" w:themeColor="background1" w:themeShade="80"/>
          <w:sz w:val="22"/>
          <w:szCs w:val="22"/>
        </w:rPr>
        <w:t xml:space="preserve"> </w:t>
      </w:r>
      <w:r w:rsidR="00057EF2">
        <w:rPr>
          <w:rFonts w:ascii="Avenir Next" w:hAnsi="Avenir Next" w:cs="Arial"/>
          <w:color w:val="808080" w:themeColor="background1" w:themeShade="80"/>
          <w:sz w:val="22"/>
          <w:szCs w:val="22"/>
        </w:rPr>
        <w:t>businesses, individuals and States are interacting in modern times</w:t>
      </w:r>
      <w:r>
        <w:rPr>
          <w:rFonts w:ascii="Avenir Next" w:hAnsi="Avenir Next" w:cs="Arial"/>
          <w:color w:val="808080" w:themeColor="background1" w:themeShade="80"/>
          <w:sz w:val="22"/>
          <w:szCs w:val="22"/>
        </w:rPr>
        <w:t xml:space="preserve"> is that</w:t>
      </w:r>
      <w:r w:rsidR="00057EF2">
        <w:rPr>
          <w:rFonts w:ascii="Avenir Next" w:hAnsi="Avenir Next" w:cs="Arial"/>
          <w:color w:val="808080" w:themeColor="background1" w:themeShade="80"/>
          <w:sz w:val="22"/>
          <w:szCs w:val="22"/>
        </w:rPr>
        <w:t xml:space="preserve"> most significant corporate insolvencies affect more than one State (and the same is likely true of high-net-worth individuals) and a case will, </w:t>
      </w:r>
      <w:proofErr w:type="gramStart"/>
      <w:r w:rsidR="00057EF2">
        <w:rPr>
          <w:rFonts w:ascii="Avenir Next" w:hAnsi="Avenir Next" w:cs="Arial"/>
          <w:color w:val="808080" w:themeColor="background1" w:themeShade="80"/>
          <w:sz w:val="22"/>
          <w:szCs w:val="22"/>
        </w:rPr>
        <w:t>more often than not</w:t>
      </w:r>
      <w:proofErr w:type="gramEnd"/>
      <w:r w:rsidR="00057EF2">
        <w:rPr>
          <w:rFonts w:ascii="Avenir Next" w:hAnsi="Avenir Next" w:cs="Arial"/>
          <w:color w:val="808080" w:themeColor="background1" w:themeShade="80"/>
          <w:sz w:val="22"/>
          <w:szCs w:val="22"/>
        </w:rPr>
        <w:t xml:space="preserve">, have international aspects. </w:t>
      </w:r>
    </w:p>
    <w:p w14:paraId="12915877" w14:textId="6CFB89C5" w:rsidR="003952C5" w:rsidRDefault="003952C5" w:rsidP="009F64E9">
      <w:pPr>
        <w:jc w:val="both"/>
        <w:rPr>
          <w:rFonts w:ascii="Avenir Next" w:hAnsi="Avenir Next" w:cs="Arial"/>
          <w:color w:val="808080" w:themeColor="background1" w:themeShade="80"/>
          <w:sz w:val="22"/>
          <w:szCs w:val="22"/>
        </w:rPr>
      </w:pPr>
    </w:p>
    <w:p w14:paraId="4492BE03" w14:textId="0E944579" w:rsidR="003952C5" w:rsidRDefault="00057EF2" w:rsidP="009F64E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Even 200 years ago, t</w:t>
      </w:r>
      <w:r w:rsidR="00A025D2">
        <w:rPr>
          <w:rFonts w:ascii="Avenir Next" w:hAnsi="Avenir Next" w:cs="Arial"/>
          <w:color w:val="808080" w:themeColor="background1" w:themeShade="80"/>
          <w:sz w:val="22"/>
          <w:szCs w:val="22"/>
        </w:rPr>
        <w:t xml:space="preserve">he founding fathers recognized that there had to be one single set of national insolvency proceedings to be applied as a matter of federal, and not state, law. </w:t>
      </w:r>
      <w:r w:rsidR="003952C5">
        <w:rPr>
          <w:rFonts w:ascii="Avenir Next" w:hAnsi="Avenir Next" w:cs="Arial"/>
          <w:color w:val="808080" w:themeColor="background1" w:themeShade="80"/>
          <w:sz w:val="22"/>
          <w:szCs w:val="22"/>
        </w:rPr>
        <w:t xml:space="preserve">This acknowledges the principle that a common market with a free flow of goods and services, capital and </w:t>
      </w:r>
      <w:r w:rsidR="003A4B85">
        <w:rPr>
          <w:rFonts w:ascii="Avenir Next" w:hAnsi="Avenir Next" w:cs="Arial"/>
          <w:color w:val="808080" w:themeColor="background1" w:themeShade="80"/>
          <w:sz w:val="22"/>
          <w:szCs w:val="22"/>
        </w:rPr>
        <w:t>labor</w:t>
      </w:r>
      <w:r w:rsidR="003952C5">
        <w:rPr>
          <w:rFonts w:ascii="Avenir Next" w:hAnsi="Avenir Next" w:cs="Arial"/>
          <w:color w:val="808080" w:themeColor="background1" w:themeShade="80"/>
          <w:sz w:val="22"/>
          <w:szCs w:val="22"/>
        </w:rPr>
        <w:t xml:space="preserve"> </w:t>
      </w:r>
      <w:proofErr w:type="gramStart"/>
      <w:r w:rsidR="003952C5">
        <w:rPr>
          <w:rFonts w:ascii="Avenir Next" w:hAnsi="Avenir Next" w:cs="Arial"/>
          <w:color w:val="808080" w:themeColor="background1" w:themeShade="80"/>
          <w:sz w:val="22"/>
          <w:szCs w:val="22"/>
        </w:rPr>
        <w:t>requires</w:t>
      </w:r>
      <w:proofErr w:type="gramEnd"/>
      <w:r w:rsidR="003952C5">
        <w:rPr>
          <w:rFonts w:ascii="Avenir Next" w:hAnsi="Avenir Next" w:cs="Arial"/>
          <w:color w:val="808080" w:themeColor="background1" w:themeShade="80"/>
          <w:sz w:val="22"/>
          <w:szCs w:val="22"/>
        </w:rPr>
        <w:t xml:space="preserve"> an overarching and and standardized insolvency law. </w:t>
      </w:r>
      <w:r>
        <w:rPr>
          <w:rFonts w:ascii="Avenir Next" w:hAnsi="Avenir Next" w:cs="Arial"/>
          <w:color w:val="808080" w:themeColor="background1" w:themeShade="80"/>
          <w:sz w:val="22"/>
          <w:szCs w:val="22"/>
        </w:rPr>
        <w:t xml:space="preserve">The same is true of a wider common market; the EU standardized the insolvency laws of member States for the same reason. </w:t>
      </w:r>
    </w:p>
    <w:p w14:paraId="2BA5DCB9" w14:textId="151160EE" w:rsidR="00057EF2" w:rsidRDefault="00057EF2" w:rsidP="009F64E9">
      <w:pPr>
        <w:jc w:val="both"/>
        <w:rPr>
          <w:rFonts w:ascii="Avenir Next" w:hAnsi="Avenir Next" w:cs="Arial"/>
          <w:color w:val="808080" w:themeColor="background1" w:themeShade="80"/>
          <w:sz w:val="22"/>
          <w:szCs w:val="22"/>
        </w:rPr>
      </w:pPr>
    </w:p>
    <w:p w14:paraId="56C03505" w14:textId="39439D0C" w:rsidR="00057EF2" w:rsidRDefault="00057EF2" w:rsidP="009F64E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This highlights the inadequacy of most domestic legal systems to deal with cross-border insolvencies, which is becoming increasingly important in the current world economy in which “the international aspect of a given case”, as described by Wessels, will more often be present than not. </w:t>
      </w:r>
    </w:p>
    <w:p w14:paraId="5782695D" w14:textId="50E24DAF" w:rsidR="003952C5" w:rsidRDefault="003952C5" w:rsidP="009F64E9">
      <w:pPr>
        <w:jc w:val="both"/>
        <w:rPr>
          <w:rFonts w:ascii="Avenir Next" w:hAnsi="Avenir Next" w:cs="Arial"/>
          <w:color w:val="808080" w:themeColor="background1" w:themeShade="80"/>
          <w:sz w:val="22"/>
          <w:szCs w:val="22"/>
        </w:rPr>
      </w:pPr>
    </w:p>
    <w:p w14:paraId="77A5C990" w14:textId="2E328523" w:rsidR="009F64E9" w:rsidRDefault="009F64E9" w:rsidP="009F64E9">
      <w:pPr>
        <w:jc w:val="both"/>
        <w:rPr>
          <w:rFonts w:ascii="Avenir Next" w:hAnsi="Avenir Next" w:cs="Arial"/>
          <w:color w:val="808080" w:themeColor="background1" w:themeShade="80"/>
          <w:sz w:val="22"/>
          <w:szCs w:val="22"/>
        </w:rPr>
      </w:pPr>
    </w:p>
    <w:p w14:paraId="632A51E0" w14:textId="77777777" w:rsidR="009F64E9" w:rsidRPr="009F64E9" w:rsidRDefault="009F64E9" w:rsidP="009F64E9">
      <w:pPr>
        <w:jc w:val="both"/>
        <w:rPr>
          <w:rFonts w:ascii="Avenir Next" w:hAnsi="Avenir Next" w:cs="Arial"/>
          <w:color w:val="808080" w:themeColor="background1" w:themeShade="80"/>
          <w:sz w:val="22"/>
          <w:szCs w:val="22"/>
        </w:rPr>
      </w:pPr>
    </w:p>
    <w:p w14:paraId="4B38DBAD" w14:textId="3AB4C481" w:rsidR="001E1C34" w:rsidRPr="000D43DD" w:rsidRDefault="001E1C34" w:rsidP="000D43DD">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6675BEEE" w14:textId="0E198336" w:rsidR="001E1C34" w:rsidRPr="006F46D0" w:rsidRDefault="009C26AB" w:rsidP="006F46D0">
      <w:pPr>
        <w:pStyle w:val="INSOLstyletext"/>
        <w:widowControl w:val="0"/>
        <w:ind w:left="0"/>
        <w:jc w:val="both"/>
        <w:rPr>
          <w:rFonts w:ascii="Avenir Next" w:hAnsi="Avenir Next"/>
        </w:rPr>
      </w:pPr>
      <w:r w:rsidRPr="004216EA">
        <w:rPr>
          <w:rFonts w:ascii="Avenir Next" w:hAnsi="Avenir Next"/>
        </w:rPr>
        <w:lastRenderedPageBreak/>
        <w:t xml:space="preserve">Briefly discuss </w:t>
      </w:r>
      <w:r w:rsidRPr="006F46D0">
        <w:rPr>
          <w:rFonts w:ascii="Avenir Next" w:hAnsi="Avenir Next"/>
        </w:rPr>
        <w:t xml:space="preserve">treaties or </w:t>
      </w:r>
      <w:r w:rsidR="005F0764" w:rsidRPr="006F46D0">
        <w:rPr>
          <w:rFonts w:ascii="Avenir Next" w:hAnsi="Avenir Next"/>
        </w:rPr>
        <w:t>conventions as</w:t>
      </w:r>
      <w:r w:rsidRPr="006F46D0">
        <w:rPr>
          <w:rFonts w:ascii="Avenir Next" w:hAnsi="Avenir Next"/>
        </w:rPr>
        <w:t xml:space="preserve"> a source for cross-border insolvency law. In your answer you should also indicate if these are viewed as a successful way in establishing such rules by providing examples</w:t>
      </w:r>
      <w:r w:rsidRPr="004216EA">
        <w:rPr>
          <w:rFonts w:ascii="Avenir Next" w:hAnsi="Avenir Next"/>
        </w:rPr>
        <w:t xml:space="preserve"> in this regard.</w:t>
      </w:r>
    </w:p>
    <w:p w14:paraId="492D35CC" w14:textId="1CBE78C8" w:rsidR="001E1C34" w:rsidRDefault="001E1C34" w:rsidP="00692852">
      <w:pPr>
        <w:jc w:val="both"/>
        <w:rPr>
          <w:rFonts w:ascii="Avenir Next" w:hAnsi="Avenir Next"/>
          <w:sz w:val="22"/>
          <w:szCs w:val="22"/>
        </w:rPr>
      </w:pPr>
    </w:p>
    <w:p w14:paraId="2136D79A" w14:textId="77777777" w:rsidR="00BA044A" w:rsidRPr="00EA1685" w:rsidRDefault="003F78DA" w:rsidP="00692852">
      <w:pPr>
        <w:jc w:val="both"/>
        <w:rPr>
          <w:rFonts w:ascii="Avenir Next" w:hAnsi="Avenir Next"/>
          <w:color w:val="7F7F7F" w:themeColor="text1" w:themeTint="80"/>
          <w:sz w:val="22"/>
          <w:szCs w:val="22"/>
        </w:rPr>
      </w:pPr>
      <w:r w:rsidRPr="00EA1685">
        <w:rPr>
          <w:rFonts w:ascii="Avenir Next" w:hAnsi="Avenir Next"/>
          <w:color w:val="7F7F7F" w:themeColor="text1" w:themeTint="80"/>
          <w:sz w:val="22"/>
          <w:szCs w:val="22"/>
        </w:rPr>
        <w:t>A treaty or convention becomes part of a participating States’ domestic law, forming part of its “hard law” and therefore enforceable in the Courts of that jurisdiction as a legally binding instrument. In contrast, a State may agree to certain instruments, or adopt certain principles, guidelines</w:t>
      </w:r>
      <w:r w:rsidR="009820E0" w:rsidRPr="00EA1685">
        <w:rPr>
          <w:rFonts w:ascii="Avenir Next" w:hAnsi="Avenir Next"/>
          <w:color w:val="7F7F7F" w:themeColor="text1" w:themeTint="80"/>
          <w:sz w:val="22"/>
          <w:szCs w:val="22"/>
        </w:rPr>
        <w:t xml:space="preserve">, recommendations, </w:t>
      </w:r>
      <w:proofErr w:type="gramStart"/>
      <w:r w:rsidR="009820E0" w:rsidRPr="00EA1685">
        <w:rPr>
          <w:rFonts w:ascii="Avenir Next" w:hAnsi="Avenir Next"/>
          <w:color w:val="7F7F7F" w:themeColor="text1" w:themeTint="80"/>
          <w:sz w:val="22"/>
          <w:szCs w:val="22"/>
        </w:rPr>
        <w:t>standards</w:t>
      </w:r>
      <w:proofErr w:type="gramEnd"/>
      <w:r w:rsidRPr="00EA1685">
        <w:rPr>
          <w:rFonts w:ascii="Avenir Next" w:hAnsi="Avenir Next"/>
          <w:color w:val="7F7F7F" w:themeColor="text1" w:themeTint="80"/>
          <w:sz w:val="22"/>
          <w:szCs w:val="22"/>
        </w:rPr>
        <w:t xml:space="preserve"> </w:t>
      </w:r>
      <w:r w:rsidR="009820E0" w:rsidRPr="00EA1685">
        <w:rPr>
          <w:rFonts w:ascii="Avenir Next" w:hAnsi="Avenir Next"/>
          <w:color w:val="7F7F7F" w:themeColor="text1" w:themeTint="80"/>
          <w:sz w:val="22"/>
          <w:szCs w:val="22"/>
        </w:rPr>
        <w:t>and</w:t>
      </w:r>
      <w:r w:rsidRPr="00EA1685">
        <w:rPr>
          <w:rFonts w:ascii="Avenir Next" w:hAnsi="Avenir Next"/>
          <w:color w:val="7F7F7F" w:themeColor="text1" w:themeTint="80"/>
          <w:sz w:val="22"/>
          <w:szCs w:val="22"/>
        </w:rPr>
        <w:t xml:space="preserve"> declarations </w:t>
      </w:r>
      <w:r w:rsidR="009820E0" w:rsidRPr="00EA1685">
        <w:rPr>
          <w:rFonts w:ascii="Avenir Next" w:hAnsi="Avenir Next"/>
          <w:color w:val="7F7F7F" w:themeColor="text1" w:themeTint="80"/>
          <w:sz w:val="22"/>
          <w:szCs w:val="22"/>
        </w:rPr>
        <w:t xml:space="preserve">etc., </w:t>
      </w:r>
      <w:r w:rsidRPr="00EA1685">
        <w:rPr>
          <w:rFonts w:ascii="Avenir Next" w:hAnsi="Avenir Next"/>
          <w:color w:val="7F7F7F" w:themeColor="text1" w:themeTint="80"/>
          <w:sz w:val="22"/>
          <w:szCs w:val="22"/>
        </w:rPr>
        <w:t xml:space="preserve">that are not legally binding but </w:t>
      </w:r>
      <w:r w:rsidRPr="00EA1685">
        <w:rPr>
          <w:rFonts w:ascii="Avenir Next" w:hAnsi="Avenir Next"/>
          <w:i/>
          <w:iCs/>
          <w:color w:val="7F7F7F" w:themeColor="text1" w:themeTint="80"/>
          <w:sz w:val="22"/>
          <w:szCs w:val="22"/>
        </w:rPr>
        <w:t>could</w:t>
      </w:r>
      <w:r w:rsidRPr="00EA1685">
        <w:rPr>
          <w:rFonts w:ascii="Avenir Next" w:hAnsi="Avenir Next"/>
          <w:color w:val="7F7F7F" w:themeColor="text1" w:themeTint="80"/>
          <w:sz w:val="22"/>
          <w:szCs w:val="22"/>
        </w:rPr>
        <w:t xml:space="preserve"> be de</w:t>
      </w:r>
      <w:r w:rsidR="009820E0" w:rsidRPr="00EA1685">
        <w:rPr>
          <w:rFonts w:ascii="Avenir Next" w:hAnsi="Avenir Next"/>
          <w:color w:val="7F7F7F" w:themeColor="text1" w:themeTint="80"/>
          <w:sz w:val="22"/>
          <w:szCs w:val="22"/>
        </w:rPr>
        <w:t>s</w:t>
      </w:r>
      <w:r w:rsidRPr="00EA1685">
        <w:rPr>
          <w:rFonts w:ascii="Avenir Next" w:hAnsi="Avenir Next"/>
          <w:color w:val="7F7F7F" w:themeColor="text1" w:themeTint="80"/>
          <w:sz w:val="22"/>
          <w:szCs w:val="22"/>
        </w:rPr>
        <w:t xml:space="preserve">cribed as forming part of that State’s “soft law”. </w:t>
      </w:r>
    </w:p>
    <w:p w14:paraId="14C6436A" w14:textId="77777777" w:rsidR="003F78DA" w:rsidRPr="00EA1685" w:rsidRDefault="003F78DA" w:rsidP="00692852">
      <w:pPr>
        <w:jc w:val="both"/>
        <w:rPr>
          <w:rFonts w:ascii="Avenir Next" w:hAnsi="Avenir Next"/>
          <w:color w:val="7F7F7F" w:themeColor="text1" w:themeTint="80"/>
          <w:sz w:val="22"/>
          <w:szCs w:val="22"/>
        </w:rPr>
      </w:pPr>
    </w:p>
    <w:p w14:paraId="7F36A68C" w14:textId="0AA375F8" w:rsidR="009820E0" w:rsidRPr="00EA1685" w:rsidRDefault="003F78DA" w:rsidP="00692852">
      <w:pPr>
        <w:jc w:val="both"/>
        <w:rPr>
          <w:rFonts w:ascii="Avenir Next" w:hAnsi="Avenir Next"/>
          <w:color w:val="7F7F7F" w:themeColor="text1" w:themeTint="80"/>
          <w:sz w:val="22"/>
          <w:szCs w:val="22"/>
        </w:rPr>
      </w:pPr>
      <w:r w:rsidRPr="00EA1685">
        <w:rPr>
          <w:rFonts w:ascii="Avenir Next" w:hAnsi="Avenir Next"/>
          <w:color w:val="7F7F7F" w:themeColor="text1" w:themeTint="80"/>
          <w:sz w:val="22"/>
          <w:szCs w:val="22"/>
        </w:rPr>
        <w:t xml:space="preserve">The most obvious benefit of treaties and conventions as a source of cross-border insolvency law is </w:t>
      </w:r>
      <w:r w:rsidR="009820E0" w:rsidRPr="00EA1685">
        <w:rPr>
          <w:rFonts w:ascii="Avenir Next" w:hAnsi="Avenir Next"/>
          <w:color w:val="7F7F7F" w:themeColor="text1" w:themeTint="80"/>
          <w:sz w:val="22"/>
          <w:szCs w:val="22"/>
        </w:rPr>
        <w:t xml:space="preserve">that it is legally binding and carries legitimacy and force </w:t>
      </w:r>
      <w:proofErr w:type="gramStart"/>
      <w:r w:rsidR="009820E0" w:rsidRPr="00EA1685">
        <w:rPr>
          <w:rFonts w:ascii="Avenir Next" w:hAnsi="Avenir Next"/>
          <w:color w:val="7F7F7F" w:themeColor="text1" w:themeTint="80"/>
          <w:sz w:val="22"/>
          <w:szCs w:val="22"/>
        </w:rPr>
        <w:t>as a result of</w:t>
      </w:r>
      <w:proofErr w:type="gramEnd"/>
      <w:r w:rsidR="009820E0" w:rsidRPr="00EA1685">
        <w:rPr>
          <w:rFonts w:ascii="Avenir Next" w:hAnsi="Avenir Next"/>
          <w:color w:val="7F7F7F" w:themeColor="text1" w:themeTint="80"/>
          <w:sz w:val="22"/>
          <w:szCs w:val="22"/>
        </w:rPr>
        <w:t xml:space="preserve"> being directly applicable. </w:t>
      </w:r>
    </w:p>
    <w:p w14:paraId="3BF167B6" w14:textId="372488EF" w:rsidR="00BA044A" w:rsidRPr="00EA1685" w:rsidRDefault="00BA044A" w:rsidP="00692852">
      <w:pPr>
        <w:jc w:val="both"/>
        <w:rPr>
          <w:rFonts w:ascii="Avenir Next" w:hAnsi="Avenir Next"/>
          <w:color w:val="7F7F7F" w:themeColor="text1" w:themeTint="80"/>
          <w:sz w:val="22"/>
          <w:szCs w:val="22"/>
        </w:rPr>
      </w:pPr>
    </w:p>
    <w:p w14:paraId="0FA60E2C" w14:textId="0E03E894" w:rsidR="00BA044A" w:rsidRPr="00EA1685" w:rsidRDefault="00BA044A" w:rsidP="00692852">
      <w:pPr>
        <w:jc w:val="both"/>
        <w:rPr>
          <w:rFonts w:ascii="Avenir Next" w:hAnsi="Avenir Next"/>
          <w:color w:val="7F7F7F" w:themeColor="text1" w:themeTint="80"/>
          <w:sz w:val="22"/>
          <w:szCs w:val="22"/>
        </w:rPr>
      </w:pPr>
      <w:r w:rsidRPr="00EA1685">
        <w:rPr>
          <w:rFonts w:ascii="Avenir Next" w:hAnsi="Avenir Next"/>
          <w:color w:val="7F7F7F" w:themeColor="text1" w:themeTint="80"/>
          <w:sz w:val="22"/>
          <w:szCs w:val="22"/>
        </w:rPr>
        <w:t xml:space="preserve">It is worth noting that the definition of non-treaty instruments as “soft and non-binding” was abandoned by </w:t>
      </w:r>
      <w:proofErr w:type="spellStart"/>
      <w:r w:rsidRPr="00EA1685">
        <w:rPr>
          <w:rFonts w:ascii="Avenir Next" w:hAnsi="Avenir Next"/>
          <w:color w:val="7F7F7F" w:themeColor="text1" w:themeTint="80"/>
          <w:sz w:val="22"/>
          <w:szCs w:val="22"/>
        </w:rPr>
        <w:t>Mevorach</w:t>
      </w:r>
      <w:proofErr w:type="spellEnd"/>
      <w:r w:rsidRPr="00EA1685">
        <w:rPr>
          <w:rFonts w:ascii="Avenir Next" w:hAnsi="Avenir Next"/>
          <w:color w:val="7F7F7F" w:themeColor="text1" w:themeTint="80"/>
          <w:sz w:val="22"/>
          <w:szCs w:val="22"/>
        </w:rPr>
        <w:t xml:space="preserve"> in </w:t>
      </w:r>
      <w:r w:rsidRPr="00EA1685">
        <w:rPr>
          <w:rFonts w:ascii="Avenir Next" w:hAnsi="Avenir Next"/>
          <w:i/>
          <w:iCs/>
          <w:color w:val="7F7F7F" w:themeColor="text1" w:themeTint="80"/>
          <w:sz w:val="22"/>
          <w:szCs w:val="22"/>
        </w:rPr>
        <w:t xml:space="preserve">The Future of Cross-Border Insolvency: Overcoming Biases and Closing Gaps. </w:t>
      </w:r>
      <w:proofErr w:type="spellStart"/>
      <w:r w:rsidRPr="00EA1685">
        <w:rPr>
          <w:rFonts w:ascii="Avenir Next" w:hAnsi="Avenir Next"/>
          <w:color w:val="7F7F7F" w:themeColor="text1" w:themeTint="80"/>
          <w:sz w:val="22"/>
          <w:szCs w:val="22"/>
        </w:rPr>
        <w:t>Mevorach</w:t>
      </w:r>
      <w:proofErr w:type="spellEnd"/>
      <w:r w:rsidRPr="00EA1685">
        <w:rPr>
          <w:rFonts w:ascii="Avenir Next" w:hAnsi="Avenir Next"/>
          <w:color w:val="7F7F7F" w:themeColor="text1" w:themeTint="80"/>
          <w:sz w:val="22"/>
          <w:szCs w:val="22"/>
        </w:rPr>
        <w:t xml:space="preserve"> considers that “soft law” instruments can in fact be ‘harder’ in terms of implementation into domestic law than a treaty, specifically that a model law approach “can possess the characteristics of hard law, while retaining flexible features that induce participation” (https://blogs.law.ox.ac.uk/business-law-blog/blog/2018/04/future-cross-border-insolvency-overcoming-biases-and-closing-gaps). </w:t>
      </w:r>
    </w:p>
    <w:p w14:paraId="460D2CC8" w14:textId="027BD5B1" w:rsidR="009820E0" w:rsidRPr="00EA1685" w:rsidRDefault="009820E0" w:rsidP="00692852">
      <w:pPr>
        <w:jc w:val="both"/>
        <w:rPr>
          <w:rFonts w:ascii="Avenir Next" w:hAnsi="Avenir Next"/>
          <w:color w:val="7F7F7F" w:themeColor="text1" w:themeTint="80"/>
          <w:sz w:val="22"/>
          <w:szCs w:val="22"/>
        </w:rPr>
      </w:pPr>
    </w:p>
    <w:p w14:paraId="5D87FC85" w14:textId="364380AB" w:rsidR="00C8205C" w:rsidRPr="00EA1685" w:rsidRDefault="007D203B" w:rsidP="00692852">
      <w:pPr>
        <w:jc w:val="both"/>
        <w:rPr>
          <w:rFonts w:ascii="Avenir Next" w:hAnsi="Avenir Next"/>
          <w:color w:val="7F7F7F" w:themeColor="text1" w:themeTint="80"/>
          <w:sz w:val="22"/>
          <w:szCs w:val="22"/>
        </w:rPr>
      </w:pPr>
      <w:r w:rsidRPr="00EA1685">
        <w:rPr>
          <w:rFonts w:ascii="Avenir Next" w:hAnsi="Avenir Next"/>
          <w:color w:val="7F7F7F" w:themeColor="text1" w:themeTint="80"/>
          <w:sz w:val="22"/>
          <w:szCs w:val="22"/>
        </w:rPr>
        <w:t>As a</w:t>
      </w:r>
      <w:r w:rsidR="006F46D0" w:rsidRPr="00EA1685">
        <w:rPr>
          <w:rFonts w:ascii="Avenir Next" w:hAnsi="Avenir Next"/>
          <w:color w:val="7F7F7F" w:themeColor="text1" w:themeTint="80"/>
          <w:sz w:val="22"/>
          <w:szCs w:val="22"/>
        </w:rPr>
        <w:t xml:space="preserve"> further</w:t>
      </w:r>
      <w:r w:rsidRPr="00EA1685">
        <w:rPr>
          <w:rFonts w:ascii="Avenir Next" w:hAnsi="Avenir Next"/>
          <w:color w:val="7F7F7F" w:themeColor="text1" w:themeTint="80"/>
          <w:sz w:val="22"/>
          <w:szCs w:val="22"/>
        </w:rPr>
        <w:t xml:space="preserve"> example, Europe has had varying degrees of success in the adoption of international conventions and treaties. Successful bilateral conventions appeared as far back as the 13</w:t>
      </w:r>
      <w:r w:rsidRPr="00EA1685">
        <w:rPr>
          <w:rFonts w:ascii="Avenir Next" w:hAnsi="Avenir Next"/>
          <w:color w:val="7F7F7F" w:themeColor="text1" w:themeTint="80"/>
          <w:sz w:val="22"/>
          <w:szCs w:val="22"/>
          <w:vertAlign w:val="superscript"/>
        </w:rPr>
        <w:t>th</w:t>
      </w:r>
      <w:r w:rsidRPr="00EA1685">
        <w:rPr>
          <w:rFonts w:ascii="Avenir Next" w:hAnsi="Avenir Next"/>
          <w:color w:val="7F7F7F" w:themeColor="text1" w:themeTint="80"/>
          <w:sz w:val="22"/>
          <w:szCs w:val="22"/>
        </w:rPr>
        <w:t xml:space="preserve"> and 14</w:t>
      </w:r>
      <w:r w:rsidRPr="00EA1685">
        <w:rPr>
          <w:rFonts w:ascii="Avenir Next" w:hAnsi="Avenir Next"/>
          <w:color w:val="7F7F7F" w:themeColor="text1" w:themeTint="80"/>
          <w:sz w:val="22"/>
          <w:szCs w:val="22"/>
          <w:vertAlign w:val="superscript"/>
        </w:rPr>
        <w:t>th</w:t>
      </w:r>
      <w:r w:rsidRPr="00EA1685">
        <w:rPr>
          <w:rFonts w:ascii="Avenir Next" w:hAnsi="Avenir Next"/>
          <w:color w:val="7F7F7F" w:themeColor="text1" w:themeTint="80"/>
          <w:sz w:val="22"/>
          <w:szCs w:val="22"/>
        </w:rPr>
        <w:t xml:space="preserve"> centuries, however Europe’s attempts to achieve multilateral international insolvency conventions were unsuccessful for many years. </w:t>
      </w:r>
    </w:p>
    <w:p w14:paraId="227E5911" w14:textId="42D58CD5" w:rsidR="00C8205C" w:rsidRPr="00EA1685" w:rsidRDefault="00C8205C" w:rsidP="00C8205C">
      <w:pPr>
        <w:jc w:val="both"/>
        <w:rPr>
          <w:rFonts w:ascii="Avenir Next" w:hAnsi="Avenir Next"/>
          <w:color w:val="7F7F7F" w:themeColor="text1" w:themeTint="80"/>
          <w:sz w:val="22"/>
          <w:szCs w:val="22"/>
        </w:rPr>
      </w:pPr>
      <w:r w:rsidRPr="00EA1685">
        <w:rPr>
          <w:rFonts w:ascii="Avenir Next" w:hAnsi="Avenir Next"/>
          <w:color w:val="7F7F7F" w:themeColor="text1" w:themeTint="80"/>
          <w:sz w:val="22"/>
          <w:szCs w:val="22"/>
        </w:rPr>
        <w:br/>
        <w:t>Whilst the council of Europe was formed in 1949, i</w:t>
      </w:r>
      <w:r w:rsidR="007D203B" w:rsidRPr="00EA1685">
        <w:rPr>
          <w:rFonts w:ascii="Avenir Next" w:hAnsi="Avenir Next"/>
          <w:color w:val="7F7F7F" w:themeColor="text1" w:themeTint="80"/>
          <w:sz w:val="22"/>
          <w:szCs w:val="22"/>
        </w:rPr>
        <w:t>t was not until the</w:t>
      </w:r>
      <w:r w:rsidR="006F46D0" w:rsidRPr="00EA1685">
        <w:rPr>
          <w:rFonts w:ascii="Avenir Next" w:hAnsi="Avenir Next"/>
          <w:color w:val="7F7F7F" w:themeColor="text1" w:themeTint="80"/>
          <w:sz w:val="22"/>
          <w:szCs w:val="22"/>
        </w:rPr>
        <w:t xml:space="preserve"> early 1960s that committees of experts were formed to work on a bankruptcy convention. There followed only draft conventions between 1970 and 1996, which did not enter into force. Significant progress was eventually made with the </w:t>
      </w:r>
      <w:r w:rsidR="007D203B" w:rsidRPr="00EA1685">
        <w:rPr>
          <w:rFonts w:ascii="Avenir Next" w:hAnsi="Avenir Next"/>
          <w:color w:val="7F7F7F" w:themeColor="text1" w:themeTint="80"/>
          <w:sz w:val="22"/>
          <w:szCs w:val="22"/>
        </w:rPr>
        <w:t xml:space="preserve">Istanbul convention in </w:t>
      </w:r>
      <w:r w:rsidR="006F46D0" w:rsidRPr="00EA1685">
        <w:rPr>
          <w:rFonts w:ascii="Avenir Next" w:hAnsi="Avenir Next"/>
          <w:color w:val="7F7F7F" w:themeColor="text1" w:themeTint="80"/>
          <w:sz w:val="22"/>
          <w:szCs w:val="22"/>
        </w:rPr>
        <w:t xml:space="preserve">the </w:t>
      </w:r>
      <w:r w:rsidR="007D203B" w:rsidRPr="00EA1685">
        <w:rPr>
          <w:rFonts w:ascii="Avenir Next" w:hAnsi="Avenir Next"/>
          <w:color w:val="7F7F7F" w:themeColor="text1" w:themeTint="80"/>
          <w:sz w:val="22"/>
          <w:szCs w:val="22"/>
        </w:rPr>
        <w:t>1990</w:t>
      </w:r>
      <w:r w:rsidR="006F46D0" w:rsidRPr="00EA1685">
        <w:rPr>
          <w:rFonts w:ascii="Avenir Next" w:hAnsi="Avenir Next"/>
          <w:color w:val="7F7F7F" w:themeColor="text1" w:themeTint="80"/>
          <w:sz w:val="22"/>
          <w:szCs w:val="22"/>
        </w:rPr>
        <w:t>s</w:t>
      </w:r>
      <w:r w:rsidRPr="00EA1685">
        <w:rPr>
          <w:rFonts w:ascii="Avenir Next" w:hAnsi="Avenir Next"/>
          <w:color w:val="7F7F7F" w:themeColor="text1" w:themeTint="80"/>
          <w:sz w:val="22"/>
          <w:szCs w:val="22"/>
        </w:rPr>
        <w:t>. The Istanbul convention w</w:t>
      </w:r>
      <w:r w:rsidR="007D203B" w:rsidRPr="00EA1685">
        <w:rPr>
          <w:rFonts w:ascii="Avenir Next" w:hAnsi="Avenir Next"/>
          <w:color w:val="7F7F7F" w:themeColor="text1" w:themeTint="80"/>
          <w:sz w:val="22"/>
          <w:szCs w:val="22"/>
        </w:rPr>
        <w:t>as not ratified as it had insufficient signatories for it to enter into force</w:t>
      </w:r>
      <w:r w:rsidRPr="00EA1685">
        <w:rPr>
          <w:rFonts w:ascii="Avenir Next" w:hAnsi="Avenir Next"/>
          <w:color w:val="7F7F7F" w:themeColor="text1" w:themeTint="80"/>
          <w:sz w:val="22"/>
          <w:szCs w:val="22"/>
        </w:rPr>
        <w:t>, but it had an important influence on the EU approach to international insolvency</w:t>
      </w:r>
      <w:r w:rsidR="006F46D0" w:rsidRPr="00EA1685">
        <w:rPr>
          <w:rFonts w:ascii="Avenir Next" w:hAnsi="Avenir Next"/>
          <w:color w:val="7F7F7F" w:themeColor="text1" w:themeTint="80"/>
          <w:sz w:val="22"/>
          <w:szCs w:val="22"/>
        </w:rPr>
        <w:t xml:space="preserve">. It was this document which formed the basis of the European Insolvency Regulation (EIR) (2000), which became the current EIR (Recast) 2015. </w:t>
      </w:r>
      <w:proofErr w:type="gramStart"/>
      <w:r w:rsidRPr="00EA1685">
        <w:rPr>
          <w:rFonts w:ascii="Avenir Next" w:hAnsi="Avenir Next"/>
          <w:color w:val="7F7F7F" w:themeColor="text1" w:themeTint="80"/>
          <w:sz w:val="22"/>
          <w:szCs w:val="22"/>
        </w:rPr>
        <w:t>It can be seen that, even</w:t>
      </w:r>
      <w:proofErr w:type="gramEnd"/>
      <w:r w:rsidRPr="00EA1685">
        <w:rPr>
          <w:rFonts w:ascii="Avenir Next" w:hAnsi="Avenir Next"/>
          <w:color w:val="7F7F7F" w:themeColor="text1" w:themeTint="80"/>
          <w:sz w:val="22"/>
          <w:szCs w:val="22"/>
        </w:rPr>
        <w:t xml:space="preserve"> though the Istanbul convention did not form part of the ‘hard law’ of the EU signatories to it, it nevertheless had an important impact on the development of an answer to the difficulties encountered by member States in relation to cases involving an international element.  </w:t>
      </w:r>
    </w:p>
    <w:p w14:paraId="7B67C8FE" w14:textId="77777777" w:rsidR="00C8205C" w:rsidRPr="00EA1685" w:rsidRDefault="00C8205C" w:rsidP="00C8205C">
      <w:pPr>
        <w:jc w:val="both"/>
        <w:rPr>
          <w:rFonts w:ascii="Avenir Next" w:hAnsi="Avenir Next"/>
          <w:color w:val="7F7F7F" w:themeColor="text1" w:themeTint="80"/>
          <w:sz w:val="22"/>
          <w:szCs w:val="22"/>
        </w:rPr>
      </w:pPr>
    </w:p>
    <w:p w14:paraId="2CC6C0C2" w14:textId="071D303F" w:rsidR="003F78DA" w:rsidRPr="00EA1685" w:rsidRDefault="00C8205C" w:rsidP="00692852">
      <w:pPr>
        <w:jc w:val="both"/>
        <w:rPr>
          <w:rFonts w:ascii="Avenir Next" w:hAnsi="Avenir Next"/>
          <w:color w:val="7F7F7F" w:themeColor="text1" w:themeTint="80"/>
          <w:sz w:val="22"/>
          <w:szCs w:val="22"/>
        </w:rPr>
      </w:pPr>
      <w:r w:rsidRPr="00EA1685">
        <w:rPr>
          <w:rFonts w:ascii="Avenir Next" w:hAnsi="Avenir Next"/>
          <w:color w:val="7F7F7F" w:themeColor="text1" w:themeTint="80"/>
          <w:sz w:val="22"/>
          <w:szCs w:val="22"/>
        </w:rPr>
        <w:t>The Nordic Convention of 1933 is an example of a successful multilateral treaty between its five Scandi</w:t>
      </w:r>
      <w:r w:rsidR="000D43DD">
        <w:rPr>
          <w:rFonts w:ascii="Avenir Next" w:hAnsi="Avenir Next"/>
          <w:color w:val="7F7F7F" w:themeColor="text1" w:themeTint="80"/>
          <w:sz w:val="22"/>
          <w:szCs w:val="22"/>
        </w:rPr>
        <w:t>na</w:t>
      </w:r>
      <w:r w:rsidRPr="00EA1685">
        <w:rPr>
          <w:rFonts w:ascii="Avenir Next" w:hAnsi="Avenir Next"/>
          <w:color w:val="7F7F7F" w:themeColor="text1" w:themeTint="80"/>
          <w:sz w:val="22"/>
          <w:szCs w:val="22"/>
        </w:rPr>
        <w:t xml:space="preserve">vian member States. This convention has been termed “remarkable” for the comity it displays, suggesting that conventions of this degree of success are the exception rather than the rule. </w:t>
      </w:r>
    </w:p>
    <w:p w14:paraId="562B50F8" w14:textId="2C508003" w:rsidR="003F78DA" w:rsidRPr="00EA1685" w:rsidRDefault="003F78DA" w:rsidP="00692852">
      <w:pPr>
        <w:jc w:val="both"/>
        <w:rPr>
          <w:rFonts w:ascii="Avenir Next" w:hAnsi="Avenir Next"/>
          <w:color w:val="7F7F7F" w:themeColor="text1" w:themeTint="80"/>
          <w:sz w:val="22"/>
          <w:szCs w:val="22"/>
        </w:rPr>
      </w:pPr>
    </w:p>
    <w:p w14:paraId="526624DA" w14:textId="05D0889A" w:rsidR="007E25AD" w:rsidRPr="00EA1685" w:rsidRDefault="004277C9" w:rsidP="00692852">
      <w:pPr>
        <w:jc w:val="both"/>
        <w:rPr>
          <w:rFonts w:ascii="Avenir Next" w:hAnsi="Avenir Next"/>
          <w:color w:val="7F7F7F" w:themeColor="text1" w:themeTint="80"/>
          <w:sz w:val="22"/>
          <w:szCs w:val="22"/>
        </w:rPr>
      </w:pPr>
      <w:r w:rsidRPr="00EA1685">
        <w:rPr>
          <w:rFonts w:ascii="Avenir Next" w:hAnsi="Avenir Next"/>
          <w:color w:val="7F7F7F" w:themeColor="text1" w:themeTint="80"/>
          <w:sz w:val="22"/>
          <w:szCs w:val="22"/>
        </w:rPr>
        <w:t>A</w:t>
      </w:r>
      <w:r w:rsidR="006F46D0" w:rsidRPr="00EA1685">
        <w:rPr>
          <w:rFonts w:ascii="Avenir Next" w:hAnsi="Avenir Next"/>
          <w:color w:val="7F7F7F" w:themeColor="text1" w:themeTint="80"/>
          <w:sz w:val="22"/>
          <w:szCs w:val="22"/>
        </w:rPr>
        <w:t>cross the world</w:t>
      </w:r>
      <w:r w:rsidR="000D43DD">
        <w:rPr>
          <w:rFonts w:ascii="Avenir Next" w:hAnsi="Avenir Next"/>
          <w:color w:val="7F7F7F" w:themeColor="text1" w:themeTint="80"/>
          <w:sz w:val="22"/>
          <w:szCs w:val="22"/>
        </w:rPr>
        <w:t>,</w:t>
      </w:r>
      <w:r w:rsidR="006F46D0" w:rsidRPr="00EA1685">
        <w:rPr>
          <w:rFonts w:ascii="Avenir Next" w:hAnsi="Avenir Next"/>
          <w:color w:val="7F7F7F" w:themeColor="text1" w:themeTint="80"/>
          <w:sz w:val="22"/>
          <w:szCs w:val="22"/>
        </w:rPr>
        <w:t xml:space="preserve"> problems have been encountered with encouraging </w:t>
      </w:r>
      <w:r w:rsidRPr="00EA1685">
        <w:rPr>
          <w:rFonts w:ascii="Avenir Next" w:hAnsi="Avenir Next"/>
          <w:color w:val="7F7F7F" w:themeColor="text1" w:themeTint="80"/>
          <w:sz w:val="22"/>
          <w:szCs w:val="22"/>
        </w:rPr>
        <w:t xml:space="preserve">States to agree to treaties and conventions. This can also lead to problems of determining which treaties </w:t>
      </w:r>
      <w:r w:rsidRPr="00EA1685">
        <w:rPr>
          <w:rFonts w:ascii="Avenir Next" w:hAnsi="Avenir Next"/>
          <w:color w:val="7F7F7F" w:themeColor="text1" w:themeTint="80"/>
          <w:sz w:val="22"/>
          <w:szCs w:val="22"/>
        </w:rPr>
        <w:lastRenderedPageBreak/>
        <w:t xml:space="preserve">apply, for example in relation to the Montevideo treaties (1889) and (1940) which are not ratified by the same Montevideo Treaty States. </w:t>
      </w:r>
    </w:p>
    <w:p w14:paraId="59DF47AE" w14:textId="65CDD5A5" w:rsidR="007E25AD" w:rsidRPr="00EA1685" w:rsidRDefault="007E25AD" w:rsidP="00692852">
      <w:pPr>
        <w:jc w:val="both"/>
        <w:rPr>
          <w:rFonts w:ascii="Avenir Next" w:hAnsi="Avenir Next"/>
          <w:color w:val="7F7F7F" w:themeColor="text1" w:themeTint="80"/>
          <w:sz w:val="22"/>
          <w:szCs w:val="22"/>
        </w:rPr>
      </w:pPr>
    </w:p>
    <w:p w14:paraId="074794E8" w14:textId="77777777" w:rsidR="004277C9" w:rsidRPr="00EA1685" w:rsidRDefault="004277C9" w:rsidP="004277C9">
      <w:pPr>
        <w:jc w:val="both"/>
        <w:rPr>
          <w:rFonts w:ascii="Avenir Next" w:hAnsi="Avenir Next"/>
          <w:color w:val="7F7F7F" w:themeColor="text1" w:themeTint="80"/>
          <w:sz w:val="22"/>
          <w:szCs w:val="22"/>
        </w:rPr>
      </w:pPr>
      <w:r w:rsidRPr="00EA1685">
        <w:rPr>
          <w:rFonts w:ascii="Avenir Next" w:hAnsi="Avenir Next"/>
          <w:color w:val="7F7F7F" w:themeColor="text1" w:themeTint="80"/>
          <w:sz w:val="22"/>
          <w:szCs w:val="22"/>
        </w:rPr>
        <w:t xml:space="preserve">It is fair to say that the success of treaties and conventions as solutions to issues of international insolvency has been variable and that soft law solutions, </w:t>
      </w:r>
      <w:proofErr w:type="gramStart"/>
      <w:r w:rsidRPr="00EA1685">
        <w:rPr>
          <w:rFonts w:ascii="Avenir Next" w:hAnsi="Avenir Next"/>
          <w:color w:val="7F7F7F" w:themeColor="text1" w:themeTint="80"/>
          <w:sz w:val="22"/>
          <w:szCs w:val="22"/>
        </w:rPr>
        <w:t>in particular the</w:t>
      </w:r>
      <w:proofErr w:type="gramEnd"/>
      <w:r w:rsidRPr="00EA1685">
        <w:rPr>
          <w:rFonts w:ascii="Avenir Next" w:hAnsi="Avenir Next"/>
          <w:color w:val="7F7F7F" w:themeColor="text1" w:themeTint="80"/>
          <w:sz w:val="22"/>
          <w:szCs w:val="22"/>
        </w:rPr>
        <w:t xml:space="preserve"> UNCITRAL Model Law on Cross-Border Insolvency, have also been enormously effective in encouraging member States to adopt its draft legislation, whether with or without modifications, even though the instrument itself is not legally binding. For example, in North America, attempts to work towards a bilateral insolvency treaty in the 1970s were unsuccessful, which has been attributed to the fact that the proposed treaty was too wide in its scope. Instead, far greater success was achieved by the adoption of Canada and the United States in 2005 of the Model Law. </w:t>
      </w:r>
    </w:p>
    <w:p w14:paraId="248A0950" w14:textId="77777777" w:rsidR="007E25AD" w:rsidRPr="00EA1685" w:rsidRDefault="007E25AD" w:rsidP="00692852">
      <w:pPr>
        <w:jc w:val="both"/>
        <w:rPr>
          <w:rFonts w:ascii="Avenir Next" w:hAnsi="Avenir Next"/>
          <w:color w:val="7F7F7F" w:themeColor="text1" w:themeTint="80"/>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150319">
        <w:rPr>
          <w:rFonts w:ascii="Avenir Next" w:hAnsi="Avenir Next" w:cs="Arial"/>
          <w:sz w:val="22"/>
          <w:szCs w:val="22"/>
          <w:lang w:val="en-GB"/>
        </w:rPr>
        <w:t>Flor</w:t>
      </w:r>
      <w:proofErr w:type="spellEnd"/>
      <w:r w:rsidRPr="00150319">
        <w:rPr>
          <w:rFonts w:ascii="Avenir Next" w:hAnsi="Avenir Next" w:cs="Arial"/>
          <w:sz w:val="22"/>
          <w:szCs w:val="22"/>
          <w:lang w:val="en-GB"/>
        </w:rPr>
        <w:t xml:space="preserve"> </w:t>
      </w:r>
      <w:r w:rsidRPr="007E4B4E">
        <w:rPr>
          <w:rFonts w:ascii="Avenir Next" w:hAnsi="Avenir Next" w:cs="Arial"/>
          <w:sz w:val="22"/>
          <w:szCs w:val="22"/>
          <w:lang w:val="en-GB"/>
        </w:rPr>
        <w:t>Prim</w:t>
      </w:r>
      <w:r w:rsidR="004E1D03" w:rsidRPr="007E4B4E">
        <w:rPr>
          <w:rFonts w:ascii="Avenir Next" w:hAnsi="Avenir Next" w:cs="Arial"/>
          <w:sz w:val="22"/>
          <w:szCs w:val="22"/>
          <w:lang w:val="en-GB"/>
        </w:rPr>
        <w:t xml:space="preserve"> Pty Ltd (</w:t>
      </w:r>
      <w:r w:rsidRPr="007E4B4E">
        <w:rPr>
          <w:rFonts w:ascii="Avenir Next" w:hAnsi="Avenir Next" w:cs="Arial"/>
          <w:sz w:val="22"/>
          <w:szCs w:val="22"/>
          <w:lang w:val="en-GB"/>
        </w:rPr>
        <w:t>FPPL</w:t>
      </w:r>
      <w:r w:rsidR="004E1D03" w:rsidRPr="007E4B4E">
        <w:rPr>
          <w:rFonts w:ascii="Avenir Next" w:hAnsi="Avenir Next" w:cs="Arial"/>
          <w:sz w:val="22"/>
          <w:szCs w:val="22"/>
          <w:lang w:val="en-GB"/>
        </w:rPr>
        <w:t xml:space="preserve">) is a company incorporated with its head office and significant operations in </w:t>
      </w:r>
      <w:r w:rsidR="003E2E7C" w:rsidRPr="007E4B4E">
        <w:rPr>
          <w:rFonts w:ascii="Avenir Next" w:hAnsi="Avenir Next" w:cs="Arial"/>
          <w:color w:val="000000" w:themeColor="text1"/>
          <w:sz w:val="22"/>
          <w:szCs w:val="22"/>
          <w:lang w:val="en-GB"/>
        </w:rPr>
        <w:t>Encanto</w:t>
      </w:r>
      <w:r w:rsidR="004E1D03" w:rsidRPr="007E4B4E">
        <w:rPr>
          <w:rFonts w:ascii="Avenir Next" w:hAnsi="Avenir Next" w:cs="Arial"/>
          <w:sz w:val="22"/>
          <w:szCs w:val="22"/>
          <w:lang w:val="en-GB"/>
        </w:rPr>
        <w:t xml:space="preserve"> as well as being registered as a foreign company in </w:t>
      </w:r>
      <w:proofErr w:type="spellStart"/>
      <w:r w:rsidR="003E2E7C" w:rsidRPr="007E4B4E">
        <w:rPr>
          <w:rFonts w:ascii="Avenir Next" w:hAnsi="Avenir Next" w:cs="Arial"/>
          <w:sz w:val="22"/>
          <w:szCs w:val="22"/>
          <w:lang w:val="en-GB"/>
        </w:rPr>
        <w:t>Asgard</w:t>
      </w:r>
      <w:proofErr w:type="spellEnd"/>
      <w:r w:rsidR="004E1D03" w:rsidRPr="007E4B4E">
        <w:rPr>
          <w:rFonts w:ascii="Avenir Next" w:hAnsi="Avenir Next" w:cs="Arial"/>
          <w:sz w:val="22"/>
          <w:szCs w:val="22"/>
          <w:lang w:val="en-GB"/>
        </w:rPr>
        <w:t xml:space="preserve">, where it also carries on business. </w:t>
      </w:r>
      <w:r w:rsidRPr="007E4B4E">
        <w:rPr>
          <w:rFonts w:ascii="Avenir Next" w:hAnsi="Avenir Next" w:cs="Arial"/>
          <w:sz w:val="22"/>
          <w:szCs w:val="22"/>
          <w:lang w:val="en-GB"/>
        </w:rPr>
        <w:t>FPPL</w:t>
      </w:r>
      <w:r w:rsidR="00080757" w:rsidRPr="007E4B4E">
        <w:rPr>
          <w:rFonts w:ascii="Avenir Next" w:hAnsi="Avenir Next" w:cs="Arial"/>
          <w:sz w:val="22"/>
          <w:szCs w:val="22"/>
          <w:lang w:val="en-GB"/>
        </w:rPr>
        <w:t xml:space="preserve"> therefore carries on business in more than one State.</w:t>
      </w:r>
      <w:r w:rsidR="004E1D03" w:rsidRPr="007E4B4E">
        <w:rPr>
          <w:rFonts w:ascii="Avenir Next" w:hAnsi="Avenir Next" w:cs="Arial"/>
          <w:sz w:val="22"/>
          <w:szCs w:val="22"/>
          <w:lang w:val="en-GB"/>
        </w:rPr>
        <w:t xml:space="preserve"> </w:t>
      </w:r>
      <w:r w:rsidR="00E4126D" w:rsidRPr="007E4B4E">
        <w:rPr>
          <w:rFonts w:ascii="Avenir Next" w:hAnsi="Avenir Next" w:cs="Arial"/>
          <w:sz w:val="22"/>
          <w:szCs w:val="22"/>
          <w:lang w:val="en-GB"/>
        </w:rPr>
        <w:t xml:space="preserve">Lobo </w:t>
      </w:r>
      <w:r w:rsidR="004E1D03" w:rsidRPr="007E4B4E">
        <w:rPr>
          <w:rFonts w:ascii="Avenir Next" w:hAnsi="Avenir Next" w:cs="Arial"/>
          <w:sz w:val="22"/>
          <w:szCs w:val="22"/>
          <w:lang w:val="en-GB"/>
        </w:rPr>
        <w:t>Lend</w:t>
      </w:r>
      <w:r w:rsidR="00E4126D" w:rsidRPr="007E4B4E">
        <w:rPr>
          <w:rFonts w:ascii="Avenir Next" w:hAnsi="Avenir Next" w:cs="Arial"/>
          <w:sz w:val="22"/>
          <w:szCs w:val="22"/>
          <w:lang w:val="en-GB"/>
        </w:rPr>
        <w:t>ing</w:t>
      </w:r>
      <w:r w:rsidR="004E1D03" w:rsidRPr="007E4B4E">
        <w:rPr>
          <w:rFonts w:ascii="Avenir Next" w:hAnsi="Avenir Next" w:cs="Arial"/>
          <w:sz w:val="22"/>
          <w:szCs w:val="22"/>
          <w:lang w:val="en-GB"/>
        </w:rPr>
        <w:t xml:space="preserve"> Ltd (</w:t>
      </w:r>
      <w:r w:rsidR="00E4126D" w:rsidRPr="007E4B4E">
        <w:rPr>
          <w:rFonts w:ascii="Avenir Next" w:hAnsi="Avenir Next" w:cs="Arial"/>
          <w:sz w:val="22"/>
          <w:szCs w:val="22"/>
          <w:lang w:val="en-GB"/>
        </w:rPr>
        <w:t>Lobo</w:t>
      </w:r>
      <w:r w:rsidR="004E1D03" w:rsidRPr="007E4B4E">
        <w:rPr>
          <w:rFonts w:ascii="Avenir Next" w:hAnsi="Avenir Next" w:cs="Arial"/>
          <w:sz w:val="22"/>
          <w:szCs w:val="22"/>
          <w:lang w:val="en-GB"/>
        </w:rPr>
        <w:t xml:space="preserve">) is incorporated and has its head office in </w:t>
      </w:r>
      <w:proofErr w:type="spellStart"/>
      <w:r w:rsidR="003E2E7C" w:rsidRPr="007E4B4E">
        <w:rPr>
          <w:rFonts w:ascii="Avenir Next" w:hAnsi="Avenir Next" w:cs="Arial"/>
          <w:sz w:val="22"/>
          <w:szCs w:val="22"/>
          <w:lang w:val="en-GB"/>
        </w:rPr>
        <w:t>Asgard</w:t>
      </w:r>
      <w:proofErr w:type="spellEnd"/>
      <w:r w:rsidR="004E1D03" w:rsidRPr="007E4B4E">
        <w:rPr>
          <w:rFonts w:ascii="Avenir Next" w:hAnsi="Avenir Next" w:cs="Arial"/>
          <w:sz w:val="22"/>
          <w:szCs w:val="22"/>
          <w:lang w:val="en-GB"/>
        </w:rPr>
        <w:t>.</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7E4B4E" w:rsidRDefault="00E7537E" w:rsidP="00692852">
      <w:pPr>
        <w:autoSpaceDE w:val="0"/>
        <w:autoSpaceDN w:val="0"/>
        <w:adjustRightInd w:val="0"/>
        <w:jc w:val="both"/>
        <w:rPr>
          <w:rFonts w:ascii="Avenir Next" w:hAnsi="Avenir Next" w:cs="Arial"/>
          <w:sz w:val="22"/>
          <w:szCs w:val="22"/>
          <w:lang w:val="en-GB"/>
        </w:rPr>
      </w:pPr>
      <w:r w:rsidRPr="007E4B4E">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7E4B4E">
        <w:rPr>
          <w:rFonts w:ascii="Avenir Next" w:hAnsi="Avenir Next" w:cs="Arial"/>
          <w:sz w:val="22"/>
          <w:szCs w:val="22"/>
          <w:lang w:val="en-GB"/>
        </w:rPr>
        <w:t>Asgard</w:t>
      </w:r>
      <w:proofErr w:type="spellEnd"/>
      <w:r w:rsidRPr="007E4B4E">
        <w:rPr>
          <w:rFonts w:ascii="Avenir Next" w:hAnsi="Avenir Next" w:cs="Arial"/>
          <w:sz w:val="22"/>
          <w:szCs w:val="22"/>
          <w:lang w:val="en-GB"/>
        </w:rPr>
        <w:t xml:space="preserve">, FPPL is struggling financially in </w:t>
      </w:r>
      <w:proofErr w:type="spellStart"/>
      <w:r w:rsidRPr="007E4B4E">
        <w:rPr>
          <w:rFonts w:ascii="Avenir Next" w:hAnsi="Avenir Next" w:cs="Arial"/>
          <w:sz w:val="22"/>
          <w:szCs w:val="22"/>
          <w:lang w:val="en-GB"/>
        </w:rPr>
        <w:t>Asgard</w:t>
      </w:r>
      <w:proofErr w:type="spellEnd"/>
      <w:r w:rsidRPr="007E4B4E">
        <w:rPr>
          <w:rFonts w:ascii="Avenir Next" w:hAnsi="Avenir Next" w:cs="Arial"/>
          <w:sz w:val="22"/>
          <w:szCs w:val="22"/>
          <w:lang w:val="en-GB"/>
        </w:rPr>
        <w:t xml:space="preserve">. </w:t>
      </w:r>
      <w:r w:rsidR="00524840" w:rsidRPr="007E4B4E">
        <w:rPr>
          <w:rFonts w:ascii="Avenir Next" w:hAnsi="Avenir Next" w:cs="Arial"/>
          <w:sz w:val="22"/>
          <w:szCs w:val="22"/>
          <w:lang w:val="en-GB"/>
        </w:rPr>
        <w:t>FPPL</w:t>
      </w:r>
      <w:r w:rsidR="004E1D03" w:rsidRPr="007E4B4E">
        <w:rPr>
          <w:rFonts w:ascii="Avenir Next" w:hAnsi="Avenir Next" w:cs="Arial"/>
          <w:sz w:val="22"/>
          <w:szCs w:val="22"/>
          <w:lang w:val="en-GB"/>
        </w:rPr>
        <w:t xml:space="preserve"> has </w:t>
      </w:r>
      <w:r w:rsidR="00385D73" w:rsidRPr="007E4B4E">
        <w:rPr>
          <w:rFonts w:ascii="Avenir Next" w:hAnsi="Avenir Next" w:cs="Arial"/>
          <w:sz w:val="22"/>
          <w:szCs w:val="22"/>
          <w:lang w:val="en-GB"/>
        </w:rPr>
        <w:t>fallen behind with</w:t>
      </w:r>
      <w:r w:rsidR="004E1D03" w:rsidRPr="007E4B4E">
        <w:rPr>
          <w:rFonts w:ascii="Avenir Next" w:hAnsi="Avenir Next" w:cs="Arial"/>
          <w:sz w:val="22"/>
          <w:szCs w:val="22"/>
          <w:lang w:val="en-GB"/>
        </w:rPr>
        <w:t xml:space="preserve"> payments </w:t>
      </w:r>
      <w:r w:rsidR="00385D73" w:rsidRPr="007E4B4E">
        <w:rPr>
          <w:rFonts w:ascii="Avenir Next" w:hAnsi="Avenir Next" w:cs="Arial"/>
          <w:sz w:val="22"/>
          <w:szCs w:val="22"/>
          <w:lang w:val="en-GB"/>
        </w:rPr>
        <w:t xml:space="preserve">due and owing </w:t>
      </w:r>
      <w:r w:rsidR="004E1D03" w:rsidRPr="007E4B4E">
        <w:rPr>
          <w:rFonts w:ascii="Avenir Next" w:hAnsi="Avenir Next" w:cs="Arial"/>
          <w:sz w:val="22"/>
          <w:szCs w:val="22"/>
          <w:lang w:val="en-GB"/>
        </w:rPr>
        <w:t xml:space="preserve">to </w:t>
      </w:r>
      <w:r w:rsidR="00E4126D" w:rsidRPr="007E4B4E">
        <w:rPr>
          <w:rFonts w:ascii="Avenir Next" w:hAnsi="Avenir Next" w:cs="Arial"/>
          <w:sz w:val="22"/>
          <w:szCs w:val="22"/>
          <w:lang w:val="en-GB"/>
        </w:rPr>
        <w:t>Lobo</w:t>
      </w:r>
      <w:r w:rsidR="004E1D03" w:rsidRPr="007E4B4E">
        <w:rPr>
          <w:rFonts w:ascii="Avenir Next" w:hAnsi="Avenir Next" w:cs="Arial"/>
          <w:sz w:val="22"/>
          <w:szCs w:val="22"/>
          <w:lang w:val="en-GB"/>
        </w:rPr>
        <w:t xml:space="preserve">.  </w:t>
      </w:r>
      <w:r w:rsidR="00524840" w:rsidRPr="007E4B4E">
        <w:rPr>
          <w:rFonts w:ascii="Avenir Next" w:hAnsi="Avenir Next" w:cs="Arial"/>
          <w:sz w:val="22"/>
          <w:szCs w:val="22"/>
          <w:lang w:val="en-GB"/>
        </w:rPr>
        <w:t>FPPL</w:t>
      </w:r>
      <w:r w:rsidR="004E1D03" w:rsidRPr="007E4B4E">
        <w:rPr>
          <w:rFonts w:ascii="Avenir Next" w:hAnsi="Avenir Next" w:cs="Arial"/>
          <w:sz w:val="22"/>
          <w:szCs w:val="22"/>
          <w:lang w:val="en-GB"/>
        </w:rPr>
        <w:t xml:space="preserve">’s CEO approaches </w:t>
      </w:r>
      <w:r w:rsidR="00E4126D" w:rsidRPr="007E4B4E">
        <w:rPr>
          <w:rFonts w:ascii="Avenir Next" w:hAnsi="Avenir Next" w:cs="Arial"/>
          <w:sz w:val="22"/>
          <w:szCs w:val="22"/>
          <w:lang w:val="en-GB"/>
        </w:rPr>
        <w:t>Lobo</w:t>
      </w:r>
      <w:r w:rsidR="00254AB3" w:rsidRPr="007E4B4E">
        <w:rPr>
          <w:rFonts w:ascii="Avenir Next" w:hAnsi="Avenir Next" w:cs="Arial"/>
          <w:sz w:val="22"/>
          <w:szCs w:val="22"/>
          <w:lang w:val="en-GB"/>
        </w:rPr>
        <w:t xml:space="preserve"> </w:t>
      </w:r>
      <w:r w:rsidR="004E1D03" w:rsidRPr="007E4B4E">
        <w:rPr>
          <w:rFonts w:ascii="Avenir Next" w:hAnsi="Avenir Next" w:cs="Arial"/>
          <w:sz w:val="22"/>
          <w:szCs w:val="22"/>
          <w:lang w:val="en-GB"/>
        </w:rPr>
        <w:t xml:space="preserve">to </w:t>
      </w:r>
      <w:r w:rsidR="006C5CE2" w:rsidRPr="007E4B4E">
        <w:rPr>
          <w:rFonts w:ascii="Avenir Next" w:hAnsi="Avenir Next" w:cs="Arial"/>
          <w:sz w:val="22"/>
          <w:szCs w:val="22"/>
          <w:lang w:val="en-GB"/>
        </w:rPr>
        <w:t xml:space="preserve">discuss possible </w:t>
      </w:r>
      <w:r w:rsidR="00C04632" w:rsidRPr="007E4B4E">
        <w:rPr>
          <w:rFonts w:ascii="Avenir Next" w:hAnsi="Avenir Next" w:cs="Arial"/>
          <w:sz w:val="22"/>
          <w:szCs w:val="22"/>
          <w:lang w:val="en-GB"/>
        </w:rPr>
        <w:t xml:space="preserve">informal </w:t>
      </w:r>
      <w:r w:rsidR="006C5CE2" w:rsidRPr="007E4B4E">
        <w:rPr>
          <w:rFonts w:ascii="Avenir Next" w:hAnsi="Avenir Next" w:cs="Arial"/>
          <w:sz w:val="22"/>
          <w:szCs w:val="22"/>
          <w:lang w:val="en-GB"/>
        </w:rPr>
        <w:t>payment arrangements</w:t>
      </w:r>
      <w:r w:rsidR="004E1D03" w:rsidRPr="007E4B4E">
        <w:rPr>
          <w:rFonts w:ascii="Avenir Next" w:hAnsi="Avenir Next" w:cs="Arial"/>
          <w:sz w:val="22"/>
          <w:szCs w:val="22"/>
          <w:lang w:val="en-GB"/>
        </w:rPr>
        <w:t xml:space="preserve">.   </w:t>
      </w:r>
    </w:p>
    <w:p w14:paraId="2AF6739D" w14:textId="77777777" w:rsidR="004E1D03" w:rsidRPr="007E4B4E"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7E4B4E">
        <w:rPr>
          <w:rFonts w:ascii="Avenir Next" w:hAnsi="Avenir Next" w:cs="Arial"/>
          <w:sz w:val="22"/>
          <w:szCs w:val="22"/>
          <w:lang w:val="en-GB"/>
        </w:rPr>
        <w:t>If you require additional information to answer these questions, briefly state what it is and why it is relevant.</w:t>
      </w:r>
      <w:r w:rsidRPr="004216EA">
        <w:rPr>
          <w:rFonts w:ascii="Avenir Next" w:hAnsi="Avenir Next" w:cs="Arial"/>
          <w:sz w:val="22"/>
          <w:szCs w:val="22"/>
          <w:lang w:val="en-GB"/>
        </w:rPr>
        <w:t xml:space="preserve">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w:t>
      </w:r>
      <w:r w:rsidRPr="007E4B4E">
        <w:rPr>
          <w:rFonts w:ascii="Avenir Next" w:hAnsi="Avenir Next" w:cs="Arial"/>
          <w:sz w:val="22"/>
          <w:szCs w:val="22"/>
          <w:lang w:val="en-GB"/>
        </w:rPr>
        <w:t xml:space="preserve">the main differences between </w:t>
      </w:r>
      <w:r w:rsidR="00620ACA" w:rsidRPr="007E4B4E">
        <w:rPr>
          <w:rFonts w:ascii="Avenir Next" w:hAnsi="Avenir Next" w:cs="Arial"/>
          <w:sz w:val="22"/>
          <w:szCs w:val="22"/>
          <w:lang w:val="en-GB"/>
        </w:rPr>
        <w:t>“</w:t>
      </w:r>
      <w:r w:rsidRPr="007E4B4E">
        <w:rPr>
          <w:rFonts w:ascii="Avenir Next" w:hAnsi="Avenir Next" w:cs="Arial"/>
          <w:sz w:val="22"/>
          <w:szCs w:val="22"/>
          <w:lang w:val="en-GB"/>
        </w:rPr>
        <w:t>formal</w:t>
      </w:r>
      <w:r w:rsidR="00620ACA" w:rsidRPr="007E4B4E">
        <w:rPr>
          <w:rFonts w:ascii="Avenir Next" w:hAnsi="Avenir Next" w:cs="Arial"/>
          <w:sz w:val="22"/>
          <w:szCs w:val="22"/>
          <w:lang w:val="en-GB"/>
        </w:rPr>
        <w:t>”</w:t>
      </w:r>
      <w:r w:rsidRPr="007E4B4E">
        <w:rPr>
          <w:rFonts w:ascii="Avenir Next" w:hAnsi="Avenir Next" w:cs="Arial"/>
          <w:sz w:val="22"/>
          <w:szCs w:val="22"/>
          <w:lang w:val="en-GB"/>
        </w:rPr>
        <w:t xml:space="preserve"> insolvency proceedings and </w:t>
      </w:r>
      <w:r w:rsidR="00FD77E3" w:rsidRPr="007E4B4E">
        <w:rPr>
          <w:rFonts w:ascii="Avenir Next" w:hAnsi="Avenir Next" w:cs="Arial"/>
          <w:sz w:val="22"/>
          <w:szCs w:val="22"/>
          <w:lang w:val="en-GB"/>
        </w:rPr>
        <w:t>“</w:t>
      </w:r>
      <w:r w:rsidRPr="007E4B4E">
        <w:rPr>
          <w:rFonts w:ascii="Avenir Next" w:hAnsi="Avenir Next" w:cs="Arial"/>
          <w:sz w:val="22"/>
          <w:szCs w:val="22"/>
          <w:lang w:val="en-GB"/>
        </w:rPr>
        <w:t>informal</w:t>
      </w:r>
      <w:r w:rsidR="00FD77E3" w:rsidRPr="007E4B4E">
        <w:rPr>
          <w:rFonts w:ascii="Avenir Next" w:hAnsi="Avenir Next" w:cs="Arial"/>
          <w:sz w:val="22"/>
          <w:szCs w:val="22"/>
          <w:lang w:val="en-GB"/>
        </w:rPr>
        <w:t>”</w:t>
      </w:r>
      <w:r w:rsidRPr="007E4B4E">
        <w:rPr>
          <w:rFonts w:ascii="Avenir Next" w:hAnsi="Avenir Next" w:cs="Arial"/>
          <w:sz w:val="22"/>
          <w:szCs w:val="22"/>
          <w:lang w:val="en-GB"/>
        </w:rPr>
        <w:t xml:space="preserve"> insolvency arrangements? </w:t>
      </w:r>
      <w:r w:rsidR="004E1D03" w:rsidRPr="007E4B4E">
        <w:rPr>
          <w:rFonts w:ascii="Avenir Next" w:hAnsi="Avenir Next" w:cs="Arial"/>
          <w:sz w:val="22"/>
          <w:szCs w:val="22"/>
          <w:lang w:val="en-GB"/>
        </w:rPr>
        <w:t xml:space="preserve">What key advantages and disadvantages should </w:t>
      </w:r>
      <w:r w:rsidR="00E4126D" w:rsidRPr="007E4B4E">
        <w:rPr>
          <w:rFonts w:ascii="Avenir Next" w:hAnsi="Avenir Next" w:cs="Arial"/>
          <w:sz w:val="22"/>
          <w:szCs w:val="22"/>
          <w:lang w:val="en-GB"/>
        </w:rPr>
        <w:t xml:space="preserve">Lobo </w:t>
      </w:r>
      <w:r w:rsidR="004E1D03" w:rsidRPr="007E4B4E">
        <w:rPr>
          <w:rFonts w:ascii="Avenir Next" w:hAnsi="Avenir Next" w:cs="Arial"/>
          <w:sz w:val="22"/>
          <w:szCs w:val="22"/>
          <w:lang w:val="en-GB"/>
        </w:rPr>
        <w:t>consider regarding an</w:t>
      </w:r>
      <w:r w:rsidR="0062260C" w:rsidRPr="007E4B4E">
        <w:rPr>
          <w:rFonts w:ascii="Avenir Next" w:hAnsi="Avenir Next" w:cs="Arial"/>
          <w:sz w:val="22"/>
          <w:szCs w:val="22"/>
          <w:lang w:val="en-GB"/>
        </w:rPr>
        <w:t>y</w:t>
      </w:r>
      <w:r w:rsidR="004E1D03" w:rsidRPr="007E4B4E">
        <w:rPr>
          <w:rFonts w:ascii="Avenir Next" w:hAnsi="Avenir Next" w:cs="Arial"/>
          <w:sz w:val="22"/>
          <w:szCs w:val="22"/>
          <w:lang w:val="en-GB"/>
        </w:rPr>
        <w:t xml:space="preserve"> informal out-of-court workout</w:t>
      </w:r>
      <w:r w:rsidR="0028252D" w:rsidRPr="007E4B4E">
        <w:rPr>
          <w:rFonts w:ascii="Avenir Next" w:hAnsi="Avenir Next" w:cs="Arial"/>
          <w:sz w:val="22"/>
          <w:szCs w:val="22"/>
          <w:lang w:val="en-GB"/>
        </w:rPr>
        <w:t xml:space="preserve"> </w:t>
      </w:r>
      <w:r w:rsidR="0062260C" w:rsidRPr="007E4B4E">
        <w:rPr>
          <w:rFonts w:ascii="Avenir Next" w:hAnsi="Avenir Next" w:cs="Arial"/>
          <w:sz w:val="22"/>
          <w:szCs w:val="22"/>
          <w:lang w:val="en-GB"/>
        </w:rPr>
        <w:t xml:space="preserve">arrangement it could </w:t>
      </w:r>
      <w:r w:rsidR="00254AB3" w:rsidRPr="007E4B4E">
        <w:rPr>
          <w:rFonts w:ascii="Avenir Next" w:hAnsi="Avenir Next" w:cs="Arial"/>
          <w:sz w:val="22"/>
          <w:szCs w:val="22"/>
          <w:lang w:val="en-GB"/>
        </w:rPr>
        <w:t>enter</w:t>
      </w:r>
      <w:r w:rsidR="0062260C" w:rsidRPr="007E4B4E">
        <w:rPr>
          <w:rFonts w:ascii="Avenir Next" w:hAnsi="Avenir Next" w:cs="Arial"/>
          <w:sz w:val="22"/>
          <w:szCs w:val="22"/>
          <w:lang w:val="en-GB"/>
        </w:rPr>
        <w:t xml:space="preserve"> </w:t>
      </w:r>
      <w:r w:rsidR="0028252D" w:rsidRPr="007E4B4E">
        <w:rPr>
          <w:rFonts w:ascii="Avenir Next" w:hAnsi="Avenir Next" w:cs="Arial"/>
          <w:sz w:val="22"/>
          <w:szCs w:val="22"/>
          <w:lang w:val="en-GB"/>
        </w:rPr>
        <w:t xml:space="preserve">with </w:t>
      </w:r>
      <w:r w:rsidR="00524840" w:rsidRPr="007E4B4E">
        <w:rPr>
          <w:rFonts w:ascii="Avenir Next" w:hAnsi="Avenir Next" w:cs="Arial"/>
          <w:sz w:val="22"/>
          <w:szCs w:val="22"/>
          <w:lang w:val="en-GB"/>
        </w:rPr>
        <w:t>FPPL</w:t>
      </w:r>
      <w:r w:rsidR="00254AB3" w:rsidRPr="007E4B4E">
        <w:rPr>
          <w:rFonts w:ascii="Avenir Next" w:hAnsi="Avenir Next" w:cs="Arial"/>
          <w:sz w:val="22"/>
          <w:szCs w:val="22"/>
          <w:lang w:val="en-GB"/>
        </w:rPr>
        <w:t>, compared with its formal debt recovery options</w:t>
      </w:r>
      <w:r w:rsidR="004E1D03" w:rsidRPr="007E4B4E">
        <w:rPr>
          <w:rFonts w:ascii="Avenir Next" w:hAnsi="Avenir Next" w:cs="Arial"/>
          <w:sz w:val="22"/>
          <w:szCs w:val="22"/>
          <w:lang w:val="en-GB"/>
        </w:rPr>
        <w:t>?</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23C9817" w14:textId="77777777" w:rsidR="00866C74" w:rsidRDefault="00866C74" w:rsidP="003F250B">
      <w:pPr>
        <w:ind w:left="720" w:hanging="720"/>
        <w:jc w:val="both"/>
        <w:rPr>
          <w:rFonts w:ascii="Avenir Next" w:hAnsi="Avenir Next" w:cs="Arial"/>
          <w:color w:val="808080" w:themeColor="background1" w:themeShade="80"/>
          <w:sz w:val="22"/>
          <w:szCs w:val="22"/>
          <w:lang w:val="en-GB"/>
        </w:rPr>
      </w:pPr>
    </w:p>
    <w:p w14:paraId="06CFA381" w14:textId="7A60E4F6" w:rsidR="003F250B" w:rsidRDefault="00150319" w:rsidP="003F250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w:t>
      </w:r>
      <w:r w:rsidR="003F250B">
        <w:rPr>
          <w:rFonts w:ascii="Avenir Next" w:hAnsi="Avenir Next" w:cs="Arial"/>
          <w:color w:val="808080" w:themeColor="background1" w:themeShade="80"/>
          <w:sz w:val="22"/>
          <w:szCs w:val="22"/>
          <w:lang w:val="en-GB"/>
        </w:rPr>
        <w:t xml:space="preserve">are proceedings commenced under and governed by insolvency law. Formal insolvency proceedings are bankruptcies and </w:t>
      </w:r>
      <w:r>
        <w:rPr>
          <w:rFonts w:ascii="Avenir Next" w:hAnsi="Avenir Next" w:cs="Arial"/>
          <w:color w:val="808080" w:themeColor="background1" w:themeShade="80"/>
          <w:sz w:val="22"/>
          <w:szCs w:val="22"/>
          <w:lang w:val="en-GB"/>
        </w:rPr>
        <w:t>liquidation</w:t>
      </w:r>
      <w:r w:rsidR="003F250B">
        <w:rPr>
          <w:rFonts w:ascii="Avenir Next" w:hAnsi="Avenir Next" w:cs="Arial"/>
          <w:color w:val="808080" w:themeColor="background1" w:themeShade="80"/>
          <w:sz w:val="22"/>
          <w:szCs w:val="22"/>
          <w:lang w:val="en-GB"/>
        </w:rPr>
        <w:t>s, and generally include</w:t>
      </w:r>
      <w:r>
        <w:rPr>
          <w:rFonts w:ascii="Avenir Next" w:hAnsi="Avenir Next" w:cs="Arial"/>
          <w:color w:val="808080" w:themeColor="background1" w:themeShade="80"/>
          <w:sz w:val="22"/>
          <w:szCs w:val="22"/>
          <w:lang w:val="en-GB"/>
        </w:rPr>
        <w:t xml:space="preserve"> reorganisation </w:t>
      </w:r>
      <w:r w:rsidR="003F250B">
        <w:rPr>
          <w:rFonts w:ascii="Avenir Next" w:hAnsi="Avenir Next" w:cs="Arial"/>
          <w:color w:val="808080" w:themeColor="background1" w:themeShade="80"/>
          <w:sz w:val="22"/>
          <w:szCs w:val="22"/>
          <w:lang w:val="en-GB"/>
        </w:rPr>
        <w:t xml:space="preserve">or </w:t>
      </w:r>
      <w:r>
        <w:rPr>
          <w:rFonts w:ascii="Avenir Next" w:hAnsi="Avenir Next" w:cs="Arial"/>
          <w:color w:val="808080" w:themeColor="background1" w:themeShade="80"/>
          <w:sz w:val="22"/>
          <w:szCs w:val="22"/>
          <w:lang w:val="en-GB"/>
        </w:rPr>
        <w:t>rescue proceedings</w:t>
      </w:r>
      <w:r w:rsidR="003F250B">
        <w:rPr>
          <w:rFonts w:ascii="Avenir Next" w:hAnsi="Avenir Next" w:cs="Arial"/>
          <w:color w:val="808080" w:themeColor="background1" w:themeShade="80"/>
          <w:sz w:val="22"/>
          <w:szCs w:val="22"/>
          <w:lang w:val="en-GB"/>
        </w:rPr>
        <w:t xml:space="preserve">. </w:t>
      </w:r>
    </w:p>
    <w:p w14:paraId="00441DFB" w14:textId="503EC893" w:rsidR="003F250B" w:rsidRDefault="003F250B" w:rsidP="003F250B">
      <w:pPr>
        <w:ind w:left="720" w:hanging="720"/>
        <w:jc w:val="both"/>
        <w:rPr>
          <w:rFonts w:ascii="Avenir Next" w:hAnsi="Avenir Next" w:cs="Arial"/>
          <w:color w:val="808080" w:themeColor="background1" w:themeShade="80"/>
          <w:sz w:val="22"/>
          <w:szCs w:val="22"/>
          <w:lang w:val="en-GB"/>
        </w:rPr>
      </w:pPr>
    </w:p>
    <w:p w14:paraId="13A1978F" w14:textId="1AAA2CA8" w:rsidR="003F250B" w:rsidRDefault="003F250B" w:rsidP="003F250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insolvency arrangements are usually, but not always, unregulated by the insolvency law and generally involve voluntary, out-of-court negotiations between the debtor and its creditors, typically providing for some form of restructuring of the debtor. </w:t>
      </w:r>
    </w:p>
    <w:p w14:paraId="7AA152D8" w14:textId="19F430FE" w:rsidR="003F250B" w:rsidRDefault="003F250B" w:rsidP="003F250B">
      <w:pPr>
        <w:ind w:left="720" w:hanging="720"/>
        <w:jc w:val="both"/>
        <w:rPr>
          <w:rFonts w:ascii="Avenir Next" w:hAnsi="Avenir Next" w:cs="Arial"/>
          <w:color w:val="808080" w:themeColor="background1" w:themeShade="80"/>
          <w:sz w:val="22"/>
          <w:szCs w:val="22"/>
          <w:lang w:val="en-GB"/>
        </w:rPr>
      </w:pPr>
    </w:p>
    <w:p w14:paraId="2DD63BD7" w14:textId="2DAC1A83" w:rsidR="00E43222" w:rsidRDefault="003F250B" w:rsidP="006B30B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Advantages of an informal creditor workout for Lobo are that the costs will be significantly lower </w:t>
      </w:r>
      <w:r w:rsidR="00140C45">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an out-of-court resolution</w:t>
      </w:r>
      <w:r w:rsidR="000749A3">
        <w:rPr>
          <w:rFonts w:ascii="Avenir Next" w:hAnsi="Avenir Next" w:cs="Arial"/>
          <w:color w:val="808080" w:themeColor="background1" w:themeShade="80"/>
          <w:sz w:val="22"/>
          <w:szCs w:val="22"/>
          <w:lang w:val="en-GB"/>
        </w:rPr>
        <w:t xml:space="preserve">. There will also be no publicity of </w:t>
      </w:r>
      <w:proofErr w:type="gramStart"/>
      <w:r w:rsidR="000749A3">
        <w:rPr>
          <w:rFonts w:ascii="Avenir Next" w:hAnsi="Avenir Next" w:cs="Arial"/>
          <w:color w:val="808080" w:themeColor="background1" w:themeShade="80"/>
          <w:sz w:val="22"/>
          <w:szCs w:val="22"/>
          <w:lang w:val="en-GB"/>
        </w:rPr>
        <w:t>FPPL’s  financial</w:t>
      </w:r>
      <w:proofErr w:type="gramEnd"/>
      <w:r w:rsidR="000749A3">
        <w:rPr>
          <w:rFonts w:ascii="Avenir Next" w:hAnsi="Avenir Next" w:cs="Arial"/>
          <w:color w:val="808080" w:themeColor="background1" w:themeShade="80"/>
          <w:sz w:val="22"/>
          <w:szCs w:val="22"/>
          <w:lang w:val="en-GB"/>
        </w:rPr>
        <w:t xml:space="preserve"> difficulties which may result in an indirect benefit for Lobo if it increases the chance of FPPL’s successful restructuring and maintains the value of FPPL’s goodwill. </w:t>
      </w:r>
      <w:r w:rsidR="00E43222">
        <w:rPr>
          <w:rFonts w:ascii="Avenir Next" w:hAnsi="Avenir Next" w:cs="Arial"/>
          <w:color w:val="808080" w:themeColor="background1" w:themeShade="80"/>
          <w:sz w:val="22"/>
          <w:szCs w:val="22"/>
          <w:lang w:val="en-GB"/>
        </w:rPr>
        <w:t xml:space="preserve">Lobo may also be able to </w:t>
      </w:r>
      <w:r w:rsidR="006B30B6">
        <w:rPr>
          <w:rFonts w:ascii="Avenir Next" w:hAnsi="Avenir Next" w:cs="Arial"/>
          <w:color w:val="808080" w:themeColor="background1" w:themeShade="80"/>
          <w:sz w:val="22"/>
          <w:szCs w:val="22"/>
          <w:lang w:val="en-GB"/>
        </w:rPr>
        <w:t xml:space="preserve">enter into an agreement with FPPL which extends beyond the terms which a Court could impose, including debt for equity swaps, if Lobo is interested in converting FPPL’s debt to equity in the company. Lobo may consider that it is likely to see a greater return of its debt under an informal workout than in formal liquidation proceedings, even if the workout includes discharging some of the debt or delaying repayment. </w:t>
      </w:r>
    </w:p>
    <w:p w14:paraId="0AA71873" w14:textId="77777777" w:rsidR="000749A3" w:rsidRDefault="000749A3" w:rsidP="003F250B">
      <w:pPr>
        <w:ind w:left="720" w:hanging="720"/>
        <w:jc w:val="both"/>
        <w:rPr>
          <w:rFonts w:ascii="Avenir Next" w:hAnsi="Avenir Next" w:cs="Arial"/>
          <w:color w:val="808080" w:themeColor="background1" w:themeShade="80"/>
          <w:sz w:val="22"/>
          <w:szCs w:val="22"/>
          <w:lang w:val="en-GB"/>
        </w:rPr>
      </w:pPr>
    </w:p>
    <w:p w14:paraId="480831F3" w14:textId="53F0AC11" w:rsidR="003F250B" w:rsidRDefault="000749A3" w:rsidP="003F250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Disadvantages of an out-of-court workout are that there will be no moratorium in pl</w:t>
      </w:r>
      <w:r w:rsidR="006B30B6">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ce, which means that other creditors could approach the Courts to commence an insolvency proceeding. If other creditors dissent, there is no way to bind those dissenting creditors to the agreement, as there may be in a formal process.  </w:t>
      </w:r>
    </w:p>
    <w:p w14:paraId="710D2203" w14:textId="1FDEB04C" w:rsidR="000749A3" w:rsidRDefault="000749A3" w:rsidP="003F250B">
      <w:pPr>
        <w:ind w:left="720" w:hanging="720"/>
        <w:jc w:val="both"/>
        <w:rPr>
          <w:rFonts w:ascii="Avenir Next" w:hAnsi="Avenir Next" w:cs="Arial"/>
          <w:color w:val="808080" w:themeColor="background1" w:themeShade="80"/>
          <w:sz w:val="22"/>
          <w:szCs w:val="22"/>
          <w:lang w:val="en-GB"/>
        </w:rPr>
      </w:pPr>
    </w:p>
    <w:p w14:paraId="3D1E19F8" w14:textId="1BECF368" w:rsidR="000749A3" w:rsidRDefault="000749A3" w:rsidP="003F250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Lobo may not consider that an informal creditor workout is in its best interests</w:t>
      </w:r>
      <w:r w:rsidR="00E43222">
        <w:rPr>
          <w:rFonts w:ascii="Avenir Next" w:hAnsi="Avenir Next" w:cs="Arial"/>
          <w:color w:val="808080" w:themeColor="background1" w:themeShade="80"/>
          <w:sz w:val="22"/>
          <w:szCs w:val="22"/>
          <w:lang w:val="en-GB"/>
        </w:rPr>
        <w:t xml:space="preserve"> compared to proceedings to liquidate FPPL</w:t>
      </w:r>
      <w:r w:rsidR="006B30B6">
        <w:rPr>
          <w:rFonts w:ascii="Avenir Next" w:hAnsi="Avenir Next" w:cs="Arial"/>
          <w:color w:val="808080" w:themeColor="background1" w:themeShade="80"/>
          <w:sz w:val="22"/>
          <w:szCs w:val="22"/>
          <w:lang w:val="en-GB"/>
        </w:rPr>
        <w:t xml:space="preserve">, for example if </w:t>
      </w:r>
      <w:proofErr w:type="gramStart"/>
      <w:r w:rsidR="006B30B6">
        <w:rPr>
          <w:rFonts w:ascii="Avenir Next" w:hAnsi="Avenir Next" w:cs="Arial"/>
          <w:color w:val="808080" w:themeColor="background1" w:themeShade="80"/>
          <w:sz w:val="22"/>
          <w:szCs w:val="22"/>
          <w:lang w:val="en-GB"/>
        </w:rPr>
        <w:t>it is clear that attempts</w:t>
      </w:r>
      <w:proofErr w:type="gramEnd"/>
      <w:r w:rsidR="006B30B6">
        <w:rPr>
          <w:rFonts w:ascii="Avenir Next" w:hAnsi="Avenir Next" w:cs="Arial"/>
          <w:color w:val="808080" w:themeColor="background1" w:themeShade="80"/>
          <w:sz w:val="22"/>
          <w:szCs w:val="22"/>
          <w:lang w:val="en-GB"/>
        </w:rPr>
        <w:t xml:space="preserve"> to rescue or preserve FPPL’s business or parts of it are unlikely to be successful. </w:t>
      </w:r>
    </w:p>
    <w:p w14:paraId="696D4971" w14:textId="20A75337" w:rsidR="003F250B" w:rsidRDefault="003F250B" w:rsidP="003F250B">
      <w:pPr>
        <w:ind w:left="720" w:hanging="720"/>
        <w:jc w:val="both"/>
        <w:rPr>
          <w:rFonts w:ascii="Avenir Next" w:hAnsi="Avenir Next" w:cs="Arial"/>
          <w:color w:val="808080" w:themeColor="background1" w:themeShade="80"/>
          <w:sz w:val="22"/>
          <w:szCs w:val="22"/>
          <w:lang w:val="en-GB"/>
        </w:rPr>
      </w:pPr>
    </w:p>
    <w:p w14:paraId="2B8279BE" w14:textId="18B9A53E" w:rsidR="00866C74" w:rsidRDefault="00866C74" w:rsidP="00866C7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Lobo would need to know that FPPL, as a foreign registered company carrying on business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would be subject to insolvency proceedings under </w:t>
      </w:r>
      <w:proofErr w:type="spellStart"/>
      <w:r>
        <w:rPr>
          <w:rFonts w:ascii="Avenir Next" w:hAnsi="Avenir Next" w:cs="Arial"/>
          <w:color w:val="808080" w:themeColor="background1" w:themeShade="80"/>
          <w:sz w:val="22"/>
          <w:szCs w:val="22"/>
          <w:lang w:val="en-GB"/>
        </w:rPr>
        <w:t>Asgard’s</w:t>
      </w:r>
      <w:proofErr w:type="spellEnd"/>
      <w:r>
        <w:rPr>
          <w:rFonts w:ascii="Avenir Next" w:hAnsi="Avenir Next" w:cs="Arial"/>
          <w:color w:val="808080" w:themeColor="background1" w:themeShade="80"/>
          <w:sz w:val="22"/>
          <w:szCs w:val="22"/>
          <w:lang w:val="en-GB"/>
        </w:rPr>
        <w:t xml:space="preserve"> domestic laws.</w:t>
      </w:r>
      <w:r w:rsidR="00541EA5">
        <w:rPr>
          <w:rFonts w:ascii="Avenir Next" w:hAnsi="Avenir Next" w:cs="Arial"/>
          <w:color w:val="808080" w:themeColor="background1" w:themeShade="80"/>
          <w:sz w:val="22"/>
          <w:szCs w:val="22"/>
          <w:lang w:val="en-GB"/>
        </w:rPr>
        <w:t xml:space="preserve"> It would be helpful to know whether any contractual arrangement between FPPL and Lobo is governed by the laws of </w:t>
      </w:r>
      <w:proofErr w:type="spellStart"/>
      <w:r w:rsidR="00541EA5">
        <w:rPr>
          <w:rFonts w:ascii="Avenir Next" w:hAnsi="Avenir Next" w:cs="Arial"/>
          <w:color w:val="808080" w:themeColor="background1" w:themeShade="80"/>
          <w:sz w:val="22"/>
          <w:szCs w:val="22"/>
          <w:lang w:val="en-GB"/>
        </w:rPr>
        <w:t>Asgard</w:t>
      </w:r>
      <w:proofErr w:type="spellEnd"/>
      <w:r w:rsidR="00541EA5">
        <w:rPr>
          <w:rFonts w:ascii="Avenir Next" w:hAnsi="Avenir Next" w:cs="Arial"/>
          <w:color w:val="808080" w:themeColor="background1" w:themeShade="80"/>
          <w:sz w:val="22"/>
          <w:szCs w:val="22"/>
          <w:lang w:val="en-GB"/>
        </w:rPr>
        <w:t xml:space="preserve">, which may help to found jurisdiction for insolvency proceedings in </w:t>
      </w:r>
      <w:proofErr w:type="spellStart"/>
      <w:r w:rsidR="00541EA5">
        <w:rPr>
          <w:rFonts w:ascii="Avenir Next" w:hAnsi="Avenir Next" w:cs="Arial"/>
          <w:color w:val="808080" w:themeColor="background1" w:themeShade="80"/>
          <w:sz w:val="22"/>
          <w:szCs w:val="22"/>
          <w:lang w:val="en-GB"/>
        </w:rPr>
        <w:t>Asgard</w:t>
      </w:r>
      <w:proofErr w:type="spellEnd"/>
      <w:r w:rsidR="00541EA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Lobo </w:t>
      </w:r>
      <w:r w:rsidR="00541EA5">
        <w:rPr>
          <w:rFonts w:ascii="Avenir Next" w:hAnsi="Avenir Next" w:cs="Arial"/>
          <w:color w:val="808080" w:themeColor="background1" w:themeShade="80"/>
          <w:sz w:val="22"/>
          <w:szCs w:val="22"/>
          <w:lang w:val="en-GB"/>
        </w:rPr>
        <w:t>may</w:t>
      </w:r>
      <w:r>
        <w:rPr>
          <w:rFonts w:ascii="Avenir Next" w:hAnsi="Avenir Next" w:cs="Arial"/>
          <w:color w:val="808080" w:themeColor="background1" w:themeShade="80"/>
          <w:sz w:val="22"/>
          <w:szCs w:val="22"/>
          <w:lang w:val="en-GB"/>
        </w:rPr>
        <w:t xml:space="preserve"> not have a remedy in formal proceedings in Encanto, where FPPL is not </w:t>
      </w:r>
      <w:r w:rsidR="00541EA5">
        <w:rPr>
          <w:rFonts w:ascii="Avenir Next" w:hAnsi="Avenir Next" w:cs="Arial"/>
          <w:color w:val="808080" w:themeColor="background1" w:themeShade="80"/>
          <w:sz w:val="22"/>
          <w:szCs w:val="22"/>
          <w:lang w:val="en-GB"/>
        </w:rPr>
        <w:t xml:space="preserve">otherwise </w:t>
      </w:r>
      <w:r>
        <w:rPr>
          <w:rFonts w:ascii="Avenir Next" w:hAnsi="Avenir Next" w:cs="Arial"/>
          <w:color w:val="808080" w:themeColor="background1" w:themeShade="80"/>
          <w:sz w:val="22"/>
          <w:szCs w:val="22"/>
          <w:lang w:val="en-GB"/>
        </w:rPr>
        <w:t xml:space="preserve">struggling to meet its debts unless Lobo’s debt was able to form the subject matter of insolvency proceedings in Encanto. This may be less attractive for Lobo due to the additional expense and effort involved in participating in foreign proceedings. </w:t>
      </w:r>
    </w:p>
    <w:p w14:paraId="4E3017C8" w14:textId="46562233" w:rsidR="003F250B" w:rsidRDefault="003F250B" w:rsidP="003F250B">
      <w:pPr>
        <w:ind w:left="720" w:hanging="720"/>
        <w:jc w:val="both"/>
        <w:rPr>
          <w:rFonts w:ascii="Avenir Next" w:hAnsi="Avenir Next" w:cs="Arial"/>
          <w:color w:val="808080" w:themeColor="background1" w:themeShade="80"/>
          <w:sz w:val="22"/>
          <w:szCs w:val="22"/>
          <w:lang w:val="en-GB"/>
        </w:rPr>
      </w:pPr>
    </w:p>
    <w:p w14:paraId="716ADBE3" w14:textId="77777777" w:rsidR="00866C74" w:rsidRPr="003F250B" w:rsidRDefault="00866C74" w:rsidP="003F250B">
      <w:pPr>
        <w:ind w:left="720" w:hanging="720"/>
        <w:jc w:val="both"/>
        <w:rPr>
          <w:rFonts w:ascii="Avenir Next" w:hAnsi="Avenir Next" w:cs="Arial"/>
          <w:color w:val="808080" w:themeColor="background1" w:themeShade="80"/>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w:t>
      </w:r>
      <w:r w:rsidRPr="007E4B4E">
        <w:rPr>
          <w:rFonts w:ascii="Avenir Next" w:hAnsi="Avenir Next" w:cs="Arial"/>
          <w:sz w:val="22"/>
          <w:szCs w:val="22"/>
          <w:lang w:val="en-GB"/>
        </w:rPr>
        <w:t xml:space="preserve">instead of the scenario </w:t>
      </w:r>
      <w:r w:rsidR="00F62000" w:rsidRPr="007E4B4E">
        <w:rPr>
          <w:rFonts w:ascii="Avenir Next" w:hAnsi="Avenir Next" w:cs="Arial"/>
          <w:sz w:val="22"/>
          <w:szCs w:val="22"/>
          <w:lang w:val="en-GB"/>
        </w:rPr>
        <w:t>described above</w:t>
      </w:r>
      <w:r w:rsidRPr="007E4B4E">
        <w:rPr>
          <w:rFonts w:ascii="Avenir Next" w:hAnsi="Avenir Next" w:cs="Arial"/>
          <w:sz w:val="22"/>
          <w:szCs w:val="22"/>
          <w:lang w:val="en-GB"/>
        </w:rPr>
        <w:t xml:space="preserve">, </w:t>
      </w:r>
      <w:r w:rsidR="00E4126D" w:rsidRPr="007E4B4E">
        <w:rPr>
          <w:rFonts w:ascii="Avenir Next" w:hAnsi="Avenir Next" w:cs="Arial"/>
          <w:sz w:val="22"/>
          <w:szCs w:val="22"/>
          <w:lang w:val="en-GB"/>
        </w:rPr>
        <w:t xml:space="preserve">Lobo </w:t>
      </w:r>
      <w:r w:rsidRPr="007E4B4E">
        <w:rPr>
          <w:rFonts w:ascii="Avenir Next" w:hAnsi="Avenir Next" w:cs="Arial"/>
          <w:sz w:val="22"/>
          <w:szCs w:val="22"/>
          <w:lang w:val="en-GB"/>
        </w:rPr>
        <w:t>obtain</w:t>
      </w:r>
      <w:r w:rsidR="00F62000" w:rsidRPr="007E4B4E">
        <w:rPr>
          <w:rFonts w:ascii="Avenir Next" w:hAnsi="Avenir Next" w:cs="Arial"/>
          <w:sz w:val="22"/>
          <w:szCs w:val="22"/>
          <w:lang w:val="en-GB"/>
        </w:rPr>
        <w:t>ed</w:t>
      </w:r>
      <w:r w:rsidRPr="007E4B4E">
        <w:rPr>
          <w:rFonts w:ascii="Avenir Next" w:hAnsi="Avenir Next" w:cs="Arial"/>
          <w:sz w:val="22"/>
          <w:szCs w:val="22"/>
          <w:lang w:val="en-GB"/>
        </w:rPr>
        <w:t xml:space="preserve"> a</w:t>
      </w:r>
      <w:r w:rsidR="00F62000" w:rsidRPr="007E4B4E">
        <w:rPr>
          <w:rFonts w:ascii="Avenir Next" w:hAnsi="Avenir Next" w:cs="Arial"/>
          <w:sz w:val="22"/>
          <w:szCs w:val="22"/>
          <w:lang w:val="en-GB"/>
        </w:rPr>
        <w:t xml:space="preserve"> formal court</w:t>
      </w:r>
      <w:r w:rsidRPr="007E4B4E">
        <w:rPr>
          <w:rFonts w:ascii="Avenir Next" w:hAnsi="Avenir Next" w:cs="Arial"/>
          <w:sz w:val="22"/>
          <w:szCs w:val="22"/>
          <w:lang w:val="en-GB"/>
        </w:rPr>
        <w:t xml:space="preserve"> order against </w:t>
      </w:r>
      <w:r w:rsidR="00524840" w:rsidRPr="007E4B4E">
        <w:rPr>
          <w:rFonts w:ascii="Avenir Next" w:hAnsi="Avenir Next" w:cs="Arial"/>
          <w:sz w:val="22"/>
          <w:szCs w:val="22"/>
          <w:lang w:val="en-GB"/>
        </w:rPr>
        <w:t>FPPL</w:t>
      </w:r>
      <w:r w:rsidRPr="007E4B4E">
        <w:rPr>
          <w:rFonts w:ascii="Avenir Next" w:hAnsi="Avenir Next" w:cs="Arial"/>
          <w:sz w:val="22"/>
          <w:szCs w:val="22"/>
          <w:lang w:val="en-GB"/>
        </w:rPr>
        <w:t xml:space="preserve"> for a court-</w:t>
      </w:r>
      <w:r w:rsidR="001174E6" w:rsidRPr="007E4B4E">
        <w:rPr>
          <w:rFonts w:ascii="Avenir Next" w:hAnsi="Avenir Next" w:cs="Arial"/>
          <w:sz w:val="22"/>
          <w:szCs w:val="22"/>
          <w:lang w:val="en-GB"/>
        </w:rPr>
        <w:t>super</w:t>
      </w:r>
      <w:r w:rsidRPr="007E4B4E">
        <w:rPr>
          <w:rFonts w:ascii="Avenir Next" w:hAnsi="Avenir Next" w:cs="Arial"/>
          <w:sz w:val="22"/>
          <w:szCs w:val="22"/>
          <w:lang w:val="en-GB"/>
        </w:rPr>
        <w:t xml:space="preserve">vised insolvency proceeding in </w:t>
      </w:r>
      <w:proofErr w:type="spellStart"/>
      <w:r w:rsidR="003E2E7C" w:rsidRPr="007E4B4E">
        <w:rPr>
          <w:rFonts w:ascii="Avenir Next" w:hAnsi="Avenir Next" w:cs="Arial"/>
          <w:sz w:val="22"/>
          <w:szCs w:val="22"/>
          <w:lang w:val="en-GB"/>
        </w:rPr>
        <w:t>Asgard</w:t>
      </w:r>
      <w:proofErr w:type="spellEnd"/>
      <w:r w:rsidRPr="007E4B4E">
        <w:rPr>
          <w:rFonts w:ascii="Avenir Next" w:hAnsi="Avenir Next" w:cs="Arial"/>
          <w:sz w:val="22"/>
          <w:szCs w:val="22"/>
          <w:lang w:val="en-GB"/>
        </w:rPr>
        <w:t xml:space="preserve">.  The </w:t>
      </w:r>
      <w:r w:rsidR="003E2E7C" w:rsidRPr="007E4B4E">
        <w:rPr>
          <w:rFonts w:ascii="Avenir Next" w:hAnsi="Avenir Next" w:cs="Arial"/>
          <w:sz w:val="22"/>
          <w:szCs w:val="22"/>
          <w:lang w:val="en-GB"/>
        </w:rPr>
        <w:t>Asgard</w:t>
      </w:r>
      <w:r w:rsidR="004235F4" w:rsidRPr="007E4B4E">
        <w:rPr>
          <w:rFonts w:ascii="Avenir Next" w:hAnsi="Avenir Next" w:cs="Arial"/>
          <w:sz w:val="22"/>
          <w:szCs w:val="22"/>
          <w:lang w:val="en-GB"/>
        </w:rPr>
        <w:t>ia</w:t>
      </w:r>
      <w:r w:rsidRPr="007E4B4E">
        <w:rPr>
          <w:rFonts w:ascii="Avenir Next" w:hAnsi="Avenir Next" w:cs="Arial"/>
          <w:sz w:val="22"/>
          <w:szCs w:val="22"/>
          <w:lang w:val="en-GB"/>
        </w:rPr>
        <w:t xml:space="preserve">n insolvency representative then </w:t>
      </w:r>
      <w:r w:rsidR="00F62000" w:rsidRPr="007E4B4E">
        <w:rPr>
          <w:rFonts w:ascii="Avenir Next" w:hAnsi="Avenir Next" w:cs="Arial"/>
          <w:sz w:val="22"/>
          <w:szCs w:val="22"/>
          <w:lang w:val="en-GB"/>
        </w:rPr>
        <w:t>discovered there was already</w:t>
      </w:r>
      <w:r w:rsidRPr="007E4B4E">
        <w:rPr>
          <w:rFonts w:ascii="Avenir Next" w:hAnsi="Avenir Next" w:cs="Arial"/>
          <w:sz w:val="22"/>
          <w:szCs w:val="22"/>
          <w:lang w:val="en-GB"/>
        </w:rPr>
        <w:t xml:space="preserve"> a concurrent insolvency proceeding commenced against </w:t>
      </w:r>
      <w:r w:rsidR="00524840" w:rsidRPr="007E4B4E">
        <w:rPr>
          <w:rFonts w:ascii="Avenir Next" w:hAnsi="Avenir Next" w:cs="Arial"/>
          <w:sz w:val="22"/>
          <w:szCs w:val="22"/>
          <w:lang w:val="en-GB"/>
        </w:rPr>
        <w:t>FPPL</w:t>
      </w:r>
      <w:r w:rsidRPr="007E4B4E">
        <w:rPr>
          <w:rFonts w:ascii="Avenir Next" w:hAnsi="Avenir Next" w:cs="Arial"/>
          <w:sz w:val="22"/>
          <w:szCs w:val="22"/>
          <w:lang w:val="en-GB"/>
        </w:rPr>
        <w:t xml:space="preserve"> in </w:t>
      </w:r>
      <w:r w:rsidR="003E2E7C" w:rsidRPr="007E4B4E">
        <w:rPr>
          <w:rFonts w:ascii="Avenir Next" w:hAnsi="Avenir Next" w:cs="Arial"/>
          <w:sz w:val="22"/>
          <w:szCs w:val="22"/>
          <w:lang w:val="en-GB"/>
        </w:rPr>
        <w:t>Encanto</w:t>
      </w:r>
      <w:r w:rsidRPr="007E4B4E">
        <w:rPr>
          <w:rFonts w:ascii="Avenir Next" w:hAnsi="Avenir Next" w:cs="Arial"/>
          <w:sz w:val="22"/>
          <w:szCs w:val="22"/>
          <w:lang w:val="en-GB"/>
        </w:rPr>
        <w:t xml:space="preserve">. </w:t>
      </w:r>
      <w:r w:rsidR="00F62000" w:rsidRPr="007E4B4E">
        <w:rPr>
          <w:rFonts w:ascii="Avenir Next" w:hAnsi="Avenir Next" w:cs="Arial"/>
          <w:sz w:val="22"/>
          <w:szCs w:val="22"/>
          <w:lang w:val="en-GB"/>
        </w:rPr>
        <w:t xml:space="preserve">Detail difficulties that may arise </w:t>
      </w:r>
      <w:r w:rsidR="00E01C69" w:rsidRPr="007E4B4E">
        <w:rPr>
          <w:rFonts w:ascii="Avenir Next" w:hAnsi="Avenir Next" w:cs="Arial"/>
          <w:sz w:val="22"/>
          <w:szCs w:val="22"/>
          <w:lang w:val="en-GB"/>
        </w:rPr>
        <w:t xml:space="preserve">for the insolvency representative </w:t>
      </w:r>
      <w:r w:rsidR="00586968" w:rsidRPr="007E4B4E">
        <w:rPr>
          <w:rFonts w:ascii="Avenir Next" w:hAnsi="Avenir Next" w:cs="Arial"/>
          <w:sz w:val="22"/>
          <w:szCs w:val="22"/>
          <w:lang w:val="en-GB"/>
        </w:rPr>
        <w:t xml:space="preserve">pertaining to </w:t>
      </w:r>
      <w:r w:rsidR="00586968" w:rsidRPr="007E4B4E">
        <w:rPr>
          <w:rFonts w:ascii="Avenir Next" w:hAnsi="Avenir Next" w:cs="Arial"/>
          <w:sz w:val="22"/>
          <w:szCs w:val="22"/>
        </w:rPr>
        <w:t xml:space="preserve">co-operation and co-ordination </w:t>
      </w:r>
      <w:r w:rsidR="00F62000" w:rsidRPr="007E4B4E">
        <w:rPr>
          <w:rFonts w:ascii="Avenir Next" w:hAnsi="Avenir Next" w:cs="Arial"/>
          <w:sz w:val="22"/>
          <w:szCs w:val="22"/>
          <w:lang w:val="en-GB"/>
        </w:rPr>
        <w:t xml:space="preserve">and the </w:t>
      </w:r>
      <w:r w:rsidRPr="007E4B4E">
        <w:rPr>
          <w:rFonts w:ascii="Avenir Next" w:hAnsi="Avenir Next" w:cs="Arial"/>
          <w:sz w:val="22"/>
          <w:szCs w:val="22"/>
          <w:lang w:val="en-GB"/>
        </w:rPr>
        <w:t xml:space="preserve">international insolvency instruments that have been developed to assist </w:t>
      </w:r>
      <w:r w:rsidR="00F62000" w:rsidRPr="007E4B4E">
        <w:rPr>
          <w:rFonts w:ascii="Avenir Next" w:hAnsi="Avenir Next" w:cs="Arial"/>
          <w:sz w:val="22"/>
          <w:szCs w:val="22"/>
          <w:lang w:val="en-GB"/>
        </w:rPr>
        <w:t>with respect to those difficulties.</w:t>
      </w:r>
      <w:r w:rsidRPr="007E4B4E">
        <w:rPr>
          <w:rFonts w:ascii="Avenir Next" w:hAnsi="Avenir Next" w:cs="Arial"/>
          <w:sz w:val="22"/>
          <w:szCs w:val="22"/>
          <w:lang w:val="en-GB"/>
        </w:rPr>
        <w:t xml:space="preserve"> </w:t>
      </w:r>
      <w:r w:rsidR="00193AD3" w:rsidRPr="007E4B4E">
        <w:rPr>
          <w:rFonts w:ascii="Avenir Next" w:hAnsi="Avenir Next" w:cs="Arial"/>
          <w:sz w:val="22"/>
          <w:szCs w:val="22"/>
          <w:lang w:val="en-GB"/>
        </w:rPr>
        <w:t>In your answer make sure to comment as to whether the development of these international insolvency instruments is important and why</w:t>
      </w:r>
      <w:r w:rsidR="00940C1F" w:rsidRPr="007E4B4E">
        <w:rPr>
          <w:rFonts w:ascii="Avenir Next" w:hAnsi="Avenir Next" w:cs="Arial"/>
          <w:sz w:val="22"/>
          <w:szCs w:val="22"/>
          <w:lang w:val="en-GB"/>
        </w:rPr>
        <w:t>,</w:t>
      </w:r>
      <w:r w:rsidR="00586968" w:rsidRPr="007E4B4E">
        <w:rPr>
          <w:rFonts w:ascii="Avenir Next" w:hAnsi="Avenir Next" w:cs="Arial"/>
          <w:sz w:val="22"/>
          <w:szCs w:val="22"/>
          <w:lang w:val="en-GB"/>
        </w:rPr>
        <w:t xml:space="preserve"> or</w:t>
      </w:r>
      <w:r w:rsidR="00586968" w:rsidRPr="004216EA">
        <w:rPr>
          <w:rFonts w:ascii="Avenir Next" w:hAnsi="Avenir Next" w:cs="Arial"/>
          <w:sz w:val="22"/>
          <w:szCs w:val="22"/>
          <w:lang w:val="en-GB"/>
        </w:rPr>
        <w:t xml:space="preserve">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015F3154" w:rsidR="001E1C34" w:rsidRDefault="00541EA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there are concurrent insolvency proceedings in different jurisdictions, each State will apply its own laws, including its own choice-of-law provisions. </w:t>
      </w:r>
      <w:r w:rsidR="00603228">
        <w:rPr>
          <w:rFonts w:ascii="Avenir Next" w:hAnsi="Avenir Next" w:cs="Arial"/>
          <w:color w:val="808080" w:themeColor="background1" w:themeShade="80"/>
          <w:sz w:val="22"/>
          <w:szCs w:val="22"/>
          <w:lang w:val="en-GB"/>
        </w:rPr>
        <w:t xml:space="preserve">The Asgardian insolvency representative will want to ascertain whether the laws of Encanto provide </w:t>
      </w:r>
      <w:r w:rsidR="00603228">
        <w:rPr>
          <w:rFonts w:ascii="Avenir Next" w:hAnsi="Avenir Next" w:cs="Arial"/>
          <w:color w:val="808080" w:themeColor="background1" w:themeShade="80"/>
          <w:sz w:val="22"/>
          <w:szCs w:val="22"/>
          <w:lang w:val="en-GB"/>
        </w:rPr>
        <w:lastRenderedPageBreak/>
        <w:t xml:space="preserve">for extraterritorial effect to be given in Encanto to the Asgardian proceedings and whether there will be recognition of the Asgardian insolvency proceedings. </w:t>
      </w:r>
    </w:p>
    <w:p w14:paraId="3BF42155" w14:textId="1FAF8E1A" w:rsidR="00603228" w:rsidRDefault="00603228" w:rsidP="001E1C34">
      <w:pPr>
        <w:ind w:left="720" w:hanging="720"/>
        <w:jc w:val="both"/>
        <w:rPr>
          <w:rFonts w:ascii="Avenir Next" w:hAnsi="Avenir Next" w:cs="Arial"/>
          <w:color w:val="808080" w:themeColor="background1" w:themeShade="80"/>
          <w:sz w:val="22"/>
          <w:szCs w:val="22"/>
          <w:lang w:val="en-GB"/>
        </w:rPr>
      </w:pPr>
    </w:p>
    <w:p w14:paraId="6D7E0649" w14:textId="233E7466" w:rsidR="001E1C34" w:rsidRDefault="00603228" w:rsidP="0060322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difficulties the insolvency representative may encounter in respect of co-operation and co-ordination in respect of the concurrent insolvency proceedings include</w:t>
      </w:r>
    </w:p>
    <w:p w14:paraId="2E043344" w14:textId="722F72BE" w:rsidR="00603228" w:rsidRDefault="00603228" w:rsidP="00603228">
      <w:pPr>
        <w:ind w:left="720" w:hanging="720"/>
        <w:jc w:val="both"/>
        <w:rPr>
          <w:rFonts w:ascii="Avenir Next" w:hAnsi="Avenir Next" w:cs="Arial"/>
          <w:color w:val="808080" w:themeColor="background1" w:themeShade="80"/>
          <w:sz w:val="22"/>
          <w:szCs w:val="22"/>
          <w:lang w:val="en-GB"/>
        </w:rPr>
      </w:pPr>
    </w:p>
    <w:p w14:paraId="2151E853" w14:textId="122EEF66" w:rsidR="00603228" w:rsidRDefault="00603228" w:rsidP="0060322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insolvency proceedings </w:t>
      </w:r>
      <w:proofErr w:type="gramStart"/>
      <w:r>
        <w:rPr>
          <w:rFonts w:ascii="Avenir Next" w:hAnsi="Avenir Next" w:cs="Arial"/>
          <w:color w:val="808080" w:themeColor="background1" w:themeShade="80"/>
          <w:sz w:val="22"/>
          <w:szCs w:val="22"/>
          <w:lang w:val="en-GB"/>
        </w:rPr>
        <w:t>compete with each other</w:t>
      </w:r>
      <w:proofErr w:type="gramEnd"/>
      <w:r>
        <w:rPr>
          <w:rFonts w:ascii="Avenir Next" w:hAnsi="Avenir Next" w:cs="Arial"/>
          <w:color w:val="808080" w:themeColor="background1" w:themeShade="80"/>
          <w:sz w:val="22"/>
          <w:szCs w:val="22"/>
          <w:lang w:val="en-GB"/>
        </w:rPr>
        <w:t xml:space="preserve">; for example, the insolvency representative may be considering corporate rescue/restructuring options whereas the </w:t>
      </w:r>
      <w:proofErr w:type="spellStart"/>
      <w:r>
        <w:rPr>
          <w:rFonts w:ascii="Avenir Next" w:hAnsi="Avenir Next" w:cs="Arial"/>
          <w:color w:val="808080" w:themeColor="background1" w:themeShade="80"/>
          <w:sz w:val="22"/>
          <w:szCs w:val="22"/>
          <w:lang w:val="en-GB"/>
        </w:rPr>
        <w:t>Encant</w:t>
      </w:r>
      <w:r w:rsidR="00995386">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ian</w:t>
      </w:r>
      <w:proofErr w:type="spellEnd"/>
      <w:r>
        <w:rPr>
          <w:rFonts w:ascii="Avenir Next" w:hAnsi="Avenir Next" w:cs="Arial"/>
          <w:color w:val="808080" w:themeColor="background1" w:themeShade="80"/>
          <w:sz w:val="22"/>
          <w:szCs w:val="22"/>
          <w:lang w:val="en-GB"/>
        </w:rPr>
        <w:t xml:space="preserve"> </w:t>
      </w:r>
      <w:r w:rsidR="00331AD1">
        <w:rPr>
          <w:rFonts w:ascii="Avenir Next" w:hAnsi="Avenir Next" w:cs="Arial"/>
          <w:color w:val="808080" w:themeColor="background1" w:themeShade="80"/>
          <w:sz w:val="22"/>
          <w:szCs w:val="22"/>
          <w:lang w:val="en-GB"/>
        </w:rPr>
        <w:t>proceedings may contemplate liquidation</w:t>
      </w:r>
    </w:p>
    <w:p w14:paraId="3526A1AC" w14:textId="670D8A6E" w:rsidR="00995386" w:rsidRDefault="00331AD1" w:rsidP="009E5C4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Encant</w:t>
      </w:r>
      <w:r w:rsidR="00995386">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ian</w:t>
      </w:r>
      <w:proofErr w:type="spellEnd"/>
      <w:r>
        <w:rPr>
          <w:rFonts w:ascii="Avenir Next" w:hAnsi="Avenir Next" w:cs="Arial"/>
          <w:color w:val="808080" w:themeColor="background1" w:themeShade="80"/>
          <w:sz w:val="22"/>
          <w:szCs w:val="22"/>
          <w:lang w:val="en-GB"/>
        </w:rPr>
        <w:t xml:space="preserve"> law (and indeed the Asgardian law) may be ill-equipped to deal with the implications of the foreign insolvency proceedings, for </w:t>
      </w:r>
      <w:r w:rsidR="009E5C41">
        <w:rPr>
          <w:rFonts w:ascii="Avenir Next" w:hAnsi="Avenir Next" w:cs="Arial"/>
          <w:color w:val="808080" w:themeColor="background1" w:themeShade="80"/>
          <w:sz w:val="22"/>
          <w:szCs w:val="22"/>
          <w:lang w:val="en-GB"/>
        </w:rPr>
        <w:t>example, it may refuse to entertain the jurisdiction of the Asgardian insolvency representative to appear or enforce his or her rights as insolvency representative in its domestic Courts</w:t>
      </w:r>
    </w:p>
    <w:p w14:paraId="0D848285" w14:textId="62FBFAF1" w:rsidR="00FD1C1B" w:rsidRDefault="00FD1C1B" w:rsidP="009E5C4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w:t>
      </w:r>
      <w:proofErr w:type="spellStart"/>
      <w:r>
        <w:rPr>
          <w:rFonts w:ascii="Avenir Next" w:hAnsi="Avenir Next" w:cs="Arial"/>
          <w:color w:val="808080" w:themeColor="background1" w:themeShade="80"/>
          <w:sz w:val="22"/>
          <w:szCs w:val="22"/>
          <w:lang w:val="en-GB"/>
        </w:rPr>
        <w:t>Encantonian</w:t>
      </w:r>
      <w:proofErr w:type="spellEnd"/>
      <w:r>
        <w:rPr>
          <w:rFonts w:ascii="Avenir Next" w:hAnsi="Avenir Next" w:cs="Arial"/>
          <w:color w:val="808080" w:themeColor="background1" w:themeShade="80"/>
          <w:sz w:val="22"/>
          <w:szCs w:val="22"/>
          <w:lang w:val="en-GB"/>
        </w:rPr>
        <w:t xml:space="preserve"> Courts will recognise the Asgardian proceedings and stay its domestic insolvency proceedings</w:t>
      </w:r>
    </w:p>
    <w:p w14:paraId="64BBEF2D" w14:textId="4A5C8111" w:rsidR="00331AD1" w:rsidRDefault="000D43DD" w:rsidP="009E5C4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w:t>
      </w:r>
      <w:r w:rsidR="00BD1588">
        <w:rPr>
          <w:rFonts w:ascii="Avenir Next" w:hAnsi="Avenir Next" w:cs="Arial"/>
          <w:color w:val="808080" w:themeColor="background1" w:themeShade="80"/>
          <w:sz w:val="22"/>
          <w:szCs w:val="22"/>
          <w:lang w:val="en-GB"/>
        </w:rPr>
        <w:t xml:space="preserve">he position of creditors </w:t>
      </w:r>
      <w:r w:rsidR="009E5C41">
        <w:rPr>
          <w:rFonts w:ascii="Avenir Next" w:hAnsi="Avenir Next" w:cs="Arial"/>
          <w:color w:val="808080" w:themeColor="background1" w:themeShade="80"/>
          <w:sz w:val="22"/>
          <w:szCs w:val="22"/>
          <w:lang w:val="en-GB"/>
        </w:rPr>
        <w:t>will lack certainty, as creditors’ rights may be viewed differently in each jurisdiction, for example as they relate to issues of priority payments and security rights</w:t>
      </w:r>
      <w:r w:rsidR="00FD1C1B">
        <w:rPr>
          <w:rFonts w:ascii="Avenir Next" w:hAnsi="Avenir Next" w:cs="Arial"/>
          <w:color w:val="808080" w:themeColor="background1" w:themeShade="80"/>
          <w:sz w:val="22"/>
          <w:szCs w:val="22"/>
          <w:lang w:val="en-GB"/>
        </w:rPr>
        <w:t xml:space="preserve"> as well as voidable transactions</w:t>
      </w:r>
    </w:p>
    <w:p w14:paraId="136D9EB7" w14:textId="6F6E82CF" w:rsidR="00331AD1" w:rsidRDefault="00331AD1" w:rsidP="00331AD1">
      <w:pPr>
        <w:jc w:val="both"/>
        <w:rPr>
          <w:rFonts w:ascii="Avenir Next" w:hAnsi="Avenir Next" w:cs="Arial"/>
          <w:color w:val="808080" w:themeColor="background1" w:themeShade="80"/>
          <w:sz w:val="22"/>
          <w:szCs w:val="22"/>
          <w:lang w:val="en-GB"/>
        </w:rPr>
      </w:pPr>
    </w:p>
    <w:p w14:paraId="7D9D1F1B" w14:textId="6D3275D3" w:rsidR="00331AD1" w:rsidRDefault="007E4B4E" w:rsidP="00331A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Various multilateral instruments have been developed to assist countries in reviewing and reforming domestic insolvency laws. For example, the UNCITRAL Legislative Guide on Insolvency Law (2004) and the World Bank </w:t>
      </w:r>
      <w:r>
        <w:rPr>
          <w:rFonts w:ascii="Avenir Next" w:hAnsi="Avenir Next" w:cs="Arial"/>
          <w:i/>
          <w:iCs/>
          <w:color w:val="808080" w:themeColor="background1" w:themeShade="80"/>
          <w:sz w:val="22"/>
          <w:szCs w:val="22"/>
          <w:lang w:val="en-GB"/>
        </w:rPr>
        <w:t xml:space="preserve">Principles for Effective Insolvency and Creditor/ Debtor Regimes </w:t>
      </w:r>
      <w:r>
        <w:rPr>
          <w:rFonts w:ascii="Avenir Next" w:hAnsi="Avenir Next" w:cs="Arial"/>
          <w:color w:val="808080" w:themeColor="background1" w:themeShade="80"/>
          <w:sz w:val="22"/>
          <w:szCs w:val="22"/>
          <w:lang w:val="en-GB"/>
        </w:rPr>
        <w:t>(2021) were designed</w:t>
      </w:r>
      <w:r>
        <w:rPr>
          <w:rFonts w:ascii="Avenir Next" w:hAnsi="Avenir Next" w:cs="Arial"/>
          <w:color w:val="808080" w:themeColor="background1" w:themeShade="80"/>
          <w:sz w:val="22"/>
          <w:szCs w:val="22"/>
          <w:lang w:val="en-GB"/>
        </w:rPr>
        <w:t xml:space="preserve"> to promote international best practice standards and create debate</w:t>
      </w:r>
      <w:r>
        <w:rPr>
          <w:rFonts w:ascii="Avenir Next" w:hAnsi="Avenir Next" w:cs="Arial"/>
          <w:color w:val="808080" w:themeColor="background1" w:themeShade="80"/>
          <w:sz w:val="22"/>
          <w:szCs w:val="22"/>
          <w:lang w:val="en-GB"/>
        </w:rPr>
        <w:t xml:space="preserve"> around the difficulties of cross-border insolvency law.</w:t>
      </w:r>
    </w:p>
    <w:p w14:paraId="001354A5" w14:textId="77777777" w:rsidR="00331AD1" w:rsidRDefault="00331AD1" w:rsidP="00331AD1">
      <w:pPr>
        <w:jc w:val="both"/>
        <w:rPr>
          <w:rFonts w:ascii="Avenir Next" w:hAnsi="Avenir Next" w:cs="Arial"/>
          <w:color w:val="808080" w:themeColor="background1" w:themeShade="80"/>
          <w:sz w:val="22"/>
          <w:szCs w:val="22"/>
          <w:lang w:val="en-GB"/>
        </w:rPr>
      </w:pPr>
    </w:p>
    <w:p w14:paraId="604C0BC5" w14:textId="6939FAE3" w:rsidR="00331AD1" w:rsidRPr="00331AD1" w:rsidRDefault="00331AD1" w:rsidP="00331A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international instruments which </w:t>
      </w:r>
      <w:r w:rsidR="007E4B4E">
        <w:rPr>
          <w:rFonts w:ascii="Avenir Next" w:hAnsi="Avenir Next" w:cs="Arial"/>
          <w:color w:val="808080" w:themeColor="background1" w:themeShade="80"/>
          <w:sz w:val="22"/>
          <w:szCs w:val="22"/>
          <w:lang w:val="en-GB"/>
        </w:rPr>
        <w:t>promote</w:t>
      </w:r>
      <w:r>
        <w:rPr>
          <w:rFonts w:ascii="Avenir Next" w:hAnsi="Avenir Next" w:cs="Arial"/>
          <w:color w:val="808080" w:themeColor="background1" w:themeShade="80"/>
          <w:sz w:val="22"/>
          <w:szCs w:val="22"/>
          <w:lang w:val="en-GB"/>
        </w:rPr>
        <w:t xml:space="preserve"> clear and uniform rules in relation to cross-border issues is to further the goals of clarity and predictability, which foster successful international trade and investment.  </w:t>
      </w:r>
      <w:r w:rsidR="007E4B4E">
        <w:rPr>
          <w:rFonts w:ascii="Avenir Next" w:hAnsi="Avenir Next" w:cs="Arial"/>
          <w:color w:val="808080" w:themeColor="background1" w:themeShade="80"/>
          <w:sz w:val="22"/>
          <w:szCs w:val="22"/>
          <w:lang w:val="en-GB"/>
        </w:rPr>
        <w:t>Even where those instruments do not for</w:t>
      </w:r>
      <w:r w:rsidR="003A4B85">
        <w:rPr>
          <w:rFonts w:ascii="Avenir Next" w:hAnsi="Avenir Next" w:cs="Arial"/>
          <w:color w:val="808080" w:themeColor="background1" w:themeShade="80"/>
          <w:sz w:val="22"/>
          <w:szCs w:val="22"/>
          <w:lang w:val="en-GB"/>
        </w:rPr>
        <w:t>m</w:t>
      </w:r>
      <w:r w:rsidR="007E4B4E">
        <w:rPr>
          <w:rFonts w:ascii="Avenir Next" w:hAnsi="Avenir Next" w:cs="Arial"/>
          <w:color w:val="808080" w:themeColor="background1" w:themeShade="80"/>
          <w:sz w:val="22"/>
          <w:szCs w:val="22"/>
          <w:lang w:val="en-GB"/>
        </w:rPr>
        <w:t xml:space="preserve"> part of a State’s “hard law”, they encourage debate which helps to identify the weaknesses in approaches to international insolvency. By identifying best practice standards, they clearly set a marker as to minimum standards, which many States are not currently meeting. </w:t>
      </w:r>
    </w:p>
    <w:p w14:paraId="67BF3744" w14:textId="2DB81E6B" w:rsidR="00331AD1" w:rsidRDefault="00331AD1" w:rsidP="00692852">
      <w:pPr>
        <w:jc w:val="both"/>
        <w:rPr>
          <w:rFonts w:ascii="Avenir Next" w:hAnsi="Avenir Next"/>
          <w:sz w:val="22"/>
          <w:szCs w:val="22"/>
          <w:lang w:val="en-GB"/>
        </w:rPr>
      </w:pPr>
    </w:p>
    <w:p w14:paraId="0B73CC3C" w14:textId="3C056AC2" w:rsidR="00331AD1" w:rsidRDefault="00331AD1" w:rsidP="00692852">
      <w:pPr>
        <w:jc w:val="both"/>
        <w:rPr>
          <w:rFonts w:ascii="Avenir Next" w:hAnsi="Avenir Next"/>
          <w:sz w:val="22"/>
          <w:szCs w:val="22"/>
          <w:lang w:val="en-GB"/>
        </w:rPr>
      </w:pPr>
    </w:p>
    <w:p w14:paraId="5BA2F2A2" w14:textId="77777777" w:rsidR="00331AD1" w:rsidRPr="004216EA" w:rsidRDefault="00331AD1"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79D830DF"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w:t>
      </w:r>
      <w:r w:rsidR="007F5B4C" w:rsidRPr="000D43DD">
        <w:rPr>
          <w:rFonts w:ascii="Avenir Next" w:hAnsi="Avenir Next" w:cs="Arial"/>
          <w:sz w:val="22"/>
          <w:szCs w:val="22"/>
          <w:lang w:val="en-GB"/>
        </w:rPr>
        <w:t xml:space="preserve">company </w:t>
      </w:r>
      <w:r w:rsidR="00980DF0" w:rsidRPr="000D43DD">
        <w:rPr>
          <w:rFonts w:ascii="Avenir Next" w:hAnsi="Avenir Next" w:cs="Arial"/>
          <w:sz w:val="22"/>
          <w:szCs w:val="22"/>
          <w:lang w:val="en-GB"/>
        </w:rPr>
        <w:t>with offices in the UK, and throughout Europe</w:t>
      </w:r>
      <w:r w:rsidR="00297288" w:rsidRPr="000D43DD">
        <w:rPr>
          <w:rFonts w:ascii="Avenir Next" w:hAnsi="Avenir Next" w:cs="Arial"/>
          <w:sz w:val="22"/>
          <w:szCs w:val="22"/>
          <w:lang w:val="en-GB"/>
        </w:rPr>
        <w:t xml:space="preserve"> and other non-European countries</w:t>
      </w:r>
      <w:r w:rsidR="00980DF0" w:rsidRPr="000D43DD">
        <w:rPr>
          <w:rFonts w:ascii="Avenir Next" w:hAnsi="Avenir Next" w:cs="Arial"/>
          <w:sz w:val="22"/>
          <w:szCs w:val="22"/>
          <w:lang w:val="en-GB"/>
        </w:rPr>
        <w:t>. Lobo is</w:t>
      </w:r>
      <w:r w:rsidR="00C07B0B" w:rsidRPr="000D43DD">
        <w:rPr>
          <w:rFonts w:ascii="Avenir Next" w:hAnsi="Avenir Next" w:cs="Arial"/>
          <w:sz w:val="22"/>
          <w:szCs w:val="22"/>
          <w:lang w:val="en-GB"/>
        </w:rPr>
        <w:t xml:space="preserve"> </w:t>
      </w:r>
      <w:r w:rsidR="007F5B4C" w:rsidRPr="000D43DD">
        <w:rPr>
          <w:rFonts w:ascii="Avenir Next" w:hAnsi="Avenir Next" w:cs="Arial"/>
          <w:sz w:val="22"/>
          <w:szCs w:val="22"/>
          <w:lang w:val="en-GB"/>
        </w:rPr>
        <w:t>its</w:t>
      </w:r>
      <w:r w:rsidR="00C07B0B" w:rsidRPr="000D43DD">
        <w:rPr>
          <w:rFonts w:ascii="Avenir Next" w:hAnsi="Avenir Next" w:cs="Arial"/>
          <w:sz w:val="22"/>
          <w:szCs w:val="22"/>
          <w:lang w:val="en-GB"/>
        </w:rPr>
        <w:t xml:space="preserve"> major creditor and is</w:t>
      </w:r>
      <w:r w:rsidR="00980DF0" w:rsidRPr="000D43DD">
        <w:rPr>
          <w:rFonts w:ascii="Avenir Next" w:hAnsi="Avenir Next" w:cs="Arial"/>
          <w:sz w:val="22"/>
          <w:szCs w:val="22"/>
          <w:lang w:val="en-GB"/>
        </w:rPr>
        <w:t xml:space="preserve"> </w:t>
      </w:r>
      <w:r w:rsidR="00C07B0B" w:rsidRPr="000D43DD">
        <w:rPr>
          <w:rFonts w:ascii="Avenir Next" w:hAnsi="Avenir Next" w:cs="Arial"/>
          <w:sz w:val="22"/>
          <w:szCs w:val="22"/>
          <w:lang w:val="en-GB"/>
        </w:rPr>
        <w:t xml:space="preserve">incorporated in </w:t>
      </w:r>
      <w:r w:rsidR="00DD0B2C" w:rsidRPr="000D43DD">
        <w:rPr>
          <w:rFonts w:ascii="Avenir Next" w:hAnsi="Avenir Next" w:cs="Arial"/>
          <w:sz w:val="22"/>
          <w:szCs w:val="22"/>
          <w:lang w:val="en-GB"/>
        </w:rPr>
        <w:t>a country in Europe</w:t>
      </w:r>
      <w:r w:rsidR="00C07B0B" w:rsidRPr="000D43DD">
        <w:rPr>
          <w:rFonts w:ascii="Avenir Next" w:hAnsi="Avenir Next" w:cs="Arial"/>
          <w:sz w:val="22"/>
          <w:szCs w:val="22"/>
          <w:lang w:val="en-GB"/>
        </w:rPr>
        <w:t xml:space="preserve">. </w:t>
      </w:r>
      <w:r w:rsidR="00B12F13" w:rsidRPr="000D43DD">
        <w:rPr>
          <w:rFonts w:ascii="Avenir Next" w:hAnsi="Avenir Next" w:cs="Arial"/>
          <w:sz w:val="22"/>
          <w:szCs w:val="22"/>
          <w:lang w:val="en-GB"/>
        </w:rPr>
        <w:t xml:space="preserve">An insolvency proceeding against </w:t>
      </w:r>
      <w:r w:rsidR="007F5B4C" w:rsidRPr="000D43DD">
        <w:rPr>
          <w:rFonts w:ascii="Avenir Next" w:hAnsi="Avenir Next" w:cs="Arial"/>
          <w:sz w:val="22"/>
          <w:szCs w:val="22"/>
          <w:lang w:val="en-GB"/>
        </w:rPr>
        <w:t>FFPL</w:t>
      </w:r>
      <w:r w:rsidR="00B12F13" w:rsidRPr="000D43DD">
        <w:rPr>
          <w:rFonts w:ascii="Avenir Next" w:hAnsi="Avenir Next" w:cs="Arial"/>
          <w:sz w:val="22"/>
          <w:szCs w:val="22"/>
          <w:lang w:val="en-GB"/>
        </w:rPr>
        <w:t xml:space="preserve"> was opened in the UK by a minor creditor on </w:t>
      </w:r>
      <w:r w:rsidR="00984680" w:rsidRPr="000D43DD">
        <w:rPr>
          <w:rFonts w:ascii="Avenir Next" w:hAnsi="Avenir Next" w:cs="Arial"/>
          <w:sz w:val="22"/>
          <w:szCs w:val="22"/>
          <w:lang w:val="en-GB"/>
        </w:rPr>
        <w:t>30</w:t>
      </w:r>
      <w:r w:rsidR="00B12F13" w:rsidRPr="000D43DD">
        <w:rPr>
          <w:rFonts w:ascii="Avenir Next" w:hAnsi="Avenir Next" w:cs="Arial"/>
          <w:sz w:val="22"/>
          <w:szCs w:val="22"/>
          <w:lang w:val="en-GB"/>
        </w:rPr>
        <w:t xml:space="preserve"> June 2022. A month later, Lobo was consider</w:t>
      </w:r>
      <w:r w:rsidR="00EA1685" w:rsidRPr="000D43DD">
        <w:rPr>
          <w:rFonts w:ascii="Avenir Next" w:hAnsi="Avenir Next" w:cs="Arial"/>
          <w:sz w:val="22"/>
          <w:szCs w:val="22"/>
          <w:lang w:val="en-GB"/>
        </w:rPr>
        <w:t>i</w:t>
      </w:r>
      <w:r w:rsidR="00B12F13" w:rsidRPr="000D43DD">
        <w:rPr>
          <w:rFonts w:ascii="Avenir Next" w:hAnsi="Avenir Next" w:cs="Arial"/>
          <w:sz w:val="22"/>
          <w:szCs w:val="22"/>
          <w:lang w:val="en-GB"/>
        </w:rPr>
        <w:t>ng also opening proceedings in another country in Europe. Discuss whether the European Insolvency Regulation Recast would apply</w:t>
      </w:r>
      <w:r w:rsidR="00BC5898" w:rsidRPr="000D43DD">
        <w:rPr>
          <w:rFonts w:ascii="Avenir Next" w:hAnsi="Avenir Next" w:cs="Arial"/>
          <w:sz w:val="22"/>
          <w:szCs w:val="22"/>
          <w:lang w:val="en-GB"/>
        </w:rPr>
        <w:t xml:space="preserve"> </w:t>
      </w:r>
      <w:r w:rsidR="00FF374B" w:rsidRPr="000D43DD">
        <w:rPr>
          <w:rFonts w:ascii="Avenir Next" w:hAnsi="Avenir Next" w:cs="Arial"/>
          <w:sz w:val="22"/>
          <w:szCs w:val="22"/>
          <w:lang w:val="en-GB"/>
        </w:rPr>
        <w:t>with respect to the UK commenced insolvency proceedings</w:t>
      </w:r>
      <w:r w:rsidR="00FC30E1" w:rsidRPr="000D43DD">
        <w:rPr>
          <w:rFonts w:ascii="Avenir Next" w:hAnsi="Avenir Next" w:cs="Arial"/>
          <w:sz w:val="22"/>
          <w:szCs w:val="22"/>
          <w:lang w:val="en-GB"/>
        </w:rPr>
        <w:t>, and</w:t>
      </w:r>
      <w:r w:rsidR="00FC30E1" w:rsidRPr="004216EA">
        <w:rPr>
          <w:rFonts w:ascii="Avenir Next" w:hAnsi="Avenir Next" w:cs="Arial"/>
          <w:sz w:val="22"/>
          <w:szCs w:val="22"/>
          <w:lang w:val="en-GB"/>
        </w:rPr>
        <w:t xml:space="preserve">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2E571235" w:rsidR="004E1D03" w:rsidRDefault="004E1D03" w:rsidP="00692852">
      <w:pPr>
        <w:ind w:left="720" w:hanging="720"/>
        <w:jc w:val="both"/>
        <w:rPr>
          <w:rFonts w:ascii="Avenir Next" w:hAnsi="Avenir Next" w:cs="Arial"/>
          <w:sz w:val="22"/>
          <w:szCs w:val="22"/>
          <w:highlight w:val="cyan"/>
          <w:lang w:val="en-GB"/>
        </w:rPr>
      </w:pPr>
    </w:p>
    <w:p w14:paraId="569BA84D" w14:textId="26E23D3E" w:rsidR="004F1D73" w:rsidRPr="003A4B85" w:rsidRDefault="004F1D73" w:rsidP="004F1D73">
      <w:pPr>
        <w:ind w:left="720" w:hanging="720"/>
        <w:jc w:val="both"/>
        <w:rPr>
          <w:rFonts w:ascii="Avenir Next" w:hAnsi="Avenir Next" w:cs="Arial"/>
          <w:color w:val="7F7F7F" w:themeColor="text1" w:themeTint="80"/>
          <w:sz w:val="22"/>
          <w:szCs w:val="22"/>
          <w:lang w:val="en-GB"/>
        </w:rPr>
      </w:pPr>
      <w:r>
        <w:rPr>
          <w:rFonts w:ascii="Avenir Next" w:hAnsi="Avenir Next" w:cs="Arial"/>
          <w:color w:val="808080" w:themeColor="background1" w:themeShade="80"/>
          <w:sz w:val="22"/>
          <w:szCs w:val="22"/>
          <w:lang w:val="en-GB"/>
        </w:rPr>
        <w:t xml:space="preserve">The question does not state where FPPL was incorporated, although it states that it has offices in the UK, </w:t>
      </w:r>
      <w:proofErr w:type="gramStart"/>
      <w:r>
        <w:rPr>
          <w:rFonts w:ascii="Avenir Next" w:hAnsi="Avenir Next" w:cs="Arial"/>
          <w:color w:val="808080" w:themeColor="background1" w:themeShade="80"/>
          <w:sz w:val="22"/>
          <w:szCs w:val="22"/>
          <w:lang w:val="en-GB"/>
        </w:rPr>
        <w:t>Europe</w:t>
      </w:r>
      <w:proofErr w:type="gramEnd"/>
      <w:r>
        <w:rPr>
          <w:rFonts w:ascii="Avenir Next" w:hAnsi="Avenir Next" w:cs="Arial"/>
          <w:color w:val="808080" w:themeColor="background1" w:themeShade="80"/>
          <w:sz w:val="22"/>
          <w:szCs w:val="22"/>
          <w:lang w:val="en-GB"/>
        </w:rPr>
        <w:t xml:space="preserve"> and non-European countries. An English Court will nevertheless have jurisdiction to wind up a company formed in another State that </w:t>
      </w:r>
      <w:r w:rsidRPr="003A4B85">
        <w:rPr>
          <w:rFonts w:ascii="Avenir Next" w:hAnsi="Avenir Next" w:cs="Arial"/>
          <w:color w:val="7F7F7F" w:themeColor="text1" w:themeTint="80"/>
          <w:sz w:val="22"/>
          <w:szCs w:val="22"/>
          <w:lang w:val="en-GB"/>
        </w:rPr>
        <w:t xml:space="preserve">has carried on business in England, even if it has not complied with UK registration </w:t>
      </w:r>
      <w:proofErr w:type="gramStart"/>
      <w:r w:rsidRPr="003A4B85">
        <w:rPr>
          <w:rFonts w:ascii="Avenir Next" w:hAnsi="Avenir Next" w:cs="Arial"/>
          <w:color w:val="7F7F7F" w:themeColor="text1" w:themeTint="80"/>
          <w:sz w:val="22"/>
          <w:szCs w:val="22"/>
          <w:lang w:val="en-GB"/>
        </w:rPr>
        <w:t>requirements</w:t>
      </w:r>
      <w:r w:rsidR="000D43DD" w:rsidRPr="003A4B85">
        <w:rPr>
          <w:rFonts w:ascii="Avenir Next" w:hAnsi="Avenir Next" w:cs="Arial"/>
          <w:color w:val="7F7F7F" w:themeColor="text1" w:themeTint="80"/>
          <w:sz w:val="22"/>
          <w:szCs w:val="22"/>
          <w:lang w:val="en-GB"/>
        </w:rPr>
        <w:t>, if</w:t>
      </w:r>
      <w:proofErr w:type="gramEnd"/>
      <w:r w:rsidR="000D43DD" w:rsidRPr="003A4B85">
        <w:rPr>
          <w:rFonts w:ascii="Avenir Next" w:hAnsi="Avenir Next" w:cs="Arial"/>
          <w:color w:val="7F7F7F" w:themeColor="text1" w:themeTint="80"/>
          <w:sz w:val="22"/>
          <w:szCs w:val="22"/>
          <w:lang w:val="en-GB"/>
        </w:rPr>
        <w:t xml:space="preserve"> it has a “sufficient connection” to the jurisdiction.</w:t>
      </w:r>
    </w:p>
    <w:p w14:paraId="555D77B5" w14:textId="77777777" w:rsidR="004F1D73" w:rsidRPr="003A4B85" w:rsidRDefault="004F1D73" w:rsidP="004F1D73">
      <w:pPr>
        <w:ind w:left="720" w:hanging="720"/>
        <w:jc w:val="both"/>
        <w:rPr>
          <w:rFonts w:ascii="Avenir Next" w:hAnsi="Avenir Next" w:cs="Arial"/>
          <w:color w:val="7F7F7F" w:themeColor="text1" w:themeTint="80"/>
          <w:sz w:val="22"/>
          <w:szCs w:val="22"/>
          <w:lang w:val="en-GB"/>
        </w:rPr>
      </w:pPr>
    </w:p>
    <w:p w14:paraId="6D73E24E" w14:textId="2C946E70" w:rsidR="004F1D73" w:rsidRPr="003A4B85" w:rsidRDefault="004F1D73" w:rsidP="004F1D73">
      <w:pPr>
        <w:ind w:left="720" w:hanging="720"/>
        <w:jc w:val="both"/>
        <w:rPr>
          <w:rFonts w:ascii="Avenir Next" w:hAnsi="Avenir Next" w:cs="Arial"/>
          <w:color w:val="7F7F7F" w:themeColor="text1" w:themeTint="80"/>
          <w:sz w:val="22"/>
          <w:szCs w:val="22"/>
          <w:lang w:val="en-GB"/>
        </w:rPr>
      </w:pPr>
      <w:r w:rsidRPr="003A4B85">
        <w:rPr>
          <w:rFonts w:ascii="Avenir Next" w:hAnsi="Avenir Next" w:cs="Arial"/>
          <w:color w:val="7F7F7F" w:themeColor="text1" w:themeTint="80"/>
          <w:sz w:val="22"/>
          <w:szCs w:val="22"/>
          <w:lang w:val="en-GB"/>
        </w:rPr>
        <w:t xml:space="preserve">The question does not state where FPPL’s assets are situated. If its assets are situated in another jurisdiction, the liquidator’s ability to take those assets into their control will depend upon the recognition of their appointment in other jurisdictions. </w:t>
      </w:r>
    </w:p>
    <w:p w14:paraId="39A27B5C" w14:textId="77777777" w:rsidR="004F1D73" w:rsidRPr="003A4B85" w:rsidRDefault="004F1D73" w:rsidP="004F1D73">
      <w:pPr>
        <w:ind w:left="720" w:hanging="720"/>
        <w:jc w:val="both"/>
        <w:rPr>
          <w:rFonts w:ascii="Avenir Next" w:hAnsi="Avenir Next" w:cs="Arial"/>
          <w:color w:val="7F7F7F" w:themeColor="text1" w:themeTint="80"/>
          <w:sz w:val="22"/>
          <w:szCs w:val="22"/>
          <w:lang w:val="en-GB"/>
        </w:rPr>
      </w:pPr>
    </w:p>
    <w:p w14:paraId="619CCE6B" w14:textId="77777777" w:rsidR="004F1D73" w:rsidRPr="003A4B85" w:rsidRDefault="004F1D73" w:rsidP="004F1D73">
      <w:pPr>
        <w:ind w:left="720" w:hanging="720"/>
        <w:jc w:val="both"/>
        <w:rPr>
          <w:rFonts w:ascii="Avenir Next" w:hAnsi="Avenir Next" w:cs="Arial"/>
          <w:color w:val="7F7F7F" w:themeColor="text1" w:themeTint="80"/>
          <w:sz w:val="22"/>
          <w:szCs w:val="22"/>
          <w:lang w:val="en-GB"/>
        </w:rPr>
      </w:pPr>
    </w:p>
    <w:p w14:paraId="583AD1BA" w14:textId="1F507A2D" w:rsidR="004F1D73" w:rsidRPr="003A4B85" w:rsidRDefault="004F1D73" w:rsidP="004F1D73">
      <w:pPr>
        <w:ind w:left="720" w:hanging="720"/>
        <w:jc w:val="both"/>
        <w:rPr>
          <w:rFonts w:ascii="Avenir Next" w:hAnsi="Avenir Next" w:cs="Arial"/>
          <w:color w:val="7F7F7F" w:themeColor="text1" w:themeTint="80"/>
          <w:sz w:val="22"/>
          <w:szCs w:val="22"/>
          <w:lang w:val="en-GB"/>
        </w:rPr>
      </w:pPr>
      <w:r w:rsidRPr="003A4B85">
        <w:rPr>
          <w:rFonts w:ascii="Avenir Next" w:hAnsi="Avenir Next" w:cs="Arial"/>
          <w:color w:val="7F7F7F" w:themeColor="text1" w:themeTint="80"/>
          <w:sz w:val="22"/>
          <w:szCs w:val="22"/>
          <w:lang w:val="en-GB"/>
        </w:rPr>
        <w:t xml:space="preserve">The question does not state whether the laws of England and Wales govern Lobo’s claim to the debt it is owed by FPPL. Whilst the UK insolvency practitioner may accept a proof from Lobo in respect of a debt governed by foreign law, it may have to refer to foreign law to establish the validity of the claim. Depending on the laws of the country governing that debt, the UK Court may or may not be able to apply the foreign laws. </w:t>
      </w:r>
    </w:p>
    <w:p w14:paraId="6D6BE04B" w14:textId="5E88962E" w:rsidR="004F1D73" w:rsidRDefault="004F1D73" w:rsidP="004F1D73">
      <w:pPr>
        <w:ind w:left="720" w:hanging="720"/>
        <w:jc w:val="both"/>
        <w:rPr>
          <w:rFonts w:ascii="Avenir Next" w:hAnsi="Avenir Next" w:cs="Arial"/>
          <w:sz w:val="22"/>
          <w:szCs w:val="22"/>
          <w:lang w:val="en-GB"/>
        </w:rPr>
      </w:pPr>
    </w:p>
    <w:p w14:paraId="5A7AB383" w14:textId="5BCF15E3" w:rsidR="004F1D73" w:rsidRDefault="004F1D73" w:rsidP="004F1D7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question does not state which European country in which </w:t>
      </w:r>
      <w:r w:rsidRPr="0090415E">
        <w:rPr>
          <w:rFonts w:ascii="Avenir Next" w:hAnsi="Avenir Next" w:cs="Arial"/>
          <w:color w:val="808080" w:themeColor="background1" w:themeShade="80"/>
          <w:sz w:val="22"/>
          <w:szCs w:val="22"/>
          <w:lang w:val="en-GB"/>
        </w:rPr>
        <w:t xml:space="preserve">Lobo </w:t>
      </w:r>
      <w:r>
        <w:rPr>
          <w:rFonts w:ascii="Avenir Next" w:hAnsi="Avenir Next" w:cs="Arial"/>
          <w:color w:val="808080" w:themeColor="background1" w:themeShade="80"/>
          <w:sz w:val="22"/>
          <w:szCs w:val="22"/>
          <w:lang w:val="en-GB"/>
        </w:rPr>
        <w:t>is considering opening additional proceedings</w:t>
      </w:r>
      <w:r w:rsidR="000D43DD">
        <w:rPr>
          <w:rFonts w:ascii="Avenir Next" w:hAnsi="Avenir Next" w:cs="Arial"/>
          <w:color w:val="808080" w:themeColor="background1" w:themeShade="80"/>
          <w:sz w:val="22"/>
          <w:szCs w:val="22"/>
          <w:lang w:val="en-GB"/>
        </w:rPr>
        <w:t xml:space="preserve"> and whether that country is in the EU</w:t>
      </w:r>
      <w:r>
        <w:rPr>
          <w:rFonts w:ascii="Avenir Next" w:hAnsi="Avenir Next" w:cs="Arial"/>
          <w:color w:val="808080" w:themeColor="background1" w:themeShade="80"/>
          <w:sz w:val="22"/>
          <w:szCs w:val="22"/>
          <w:lang w:val="en-GB"/>
        </w:rPr>
        <w:t xml:space="preserve">. This is relevant as to whether the other State has adopted the </w:t>
      </w:r>
      <w:r w:rsidRPr="0090415E">
        <w:rPr>
          <w:rFonts w:ascii="Avenir Next" w:hAnsi="Avenir Next" w:cs="Arial"/>
          <w:color w:val="808080" w:themeColor="background1" w:themeShade="80"/>
          <w:sz w:val="22"/>
          <w:szCs w:val="22"/>
          <w:lang w:val="en-GB"/>
        </w:rPr>
        <w:t xml:space="preserve">UNCITRAL Model Law </w:t>
      </w:r>
      <w:r>
        <w:rPr>
          <w:rFonts w:ascii="Avenir Next" w:hAnsi="Avenir Next" w:cs="Arial"/>
          <w:color w:val="808080" w:themeColor="background1" w:themeShade="80"/>
          <w:sz w:val="22"/>
          <w:szCs w:val="22"/>
          <w:lang w:val="en-GB"/>
        </w:rPr>
        <w:t xml:space="preserve">and would be willing to co-operate </w:t>
      </w:r>
      <w:r w:rsidR="000D43DD">
        <w:rPr>
          <w:rFonts w:ascii="Avenir Next" w:hAnsi="Avenir Next" w:cs="Arial"/>
          <w:color w:val="808080" w:themeColor="background1" w:themeShade="80"/>
          <w:sz w:val="22"/>
          <w:szCs w:val="22"/>
          <w:lang w:val="en-GB"/>
        </w:rPr>
        <w:t>and co-ordinate with the Courts of England and Wales</w:t>
      </w:r>
      <w:r w:rsidR="003A4B85">
        <w:rPr>
          <w:rFonts w:ascii="Avenir Next" w:hAnsi="Avenir Next" w:cs="Arial"/>
          <w:color w:val="808080" w:themeColor="background1" w:themeShade="80"/>
          <w:sz w:val="22"/>
          <w:szCs w:val="22"/>
          <w:lang w:val="en-GB"/>
        </w:rPr>
        <w:t xml:space="preserve"> and recognise the UK insolvency proceedings</w:t>
      </w:r>
      <w:r w:rsidR="000D43DD">
        <w:rPr>
          <w:rFonts w:ascii="Avenir Next" w:hAnsi="Avenir Next" w:cs="Arial"/>
          <w:color w:val="808080" w:themeColor="background1" w:themeShade="80"/>
          <w:sz w:val="22"/>
          <w:szCs w:val="22"/>
          <w:lang w:val="en-GB"/>
        </w:rPr>
        <w:t>.</w:t>
      </w:r>
    </w:p>
    <w:p w14:paraId="12096A75" w14:textId="77777777" w:rsidR="004F1D73" w:rsidRDefault="004F1D73" w:rsidP="003A4B85">
      <w:pPr>
        <w:jc w:val="both"/>
        <w:rPr>
          <w:rFonts w:ascii="Avenir Next" w:hAnsi="Avenir Next" w:cs="Arial"/>
          <w:sz w:val="22"/>
          <w:szCs w:val="22"/>
          <w:lang w:val="en-GB"/>
        </w:rPr>
      </w:pPr>
    </w:p>
    <w:p w14:paraId="5766D357" w14:textId="44BC71E4" w:rsidR="003A4B85" w:rsidRDefault="007E4B4E" w:rsidP="003A4B8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w:t>
      </w:r>
      <w:r w:rsidR="004F1AEB">
        <w:rPr>
          <w:rFonts w:ascii="Avenir Next" w:hAnsi="Avenir Next" w:cs="Arial"/>
          <w:color w:val="808080" w:themeColor="background1" w:themeShade="80"/>
          <w:sz w:val="22"/>
          <w:szCs w:val="22"/>
          <w:lang w:val="en-GB"/>
        </w:rPr>
        <w:t xml:space="preserve">cy Regulation Recast does not apply in the UK following its exit from the European Union. </w:t>
      </w:r>
      <w:r w:rsidR="00FD1C1B">
        <w:rPr>
          <w:rFonts w:ascii="Avenir Next" w:hAnsi="Avenir Next" w:cs="Arial"/>
          <w:color w:val="808080" w:themeColor="background1" w:themeShade="80"/>
          <w:sz w:val="22"/>
          <w:szCs w:val="22"/>
          <w:lang w:val="en-GB"/>
        </w:rPr>
        <w:t>The effect of this is that</w:t>
      </w:r>
      <w:r w:rsidR="0090415E">
        <w:rPr>
          <w:rFonts w:ascii="Avenir Next" w:hAnsi="Avenir Next" w:cs="Arial"/>
          <w:color w:val="808080" w:themeColor="background1" w:themeShade="80"/>
          <w:sz w:val="22"/>
          <w:szCs w:val="22"/>
          <w:lang w:val="en-GB"/>
        </w:rPr>
        <w:t xml:space="preserve"> t</w:t>
      </w:r>
      <w:r w:rsidR="00FD1C1B" w:rsidRPr="0090415E">
        <w:rPr>
          <w:rFonts w:ascii="Avenir Next" w:hAnsi="Avenir Next" w:cs="Arial"/>
          <w:color w:val="808080" w:themeColor="background1" w:themeShade="80"/>
          <w:sz w:val="22"/>
          <w:szCs w:val="22"/>
          <w:lang w:val="en-GB"/>
        </w:rPr>
        <w:t>he recognition of the English insolvency proceedings in the EU will now depend on the local laws of each member State, whereas prior to the UK’s exit from the EU, recognition was automatic</w:t>
      </w:r>
      <w:r w:rsidR="00721DE0" w:rsidRPr="0090415E">
        <w:rPr>
          <w:rFonts w:ascii="Avenir Next" w:hAnsi="Avenir Next" w:cs="Arial"/>
          <w:color w:val="808080" w:themeColor="background1" w:themeShade="80"/>
          <w:sz w:val="22"/>
          <w:szCs w:val="22"/>
          <w:lang w:val="en-GB"/>
        </w:rPr>
        <w:t xml:space="preserve">. </w:t>
      </w:r>
    </w:p>
    <w:p w14:paraId="0C6A114C" w14:textId="5C263F70" w:rsidR="003A4B85" w:rsidRDefault="003A4B85" w:rsidP="003A4B85">
      <w:pPr>
        <w:ind w:left="720" w:hanging="720"/>
        <w:jc w:val="both"/>
        <w:rPr>
          <w:rFonts w:ascii="Avenir Next" w:hAnsi="Avenir Next" w:cs="Arial"/>
          <w:color w:val="808080" w:themeColor="background1" w:themeShade="80"/>
          <w:sz w:val="22"/>
          <w:szCs w:val="22"/>
          <w:lang w:val="en-GB"/>
        </w:rPr>
      </w:pPr>
    </w:p>
    <w:p w14:paraId="425C99AF" w14:textId="07F6D481" w:rsidR="003A4B85" w:rsidRDefault="003A4B85" w:rsidP="003A4B8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result of the EIR Recast not applying in the UK, there will not be automatic effect given to a moratorium under English law in the EU, which may result in a race to enforce foreign assets or bring foreign insolvency proceedings. </w:t>
      </w:r>
    </w:p>
    <w:p w14:paraId="2342FD48" w14:textId="5BFB7145" w:rsidR="003A4B85" w:rsidRDefault="003A4B85" w:rsidP="003A4B85">
      <w:pPr>
        <w:ind w:left="720" w:hanging="720"/>
        <w:jc w:val="both"/>
        <w:rPr>
          <w:rFonts w:ascii="Avenir Next" w:hAnsi="Avenir Next" w:cs="Arial"/>
          <w:color w:val="808080" w:themeColor="background1" w:themeShade="80"/>
          <w:sz w:val="22"/>
          <w:szCs w:val="22"/>
          <w:lang w:val="en-GB"/>
        </w:rPr>
      </w:pPr>
    </w:p>
    <w:p w14:paraId="58355428" w14:textId="2E0C26EF" w:rsidR="003A4B85" w:rsidRPr="003A4B85" w:rsidRDefault="003A4B85" w:rsidP="003A4B8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if there are foreign judgments in respect of the company’s assets, it is not certain that the English courts will recognise those judgments, potentially depriving the company’s foreign creditors. </w:t>
      </w:r>
    </w:p>
    <w:p w14:paraId="0E38C59D" w14:textId="3301DD7F" w:rsidR="004F1D73" w:rsidRDefault="004F1D73" w:rsidP="0090415E">
      <w:pPr>
        <w:ind w:left="720" w:hanging="720"/>
        <w:jc w:val="both"/>
        <w:rPr>
          <w:rFonts w:ascii="Avenir Next" w:hAnsi="Avenir Next" w:cs="Arial"/>
          <w:color w:val="808080" w:themeColor="background1" w:themeShade="80"/>
          <w:sz w:val="22"/>
          <w:szCs w:val="22"/>
          <w:lang w:val="en-GB"/>
        </w:rPr>
      </w:pPr>
    </w:p>
    <w:p w14:paraId="05EB1122" w14:textId="6F2699AD" w:rsidR="00FD1C1B" w:rsidRDefault="003A4B85" w:rsidP="003A4B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short, the effect of the EIR Recast not applying is greater uncertainty for creditors, the debtor, insolvency practitioners and lawyers. The result of that uncertainty is likely to lead to greater cost incurred in resolving complicated questions of conflicts of law. </w:t>
      </w:r>
    </w:p>
    <w:p w14:paraId="51D49B35" w14:textId="645311B3" w:rsidR="004F1AEB" w:rsidRDefault="004F1AEB" w:rsidP="001E1C34">
      <w:pPr>
        <w:ind w:left="720" w:hanging="720"/>
        <w:jc w:val="both"/>
        <w:rPr>
          <w:rFonts w:ascii="Avenir Next" w:hAnsi="Avenir Next" w:cs="Arial"/>
          <w:color w:val="808080" w:themeColor="background1" w:themeShade="80"/>
          <w:sz w:val="22"/>
          <w:szCs w:val="22"/>
          <w:lang w:val="en-GB"/>
        </w:rPr>
      </w:pPr>
    </w:p>
    <w:p w14:paraId="61DAEAE0" w14:textId="77777777" w:rsidR="004F1AEB" w:rsidRDefault="004F1AEB" w:rsidP="001E1C34">
      <w:pPr>
        <w:ind w:left="720" w:hanging="720"/>
        <w:jc w:val="both"/>
        <w:rPr>
          <w:rFonts w:ascii="Avenir Next" w:hAnsi="Avenir Next" w:cs="Arial"/>
          <w:color w:val="808080" w:themeColor="background1" w:themeShade="80"/>
          <w:sz w:val="22"/>
          <w:szCs w:val="22"/>
          <w:lang w:val="en-GB"/>
        </w:rPr>
      </w:pPr>
    </w:p>
    <w:p w14:paraId="3A74BE79" w14:textId="77777777" w:rsidR="007E4B4E" w:rsidRDefault="007E4B4E" w:rsidP="001E1C34">
      <w:pPr>
        <w:ind w:left="720" w:hanging="720"/>
        <w:jc w:val="both"/>
        <w:rPr>
          <w:rFonts w:ascii="Avenir Next" w:hAnsi="Avenir Next" w:cs="Arial"/>
          <w:color w:val="808080" w:themeColor="background1" w:themeShade="80"/>
          <w:sz w:val="22"/>
          <w:szCs w:val="22"/>
          <w:lang w:val="en-GB"/>
        </w:rPr>
      </w:pPr>
    </w:p>
    <w:p w14:paraId="05A45456" w14:textId="0C4415C7" w:rsidR="00EA1685" w:rsidRDefault="00EA1685" w:rsidP="001E1C34">
      <w:pPr>
        <w:ind w:left="720" w:hanging="720"/>
        <w:jc w:val="both"/>
        <w:rPr>
          <w:rFonts w:ascii="Avenir Next" w:hAnsi="Avenir Next" w:cs="Arial"/>
          <w:color w:val="808080" w:themeColor="background1" w:themeShade="80"/>
          <w:sz w:val="22"/>
          <w:szCs w:val="22"/>
          <w:lang w:val="en-GB"/>
        </w:rPr>
      </w:pPr>
    </w:p>
    <w:p w14:paraId="2B041F0D" w14:textId="77777777" w:rsidR="00EA1685" w:rsidRPr="00AB63DE" w:rsidRDefault="00EA1685" w:rsidP="001E1C34">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161C" w14:textId="77777777" w:rsidR="00CB4C43" w:rsidRDefault="00CB4C43" w:rsidP="00241B44">
      <w:r>
        <w:separator/>
      </w:r>
    </w:p>
  </w:endnote>
  <w:endnote w:type="continuationSeparator" w:id="0">
    <w:p w14:paraId="2848F63A" w14:textId="77777777" w:rsidR="00CB4C43" w:rsidRDefault="00CB4C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5BAF849" w:rsidR="00B64A85" w:rsidRPr="00297BDF" w:rsidRDefault="00AB573C" w:rsidP="0052732A">
    <w:pPr>
      <w:pStyle w:val="Footer"/>
      <w:ind w:right="360"/>
      <w:rPr>
        <w:rFonts w:ascii="Avenir Next" w:hAnsi="Avenir Next" w:cs="Arial"/>
        <w:sz w:val="22"/>
        <w:szCs w:val="22"/>
      </w:rPr>
    </w:pPr>
    <w:r>
      <w:rPr>
        <w:rFonts w:ascii="Avenir Next" w:hAnsi="Avenir Next" w:cs="Arial"/>
        <w:sz w:val="22"/>
        <w:szCs w:val="22"/>
      </w:rPr>
      <w:t>202223-9</w:t>
    </w:r>
    <w:r w:rsidR="003616C2">
      <w:rPr>
        <w:rFonts w:ascii="Avenir Next" w:hAnsi="Avenir Next" w:cs="Arial"/>
        <w:sz w:val="22"/>
        <w:szCs w:val="22"/>
      </w:rPr>
      <w:t>63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363C" w14:textId="77777777" w:rsidR="00CB4C43" w:rsidRDefault="00CB4C43" w:rsidP="00241B44">
      <w:r>
        <w:separator/>
      </w:r>
    </w:p>
  </w:footnote>
  <w:footnote w:type="continuationSeparator" w:id="0">
    <w:p w14:paraId="42300772" w14:textId="77777777" w:rsidR="00CB4C43" w:rsidRDefault="00CB4C4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634A8E"/>
    <w:multiLevelType w:val="hybridMultilevel"/>
    <w:tmpl w:val="FC68BCEE"/>
    <w:lvl w:ilvl="0" w:tplc="0D283B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A35078"/>
    <w:multiLevelType w:val="hybridMultilevel"/>
    <w:tmpl w:val="3C8424F2"/>
    <w:lvl w:ilvl="0" w:tplc="B01007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34793">
    <w:abstractNumId w:val="19"/>
  </w:num>
  <w:num w:numId="2" w16cid:durableId="233858079">
    <w:abstractNumId w:val="24"/>
  </w:num>
  <w:num w:numId="3" w16cid:durableId="84573653">
    <w:abstractNumId w:val="2"/>
  </w:num>
  <w:num w:numId="4" w16cid:durableId="569197025">
    <w:abstractNumId w:val="3"/>
  </w:num>
  <w:num w:numId="5" w16cid:durableId="201945695">
    <w:abstractNumId w:val="14"/>
  </w:num>
  <w:num w:numId="6" w16cid:durableId="729419692">
    <w:abstractNumId w:val="20"/>
  </w:num>
  <w:num w:numId="7" w16cid:durableId="1180587324">
    <w:abstractNumId w:val="8"/>
  </w:num>
  <w:num w:numId="8" w16cid:durableId="1153988391">
    <w:abstractNumId w:val="25"/>
  </w:num>
  <w:num w:numId="9" w16cid:durableId="1174149245">
    <w:abstractNumId w:val="7"/>
  </w:num>
  <w:num w:numId="10" w16cid:durableId="1423598632">
    <w:abstractNumId w:val="21"/>
  </w:num>
  <w:num w:numId="11" w16cid:durableId="53310559">
    <w:abstractNumId w:val="6"/>
  </w:num>
  <w:num w:numId="12" w16cid:durableId="2016029618">
    <w:abstractNumId w:val="22"/>
  </w:num>
  <w:num w:numId="13" w16cid:durableId="71314591">
    <w:abstractNumId w:val="13"/>
  </w:num>
  <w:num w:numId="14" w16cid:durableId="1055197094">
    <w:abstractNumId w:val="12"/>
  </w:num>
  <w:num w:numId="15" w16cid:durableId="452677892">
    <w:abstractNumId w:val="4"/>
  </w:num>
  <w:num w:numId="16" w16cid:durableId="1887255792">
    <w:abstractNumId w:val="15"/>
  </w:num>
  <w:num w:numId="17" w16cid:durableId="878468561">
    <w:abstractNumId w:val="10"/>
  </w:num>
  <w:num w:numId="18" w16cid:durableId="1921988994">
    <w:abstractNumId w:val="11"/>
  </w:num>
  <w:num w:numId="19" w16cid:durableId="321741130">
    <w:abstractNumId w:val="18"/>
  </w:num>
  <w:num w:numId="20" w16cid:durableId="2070417314">
    <w:abstractNumId w:val="5"/>
  </w:num>
  <w:num w:numId="21" w16cid:durableId="635454415">
    <w:abstractNumId w:val="9"/>
  </w:num>
  <w:num w:numId="22" w16cid:durableId="1448770574">
    <w:abstractNumId w:val="0"/>
  </w:num>
  <w:num w:numId="23" w16cid:durableId="809327762">
    <w:abstractNumId w:val="16"/>
  </w:num>
  <w:num w:numId="24" w16cid:durableId="210306189">
    <w:abstractNumId w:val="1"/>
  </w:num>
  <w:num w:numId="25" w16cid:durableId="1730105648">
    <w:abstractNumId w:val="23"/>
  </w:num>
  <w:num w:numId="26" w16cid:durableId="93555611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57EF2"/>
    <w:rsid w:val="0006130F"/>
    <w:rsid w:val="00062D42"/>
    <w:rsid w:val="00062E85"/>
    <w:rsid w:val="000649D1"/>
    <w:rsid w:val="00064C44"/>
    <w:rsid w:val="00065166"/>
    <w:rsid w:val="00066AE7"/>
    <w:rsid w:val="0007091D"/>
    <w:rsid w:val="000749A3"/>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43DD"/>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0C45"/>
    <w:rsid w:val="0014171F"/>
    <w:rsid w:val="0014622C"/>
    <w:rsid w:val="00146B25"/>
    <w:rsid w:val="00150319"/>
    <w:rsid w:val="00150F6C"/>
    <w:rsid w:val="00152348"/>
    <w:rsid w:val="0015328F"/>
    <w:rsid w:val="0015456D"/>
    <w:rsid w:val="00161F1B"/>
    <w:rsid w:val="001620AF"/>
    <w:rsid w:val="00162829"/>
    <w:rsid w:val="001646C4"/>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5D67"/>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56B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1AD1"/>
    <w:rsid w:val="003326F0"/>
    <w:rsid w:val="00334648"/>
    <w:rsid w:val="00336CA6"/>
    <w:rsid w:val="0033768C"/>
    <w:rsid w:val="00337938"/>
    <w:rsid w:val="00340769"/>
    <w:rsid w:val="00341A65"/>
    <w:rsid w:val="00341AA6"/>
    <w:rsid w:val="00342E57"/>
    <w:rsid w:val="003500E5"/>
    <w:rsid w:val="00355B57"/>
    <w:rsid w:val="0036160E"/>
    <w:rsid w:val="003616C2"/>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2C5"/>
    <w:rsid w:val="003957FD"/>
    <w:rsid w:val="00396821"/>
    <w:rsid w:val="00396CE5"/>
    <w:rsid w:val="003979A3"/>
    <w:rsid w:val="00397D3A"/>
    <w:rsid w:val="003A051E"/>
    <w:rsid w:val="003A0BBE"/>
    <w:rsid w:val="003A2448"/>
    <w:rsid w:val="003A2F5D"/>
    <w:rsid w:val="003A3128"/>
    <w:rsid w:val="003A4B85"/>
    <w:rsid w:val="003A5AD1"/>
    <w:rsid w:val="003A60FF"/>
    <w:rsid w:val="003A696A"/>
    <w:rsid w:val="003A6FEB"/>
    <w:rsid w:val="003B170F"/>
    <w:rsid w:val="003B3C5F"/>
    <w:rsid w:val="003C1451"/>
    <w:rsid w:val="003C2017"/>
    <w:rsid w:val="003C3DDD"/>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250B"/>
    <w:rsid w:val="003F500E"/>
    <w:rsid w:val="003F655E"/>
    <w:rsid w:val="003F74D9"/>
    <w:rsid w:val="003F78DA"/>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277C9"/>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0D68"/>
    <w:rsid w:val="0046142D"/>
    <w:rsid w:val="0046274F"/>
    <w:rsid w:val="0046298C"/>
    <w:rsid w:val="00463259"/>
    <w:rsid w:val="004659E0"/>
    <w:rsid w:val="00466A75"/>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6FC1"/>
    <w:rsid w:val="004C7030"/>
    <w:rsid w:val="004D1A5A"/>
    <w:rsid w:val="004D2FFF"/>
    <w:rsid w:val="004D3721"/>
    <w:rsid w:val="004D64F9"/>
    <w:rsid w:val="004D687E"/>
    <w:rsid w:val="004E1D03"/>
    <w:rsid w:val="004E3528"/>
    <w:rsid w:val="004E4224"/>
    <w:rsid w:val="004E5A14"/>
    <w:rsid w:val="004E622C"/>
    <w:rsid w:val="004E64DB"/>
    <w:rsid w:val="004E68F8"/>
    <w:rsid w:val="004F1534"/>
    <w:rsid w:val="004F1AEB"/>
    <w:rsid w:val="004F1D73"/>
    <w:rsid w:val="004F2DD1"/>
    <w:rsid w:val="004F301B"/>
    <w:rsid w:val="004F3375"/>
    <w:rsid w:val="004F55F1"/>
    <w:rsid w:val="004F5FDF"/>
    <w:rsid w:val="0050085E"/>
    <w:rsid w:val="0050156C"/>
    <w:rsid w:val="00504AFA"/>
    <w:rsid w:val="005059A4"/>
    <w:rsid w:val="005127BF"/>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1EA5"/>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2E9"/>
    <w:rsid w:val="005966E3"/>
    <w:rsid w:val="005A0CCA"/>
    <w:rsid w:val="005A2152"/>
    <w:rsid w:val="005A2194"/>
    <w:rsid w:val="005A2628"/>
    <w:rsid w:val="005A383D"/>
    <w:rsid w:val="005A43F4"/>
    <w:rsid w:val="005A5ACB"/>
    <w:rsid w:val="005A726D"/>
    <w:rsid w:val="005B0BB2"/>
    <w:rsid w:val="005B2AA0"/>
    <w:rsid w:val="005B4DDE"/>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41B"/>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228"/>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30B6"/>
    <w:rsid w:val="006B435A"/>
    <w:rsid w:val="006B4539"/>
    <w:rsid w:val="006B4872"/>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46D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1DE0"/>
    <w:rsid w:val="00726E9A"/>
    <w:rsid w:val="00727864"/>
    <w:rsid w:val="00730E77"/>
    <w:rsid w:val="007333CC"/>
    <w:rsid w:val="007335D8"/>
    <w:rsid w:val="0073399A"/>
    <w:rsid w:val="007369C7"/>
    <w:rsid w:val="00741D74"/>
    <w:rsid w:val="00743531"/>
    <w:rsid w:val="007452BB"/>
    <w:rsid w:val="007462D9"/>
    <w:rsid w:val="00746A22"/>
    <w:rsid w:val="00750149"/>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203B"/>
    <w:rsid w:val="007D7C92"/>
    <w:rsid w:val="007D7E30"/>
    <w:rsid w:val="007E1154"/>
    <w:rsid w:val="007E1212"/>
    <w:rsid w:val="007E25AD"/>
    <w:rsid w:val="007E3AA5"/>
    <w:rsid w:val="007E3ADF"/>
    <w:rsid w:val="007E41A0"/>
    <w:rsid w:val="007E43C3"/>
    <w:rsid w:val="007E4B4E"/>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02B1"/>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6C74"/>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415E"/>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4582"/>
    <w:rsid w:val="0095526F"/>
    <w:rsid w:val="00955CE0"/>
    <w:rsid w:val="00957534"/>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20E0"/>
    <w:rsid w:val="00984680"/>
    <w:rsid w:val="00990F04"/>
    <w:rsid w:val="00991272"/>
    <w:rsid w:val="00991428"/>
    <w:rsid w:val="00992676"/>
    <w:rsid w:val="00995386"/>
    <w:rsid w:val="00997A85"/>
    <w:rsid w:val="009A0501"/>
    <w:rsid w:val="009A2BCA"/>
    <w:rsid w:val="009A4050"/>
    <w:rsid w:val="009A5354"/>
    <w:rsid w:val="009A6A10"/>
    <w:rsid w:val="009A7172"/>
    <w:rsid w:val="009B0723"/>
    <w:rsid w:val="009B07AD"/>
    <w:rsid w:val="009B0883"/>
    <w:rsid w:val="009B15E2"/>
    <w:rsid w:val="009B46EE"/>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5C41"/>
    <w:rsid w:val="009F0C29"/>
    <w:rsid w:val="009F2472"/>
    <w:rsid w:val="009F64E9"/>
    <w:rsid w:val="00A02198"/>
    <w:rsid w:val="00A025D2"/>
    <w:rsid w:val="00A047EE"/>
    <w:rsid w:val="00A057CA"/>
    <w:rsid w:val="00A13CF3"/>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25E8"/>
    <w:rsid w:val="00A94F10"/>
    <w:rsid w:val="00A96062"/>
    <w:rsid w:val="00A96489"/>
    <w:rsid w:val="00A96BB0"/>
    <w:rsid w:val="00A97D88"/>
    <w:rsid w:val="00AA0E39"/>
    <w:rsid w:val="00AA1F76"/>
    <w:rsid w:val="00AA23CE"/>
    <w:rsid w:val="00AA2CBD"/>
    <w:rsid w:val="00AA5A58"/>
    <w:rsid w:val="00AA670C"/>
    <w:rsid w:val="00AB1B60"/>
    <w:rsid w:val="00AB573C"/>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044A"/>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1588"/>
    <w:rsid w:val="00BD23B4"/>
    <w:rsid w:val="00BD288F"/>
    <w:rsid w:val="00BD3363"/>
    <w:rsid w:val="00BD3834"/>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6B89"/>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4273"/>
    <w:rsid w:val="00C71F4F"/>
    <w:rsid w:val="00C72848"/>
    <w:rsid w:val="00C750BA"/>
    <w:rsid w:val="00C7736C"/>
    <w:rsid w:val="00C80272"/>
    <w:rsid w:val="00C8205C"/>
    <w:rsid w:val="00C82D87"/>
    <w:rsid w:val="00C858E9"/>
    <w:rsid w:val="00C8712A"/>
    <w:rsid w:val="00C92A0D"/>
    <w:rsid w:val="00C952A2"/>
    <w:rsid w:val="00C963D3"/>
    <w:rsid w:val="00CA1802"/>
    <w:rsid w:val="00CB262C"/>
    <w:rsid w:val="00CB2CBB"/>
    <w:rsid w:val="00CB4C43"/>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0253"/>
    <w:rsid w:val="00D068C5"/>
    <w:rsid w:val="00D07F87"/>
    <w:rsid w:val="00D142D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0613"/>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3222"/>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1685"/>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5344"/>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1C1B"/>
    <w:rsid w:val="00FD36C5"/>
    <w:rsid w:val="00FD5AC7"/>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36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bertsmithfreehills.com/latest-thinking/singapore-unveils-new-omnibus-insolvency-restructuring-and-dissolution-bi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16</Pages>
  <Words>5229</Words>
  <Characters>29810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 C</cp:lastModifiedBy>
  <cp:revision>11</cp:revision>
  <cp:lastPrinted>2020-06-12T02:43:00Z</cp:lastPrinted>
  <dcterms:created xsi:type="dcterms:W3CDTF">2022-11-14T13:06:00Z</dcterms:created>
  <dcterms:modified xsi:type="dcterms:W3CDTF">2022-11-15T22:26:00Z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