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8A0C95" w:rsidRDefault="002D2356" w:rsidP="008071D5">
      <w:pPr>
        <w:pStyle w:val="Prrafodelista"/>
        <w:numPr>
          <w:ilvl w:val="0"/>
          <w:numId w:val="15"/>
        </w:numPr>
        <w:ind w:left="425" w:hanging="357"/>
        <w:jc w:val="both"/>
        <w:rPr>
          <w:rFonts w:ascii="Avenir Next" w:hAnsi="Avenir Next" w:cs="Arial"/>
          <w:sz w:val="22"/>
          <w:szCs w:val="22"/>
          <w:highlight w:val="yellow"/>
        </w:rPr>
      </w:pPr>
      <w:r w:rsidRPr="008A0C9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8A0C95">
        <w:rPr>
          <w:rFonts w:ascii="Avenir Next" w:hAnsi="Avenir Next" w:cs="Arial"/>
          <w:sz w:val="22"/>
          <w:szCs w:val="22"/>
          <w:highlight w:val="yellow"/>
          <w:vertAlign w:val="superscript"/>
        </w:rPr>
        <w:t>th</w:t>
      </w:r>
      <w:r w:rsidRPr="008A0C9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C34C13" w:rsidRDefault="002D2356" w:rsidP="008071D5">
      <w:pPr>
        <w:pStyle w:val="Prrafodelista"/>
        <w:numPr>
          <w:ilvl w:val="0"/>
          <w:numId w:val="16"/>
        </w:numPr>
        <w:ind w:left="426"/>
        <w:jc w:val="both"/>
        <w:rPr>
          <w:rFonts w:ascii="Avenir Next" w:hAnsi="Avenir Next" w:cs="Arial"/>
          <w:sz w:val="22"/>
          <w:szCs w:val="22"/>
          <w:highlight w:val="yellow"/>
        </w:rPr>
      </w:pPr>
      <w:r w:rsidRPr="00C34C1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D169B" w:rsidRDefault="002D2356" w:rsidP="008071D5">
      <w:pPr>
        <w:pStyle w:val="Prrafodelista"/>
        <w:numPr>
          <w:ilvl w:val="0"/>
          <w:numId w:val="17"/>
        </w:numPr>
        <w:ind w:left="426"/>
        <w:jc w:val="both"/>
        <w:rPr>
          <w:rFonts w:ascii="Avenir Next" w:hAnsi="Avenir Next" w:cs="Arial"/>
          <w:sz w:val="22"/>
          <w:szCs w:val="22"/>
          <w:highlight w:val="yellow"/>
        </w:rPr>
      </w:pPr>
      <w:r w:rsidRPr="005D169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C34C13" w:rsidRDefault="00466ED6" w:rsidP="008071D5">
      <w:pPr>
        <w:pStyle w:val="Prrafodelista"/>
        <w:numPr>
          <w:ilvl w:val="0"/>
          <w:numId w:val="18"/>
        </w:numPr>
        <w:ind w:left="426"/>
        <w:jc w:val="both"/>
        <w:rPr>
          <w:rFonts w:ascii="Avenir Next" w:hAnsi="Avenir Next" w:cs="Arial"/>
          <w:sz w:val="22"/>
          <w:szCs w:val="22"/>
          <w:highlight w:val="yellow"/>
        </w:rPr>
      </w:pPr>
      <w:r w:rsidRPr="00C34C13">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C34C13" w:rsidRDefault="002D2356" w:rsidP="008071D5">
      <w:pPr>
        <w:pStyle w:val="Prrafodelista"/>
        <w:numPr>
          <w:ilvl w:val="0"/>
          <w:numId w:val="19"/>
        </w:numPr>
        <w:ind w:left="425" w:hanging="357"/>
        <w:jc w:val="both"/>
        <w:rPr>
          <w:rFonts w:ascii="Avenir Next" w:hAnsi="Avenir Next" w:cs="Arial"/>
          <w:sz w:val="22"/>
          <w:szCs w:val="22"/>
          <w:highlight w:val="yellow"/>
        </w:rPr>
      </w:pPr>
      <w:r w:rsidRPr="00C34C13">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F7FD5" w:rsidRDefault="002D2356" w:rsidP="008071D5">
      <w:pPr>
        <w:pStyle w:val="Prrafodelista"/>
        <w:numPr>
          <w:ilvl w:val="0"/>
          <w:numId w:val="20"/>
        </w:numPr>
        <w:ind w:left="426"/>
        <w:jc w:val="both"/>
        <w:rPr>
          <w:rFonts w:ascii="Avenir Next" w:eastAsiaTheme="minorHAnsi" w:hAnsi="Avenir Next" w:cs="Arial"/>
          <w:sz w:val="22"/>
          <w:szCs w:val="22"/>
          <w:highlight w:val="yellow"/>
          <w:lang w:val="en-GB"/>
        </w:rPr>
      </w:pPr>
      <w:r w:rsidRPr="00CF7FD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CF7FD5" w:rsidRDefault="002D2356" w:rsidP="008071D5">
      <w:pPr>
        <w:pStyle w:val="Prrafodelista"/>
        <w:numPr>
          <w:ilvl w:val="0"/>
          <w:numId w:val="21"/>
        </w:numPr>
        <w:ind w:left="426"/>
        <w:jc w:val="both"/>
        <w:rPr>
          <w:rFonts w:ascii="Avenir Next" w:eastAsiaTheme="minorHAnsi" w:hAnsi="Avenir Next" w:cs="Arial"/>
          <w:sz w:val="22"/>
          <w:szCs w:val="22"/>
          <w:highlight w:val="yellow"/>
          <w:lang w:val="en-GB"/>
        </w:rPr>
      </w:pPr>
      <w:r w:rsidRPr="00CF7FD5">
        <w:rPr>
          <w:rFonts w:ascii="Avenir Next" w:eastAsiaTheme="minorHAnsi" w:hAnsi="Avenir Next" w:cs="Arial"/>
          <w:sz w:val="22"/>
          <w:szCs w:val="22"/>
          <w:highlight w:val="yellow"/>
          <w:lang w:val="en-GB"/>
        </w:rPr>
        <w:t>It is relevant</w:t>
      </w:r>
      <w:r w:rsidR="009A0501" w:rsidRPr="00CF7FD5">
        <w:rPr>
          <w:rFonts w:ascii="Avenir Next" w:eastAsiaTheme="minorHAnsi" w:hAnsi="Avenir Next" w:cs="Arial"/>
          <w:sz w:val="22"/>
          <w:szCs w:val="22"/>
          <w:highlight w:val="yellow"/>
          <w:lang w:val="en-GB"/>
        </w:rPr>
        <w:t xml:space="preserve"> factor for the English Court hearing the matter</w:t>
      </w:r>
      <w:r w:rsidR="0095223A" w:rsidRPr="00CF7FD5">
        <w:rPr>
          <w:rFonts w:ascii="Avenir Next" w:eastAsiaTheme="minorHAnsi" w:hAnsi="Avenir Next" w:cs="Arial"/>
          <w:sz w:val="22"/>
          <w:szCs w:val="22"/>
          <w:highlight w:val="yellow"/>
          <w:lang w:val="en-GB"/>
        </w:rPr>
        <w:t xml:space="preserve"> </w:t>
      </w:r>
      <w:r w:rsidR="00D910D5" w:rsidRPr="00CF7FD5">
        <w:rPr>
          <w:rFonts w:ascii="Avenir Next" w:eastAsiaTheme="minorHAnsi" w:hAnsi="Avenir Next" w:cs="Arial"/>
          <w:sz w:val="22"/>
          <w:szCs w:val="22"/>
          <w:highlight w:val="yellow"/>
          <w:lang w:val="en-GB"/>
        </w:rPr>
        <w:t>to consider</w:t>
      </w:r>
      <w:r w:rsidR="009A0501" w:rsidRPr="00CF7FD5">
        <w:rPr>
          <w:rFonts w:ascii="Avenir Next" w:eastAsiaTheme="minorHAnsi" w:hAnsi="Avenir Next" w:cs="Arial"/>
          <w:sz w:val="22"/>
          <w:szCs w:val="22"/>
          <w:highlight w:val="yellow"/>
          <w:lang w:val="en-GB"/>
        </w:rPr>
        <w:t xml:space="preserve"> whether Germany</w:t>
      </w:r>
      <w:r w:rsidRPr="00CF7FD5">
        <w:rPr>
          <w:rFonts w:ascii="Avenir Next" w:eastAsiaTheme="minorHAnsi" w:hAnsi="Avenir Next" w:cs="Arial"/>
          <w:sz w:val="22"/>
          <w:szCs w:val="22"/>
          <w:highlight w:val="yellow"/>
          <w:lang w:val="en-GB"/>
        </w:rPr>
        <w:t xml:space="preserve"> has adopted the UNCITRAL Model Law on Cross-border Insolvency 1997</w:t>
      </w:r>
      <w:r w:rsidR="009A0501" w:rsidRPr="00CF7FD5">
        <w:rPr>
          <w:rFonts w:ascii="Avenir Next" w:eastAsiaTheme="minorHAnsi" w:hAnsi="Avenir Next" w:cs="Arial"/>
          <w:sz w:val="22"/>
          <w:szCs w:val="22"/>
          <w:highlight w:val="yellow"/>
          <w:lang w:val="en-GB"/>
        </w:rPr>
        <w:t>, or not</w:t>
      </w:r>
      <w:r w:rsidRPr="00CF7FD5">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F7FD5" w:rsidRDefault="003D3410" w:rsidP="008071D5">
      <w:pPr>
        <w:pStyle w:val="Prrafodelista"/>
        <w:numPr>
          <w:ilvl w:val="0"/>
          <w:numId w:val="22"/>
        </w:numPr>
        <w:ind w:left="426"/>
        <w:jc w:val="both"/>
        <w:rPr>
          <w:rFonts w:ascii="Avenir Next" w:eastAsiaTheme="minorHAnsi" w:hAnsi="Avenir Next" w:cs="Arial"/>
          <w:sz w:val="22"/>
          <w:szCs w:val="22"/>
          <w:highlight w:val="yellow"/>
          <w:lang w:val="en-GB"/>
        </w:rPr>
      </w:pPr>
      <w:r w:rsidRPr="00CF7FD5">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Pr="005D169B" w:rsidRDefault="00F5239B" w:rsidP="008071D5">
      <w:pPr>
        <w:pStyle w:val="Prrafodelista"/>
        <w:numPr>
          <w:ilvl w:val="0"/>
          <w:numId w:val="23"/>
        </w:numPr>
        <w:ind w:left="426"/>
        <w:jc w:val="both"/>
        <w:rPr>
          <w:rFonts w:ascii="Avenir Next" w:hAnsi="Avenir Next" w:cs="Arial"/>
          <w:sz w:val="22"/>
          <w:szCs w:val="22"/>
          <w:highlight w:val="yellow"/>
        </w:rPr>
      </w:pPr>
      <w:r w:rsidRPr="005D169B">
        <w:rPr>
          <w:rFonts w:ascii="Avenir Next" w:hAnsi="Avenir Next" w:cs="Arial"/>
          <w:sz w:val="22"/>
          <w:szCs w:val="22"/>
          <w:highlight w:val="yellow"/>
        </w:rPr>
        <w:t xml:space="preserve">This statement is true because </w:t>
      </w:r>
      <w:r w:rsidR="006E2974" w:rsidRPr="005D169B">
        <w:rPr>
          <w:rFonts w:ascii="Avenir Next" w:hAnsi="Avenir Next" w:cs="Arial"/>
          <w:sz w:val="22"/>
          <w:szCs w:val="22"/>
          <w:highlight w:val="yellow"/>
        </w:rPr>
        <w:t>the Model Law on Cross-border Insolvency creates regulations which bind</w:t>
      </w:r>
      <w:r w:rsidR="000F3387" w:rsidRPr="005D169B">
        <w:rPr>
          <w:rFonts w:ascii="Avenir Next" w:hAnsi="Avenir Next" w:cs="Arial"/>
          <w:sz w:val="22"/>
          <w:szCs w:val="22"/>
          <w:highlight w:val="yellow"/>
        </w:rPr>
        <w:t>s</w:t>
      </w:r>
      <w:r w:rsidR="006E2974" w:rsidRPr="005D169B">
        <w:rPr>
          <w:rFonts w:ascii="Avenir Next" w:hAnsi="Avenir Next" w:cs="Arial"/>
          <w:sz w:val="22"/>
          <w:szCs w:val="22"/>
          <w:highlight w:val="yellow"/>
        </w:rPr>
        <w:t xml:space="preserve"> each State</w:t>
      </w:r>
      <w:r w:rsidR="007B5180" w:rsidRPr="005D169B">
        <w:rPr>
          <w:rFonts w:ascii="Avenir Next" w:hAnsi="Avenir Next" w:cs="Arial"/>
          <w:sz w:val="22"/>
          <w:szCs w:val="22"/>
          <w:highlight w:val="yellow"/>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Prrafodelista"/>
        <w:numPr>
          <w:ilvl w:val="0"/>
          <w:numId w:val="23"/>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7B5180" w:rsidRPr="00AB63DE">
        <w:rPr>
          <w:rFonts w:ascii="Avenir Next" w:hAnsi="Avenir Next" w:cs="Arial"/>
          <w:sz w:val="22"/>
          <w:szCs w:val="22"/>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CF7FD5" w:rsidRDefault="009355DB" w:rsidP="008071D5">
      <w:pPr>
        <w:pStyle w:val="Prrafodelista"/>
        <w:numPr>
          <w:ilvl w:val="0"/>
          <w:numId w:val="24"/>
        </w:numPr>
        <w:ind w:left="426"/>
        <w:jc w:val="both"/>
        <w:rPr>
          <w:rFonts w:ascii="Avenir Next" w:hAnsi="Avenir Next" w:cs="Arial"/>
          <w:sz w:val="22"/>
          <w:szCs w:val="22"/>
          <w:highlight w:val="yellow"/>
        </w:rPr>
      </w:pPr>
      <w:r w:rsidRPr="00CF7FD5">
        <w:rPr>
          <w:rFonts w:ascii="Avenir Next" w:hAnsi="Avenir Next" w:cs="Arial"/>
          <w:sz w:val="22"/>
          <w:szCs w:val="22"/>
          <w:highlight w:val="yellow"/>
        </w:rPr>
        <w:t xml:space="preserve">This statement is true because </w:t>
      </w:r>
      <w:r w:rsidR="005C4FF2" w:rsidRPr="00CF7FD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DE49A81" w:rsidR="0081547D" w:rsidRPr="00AB63DE" w:rsidRDefault="00632E2D"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most African countries were colonies of European countries, the historical roots can be traced to civil (roman) and common (English) law. Nigeria, Tanzania, Kenya, Botswana and Zambia have an English law tradition. Angola and Mozambique have </w:t>
      </w:r>
      <w:r w:rsidR="00165374">
        <w:rPr>
          <w:rFonts w:ascii="Avenir Next" w:hAnsi="Avenir Next" w:cs="Arial"/>
          <w:color w:val="808080" w:themeColor="background1" w:themeShade="80"/>
          <w:sz w:val="22"/>
          <w:szCs w:val="22"/>
          <w:lang w:val="en-GB"/>
        </w:rPr>
        <w:t xml:space="preserve">civil law tradition, derived from being French colonies and South Africa have a </w:t>
      </w:r>
      <w:r w:rsidR="00000729">
        <w:rPr>
          <w:rFonts w:ascii="Avenir Next" w:hAnsi="Avenir Next" w:cs="Arial"/>
          <w:color w:val="808080" w:themeColor="background1" w:themeShade="80"/>
          <w:sz w:val="22"/>
          <w:szCs w:val="22"/>
          <w:lang w:val="en-GB"/>
        </w:rPr>
        <w:t xml:space="preserve">mixed legal system derived from Dutch (civil law) and English (common law) influence.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5B2F8CA" w:rsidR="00AB63DE" w:rsidRPr="00AB63DE" w:rsidRDefault="00F815F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in Asia gave rise to insolvency laws reform in Thailand and Indonesia.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2EA3B757" w:rsidR="00AB63DE" w:rsidRPr="00AB63DE" w:rsidRDefault="00F815F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attempt to create an instrument to assist with the resolution of international insolvency issues in North America was a 1970 treaty proposal between the United States and Canada, but the agreement failed because it was too ambitious in its scope. </w:t>
      </w:r>
      <w:r w:rsidR="008B6479">
        <w:rPr>
          <w:rFonts w:ascii="Avenir Next" w:hAnsi="Avenir Next" w:cs="Arial"/>
          <w:color w:val="808080" w:themeColor="background1" w:themeShade="80"/>
          <w:sz w:val="22"/>
          <w:szCs w:val="22"/>
          <w:lang w:val="en-GB"/>
        </w:rPr>
        <w:t xml:space="preserve">Later, after the sign of the NAFTA, the American Law Institute </w:t>
      </w:r>
      <w:r w:rsidR="00EB5D32">
        <w:rPr>
          <w:rFonts w:ascii="Avenir Next" w:hAnsi="Avenir Next" w:cs="Arial"/>
          <w:color w:val="808080" w:themeColor="background1" w:themeShade="80"/>
          <w:sz w:val="22"/>
          <w:szCs w:val="22"/>
          <w:lang w:val="en-GB"/>
        </w:rPr>
        <w:t xml:space="preserve">developed the ALI Transnational Insolvency Project to improve cooperation in international insolvency between NAFTA parties (Mexico, United States and Canada). </w:t>
      </w:r>
      <w:r w:rsidR="00155EB3">
        <w:rPr>
          <w:rFonts w:ascii="Avenir Next" w:hAnsi="Avenir Next" w:cs="Arial"/>
          <w:color w:val="808080" w:themeColor="background1" w:themeShade="80"/>
          <w:sz w:val="22"/>
          <w:szCs w:val="22"/>
          <w:lang w:val="en-GB"/>
        </w:rPr>
        <w:t xml:space="preserve">The project involved working groups with experts </w:t>
      </w:r>
      <w:r w:rsidR="004B32EC">
        <w:rPr>
          <w:rFonts w:ascii="Avenir Next" w:hAnsi="Avenir Next" w:cs="Arial"/>
          <w:color w:val="808080" w:themeColor="background1" w:themeShade="80"/>
          <w:sz w:val="22"/>
          <w:szCs w:val="22"/>
          <w:lang w:val="en-GB"/>
        </w:rPr>
        <w:t xml:space="preserve">and concluded in the NAFTA Principles of Cooperation adopted in 2000. Also, the three NAFTA countries have incorporated the UNCITRAL Model Law on Cross-Border Insolvency.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4315B168" w:rsidR="00AB63DE" w:rsidRDefault="00935E5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on civil law systems are derived from the </w:t>
      </w:r>
      <w:proofErr w:type="spellStart"/>
      <w:r w:rsidRPr="00935E50">
        <w:rPr>
          <w:rFonts w:ascii="Avenir Next" w:hAnsi="Avenir Next" w:cs="Arial"/>
          <w:i/>
          <w:iCs/>
          <w:color w:val="808080" w:themeColor="background1" w:themeShade="80"/>
          <w:sz w:val="22"/>
          <w:szCs w:val="22"/>
          <w:lang w:val="en-GB"/>
        </w:rPr>
        <w:t>actio</w:t>
      </w:r>
      <w:proofErr w:type="spellEnd"/>
      <w:r w:rsidRPr="00935E50">
        <w:rPr>
          <w:rFonts w:ascii="Avenir Next" w:hAnsi="Avenir Next" w:cs="Arial"/>
          <w:i/>
          <w:iCs/>
          <w:color w:val="808080" w:themeColor="background1" w:themeShade="80"/>
          <w:sz w:val="22"/>
          <w:szCs w:val="22"/>
          <w:lang w:val="en-GB"/>
        </w:rPr>
        <w:t xml:space="preserve"> pauliana</w:t>
      </w:r>
      <w:r>
        <w:rPr>
          <w:rFonts w:ascii="Avenir Next" w:hAnsi="Avenir Next" w:cs="Arial"/>
          <w:color w:val="808080" w:themeColor="background1" w:themeShade="80"/>
          <w:sz w:val="22"/>
          <w:szCs w:val="22"/>
          <w:lang w:val="en-GB"/>
        </w:rPr>
        <w:t xml:space="preserve">, meanwhile in English law systems the Act of Elizabeth of 1540 is the origin. </w:t>
      </w:r>
      <w:r w:rsidR="009A06DE">
        <w:rPr>
          <w:rFonts w:ascii="Avenir Next" w:hAnsi="Avenir Next" w:cs="Arial"/>
          <w:color w:val="808080" w:themeColor="background1" w:themeShade="80"/>
          <w:sz w:val="22"/>
          <w:szCs w:val="22"/>
          <w:lang w:val="en-GB"/>
        </w:rPr>
        <w:t xml:space="preserve">This is a first difference that explains an historical divergence of this institution. </w:t>
      </w:r>
      <w:r w:rsidR="00F33F25">
        <w:rPr>
          <w:rFonts w:ascii="Avenir Next" w:hAnsi="Avenir Next" w:cs="Arial"/>
          <w:color w:val="808080" w:themeColor="background1" w:themeShade="80"/>
          <w:sz w:val="22"/>
          <w:szCs w:val="22"/>
          <w:lang w:val="en-GB"/>
        </w:rPr>
        <w:t xml:space="preserve">Is important to note that the </w:t>
      </w:r>
      <w:proofErr w:type="spellStart"/>
      <w:r w:rsidR="00F33F25">
        <w:rPr>
          <w:rFonts w:ascii="Avenir Next" w:hAnsi="Avenir Next" w:cs="Arial"/>
          <w:i/>
          <w:iCs/>
          <w:color w:val="808080" w:themeColor="background1" w:themeShade="80"/>
          <w:sz w:val="22"/>
          <w:szCs w:val="22"/>
          <w:lang w:val="en-GB"/>
        </w:rPr>
        <w:t>actio</w:t>
      </w:r>
      <w:proofErr w:type="spellEnd"/>
      <w:r w:rsidR="00F33F25">
        <w:rPr>
          <w:rFonts w:ascii="Avenir Next" w:hAnsi="Avenir Next" w:cs="Arial"/>
          <w:i/>
          <w:iCs/>
          <w:color w:val="808080" w:themeColor="background1" w:themeShade="80"/>
          <w:sz w:val="22"/>
          <w:szCs w:val="22"/>
          <w:lang w:val="en-GB"/>
        </w:rPr>
        <w:t xml:space="preserve"> pauliana</w:t>
      </w:r>
      <w:r w:rsidR="00F33F25">
        <w:rPr>
          <w:rFonts w:ascii="Avenir Next" w:hAnsi="Avenir Next" w:cs="Arial"/>
          <w:color w:val="808080" w:themeColor="background1" w:themeShade="80"/>
          <w:sz w:val="22"/>
          <w:szCs w:val="22"/>
          <w:lang w:val="en-GB"/>
        </w:rPr>
        <w:t xml:space="preserve">, an </w:t>
      </w:r>
      <w:proofErr w:type="spellStart"/>
      <w:r w:rsidR="00F33F25">
        <w:rPr>
          <w:rFonts w:ascii="Avenir Next" w:hAnsi="Avenir Next" w:cs="Arial"/>
          <w:color w:val="808080" w:themeColor="background1" w:themeShade="80"/>
          <w:sz w:val="22"/>
          <w:szCs w:val="22"/>
          <w:lang w:val="en-GB"/>
        </w:rPr>
        <w:t>insititution</w:t>
      </w:r>
      <w:proofErr w:type="spellEnd"/>
      <w:r w:rsidR="00F33F25">
        <w:rPr>
          <w:rFonts w:ascii="Avenir Next" w:hAnsi="Avenir Next" w:cs="Arial"/>
          <w:color w:val="808080" w:themeColor="background1" w:themeShade="80"/>
          <w:sz w:val="22"/>
          <w:szCs w:val="22"/>
          <w:lang w:val="en-GB"/>
        </w:rPr>
        <w:t xml:space="preserve"> from ancient Rome is </w:t>
      </w:r>
      <w:r w:rsidR="002F7CFA">
        <w:rPr>
          <w:rFonts w:ascii="Avenir Next" w:hAnsi="Avenir Next" w:cs="Arial"/>
          <w:color w:val="808080" w:themeColor="background1" w:themeShade="80"/>
          <w:sz w:val="22"/>
          <w:szCs w:val="22"/>
          <w:lang w:val="en-GB"/>
        </w:rPr>
        <w:t xml:space="preserve">way older than the Act of Elizabeth, and on civil law systems, the </w:t>
      </w:r>
      <w:proofErr w:type="spellStart"/>
      <w:r w:rsidR="002F7CFA">
        <w:rPr>
          <w:rFonts w:ascii="Avenir Next" w:hAnsi="Avenir Next" w:cs="Arial"/>
          <w:color w:val="808080" w:themeColor="background1" w:themeShade="80"/>
          <w:sz w:val="22"/>
          <w:szCs w:val="22"/>
          <w:lang w:val="en-GB"/>
        </w:rPr>
        <w:t>actio</w:t>
      </w:r>
      <w:proofErr w:type="spellEnd"/>
      <w:r w:rsidR="002F7CFA">
        <w:rPr>
          <w:rFonts w:ascii="Avenir Next" w:hAnsi="Avenir Next" w:cs="Arial"/>
          <w:color w:val="808080" w:themeColor="background1" w:themeShade="80"/>
          <w:sz w:val="22"/>
          <w:szCs w:val="22"/>
          <w:lang w:val="en-GB"/>
        </w:rPr>
        <w:t xml:space="preserve"> pauliana is a general action used in contracts beyond the insolvency law. </w:t>
      </w:r>
    </w:p>
    <w:p w14:paraId="3243AA57" w14:textId="68EA90FD" w:rsidR="002F7CFA" w:rsidRDefault="002F7CFA" w:rsidP="00AB63DE">
      <w:pPr>
        <w:ind w:left="720" w:hanging="720"/>
        <w:jc w:val="both"/>
        <w:rPr>
          <w:rFonts w:ascii="Avenir Next" w:hAnsi="Avenir Next" w:cs="Arial"/>
          <w:color w:val="808080" w:themeColor="background1" w:themeShade="80"/>
          <w:sz w:val="22"/>
          <w:szCs w:val="22"/>
          <w:lang w:val="en-GB"/>
        </w:rPr>
      </w:pPr>
    </w:p>
    <w:p w14:paraId="09C91B65" w14:textId="1EB83EAA" w:rsidR="002F7CFA" w:rsidRPr="002F7CFA" w:rsidRDefault="002F7CFA" w:rsidP="00AB63DE">
      <w:pPr>
        <w:ind w:left="720" w:hanging="720"/>
        <w:jc w:val="both"/>
        <w:rPr>
          <w:rFonts w:ascii="Avenir Next" w:hAnsi="Avenir Next" w:cs="Arial"/>
          <w:iCs/>
          <w:color w:val="808080" w:themeColor="background1" w:themeShade="80"/>
          <w:sz w:val="22"/>
          <w:szCs w:val="22"/>
          <w:lang w:val="en-GB"/>
        </w:rPr>
      </w:pPr>
      <w:r>
        <w:rPr>
          <w:rFonts w:ascii="Avenir Next" w:hAnsi="Avenir Next" w:cs="Arial"/>
          <w:color w:val="808080" w:themeColor="background1" w:themeShade="80"/>
          <w:sz w:val="22"/>
          <w:szCs w:val="22"/>
          <w:lang w:val="en-GB"/>
        </w:rPr>
        <w:t>For example, in Chile,</w:t>
      </w:r>
      <w:r w:rsidR="0097226E">
        <w:rPr>
          <w:rFonts w:ascii="Avenir Next" w:hAnsi="Avenir Next" w:cs="Arial"/>
          <w:color w:val="808080" w:themeColor="background1" w:themeShade="80"/>
          <w:sz w:val="22"/>
          <w:szCs w:val="22"/>
          <w:lang w:val="en-GB"/>
        </w:rPr>
        <w:t xml:space="preserve"> a civil law country,</w:t>
      </w:r>
      <w:r>
        <w:rPr>
          <w:rFonts w:ascii="Avenir Next" w:hAnsi="Avenir Next" w:cs="Arial"/>
          <w:color w:val="808080" w:themeColor="background1" w:themeShade="80"/>
          <w:sz w:val="22"/>
          <w:szCs w:val="22"/>
          <w:lang w:val="en-GB"/>
        </w:rPr>
        <w:t xml:space="preserve"> we have the </w:t>
      </w:r>
      <w:proofErr w:type="spellStart"/>
      <w:r>
        <w:rPr>
          <w:rFonts w:ascii="Avenir Next" w:hAnsi="Avenir Next" w:cs="Arial"/>
          <w:i/>
          <w:color w:val="808080" w:themeColor="background1" w:themeShade="80"/>
          <w:sz w:val="22"/>
          <w:szCs w:val="22"/>
          <w:lang w:val="en-GB"/>
        </w:rPr>
        <w:t>actio</w:t>
      </w:r>
      <w:proofErr w:type="spellEnd"/>
      <w:r>
        <w:rPr>
          <w:rFonts w:ascii="Avenir Next" w:hAnsi="Avenir Next" w:cs="Arial"/>
          <w:i/>
          <w:color w:val="808080" w:themeColor="background1" w:themeShade="80"/>
          <w:sz w:val="22"/>
          <w:szCs w:val="22"/>
          <w:lang w:val="en-GB"/>
        </w:rPr>
        <w:t xml:space="preserve"> pauliana</w:t>
      </w:r>
      <w:r>
        <w:rPr>
          <w:rFonts w:ascii="Avenir Next" w:hAnsi="Avenir Next" w:cs="Arial"/>
          <w:iCs/>
          <w:color w:val="808080" w:themeColor="background1" w:themeShade="80"/>
          <w:sz w:val="22"/>
          <w:szCs w:val="22"/>
          <w:lang w:val="en-GB"/>
        </w:rPr>
        <w:t xml:space="preserve"> on the Civil Code, and applies </w:t>
      </w:r>
      <w:r w:rsidR="00ED0ABC">
        <w:rPr>
          <w:rFonts w:ascii="Avenir Next" w:hAnsi="Avenir Next" w:cs="Arial"/>
          <w:iCs/>
          <w:color w:val="808080" w:themeColor="background1" w:themeShade="80"/>
          <w:sz w:val="22"/>
          <w:szCs w:val="22"/>
          <w:lang w:val="en-GB"/>
        </w:rPr>
        <w:t xml:space="preserve">for contracts and general civil matters. The insolvency voidable dispositions are incorporated on the Insolvency Law (Ley 20.720), thus is a special regulation. The voidable dispositions in the Chilean Insolvency Law </w:t>
      </w:r>
      <w:r w:rsidR="008E04FF">
        <w:rPr>
          <w:rFonts w:ascii="Avenir Next" w:hAnsi="Avenir Next" w:cs="Arial"/>
          <w:iCs/>
          <w:color w:val="808080" w:themeColor="background1" w:themeShade="80"/>
          <w:sz w:val="22"/>
          <w:szCs w:val="22"/>
          <w:lang w:val="en-GB"/>
        </w:rPr>
        <w:t xml:space="preserve">distinct between dispositions for corporations and for individuals. The dispositions for corporations are regulated in the Insolvency Law and for individuals, the </w:t>
      </w:r>
      <w:r w:rsidR="008E04FF">
        <w:rPr>
          <w:rFonts w:ascii="Avenir Next" w:hAnsi="Avenir Next" w:cs="Arial"/>
          <w:iCs/>
          <w:color w:val="808080" w:themeColor="background1" w:themeShade="80"/>
          <w:sz w:val="22"/>
          <w:szCs w:val="22"/>
          <w:lang w:val="en-GB"/>
        </w:rPr>
        <w:lastRenderedPageBreak/>
        <w:t>Insolvency law regulates only the dispositions applicable to gratuitous contracts celebrated before the commencement of the insolvency proceeding. For non-gratuitous contracts, the Insolvency Laws remits to general rules of the Civil Code</w:t>
      </w:r>
      <w:r w:rsidR="0097226E">
        <w:rPr>
          <w:rFonts w:ascii="Avenir Next" w:hAnsi="Avenir Next" w:cs="Arial"/>
          <w:iCs/>
          <w:color w:val="808080" w:themeColor="background1" w:themeShade="80"/>
          <w:sz w:val="22"/>
          <w:szCs w:val="22"/>
          <w:lang w:val="en-GB"/>
        </w:rPr>
        <w:t xml:space="preserve">. </w:t>
      </w:r>
      <w:r w:rsidR="001C304E">
        <w:rPr>
          <w:rFonts w:ascii="Avenir Next" w:hAnsi="Avenir Next" w:cs="Arial"/>
          <w:iCs/>
          <w:color w:val="808080" w:themeColor="background1" w:themeShade="80"/>
          <w:sz w:val="22"/>
          <w:szCs w:val="22"/>
          <w:lang w:val="en-GB"/>
        </w:rPr>
        <w:t xml:space="preserve">The importance of the </w:t>
      </w:r>
      <w:r w:rsidR="007A359A">
        <w:rPr>
          <w:rFonts w:ascii="Avenir Next" w:hAnsi="Avenir Next" w:cs="Arial"/>
          <w:iCs/>
          <w:color w:val="808080" w:themeColor="background1" w:themeShade="80"/>
          <w:sz w:val="22"/>
          <w:szCs w:val="22"/>
          <w:lang w:val="en-GB"/>
        </w:rPr>
        <w:t xml:space="preserve">voidable dispositions in an insolvency system </w:t>
      </w:r>
      <w:r w:rsidR="001B6ED3">
        <w:rPr>
          <w:rFonts w:ascii="Avenir Next" w:hAnsi="Avenir Next" w:cs="Arial"/>
          <w:iCs/>
          <w:color w:val="808080" w:themeColor="background1" w:themeShade="80"/>
          <w:sz w:val="22"/>
          <w:szCs w:val="22"/>
          <w:lang w:val="en-GB"/>
        </w:rPr>
        <w:t>is because of the collective nature of the p</w:t>
      </w:r>
      <w:r w:rsidR="00042753">
        <w:rPr>
          <w:rFonts w:ascii="Avenir Next" w:hAnsi="Avenir Next" w:cs="Arial"/>
          <w:iCs/>
          <w:color w:val="808080" w:themeColor="background1" w:themeShade="80"/>
          <w:sz w:val="22"/>
          <w:szCs w:val="22"/>
          <w:lang w:val="en-GB"/>
        </w:rPr>
        <w:t xml:space="preserve">rocess. Voidable dispositions serves as </w:t>
      </w:r>
      <w:r w:rsidR="00425E24">
        <w:rPr>
          <w:rFonts w:ascii="Avenir Next" w:hAnsi="Avenir Next" w:cs="Arial"/>
          <w:iCs/>
          <w:color w:val="808080" w:themeColor="background1" w:themeShade="80"/>
          <w:sz w:val="22"/>
          <w:szCs w:val="22"/>
          <w:lang w:val="en-GB"/>
        </w:rPr>
        <w:t xml:space="preserve">a </w:t>
      </w:r>
      <w:r w:rsidR="006D3639">
        <w:rPr>
          <w:rFonts w:ascii="Avenir Next" w:hAnsi="Avenir Next" w:cs="Arial"/>
          <w:iCs/>
          <w:color w:val="808080" w:themeColor="background1" w:themeShade="80"/>
          <w:sz w:val="22"/>
          <w:szCs w:val="22"/>
          <w:lang w:val="en-GB"/>
        </w:rPr>
        <w:t xml:space="preserve">disincentive </w:t>
      </w:r>
      <w:r w:rsidR="00425E24">
        <w:rPr>
          <w:rFonts w:ascii="Avenir Next" w:hAnsi="Avenir Next" w:cs="Arial"/>
          <w:iCs/>
          <w:color w:val="808080" w:themeColor="background1" w:themeShade="80"/>
          <w:sz w:val="22"/>
          <w:szCs w:val="22"/>
          <w:lang w:val="en-GB"/>
        </w:rPr>
        <w:t>to creditors for continuing individual debt-collecting measures.</w:t>
      </w:r>
      <w:r w:rsidR="00CC4AAC">
        <w:rPr>
          <w:rFonts w:ascii="Avenir Next" w:hAnsi="Avenir Next" w:cs="Arial"/>
          <w:iCs/>
          <w:color w:val="808080" w:themeColor="background1" w:themeShade="80"/>
          <w:sz w:val="22"/>
          <w:szCs w:val="22"/>
          <w:lang w:val="en-GB"/>
        </w:rPr>
        <w:t xml:space="preserve"> </w:t>
      </w:r>
      <w:r w:rsidR="00480715">
        <w:rPr>
          <w:rFonts w:ascii="Avenir Next" w:hAnsi="Avenir Next" w:cs="Arial"/>
          <w:iCs/>
          <w:color w:val="808080" w:themeColor="background1" w:themeShade="80"/>
          <w:sz w:val="22"/>
          <w:szCs w:val="22"/>
          <w:lang w:val="en-GB"/>
        </w:rPr>
        <w:t xml:space="preserve">Also discourages the debtor to </w:t>
      </w:r>
      <w:r w:rsidR="0062078E">
        <w:rPr>
          <w:rFonts w:ascii="Avenir Next" w:hAnsi="Avenir Next" w:cs="Arial"/>
          <w:iCs/>
          <w:color w:val="808080" w:themeColor="background1" w:themeShade="80"/>
          <w:sz w:val="22"/>
          <w:szCs w:val="22"/>
          <w:lang w:val="en-GB"/>
        </w:rPr>
        <w:t xml:space="preserve">make transactions before the commencement of the proceeding that affects the estate, diminishing the </w:t>
      </w:r>
      <w:r w:rsidR="009E1980">
        <w:rPr>
          <w:rFonts w:ascii="Avenir Next" w:hAnsi="Avenir Next" w:cs="Arial"/>
          <w:iCs/>
          <w:color w:val="808080" w:themeColor="background1" w:themeShade="80"/>
          <w:sz w:val="22"/>
          <w:szCs w:val="22"/>
          <w:lang w:val="en-GB"/>
        </w:rPr>
        <w:t xml:space="preserve">payments to creditors.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309140B" w14:textId="4BFC7046" w:rsidR="00E45B2D" w:rsidRDefault="00D917FC" w:rsidP="00E45B2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the author that made the definition, says that</w:t>
      </w:r>
      <w:r w:rsidR="003A1FEE">
        <w:rPr>
          <w:rFonts w:ascii="Avenir Next" w:hAnsi="Avenir Next" w:cs="Arial"/>
          <w:color w:val="808080" w:themeColor="background1" w:themeShade="80"/>
          <w:sz w:val="22"/>
          <w:szCs w:val="22"/>
          <w:lang w:val="en-GB"/>
        </w:rPr>
        <w:t xml:space="preserve"> this definition is limited because is connected to </w:t>
      </w:r>
      <w:r w:rsidR="0048300A">
        <w:rPr>
          <w:rFonts w:ascii="Avenir Next" w:hAnsi="Avenir Next" w:cs="Arial"/>
          <w:color w:val="808080" w:themeColor="background1" w:themeShade="80"/>
          <w:sz w:val="22"/>
          <w:szCs w:val="22"/>
          <w:lang w:val="en-GB"/>
        </w:rPr>
        <w:t xml:space="preserve">the existence of a national legal framework of insolvency law. </w:t>
      </w:r>
      <w:r w:rsidR="00EB5DFE">
        <w:rPr>
          <w:rFonts w:ascii="Avenir Next" w:hAnsi="Avenir Next" w:cs="Arial"/>
          <w:color w:val="808080" w:themeColor="background1" w:themeShade="80"/>
          <w:sz w:val="22"/>
          <w:szCs w:val="22"/>
          <w:lang w:val="en-GB"/>
        </w:rPr>
        <w:t xml:space="preserve">The main issue is </w:t>
      </w:r>
      <w:r w:rsidR="009B4FF6">
        <w:rPr>
          <w:rFonts w:ascii="Avenir Next" w:hAnsi="Avenir Next" w:cs="Arial"/>
          <w:color w:val="808080" w:themeColor="background1" w:themeShade="80"/>
          <w:sz w:val="22"/>
          <w:szCs w:val="22"/>
          <w:lang w:val="en-GB"/>
        </w:rPr>
        <w:t xml:space="preserve">that international insolvency law </w:t>
      </w:r>
      <w:r w:rsidR="00CD0C05">
        <w:rPr>
          <w:rFonts w:ascii="Avenir Next" w:hAnsi="Avenir Next" w:cs="Arial"/>
          <w:color w:val="808080" w:themeColor="background1" w:themeShade="80"/>
          <w:sz w:val="22"/>
          <w:szCs w:val="22"/>
          <w:lang w:val="en-GB"/>
        </w:rPr>
        <w:t>cannot be explained without a reference to national bodies of rules</w:t>
      </w:r>
      <w:r w:rsidR="00D95F9E">
        <w:rPr>
          <w:rFonts w:ascii="Avenir Next" w:hAnsi="Avenir Next" w:cs="Arial"/>
          <w:color w:val="808080" w:themeColor="background1" w:themeShade="80"/>
          <w:sz w:val="22"/>
          <w:szCs w:val="22"/>
          <w:lang w:val="en-GB"/>
        </w:rPr>
        <w:t>, and on this way, is not a</w:t>
      </w:r>
      <w:r w:rsidR="00AF1B83">
        <w:rPr>
          <w:rFonts w:ascii="Avenir Next" w:hAnsi="Avenir Next" w:cs="Arial"/>
          <w:color w:val="808080" w:themeColor="background1" w:themeShade="80"/>
          <w:sz w:val="22"/>
          <w:szCs w:val="22"/>
          <w:lang w:val="en-GB"/>
        </w:rPr>
        <w:t xml:space="preserve"> self-contained definition. </w:t>
      </w:r>
      <w:r w:rsidR="00951896">
        <w:rPr>
          <w:rFonts w:ascii="Avenir Next" w:hAnsi="Avenir Next" w:cs="Arial"/>
          <w:color w:val="808080" w:themeColor="background1" w:themeShade="80"/>
          <w:sz w:val="22"/>
          <w:szCs w:val="22"/>
          <w:lang w:val="en-GB"/>
        </w:rPr>
        <w:t xml:space="preserve">Another definition provided by Fletcher also notes the </w:t>
      </w:r>
      <w:r w:rsidR="00F86F3A">
        <w:rPr>
          <w:rFonts w:ascii="Avenir Next" w:hAnsi="Avenir Next" w:cs="Arial"/>
          <w:color w:val="808080" w:themeColor="background1" w:themeShade="80"/>
          <w:sz w:val="22"/>
          <w:szCs w:val="22"/>
          <w:lang w:val="en-GB"/>
        </w:rPr>
        <w:t xml:space="preserve">foreign elements, </w:t>
      </w:r>
      <w:r w:rsidR="00AA0EFD">
        <w:rPr>
          <w:rFonts w:ascii="Avenir Next" w:hAnsi="Avenir Next" w:cs="Arial"/>
          <w:color w:val="808080" w:themeColor="background1" w:themeShade="80"/>
          <w:sz w:val="22"/>
          <w:szCs w:val="22"/>
          <w:lang w:val="en-GB"/>
        </w:rPr>
        <w:t xml:space="preserve">indicating that the domestic insolvency law provisions cannot be immediately and exclusively applied. </w:t>
      </w:r>
    </w:p>
    <w:p w14:paraId="035C7CDA" w14:textId="77777777" w:rsidR="00E45B2D" w:rsidRDefault="00E45B2D" w:rsidP="00E45B2D">
      <w:pPr>
        <w:ind w:left="720" w:hanging="720"/>
        <w:jc w:val="both"/>
        <w:rPr>
          <w:rFonts w:ascii="Avenir Next" w:hAnsi="Avenir Next" w:cs="Arial"/>
          <w:color w:val="808080" w:themeColor="background1" w:themeShade="80"/>
          <w:sz w:val="22"/>
          <w:szCs w:val="22"/>
          <w:lang w:val="en-GB"/>
        </w:rPr>
      </w:pPr>
    </w:p>
    <w:p w14:paraId="2599BBD7" w14:textId="735988F5" w:rsidR="00E45B2D" w:rsidRDefault="00AC7A62" w:rsidP="00E45B2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characteristic of the international insolvency law </w:t>
      </w:r>
      <w:r w:rsidR="00094A0D">
        <w:rPr>
          <w:rFonts w:ascii="Avenir Next" w:hAnsi="Avenir Next" w:cs="Arial"/>
          <w:color w:val="808080" w:themeColor="background1" w:themeShade="80"/>
          <w:sz w:val="22"/>
          <w:szCs w:val="22"/>
          <w:lang w:val="en-GB"/>
        </w:rPr>
        <w:t>demands for a national insolvency law capable of address</w:t>
      </w:r>
      <w:r w:rsidR="00231939">
        <w:rPr>
          <w:rFonts w:ascii="Avenir Next" w:hAnsi="Avenir Next" w:cs="Arial"/>
          <w:color w:val="808080" w:themeColor="background1" w:themeShade="80"/>
          <w:sz w:val="22"/>
          <w:szCs w:val="22"/>
          <w:lang w:val="en-GB"/>
        </w:rPr>
        <w:t>ing</w:t>
      </w:r>
      <w:r w:rsidR="00094A0D">
        <w:rPr>
          <w:rFonts w:ascii="Avenir Next" w:hAnsi="Avenir Next" w:cs="Arial"/>
          <w:color w:val="808080" w:themeColor="background1" w:themeShade="80"/>
          <w:sz w:val="22"/>
          <w:szCs w:val="22"/>
          <w:lang w:val="en-GB"/>
        </w:rPr>
        <w:t xml:space="preserve"> </w:t>
      </w:r>
      <w:r w:rsidR="00715422">
        <w:rPr>
          <w:rFonts w:ascii="Avenir Next" w:hAnsi="Avenir Next" w:cs="Arial"/>
          <w:color w:val="808080" w:themeColor="background1" w:themeShade="80"/>
          <w:sz w:val="22"/>
          <w:szCs w:val="22"/>
          <w:lang w:val="en-GB"/>
        </w:rPr>
        <w:t>the issues that arise</w:t>
      </w:r>
      <w:r w:rsidR="00231939">
        <w:rPr>
          <w:rFonts w:ascii="Avenir Next" w:hAnsi="Avenir Next" w:cs="Arial"/>
          <w:color w:val="808080" w:themeColor="background1" w:themeShade="80"/>
          <w:sz w:val="22"/>
          <w:szCs w:val="22"/>
          <w:lang w:val="en-GB"/>
        </w:rPr>
        <w:t>s</w:t>
      </w:r>
      <w:r w:rsidR="00715422">
        <w:rPr>
          <w:rFonts w:ascii="Avenir Next" w:hAnsi="Avenir Next" w:cs="Arial"/>
          <w:color w:val="808080" w:themeColor="background1" w:themeShade="80"/>
          <w:sz w:val="22"/>
          <w:szCs w:val="22"/>
          <w:lang w:val="en-GB"/>
        </w:rPr>
        <w:t xml:space="preserve">, </w:t>
      </w:r>
      <w:r w:rsidR="003477AD">
        <w:rPr>
          <w:rFonts w:ascii="Avenir Next" w:hAnsi="Avenir Next" w:cs="Arial"/>
          <w:color w:val="808080" w:themeColor="background1" w:themeShade="80"/>
          <w:sz w:val="22"/>
          <w:szCs w:val="22"/>
          <w:lang w:val="en-GB"/>
        </w:rPr>
        <w:t xml:space="preserve">and that explains the development of supra national insolvency regulations, </w:t>
      </w:r>
      <w:r w:rsidR="000532E3">
        <w:rPr>
          <w:rFonts w:ascii="Avenir Next" w:hAnsi="Avenir Next" w:cs="Arial"/>
          <w:color w:val="808080" w:themeColor="background1" w:themeShade="80"/>
          <w:sz w:val="22"/>
          <w:szCs w:val="22"/>
          <w:lang w:val="en-GB"/>
        </w:rPr>
        <w:t xml:space="preserve">as in the European Union, or the treatment of insolvency issues as a federal matter in the United States. </w:t>
      </w:r>
      <w:r w:rsidR="0071655D">
        <w:rPr>
          <w:rFonts w:ascii="Avenir Next" w:hAnsi="Avenir Next" w:cs="Arial"/>
          <w:color w:val="808080" w:themeColor="background1" w:themeShade="80"/>
          <w:sz w:val="22"/>
          <w:szCs w:val="22"/>
          <w:lang w:val="en-GB"/>
        </w:rPr>
        <w:t xml:space="preserve">Modern times with a globalized world, </w:t>
      </w:r>
      <w:r w:rsidR="001E3A9E">
        <w:rPr>
          <w:rFonts w:ascii="Avenir Next" w:hAnsi="Avenir Next" w:cs="Arial"/>
          <w:color w:val="808080" w:themeColor="background1" w:themeShade="80"/>
          <w:sz w:val="22"/>
          <w:szCs w:val="22"/>
          <w:lang w:val="en-GB"/>
        </w:rPr>
        <w:t xml:space="preserve">globalized trade with multinational companies and an easy flow of goods and people </w:t>
      </w:r>
      <w:r w:rsidR="00351518">
        <w:rPr>
          <w:rFonts w:ascii="Avenir Next" w:hAnsi="Avenir Next" w:cs="Arial"/>
          <w:color w:val="808080" w:themeColor="background1" w:themeShade="80"/>
          <w:sz w:val="22"/>
          <w:szCs w:val="22"/>
          <w:lang w:val="en-GB"/>
        </w:rPr>
        <w:t>demands rule</w:t>
      </w:r>
      <w:r w:rsidR="00AF607E">
        <w:rPr>
          <w:rFonts w:ascii="Avenir Next" w:hAnsi="Avenir Next" w:cs="Arial"/>
          <w:color w:val="808080" w:themeColor="background1" w:themeShade="80"/>
          <w:sz w:val="22"/>
          <w:szCs w:val="22"/>
          <w:lang w:val="en-GB"/>
        </w:rPr>
        <w:t>s</w:t>
      </w:r>
      <w:r w:rsidR="00351518">
        <w:rPr>
          <w:rFonts w:ascii="Avenir Next" w:hAnsi="Avenir Next" w:cs="Arial"/>
          <w:color w:val="808080" w:themeColor="background1" w:themeShade="80"/>
          <w:sz w:val="22"/>
          <w:szCs w:val="22"/>
          <w:lang w:val="en-GB"/>
        </w:rPr>
        <w:t xml:space="preserve"> to coordination and cooperation between the states to address these issues. </w:t>
      </w:r>
    </w:p>
    <w:p w14:paraId="0B32D1A4" w14:textId="77777777" w:rsidR="005C714F" w:rsidRDefault="005C714F" w:rsidP="001E1C34">
      <w:pPr>
        <w:ind w:left="720" w:hanging="720"/>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4FF5CA89" w:rsidR="001E1C34" w:rsidRDefault="00F30B6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w:t>
      </w:r>
      <w:r w:rsidR="00ED3BA6">
        <w:rPr>
          <w:rFonts w:ascii="Avenir Next" w:hAnsi="Avenir Next" w:cs="Arial"/>
          <w:color w:val="808080" w:themeColor="background1" w:themeShade="80"/>
          <w:sz w:val="22"/>
          <w:szCs w:val="22"/>
          <w:lang w:val="en-GB"/>
        </w:rPr>
        <w:t xml:space="preserve">public international law instruments </w:t>
      </w:r>
      <w:r w:rsidR="00582C72">
        <w:rPr>
          <w:rFonts w:ascii="Avenir Next" w:hAnsi="Avenir Next" w:cs="Arial"/>
          <w:color w:val="808080" w:themeColor="background1" w:themeShade="80"/>
          <w:sz w:val="22"/>
          <w:szCs w:val="22"/>
          <w:lang w:val="en-GB"/>
        </w:rPr>
        <w:t xml:space="preserve">that binds the signatory States and affects their domestic law. </w:t>
      </w:r>
      <w:r w:rsidR="0015065C">
        <w:rPr>
          <w:rFonts w:ascii="Avenir Next" w:hAnsi="Avenir Next" w:cs="Arial"/>
          <w:color w:val="808080" w:themeColor="background1" w:themeShade="80"/>
          <w:sz w:val="22"/>
          <w:szCs w:val="22"/>
          <w:lang w:val="en-GB"/>
        </w:rPr>
        <w:t xml:space="preserve">It forms hard law, because they are enforceable in the national courts. </w:t>
      </w:r>
    </w:p>
    <w:p w14:paraId="210071D9" w14:textId="77777777" w:rsidR="001B0A82" w:rsidRDefault="001B0A82" w:rsidP="001E1C34">
      <w:pPr>
        <w:ind w:left="720" w:hanging="720"/>
        <w:jc w:val="both"/>
        <w:rPr>
          <w:rFonts w:ascii="Avenir Next" w:hAnsi="Avenir Next" w:cs="Arial"/>
          <w:color w:val="808080" w:themeColor="background1" w:themeShade="80"/>
          <w:sz w:val="22"/>
          <w:szCs w:val="22"/>
          <w:lang w:val="en-GB"/>
        </w:rPr>
      </w:pPr>
    </w:p>
    <w:p w14:paraId="3E67A4AE" w14:textId="36FDAF65" w:rsidR="001B0A82" w:rsidRDefault="001B0A8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success of a treaty </w:t>
      </w:r>
      <w:r w:rsidR="00242138">
        <w:rPr>
          <w:rFonts w:ascii="Avenir Next" w:hAnsi="Avenir Next" w:cs="Arial"/>
          <w:color w:val="808080" w:themeColor="background1" w:themeShade="80"/>
          <w:sz w:val="22"/>
          <w:szCs w:val="22"/>
          <w:lang w:val="en-GB"/>
        </w:rPr>
        <w:t xml:space="preserve">relies in great part in their grade of adoption by the States. If the treaty or convention is adopted by a limited number of </w:t>
      </w:r>
      <w:r w:rsidR="00AF607E">
        <w:rPr>
          <w:rFonts w:ascii="Avenir Next" w:hAnsi="Avenir Next" w:cs="Arial"/>
          <w:color w:val="808080" w:themeColor="background1" w:themeShade="80"/>
          <w:sz w:val="22"/>
          <w:szCs w:val="22"/>
          <w:lang w:val="en-GB"/>
        </w:rPr>
        <w:t xml:space="preserve">States, </w:t>
      </w:r>
      <w:r w:rsidR="006920BD">
        <w:rPr>
          <w:rFonts w:ascii="Avenir Next" w:hAnsi="Avenir Next" w:cs="Arial"/>
          <w:color w:val="808080" w:themeColor="background1" w:themeShade="80"/>
          <w:sz w:val="22"/>
          <w:szCs w:val="22"/>
          <w:lang w:val="en-GB"/>
        </w:rPr>
        <w:t xml:space="preserve">the effect </w:t>
      </w:r>
      <w:r w:rsidR="00236A95">
        <w:rPr>
          <w:rFonts w:ascii="Avenir Next" w:hAnsi="Avenir Next" w:cs="Arial"/>
          <w:color w:val="808080" w:themeColor="background1" w:themeShade="80"/>
          <w:sz w:val="22"/>
          <w:szCs w:val="22"/>
          <w:lang w:val="en-GB"/>
        </w:rPr>
        <w:t xml:space="preserve">for resolve the issues that </w:t>
      </w:r>
      <w:r w:rsidR="00236A95">
        <w:rPr>
          <w:rFonts w:ascii="Avenir Next" w:hAnsi="Avenir Next" w:cs="Arial"/>
          <w:color w:val="808080" w:themeColor="background1" w:themeShade="80"/>
          <w:sz w:val="22"/>
          <w:szCs w:val="22"/>
          <w:lang w:val="en-GB"/>
        </w:rPr>
        <w:lastRenderedPageBreak/>
        <w:t xml:space="preserve">arise is also limited. </w:t>
      </w:r>
      <w:r w:rsidR="00904B72">
        <w:rPr>
          <w:rFonts w:ascii="Avenir Next" w:hAnsi="Avenir Next" w:cs="Arial"/>
          <w:color w:val="808080" w:themeColor="background1" w:themeShade="80"/>
          <w:sz w:val="22"/>
          <w:szCs w:val="22"/>
          <w:lang w:val="en-GB"/>
        </w:rPr>
        <w:t xml:space="preserve">For example, in 1970 the United States and Canada tried to sign a treaty on insolvency, but failed </w:t>
      </w:r>
      <w:r w:rsidR="00F604E3">
        <w:rPr>
          <w:rFonts w:ascii="Avenir Next" w:hAnsi="Avenir Next" w:cs="Arial"/>
          <w:color w:val="808080" w:themeColor="background1" w:themeShade="80"/>
          <w:sz w:val="22"/>
          <w:szCs w:val="22"/>
          <w:lang w:val="en-GB"/>
        </w:rPr>
        <w:t xml:space="preserve">due to the ambitiousness. </w:t>
      </w:r>
      <w:r w:rsidR="003209F6">
        <w:rPr>
          <w:rFonts w:ascii="Avenir Next" w:hAnsi="Avenir Next" w:cs="Arial"/>
          <w:color w:val="808080" w:themeColor="background1" w:themeShade="80"/>
          <w:sz w:val="22"/>
          <w:szCs w:val="22"/>
          <w:lang w:val="en-GB"/>
        </w:rPr>
        <w:t xml:space="preserve">Successful treaties have at least five countries, </w:t>
      </w:r>
      <w:r w:rsidR="006A1A59">
        <w:rPr>
          <w:rFonts w:ascii="Avenir Next" w:hAnsi="Avenir Next" w:cs="Arial"/>
          <w:color w:val="808080" w:themeColor="background1" w:themeShade="80"/>
          <w:sz w:val="22"/>
          <w:szCs w:val="22"/>
          <w:lang w:val="en-GB"/>
        </w:rPr>
        <w:t xml:space="preserve">as </w:t>
      </w:r>
      <w:r w:rsidR="00A878EE">
        <w:rPr>
          <w:rFonts w:ascii="Avenir Next" w:hAnsi="Avenir Next" w:cs="Arial"/>
          <w:color w:val="808080" w:themeColor="background1" w:themeShade="80"/>
          <w:sz w:val="22"/>
          <w:szCs w:val="22"/>
          <w:lang w:val="en-GB"/>
        </w:rPr>
        <w:t xml:space="preserve">the Nordic Convention of 1933. Other successful treaties that comprehend a significant </w:t>
      </w:r>
      <w:r w:rsidR="00EF1710">
        <w:rPr>
          <w:rFonts w:ascii="Avenir Next" w:hAnsi="Avenir Next" w:cs="Arial"/>
          <w:color w:val="808080" w:themeColor="background1" w:themeShade="80"/>
          <w:sz w:val="22"/>
          <w:szCs w:val="22"/>
          <w:lang w:val="en-GB"/>
        </w:rPr>
        <w:t xml:space="preserve">number of States are the Havana Convention of 1928 that leads to Bustamante Code and the </w:t>
      </w:r>
      <w:r w:rsidR="00213BC6">
        <w:rPr>
          <w:rFonts w:ascii="Avenir Next" w:hAnsi="Avenir Next" w:cs="Arial"/>
          <w:color w:val="808080" w:themeColor="background1" w:themeShade="80"/>
          <w:sz w:val="22"/>
          <w:szCs w:val="22"/>
          <w:lang w:val="en-GB"/>
        </w:rPr>
        <w:t xml:space="preserve">OHADA treaty in 1993. </w:t>
      </w:r>
    </w:p>
    <w:p w14:paraId="4DEE9A7D" w14:textId="77777777" w:rsidR="00E0496F" w:rsidRDefault="00E0496F" w:rsidP="00E0496F">
      <w:pPr>
        <w:jc w:val="both"/>
        <w:rPr>
          <w:rFonts w:ascii="Avenir Next" w:hAnsi="Avenir Next" w:cs="Arial"/>
          <w:color w:val="808080" w:themeColor="background1" w:themeShade="80"/>
          <w:sz w:val="22"/>
          <w:szCs w:val="22"/>
          <w:lang w:val="en-GB"/>
        </w:rPr>
      </w:pPr>
    </w:p>
    <w:p w14:paraId="23BAF970" w14:textId="60F6341D" w:rsidR="00E0496F" w:rsidRPr="00AB63DE" w:rsidRDefault="00E0496F" w:rsidP="00E049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conventions and treaties have the advantage to be hard law and enforceable, I think a most successful approach in modern times is achieved through soft law instruments, </w:t>
      </w:r>
      <w:r w:rsidR="00E409EE">
        <w:rPr>
          <w:rFonts w:ascii="Avenir Next" w:hAnsi="Avenir Next" w:cs="Arial"/>
          <w:color w:val="808080" w:themeColor="background1" w:themeShade="80"/>
          <w:sz w:val="22"/>
          <w:szCs w:val="22"/>
          <w:lang w:val="en-GB"/>
        </w:rPr>
        <w:t>as the UNCITRAL Model Law on Cross-Border Insolvency, not only because it can be incorporated to States internal law and also be enforceable</w:t>
      </w:r>
      <w:r w:rsidR="00535F72">
        <w:rPr>
          <w:rFonts w:ascii="Avenir Next" w:hAnsi="Avenir Next" w:cs="Arial"/>
          <w:color w:val="808080" w:themeColor="background1" w:themeShade="80"/>
          <w:sz w:val="22"/>
          <w:szCs w:val="22"/>
          <w:lang w:val="en-GB"/>
        </w:rPr>
        <w:t xml:space="preserve">, but also for the harmonization effect that the soft law provides. Even states without the </w:t>
      </w:r>
      <w:r w:rsidR="003430DD">
        <w:rPr>
          <w:rFonts w:ascii="Avenir Next" w:hAnsi="Avenir Next" w:cs="Arial"/>
          <w:color w:val="808080" w:themeColor="background1" w:themeShade="80"/>
          <w:sz w:val="22"/>
          <w:szCs w:val="22"/>
          <w:lang w:val="en-GB"/>
        </w:rPr>
        <w:t xml:space="preserve">UMLCBI incorporated have similar provisions in their internal law, </w:t>
      </w:r>
      <w:r w:rsidR="00B57065">
        <w:rPr>
          <w:rFonts w:ascii="Avenir Next" w:hAnsi="Avenir Next" w:cs="Arial"/>
          <w:color w:val="808080" w:themeColor="background1" w:themeShade="80"/>
          <w:sz w:val="22"/>
          <w:szCs w:val="22"/>
          <w:lang w:val="en-GB"/>
        </w:rPr>
        <w:t>so we can say these states are “UMLCBI-like”.</w:t>
      </w:r>
      <w:r w:rsidR="002E5963">
        <w:rPr>
          <w:rStyle w:val="Refdenotaalpie"/>
          <w:rFonts w:ascii="Avenir Next" w:hAnsi="Avenir Next" w:cs="Arial"/>
          <w:color w:val="808080" w:themeColor="background1" w:themeShade="80"/>
          <w:sz w:val="22"/>
          <w:szCs w:val="22"/>
          <w:lang w:val="en-GB"/>
        </w:rPr>
        <w:footnoteReference w:id="1"/>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6C3C016C" w:rsidR="001E1C34" w:rsidRPr="00AB63DE" w:rsidRDefault="0082285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most cases, the formal insolvency proceedings are held before a court</w:t>
      </w:r>
      <w:r w:rsidR="00FE10B1">
        <w:rPr>
          <w:rFonts w:ascii="Avenir Next" w:hAnsi="Avenir Next" w:cs="Arial"/>
          <w:color w:val="808080" w:themeColor="background1" w:themeShade="80"/>
          <w:sz w:val="22"/>
          <w:szCs w:val="22"/>
          <w:lang w:val="en-GB"/>
        </w:rPr>
        <w:t xml:space="preserve"> and are governed by law</w:t>
      </w:r>
      <w:r>
        <w:rPr>
          <w:rFonts w:ascii="Avenir Next" w:hAnsi="Avenir Next" w:cs="Arial"/>
          <w:color w:val="808080" w:themeColor="background1" w:themeShade="80"/>
          <w:sz w:val="22"/>
          <w:szCs w:val="22"/>
          <w:lang w:val="en-GB"/>
        </w:rPr>
        <w:t xml:space="preserve">. An informal insolvency arrangement of agreement </w:t>
      </w:r>
      <w:r w:rsidR="00394D0E">
        <w:rPr>
          <w:rFonts w:ascii="Avenir Next" w:hAnsi="Avenir Next" w:cs="Arial"/>
          <w:color w:val="808080" w:themeColor="background1" w:themeShade="80"/>
          <w:sz w:val="22"/>
          <w:szCs w:val="22"/>
          <w:lang w:val="en-GB"/>
        </w:rPr>
        <w:t xml:space="preserve">doesn’t need the involvement of the courts, at least in </w:t>
      </w:r>
      <w:r w:rsidR="00074670">
        <w:rPr>
          <w:rFonts w:ascii="Avenir Next" w:hAnsi="Avenir Next" w:cs="Arial"/>
          <w:color w:val="808080" w:themeColor="background1" w:themeShade="80"/>
          <w:sz w:val="22"/>
          <w:szCs w:val="22"/>
          <w:lang w:val="en-GB"/>
        </w:rPr>
        <w:t xml:space="preserve">first stages. </w:t>
      </w:r>
      <w:r w:rsidR="003F5569">
        <w:rPr>
          <w:rFonts w:ascii="Avenir Next" w:hAnsi="Avenir Next" w:cs="Arial"/>
          <w:color w:val="808080" w:themeColor="background1" w:themeShade="80"/>
          <w:sz w:val="22"/>
          <w:szCs w:val="22"/>
          <w:lang w:val="en-GB"/>
        </w:rPr>
        <w:t xml:space="preserve">As the informal agreements are private, </w:t>
      </w:r>
      <w:r w:rsidR="00246738">
        <w:rPr>
          <w:rFonts w:ascii="Avenir Next" w:hAnsi="Avenir Next" w:cs="Arial"/>
          <w:color w:val="808080" w:themeColor="background1" w:themeShade="80"/>
          <w:sz w:val="22"/>
          <w:szCs w:val="22"/>
          <w:lang w:val="en-GB"/>
        </w:rPr>
        <w:t xml:space="preserve">this give more freedom to the negotiations to restructuring debts. </w:t>
      </w:r>
      <w:r w:rsidR="008C60B0">
        <w:rPr>
          <w:rFonts w:ascii="Avenir Next" w:hAnsi="Avenir Next" w:cs="Arial"/>
          <w:color w:val="808080" w:themeColor="background1" w:themeShade="80"/>
          <w:sz w:val="22"/>
          <w:szCs w:val="22"/>
          <w:lang w:val="en-GB"/>
        </w:rPr>
        <w:t>So, an advantage of formal proceeding is the support</w:t>
      </w:r>
      <w:r w:rsidR="00FA5F3D">
        <w:rPr>
          <w:rFonts w:ascii="Avenir Next" w:hAnsi="Avenir Next" w:cs="Arial"/>
          <w:color w:val="808080" w:themeColor="background1" w:themeShade="80"/>
          <w:sz w:val="22"/>
          <w:szCs w:val="22"/>
          <w:lang w:val="en-GB"/>
        </w:rPr>
        <w:t xml:space="preserve"> from the court and binding to formal rules, </w:t>
      </w:r>
      <w:r w:rsidR="00725094">
        <w:rPr>
          <w:rFonts w:ascii="Avenir Next" w:hAnsi="Avenir Next" w:cs="Arial"/>
          <w:color w:val="808080" w:themeColor="background1" w:themeShade="80"/>
          <w:sz w:val="22"/>
          <w:szCs w:val="22"/>
          <w:lang w:val="en-GB"/>
        </w:rPr>
        <w:t>that guarantees a result. In case of informal proceeding, the advantage is the freedom</w:t>
      </w:r>
      <w:r w:rsidR="006E24EA">
        <w:rPr>
          <w:rFonts w:ascii="Avenir Next" w:hAnsi="Avenir Next" w:cs="Arial"/>
          <w:color w:val="808080" w:themeColor="background1" w:themeShade="80"/>
          <w:sz w:val="22"/>
          <w:szCs w:val="22"/>
          <w:lang w:val="en-GB"/>
        </w:rPr>
        <w:t xml:space="preserve"> that is given to the parties. As disadvantages, I can </w:t>
      </w:r>
      <w:r w:rsidR="00E55DDB">
        <w:rPr>
          <w:rFonts w:ascii="Avenir Next" w:hAnsi="Avenir Next" w:cs="Arial"/>
          <w:color w:val="808080" w:themeColor="background1" w:themeShade="80"/>
          <w:sz w:val="22"/>
          <w:szCs w:val="22"/>
          <w:lang w:val="en-GB"/>
        </w:rPr>
        <w:t xml:space="preserve">name the more </w:t>
      </w:r>
      <w:r w:rsidR="00DB04C4">
        <w:rPr>
          <w:rFonts w:ascii="Avenir Next" w:hAnsi="Avenir Next" w:cs="Arial"/>
          <w:color w:val="808080" w:themeColor="background1" w:themeShade="80"/>
          <w:sz w:val="22"/>
          <w:szCs w:val="22"/>
          <w:lang w:val="en-GB"/>
        </w:rPr>
        <w:t xml:space="preserve">bounded time in formal proceedings and more demanding requisites or pre-requisites to opt for these formal proceedings. </w:t>
      </w:r>
      <w:r w:rsidR="0011770F">
        <w:rPr>
          <w:rFonts w:ascii="Avenir Next" w:hAnsi="Avenir Next" w:cs="Arial"/>
          <w:color w:val="808080" w:themeColor="background1" w:themeShade="80"/>
          <w:sz w:val="22"/>
          <w:szCs w:val="22"/>
          <w:lang w:val="en-GB"/>
        </w:rPr>
        <w:t xml:space="preserve">In the case of informal proceedings, a disadvantage is the agreement could be </w:t>
      </w:r>
      <w:r w:rsidR="00A717FB">
        <w:rPr>
          <w:rFonts w:ascii="Avenir Next" w:hAnsi="Avenir Next" w:cs="Arial"/>
          <w:color w:val="808080" w:themeColor="background1" w:themeShade="80"/>
          <w:sz w:val="22"/>
          <w:szCs w:val="22"/>
          <w:lang w:val="en-GB"/>
        </w:rPr>
        <w:t xml:space="preserve">broken without consequences to the </w:t>
      </w:r>
      <w:r w:rsidR="0084271B">
        <w:rPr>
          <w:rFonts w:ascii="Avenir Next" w:hAnsi="Avenir Next" w:cs="Arial"/>
          <w:color w:val="808080" w:themeColor="background1" w:themeShade="80"/>
          <w:sz w:val="22"/>
          <w:szCs w:val="22"/>
          <w:lang w:val="en-GB"/>
        </w:rPr>
        <w:t xml:space="preserve">defaulting parties. Also, the agreement could not be enforceable.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150F26E" w:rsidR="001E1C34" w:rsidRPr="00AB63DE" w:rsidRDefault="00C76EE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difficulty is that the proceeding is opened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but the main offices and 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w:t>
      </w:r>
      <w:r w:rsidR="00BF5235">
        <w:rPr>
          <w:rFonts w:ascii="Avenir Next" w:hAnsi="Avenir Next" w:cs="Arial"/>
          <w:color w:val="808080" w:themeColor="background1" w:themeShade="80"/>
          <w:sz w:val="22"/>
          <w:szCs w:val="22"/>
          <w:lang w:val="en-GB"/>
        </w:rPr>
        <w:t xml:space="preserve"> </w:t>
      </w:r>
      <w:r w:rsidR="00CD3D87">
        <w:rPr>
          <w:rFonts w:ascii="Avenir Next" w:hAnsi="Avenir Next" w:cs="Arial"/>
          <w:color w:val="808080" w:themeColor="background1" w:themeShade="80"/>
          <w:sz w:val="22"/>
          <w:szCs w:val="22"/>
          <w:lang w:val="en-GB"/>
        </w:rPr>
        <w:t xml:space="preserve">are located in Encanto. </w:t>
      </w:r>
      <w:r w:rsidR="00EB2D57">
        <w:rPr>
          <w:rFonts w:ascii="Avenir Next" w:hAnsi="Avenir Next" w:cs="Arial"/>
          <w:color w:val="808080" w:themeColor="background1" w:themeShade="80"/>
          <w:sz w:val="22"/>
          <w:szCs w:val="22"/>
          <w:lang w:val="en-GB"/>
        </w:rPr>
        <w:t xml:space="preserve">So, the main insolvency proceeding, if we use the terminology of the UNCITRAL Model Law, </w:t>
      </w:r>
      <w:r w:rsidR="00B6098E">
        <w:rPr>
          <w:rFonts w:ascii="Avenir Next" w:hAnsi="Avenir Next" w:cs="Arial"/>
          <w:color w:val="808080" w:themeColor="background1" w:themeShade="80"/>
          <w:sz w:val="22"/>
          <w:szCs w:val="22"/>
          <w:lang w:val="en-GB"/>
        </w:rPr>
        <w:t xml:space="preserve">is the proceeding located in Encanto. </w:t>
      </w:r>
      <w:r w:rsidR="00812680">
        <w:rPr>
          <w:rFonts w:ascii="Avenir Next" w:hAnsi="Avenir Next" w:cs="Arial"/>
          <w:color w:val="808080" w:themeColor="background1" w:themeShade="80"/>
          <w:sz w:val="22"/>
          <w:szCs w:val="22"/>
          <w:lang w:val="en-GB"/>
        </w:rPr>
        <w:t xml:space="preserve">For an </w:t>
      </w:r>
      <w:r w:rsidR="003B0688">
        <w:rPr>
          <w:rFonts w:ascii="Avenir Next" w:hAnsi="Avenir Next" w:cs="Arial"/>
          <w:color w:val="808080" w:themeColor="background1" w:themeShade="80"/>
          <w:sz w:val="22"/>
          <w:szCs w:val="22"/>
          <w:lang w:val="en-GB"/>
        </w:rPr>
        <w:t xml:space="preserve">effective insolvency management is necessary </w:t>
      </w:r>
      <w:r w:rsidR="00184144">
        <w:rPr>
          <w:rFonts w:ascii="Avenir Next" w:hAnsi="Avenir Next" w:cs="Arial"/>
          <w:color w:val="808080" w:themeColor="background1" w:themeShade="80"/>
          <w:sz w:val="22"/>
          <w:szCs w:val="22"/>
          <w:lang w:val="en-GB"/>
        </w:rPr>
        <w:t xml:space="preserve">a coordination between </w:t>
      </w:r>
      <w:r w:rsidR="00775340">
        <w:rPr>
          <w:rFonts w:ascii="Avenir Next" w:hAnsi="Avenir Next" w:cs="Arial"/>
          <w:color w:val="808080" w:themeColor="background1" w:themeShade="80"/>
          <w:sz w:val="22"/>
          <w:szCs w:val="22"/>
          <w:lang w:val="en-GB"/>
        </w:rPr>
        <w:t xml:space="preserve">both proceedings. </w:t>
      </w:r>
      <w:r w:rsidR="00DD62F1">
        <w:rPr>
          <w:rFonts w:ascii="Avenir Next" w:hAnsi="Avenir Next" w:cs="Arial"/>
          <w:color w:val="808080" w:themeColor="background1" w:themeShade="80"/>
          <w:sz w:val="22"/>
          <w:szCs w:val="22"/>
          <w:lang w:val="en-GB"/>
        </w:rPr>
        <w:t>If</w:t>
      </w:r>
      <w:r w:rsidR="00277C1A">
        <w:rPr>
          <w:rFonts w:ascii="Avenir Next" w:hAnsi="Avenir Next" w:cs="Arial"/>
          <w:color w:val="808080" w:themeColor="background1" w:themeShade="80"/>
          <w:sz w:val="22"/>
          <w:szCs w:val="22"/>
          <w:lang w:val="en-GB"/>
        </w:rPr>
        <w:t xml:space="preserve"> a treaty, protocol or other instrument between </w:t>
      </w:r>
      <w:proofErr w:type="spellStart"/>
      <w:r w:rsidR="00277C1A">
        <w:rPr>
          <w:rFonts w:ascii="Avenir Next" w:hAnsi="Avenir Next" w:cs="Arial"/>
          <w:color w:val="808080" w:themeColor="background1" w:themeShade="80"/>
          <w:sz w:val="22"/>
          <w:szCs w:val="22"/>
          <w:lang w:val="en-GB"/>
        </w:rPr>
        <w:t>Asgard</w:t>
      </w:r>
      <w:proofErr w:type="spellEnd"/>
      <w:r w:rsidR="00277C1A">
        <w:rPr>
          <w:rFonts w:ascii="Avenir Next" w:hAnsi="Avenir Next" w:cs="Arial"/>
          <w:color w:val="808080" w:themeColor="background1" w:themeShade="80"/>
          <w:sz w:val="22"/>
          <w:szCs w:val="22"/>
          <w:lang w:val="en-GB"/>
        </w:rPr>
        <w:t xml:space="preserve"> and Encanto doesn’t exist, </w:t>
      </w:r>
      <w:r w:rsidR="004A1C71">
        <w:rPr>
          <w:rFonts w:ascii="Avenir Next" w:hAnsi="Avenir Next" w:cs="Arial"/>
          <w:color w:val="808080" w:themeColor="background1" w:themeShade="80"/>
          <w:sz w:val="22"/>
          <w:szCs w:val="22"/>
          <w:lang w:val="en-GB"/>
        </w:rPr>
        <w:t>the coordination would be very difficult</w:t>
      </w:r>
      <w:r w:rsidR="00F75F58">
        <w:rPr>
          <w:rFonts w:ascii="Avenir Next" w:hAnsi="Avenir Next" w:cs="Arial"/>
          <w:color w:val="808080" w:themeColor="background1" w:themeShade="80"/>
          <w:sz w:val="22"/>
          <w:szCs w:val="22"/>
          <w:lang w:val="en-GB"/>
        </w:rPr>
        <w:t xml:space="preserve">, because the recognition of the foreign proceeding in each country </w:t>
      </w:r>
      <w:r w:rsidR="00896860">
        <w:rPr>
          <w:rFonts w:ascii="Avenir Next" w:hAnsi="Avenir Next" w:cs="Arial"/>
          <w:color w:val="808080" w:themeColor="background1" w:themeShade="80"/>
          <w:sz w:val="22"/>
          <w:szCs w:val="22"/>
          <w:lang w:val="en-GB"/>
        </w:rPr>
        <w:t>would be through the general rules, and in most cases th</w:t>
      </w:r>
      <w:r w:rsidR="00244533">
        <w:rPr>
          <w:rFonts w:ascii="Avenir Next" w:hAnsi="Avenir Next" w:cs="Arial"/>
          <w:color w:val="808080" w:themeColor="background1" w:themeShade="80"/>
          <w:sz w:val="22"/>
          <w:szCs w:val="22"/>
          <w:lang w:val="en-GB"/>
        </w:rPr>
        <w:t>ese</w:t>
      </w:r>
      <w:r w:rsidR="00896860">
        <w:rPr>
          <w:rFonts w:ascii="Avenir Next" w:hAnsi="Avenir Next" w:cs="Arial"/>
          <w:color w:val="808080" w:themeColor="background1" w:themeShade="80"/>
          <w:sz w:val="22"/>
          <w:szCs w:val="22"/>
          <w:lang w:val="en-GB"/>
        </w:rPr>
        <w:t xml:space="preserve"> rules are </w:t>
      </w:r>
      <w:r w:rsidR="00EB69F5">
        <w:rPr>
          <w:rFonts w:ascii="Avenir Next" w:hAnsi="Avenir Next" w:cs="Arial"/>
          <w:color w:val="808080" w:themeColor="background1" w:themeShade="80"/>
          <w:sz w:val="22"/>
          <w:szCs w:val="22"/>
          <w:lang w:val="en-GB"/>
        </w:rPr>
        <w:t>bureaucratic</w:t>
      </w:r>
      <w:r w:rsidR="00896860">
        <w:rPr>
          <w:rFonts w:ascii="Avenir Next" w:hAnsi="Avenir Next" w:cs="Arial"/>
          <w:color w:val="808080" w:themeColor="background1" w:themeShade="80"/>
          <w:sz w:val="22"/>
          <w:szCs w:val="22"/>
          <w:lang w:val="en-GB"/>
        </w:rPr>
        <w:t xml:space="preserve"> a</w:t>
      </w:r>
      <w:r w:rsidR="00EB69F5">
        <w:rPr>
          <w:rFonts w:ascii="Avenir Next" w:hAnsi="Avenir Next" w:cs="Arial"/>
          <w:color w:val="808080" w:themeColor="background1" w:themeShade="80"/>
          <w:sz w:val="22"/>
          <w:szCs w:val="22"/>
          <w:lang w:val="en-GB"/>
        </w:rPr>
        <w:t>nd time-consuming.</w:t>
      </w:r>
      <w:r w:rsidR="0031323E">
        <w:rPr>
          <w:rFonts w:ascii="Avenir Next" w:hAnsi="Avenir Next" w:cs="Arial"/>
          <w:color w:val="808080" w:themeColor="background1" w:themeShade="80"/>
          <w:sz w:val="22"/>
          <w:szCs w:val="22"/>
          <w:lang w:val="en-GB"/>
        </w:rPr>
        <w:t xml:space="preserve"> The ideal scenario would be that both </w:t>
      </w:r>
      <w:r w:rsidR="00625790">
        <w:rPr>
          <w:rFonts w:ascii="Avenir Next" w:hAnsi="Avenir Next" w:cs="Arial"/>
          <w:color w:val="808080" w:themeColor="background1" w:themeShade="80"/>
          <w:sz w:val="22"/>
          <w:szCs w:val="22"/>
          <w:lang w:val="en-GB"/>
        </w:rPr>
        <w:t xml:space="preserve">States </w:t>
      </w:r>
      <w:r w:rsidR="00372FBC">
        <w:rPr>
          <w:rFonts w:ascii="Avenir Next" w:hAnsi="Avenir Next" w:cs="Arial"/>
          <w:color w:val="808080" w:themeColor="background1" w:themeShade="80"/>
          <w:sz w:val="22"/>
          <w:szCs w:val="22"/>
          <w:lang w:val="en-GB"/>
        </w:rPr>
        <w:t>have incorporated the UNCITRAL Model Law, as is a body of rules that c</w:t>
      </w:r>
      <w:r w:rsidR="002F4860">
        <w:rPr>
          <w:rFonts w:ascii="Avenir Next" w:hAnsi="Avenir Next" w:cs="Arial"/>
          <w:color w:val="808080" w:themeColor="background1" w:themeShade="80"/>
          <w:sz w:val="22"/>
          <w:szCs w:val="22"/>
          <w:lang w:val="en-GB"/>
        </w:rPr>
        <w:t>overs</w:t>
      </w:r>
      <w:r w:rsidR="00372FBC">
        <w:rPr>
          <w:rFonts w:ascii="Avenir Next" w:hAnsi="Avenir Next" w:cs="Arial"/>
          <w:color w:val="808080" w:themeColor="background1" w:themeShade="80"/>
          <w:sz w:val="22"/>
          <w:szCs w:val="22"/>
          <w:lang w:val="en-GB"/>
        </w:rPr>
        <w:t xml:space="preserve"> both recognition of a foreign proceeding and the </w:t>
      </w:r>
      <w:r w:rsidR="00467D4F">
        <w:rPr>
          <w:rFonts w:ascii="Avenir Next" w:hAnsi="Avenir Next" w:cs="Arial"/>
          <w:color w:val="808080" w:themeColor="background1" w:themeShade="80"/>
          <w:sz w:val="22"/>
          <w:szCs w:val="22"/>
          <w:lang w:val="en-GB"/>
        </w:rPr>
        <w:t xml:space="preserve">cooperation and coordination of the courts and the insolvency representatives. </w:t>
      </w:r>
      <w:r w:rsidR="00C96861">
        <w:rPr>
          <w:rFonts w:ascii="Avenir Next" w:hAnsi="Avenir Next" w:cs="Arial"/>
          <w:color w:val="808080" w:themeColor="background1" w:themeShade="80"/>
          <w:sz w:val="22"/>
          <w:szCs w:val="22"/>
          <w:lang w:val="en-GB"/>
        </w:rPr>
        <w:t xml:space="preserve">Another solution </w:t>
      </w:r>
      <w:r w:rsidR="002A0102">
        <w:rPr>
          <w:rFonts w:ascii="Avenir Next" w:hAnsi="Avenir Next" w:cs="Arial"/>
          <w:color w:val="808080" w:themeColor="background1" w:themeShade="80"/>
          <w:sz w:val="22"/>
          <w:szCs w:val="22"/>
          <w:lang w:val="en-GB"/>
        </w:rPr>
        <w:t xml:space="preserve">is a protocol of coordination and cooperation between the two proceedings, using, for example, the </w:t>
      </w:r>
      <w:r w:rsidR="002B6AAF">
        <w:rPr>
          <w:rFonts w:ascii="Avenir Next" w:hAnsi="Avenir Next" w:cs="Arial"/>
          <w:color w:val="808080" w:themeColor="background1" w:themeShade="80"/>
          <w:sz w:val="22"/>
          <w:szCs w:val="22"/>
          <w:lang w:val="en-GB"/>
        </w:rPr>
        <w:t xml:space="preserve">ABA or the JIN Guidelines on cooperation and coordination.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38CDEC5" w:rsidR="001E1C34" w:rsidRPr="00AB63DE" w:rsidRDefault="001E101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the</w:t>
      </w:r>
      <w:r w:rsidR="00124D45">
        <w:rPr>
          <w:rFonts w:ascii="Avenir Next" w:hAnsi="Avenir Next" w:cs="Arial"/>
          <w:color w:val="808080" w:themeColor="background1" w:themeShade="80"/>
          <w:sz w:val="22"/>
          <w:szCs w:val="22"/>
          <w:lang w:val="en-GB"/>
        </w:rPr>
        <w:t xml:space="preserve"> opening date of the UK proceeding, the EIR recast doesn’t apply. </w:t>
      </w:r>
      <w:r w:rsidR="00903250">
        <w:rPr>
          <w:rFonts w:ascii="Avenir Next" w:hAnsi="Avenir Next" w:cs="Arial"/>
          <w:color w:val="808080" w:themeColor="background1" w:themeShade="80"/>
          <w:sz w:val="22"/>
          <w:szCs w:val="22"/>
          <w:lang w:val="en-GB"/>
        </w:rPr>
        <w:t xml:space="preserve">Considering that, we need to know </w:t>
      </w:r>
      <w:r w:rsidR="00E934B5">
        <w:rPr>
          <w:rFonts w:ascii="Avenir Next" w:hAnsi="Avenir Next" w:cs="Arial"/>
          <w:color w:val="808080" w:themeColor="background1" w:themeShade="80"/>
          <w:sz w:val="22"/>
          <w:szCs w:val="22"/>
          <w:lang w:val="en-GB"/>
        </w:rPr>
        <w:t xml:space="preserve">in which country Lobo is incorporated and in which country is </w:t>
      </w:r>
      <w:r w:rsidR="00C550B1">
        <w:rPr>
          <w:rFonts w:ascii="Avenir Next" w:hAnsi="Avenir Next" w:cs="Arial"/>
          <w:color w:val="808080" w:themeColor="background1" w:themeShade="80"/>
          <w:sz w:val="22"/>
          <w:szCs w:val="22"/>
          <w:lang w:val="en-GB"/>
        </w:rPr>
        <w:t xml:space="preserve">considering to </w:t>
      </w:r>
      <w:r w:rsidR="000641E0">
        <w:rPr>
          <w:rFonts w:ascii="Avenir Next" w:hAnsi="Avenir Next" w:cs="Arial"/>
          <w:color w:val="808080" w:themeColor="background1" w:themeShade="80"/>
          <w:sz w:val="22"/>
          <w:szCs w:val="22"/>
          <w:lang w:val="en-GB"/>
        </w:rPr>
        <w:t>open</w:t>
      </w:r>
      <w:r w:rsidR="00760DA1">
        <w:rPr>
          <w:rFonts w:ascii="Avenir Next" w:hAnsi="Avenir Next" w:cs="Arial"/>
          <w:color w:val="808080" w:themeColor="background1" w:themeShade="80"/>
          <w:sz w:val="22"/>
          <w:szCs w:val="22"/>
          <w:lang w:val="en-GB"/>
        </w:rPr>
        <w:t xml:space="preserve"> proceedings, to see what internal law would apply and if there some treaty, conventions o</w:t>
      </w:r>
      <w:r w:rsidR="006A26E2">
        <w:rPr>
          <w:rFonts w:ascii="Avenir Next" w:hAnsi="Avenir Next" w:cs="Arial"/>
          <w:color w:val="808080" w:themeColor="background1" w:themeShade="80"/>
          <w:sz w:val="22"/>
          <w:szCs w:val="22"/>
          <w:lang w:val="en-GB"/>
        </w:rPr>
        <w:t>r soft law that can be applied. The United Kingdom have incorporated the UNCITRAL Model Law</w:t>
      </w:r>
      <w:r w:rsidR="003321F0">
        <w:rPr>
          <w:rFonts w:ascii="Avenir Next" w:hAnsi="Avenir Next" w:cs="Arial"/>
          <w:color w:val="808080" w:themeColor="background1" w:themeShade="80"/>
          <w:sz w:val="22"/>
          <w:szCs w:val="22"/>
          <w:lang w:val="en-GB"/>
        </w:rPr>
        <w:t xml:space="preserve">, so this is an advantage in advance to seek the recognition of proceedings and to guide the cooperation and coordination between the courts. </w:t>
      </w:r>
      <w:r w:rsidR="00E77AF9">
        <w:rPr>
          <w:rFonts w:ascii="Avenir Next" w:hAnsi="Avenir Next" w:cs="Arial"/>
          <w:color w:val="808080" w:themeColor="background1" w:themeShade="80"/>
          <w:sz w:val="22"/>
          <w:szCs w:val="22"/>
          <w:lang w:val="en-GB"/>
        </w:rPr>
        <w:t xml:space="preserve">Also, as Lobo is incorporated in </w:t>
      </w:r>
      <w:r w:rsidR="00225CC2">
        <w:rPr>
          <w:rFonts w:ascii="Avenir Next" w:hAnsi="Avenir Next" w:cs="Arial"/>
          <w:color w:val="808080" w:themeColor="background1" w:themeShade="80"/>
          <w:sz w:val="22"/>
          <w:szCs w:val="22"/>
          <w:lang w:val="en-GB"/>
        </w:rPr>
        <w:t>Europe, it can appear</w:t>
      </w:r>
      <w:r w:rsidR="00E5447E">
        <w:rPr>
          <w:rFonts w:ascii="Avenir Next" w:hAnsi="Avenir Next" w:cs="Arial"/>
          <w:color w:val="808080" w:themeColor="background1" w:themeShade="80"/>
          <w:sz w:val="22"/>
          <w:szCs w:val="22"/>
          <w:lang w:val="en-GB"/>
        </w:rPr>
        <w:t xml:space="preserve"> on an insolvency proceeding opening in EU under the rules of the EIR Recast.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0218" w14:textId="77777777" w:rsidR="001F0462" w:rsidRDefault="001F0462" w:rsidP="00241B44">
      <w:r>
        <w:separator/>
      </w:r>
    </w:p>
  </w:endnote>
  <w:endnote w:type="continuationSeparator" w:id="0">
    <w:p w14:paraId="1617B5D2" w14:textId="77777777" w:rsidR="001F0462" w:rsidRDefault="001F04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79E16B7C" w:rsidR="00B64A85" w:rsidRPr="00297BDF" w:rsidRDefault="008A0C95" w:rsidP="0052732A">
    <w:pPr>
      <w:pStyle w:val="Piedepgina"/>
      <w:ind w:right="360"/>
      <w:rPr>
        <w:rFonts w:ascii="Avenir Next" w:hAnsi="Avenir Next" w:cs="Arial"/>
        <w:sz w:val="22"/>
        <w:szCs w:val="22"/>
      </w:rPr>
    </w:pPr>
    <w:r w:rsidRPr="008A0C95">
      <w:rPr>
        <w:rFonts w:ascii="Avenir Next" w:hAnsi="Avenir Next" w:cs="Arial"/>
        <w:sz w:val="22"/>
        <w:szCs w:val="22"/>
      </w:rPr>
      <w:t>202223-772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13CF" w14:textId="77777777" w:rsidR="001F0462" w:rsidRDefault="001F0462" w:rsidP="00241B44">
      <w:r>
        <w:separator/>
      </w:r>
    </w:p>
  </w:footnote>
  <w:footnote w:type="continuationSeparator" w:id="0">
    <w:p w14:paraId="4E940438" w14:textId="77777777" w:rsidR="001F0462" w:rsidRDefault="001F0462" w:rsidP="00241B44">
      <w:r>
        <w:continuationSeparator/>
      </w:r>
    </w:p>
  </w:footnote>
  <w:footnote w:id="1">
    <w:p w14:paraId="603A13C0" w14:textId="590965C2" w:rsidR="002E5963" w:rsidRPr="00782B7A" w:rsidRDefault="002E5963">
      <w:pPr>
        <w:pStyle w:val="Textonotapie"/>
      </w:pPr>
      <w:r>
        <w:rPr>
          <w:rStyle w:val="Refdenotaalpie"/>
        </w:rPr>
        <w:footnoteRef/>
      </w:r>
      <w:r>
        <w:t xml:space="preserve"> </w:t>
      </w:r>
      <w:r w:rsidRPr="00782B7A">
        <w:t xml:space="preserve">See, for example, </w:t>
      </w:r>
      <w:r w:rsidR="00782B7A" w:rsidRPr="00782B7A">
        <w:t>article 742 of t</w:t>
      </w:r>
      <w:r w:rsidR="00782B7A">
        <w:t xml:space="preserve">he Spanish Insolvency Law. Although Spain </w:t>
      </w:r>
      <w:r w:rsidR="003E3188">
        <w:t xml:space="preserve">has not incorporated the Model Law, the </w:t>
      </w:r>
      <w:r w:rsidR="0022475C">
        <w:t xml:space="preserve">redaction is similar to </w:t>
      </w:r>
      <w:r w:rsidR="00F926C1">
        <w:t xml:space="preserve">Chapter III of the Model 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398074">
    <w:abstractNumId w:val="18"/>
  </w:num>
  <w:num w:numId="2" w16cid:durableId="862091605">
    <w:abstractNumId w:val="22"/>
  </w:num>
  <w:num w:numId="3" w16cid:durableId="250704921">
    <w:abstractNumId w:val="2"/>
  </w:num>
  <w:num w:numId="4" w16cid:durableId="997073919">
    <w:abstractNumId w:val="3"/>
  </w:num>
  <w:num w:numId="5" w16cid:durableId="1111585615">
    <w:abstractNumId w:val="14"/>
  </w:num>
  <w:num w:numId="6" w16cid:durableId="1101728941">
    <w:abstractNumId w:val="19"/>
  </w:num>
  <w:num w:numId="7" w16cid:durableId="357707633">
    <w:abstractNumId w:val="8"/>
  </w:num>
  <w:num w:numId="8" w16cid:durableId="38939135">
    <w:abstractNumId w:val="23"/>
  </w:num>
  <w:num w:numId="9" w16cid:durableId="153881195">
    <w:abstractNumId w:val="7"/>
  </w:num>
  <w:num w:numId="10" w16cid:durableId="532183936">
    <w:abstractNumId w:val="20"/>
  </w:num>
  <w:num w:numId="11" w16cid:durableId="753549299">
    <w:abstractNumId w:val="6"/>
  </w:num>
  <w:num w:numId="12" w16cid:durableId="1820419652">
    <w:abstractNumId w:val="21"/>
  </w:num>
  <w:num w:numId="13" w16cid:durableId="1308900833">
    <w:abstractNumId w:val="13"/>
  </w:num>
  <w:num w:numId="14" w16cid:durableId="675422118">
    <w:abstractNumId w:val="12"/>
  </w:num>
  <w:num w:numId="15" w16cid:durableId="417675064">
    <w:abstractNumId w:val="4"/>
  </w:num>
  <w:num w:numId="16" w16cid:durableId="58095500">
    <w:abstractNumId w:val="15"/>
  </w:num>
  <w:num w:numId="17" w16cid:durableId="1242714161">
    <w:abstractNumId w:val="10"/>
  </w:num>
  <w:num w:numId="18" w16cid:durableId="1646736972">
    <w:abstractNumId w:val="11"/>
  </w:num>
  <w:num w:numId="19" w16cid:durableId="285963757">
    <w:abstractNumId w:val="17"/>
  </w:num>
  <w:num w:numId="20" w16cid:durableId="927497413">
    <w:abstractNumId w:val="5"/>
  </w:num>
  <w:num w:numId="21" w16cid:durableId="1881818444">
    <w:abstractNumId w:val="9"/>
  </w:num>
  <w:num w:numId="22" w16cid:durableId="1970474191">
    <w:abstractNumId w:val="0"/>
  </w:num>
  <w:num w:numId="23" w16cid:durableId="1552842072">
    <w:abstractNumId w:val="16"/>
  </w:num>
  <w:num w:numId="24" w16cid:durableId="34721670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CL"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29"/>
    <w:rsid w:val="000009F5"/>
    <w:rsid w:val="00003D8F"/>
    <w:rsid w:val="0000420A"/>
    <w:rsid w:val="00004AE7"/>
    <w:rsid w:val="00007968"/>
    <w:rsid w:val="00010BA0"/>
    <w:rsid w:val="00015EE6"/>
    <w:rsid w:val="0001729A"/>
    <w:rsid w:val="00020557"/>
    <w:rsid w:val="0002322B"/>
    <w:rsid w:val="000250C7"/>
    <w:rsid w:val="00025C83"/>
    <w:rsid w:val="00031918"/>
    <w:rsid w:val="000329A6"/>
    <w:rsid w:val="00034C0C"/>
    <w:rsid w:val="00037621"/>
    <w:rsid w:val="000419D4"/>
    <w:rsid w:val="00042753"/>
    <w:rsid w:val="00043365"/>
    <w:rsid w:val="000436F0"/>
    <w:rsid w:val="00043960"/>
    <w:rsid w:val="00044D46"/>
    <w:rsid w:val="00045088"/>
    <w:rsid w:val="00045904"/>
    <w:rsid w:val="00045DC7"/>
    <w:rsid w:val="00046789"/>
    <w:rsid w:val="000521C4"/>
    <w:rsid w:val="00052A5E"/>
    <w:rsid w:val="0005310B"/>
    <w:rsid w:val="000532E3"/>
    <w:rsid w:val="00054EC2"/>
    <w:rsid w:val="00055EB9"/>
    <w:rsid w:val="00057BF2"/>
    <w:rsid w:val="0006130F"/>
    <w:rsid w:val="00062D42"/>
    <w:rsid w:val="00062E85"/>
    <w:rsid w:val="000641E0"/>
    <w:rsid w:val="000649D1"/>
    <w:rsid w:val="00064C44"/>
    <w:rsid w:val="00065166"/>
    <w:rsid w:val="00066AE7"/>
    <w:rsid w:val="0007091D"/>
    <w:rsid w:val="00074670"/>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4A0D"/>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1770F"/>
    <w:rsid w:val="00120B4D"/>
    <w:rsid w:val="0012303D"/>
    <w:rsid w:val="00123855"/>
    <w:rsid w:val="00124B70"/>
    <w:rsid w:val="00124D45"/>
    <w:rsid w:val="00125A7C"/>
    <w:rsid w:val="00126A4D"/>
    <w:rsid w:val="00131D42"/>
    <w:rsid w:val="0013278B"/>
    <w:rsid w:val="00135FFC"/>
    <w:rsid w:val="00136505"/>
    <w:rsid w:val="0014171F"/>
    <w:rsid w:val="0014622C"/>
    <w:rsid w:val="00146A70"/>
    <w:rsid w:val="0015065C"/>
    <w:rsid w:val="00150F6C"/>
    <w:rsid w:val="00152348"/>
    <w:rsid w:val="0015328F"/>
    <w:rsid w:val="0015456D"/>
    <w:rsid w:val="00155EB3"/>
    <w:rsid w:val="00161F1B"/>
    <w:rsid w:val="001620AF"/>
    <w:rsid w:val="00162829"/>
    <w:rsid w:val="0016472D"/>
    <w:rsid w:val="00164B28"/>
    <w:rsid w:val="00165374"/>
    <w:rsid w:val="001677CC"/>
    <w:rsid w:val="00173647"/>
    <w:rsid w:val="00180548"/>
    <w:rsid w:val="00180AC4"/>
    <w:rsid w:val="00180B1E"/>
    <w:rsid w:val="00180CCE"/>
    <w:rsid w:val="00181438"/>
    <w:rsid w:val="0018267A"/>
    <w:rsid w:val="001826E6"/>
    <w:rsid w:val="00182779"/>
    <w:rsid w:val="001830DF"/>
    <w:rsid w:val="00183285"/>
    <w:rsid w:val="001833C2"/>
    <w:rsid w:val="00184144"/>
    <w:rsid w:val="00193AB3"/>
    <w:rsid w:val="00193AD3"/>
    <w:rsid w:val="001966D9"/>
    <w:rsid w:val="00197963"/>
    <w:rsid w:val="001A620B"/>
    <w:rsid w:val="001A716A"/>
    <w:rsid w:val="001A7E9A"/>
    <w:rsid w:val="001B0A82"/>
    <w:rsid w:val="001B0F70"/>
    <w:rsid w:val="001B5016"/>
    <w:rsid w:val="001B6CEE"/>
    <w:rsid w:val="001B6ED3"/>
    <w:rsid w:val="001C304E"/>
    <w:rsid w:val="001C45FC"/>
    <w:rsid w:val="001C594A"/>
    <w:rsid w:val="001D1BF7"/>
    <w:rsid w:val="001D4862"/>
    <w:rsid w:val="001D632F"/>
    <w:rsid w:val="001D7EF2"/>
    <w:rsid w:val="001E101F"/>
    <w:rsid w:val="001E1C34"/>
    <w:rsid w:val="001E1FB4"/>
    <w:rsid w:val="001E23FD"/>
    <w:rsid w:val="001E25B9"/>
    <w:rsid w:val="001E392F"/>
    <w:rsid w:val="001E3A9E"/>
    <w:rsid w:val="001E49E0"/>
    <w:rsid w:val="001E7B5A"/>
    <w:rsid w:val="001F0462"/>
    <w:rsid w:val="001F0BCF"/>
    <w:rsid w:val="001F1478"/>
    <w:rsid w:val="001F2AF5"/>
    <w:rsid w:val="001F5204"/>
    <w:rsid w:val="001F603D"/>
    <w:rsid w:val="001F7412"/>
    <w:rsid w:val="001F7C77"/>
    <w:rsid w:val="00201386"/>
    <w:rsid w:val="00202C2B"/>
    <w:rsid w:val="00205B31"/>
    <w:rsid w:val="0020725B"/>
    <w:rsid w:val="0020730B"/>
    <w:rsid w:val="00212B14"/>
    <w:rsid w:val="00213BC6"/>
    <w:rsid w:val="00216499"/>
    <w:rsid w:val="002164C0"/>
    <w:rsid w:val="00216CB4"/>
    <w:rsid w:val="002173C5"/>
    <w:rsid w:val="00223780"/>
    <w:rsid w:val="0022475C"/>
    <w:rsid w:val="00225CC2"/>
    <w:rsid w:val="0022719C"/>
    <w:rsid w:val="00231939"/>
    <w:rsid w:val="00231F38"/>
    <w:rsid w:val="002362AB"/>
    <w:rsid w:val="00236A95"/>
    <w:rsid w:val="002400DB"/>
    <w:rsid w:val="002406A4"/>
    <w:rsid w:val="0024116D"/>
    <w:rsid w:val="00241B44"/>
    <w:rsid w:val="00242138"/>
    <w:rsid w:val="00244533"/>
    <w:rsid w:val="00245EFB"/>
    <w:rsid w:val="00246738"/>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77C1A"/>
    <w:rsid w:val="0028252D"/>
    <w:rsid w:val="00284EBE"/>
    <w:rsid w:val="00286720"/>
    <w:rsid w:val="002872E1"/>
    <w:rsid w:val="00287B2E"/>
    <w:rsid w:val="00287D4D"/>
    <w:rsid w:val="00290116"/>
    <w:rsid w:val="0029433F"/>
    <w:rsid w:val="00294829"/>
    <w:rsid w:val="00295742"/>
    <w:rsid w:val="0029690F"/>
    <w:rsid w:val="00297288"/>
    <w:rsid w:val="00297BDF"/>
    <w:rsid w:val="002A0102"/>
    <w:rsid w:val="002A2A60"/>
    <w:rsid w:val="002A3815"/>
    <w:rsid w:val="002A6646"/>
    <w:rsid w:val="002A74AB"/>
    <w:rsid w:val="002A7ECE"/>
    <w:rsid w:val="002B1C45"/>
    <w:rsid w:val="002B2970"/>
    <w:rsid w:val="002B6AAF"/>
    <w:rsid w:val="002C1227"/>
    <w:rsid w:val="002C13C8"/>
    <w:rsid w:val="002C259C"/>
    <w:rsid w:val="002C3547"/>
    <w:rsid w:val="002D0021"/>
    <w:rsid w:val="002D10A3"/>
    <w:rsid w:val="002D2356"/>
    <w:rsid w:val="002D295D"/>
    <w:rsid w:val="002D3473"/>
    <w:rsid w:val="002E37B7"/>
    <w:rsid w:val="002E4A02"/>
    <w:rsid w:val="002E4A1F"/>
    <w:rsid w:val="002E5963"/>
    <w:rsid w:val="002E66F4"/>
    <w:rsid w:val="002F14C5"/>
    <w:rsid w:val="002F1956"/>
    <w:rsid w:val="002F2B8D"/>
    <w:rsid w:val="002F3440"/>
    <w:rsid w:val="002F3B17"/>
    <w:rsid w:val="002F4860"/>
    <w:rsid w:val="002F5DD8"/>
    <w:rsid w:val="002F75A3"/>
    <w:rsid w:val="002F75CD"/>
    <w:rsid w:val="002F7CFA"/>
    <w:rsid w:val="002F7EB5"/>
    <w:rsid w:val="0030201F"/>
    <w:rsid w:val="00303C2F"/>
    <w:rsid w:val="0030558B"/>
    <w:rsid w:val="00306E87"/>
    <w:rsid w:val="00310FC2"/>
    <w:rsid w:val="0031323E"/>
    <w:rsid w:val="003134B4"/>
    <w:rsid w:val="003144EF"/>
    <w:rsid w:val="003209F6"/>
    <w:rsid w:val="0032538A"/>
    <w:rsid w:val="00326292"/>
    <w:rsid w:val="00326415"/>
    <w:rsid w:val="00330937"/>
    <w:rsid w:val="00330F31"/>
    <w:rsid w:val="003321F0"/>
    <w:rsid w:val="003326F0"/>
    <w:rsid w:val="00334648"/>
    <w:rsid w:val="00336CA6"/>
    <w:rsid w:val="0033768C"/>
    <w:rsid w:val="00337938"/>
    <w:rsid w:val="00340769"/>
    <w:rsid w:val="00341A65"/>
    <w:rsid w:val="00341AA6"/>
    <w:rsid w:val="00342E57"/>
    <w:rsid w:val="003430DD"/>
    <w:rsid w:val="003477AD"/>
    <w:rsid w:val="003500E5"/>
    <w:rsid w:val="00351518"/>
    <w:rsid w:val="00355B57"/>
    <w:rsid w:val="00361A0A"/>
    <w:rsid w:val="00361DF9"/>
    <w:rsid w:val="0036565C"/>
    <w:rsid w:val="0036625E"/>
    <w:rsid w:val="00367162"/>
    <w:rsid w:val="00372CD4"/>
    <w:rsid w:val="00372FBC"/>
    <w:rsid w:val="0037386C"/>
    <w:rsid w:val="0037465A"/>
    <w:rsid w:val="0038255B"/>
    <w:rsid w:val="00382C98"/>
    <w:rsid w:val="0038325E"/>
    <w:rsid w:val="00384604"/>
    <w:rsid w:val="00384E3D"/>
    <w:rsid w:val="00385041"/>
    <w:rsid w:val="0038533C"/>
    <w:rsid w:val="00385D73"/>
    <w:rsid w:val="00391B12"/>
    <w:rsid w:val="003937B9"/>
    <w:rsid w:val="003948D5"/>
    <w:rsid w:val="00394D0E"/>
    <w:rsid w:val="003957FD"/>
    <w:rsid w:val="00396821"/>
    <w:rsid w:val="00396CE5"/>
    <w:rsid w:val="003979A3"/>
    <w:rsid w:val="00397D3A"/>
    <w:rsid w:val="003A051E"/>
    <w:rsid w:val="003A0BBE"/>
    <w:rsid w:val="003A1FEE"/>
    <w:rsid w:val="003A2448"/>
    <w:rsid w:val="003A2F5D"/>
    <w:rsid w:val="003A3128"/>
    <w:rsid w:val="003A5AD1"/>
    <w:rsid w:val="003A60FF"/>
    <w:rsid w:val="003A696A"/>
    <w:rsid w:val="003B0688"/>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3188"/>
    <w:rsid w:val="003E67D1"/>
    <w:rsid w:val="003F0B80"/>
    <w:rsid w:val="003F500E"/>
    <w:rsid w:val="003F5569"/>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5E2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67D4F"/>
    <w:rsid w:val="0047084C"/>
    <w:rsid w:val="00470A63"/>
    <w:rsid w:val="00470C55"/>
    <w:rsid w:val="004715C1"/>
    <w:rsid w:val="004731F4"/>
    <w:rsid w:val="00480715"/>
    <w:rsid w:val="00481FC8"/>
    <w:rsid w:val="0048258B"/>
    <w:rsid w:val="00482FE3"/>
    <w:rsid w:val="0048300A"/>
    <w:rsid w:val="0048480E"/>
    <w:rsid w:val="00486065"/>
    <w:rsid w:val="00486776"/>
    <w:rsid w:val="004868BB"/>
    <w:rsid w:val="00491675"/>
    <w:rsid w:val="00493855"/>
    <w:rsid w:val="00497558"/>
    <w:rsid w:val="00497CF9"/>
    <w:rsid w:val="004A1C71"/>
    <w:rsid w:val="004A27CB"/>
    <w:rsid w:val="004A57DD"/>
    <w:rsid w:val="004A7B51"/>
    <w:rsid w:val="004A7D71"/>
    <w:rsid w:val="004A7EF3"/>
    <w:rsid w:val="004B0EBE"/>
    <w:rsid w:val="004B10C5"/>
    <w:rsid w:val="004B11FD"/>
    <w:rsid w:val="004B23A2"/>
    <w:rsid w:val="004B25E4"/>
    <w:rsid w:val="004B32EC"/>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5F72"/>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2C72"/>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C714F"/>
    <w:rsid w:val="005D0511"/>
    <w:rsid w:val="005D169B"/>
    <w:rsid w:val="005D3437"/>
    <w:rsid w:val="005D43E0"/>
    <w:rsid w:val="005D5579"/>
    <w:rsid w:val="005D58A3"/>
    <w:rsid w:val="005D5FD0"/>
    <w:rsid w:val="005E1B79"/>
    <w:rsid w:val="005E1EA8"/>
    <w:rsid w:val="005E2B20"/>
    <w:rsid w:val="005E4AAD"/>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78E"/>
    <w:rsid w:val="00620ACA"/>
    <w:rsid w:val="00621A17"/>
    <w:rsid w:val="0062260C"/>
    <w:rsid w:val="00625790"/>
    <w:rsid w:val="00627CC9"/>
    <w:rsid w:val="00627E7B"/>
    <w:rsid w:val="00630542"/>
    <w:rsid w:val="00630727"/>
    <w:rsid w:val="00631E7B"/>
    <w:rsid w:val="00632E2D"/>
    <w:rsid w:val="00632E44"/>
    <w:rsid w:val="0063316D"/>
    <w:rsid w:val="00633DC9"/>
    <w:rsid w:val="00634622"/>
    <w:rsid w:val="00636808"/>
    <w:rsid w:val="0064043F"/>
    <w:rsid w:val="00641515"/>
    <w:rsid w:val="0064169B"/>
    <w:rsid w:val="00643ABE"/>
    <w:rsid w:val="00644C1E"/>
    <w:rsid w:val="0064547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0BD"/>
    <w:rsid w:val="00692852"/>
    <w:rsid w:val="00697EA1"/>
    <w:rsid w:val="006A051A"/>
    <w:rsid w:val="006A1A59"/>
    <w:rsid w:val="006A2646"/>
    <w:rsid w:val="006A26E2"/>
    <w:rsid w:val="006A6530"/>
    <w:rsid w:val="006A695F"/>
    <w:rsid w:val="006A6D1D"/>
    <w:rsid w:val="006B2893"/>
    <w:rsid w:val="006B435A"/>
    <w:rsid w:val="006B4539"/>
    <w:rsid w:val="006B4C64"/>
    <w:rsid w:val="006B5AE8"/>
    <w:rsid w:val="006C5CE2"/>
    <w:rsid w:val="006D0529"/>
    <w:rsid w:val="006D0605"/>
    <w:rsid w:val="006D176A"/>
    <w:rsid w:val="006D3639"/>
    <w:rsid w:val="006D564C"/>
    <w:rsid w:val="006D6BD5"/>
    <w:rsid w:val="006E1CB0"/>
    <w:rsid w:val="006E24EA"/>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15422"/>
    <w:rsid w:val="0071655D"/>
    <w:rsid w:val="00721383"/>
    <w:rsid w:val="007216AD"/>
    <w:rsid w:val="00725094"/>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0DA1"/>
    <w:rsid w:val="0076181C"/>
    <w:rsid w:val="00764DB0"/>
    <w:rsid w:val="007671EB"/>
    <w:rsid w:val="0076764D"/>
    <w:rsid w:val="0076766F"/>
    <w:rsid w:val="00770DF5"/>
    <w:rsid w:val="0077498C"/>
    <w:rsid w:val="00775340"/>
    <w:rsid w:val="00777070"/>
    <w:rsid w:val="00782B3F"/>
    <w:rsid w:val="00782B7A"/>
    <w:rsid w:val="00784128"/>
    <w:rsid w:val="0078662F"/>
    <w:rsid w:val="00790B4C"/>
    <w:rsid w:val="0079206E"/>
    <w:rsid w:val="00793173"/>
    <w:rsid w:val="007958F0"/>
    <w:rsid w:val="00797E1B"/>
    <w:rsid w:val="007A12A4"/>
    <w:rsid w:val="007A359A"/>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2680"/>
    <w:rsid w:val="00814A55"/>
    <w:rsid w:val="0081547D"/>
    <w:rsid w:val="00822852"/>
    <w:rsid w:val="0082483F"/>
    <w:rsid w:val="00827849"/>
    <w:rsid w:val="008279C0"/>
    <w:rsid w:val="00841E70"/>
    <w:rsid w:val="0084271B"/>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860"/>
    <w:rsid w:val="00896FD7"/>
    <w:rsid w:val="00897428"/>
    <w:rsid w:val="008A0C95"/>
    <w:rsid w:val="008A15DA"/>
    <w:rsid w:val="008A30C3"/>
    <w:rsid w:val="008A30EE"/>
    <w:rsid w:val="008A4DF2"/>
    <w:rsid w:val="008A6841"/>
    <w:rsid w:val="008A6CFE"/>
    <w:rsid w:val="008B40E7"/>
    <w:rsid w:val="008B4681"/>
    <w:rsid w:val="008B4B58"/>
    <w:rsid w:val="008B5333"/>
    <w:rsid w:val="008B5476"/>
    <w:rsid w:val="008B6223"/>
    <w:rsid w:val="008B6479"/>
    <w:rsid w:val="008C0772"/>
    <w:rsid w:val="008C165D"/>
    <w:rsid w:val="008C4066"/>
    <w:rsid w:val="008C60B0"/>
    <w:rsid w:val="008C66E0"/>
    <w:rsid w:val="008D0122"/>
    <w:rsid w:val="008D3E17"/>
    <w:rsid w:val="008D5D34"/>
    <w:rsid w:val="008D7718"/>
    <w:rsid w:val="008E04FF"/>
    <w:rsid w:val="008E220E"/>
    <w:rsid w:val="008E3339"/>
    <w:rsid w:val="008E3ADC"/>
    <w:rsid w:val="008E64D3"/>
    <w:rsid w:val="008E6F11"/>
    <w:rsid w:val="008F20FC"/>
    <w:rsid w:val="008F3248"/>
    <w:rsid w:val="008F50C4"/>
    <w:rsid w:val="008F5FFE"/>
    <w:rsid w:val="0090037B"/>
    <w:rsid w:val="00903250"/>
    <w:rsid w:val="00904B72"/>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35E50"/>
    <w:rsid w:val="00940C1F"/>
    <w:rsid w:val="00942123"/>
    <w:rsid w:val="0094263A"/>
    <w:rsid w:val="00943E90"/>
    <w:rsid w:val="009466B4"/>
    <w:rsid w:val="00946EE0"/>
    <w:rsid w:val="0095029B"/>
    <w:rsid w:val="00951896"/>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26E"/>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06DE"/>
    <w:rsid w:val="009A2BCA"/>
    <w:rsid w:val="009A4050"/>
    <w:rsid w:val="009A5354"/>
    <w:rsid w:val="009A6A10"/>
    <w:rsid w:val="009A7172"/>
    <w:rsid w:val="009B0723"/>
    <w:rsid w:val="009B07AD"/>
    <w:rsid w:val="009B0883"/>
    <w:rsid w:val="009B15E2"/>
    <w:rsid w:val="009B4FF6"/>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1980"/>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0A51"/>
    <w:rsid w:val="00A411B7"/>
    <w:rsid w:val="00A45800"/>
    <w:rsid w:val="00A46B4C"/>
    <w:rsid w:val="00A5117B"/>
    <w:rsid w:val="00A560B6"/>
    <w:rsid w:val="00A566E3"/>
    <w:rsid w:val="00A56CF7"/>
    <w:rsid w:val="00A56DBC"/>
    <w:rsid w:val="00A60074"/>
    <w:rsid w:val="00A646E2"/>
    <w:rsid w:val="00A651A9"/>
    <w:rsid w:val="00A6627C"/>
    <w:rsid w:val="00A71019"/>
    <w:rsid w:val="00A717FB"/>
    <w:rsid w:val="00A81029"/>
    <w:rsid w:val="00A82AFB"/>
    <w:rsid w:val="00A8485D"/>
    <w:rsid w:val="00A86584"/>
    <w:rsid w:val="00A86B29"/>
    <w:rsid w:val="00A878EE"/>
    <w:rsid w:val="00A90BDB"/>
    <w:rsid w:val="00A94F10"/>
    <w:rsid w:val="00A96062"/>
    <w:rsid w:val="00A96489"/>
    <w:rsid w:val="00A96BB0"/>
    <w:rsid w:val="00A97D88"/>
    <w:rsid w:val="00AA0E39"/>
    <w:rsid w:val="00AA0EFD"/>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C7A62"/>
    <w:rsid w:val="00AD0662"/>
    <w:rsid w:val="00AD1B6B"/>
    <w:rsid w:val="00AD331C"/>
    <w:rsid w:val="00AD57A5"/>
    <w:rsid w:val="00AD65A8"/>
    <w:rsid w:val="00AD74AD"/>
    <w:rsid w:val="00AD7A9A"/>
    <w:rsid w:val="00AE027F"/>
    <w:rsid w:val="00AE4D6F"/>
    <w:rsid w:val="00AF1B83"/>
    <w:rsid w:val="00AF228E"/>
    <w:rsid w:val="00AF455B"/>
    <w:rsid w:val="00AF5899"/>
    <w:rsid w:val="00AF607E"/>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57065"/>
    <w:rsid w:val="00B607DF"/>
    <w:rsid w:val="00B6098E"/>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235"/>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4C13"/>
    <w:rsid w:val="00C35026"/>
    <w:rsid w:val="00C35671"/>
    <w:rsid w:val="00C35B77"/>
    <w:rsid w:val="00C376EB"/>
    <w:rsid w:val="00C4187E"/>
    <w:rsid w:val="00C444EC"/>
    <w:rsid w:val="00C45A03"/>
    <w:rsid w:val="00C46EC1"/>
    <w:rsid w:val="00C50F86"/>
    <w:rsid w:val="00C53E2C"/>
    <w:rsid w:val="00C550B1"/>
    <w:rsid w:val="00C550C8"/>
    <w:rsid w:val="00C56136"/>
    <w:rsid w:val="00C56B61"/>
    <w:rsid w:val="00C56D56"/>
    <w:rsid w:val="00C570AC"/>
    <w:rsid w:val="00C5730D"/>
    <w:rsid w:val="00C60631"/>
    <w:rsid w:val="00C606C3"/>
    <w:rsid w:val="00C620F4"/>
    <w:rsid w:val="00C629CB"/>
    <w:rsid w:val="00C71F4F"/>
    <w:rsid w:val="00C72848"/>
    <w:rsid w:val="00C750BA"/>
    <w:rsid w:val="00C76EE1"/>
    <w:rsid w:val="00C7736C"/>
    <w:rsid w:val="00C80272"/>
    <w:rsid w:val="00C82D87"/>
    <w:rsid w:val="00C8712A"/>
    <w:rsid w:val="00C92A0D"/>
    <w:rsid w:val="00C952A2"/>
    <w:rsid w:val="00C963D3"/>
    <w:rsid w:val="00C96861"/>
    <w:rsid w:val="00CA1802"/>
    <w:rsid w:val="00CB262C"/>
    <w:rsid w:val="00CB2CBB"/>
    <w:rsid w:val="00CB7283"/>
    <w:rsid w:val="00CB7CAC"/>
    <w:rsid w:val="00CC467D"/>
    <w:rsid w:val="00CC4AAC"/>
    <w:rsid w:val="00CC5051"/>
    <w:rsid w:val="00CC5335"/>
    <w:rsid w:val="00CC579C"/>
    <w:rsid w:val="00CC5BA4"/>
    <w:rsid w:val="00CC5ECB"/>
    <w:rsid w:val="00CC7728"/>
    <w:rsid w:val="00CD0C05"/>
    <w:rsid w:val="00CD0E2B"/>
    <w:rsid w:val="00CD0FFE"/>
    <w:rsid w:val="00CD2373"/>
    <w:rsid w:val="00CD34DB"/>
    <w:rsid w:val="00CD377A"/>
    <w:rsid w:val="00CD3D87"/>
    <w:rsid w:val="00CD4998"/>
    <w:rsid w:val="00CD499F"/>
    <w:rsid w:val="00CD7DBC"/>
    <w:rsid w:val="00CE1035"/>
    <w:rsid w:val="00CE62CA"/>
    <w:rsid w:val="00CF01D6"/>
    <w:rsid w:val="00CF2819"/>
    <w:rsid w:val="00CF4F9D"/>
    <w:rsid w:val="00CF5AD8"/>
    <w:rsid w:val="00CF70DC"/>
    <w:rsid w:val="00CF717B"/>
    <w:rsid w:val="00CF7FD5"/>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17FC"/>
    <w:rsid w:val="00D93196"/>
    <w:rsid w:val="00D931A2"/>
    <w:rsid w:val="00D95F9E"/>
    <w:rsid w:val="00DA42EF"/>
    <w:rsid w:val="00DB04C4"/>
    <w:rsid w:val="00DB1A35"/>
    <w:rsid w:val="00DB243C"/>
    <w:rsid w:val="00DB482A"/>
    <w:rsid w:val="00DB56F2"/>
    <w:rsid w:val="00DB5D9B"/>
    <w:rsid w:val="00DB6EF5"/>
    <w:rsid w:val="00DC2A3F"/>
    <w:rsid w:val="00DC2BEC"/>
    <w:rsid w:val="00DC2FDB"/>
    <w:rsid w:val="00DC3089"/>
    <w:rsid w:val="00DC317A"/>
    <w:rsid w:val="00DC4420"/>
    <w:rsid w:val="00DC6681"/>
    <w:rsid w:val="00DD01DA"/>
    <w:rsid w:val="00DD0802"/>
    <w:rsid w:val="00DD0B2C"/>
    <w:rsid w:val="00DD19C6"/>
    <w:rsid w:val="00DD2E11"/>
    <w:rsid w:val="00DD4E68"/>
    <w:rsid w:val="00DD526C"/>
    <w:rsid w:val="00DD59B5"/>
    <w:rsid w:val="00DD62F1"/>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96F"/>
    <w:rsid w:val="00E05837"/>
    <w:rsid w:val="00E07C5A"/>
    <w:rsid w:val="00E10A73"/>
    <w:rsid w:val="00E12C13"/>
    <w:rsid w:val="00E15BA9"/>
    <w:rsid w:val="00E161D2"/>
    <w:rsid w:val="00E177E2"/>
    <w:rsid w:val="00E17BF1"/>
    <w:rsid w:val="00E22DE4"/>
    <w:rsid w:val="00E26E19"/>
    <w:rsid w:val="00E31DF3"/>
    <w:rsid w:val="00E37049"/>
    <w:rsid w:val="00E409EE"/>
    <w:rsid w:val="00E4126D"/>
    <w:rsid w:val="00E450A4"/>
    <w:rsid w:val="00E45B2D"/>
    <w:rsid w:val="00E506BE"/>
    <w:rsid w:val="00E518B6"/>
    <w:rsid w:val="00E525B9"/>
    <w:rsid w:val="00E53AE9"/>
    <w:rsid w:val="00E5447E"/>
    <w:rsid w:val="00E54ADD"/>
    <w:rsid w:val="00E55547"/>
    <w:rsid w:val="00E55DDB"/>
    <w:rsid w:val="00E55E9B"/>
    <w:rsid w:val="00E6211B"/>
    <w:rsid w:val="00E6302B"/>
    <w:rsid w:val="00E6452F"/>
    <w:rsid w:val="00E64F45"/>
    <w:rsid w:val="00E6525B"/>
    <w:rsid w:val="00E6742D"/>
    <w:rsid w:val="00E71CB0"/>
    <w:rsid w:val="00E7537E"/>
    <w:rsid w:val="00E7793C"/>
    <w:rsid w:val="00E77AF9"/>
    <w:rsid w:val="00E77C3D"/>
    <w:rsid w:val="00E80299"/>
    <w:rsid w:val="00E8272F"/>
    <w:rsid w:val="00E84DA5"/>
    <w:rsid w:val="00E84DD5"/>
    <w:rsid w:val="00E86549"/>
    <w:rsid w:val="00E86D64"/>
    <w:rsid w:val="00E909F0"/>
    <w:rsid w:val="00E90B4B"/>
    <w:rsid w:val="00E90D47"/>
    <w:rsid w:val="00E91BE6"/>
    <w:rsid w:val="00E92DA7"/>
    <w:rsid w:val="00E934B5"/>
    <w:rsid w:val="00E93993"/>
    <w:rsid w:val="00E950C0"/>
    <w:rsid w:val="00E9597C"/>
    <w:rsid w:val="00EA0879"/>
    <w:rsid w:val="00EA0913"/>
    <w:rsid w:val="00EA4D77"/>
    <w:rsid w:val="00EA5317"/>
    <w:rsid w:val="00EA6550"/>
    <w:rsid w:val="00EA7BAB"/>
    <w:rsid w:val="00EB02BE"/>
    <w:rsid w:val="00EB146B"/>
    <w:rsid w:val="00EB21D4"/>
    <w:rsid w:val="00EB2845"/>
    <w:rsid w:val="00EB2D57"/>
    <w:rsid w:val="00EB45AC"/>
    <w:rsid w:val="00EB488B"/>
    <w:rsid w:val="00EB5D32"/>
    <w:rsid w:val="00EB5DFE"/>
    <w:rsid w:val="00EB6668"/>
    <w:rsid w:val="00EB69F5"/>
    <w:rsid w:val="00EB6A2F"/>
    <w:rsid w:val="00EC3875"/>
    <w:rsid w:val="00EC549E"/>
    <w:rsid w:val="00EC6E55"/>
    <w:rsid w:val="00ED0ABC"/>
    <w:rsid w:val="00ED0BC4"/>
    <w:rsid w:val="00ED151E"/>
    <w:rsid w:val="00ED3BA6"/>
    <w:rsid w:val="00ED3CDA"/>
    <w:rsid w:val="00ED617A"/>
    <w:rsid w:val="00EE1A0E"/>
    <w:rsid w:val="00EE4971"/>
    <w:rsid w:val="00EE5A48"/>
    <w:rsid w:val="00EE5F7D"/>
    <w:rsid w:val="00EE6390"/>
    <w:rsid w:val="00EE7278"/>
    <w:rsid w:val="00EF090E"/>
    <w:rsid w:val="00EF16B6"/>
    <w:rsid w:val="00EF1710"/>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0B64"/>
    <w:rsid w:val="00F3144D"/>
    <w:rsid w:val="00F3323E"/>
    <w:rsid w:val="00F33F25"/>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04E3"/>
    <w:rsid w:val="00F61DD2"/>
    <w:rsid w:val="00F62000"/>
    <w:rsid w:val="00F63720"/>
    <w:rsid w:val="00F65FB6"/>
    <w:rsid w:val="00F66AFF"/>
    <w:rsid w:val="00F71433"/>
    <w:rsid w:val="00F71CE8"/>
    <w:rsid w:val="00F738B0"/>
    <w:rsid w:val="00F75F58"/>
    <w:rsid w:val="00F801C5"/>
    <w:rsid w:val="00F815FC"/>
    <w:rsid w:val="00F83231"/>
    <w:rsid w:val="00F85A51"/>
    <w:rsid w:val="00F85DB2"/>
    <w:rsid w:val="00F86F3A"/>
    <w:rsid w:val="00F91FA7"/>
    <w:rsid w:val="00F926C1"/>
    <w:rsid w:val="00F95955"/>
    <w:rsid w:val="00F96AF1"/>
    <w:rsid w:val="00F97C5B"/>
    <w:rsid w:val="00FA29FD"/>
    <w:rsid w:val="00FA2A46"/>
    <w:rsid w:val="00FA3739"/>
    <w:rsid w:val="00FA3D50"/>
    <w:rsid w:val="00FA43E7"/>
    <w:rsid w:val="00FA5F3D"/>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0B1"/>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10</Pages>
  <Words>3730</Words>
  <Characters>20515</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Morales</cp:lastModifiedBy>
  <cp:revision>129</cp:revision>
  <cp:lastPrinted>2020-06-12T02:43:00Z</cp:lastPrinted>
  <dcterms:created xsi:type="dcterms:W3CDTF">2022-07-27T13:31:00Z</dcterms:created>
  <dcterms:modified xsi:type="dcterms:W3CDTF">2022-11-15T21:18:00Z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