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CF2C42" w:rsidRDefault="002D2356" w:rsidP="008071D5">
      <w:pPr>
        <w:pStyle w:val="PargrafodaLista"/>
        <w:numPr>
          <w:ilvl w:val="0"/>
          <w:numId w:val="15"/>
        </w:numPr>
        <w:ind w:left="425" w:hanging="357"/>
        <w:jc w:val="both"/>
        <w:rPr>
          <w:rFonts w:ascii="Avenir Next" w:hAnsi="Avenir Next" w:cs="Arial"/>
          <w:sz w:val="22"/>
          <w:szCs w:val="22"/>
          <w:highlight w:val="yellow"/>
        </w:rPr>
      </w:pPr>
      <w:r w:rsidRPr="00CF2C42">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CF2C42">
        <w:rPr>
          <w:rFonts w:ascii="Avenir Next" w:hAnsi="Avenir Next" w:cs="Arial"/>
          <w:sz w:val="22"/>
          <w:szCs w:val="22"/>
          <w:highlight w:val="yellow"/>
          <w:vertAlign w:val="superscript"/>
        </w:rPr>
        <w:t>th</w:t>
      </w:r>
      <w:r w:rsidRPr="00CF2C42">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432A59" w:rsidRDefault="002D2356" w:rsidP="008071D5">
      <w:pPr>
        <w:pStyle w:val="PargrafodaLista"/>
        <w:numPr>
          <w:ilvl w:val="0"/>
          <w:numId w:val="16"/>
        </w:numPr>
        <w:ind w:left="426"/>
        <w:jc w:val="both"/>
        <w:rPr>
          <w:rFonts w:ascii="Avenir Next" w:hAnsi="Avenir Next" w:cs="Arial"/>
          <w:sz w:val="22"/>
          <w:szCs w:val="22"/>
          <w:highlight w:val="yellow"/>
        </w:rPr>
      </w:pPr>
      <w:r w:rsidRPr="00432A59">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Pargrafoda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Pargrafoda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Pargrafoda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FA2EA4" w:rsidRDefault="002D2356" w:rsidP="008071D5">
      <w:pPr>
        <w:pStyle w:val="PargrafodaLista"/>
        <w:numPr>
          <w:ilvl w:val="0"/>
          <w:numId w:val="17"/>
        </w:numPr>
        <w:ind w:left="426"/>
        <w:jc w:val="both"/>
        <w:rPr>
          <w:rFonts w:ascii="Avenir Next" w:hAnsi="Avenir Next" w:cs="Arial"/>
          <w:sz w:val="22"/>
          <w:szCs w:val="22"/>
          <w:highlight w:val="yellow"/>
        </w:rPr>
      </w:pPr>
      <w:r w:rsidRPr="00FA2EA4">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PargrafodaLista"/>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B81CEB" w:rsidRDefault="00466ED6" w:rsidP="008071D5">
      <w:pPr>
        <w:pStyle w:val="PargrafodaLista"/>
        <w:numPr>
          <w:ilvl w:val="0"/>
          <w:numId w:val="18"/>
        </w:numPr>
        <w:ind w:left="426"/>
        <w:jc w:val="both"/>
        <w:rPr>
          <w:rFonts w:ascii="Avenir Next" w:hAnsi="Avenir Next" w:cs="Arial"/>
          <w:sz w:val="22"/>
          <w:szCs w:val="22"/>
          <w:highlight w:val="yellow"/>
        </w:rPr>
      </w:pPr>
      <w:r w:rsidRPr="00B81CEB">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PargrafodaLista"/>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PargrafodaLista"/>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E043FF" w:rsidRDefault="002D2356" w:rsidP="008071D5">
      <w:pPr>
        <w:pStyle w:val="PargrafodaLista"/>
        <w:numPr>
          <w:ilvl w:val="0"/>
          <w:numId w:val="19"/>
        </w:numPr>
        <w:ind w:left="425" w:hanging="357"/>
        <w:jc w:val="both"/>
        <w:rPr>
          <w:rFonts w:ascii="Avenir Next" w:hAnsi="Avenir Next" w:cs="Arial"/>
          <w:sz w:val="22"/>
          <w:szCs w:val="22"/>
          <w:highlight w:val="yellow"/>
        </w:rPr>
      </w:pPr>
      <w:r w:rsidRPr="00E043FF">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546685"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546685">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546685" w:rsidRDefault="002D2356" w:rsidP="008071D5">
      <w:pPr>
        <w:pStyle w:val="PargrafodaLista"/>
        <w:numPr>
          <w:ilvl w:val="0"/>
          <w:numId w:val="20"/>
        </w:numPr>
        <w:ind w:left="426"/>
        <w:jc w:val="both"/>
        <w:rPr>
          <w:rFonts w:ascii="Avenir Next" w:eastAsiaTheme="minorHAnsi" w:hAnsi="Avenir Next" w:cs="Arial"/>
          <w:sz w:val="22"/>
          <w:szCs w:val="22"/>
          <w:highlight w:val="yellow"/>
          <w:lang w:val="en-GB"/>
        </w:rPr>
      </w:pPr>
      <w:r w:rsidRPr="00546685">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7A0F14" w:rsidRDefault="009A0501" w:rsidP="008071D5">
      <w:pPr>
        <w:pStyle w:val="PargrafodaLista"/>
        <w:numPr>
          <w:ilvl w:val="0"/>
          <w:numId w:val="21"/>
        </w:numPr>
        <w:ind w:left="426"/>
        <w:jc w:val="both"/>
        <w:rPr>
          <w:rFonts w:ascii="Avenir Next" w:eastAsiaTheme="minorHAnsi" w:hAnsi="Avenir Next" w:cs="Arial"/>
          <w:sz w:val="22"/>
          <w:szCs w:val="22"/>
          <w:highlight w:val="yellow"/>
          <w:lang w:val="en-GB"/>
        </w:rPr>
      </w:pPr>
      <w:r w:rsidRPr="007A0F14">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7A0F14">
        <w:rPr>
          <w:rFonts w:ascii="Avenir Next" w:eastAsiaTheme="minorHAnsi" w:hAnsi="Avenir Next" w:cs="Arial"/>
          <w:sz w:val="22"/>
          <w:szCs w:val="22"/>
          <w:highlight w:val="yellow"/>
          <w:lang w:val="en-GB"/>
        </w:rPr>
        <w:t xml:space="preserve"> </w:t>
      </w:r>
      <w:r w:rsidRPr="007A0F14">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Pargrafoda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Pargrafoda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E23A6F" w:rsidRDefault="003D3410" w:rsidP="008071D5">
      <w:pPr>
        <w:pStyle w:val="PargrafodaLista"/>
        <w:numPr>
          <w:ilvl w:val="0"/>
          <w:numId w:val="22"/>
        </w:numPr>
        <w:ind w:left="426"/>
        <w:jc w:val="both"/>
        <w:rPr>
          <w:rFonts w:ascii="Avenir Next" w:eastAsiaTheme="minorHAnsi" w:hAnsi="Avenir Next" w:cs="Arial"/>
          <w:sz w:val="22"/>
          <w:szCs w:val="22"/>
          <w:highlight w:val="yellow"/>
          <w:lang w:val="en-GB"/>
        </w:rPr>
      </w:pPr>
      <w:r w:rsidRPr="00E23A6F">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Pargrafoda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431A8C" w:rsidRDefault="00F5239B" w:rsidP="008071D5">
      <w:pPr>
        <w:pStyle w:val="PargrafodaLista"/>
        <w:numPr>
          <w:ilvl w:val="0"/>
          <w:numId w:val="23"/>
        </w:numPr>
        <w:ind w:left="426"/>
        <w:jc w:val="both"/>
        <w:rPr>
          <w:rFonts w:ascii="Avenir Next" w:hAnsi="Avenir Next" w:cs="Arial"/>
          <w:sz w:val="22"/>
          <w:szCs w:val="22"/>
          <w:highlight w:val="yellow"/>
        </w:rPr>
      </w:pPr>
      <w:r w:rsidRPr="00431A8C">
        <w:rPr>
          <w:rFonts w:ascii="Avenir Next" w:hAnsi="Avenir Next" w:cs="Arial"/>
          <w:sz w:val="22"/>
          <w:szCs w:val="22"/>
          <w:highlight w:val="yellow"/>
        </w:rPr>
        <w:t xml:space="preserve">This statement is true because </w:t>
      </w:r>
      <w:r w:rsidR="007B5180" w:rsidRPr="00431A8C">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Pargrafoda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Pargrafoda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Pargrafoda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5F57A1" w:rsidRDefault="009355DB" w:rsidP="008071D5">
      <w:pPr>
        <w:pStyle w:val="PargrafodaLista"/>
        <w:numPr>
          <w:ilvl w:val="0"/>
          <w:numId w:val="24"/>
        </w:numPr>
        <w:ind w:left="426"/>
        <w:jc w:val="both"/>
        <w:rPr>
          <w:rFonts w:ascii="Avenir Next" w:hAnsi="Avenir Next" w:cs="Arial"/>
          <w:sz w:val="22"/>
          <w:szCs w:val="22"/>
          <w:highlight w:val="yellow"/>
        </w:rPr>
      </w:pPr>
      <w:r w:rsidRPr="005F57A1">
        <w:rPr>
          <w:rFonts w:ascii="Avenir Next" w:hAnsi="Avenir Next" w:cs="Arial"/>
          <w:sz w:val="22"/>
          <w:szCs w:val="22"/>
          <w:highlight w:val="yellow"/>
        </w:rPr>
        <w:t xml:space="preserve">This statement is true because </w:t>
      </w:r>
      <w:r w:rsidR="005C4FF2" w:rsidRPr="005F57A1">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4BAE5802" w:rsidR="0081547D" w:rsidRPr="00AB63DE" w:rsidRDefault="0079223B" w:rsidP="0079223B">
      <w:pPr>
        <w:jc w:val="both"/>
        <w:rPr>
          <w:rFonts w:ascii="Avenir Next" w:hAnsi="Avenir Next" w:cs="Arial"/>
          <w:color w:val="808080" w:themeColor="background1" w:themeShade="80"/>
          <w:sz w:val="22"/>
          <w:szCs w:val="22"/>
          <w:lang w:val="en-GB"/>
        </w:rPr>
      </w:pPr>
      <w:r w:rsidRPr="0079223B">
        <w:rPr>
          <w:rFonts w:ascii="Avenir Next" w:hAnsi="Avenir Next" w:cs="Arial"/>
          <w:color w:val="808080" w:themeColor="background1" w:themeShade="80"/>
          <w:sz w:val="22"/>
          <w:szCs w:val="22"/>
          <w:lang w:val="en-GB"/>
        </w:rPr>
        <w:t>African countries still suffer the direct influence of their colonizing countries. Therefore, most African</w:t>
      </w:r>
      <w:r>
        <w:rPr>
          <w:rFonts w:ascii="Avenir Next" w:hAnsi="Avenir Next" w:cs="Arial"/>
          <w:color w:val="808080" w:themeColor="background1" w:themeShade="80"/>
          <w:sz w:val="22"/>
          <w:szCs w:val="22"/>
          <w:lang w:val="en-GB"/>
        </w:rPr>
        <w:t xml:space="preserve"> </w:t>
      </w:r>
      <w:r w:rsidRPr="0079223B">
        <w:rPr>
          <w:rFonts w:ascii="Avenir Next" w:hAnsi="Avenir Next" w:cs="Arial"/>
          <w:color w:val="808080" w:themeColor="background1" w:themeShade="80"/>
          <w:sz w:val="22"/>
          <w:szCs w:val="22"/>
          <w:lang w:val="en-GB"/>
        </w:rPr>
        <w:t xml:space="preserve">countries adopt models of legislation that follow the legal structure adopted in colonizing countries. For </w:t>
      </w:r>
      <w:r>
        <w:rPr>
          <w:rFonts w:ascii="Avenir Next" w:hAnsi="Avenir Next" w:cs="Arial"/>
          <w:color w:val="808080" w:themeColor="background1" w:themeShade="80"/>
          <w:sz w:val="22"/>
          <w:szCs w:val="22"/>
          <w:lang w:val="en-GB"/>
        </w:rPr>
        <w:t>instance</w:t>
      </w:r>
      <w:r w:rsidRPr="0079223B">
        <w:rPr>
          <w:rFonts w:ascii="Avenir Next" w:hAnsi="Avenir Next" w:cs="Arial"/>
          <w:color w:val="808080" w:themeColor="background1" w:themeShade="80"/>
          <w:sz w:val="22"/>
          <w:szCs w:val="22"/>
          <w:lang w:val="en-GB"/>
        </w:rPr>
        <w:t>, Angola and Mozambique are countries that adhere to the civil law model, based on Portuguese legislation.</w:t>
      </w:r>
      <w:r w:rsidR="00897F78">
        <w:rPr>
          <w:rFonts w:ascii="Avenir Next" w:hAnsi="Avenir Next" w:cs="Arial"/>
          <w:color w:val="808080" w:themeColor="background1" w:themeShade="80"/>
          <w:sz w:val="22"/>
          <w:szCs w:val="22"/>
          <w:lang w:val="en-GB"/>
        </w:rPr>
        <w:t xml:space="preserve"> </w:t>
      </w:r>
      <w:r w:rsidR="00897F78" w:rsidRPr="00897F78">
        <w:rPr>
          <w:rFonts w:ascii="Avenir Next" w:hAnsi="Avenir Next" w:cs="Arial"/>
          <w:color w:val="808080" w:themeColor="background1" w:themeShade="80"/>
          <w:sz w:val="22"/>
          <w:szCs w:val="22"/>
          <w:lang w:val="en-GB"/>
        </w:rPr>
        <w:t xml:space="preserve">In turn, Nigeria, Kenya, Botswana, Zambia and Tanzania have an English legal tradition. The same is true for African countries that were most influenced by France, such as </w:t>
      </w:r>
      <w:r w:rsidR="00897F78" w:rsidRPr="00897F78">
        <w:rPr>
          <w:rFonts w:ascii="Avenir Next" w:hAnsi="Avenir Next" w:cs="Arial"/>
          <w:color w:val="808080" w:themeColor="background1" w:themeShade="80"/>
          <w:sz w:val="22"/>
          <w:szCs w:val="22"/>
          <w:lang w:val="en-GB"/>
        </w:rPr>
        <w:lastRenderedPageBreak/>
        <w:t>Mauritania, Senegal, Mali, Guinea, Ivory Coast, Burkina Faso, Benin and Niger.</w:t>
      </w:r>
      <w:r w:rsidR="000974F8">
        <w:rPr>
          <w:rFonts w:ascii="Avenir Next" w:hAnsi="Avenir Next" w:cs="Arial"/>
          <w:color w:val="808080" w:themeColor="background1" w:themeShade="80"/>
          <w:sz w:val="22"/>
          <w:szCs w:val="22"/>
          <w:lang w:val="en-GB"/>
        </w:rPr>
        <w:t xml:space="preserve"> </w:t>
      </w:r>
      <w:r w:rsidR="000974F8" w:rsidRPr="000974F8">
        <w:rPr>
          <w:rFonts w:ascii="Avenir Next" w:hAnsi="Avenir Next" w:cs="Arial"/>
          <w:color w:val="808080" w:themeColor="background1" w:themeShade="80"/>
          <w:sz w:val="22"/>
          <w:szCs w:val="22"/>
          <w:lang w:val="en-GB"/>
        </w:rPr>
        <w:t xml:space="preserve">There are also some countries that suffered cross-influences from more than one colonizer, as is the case of South Africa and Namibia, which have traces of the civil law and English </w:t>
      </w:r>
      <w:r w:rsidR="004A50C3">
        <w:rPr>
          <w:rFonts w:ascii="Avenir Next" w:hAnsi="Avenir Next" w:cs="Arial"/>
          <w:color w:val="808080" w:themeColor="background1" w:themeShade="80"/>
          <w:sz w:val="22"/>
          <w:szCs w:val="22"/>
          <w:lang w:val="en-GB"/>
        </w:rPr>
        <w:t>l</w:t>
      </w:r>
      <w:r w:rsidR="000974F8" w:rsidRPr="000974F8">
        <w:rPr>
          <w:rFonts w:ascii="Avenir Next" w:hAnsi="Avenir Next" w:cs="Arial"/>
          <w:color w:val="808080" w:themeColor="background1" w:themeShade="80"/>
          <w:sz w:val="22"/>
          <w:szCs w:val="22"/>
          <w:lang w:val="en-GB"/>
        </w:rPr>
        <w:t>aw systems. Thus, in summary, there is a pattern that the basis of the legal system comes from the former colonizing country, but this does not exclude the fact that African countries have introduced modern legislation in recent decades.</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2C55BC64" w:rsidR="00AB63DE" w:rsidRPr="00AB63DE" w:rsidRDefault="005C429E" w:rsidP="002D02A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2D02AE" w:rsidRPr="002D02AE">
        <w:rPr>
          <w:rFonts w:ascii="Avenir Next" w:hAnsi="Avenir Next" w:cs="Arial"/>
          <w:color w:val="808080" w:themeColor="background1" w:themeShade="80"/>
          <w:sz w:val="22"/>
          <w:szCs w:val="22"/>
          <w:lang w:val="en-GB"/>
        </w:rPr>
        <w:t xml:space="preserve">he 1998 financial crisis </w:t>
      </w:r>
      <w:r w:rsidR="00392E3A">
        <w:rPr>
          <w:rFonts w:ascii="Avenir Next" w:hAnsi="Avenir Next" w:cs="Arial"/>
          <w:color w:val="808080" w:themeColor="background1" w:themeShade="80"/>
          <w:sz w:val="22"/>
          <w:szCs w:val="22"/>
          <w:lang w:val="en-GB"/>
        </w:rPr>
        <w:t xml:space="preserve">started in Thailand and spread </w:t>
      </w:r>
      <w:r w:rsidR="00F548A8">
        <w:rPr>
          <w:rFonts w:ascii="Avenir Next" w:hAnsi="Avenir Next" w:cs="Arial"/>
          <w:color w:val="808080" w:themeColor="background1" w:themeShade="80"/>
          <w:sz w:val="22"/>
          <w:szCs w:val="22"/>
          <w:lang w:val="en-GB"/>
        </w:rPr>
        <w:t>across E</w:t>
      </w:r>
      <w:r w:rsidR="002D02AE" w:rsidRPr="002D02AE">
        <w:rPr>
          <w:rFonts w:ascii="Avenir Next" w:hAnsi="Avenir Next" w:cs="Arial"/>
          <w:color w:val="808080" w:themeColor="background1" w:themeShade="80"/>
          <w:sz w:val="22"/>
          <w:szCs w:val="22"/>
          <w:lang w:val="en-GB"/>
        </w:rPr>
        <w:t xml:space="preserve">ast </w:t>
      </w:r>
      <w:r w:rsidRPr="002D02AE">
        <w:rPr>
          <w:rFonts w:ascii="Avenir Next" w:hAnsi="Avenir Next" w:cs="Arial"/>
          <w:color w:val="808080" w:themeColor="background1" w:themeShade="80"/>
          <w:sz w:val="22"/>
          <w:szCs w:val="22"/>
          <w:lang w:val="en-GB"/>
        </w:rPr>
        <w:t>Asia</w:t>
      </w:r>
      <w:r w:rsidR="00F548A8">
        <w:rPr>
          <w:rFonts w:ascii="Avenir Next" w:hAnsi="Avenir Next" w:cs="Arial"/>
          <w:color w:val="808080" w:themeColor="background1" w:themeShade="80"/>
          <w:sz w:val="22"/>
          <w:szCs w:val="22"/>
          <w:lang w:val="en-GB"/>
        </w:rPr>
        <w:t>.</w:t>
      </w:r>
      <w:r w:rsidR="002D02AE" w:rsidRPr="002D02AE">
        <w:rPr>
          <w:rFonts w:ascii="Avenir Next" w:hAnsi="Avenir Next" w:cs="Arial"/>
          <w:color w:val="808080" w:themeColor="background1" w:themeShade="80"/>
          <w:sz w:val="22"/>
          <w:szCs w:val="22"/>
          <w:lang w:val="en-GB"/>
        </w:rPr>
        <w:t xml:space="preserve"> </w:t>
      </w:r>
      <w:r w:rsidR="00F548A8" w:rsidRPr="002D02AE">
        <w:rPr>
          <w:rFonts w:ascii="Avenir Next" w:hAnsi="Avenir Next" w:cs="Arial"/>
          <w:color w:val="808080" w:themeColor="background1" w:themeShade="80"/>
          <w:sz w:val="22"/>
          <w:szCs w:val="22"/>
          <w:lang w:val="en-GB"/>
        </w:rPr>
        <w:t>Thailand</w:t>
      </w:r>
      <w:r w:rsidR="00F548A8">
        <w:rPr>
          <w:rFonts w:ascii="Avenir Next" w:hAnsi="Avenir Next" w:cs="Arial"/>
          <w:color w:val="808080" w:themeColor="background1" w:themeShade="80"/>
          <w:sz w:val="22"/>
          <w:szCs w:val="22"/>
          <w:lang w:val="en-GB"/>
        </w:rPr>
        <w:t xml:space="preserve"> had </w:t>
      </w:r>
      <w:r w:rsidR="00EC2998">
        <w:rPr>
          <w:rFonts w:ascii="Avenir Next" w:hAnsi="Avenir Next" w:cs="Arial"/>
          <w:color w:val="808080" w:themeColor="background1" w:themeShade="80"/>
          <w:sz w:val="22"/>
          <w:szCs w:val="22"/>
          <w:lang w:val="en-GB"/>
        </w:rPr>
        <w:t>its</w:t>
      </w:r>
      <w:r w:rsidR="00F548A8">
        <w:rPr>
          <w:rFonts w:ascii="Avenir Next" w:hAnsi="Avenir Next" w:cs="Arial"/>
          <w:color w:val="808080" w:themeColor="background1" w:themeShade="80"/>
          <w:sz w:val="22"/>
          <w:szCs w:val="22"/>
          <w:lang w:val="en-GB"/>
        </w:rPr>
        <w:t xml:space="preserve"> econom</w:t>
      </w:r>
      <w:r w:rsidR="00EC2998">
        <w:rPr>
          <w:rFonts w:ascii="Avenir Next" w:hAnsi="Avenir Next" w:cs="Arial"/>
          <w:color w:val="808080" w:themeColor="background1" w:themeShade="80"/>
          <w:sz w:val="22"/>
          <w:szCs w:val="22"/>
          <w:lang w:val="en-GB"/>
        </w:rPr>
        <w:t xml:space="preserve">y </w:t>
      </w:r>
      <w:r w:rsidR="002D02AE" w:rsidRPr="002D02AE">
        <w:rPr>
          <w:rFonts w:ascii="Avenir Next" w:hAnsi="Avenir Next" w:cs="Arial"/>
          <w:color w:val="808080" w:themeColor="background1" w:themeShade="80"/>
          <w:sz w:val="22"/>
          <w:szCs w:val="22"/>
          <w:lang w:val="en-GB"/>
        </w:rPr>
        <w:t>particularly impacted, which aroused the need to modernize its insolvency system</w:t>
      </w:r>
      <w:r w:rsidR="00EC2998">
        <w:rPr>
          <w:rFonts w:ascii="Avenir Next" w:hAnsi="Avenir Next" w:cs="Arial"/>
          <w:color w:val="808080" w:themeColor="background1" w:themeShade="80"/>
          <w:sz w:val="22"/>
          <w:szCs w:val="22"/>
          <w:lang w:val="en-GB"/>
        </w:rPr>
        <w:t xml:space="preserve"> and led</w:t>
      </w:r>
      <w:r w:rsidR="002D02AE" w:rsidRPr="002D02AE">
        <w:rPr>
          <w:rFonts w:ascii="Avenir Next" w:hAnsi="Avenir Next" w:cs="Arial"/>
          <w:color w:val="808080" w:themeColor="background1" w:themeShade="80"/>
          <w:sz w:val="22"/>
          <w:szCs w:val="22"/>
          <w:lang w:val="en-GB"/>
        </w:rPr>
        <w:t xml:space="preserve"> </w:t>
      </w:r>
      <w:r w:rsidR="00EC53B1">
        <w:rPr>
          <w:rFonts w:ascii="Avenir Next" w:hAnsi="Avenir Next" w:cs="Arial"/>
          <w:color w:val="808080" w:themeColor="background1" w:themeShade="80"/>
          <w:sz w:val="22"/>
          <w:szCs w:val="22"/>
          <w:lang w:val="en-GB"/>
        </w:rPr>
        <w:t>to</w:t>
      </w:r>
      <w:r w:rsidR="002D02AE" w:rsidRPr="002D02AE">
        <w:rPr>
          <w:rFonts w:ascii="Avenir Next" w:hAnsi="Avenir Next" w:cs="Arial"/>
          <w:color w:val="808080" w:themeColor="background1" w:themeShade="80"/>
          <w:sz w:val="22"/>
          <w:szCs w:val="22"/>
          <w:lang w:val="en-GB"/>
        </w:rPr>
        <w:t xml:space="preserve"> </w:t>
      </w:r>
      <w:r w:rsidR="00EC2998">
        <w:rPr>
          <w:rFonts w:ascii="Avenir Next" w:hAnsi="Avenir Next" w:cs="Arial"/>
          <w:color w:val="808080" w:themeColor="background1" w:themeShade="80"/>
          <w:sz w:val="22"/>
          <w:szCs w:val="22"/>
          <w:lang w:val="en-GB"/>
        </w:rPr>
        <w:t>a</w:t>
      </w:r>
      <w:r w:rsidR="002D02AE" w:rsidRPr="002D02AE">
        <w:rPr>
          <w:rFonts w:ascii="Avenir Next" w:hAnsi="Avenir Next" w:cs="Arial"/>
          <w:color w:val="808080" w:themeColor="background1" w:themeShade="80"/>
          <w:sz w:val="22"/>
          <w:szCs w:val="22"/>
          <w:lang w:val="en-GB"/>
        </w:rPr>
        <w:t xml:space="preserve"> process </w:t>
      </w:r>
      <w:r w:rsidR="00EC53B1">
        <w:rPr>
          <w:rFonts w:ascii="Avenir Next" w:hAnsi="Avenir Next" w:cs="Arial"/>
          <w:color w:val="808080" w:themeColor="background1" w:themeShade="80"/>
          <w:sz w:val="22"/>
          <w:szCs w:val="22"/>
          <w:lang w:val="en-GB"/>
        </w:rPr>
        <w:t>of reviewing</w:t>
      </w:r>
      <w:r w:rsidR="002D02AE" w:rsidRPr="002D02AE">
        <w:rPr>
          <w:rFonts w:ascii="Avenir Next" w:hAnsi="Avenir Next" w:cs="Arial"/>
          <w:color w:val="808080" w:themeColor="background1" w:themeShade="80"/>
          <w:sz w:val="22"/>
          <w:szCs w:val="22"/>
          <w:lang w:val="en-GB"/>
        </w:rPr>
        <w:t xml:space="preserve"> its bankruptcy legislation. Singapore, as it has increasingly become an economically relevant country in the region, passed in October 2018 a new bankruptcy and corporate restructuring legislation, covering both individuals and companies. This new unified legislation entered into force on July 30, 2020.</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5F214389" w14:textId="3DB150AA" w:rsidR="005F6E88" w:rsidRDefault="00372215" w:rsidP="00372215">
      <w:pPr>
        <w:jc w:val="both"/>
        <w:rPr>
          <w:rFonts w:ascii="Avenir Next" w:hAnsi="Avenir Next" w:cs="Arial"/>
          <w:color w:val="808080" w:themeColor="background1" w:themeShade="80"/>
          <w:sz w:val="22"/>
          <w:szCs w:val="22"/>
          <w:lang w:val="en-GB"/>
        </w:rPr>
      </w:pPr>
      <w:r w:rsidRPr="00372215">
        <w:rPr>
          <w:rFonts w:ascii="Avenir Next" w:hAnsi="Avenir Next" w:cs="Arial"/>
          <w:color w:val="808080" w:themeColor="background1" w:themeShade="80"/>
          <w:sz w:val="22"/>
          <w:szCs w:val="22"/>
          <w:lang w:val="en-GB"/>
        </w:rPr>
        <w:t xml:space="preserve">In the 1970s onwards, the United States of America and Canada began negotiations to conclude a bilateral insolvency </w:t>
      </w:r>
      <w:r>
        <w:rPr>
          <w:rFonts w:ascii="Avenir Next" w:hAnsi="Avenir Next" w:cs="Arial"/>
          <w:color w:val="808080" w:themeColor="background1" w:themeShade="80"/>
          <w:sz w:val="22"/>
          <w:szCs w:val="22"/>
          <w:lang w:val="en-GB"/>
        </w:rPr>
        <w:t>treaty</w:t>
      </w:r>
      <w:r w:rsidRPr="00372215">
        <w:rPr>
          <w:rFonts w:ascii="Avenir Next" w:hAnsi="Avenir Next" w:cs="Arial"/>
          <w:color w:val="808080" w:themeColor="background1" w:themeShade="80"/>
          <w:sz w:val="22"/>
          <w:szCs w:val="22"/>
          <w:lang w:val="en-GB"/>
        </w:rPr>
        <w:t>. However, the attempt failed and the integration of the legal system of both countries improved</w:t>
      </w:r>
      <w:r>
        <w:rPr>
          <w:rFonts w:ascii="Avenir Next" w:hAnsi="Avenir Next" w:cs="Arial"/>
          <w:color w:val="808080" w:themeColor="background1" w:themeShade="80"/>
          <w:sz w:val="22"/>
          <w:szCs w:val="22"/>
          <w:lang w:val="en-GB"/>
        </w:rPr>
        <w:t xml:space="preserve"> a few years later</w:t>
      </w:r>
      <w:r w:rsidRPr="00372215">
        <w:rPr>
          <w:rFonts w:ascii="Avenir Next" w:hAnsi="Avenir Next" w:cs="Arial"/>
          <w:color w:val="808080" w:themeColor="background1" w:themeShade="80"/>
          <w:sz w:val="22"/>
          <w:szCs w:val="22"/>
          <w:lang w:val="en-GB"/>
        </w:rPr>
        <w:t xml:space="preserve"> with the adoption of the Model Law on Cross-border </w:t>
      </w:r>
      <w:r w:rsidR="00305248">
        <w:rPr>
          <w:rFonts w:ascii="Avenir Next" w:hAnsi="Avenir Next" w:cs="Arial"/>
          <w:color w:val="808080" w:themeColor="background1" w:themeShade="80"/>
          <w:sz w:val="22"/>
          <w:szCs w:val="22"/>
          <w:lang w:val="en-GB"/>
        </w:rPr>
        <w:t>I</w:t>
      </w:r>
      <w:r w:rsidRPr="00372215">
        <w:rPr>
          <w:rFonts w:ascii="Avenir Next" w:hAnsi="Avenir Next" w:cs="Arial"/>
          <w:color w:val="808080" w:themeColor="background1" w:themeShade="80"/>
          <w:sz w:val="22"/>
          <w:szCs w:val="22"/>
          <w:lang w:val="en-GB"/>
        </w:rPr>
        <w:t>nsolvency</w:t>
      </w:r>
      <w:r w:rsidR="00305248">
        <w:rPr>
          <w:rFonts w:ascii="Avenir Next" w:hAnsi="Avenir Next" w:cs="Arial"/>
          <w:color w:val="808080" w:themeColor="background1" w:themeShade="80"/>
          <w:sz w:val="22"/>
          <w:szCs w:val="22"/>
          <w:lang w:val="en-GB"/>
        </w:rPr>
        <w:t xml:space="preserve"> and through other mechanisms such as Protocols</w:t>
      </w:r>
      <w:r w:rsidRPr="00372215">
        <w:rPr>
          <w:rFonts w:ascii="Avenir Next" w:hAnsi="Avenir Next" w:cs="Arial"/>
          <w:color w:val="808080" w:themeColor="background1" w:themeShade="80"/>
          <w:sz w:val="22"/>
          <w:szCs w:val="22"/>
          <w:lang w:val="en-GB"/>
        </w:rPr>
        <w:t xml:space="preserve">. </w:t>
      </w:r>
    </w:p>
    <w:p w14:paraId="0BF0F50C" w14:textId="77777777" w:rsidR="005F6E88" w:rsidRDefault="005F6E88" w:rsidP="00372215">
      <w:pPr>
        <w:jc w:val="both"/>
        <w:rPr>
          <w:rFonts w:ascii="Avenir Next" w:hAnsi="Avenir Next" w:cs="Arial"/>
          <w:color w:val="808080" w:themeColor="background1" w:themeShade="80"/>
          <w:sz w:val="22"/>
          <w:szCs w:val="22"/>
          <w:lang w:val="en-GB"/>
        </w:rPr>
      </w:pPr>
    </w:p>
    <w:p w14:paraId="7C463174" w14:textId="77777777" w:rsidR="00C33B7E" w:rsidRDefault="00372215" w:rsidP="00692852">
      <w:pPr>
        <w:jc w:val="both"/>
        <w:rPr>
          <w:rFonts w:ascii="Avenir Next" w:hAnsi="Avenir Next" w:cs="Arial"/>
          <w:color w:val="808080" w:themeColor="background1" w:themeShade="80"/>
          <w:sz w:val="22"/>
          <w:szCs w:val="22"/>
          <w:lang w:val="en-GB"/>
        </w:rPr>
      </w:pPr>
      <w:r w:rsidRPr="00372215">
        <w:rPr>
          <w:rFonts w:ascii="Avenir Next" w:hAnsi="Avenir Next" w:cs="Arial"/>
          <w:color w:val="808080" w:themeColor="background1" w:themeShade="80"/>
          <w:sz w:val="22"/>
          <w:szCs w:val="22"/>
          <w:lang w:val="en-GB"/>
        </w:rPr>
        <w:t xml:space="preserve">In addition, the American Law Institute (ALI) </w:t>
      </w:r>
      <w:r w:rsidR="002F5510" w:rsidRPr="002F5510">
        <w:rPr>
          <w:rFonts w:ascii="Avenir Next" w:hAnsi="Avenir Next" w:cs="Arial"/>
          <w:color w:val="808080" w:themeColor="background1" w:themeShade="80"/>
          <w:sz w:val="22"/>
          <w:szCs w:val="22"/>
          <w:lang w:val="en-GB"/>
        </w:rPr>
        <w:t xml:space="preserve">promoted advances in terms of cooperation </w:t>
      </w:r>
      <w:r w:rsidR="007E1571" w:rsidRPr="002F5510">
        <w:rPr>
          <w:rFonts w:ascii="Avenir Next" w:hAnsi="Avenir Next" w:cs="Arial"/>
          <w:color w:val="808080" w:themeColor="background1" w:themeShade="80"/>
          <w:sz w:val="22"/>
          <w:szCs w:val="22"/>
          <w:lang w:val="en-GB"/>
        </w:rPr>
        <w:t xml:space="preserve">in matters </w:t>
      </w:r>
      <w:r w:rsidR="007E1571">
        <w:rPr>
          <w:rFonts w:ascii="Avenir Next" w:hAnsi="Avenir Next" w:cs="Arial"/>
          <w:color w:val="808080" w:themeColor="background1" w:themeShade="80"/>
          <w:sz w:val="22"/>
          <w:szCs w:val="22"/>
          <w:lang w:val="en-GB"/>
        </w:rPr>
        <w:t>related to</w:t>
      </w:r>
      <w:r w:rsidR="007E1571" w:rsidRPr="002F5510">
        <w:rPr>
          <w:rFonts w:ascii="Avenir Next" w:hAnsi="Avenir Next" w:cs="Arial"/>
          <w:color w:val="808080" w:themeColor="background1" w:themeShade="80"/>
          <w:sz w:val="22"/>
          <w:szCs w:val="22"/>
          <w:lang w:val="en-GB"/>
        </w:rPr>
        <w:t xml:space="preserve"> transnational insolvency</w:t>
      </w:r>
      <w:r w:rsidR="007E1571">
        <w:rPr>
          <w:rFonts w:ascii="Avenir Next" w:hAnsi="Avenir Next" w:cs="Arial"/>
          <w:color w:val="808080" w:themeColor="background1" w:themeShade="80"/>
          <w:sz w:val="22"/>
          <w:szCs w:val="22"/>
          <w:lang w:val="en-GB"/>
        </w:rPr>
        <w:t xml:space="preserve"> </w:t>
      </w:r>
      <w:r w:rsidR="002F5510" w:rsidRPr="002F5510">
        <w:rPr>
          <w:rFonts w:ascii="Avenir Next" w:hAnsi="Avenir Next" w:cs="Arial"/>
          <w:color w:val="808080" w:themeColor="background1" w:themeShade="80"/>
          <w:sz w:val="22"/>
          <w:szCs w:val="22"/>
          <w:lang w:val="en-GB"/>
        </w:rPr>
        <w:t xml:space="preserve">between </w:t>
      </w:r>
      <w:r w:rsidR="00CB33A1">
        <w:rPr>
          <w:rFonts w:ascii="Avenir Next" w:hAnsi="Avenir Next" w:cs="Arial"/>
          <w:color w:val="808080" w:themeColor="background1" w:themeShade="80"/>
          <w:sz w:val="22"/>
          <w:szCs w:val="22"/>
          <w:lang w:val="en-GB"/>
        </w:rPr>
        <w:t xml:space="preserve">the countries </w:t>
      </w:r>
      <w:r w:rsidR="007E1571">
        <w:rPr>
          <w:rFonts w:ascii="Avenir Next" w:hAnsi="Avenir Next" w:cs="Arial"/>
          <w:color w:val="808080" w:themeColor="background1" w:themeShade="80"/>
          <w:sz w:val="22"/>
          <w:szCs w:val="22"/>
          <w:lang w:val="en-GB"/>
        </w:rPr>
        <w:t xml:space="preserve">signatories of the </w:t>
      </w:r>
      <w:r w:rsidR="002F5510" w:rsidRPr="00372215">
        <w:rPr>
          <w:rFonts w:ascii="Avenir Next" w:hAnsi="Avenir Next" w:cs="Arial"/>
          <w:color w:val="808080" w:themeColor="background1" w:themeShade="80"/>
          <w:sz w:val="22"/>
          <w:szCs w:val="22"/>
          <w:lang w:val="en-GB"/>
        </w:rPr>
        <w:t xml:space="preserve">North American Free Trade Agreement </w:t>
      </w:r>
      <w:r w:rsidR="002F5510">
        <w:rPr>
          <w:rFonts w:ascii="Avenir Next" w:hAnsi="Avenir Next" w:cs="Arial"/>
          <w:color w:val="808080" w:themeColor="background1" w:themeShade="80"/>
          <w:sz w:val="22"/>
          <w:szCs w:val="22"/>
          <w:lang w:val="en-GB"/>
        </w:rPr>
        <w:t>(</w:t>
      </w:r>
      <w:r w:rsidR="002F5510" w:rsidRPr="002F5510">
        <w:rPr>
          <w:rFonts w:ascii="Avenir Next" w:hAnsi="Avenir Next" w:cs="Arial"/>
          <w:color w:val="808080" w:themeColor="background1" w:themeShade="80"/>
          <w:sz w:val="22"/>
          <w:szCs w:val="22"/>
          <w:lang w:val="en-GB"/>
        </w:rPr>
        <w:t>NAFTA</w:t>
      </w:r>
      <w:r w:rsidR="002F5510">
        <w:rPr>
          <w:rFonts w:ascii="Avenir Next" w:hAnsi="Avenir Next" w:cs="Arial"/>
          <w:color w:val="808080" w:themeColor="background1" w:themeShade="80"/>
          <w:sz w:val="22"/>
          <w:szCs w:val="22"/>
          <w:lang w:val="en-GB"/>
        </w:rPr>
        <w:t>)</w:t>
      </w:r>
      <w:r w:rsidR="007E1571">
        <w:rPr>
          <w:rFonts w:ascii="Avenir Next" w:hAnsi="Avenir Next" w:cs="Arial"/>
          <w:color w:val="808080" w:themeColor="background1" w:themeShade="80"/>
          <w:sz w:val="22"/>
          <w:szCs w:val="22"/>
          <w:lang w:val="en-GB"/>
        </w:rPr>
        <w:t xml:space="preserve">, such as </w:t>
      </w:r>
      <w:r w:rsidR="007E1571" w:rsidRPr="00372215">
        <w:rPr>
          <w:rFonts w:ascii="Avenir Next" w:hAnsi="Avenir Next" w:cs="Arial"/>
          <w:color w:val="808080" w:themeColor="background1" w:themeShade="80"/>
          <w:sz w:val="22"/>
          <w:szCs w:val="22"/>
          <w:lang w:val="en-GB"/>
        </w:rPr>
        <w:t xml:space="preserve">the United States of America, Canada and Mexico. </w:t>
      </w:r>
      <w:r w:rsidR="00CB33A1">
        <w:rPr>
          <w:rFonts w:ascii="Avenir Next" w:hAnsi="Avenir Next" w:cs="Arial"/>
          <w:color w:val="808080" w:themeColor="background1" w:themeShade="80"/>
          <w:sz w:val="22"/>
          <w:szCs w:val="22"/>
          <w:lang w:val="en-GB"/>
        </w:rPr>
        <w:t>For instance, t</w:t>
      </w:r>
      <w:r w:rsidRPr="00372215">
        <w:rPr>
          <w:rFonts w:ascii="Avenir Next" w:hAnsi="Avenir Next" w:cs="Arial"/>
          <w:color w:val="808080" w:themeColor="background1" w:themeShade="80"/>
          <w:sz w:val="22"/>
          <w:szCs w:val="22"/>
          <w:lang w:val="en-GB"/>
        </w:rPr>
        <w:t xml:space="preserve">he ALI Transnational Insolvency Project </w:t>
      </w:r>
      <w:r w:rsidR="00CB33A1">
        <w:rPr>
          <w:rFonts w:ascii="Avenir Next" w:hAnsi="Avenir Next" w:cs="Arial"/>
          <w:color w:val="808080" w:themeColor="background1" w:themeShade="80"/>
          <w:sz w:val="22"/>
          <w:szCs w:val="22"/>
          <w:lang w:val="en-GB"/>
        </w:rPr>
        <w:t xml:space="preserve">was </w:t>
      </w:r>
      <w:r w:rsidRPr="00372215">
        <w:rPr>
          <w:rFonts w:ascii="Avenir Next" w:hAnsi="Avenir Next" w:cs="Arial"/>
          <w:color w:val="808080" w:themeColor="background1" w:themeShade="80"/>
          <w:sz w:val="22"/>
          <w:szCs w:val="22"/>
          <w:lang w:val="en-GB"/>
        </w:rPr>
        <w:t xml:space="preserve">initiative to improve </w:t>
      </w:r>
      <w:r w:rsidR="00885AA8">
        <w:rPr>
          <w:rFonts w:ascii="Avenir Next" w:hAnsi="Avenir Next" w:cs="Arial"/>
          <w:color w:val="808080" w:themeColor="background1" w:themeShade="80"/>
          <w:sz w:val="22"/>
          <w:szCs w:val="22"/>
          <w:lang w:val="en-GB"/>
        </w:rPr>
        <w:t xml:space="preserve">insolvency </w:t>
      </w:r>
      <w:r w:rsidRPr="00372215">
        <w:rPr>
          <w:rFonts w:ascii="Avenir Next" w:hAnsi="Avenir Next" w:cs="Arial"/>
          <w:color w:val="808080" w:themeColor="background1" w:themeShade="80"/>
          <w:sz w:val="22"/>
          <w:szCs w:val="22"/>
          <w:lang w:val="en-GB"/>
        </w:rPr>
        <w:t xml:space="preserve">cooperation between NAFTA States </w:t>
      </w:r>
      <w:r w:rsidR="00CB33A1">
        <w:rPr>
          <w:rFonts w:ascii="Avenir Next" w:hAnsi="Avenir Next" w:cs="Arial"/>
          <w:color w:val="808080" w:themeColor="background1" w:themeShade="80"/>
          <w:sz w:val="22"/>
          <w:szCs w:val="22"/>
          <w:lang w:val="en-GB"/>
        </w:rPr>
        <w:t>that led to the approval i</w:t>
      </w:r>
      <w:r w:rsidRPr="00372215">
        <w:rPr>
          <w:rFonts w:ascii="Avenir Next" w:hAnsi="Avenir Next" w:cs="Arial"/>
          <w:color w:val="808080" w:themeColor="background1" w:themeShade="80"/>
          <w:sz w:val="22"/>
          <w:szCs w:val="22"/>
          <w:lang w:val="en-GB"/>
        </w:rPr>
        <w:t>n 2000</w:t>
      </w:r>
      <w:r w:rsidR="00CB33A1">
        <w:rPr>
          <w:rFonts w:ascii="Avenir Next" w:hAnsi="Avenir Next" w:cs="Arial"/>
          <w:color w:val="808080" w:themeColor="background1" w:themeShade="80"/>
          <w:sz w:val="22"/>
          <w:szCs w:val="22"/>
          <w:lang w:val="en-GB"/>
        </w:rPr>
        <w:t xml:space="preserve"> of</w:t>
      </w:r>
      <w:r w:rsidRPr="00372215">
        <w:rPr>
          <w:rFonts w:ascii="Avenir Next" w:hAnsi="Avenir Next" w:cs="Arial"/>
          <w:color w:val="808080" w:themeColor="background1" w:themeShade="80"/>
          <w:sz w:val="22"/>
          <w:szCs w:val="22"/>
          <w:lang w:val="en-GB"/>
        </w:rPr>
        <w:t xml:space="preserve"> the Principles of Cooperation among the NAFTA Countries</w:t>
      </w:r>
      <w:r w:rsidR="00CB33A1">
        <w:rPr>
          <w:rFonts w:ascii="Avenir Next" w:hAnsi="Avenir Next" w:cs="Arial"/>
          <w:color w:val="808080" w:themeColor="background1" w:themeShade="80"/>
          <w:sz w:val="22"/>
          <w:szCs w:val="22"/>
          <w:lang w:val="en-GB"/>
        </w:rPr>
        <w:t>.</w:t>
      </w:r>
    </w:p>
    <w:p w14:paraId="6DEA5E44" w14:textId="77777777" w:rsidR="00C33B7E" w:rsidRDefault="00C33B7E" w:rsidP="00692852">
      <w:pPr>
        <w:jc w:val="both"/>
        <w:rPr>
          <w:rFonts w:ascii="Avenir Next" w:hAnsi="Avenir Next" w:cs="Arial"/>
          <w:color w:val="808080" w:themeColor="background1" w:themeShade="80"/>
          <w:sz w:val="22"/>
          <w:szCs w:val="22"/>
          <w:lang w:val="en-GB"/>
        </w:rPr>
      </w:pPr>
    </w:p>
    <w:p w14:paraId="3BAC7097" w14:textId="19DA95A8" w:rsidR="00C33B7E" w:rsidRPr="00C33B7E" w:rsidRDefault="00C33B7E" w:rsidP="00692852">
      <w:pPr>
        <w:jc w:val="both"/>
        <w:rPr>
          <w:rFonts w:ascii="Avenir Next" w:hAnsi="Avenir Next" w:cs="Arial"/>
          <w:color w:val="808080" w:themeColor="background1" w:themeShade="80"/>
          <w:sz w:val="22"/>
          <w:szCs w:val="22"/>
          <w:lang w:val="en-GB"/>
        </w:rPr>
      </w:pPr>
      <w:r w:rsidRPr="00C33B7E">
        <w:rPr>
          <w:rFonts w:ascii="Avenir Next" w:hAnsi="Avenir Next" w:cs="Arial"/>
          <w:color w:val="808080" w:themeColor="background1" w:themeShade="80"/>
          <w:sz w:val="22"/>
          <w:szCs w:val="22"/>
          <w:lang w:val="en-GB"/>
        </w:rPr>
        <w:t>The N</w:t>
      </w:r>
      <w:r>
        <w:rPr>
          <w:rFonts w:ascii="Avenir Next" w:hAnsi="Avenir Next" w:cs="Arial"/>
          <w:color w:val="808080" w:themeColor="background1" w:themeShade="80"/>
          <w:sz w:val="22"/>
          <w:szCs w:val="22"/>
          <w:lang w:val="en-GB"/>
        </w:rPr>
        <w:t>AFTA</w:t>
      </w:r>
      <w:r w:rsidRPr="00C33B7E">
        <w:rPr>
          <w:rFonts w:ascii="Avenir Next" w:hAnsi="Avenir Next" w:cs="Arial"/>
          <w:color w:val="808080" w:themeColor="background1" w:themeShade="80"/>
          <w:sz w:val="22"/>
          <w:szCs w:val="22"/>
          <w:lang w:val="en-GB"/>
        </w:rPr>
        <w:t xml:space="preserve"> principles focus on insolvency of companies and other legal entities involved in business operations. Therefore, they exclude the insolvency of individuals (natural persons)</w:t>
      </w:r>
      <w:r>
        <w:rPr>
          <w:rFonts w:ascii="Avenir Next" w:hAnsi="Avenir Next" w:cs="Arial"/>
          <w:color w:val="808080" w:themeColor="background1" w:themeShade="80"/>
          <w:sz w:val="22"/>
          <w:szCs w:val="22"/>
          <w:lang w:val="en-GB"/>
        </w:rPr>
        <w:t xml:space="preserve"> and they </w:t>
      </w:r>
      <w:r w:rsidRPr="00C33B7E">
        <w:rPr>
          <w:rFonts w:ascii="Avenir Next" w:hAnsi="Avenir Next" w:cs="Arial"/>
          <w:color w:val="808080" w:themeColor="background1" w:themeShade="80"/>
          <w:sz w:val="22"/>
          <w:szCs w:val="22"/>
          <w:lang w:val="en-GB"/>
        </w:rPr>
        <w:t>also do not deal with the financial crisis of non-profit organizations and financial institutions. In addition, NAFTA principles recommend that each signatory country of the treaty also adhere to the Model Law on Cross-border insolvency</w:t>
      </w:r>
      <w:r w:rsidR="00302820">
        <w:rPr>
          <w:rFonts w:ascii="Avenir Next" w:hAnsi="Avenir Next" w:cs="Arial"/>
          <w:color w:val="808080" w:themeColor="background1" w:themeShade="80"/>
          <w:sz w:val="22"/>
          <w:szCs w:val="22"/>
          <w:lang w:val="en-GB"/>
        </w:rPr>
        <w:t>, in order to improve the international cooperation in transnational insolvency matters</w:t>
      </w:r>
      <w:r w:rsidRPr="00C33B7E">
        <w:rPr>
          <w:rFonts w:ascii="Avenir Next" w:hAnsi="Avenir Next" w:cs="Arial"/>
          <w:color w:val="808080" w:themeColor="background1" w:themeShade="80"/>
          <w:sz w:val="22"/>
          <w:szCs w:val="22"/>
          <w:lang w:val="en-GB"/>
        </w:rPr>
        <w:t>. Other points addressed by the NAFTA principles are automatic stays; notice to creditors; claims priority order; binding effect of reorganization plans; and simplified procedures for document authentication.</w:t>
      </w: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3761B031" w:rsidR="00AB63DE" w:rsidRDefault="00A36291" w:rsidP="00A36291">
      <w:pPr>
        <w:jc w:val="both"/>
        <w:rPr>
          <w:rFonts w:ascii="Avenir Next" w:hAnsi="Avenir Next" w:cs="Arial"/>
          <w:color w:val="808080" w:themeColor="background1" w:themeShade="80"/>
          <w:sz w:val="22"/>
          <w:szCs w:val="22"/>
          <w:lang w:val="en-GB"/>
        </w:rPr>
      </w:pPr>
      <w:r w:rsidRPr="00A36291">
        <w:rPr>
          <w:rFonts w:ascii="Avenir Next" w:hAnsi="Avenir Next" w:cs="Arial"/>
          <w:color w:val="808080" w:themeColor="background1" w:themeShade="80"/>
          <w:sz w:val="22"/>
          <w:szCs w:val="22"/>
          <w:lang w:val="en-GB"/>
        </w:rPr>
        <w:t xml:space="preserve">The essence of an insolvency </w:t>
      </w:r>
      <w:r>
        <w:rPr>
          <w:rFonts w:ascii="Avenir Next" w:hAnsi="Avenir Next" w:cs="Arial"/>
          <w:color w:val="808080" w:themeColor="background1" w:themeShade="80"/>
          <w:sz w:val="22"/>
          <w:szCs w:val="22"/>
          <w:lang w:val="en-GB"/>
        </w:rPr>
        <w:t xml:space="preserve">legal proceeding </w:t>
      </w:r>
      <w:r w:rsidRPr="00A36291">
        <w:rPr>
          <w:rFonts w:ascii="Avenir Next" w:hAnsi="Avenir Next" w:cs="Arial"/>
          <w:color w:val="808080" w:themeColor="background1" w:themeShade="80"/>
          <w:sz w:val="22"/>
          <w:szCs w:val="22"/>
          <w:lang w:val="en-GB"/>
        </w:rPr>
        <w:t xml:space="preserve">is that there is a collective debt recovery process, which will discourage one or another creditor from proceeding with individual asset expropriation measures. However, some debtor transactions that took place prior to the bankruptcy may suggest that they were carried out through fraud, which requires investigation. In the event that the fraud is recognized, the legal act will be declared ineffective </w:t>
      </w:r>
      <w:r w:rsidR="004A588B">
        <w:rPr>
          <w:rFonts w:ascii="Avenir Next" w:hAnsi="Avenir Next" w:cs="Arial"/>
          <w:color w:val="808080" w:themeColor="background1" w:themeShade="80"/>
          <w:sz w:val="22"/>
          <w:szCs w:val="22"/>
          <w:lang w:val="en-GB"/>
        </w:rPr>
        <w:t xml:space="preserve">before the bankruptcy estate </w:t>
      </w:r>
      <w:r w:rsidRPr="00A36291">
        <w:rPr>
          <w:rFonts w:ascii="Avenir Next" w:hAnsi="Avenir Next" w:cs="Arial"/>
          <w:color w:val="808080" w:themeColor="background1" w:themeShade="80"/>
          <w:sz w:val="22"/>
          <w:szCs w:val="22"/>
          <w:lang w:val="en-GB"/>
        </w:rPr>
        <w:t xml:space="preserve">and </w:t>
      </w:r>
      <w:r w:rsidR="004A588B">
        <w:rPr>
          <w:rFonts w:ascii="Avenir Next" w:hAnsi="Avenir Next" w:cs="Arial"/>
          <w:color w:val="808080" w:themeColor="background1" w:themeShade="80"/>
          <w:sz w:val="22"/>
          <w:szCs w:val="22"/>
          <w:lang w:val="en-GB"/>
        </w:rPr>
        <w:t>those creditors</w:t>
      </w:r>
      <w:r w:rsidRPr="00A36291">
        <w:rPr>
          <w:rFonts w:ascii="Avenir Next" w:hAnsi="Avenir Next" w:cs="Arial"/>
          <w:color w:val="808080" w:themeColor="background1" w:themeShade="80"/>
          <w:sz w:val="22"/>
          <w:szCs w:val="22"/>
          <w:lang w:val="en-GB"/>
        </w:rPr>
        <w:t xml:space="preserve"> must be refunded in the amount determined by the practice of the illicit.</w:t>
      </w:r>
    </w:p>
    <w:p w14:paraId="39B12144" w14:textId="5B5602E5" w:rsidR="00A83660" w:rsidRDefault="00A83660" w:rsidP="00A36291">
      <w:pPr>
        <w:jc w:val="both"/>
        <w:rPr>
          <w:rFonts w:ascii="Avenir Next" w:hAnsi="Avenir Next" w:cs="Arial"/>
          <w:color w:val="808080" w:themeColor="background1" w:themeShade="80"/>
          <w:sz w:val="22"/>
          <w:szCs w:val="22"/>
          <w:lang w:val="en-GB"/>
        </w:rPr>
      </w:pPr>
    </w:p>
    <w:p w14:paraId="0DB9F931" w14:textId="47CB9D66" w:rsidR="00A83660" w:rsidRDefault="00A83660" w:rsidP="00A36291">
      <w:pPr>
        <w:jc w:val="both"/>
        <w:rPr>
          <w:rFonts w:ascii="Avenir Next" w:hAnsi="Avenir Next" w:cs="Arial"/>
          <w:color w:val="808080" w:themeColor="background1" w:themeShade="80"/>
          <w:sz w:val="22"/>
          <w:szCs w:val="22"/>
        </w:rPr>
      </w:pPr>
      <w:r w:rsidRPr="00A83660">
        <w:rPr>
          <w:rFonts w:ascii="Avenir Next" w:hAnsi="Avenir Next" w:cs="Arial"/>
          <w:color w:val="808080" w:themeColor="background1" w:themeShade="80"/>
          <w:sz w:val="22"/>
          <w:szCs w:val="22"/>
        </w:rPr>
        <w:t>In the legal system of English tradition, the root for the settlement of voidable transactions is in the Elizabeth Act of 1570, which introduced a first "bankruptcy statute</w:t>
      </w:r>
      <w:r>
        <w:rPr>
          <w:rFonts w:ascii="Avenir Next" w:hAnsi="Avenir Next" w:cs="Arial"/>
          <w:color w:val="808080" w:themeColor="background1" w:themeShade="80"/>
          <w:sz w:val="22"/>
          <w:szCs w:val="22"/>
        </w:rPr>
        <w:t>”</w:t>
      </w:r>
      <w:r w:rsidRPr="00A83660">
        <w:rPr>
          <w:rFonts w:ascii="Avenir Next" w:hAnsi="Avenir Next" w:cs="Arial"/>
          <w:color w:val="808080" w:themeColor="background1" w:themeShade="80"/>
          <w:sz w:val="22"/>
          <w:szCs w:val="22"/>
        </w:rPr>
        <w:t>, which also contained textual provisions for the prevention of fraud. It is recalled that the foundations for a fair bankruptcy process had already been laid by the English Bankruptcy Act of 1542, which contained two fundamental principles for the bankruptcy process: collective debt collection and equitable distribution of liquidated assets among creditors</w:t>
      </w:r>
      <w:r w:rsidR="00F61B1B">
        <w:rPr>
          <w:rFonts w:ascii="Avenir Next" w:hAnsi="Avenir Next" w:cs="Arial"/>
          <w:color w:val="808080" w:themeColor="background1" w:themeShade="80"/>
          <w:sz w:val="22"/>
          <w:szCs w:val="22"/>
        </w:rPr>
        <w:t>.</w:t>
      </w:r>
      <w:r w:rsidR="00F1337F">
        <w:rPr>
          <w:rFonts w:ascii="Avenir Next" w:hAnsi="Avenir Next" w:cs="Arial"/>
          <w:color w:val="808080" w:themeColor="background1" w:themeShade="80"/>
          <w:sz w:val="22"/>
          <w:szCs w:val="22"/>
        </w:rPr>
        <w:t xml:space="preserve"> </w:t>
      </w:r>
    </w:p>
    <w:p w14:paraId="55FD992C" w14:textId="7CEA1D13" w:rsidR="00B44E3A" w:rsidRDefault="00B44E3A" w:rsidP="00A36291">
      <w:pPr>
        <w:jc w:val="both"/>
        <w:rPr>
          <w:rFonts w:ascii="Avenir Next" w:hAnsi="Avenir Next" w:cs="Arial"/>
          <w:color w:val="808080" w:themeColor="background1" w:themeShade="80"/>
          <w:sz w:val="22"/>
          <w:szCs w:val="22"/>
        </w:rPr>
      </w:pPr>
    </w:p>
    <w:p w14:paraId="7E9F61C4" w14:textId="79A51539" w:rsidR="00AB63DE" w:rsidRDefault="00B44E3A" w:rsidP="006928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w:t>
      </w:r>
      <w:r w:rsidR="001F26E2">
        <w:rPr>
          <w:rFonts w:ascii="Avenir Next" w:hAnsi="Avenir Next" w:cs="Arial"/>
          <w:color w:val="808080" w:themeColor="background1" w:themeShade="80"/>
          <w:sz w:val="22"/>
          <w:szCs w:val="22"/>
        </w:rPr>
        <w:t xml:space="preserve">civil law </w:t>
      </w:r>
      <w:r w:rsidR="00C53986">
        <w:rPr>
          <w:rFonts w:ascii="Avenir Next" w:hAnsi="Avenir Next" w:cs="Arial"/>
          <w:color w:val="808080" w:themeColor="background1" w:themeShade="80"/>
          <w:sz w:val="22"/>
          <w:szCs w:val="22"/>
        </w:rPr>
        <w:t>systems</w:t>
      </w:r>
      <w:r>
        <w:rPr>
          <w:rFonts w:ascii="Avenir Next" w:hAnsi="Avenir Next" w:cs="Arial"/>
          <w:color w:val="808080" w:themeColor="background1" w:themeShade="80"/>
          <w:sz w:val="22"/>
          <w:szCs w:val="22"/>
        </w:rPr>
        <w:t>,</w:t>
      </w:r>
      <w:r w:rsidR="00C53986">
        <w:rPr>
          <w:rFonts w:ascii="Avenir Next" w:hAnsi="Avenir Next" w:cs="Arial"/>
          <w:color w:val="808080" w:themeColor="background1" w:themeShade="80"/>
          <w:sz w:val="22"/>
          <w:szCs w:val="22"/>
        </w:rPr>
        <w:t xml:space="preserve"> in other hand,</w:t>
      </w:r>
      <w:r>
        <w:rPr>
          <w:rFonts w:ascii="Avenir Next" w:hAnsi="Avenir Next" w:cs="Arial"/>
          <w:color w:val="808080" w:themeColor="background1" w:themeShade="80"/>
          <w:sz w:val="22"/>
          <w:szCs w:val="22"/>
        </w:rPr>
        <w:t xml:space="preserve"> the </w:t>
      </w:r>
      <w:proofErr w:type="spellStart"/>
      <w:r>
        <w:rPr>
          <w:rFonts w:ascii="Avenir Next" w:hAnsi="Avenir Next" w:cs="Arial"/>
          <w:color w:val="808080" w:themeColor="background1" w:themeShade="80"/>
          <w:sz w:val="22"/>
          <w:szCs w:val="22"/>
        </w:rPr>
        <w:t>actio</w:t>
      </w:r>
      <w:proofErr w:type="spellEnd"/>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pauliana</w:t>
      </w:r>
      <w:proofErr w:type="spellEnd"/>
      <w:r>
        <w:rPr>
          <w:rFonts w:ascii="Avenir Next" w:hAnsi="Avenir Next" w:cs="Arial"/>
          <w:color w:val="808080" w:themeColor="background1" w:themeShade="80"/>
          <w:sz w:val="22"/>
          <w:szCs w:val="22"/>
        </w:rPr>
        <w:t xml:space="preserve"> is </w:t>
      </w:r>
      <w:r w:rsidR="00C53986">
        <w:rPr>
          <w:rFonts w:ascii="Avenir Next" w:hAnsi="Avenir Next" w:cs="Arial"/>
          <w:color w:val="808080" w:themeColor="background1" w:themeShade="80"/>
          <w:sz w:val="22"/>
          <w:szCs w:val="22"/>
        </w:rPr>
        <w:t xml:space="preserve">a </w:t>
      </w:r>
      <w:r>
        <w:rPr>
          <w:rFonts w:ascii="Avenir Next" w:hAnsi="Avenir Next" w:cs="Arial"/>
          <w:color w:val="808080" w:themeColor="background1" w:themeShade="80"/>
          <w:sz w:val="22"/>
          <w:szCs w:val="22"/>
        </w:rPr>
        <w:t xml:space="preserve">typical remedy </w:t>
      </w:r>
      <w:r w:rsidR="00E845E5">
        <w:rPr>
          <w:rFonts w:ascii="Avenir Next" w:hAnsi="Avenir Next" w:cs="Arial"/>
          <w:color w:val="808080" w:themeColor="background1" w:themeShade="80"/>
          <w:sz w:val="22"/>
          <w:szCs w:val="22"/>
        </w:rPr>
        <w:t xml:space="preserve">which </w:t>
      </w:r>
      <w:r w:rsidR="00E845E5" w:rsidRPr="00E845E5">
        <w:rPr>
          <w:rFonts w:ascii="Avenir Next" w:hAnsi="Avenir Next" w:cs="Arial"/>
          <w:color w:val="808080" w:themeColor="background1" w:themeShade="80"/>
          <w:sz w:val="22"/>
          <w:szCs w:val="22"/>
        </w:rPr>
        <w:t>main objective is to</w:t>
      </w:r>
      <w:r w:rsidR="00636ECB">
        <w:rPr>
          <w:rFonts w:ascii="Avenir Next" w:hAnsi="Avenir Next" w:cs="Arial"/>
          <w:color w:val="808080" w:themeColor="background1" w:themeShade="80"/>
          <w:sz w:val="22"/>
          <w:szCs w:val="22"/>
        </w:rPr>
        <w:t xml:space="preserve"> </w:t>
      </w:r>
      <w:r w:rsidR="00E845E5" w:rsidRPr="00E845E5">
        <w:rPr>
          <w:rFonts w:ascii="Avenir Next" w:hAnsi="Avenir Next" w:cs="Arial"/>
          <w:color w:val="808080" w:themeColor="background1" w:themeShade="80"/>
          <w:sz w:val="22"/>
          <w:szCs w:val="22"/>
        </w:rPr>
        <w:t>recover goods or assets where a debtor has transferred assets to a third party with</w:t>
      </w:r>
      <w:r w:rsidR="00636ECB">
        <w:rPr>
          <w:rFonts w:ascii="Avenir Next" w:hAnsi="Avenir Next" w:cs="Arial"/>
          <w:color w:val="808080" w:themeColor="background1" w:themeShade="80"/>
          <w:sz w:val="22"/>
          <w:szCs w:val="22"/>
        </w:rPr>
        <w:t xml:space="preserve"> </w:t>
      </w:r>
      <w:r w:rsidR="00E845E5" w:rsidRPr="00E845E5">
        <w:rPr>
          <w:rFonts w:ascii="Avenir Next" w:hAnsi="Avenir Next" w:cs="Arial"/>
          <w:color w:val="808080" w:themeColor="background1" w:themeShade="80"/>
          <w:sz w:val="22"/>
          <w:szCs w:val="22"/>
        </w:rPr>
        <w:t>intent to defraud its creditors.</w:t>
      </w:r>
      <w:r w:rsidR="0010672B">
        <w:rPr>
          <w:rFonts w:ascii="Avenir Next" w:hAnsi="Avenir Next" w:cs="Arial"/>
          <w:color w:val="808080" w:themeColor="background1" w:themeShade="80"/>
          <w:sz w:val="22"/>
          <w:szCs w:val="22"/>
        </w:rPr>
        <w:t xml:space="preserve"> In addition, </w:t>
      </w:r>
      <w:r w:rsidR="0010672B" w:rsidRPr="0010672B">
        <w:rPr>
          <w:rFonts w:ascii="Avenir Next" w:hAnsi="Avenir Next" w:cs="Arial"/>
          <w:color w:val="808080" w:themeColor="background1" w:themeShade="80"/>
          <w:sz w:val="22"/>
          <w:szCs w:val="22"/>
        </w:rPr>
        <w:t xml:space="preserve">the </w:t>
      </w:r>
      <w:r w:rsidR="0010672B">
        <w:rPr>
          <w:rFonts w:ascii="Avenir Next" w:hAnsi="Avenir Next" w:cs="Arial"/>
          <w:color w:val="808080" w:themeColor="background1" w:themeShade="80"/>
          <w:sz w:val="22"/>
          <w:szCs w:val="22"/>
        </w:rPr>
        <w:t xml:space="preserve">right to file </w:t>
      </w:r>
      <w:proofErr w:type="spellStart"/>
      <w:r w:rsidR="0010672B">
        <w:rPr>
          <w:rFonts w:ascii="Avenir Next" w:hAnsi="Avenir Next" w:cs="Arial"/>
          <w:color w:val="808080" w:themeColor="background1" w:themeShade="80"/>
          <w:sz w:val="22"/>
          <w:szCs w:val="22"/>
        </w:rPr>
        <w:t>acti</w:t>
      </w:r>
      <w:r w:rsidR="00EA5A1A">
        <w:rPr>
          <w:rFonts w:ascii="Avenir Next" w:hAnsi="Avenir Next" w:cs="Arial"/>
          <w:color w:val="808080" w:themeColor="background1" w:themeShade="80"/>
          <w:sz w:val="22"/>
          <w:szCs w:val="22"/>
        </w:rPr>
        <w:t>o</w:t>
      </w:r>
      <w:proofErr w:type="spellEnd"/>
      <w:r w:rsidR="0010672B">
        <w:rPr>
          <w:rFonts w:ascii="Avenir Next" w:hAnsi="Avenir Next" w:cs="Arial"/>
          <w:color w:val="808080" w:themeColor="background1" w:themeShade="80"/>
          <w:sz w:val="22"/>
          <w:szCs w:val="22"/>
        </w:rPr>
        <w:t xml:space="preserve"> </w:t>
      </w:r>
      <w:proofErr w:type="spellStart"/>
      <w:r w:rsidR="0010672B">
        <w:rPr>
          <w:rFonts w:ascii="Avenir Next" w:hAnsi="Avenir Next" w:cs="Arial"/>
          <w:color w:val="808080" w:themeColor="background1" w:themeShade="80"/>
          <w:sz w:val="22"/>
          <w:szCs w:val="22"/>
        </w:rPr>
        <w:t>pauliana</w:t>
      </w:r>
      <w:proofErr w:type="spellEnd"/>
      <w:r w:rsidR="0010672B">
        <w:rPr>
          <w:rFonts w:ascii="Avenir Next" w:hAnsi="Avenir Next" w:cs="Arial"/>
          <w:color w:val="808080" w:themeColor="background1" w:themeShade="80"/>
          <w:sz w:val="22"/>
          <w:szCs w:val="22"/>
        </w:rPr>
        <w:t xml:space="preserve"> arises </w:t>
      </w:r>
      <w:r w:rsidR="0010672B" w:rsidRPr="0010672B">
        <w:rPr>
          <w:rFonts w:ascii="Avenir Next" w:hAnsi="Avenir Next" w:cs="Arial"/>
          <w:color w:val="808080" w:themeColor="background1" w:themeShade="80"/>
          <w:sz w:val="22"/>
          <w:szCs w:val="22"/>
        </w:rPr>
        <w:t>when the fraudulent disposal was made with the</w:t>
      </w:r>
      <w:r w:rsidR="00C53986">
        <w:rPr>
          <w:rFonts w:ascii="Avenir Next" w:hAnsi="Avenir Next" w:cs="Arial"/>
          <w:color w:val="808080" w:themeColor="background1" w:themeShade="80"/>
          <w:sz w:val="22"/>
          <w:szCs w:val="22"/>
        </w:rPr>
        <w:t xml:space="preserve"> </w:t>
      </w:r>
      <w:r w:rsidR="0010672B" w:rsidRPr="0010672B">
        <w:rPr>
          <w:rFonts w:ascii="Avenir Next" w:hAnsi="Avenir Next" w:cs="Arial"/>
          <w:color w:val="808080" w:themeColor="background1" w:themeShade="80"/>
          <w:sz w:val="22"/>
          <w:szCs w:val="22"/>
        </w:rPr>
        <w:t>knowledge of the person to whom the alienation was made</w:t>
      </w:r>
      <w:r w:rsidR="0010672B">
        <w:rPr>
          <w:rFonts w:ascii="Avenir Next" w:hAnsi="Avenir Next" w:cs="Arial"/>
          <w:color w:val="808080" w:themeColor="background1" w:themeShade="80"/>
          <w:sz w:val="22"/>
          <w:szCs w:val="22"/>
        </w:rPr>
        <w:t>.</w:t>
      </w:r>
    </w:p>
    <w:p w14:paraId="3CE3ACD6" w14:textId="056A742D" w:rsidR="002B6633" w:rsidRDefault="002B6633" w:rsidP="00692852">
      <w:pPr>
        <w:jc w:val="both"/>
        <w:rPr>
          <w:rFonts w:ascii="Avenir Next" w:hAnsi="Avenir Next" w:cs="Arial"/>
          <w:color w:val="808080" w:themeColor="background1" w:themeShade="80"/>
          <w:sz w:val="22"/>
          <w:szCs w:val="22"/>
        </w:rPr>
      </w:pPr>
    </w:p>
    <w:p w14:paraId="48BA894C" w14:textId="77777777" w:rsidR="00E242B1" w:rsidRDefault="002B6633" w:rsidP="00692852">
      <w:pPr>
        <w:jc w:val="both"/>
        <w:rPr>
          <w:rFonts w:ascii="Avenir Next" w:hAnsi="Avenir Next" w:cs="Arial"/>
          <w:color w:val="808080" w:themeColor="background1" w:themeShade="80"/>
          <w:sz w:val="22"/>
          <w:szCs w:val="22"/>
        </w:rPr>
      </w:pPr>
      <w:r w:rsidRPr="002B6633">
        <w:rPr>
          <w:rFonts w:ascii="Avenir Next" w:hAnsi="Avenir Next" w:cs="Arial"/>
          <w:color w:val="808080" w:themeColor="background1" w:themeShade="80"/>
          <w:sz w:val="22"/>
          <w:szCs w:val="22"/>
        </w:rPr>
        <w:t xml:space="preserve">The differences between the two remedies may arise from the conception that in Roman Law debtors could be sentenced to prison and death, while in England initially the legal system did not even provide for the possibility of incarceration on account of </w:t>
      </w:r>
      <w:r>
        <w:rPr>
          <w:rFonts w:ascii="Avenir Next" w:hAnsi="Avenir Next" w:cs="Arial"/>
          <w:color w:val="808080" w:themeColor="background1" w:themeShade="80"/>
          <w:sz w:val="22"/>
          <w:szCs w:val="22"/>
        </w:rPr>
        <w:t xml:space="preserve">non-payment of a </w:t>
      </w:r>
      <w:r w:rsidRPr="002B6633">
        <w:rPr>
          <w:rFonts w:ascii="Avenir Next" w:hAnsi="Avenir Next" w:cs="Arial"/>
          <w:color w:val="808080" w:themeColor="background1" w:themeShade="80"/>
          <w:sz w:val="22"/>
          <w:szCs w:val="22"/>
        </w:rPr>
        <w:t xml:space="preserve">debt. This option was only introduced in the late 13th century by the Statute of </w:t>
      </w:r>
      <w:proofErr w:type="spellStart"/>
      <w:r w:rsidRPr="002B6633">
        <w:rPr>
          <w:rFonts w:ascii="Avenir Next" w:hAnsi="Avenir Next" w:cs="Arial"/>
          <w:color w:val="808080" w:themeColor="background1" w:themeShade="80"/>
          <w:sz w:val="22"/>
          <w:szCs w:val="22"/>
        </w:rPr>
        <w:t>Marlbridge</w:t>
      </w:r>
      <w:proofErr w:type="spellEnd"/>
      <w:r w:rsidRPr="002B6633">
        <w:rPr>
          <w:rFonts w:ascii="Avenir Next" w:hAnsi="Avenir Next" w:cs="Arial"/>
          <w:color w:val="808080" w:themeColor="background1" w:themeShade="80"/>
          <w:sz w:val="22"/>
          <w:szCs w:val="22"/>
        </w:rPr>
        <w:t xml:space="preserve"> of 1267</w:t>
      </w:r>
      <w:r>
        <w:rPr>
          <w:rFonts w:ascii="Avenir Next" w:hAnsi="Avenir Next" w:cs="Arial"/>
          <w:color w:val="808080" w:themeColor="background1" w:themeShade="80"/>
          <w:sz w:val="22"/>
          <w:szCs w:val="22"/>
        </w:rPr>
        <w:t xml:space="preserve"> and abolished in 1869 by the Debtors Act.</w:t>
      </w:r>
      <w:r w:rsidR="00E242B1">
        <w:rPr>
          <w:rFonts w:ascii="Avenir Next" w:hAnsi="Avenir Next" w:cs="Arial"/>
          <w:color w:val="808080" w:themeColor="background1" w:themeShade="80"/>
          <w:sz w:val="22"/>
          <w:szCs w:val="22"/>
        </w:rPr>
        <w:t xml:space="preserve"> </w:t>
      </w:r>
      <w:r w:rsidR="00172D96">
        <w:rPr>
          <w:rFonts w:ascii="Avenir Next" w:hAnsi="Avenir Next" w:cs="Arial"/>
          <w:color w:val="808080" w:themeColor="background1" w:themeShade="80"/>
          <w:sz w:val="22"/>
          <w:szCs w:val="22"/>
        </w:rPr>
        <w:t>Hence</w:t>
      </w:r>
      <w:r w:rsidR="00172D96" w:rsidRPr="00172D96">
        <w:rPr>
          <w:rFonts w:ascii="Avenir Next" w:hAnsi="Avenir Next" w:cs="Arial"/>
          <w:color w:val="808080" w:themeColor="background1" w:themeShade="80"/>
          <w:sz w:val="22"/>
          <w:szCs w:val="22"/>
        </w:rPr>
        <w:t>, it can be noted that</w:t>
      </w:r>
      <w:r w:rsidR="00E242B1">
        <w:rPr>
          <w:rFonts w:ascii="Avenir Next" w:hAnsi="Avenir Next" w:cs="Arial"/>
          <w:color w:val="808080" w:themeColor="background1" w:themeShade="80"/>
          <w:sz w:val="22"/>
          <w:szCs w:val="22"/>
        </w:rPr>
        <w:t xml:space="preserve"> </w:t>
      </w:r>
      <w:r w:rsidR="00172D96" w:rsidRPr="00172D96">
        <w:rPr>
          <w:rFonts w:ascii="Avenir Next" w:hAnsi="Avenir Next" w:cs="Arial"/>
          <w:color w:val="808080" w:themeColor="background1" w:themeShade="80"/>
          <w:sz w:val="22"/>
          <w:szCs w:val="22"/>
        </w:rPr>
        <w:t xml:space="preserve">between the 13th and 19th centuries the </w:t>
      </w:r>
      <w:r w:rsidR="00146419">
        <w:rPr>
          <w:rFonts w:ascii="Avenir Next" w:hAnsi="Avenir Next" w:cs="Arial"/>
          <w:color w:val="808080" w:themeColor="background1" w:themeShade="80"/>
          <w:sz w:val="22"/>
          <w:szCs w:val="22"/>
        </w:rPr>
        <w:t xml:space="preserve">English </w:t>
      </w:r>
      <w:r w:rsidR="00172D96" w:rsidRPr="00172D96">
        <w:rPr>
          <w:rFonts w:ascii="Avenir Next" w:hAnsi="Avenir Next" w:cs="Arial"/>
          <w:color w:val="808080" w:themeColor="background1" w:themeShade="80"/>
          <w:sz w:val="22"/>
          <w:szCs w:val="22"/>
        </w:rPr>
        <w:t>insolvency system was pro creditor</w:t>
      </w:r>
      <w:r w:rsidR="00E242B1">
        <w:rPr>
          <w:rFonts w:ascii="Avenir Next" w:hAnsi="Avenir Next" w:cs="Arial"/>
          <w:color w:val="808080" w:themeColor="background1" w:themeShade="80"/>
          <w:sz w:val="22"/>
          <w:szCs w:val="22"/>
        </w:rPr>
        <w:t>.</w:t>
      </w:r>
    </w:p>
    <w:p w14:paraId="17B103A1" w14:textId="77777777" w:rsidR="00E242B1" w:rsidRDefault="00E242B1" w:rsidP="00692852">
      <w:pPr>
        <w:jc w:val="both"/>
        <w:rPr>
          <w:rFonts w:ascii="Avenir Next" w:hAnsi="Avenir Next" w:cs="Arial"/>
          <w:color w:val="808080" w:themeColor="background1" w:themeShade="80"/>
          <w:sz w:val="22"/>
          <w:szCs w:val="22"/>
        </w:rPr>
      </w:pPr>
    </w:p>
    <w:p w14:paraId="26A60D46" w14:textId="4A787216" w:rsidR="00172D96" w:rsidRPr="00C53986" w:rsidRDefault="00E242B1" w:rsidP="006928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any case, </w:t>
      </w:r>
      <w:r w:rsidR="00172D96" w:rsidRPr="00172D96">
        <w:rPr>
          <w:rFonts w:ascii="Avenir Next" w:hAnsi="Avenir Next" w:cs="Arial"/>
          <w:color w:val="808080" w:themeColor="background1" w:themeShade="80"/>
          <w:sz w:val="22"/>
          <w:szCs w:val="22"/>
        </w:rPr>
        <w:t xml:space="preserve">the collective enforcement </w:t>
      </w:r>
      <w:r w:rsidR="00172D96">
        <w:rPr>
          <w:rFonts w:ascii="Avenir Next" w:hAnsi="Avenir Next" w:cs="Arial"/>
          <w:color w:val="808080" w:themeColor="background1" w:themeShade="80"/>
          <w:sz w:val="22"/>
          <w:szCs w:val="22"/>
        </w:rPr>
        <w:t>of the debt</w:t>
      </w:r>
      <w:r w:rsidR="00A620DC">
        <w:rPr>
          <w:rFonts w:ascii="Avenir Next" w:hAnsi="Avenir Next" w:cs="Arial"/>
          <w:color w:val="808080" w:themeColor="background1" w:themeShade="80"/>
          <w:sz w:val="22"/>
          <w:szCs w:val="22"/>
        </w:rPr>
        <w:t xml:space="preserve"> in both civil and English law systems have</w:t>
      </w:r>
      <w:r w:rsidR="00146419">
        <w:rPr>
          <w:rFonts w:ascii="Avenir Next" w:hAnsi="Avenir Next" w:cs="Arial"/>
          <w:color w:val="808080" w:themeColor="background1" w:themeShade="80"/>
          <w:sz w:val="22"/>
          <w:szCs w:val="22"/>
        </w:rPr>
        <w:t xml:space="preserve"> its center</w:t>
      </w:r>
      <w:r w:rsidR="00172D96">
        <w:rPr>
          <w:rFonts w:ascii="Avenir Next" w:hAnsi="Avenir Next" w:cs="Arial"/>
          <w:color w:val="808080" w:themeColor="background1" w:themeShade="80"/>
          <w:sz w:val="22"/>
          <w:szCs w:val="22"/>
        </w:rPr>
        <w:t xml:space="preserve"> shifted from </w:t>
      </w:r>
      <w:r w:rsidR="00172D96" w:rsidRPr="00172D96">
        <w:rPr>
          <w:rFonts w:ascii="Avenir Next" w:hAnsi="Avenir Next" w:cs="Arial"/>
          <w:color w:val="808080" w:themeColor="background1" w:themeShade="80"/>
          <w:sz w:val="22"/>
          <w:szCs w:val="22"/>
        </w:rPr>
        <w:t>the person of the debtor to the assets he owns</w:t>
      </w:r>
      <w:r w:rsidR="00C33E15">
        <w:rPr>
          <w:rFonts w:ascii="Avenir Next" w:hAnsi="Avenir Next" w:cs="Arial"/>
          <w:color w:val="808080" w:themeColor="background1" w:themeShade="80"/>
          <w:sz w:val="22"/>
          <w:szCs w:val="22"/>
        </w:rPr>
        <w:t>, making the procedure more “human”.</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lastRenderedPageBreak/>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426AAFDD" w:rsidR="001E1C34" w:rsidRPr="002461CD" w:rsidRDefault="00355660" w:rsidP="00355660">
      <w:pPr>
        <w:ind w:hanging="11"/>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T</w:t>
      </w:r>
      <w:r w:rsidRPr="00355660">
        <w:rPr>
          <w:rFonts w:ascii="Avenir Next" w:hAnsi="Avenir Next" w:cs="Arial"/>
          <w:color w:val="808080" w:themeColor="background1" w:themeShade="80"/>
          <w:sz w:val="22"/>
          <w:szCs w:val="22"/>
          <w:lang w:val="en-GB"/>
        </w:rPr>
        <w:t>he limitation stems from the definition being related to the existence of a legal structure of</w:t>
      </w:r>
      <w:r>
        <w:rPr>
          <w:rFonts w:ascii="Avenir Next" w:hAnsi="Avenir Next" w:cs="Arial"/>
          <w:color w:val="808080" w:themeColor="background1" w:themeShade="80"/>
          <w:sz w:val="22"/>
          <w:szCs w:val="22"/>
          <w:lang w:val="en-GB"/>
        </w:rPr>
        <w:t xml:space="preserve"> </w:t>
      </w:r>
      <w:r w:rsidRPr="00355660">
        <w:rPr>
          <w:rFonts w:ascii="Avenir Next" w:hAnsi="Avenir Next" w:cs="Arial"/>
          <w:color w:val="808080" w:themeColor="background1" w:themeShade="80"/>
          <w:sz w:val="22"/>
          <w:szCs w:val="22"/>
          <w:lang w:val="en-GB"/>
        </w:rPr>
        <w:t>insolvency law in a given country.</w:t>
      </w:r>
      <w:r w:rsidR="002461CD">
        <w:rPr>
          <w:rFonts w:ascii="Avenir Next" w:hAnsi="Avenir Next" w:cs="Arial"/>
          <w:color w:val="808080" w:themeColor="background1" w:themeShade="80"/>
          <w:sz w:val="22"/>
          <w:szCs w:val="22"/>
          <w:lang w:val="en-GB"/>
        </w:rPr>
        <w:t xml:space="preserve"> </w:t>
      </w:r>
      <w:r w:rsidR="00ED7EB6">
        <w:rPr>
          <w:rFonts w:ascii="Avenir Next" w:hAnsi="Avenir Next" w:cs="Arial"/>
          <w:color w:val="808080" w:themeColor="background1" w:themeShade="80"/>
          <w:sz w:val="22"/>
          <w:szCs w:val="22"/>
          <w:lang w:val="en-GB"/>
        </w:rPr>
        <w:t>In other words, t</w:t>
      </w:r>
      <w:r w:rsidR="002461CD" w:rsidRPr="002461CD">
        <w:rPr>
          <w:rFonts w:ascii="Avenir Next" w:hAnsi="Avenir Next" w:cs="Arial"/>
          <w:color w:val="808080" w:themeColor="background1" w:themeShade="80"/>
          <w:sz w:val="22"/>
          <w:szCs w:val="22"/>
          <w:lang w:val="en-GB"/>
        </w:rPr>
        <w:t xml:space="preserve">he recognition of insolvency proceedings in a State where the debtor holds assets </w:t>
      </w:r>
      <w:r w:rsidR="00ED7EB6">
        <w:rPr>
          <w:rFonts w:ascii="Avenir Next" w:hAnsi="Avenir Next" w:cs="Arial"/>
          <w:color w:val="808080" w:themeColor="background1" w:themeShade="80"/>
          <w:sz w:val="22"/>
          <w:szCs w:val="22"/>
          <w:lang w:val="en-GB"/>
        </w:rPr>
        <w:t xml:space="preserve">departing from a State order </w:t>
      </w:r>
      <w:r w:rsidR="009557FA">
        <w:rPr>
          <w:rFonts w:ascii="Avenir Next" w:hAnsi="Avenir Next" w:cs="Arial"/>
          <w:color w:val="808080" w:themeColor="background1" w:themeShade="80"/>
          <w:sz w:val="22"/>
          <w:szCs w:val="22"/>
          <w:lang w:val="en-GB"/>
        </w:rPr>
        <w:t xml:space="preserve">where exists </w:t>
      </w:r>
      <w:r w:rsidR="002461CD" w:rsidRPr="002461CD">
        <w:rPr>
          <w:rFonts w:ascii="Avenir Next" w:hAnsi="Avenir Next" w:cs="Arial"/>
          <w:color w:val="808080" w:themeColor="background1" w:themeShade="80"/>
          <w:sz w:val="22"/>
          <w:szCs w:val="22"/>
          <w:lang w:val="en-GB"/>
        </w:rPr>
        <w:t>a main bankruptcy proceeding cannot depend solely on the goodwill of the State in which the debtor holds assets. This is because regardless of the existence of a formalized common market, current communications and interactions between individuals, companies and States have greatly increased</w:t>
      </w:r>
      <w:r w:rsidR="003A5D5D">
        <w:rPr>
          <w:rFonts w:ascii="Avenir Next" w:hAnsi="Avenir Next" w:cs="Arial"/>
          <w:color w:val="808080" w:themeColor="background1" w:themeShade="80"/>
          <w:sz w:val="22"/>
          <w:szCs w:val="22"/>
          <w:lang w:val="en-GB"/>
        </w:rPr>
        <w:t xml:space="preserve">, what led to the </w:t>
      </w:r>
      <w:r w:rsidR="002461CD" w:rsidRPr="002461CD">
        <w:rPr>
          <w:rFonts w:ascii="Avenir Next" w:hAnsi="Avenir Next" w:cs="Arial"/>
          <w:color w:val="808080" w:themeColor="background1" w:themeShade="80"/>
          <w:sz w:val="22"/>
          <w:szCs w:val="22"/>
          <w:lang w:val="en-GB"/>
        </w:rPr>
        <w:t>rise o</w:t>
      </w:r>
      <w:r w:rsidR="003A5D5D">
        <w:rPr>
          <w:rFonts w:ascii="Avenir Next" w:hAnsi="Avenir Next" w:cs="Arial"/>
          <w:color w:val="808080" w:themeColor="background1" w:themeShade="80"/>
          <w:sz w:val="22"/>
          <w:szCs w:val="22"/>
          <w:lang w:val="en-GB"/>
        </w:rPr>
        <w:t>f</w:t>
      </w:r>
      <w:r w:rsidR="002461CD" w:rsidRPr="002461CD">
        <w:rPr>
          <w:rFonts w:ascii="Avenir Next" w:hAnsi="Avenir Next" w:cs="Arial"/>
          <w:color w:val="808080" w:themeColor="background1" w:themeShade="80"/>
          <w:sz w:val="22"/>
          <w:szCs w:val="22"/>
          <w:lang w:val="en-GB"/>
        </w:rPr>
        <w:t xml:space="preserve"> transactional insolvency</w:t>
      </w:r>
      <w:r w:rsidR="003A5D5D">
        <w:rPr>
          <w:rFonts w:ascii="Avenir Next" w:hAnsi="Avenir Next" w:cs="Arial"/>
          <w:color w:val="808080" w:themeColor="background1" w:themeShade="80"/>
          <w:sz w:val="22"/>
          <w:szCs w:val="22"/>
          <w:lang w:val="en-GB"/>
        </w:rPr>
        <w:t xml:space="preserve"> cases</w:t>
      </w:r>
      <w:r w:rsidR="002461CD" w:rsidRPr="002461CD">
        <w:rPr>
          <w:rFonts w:ascii="Avenir Next" w:hAnsi="Avenir Next" w:cs="Arial"/>
          <w:color w:val="808080" w:themeColor="background1" w:themeShade="80"/>
          <w:sz w:val="22"/>
          <w:szCs w:val="22"/>
          <w:lang w:val="en-GB"/>
        </w:rPr>
        <w:t xml:space="preserve">. Therefore, transnational insolvency </w:t>
      </w:r>
      <w:r w:rsidR="003A5D5D">
        <w:rPr>
          <w:rFonts w:ascii="Avenir Next" w:hAnsi="Avenir Next" w:cs="Arial"/>
          <w:color w:val="808080" w:themeColor="background1" w:themeShade="80"/>
          <w:sz w:val="22"/>
          <w:szCs w:val="22"/>
          <w:lang w:val="en-GB"/>
        </w:rPr>
        <w:t>matters</w:t>
      </w:r>
      <w:r w:rsidR="002461CD" w:rsidRPr="002461CD">
        <w:rPr>
          <w:rFonts w:ascii="Avenir Next" w:hAnsi="Avenir Next" w:cs="Arial"/>
          <w:color w:val="808080" w:themeColor="background1" w:themeShade="80"/>
          <w:sz w:val="22"/>
          <w:szCs w:val="22"/>
          <w:lang w:val="en-GB"/>
        </w:rPr>
        <w:t xml:space="preserve"> tend to be the rule rather than the exception</w:t>
      </w:r>
      <w:r w:rsidR="003A5D5D">
        <w:rPr>
          <w:rFonts w:ascii="Avenir Next" w:hAnsi="Avenir Next" w:cs="Arial"/>
          <w:color w:val="808080" w:themeColor="background1" w:themeShade="80"/>
          <w:sz w:val="22"/>
          <w:szCs w:val="22"/>
          <w:lang w:val="en-GB"/>
        </w:rPr>
        <w:t xml:space="preserve"> and</w:t>
      </w:r>
      <w:r w:rsidR="002461CD" w:rsidRPr="002461CD">
        <w:rPr>
          <w:rFonts w:ascii="Avenir Next" w:hAnsi="Avenir Next" w:cs="Arial"/>
          <w:color w:val="808080" w:themeColor="background1" w:themeShade="80"/>
          <w:sz w:val="22"/>
          <w:szCs w:val="22"/>
          <w:lang w:val="en-GB"/>
        </w:rPr>
        <w:t xml:space="preserve"> it is</w:t>
      </w:r>
      <w:r w:rsidR="003A5D5D">
        <w:rPr>
          <w:rFonts w:ascii="Avenir Next" w:hAnsi="Avenir Next" w:cs="Arial"/>
          <w:color w:val="808080" w:themeColor="background1" w:themeShade="80"/>
          <w:sz w:val="22"/>
          <w:szCs w:val="22"/>
          <w:lang w:val="en-GB"/>
        </w:rPr>
        <w:t xml:space="preserve"> </w:t>
      </w:r>
      <w:proofErr w:type="spellStart"/>
      <w:r w:rsidR="003A5D5D">
        <w:rPr>
          <w:rFonts w:ascii="Avenir Next" w:hAnsi="Avenir Next" w:cs="Arial"/>
          <w:color w:val="808080" w:themeColor="background1" w:themeShade="80"/>
          <w:sz w:val="22"/>
          <w:szCs w:val="22"/>
          <w:lang w:val="en-GB"/>
        </w:rPr>
        <w:t>a</w:t>
      </w:r>
      <w:proofErr w:type="spellEnd"/>
      <w:r w:rsidR="002461CD" w:rsidRPr="002461CD">
        <w:rPr>
          <w:rFonts w:ascii="Avenir Next" w:hAnsi="Avenir Next" w:cs="Arial"/>
          <w:color w:val="808080" w:themeColor="background1" w:themeShade="80"/>
          <w:sz w:val="22"/>
          <w:szCs w:val="22"/>
          <w:lang w:val="en-GB"/>
        </w:rPr>
        <w:t xml:space="preserve"> increasingly routine to have Investments and </w:t>
      </w:r>
      <w:r w:rsidR="00014167">
        <w:rPr>
          <w:rFonts w:ascii="Avenir Next" w:hAnsi="Avenir Next" w:cs="Arial"/>
          <w:color w:val="808080" w:themeColor="background1" w:themeShade="80"/>
          <w:sz w:val="22"/>
          <w:szCs w:val="22"/>
          <w:lang w:val="en-GB"/>
        </w:rPr>
        <w:t>to establish</w:t>
      </w:r>
      <w:r w:rsidR="002461CD" w:rsidRPr="002461CD">
        <w:rPr>
          <w:rFonts w:ascii="Avenir Next" w:hAnsi="Avenir Next" w:cs="Arial"/>
          <w:color w:val="808080" w:themeColor="background1" w:themeShade="80"/>
          <w:sz w:val="22"/>
          <w:szCs w:val="22"/>
          <w:lang w:val="en-GB"/>
        </w:rPr>
        <w:t xml:space="preserve"> branches and subsidiaries in foreign countries. Furthermore, a country's capital markets are </w:t>
      </w:r>
      <w:r w:rsidR="00014167">
        <w:rPr>
          <w:rFonts w:ascii="Avenir Next" w:hAnsi="Avenir Next" w:cs="Arial"/>
          <w:color w:val="808080" w:themeColor="background1" w:themeShade="80"/>
          <w:sz w:val="22"/>
          <w:szCs w:val="22"/>
          <w:lang w:val="en-GB"/>
        </w:rPr>
        <w:t xml:space="preserve">now </w:t>
      </w:r>
      <w:r w:rsidR="002461CD" w:rsidRPr="002461CD">
        <w:rPr>
          <w:rFonts w:ascii="Avenir Next" w:hAnsi="Avenir Next" w:cs="Arial"/>
          <w:color w:val="808080" w:themeColor="background1" w:themeShade="80"/>
          <w:sz w:val="22"/>
          <w:szCs w:val="22"/>
          <w:lang w:val="en-GB"/>
        </w:rPr>
        <w:t>accessed by citizens from all over the globe and the national currency exchange market is about to undergo significant changes with the advent of cryptocurrencies. Therefore, in the current world economy, national borders are becoming irrelevant, which demonstrates the limitation of the proposed concept of transnational insolvency.</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0D85A619" w14:textId="0CA41B20" w:rsidR="00CC2271" w:rsidRDefault="00C93032" w:rsidP="00251460">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w:t>
      </w:r>
      <w:r w:rsidR="00CC2271">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 xml:space="preserve"> of the UNCITRAL Model Law on Cross-Border Insolvency indicates that a bilateral treaty should prevail</w:t>
      </w:r>
      <w:r w:rsidR="00CC2271">
        <w:rPr>
          <w:rFonts w:ascii="Avenir Next" w:hAnsi="Avenir Next" w:cs="Arial"/>
          <w:color w:val="808080" w:themeColor="background1" w:themeShade="80"/>
          <w:sz w:val="22"/>
          <w:szCs w:val="22"/>
          <w:lang w:val="en-GB"/>
        </w:rPr>
        <w:t xml:space="preserve"> if a conflict arises between the agreement signed by the country </w:t>
      </w:r>
      <w:r w:rsidR="00531512">
        <w:rPr>
          <w:rFonts w:ascii="Avenir Next" w:hAnsi="Avenir Next" w:cs="Arial"/>
          <w:color w:val="808080" w:themeColor="background1" w:themeShade="80"/>
          <w:sz w:val="22"/>
          <w:szCs w:val="22"/>
          <w:lang w:val="en-GB"/>
        </w:rPr>
        <w:t xml:space="preserve">and </w:t>
      </w:r>
      <w:r w:rsidR="00CC49B6">
        <w:rPr>
          <w:rFonts w:ascii="Avenir Next" w:hAnsi="Avenir Next" w:cs="Arial"/>
          <w:color w:val="808080" w:themeColor="background1" w:themeShade="80"/>
          <w:sz w:val="22"/>
          <w:szCs w:val="22"/>
          <w:lang w:val="en-GB"/>
        </w:rPr>
        <w:t xml:space="preserve">the domestic Law. Hence, the UNCITRAL model adheres to the principle </w:t>
      </w:r>
      <w:r w:rsidR="00CC49B6" w:rsidRPr="00CC49B6">
        <w:rPr>
          <w:rFonts w:ascii="Avenir Next" w:hAnsi="Avenir Next" w:cs="Arial"/>
          <w:color w:val="808080" w:themeColor="background1" w:themeShade="80"/>
          <w:sz w:val="22"/>
          <w:szCs w:val="22"/>
          <w:lang w:val="en-GB"/>
        </w:rPr>
        <w:t>of supremacy of international obligations of the enacting State over internal law</w:t>
      </w:r>
      <w:r w:rsidR="003219CB">
        <w:rPr>
          <w:rFonts w:ascii="Avenir Next" w:hAnsi="Avenir Next" w:cs="Arial"/>
          <w:color w:val="808080" w:themeColor="background1" w:themeShade="80"/>
          <w:sz w:val="22"/>
          <w:szCs w:val="22"/>
          <w:lang w:val="en-GB"/>
        </w:rPr>
        <w:t xml:space="preserve">. </w:t>
      </w:r>
      <w:r w:rsidR="003219CB" w:rsidRPr="003219CB">
        <w:rPr>
          <w:rFonts w:ascii="Avenir Next" w:hAnsi="Avenir Next" w:cs="Arial"/>
          <w:color w:val="808080" w:themeColor="background1" w:themeShade="80"/>
          <w:sz w:val="22"/>
          <w:szCs w:val="22"/>
          <w:lang w:val="en-GB"/>
        </w:rPr>
        <w:t xml:space="preserve">Therefore, the article gives preference to international treaties, if it deals with topics also covered by the MLCBI, which denotes the relevance of the topic for the transnational insolvency law. Certainly, allowing the introduction of this article into the country's domestic legislation without any critical sense would </w:t>
      </w:r>
      <w:r w:rsidR="003219CB">
        <w:rPr>
          <w:rFonts w:ascii="Avenir Next" w:hAnsi="Avenir Next" w:cs="Arial"/>
          <w:color w:val="808080" w:themeColor="background1" w:themeShade="80"/>
          <w:sz w:val="22"/>
          <w:szCs w:val="22"/>
          <w:lang w:val="en-GB"/>
        </w:rPr>
        <w:t>undermine</w:t>
      </w:r>
      <w:r w:rsidR="003219CB" w:rsidRPr="003219CB">
        <w:rPr>
          <w:rFonts w:ascii="Avenir Next" w:hAnsi="Avenir Next" w:cs="Arial"/>
          <w:color w:val="808080" w:themeColor="background1" w:themeShade="80"/>
          <w:sz w:val="22"/>
          <w:szCs w:val="22"/>
          <w:lang w:val="en-GB"/>
        </w:rPr>
        <w:t xml:space="preserve"> the desired uniformity of the cross-border insolvency law. </w:t>
      </w:r>
      <w:r w:rsidR="00251460" w:rsidRPr="00251460">
        <w:rPr>
          <w:rFonts w:ascii="Avenir Next" w:hAnsi="Avenir Next" w:cs="Arial"/>
          <w:color w:val="808080" w:themeColor="background1" w:themeShade="80"/>
          <w:sz w:val="22"/>
          <w:szCs w:val="22"/>
          <w:lang w:val="en-GB"/>
        </w:rPr>
        <w:t>For this reason, the issue must be handled carefully at the time of adoption of the MLCBI</w:t>
      </w:r>
      <w:r w:rsidR="00251460">
        <w:rPr>
          <w:rFonts w:ascii="Avenir Next" w:hAnsi="Avenir Next" w:cs="Arial"/>
          <w:color w:val="808080" w:themeColor="background1" w:themeShade="80"/>
          <w:sz w:val="22"/>
          <w:szCs w:val="22"/>
          <w:lang w:val="en-GB"/>
        </w:rPr>
        <w:t xml:space="preserve"> by the enacting State</w:t>
      </w:r>
      <w:r w:rsidR="00251460" w:rsidRPr="00251460">
        <w:rPr>
          <w:rFonts w:ascii="Avenir Next" w:hAnsi="Avenir Next" w:cs="Arial"/>
          <w:color w:val="808080" w:themeColor="background1" w:themeShade="80"/>
          <w:sz w:val="22"/>
          <w:szCs w:val="22"/>
          <w:lang w:val="en-GB"/>
        </w:rPr>
        <w:t xml:space="preserve">, so that </w:t>
      </w:r>
      <w:r w:rsidR="00251460">
        <w:rPr>
          <w:rFonts w:ascii="Avenir Next" w:hAnsi="Avenir Next" w:cs="Arial"/>
          <w:color w:val="808080" w:themeColor="background1" w:themeShade="80"/>
          <w:sz w:val="22"/>
          <w:szCs w:val="22"/>
          <w:lang w:val="en-GB"/>
        </w:rPr>
        <w:t>MLCBI</w:t>
      </w:r>
      <w:r w:rsidR="00251460" w:rsidRPr="00251460">
        <w:rPr>
          <w:rFonts w:ascii="Avenir Next" w:hAnsi="Avenir Next" w:cs="Arial"/>
          <w:color w:val="808080" w:themeColor="background1" w:themeShade="80"/>
          <w:sz w:val="22"/>
          <w:szCs w:val="22"/>
          <w:lang w:val="en-GB"/>
        </w:rPr>
        <w:t xml:space="preserve"> does not lose its scope. In any case,</w:t>
      </w:r>
      <w:r w:rsidR="00547068">
        <w:rPr>
          <w:rFonts w:ascii="Avenir Next" w:hAnsi="Avenir Next" w:cs="Arial"/>
          <w:color w:val="808080" w:themeColor="background1" w:themeShade="80"/>
          <w:sz w:val="22"/>
          <w:szCs w:val="22"/>
          <w:lang w:val="en-GB"/>
        </w:rPr>
        <w:t xml:space="preserve"> from that p</w:t>
      </w:r>
      <w:r w:rsidR="000D1040">
        <w:rPr>
          <w:rFonts w:ascii="Avenir Next" w:hAnsi="Avenir Next" w:cs="Arial"/>
          <w:color w:val="808080" w:themeColor="background1" w:themeShade="80"/>
          <w:sz w:val="22"/>
          <w:szCs w:val="22"/>
          <w:lang w:val="en-GB"/>
        </w:rPr>
        <w:t>o</w:t>
      </w:r>
      <w:r w:rsidR="00547068">
        <w:rPr>
          <w:rFonts w:ascii="Avenir Next" w:hAnsi="Avenir Next" w:cs="Arial"/>
          <w:color w:val="808080" w:themeColor="background1" w:themeShade="80"/>
          <w:sz w:val="22"/>
          <w:szCs w:val="22"/>
          <w:lang w:val="en-GB"/>
        </w:rPr>
        <w:t>int of view,</w:t>
      </w:r>
      <w:r w:rsidR="00251460" w:rsidRPr="00251460">
        <w:rPr>
          <w:rFonts w:ascii="Avenir Next" w:hAnsi="Avenir Next" w:cs="Arial"/>
          <w:color w:val="808080" w:themeColor="background1" w:themeShade="80"/>
          <w:sz w:val="22"/>
          <w:szCs w:val="22"/>
          <w:lang w:val="en-GB"/>
        </w:rPr>
        <w:t xml:space="preserve"> it can be said that treaties are</w:t>
      </w:r>
      <w:r w:rsidR="009A5B97">
        <w:rPr>
          <w:rFonts w:ascii="Avenir Next" w:hAnsi="Avenir Next" w:cs="Arial"/>
          <w:color w:val="808080" w:themeColor="background1" w:themeShade="80"/>
          <w:sz w:val="22"/>
          <w:szCs w:val="22"/>
          <w:lang w:val="en-GB"/>
        </w:rPr>
        <w:t xml:space="preserve"> successful </w:t>
      </w:r>
      <w:r w:rsidR="00251460" w:rsidRPr="00251460">
        <w:rPr>
          <w:rFonts w:ascii="Avenir Next" w:hAnsi="Avenir Next" w:cs="Arial"/>
          <w:color w:val="808080" w:themeColor="background1" w:themeShade="80"/>
          <w:sz w:val="22"/>
          <w:szCs w:val="22"/>
          <w:lang w:val="en-GB"/>
        </w:rPr>
        <w:t>sources for the transnational insolvency law.</w:t>
      </w:r>
      <w:r w:rsidR="00547068">
        <w:rPr>
          <w:rFonts w:ascii="Avenir Next" w:hAnsi="Avenir Next" w:cs="Arial"/>
          <w:color w:val="808080" w:themeColor="background1" w:themeShade="80"/>
          <w:sz w:val="22"/>
          <w:szCs w:val="22"/>
          <w:lang w:val="en-GB"/>
        </w:rPr>
        <w:t xml:space="preserve"> Although, historically, it is possible to identify many bilateral conventions or treaties that failed in its purpose</w:t>
      </w:r>
      <w:r w:rsidR="00D24F18">
        <w:rPr>
          <w:rFonts w:ascii="Avenir Next" w:hAnsi="Avenir Next" w:cs="Arial"/>
          <w:color w:val="808080" w:themeColor="background1" w:themeShade="80"/>
          <w:sz w:val="22"/>
          <w:szCs w:val="22"/>
          <w:lang w:val="en-GB"/>
        </w:rPr>
        <w:t xml:space="preserve">, such as the Istanbul Convention, approved </w:t>
      </w:r>
      <w:r w:rsidR="000B1519">
        <w:rPr>
          <w:rFonts w:ascii="Avenir Next" w:hAnsi="Avenir Next" w:cs="Arial"/>
          <w:color w:val="808080" w:themeColor="background1" w:themeShade="80"/>
          <w:sz w:val="22"/>
          <w:szCs w:val="22"/>
          <w:lang w:val="en-GB"/>
        </w:rPr>
        <w:t xml:space="preserve">by the Council of Europe in 1990, </w:t>
      </w:r>
      <w:r w:rsidR="00D24F18">
        <w:rPr>
          <w:rFonts w:ascii="Avenir Next" w:hAnsi="Avenir Next" w:cs="Arial"/>
          <w:color w:val="808080" w:themeColor="background1" w:themeShade="80"/>
          <w:sz w:val="22"/>
          <w:szCs w:val="22"/>
          <w:lang w:val="en-GB"/>
        </w:rPr>
        <w:t xml:space="preserve">which was signed only </w:t>
      </w:r>
      <w:r w:rsidR="000B1519">
        <w:rPr>
          <w:rFonts w:ascii="Avenir Next" w:hAnsi="Avenir Next" w:cs="Arial"/>
          <w:color w:val="808080" w:themeColor="background1" w:themeShade="80"/>
          <w:sz w:val="22"/>
          <w:szCs w:val="22"/>
          <w:lang w:val="en-GB"/>
        </w:rPr>
        <w:t xml:space="preserve">by 8 member States and was not ratified by </w:t>
      </w:r>
      <w:r w:rsidR="000D1040">
        <w:rPr>
          <w:rFonts w:ascii="Avenir Next" w:hAnsi="Avenir Next" w:cs="Arial"/>
          <w:color w:val="808080" w:themeColor="background1" w:themeShade="80"/>
          <w:sz w:val="22"/>
          <w:szCs w:val="22"/>
          <w:lang w:val="en-GB"/>
        </w:rPr>
        <w:t>enough countries for it to enter into force.</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5F54C8D7" w14:textId="29B2E6C8" w:rsidR="004E3D93" w:rsidRPr="004E3D93" w:rsidRDefault="004E3D93" w:rsidP="0082145B">
      <w:pPr>
        <w:jc w:val="both"/>
        <w:rPr>
          <w:rFonts w:ascii="Avenir Next" w:hAnsi="Avenir Next" w:cs="Arial"/>
          <w:color w:val="808080" w:themeColor="background1" w:themeShade="80"/>
          <w:sz w:val="22"/>
          <w:szCs w:val="22"/>
        </w:rPr>
      </w:pPr>
      <w:r w:rsidRPr="004E3D93">
        <w:rPr>
          <w:rFonts w:ascii="Avenir Next" w:hAnsi="Avenir Next" w:cs="Arial"/>
          <w:color w:val="808080" w:themeColor="background1" w:themeShade="80"/>
          <w:sz w:val="22"/>
          <w:szCs w:val="22"/>
        </w:rPr>
        <w:t xml:space="preserve">A formal insolvency proceeding must be </w:t>
      </w:r>
      <w:r>
        <w:rPr>
          <w:rFonts w:ascii="Avenir Next" w:hAnsi="Avenir Next" w:cs="Arial"/>
          <w:color w:val="808080" w:themeColor="background1" w:themeShade="80"/>
          <w:sz w:val="22"/>
          <w:szCs w:val="22"/>
        </w:rPr>
        <w:t>done through a Court,</w:t>
      </w:r>
      <w:r w:rsidRPr="004E3D93">
        <w:rPr>
          <w:rFonts w:ascii="Avenir Next" w:hAnsi="Avenir Next" w:cs="Arial"/>
          <w:color w:val="808080" w:themeColor="background1" w:themeShade="80"/>
          <w:sz w:val="22"/>
          <w:szCs w:val="22"/>
        </w:rPr>
        <w:t xml:space="preserve"> which makes the procedure more expensive, due to the need to involve court personnel and appoint a judicial administrator who will oversee the process. In addition, the procedure tends to be slower, due to the numerous subjects involved in the process. Finally, the degree of technicality and expertise of the judge who will be responsible for the process must be considered, as not all countries have specialized bankruptcy law chambers.</w:t>
      </w:r>
    </w:p>
    <w:p w14:paraId="57E72133" w14:textId="77777777" w:rsidR="004E3D93" w:rsidRDefault="004E3D93" w:rsidP="0082145B">
      <w:pPr>
        <w:jc w:val="both"/>
        <w:rPr>
          <w:rFonts w:ascii="Avenir Next" w:hAnsi="Avenir Next" w:cs="Arial"/>
          <w:color w:val="808080" w:themeColor="background1" w:themeShade="80"/>
          <w:sz w:val="22"/>
          <w:szCs w:val="22"/>
          <w:lang w:val="en-GB"/>
        </w:rPr>
      </w:pPr>
    </w:p>
    <w:p w14:paraId="3EDDFD0F" w14:textId="5A04D685" w:rsidR="00B6373C" w:rsidRDefault="00A70457" w:rsidP="008214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turn, i</w:t>
      </w:r>
      <w:r w:rsidR="0082145B" w:rsidRPr="0082145B">
        <w:rPr>
          <w:rFonts w:ascii="Avenir Next" w:hAnsi="Avenir Next" w:cs="Arial"/>
          <w:color w:val="808080" w:themeColor="background1" w:themeShade="80"/>
          <w:sz w:val="22"/>
          <w:szCs w:val="22"/>
          <w:lang w:val="en-GB"/>
        </w:rPr>
        <w:t xml:space="preserve">nformal arrangements </w:t>
      </w:r>
      <w:r w:rsidR="00857B75">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its essence </w:t>
      </w:r>
      <w:r w:rsidR="00232D77">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out</w:t>
      </w:r>
      <w:r w:rsidR="00857B75">
        <w:rPr>
          <w:rFonts w:ascii="Avenir Next" w:hAnsi="Avenir Next" w:cs="Arial"/>
          <w:color w:val="808080" w:themeColor="background1" w:themeShade="80"/>
          <w:sz w:val="22"/>
          <w:szCs w:val="22"/>
          <w:lang w:val="en-GB"/>
        </w:rPr>
        <w:t>-court procedure, and it will not necessarily be</w:t>
      </w:r>
      <w:r w:rsidR="0082145B" w:rsidRPr="0082145B">
        <w:rPr>
          <w:rFonts w:ascii="Avenir Next" w:hAnsi="Avenir Next" w:cs="Arial"/>
          <w:color w:val="808080" w:themeColor="background1" w:themeShade="80"/>
          <w:sz w:val="22"/>
          <w:szCs w:val="22"/>
          <w:lang w:val="en-GB"/>
        </w:rPr>
        <w:t xml:space="preserve"> governed by domestic insolvency law</w:t>
      </w:r>
      <w:r w:rsidR="00C50AA9">
        <w:rPr>
          <w:rFonts w:ascii="Avenir Next" w:hAnsi="Avenir Next" w:cs="Arial"/>
          <w:color w:val="808080" w:themeColor="background1" w:themeShade="80"/>
          <w:sz w:val="22"/>
          <w:szCs w:val="22"/>
          <w:lang w:val="en-GB"/>
        </w:rPr>
        <w:t>. In addition, it</w:t>
      </w:r>
      <w:r w:rsidR="0082145B" w:rsidRPr="0082145B">
        <w:rPr>
          <w:rFonts w:ascii="Avenir Next" w:hAnsi="Avenir Next" w:cs="Arial"/>
          <w:color w:val="808080" w:themeColor="background1" w:themeShade="80"/>
          <w:sz w:val="22"/>
          <w:szCs w:val="22"/>
          <w:lang w:val="en-GB"/>
        </w:rPr>
        <w:t xml:space="preserve"> will be based on voluntary negotiations stipulated between the creditor and the debtor. Although not directly regulated by the insolvency law, the bankruptcy statute may at least provide for ways for the agreement to be</w:t>
      </w:r>
      <w:r w:rsidR="00C50AA9">
        <w:rPr>
          <w:rFonts w:ascii="Avenir Next" w:hAnsi="Avenir Next" w:cs="Arial"/>
          <w:color w:val="808080" w:themeColor="background1" w:themeShade="80"/>
          <w:sz w:val="22"/>
          <w:szCs w:val="22"/>
          <w:lang w:val="en-GB"/>
        </w:rPr>
        <w:t xml:space="preserve"> judicially enforced</w:t>
      </w:r>
      <w:r w:rsidR="0082145B" w:rsidRPr="0082145B">
        <w:rPr>
          <w:rFonts w:ascii="Avenir Next" w:hAnsi="Avenir Next" w:cs="Arial"/>
          <w:color w:val="808080" w:themeColor="background1" w:themeShade="80"/>
          <w:sz w:val="22"/>
          <w:szCs w:val="22"/>
          <w:lang w:val="en-GB"/>
        </w:rPr>
        <w:t xml:space="preserve"> in case the debtor does not comply with what was agreed. </w:t>
      </w:r>
    </w:p>
    <w:p w14:paraId="31169A47" w14:textId="77777777" w:rsidR="00B6373C" w:rsidRDefault="00B6373C" w:rsidP="0082145B">
      <w:pPr>
        <w:jc w:val="both"/>
        <w:rPr>
          <w:rFonts w:ascii="Avenir Next" w:hAnsi="Avenir Next" w:cs="Arial"/>
          <w:color w:val="808080" w:themeColor="background1" w:themeShade="80"/>
          <w:sz w:val="22"/>
          <w:szCs w:val="22"/>
          <w:lang w:val="en-GB"/>
        </w:rPr>
      </w:pPr>
    </w:p>
    <w:p w14:paraId="469D4E20" w14:textId="225A4BD7" w:rsidR="001E1C34" w:rsidRDefault="0082145B" w:rsidP="0082145B">
      <w:pPr>
        <w:jc w:val="both"/>
        <w:rPr>
          <w:rFonts w:ascii="Avenir Next" w:hAnsi="Avenir Next" w:cs="Arial"/>
          <w:color w:val="808080" w:themeColor="background1" w:themeShade="80"/>
          <w:sz w:val="22"/>
          <w:szCs w:val="22"/>
          <w:lang w:val="en-GB"/>
        </w:rPr>
      </w:pPr>
      <w:r w:rsidRPr="0082145B">
        <w:rPr>
          <w:rFonts w:ascii="Avenir Next" w:hAnsi="Avenir Next" w:cs="Arial"/>
          <w:color w:val="808080" w:themeColor="background1" w:themeShade="80"/>
          <w:sz w:val="22"/>
          <w:szCs w:val="22"/>
          <w:lang w:val="en-GB"/>
        </w:rPr>
        <w:t xml:space="preserve">Therefore, </w:t>
      </w:r>
      <w:r w:rsidR="00D14784">
        <w:rPr>
          <w:rFonts w:ascii="Avenir Next" w:hAnsi="Avenir Next" w:cs="Arial"/>
          <w:color w:val="808080" w:themeColor="background1" w:themeShade="80"/>
          <w:sz w:val="22"/>
          <w:szCs w:val="22"/>
          <w:lang w:val="en-GB"/>
        </w:rPr>
        <w:t xml:space="preserve">Lobo should consider as key advantages of </w:t>
      </w:r>
      <w:r w:rsidRPr="0082145B">
        <w:rPr>
          <w:rFonts w:ascii="Avenir Next" w:hAnsi="Avenir Next" w:cs="Arial"/>
          <w:color w:val="808080" w:themeColor="background1" w:themeShade="80"/>
          <w:sz w:val="22"/>
          <w:szCs w:val="22"/>
          <w:lang w:val="en-GB"/>
        </w:rPr>
        <w:t xml:space="preserve">informal arrangements </w:t>
      </w:r>
      <w:r w:rsidR="00D14784">
        <w:rPr>
          <w:rFonts w:ascii="Avenir Next" w:hAnsi="Avenir Next" w:cs="Arial"/>
          <w:color w:val="808080" w:themeColor="background1" w:themeShade="80"/>
          <w:sz w:val="22"/>
          <w:szCs w:val="22"/>
          <w:lang w:val="en-GB"/>
        </w:rPr>
        <w:t>the fact of being a more economic procedure</w:t>
      </w:r>
      <w:r w:rsidRPr="0082145B">
        <w:rPr>
          <w:rFonts w:ascii="Avenir Next" w:hAnsi="Avenir Next" w:cs="Arial"/>
          <w:color w:val="808080" w:themeColor="background1" w:themeShade="80"/>
          <w:sz w:val="22"/>
          <w:szCs w:val="22"/>
          <w:lang w:val="en-GB"/>
        </w:rPr>
        <w:t xml:space="preserve">, as they will not </w:t>
      </w:r>
      <w:r w:rsidR="00CB7076">
        <w:rPr>
          <w:rFonts w:ascii="Avenir Next" w:hAnsi="Avenir Next" w:cs="Arial"/>
          <w:color w:val="808080" w:themeColor="background1" w:themeShade="80"/>
          <w:sz w:val="22"/>
          <w:szCs w:val="22"/>
          <w:lang w:val="en-GB"/>
        </w:rPr>
        <w:t>involve</w:t>
      </w:r>
      <w:r w:rsidRPr="0082145B">
        <w:rPr>
          <w:rFonts w:ascii="Avenir Next" w:hAnsi="Avenir Next" w:cs="Arial"/>
          <w:color w:val="808080" w:themeColor="background1" w:themeShade="80"/>
          <w:sz w:val="22"/>
          <w:szCs w:val="22"/>
          <w:lang w:val="en-GB"/>
        </w:rPr>
        <w:t xml:space="preserve"> the structure of a </w:t>
      </w:r>
      <w:r w:rsidR="00531592">
        <w:rPr>
          <w:rFonts w:ascii="Avenir Next" w:hAnsi="Avenir Next" w:cs="Arial"/>
          <w:color w:val="808080" w:themeColor="background1" w:themeShade="80"/>
          <w:sz w:val="22"/>
          <w:szCs w:val="22"/>
          <w:lang w:val="en-GB"/>
        </w:rPr>
        <w:t>C</w:t>
      </w:r>
      <w:r w:rsidRPr="0082145B">
        <w:rPr>
          <w:rFonts w:ascii="Avenir Next" w:hAnsi="Avenir Next" w:cs="Arial"/>
          <w:color w:val="808080" w:themeColor="background1" w:themeShade="80"/>
          <w:sz w:val="22"/>
          <w:szCs w:val="22"/>
          <w:lang w:val="en-GB"/>
        </w:rPr>
        <w:t>ourt, as well as</w:t>
      </w:r>
      <w:r w:rsidR="00531592">
        <w:rPr>
          <w:rFonts w:ascii="Avenir Next" w:hAnsi="Avenir Next" w:cs="Arial"/>
          <w:color w:val="808080" w:themeColor="background1" w:themeShade="80"/>
          <w:sz w:val="22"/>
          <w:szCs w:val="22"/>
          <w:lang w:val="en-GB"/>
        </w:rPr>
        <w:t xml:space="preserve"> the flexibility of informal workout</w:t>
      </w:r>
      <w:r w:rsidRPr="0082145B">
        <w:rPr>
          <w:rFonts w:ascii="Avenir Next" w:hAnsi="Avenir Next" w:cs="Arial"/>
          <w:color w:val="808080" w:themeColor="background1" w:themeShade="80"/>
          <w:sz w:val="22"/>
          <w:szCs w:val="22"/>
          <w:lang w:val="en-GB"/>
        </w:rPr>
        <w:t>, as creditor and debtor will have greater freedom to handle the case and negotiate their wishes.</w:t>
      </w:r>
      <w:r w:rsidR="00CB7076">
        <w:rPr>
          <w:rFonts w:ascii="Avenir Next" w:hAnsi="Avenir Next" w:cs="Arial"/>
          <w:color w:val="808080" w:themeColor="background1" w:themeShade="80"/>
          <w:sz w:val="22"/>
          <w:szCs w:val="22"/>
          <w:lang w:val="en-GB"/>
        </w:rPr>
        <w:t xml:space="preserve"> </w:t>
      </w:r>
      <w:r w:rsidR="00531592">
        <w:rPr>
          <w:rFonts w:ascii="Avenir Next" w:hAnsi="Avenir Next" w:cs="Arial"/>
          <w:color w:val="808080" w:themeColor="background1" w:themeShade="80"/>
          <w:sz w:val="22"/>
          <w:szCs w:val="22"/>
          <w:lang w:val="en-GB"/>
        </w:rPr>
        <w:t xml:space="preserve">In other turn, as disadvantages, Lobo should </w:t>
      </w:r>
      <w:r w:rsidR="00B6373C" w:rsidRPr="00B6373C">
        <w:rPr>
          <w:rFonts w:ascii="Avenir Next" w:hAnsi="Avenir Next" w:cs="Arial"/>
          <w:color w:val="808080" w:themeColor="background1" w:themeShade="80"/>
          <w:sz w:val="22"/>
          <w:szCs w:val="22"/>
          <w:lang w:val="en-GB"/>
        </w:rPr>
        <w:t xml:space="preserve">note that there is no moratorium on the debtor and that </w:t>
      </w:r>
      <w:r w:rsidR="00C62FDC">
        <w:rPr>
          <w:rFonts w:ascii="Avenir Next" w:hAnsi="Avenir Next" w:cs="Arial"/>
          <w:color w:val="808080" w:themeColor="background1" w:themeShade="80"/>
          <w:sz w:val="22"/>
          <w:szCs w:val="22"/>
          <w:lang w:val="en-GB"/>
        </w:rPr>
        <w:t>FPPL</w:t>
      </w:r>
      <w:r w:rsidR="00B6373C" w:rsidRPr="00B6373C">
        <w:rPr>
          <w:rFonts w:ascii="Avenir Next" w:hAnsi="Avenir Next" w:cs="Arial"/>
          <w:color w:val="808080" w:themeColor="background1" w:themeShade="80"/>
          <w:sz w:val="22"/>
          <w:szCs w:val="22"/>
          <w:lang w:val="en-GB"/>
        </w:rPr>
        <w:t xml:space="preserve"> may be charged simultaneously by other creditors, who may even anticipate and start formal insolvency proceedings before </w:t>
      </w:r>
      <w:r w:rsidR="00C62FDC">
        <w:rPr>
          <w:rFonts w:ascii="Avenir Next" w:hAnsi="Avenir Next" w:cs="Arial"/>
          <w:color w:val="808080" w:themeColor="background1" w:themeShade="80"/>
          <w:sz w:val="22"/>
          <w:szCs w:val="22"/>
          <w:lang w:val="en-GB"/>
        </w:rPr>
        <w:t>Lobo</w:t>
      </w:r>
      <w:r w:rsidR="00B6373C" w:rsidRPr="00B6373C">
        <w:rPr>
          <w:rFonts w:ascii="Avenir Next" w:hAnsi="Avenir Next" w:cs="Arial"/>
          <w:color w:val="808080" w:themeColor="background1" w:themeShade="80"/>
          <w:sz w:val="22"/>
          <w:szCs w:val="22"/>
          <w:lang w:val="en-GB"/>
        </w:rPr>
        <w:t>; and that there is no way to bind what Lobo and FPPL agree to other FPPL creditors</w:t>
      </w:r>
      <w:r w:rsidR="00C62FDC">
        <w:rPr>
          <w:rFonts w:ascii="Avenir Next" w:hAnsi="Avenir Next" w:cs="Arial"/>
          <w:color w:val="808080" w:themeColor="background1" w:themeShade="80"/>
          <w:sz w:val="22"/>
          <w:szCs w:val="22"/>
          <w:lang w:val="en-GB"/>
        </w:rPr>
        <w:t xml:space="preserve">. Finally, it must be considered the publicity </w:t>
      </w:r>
      <w:r w:rsidR="005D36B3">
        <w:rPr>
          <w:rFonts w:ascii="Avenir Next" w:hAnsi="Avenir Next" w:cs="Arial"/>
          <w:color w:val="808080" w:themeColor="background1" w:themeShade="80"/>
          <w:sz w:val="22"/>
          <w:szCs w:val="22"/>
          <w:lang w:val="en-GB"/>
        </w:rPr>
        <w:t xml:space="preserve">of a formal insolvency proceeding, which will </w:t>
      </w:r>
      <w:r w:rsidR="007E2228">
        <w:rPr>
          <w:rFonts w:ascii="Avenir Next" w:hAnsi="Avenir Next" w:cs="Arial"/>
          <w:color w:val="808080" w:themeColor="background1" w:themeShade="80"/>
          <w:sz w:val="22"/>
          <w:szCs w:val="22"/>
          <w:lang w:val="en-GB"/>
        </w:rPr>
        <w:t>expose the</w:t>
      </w:r>
      <w:r w:rsidR="005D36B3">
        <w:rPr>
          <w:rFonts w:ascii="Avenir Next" w:hAnsi="Avenir Next" w:cs="Arial"/>
          <w:color w:val="808080" w:themeColor="background1" w:themeShade="80"/>
          <w:sz w:val="22"/>
          <w:szCs w:val="22"/>
          <w:lang w:val="en-GB"/>
        </w:rPr>
        <w:t xml:space="preserve"> financial crises of the debtor.</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73A7019C" w14:textId="76687EE9" w:rsidR="00612DB7" w:rsidRDefault="009658BC" w:rsidP="009658BC">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w:t>
      </w:r>
      <w:r w:rsidR="006A7FFE">
        <w:rPr>
          <w:rFonts w:ascii="Avenir Next" w:hAnsi="Avenir Next" w:cs="Arial"/>
          <w:color w:val="808080" w:themeColor="background1" w:themeShade="80"/>
          <w:sz w:val="22"/>
          <w:szCs w:val="22"/>
          <w:lang w:val="en-GB"/>
        </w:rPr>
        <w:t xml:space="preserve">, it would be important to investigate the framework of the insolvency legislation of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w:t>
      </w:r>
      <w:r w:rsidR="00612DB7">
        <w:rPr>
          <w:rFonts w:ascii="Avenir Next" w:hAnsi="Avenir Next" w:cs="Arial"/>
          <w:color w:val="808080" w:themeColor="background1" w:themeShade="80"/>
          <w:sz w:val="22"/>
          <w:szCs w:val="22"/>
          <w:lang w:val="en-GB"/>
        </w:rPr>
        <w:t>Encanto since</w:t>
      </w:r>
      <w:r w:rsidR="0028751C">
        <w:rPr>
          <w:rFonts w:ascii="Avenir Next" w:hAnsi="Avenir Next" w:cs="Arial"/>
          <w:color w:val="808080" w:themeColor="background1" w:themeShade="80"/>
          <w:sz w:val="22"/>
          <w:szCs w:val="22"/>
          <w:lang w:val="en-GB"/>
        </w:rPr>
        <w:t xml:space="preserve"> each country could </w:t>
      </w:r>
      <w:r w:rsidR="00612DB7">
        <w:rPr>
          <w:rFonts w:ascii="Avenir Next" w:hAnsi="Avenir Next" w:cs="Arial"/>
          <w:color w:val="808080" w:themeColor="background1" w:themeShade="80"/>
          <w:sz w:val="22"/>
          <w:szCs w:val="22"/>
          <w:lang w:val="en-GB"/>
        </w:rPr>
        <w:t>tend to</w:t>
      </w:r>
      <w:r w:rsidR="0028751C">
        <w:rPr>
          <w:rFonts w:ascii="Avenir Next" w:hAnsi="Avenir Next" w:cs="Arial"/>
          <w:color w:val="808080" w:themeColor="background1" w:themeShade="80"/>
          <w:sz w:val="22"/>
          <w:szCs w:val="22"/>
          <w:lang w:val="en-GB"/>
        </w:rPr>
        <w:t xml:space="preserve"> a universalism approach</w:t>
      </w:r>
      <w:r w:rsidR="00FE7693">
        <w:rPr>
          <w:rFonts w:ascii="Avenir Next" w:hAnsi="Avenir Next" w:cs="Arial"/>
          <w:color w:val="808080" w:themeColor="background1" w:themeShade="80"/>
          <w:sz w:val="22"/>
          <w:szCs w:val="22"/>
          <w:lang w:val="en-GB"/>
        </w:rPr>
        <w:t xml:space="preserve"> </w:t>
      </w:r>
      <w:r w:rsidR="00FE7693">
        <w:rPr>
          <w:rFonts w:ascii="Avenir Next" w:hAnsi="Avenir Next" w:cs="Arial"/>
          <w:color w:val="808080" w:themeColor="background1" w:themeShade="80"/>
          <w:sz w:val="22"/>
          <w:szCs w:val="22"/>
          <w:lang w:val="en-GB"/>
        </w:rPr>
        <w:t>or a territorialism approach</w:t>
      </w:r>
      <w:r w:rsidR="0028751C">
        <w:rPr>
          <w:rFonts w:ascii="Avenir Next" w:hAnsi="Avenir Next" w:cs="Arial"/>
          <w:color w:val="808080" w:themeColor="background1" w:themeShade="80"/>
          <w:sz w:val="22"/>
          <w:szCs w:val="22"/>
          <w:lang w:val="en-GB"/>
        </w:rPr>
        <w:t xml:space="preserve"> </w:t>
      </w:r>
      <w:r w:rsidR="00612DB7">
        <w:rPr>
          <w:rFonts w:ascii="Avenir Next" w:hAnsi="Avenir Next" w:cs="Arial"/>
          <w:color w:val="808080" w:themeColor="background1" w:themeShade="80"/>
          <w:sz w:val="22"/>
          <w:szCs w:val="22"/>
          <w:lang w:val="en-GB"/>
        </w:rPr>
        <w:t>regarding</w:t>
      </w:r>
      <w:r w:rsidR="0028751C">
        <w:rPr>
          <w:rFonts w:ascii="Avenir Next" w:hAnsi="Avenir Next" w:cs="Arial"/>
          <w:color w:val="808080" w:themeColor="background1" w:themeShade="80"/>
          <w:sz w:val="22"/>
          <w:szCs w:val="22"/>
          <w:lang w:val="en-GB"/>
        </w:rPr>
        <w:t xml:space="preserve"> </w:t>
      </w:r>
      <w:r w:rsidR="00122924">
        <w:rPr>
          <w:rFonts w:ascii="Avenir Next" w:hAnsi="Avenir Next" w:cs="Arial"/>
          <w:color w:val="808080" w:themeColor="background1" w:themeShade="80"/>
          <w:sz w:val="22"/>
          <w:szCs w:val="22"/>
          <w:lang w:val="en-GB"/>
        </w:rPr>
        <w:t>transnational</w:t>
      </w:r>
      <w:r w:rsidR="0028751C">
        <w:rPr>
          <w:rFonts w:ascii="Avenir Next" w:hAnsi="Avenir Next" w:cs="Arial"/>
          <w:color w:val="808080" w:themeColor="background1" w:themeShade="80"/>
          <w:sz w:val="22"/>
          <w:szCs w:val="22"/>
          <w:lang w:val="en-GB"/>
        </w:rPr>
        <w:t xml:space="preserve"> insolvency issue</w:t>
      </w:r>
      <w:r w:rsidR="008C23A3">
        <w:rPr>
          <w:rFonts w:ascii="Avenir Next" w:hAnsi="Avenir Next" w:cs="Arial"/>
          <w:color w:val="808080" w:themeColor="background1" w:themeShade="80"/>
          <w:sz w:val="22"/>
          <w:szCs w:val="22"/>
          <w:lang w:val="en-GB"/>
        </w:rPr>
        <w:t>s</w:t>
      </w:r>
      <w:r w:rsidR="0028751C">
        <w:rPr>
          <w:rFonts w:ascii="Avenir Next" w:hAnsi="Avenir Next" w:cs="Arial"/>
          <w:color w:val="808080" w:themeColor="background1" w:themeShade="80"/>
          <w:sz w:val="22"/>
          <w:szCs w:val="22"/>
          <w:lang w:val="en-GB"/>
        </w:rPr>
        <w:t xml:space="preserve">. </w:t>
      </w:r>
    </w:p>
    <w:p w14:paraId="33435193" w14:textId="77777777" w:rsidR="00612DB7" w:rsidRDefault="00612DB7" w:rsidP="009658BC">
      <w:pPr>
        <w:ind w:hanging="11"/>
        <w:jc w:val="both"/>
        <w:rPr>
          <w:rFonts w:ascii="Avenir Next" w:hAnsi="Avenir Next" w:cs="Arial"/>
          <w:color w:val="808080" w:themeColor="background1" w:themeShade="80"/>
          <w:sz w:val="22"/>
          <w:szCs w:val="22"/>
          <w:lang w:val="en-GB"/>
        </w:rPr>
      </w:pPr>
    </w:p>
    <w:p w14:paraId="2ACE36EB" w14:textId="58CB52F4" w:rsidR="00CA23A3" w:rsidRDefault="00CA23A3" w:rsidP="00122924">
      <w:pPr>
        <w:ind w:hanging="11"/>
        <w:jc w:val="both"/>
        <w:rPr>
          <w:rFonts w:ascii="Avenir Next" w:hAnsi="Avenir Next" w:cs="Arial"/>
          <w:color w:val="808080" w:themeColor="background1" w:themeShade="80"/>
          <w:sz w:val="22"/>
          <w:szCs w:val="22"/>
          <w:lang w:val="en-GB"/>
        </w:rPr>
      </w:pPr>
      <w:r w:rsidRPr="00CA23A3">
        <w:rPr>
          <w:rFonts w:ascii="Avenir Next" w:hAnsi="Avenir Next" w:cs="Arial"/>
          <w:color w:val="808080" w:themeColor="background1" w:themeShade="80"/>
          <w:sz w:val="22"/>
          <w:szCs w:val="22"/>
          <w:lang w:val="en-GB"/>
        </w:rPr>
        <w:t xml:space="preserve">Universalism advocates that only the law of one country will govern all other bankruptcy proceedings that are underway in other jurisdictions. On the other hand, territorialism advocates that the bankruptcy process will produce legal effect only in the jurisdiction in which it was opened. In other </w:t>
      </w:r>
      <w:r w:rsidRPr="00CA23A3">
        <w:rPr>
          <w:rFonts w:ascii="Avenir Next" w:hAnsi="Avenir Next" w:cs="Arial"/>
          <w:color w:val="808080" w:themeColor="background1" w:themeShade="80"/>
          <w:sz w:val="22"/>
          <w:szCs w:val="22"/>
          <w:lang w:val="en-GB"/>
        </w:rPr>
        <w:lastRenderedPageBreak/>
        <w:t>countries, new bankruptcy proceedings may be opened, which will be conducted by the law of the respective country.</w:t>
      </w:r>
    </w:p>
    <w:p w14:paraId="0B3A474A" w14:textId="55CDA3E5" w:rsidR="00122924" w:rsidRDefault="00122924" w:rsidP="00122924">
      <w:pPr>
        <w:ind w:hanging="11"/>
        <w:jc w:val="both"/>
        <w:rPr>
          <w:rFonts w:ascii="Avenir Next" w:hAnsi="Avenir Next" w:cs="Arial"/>
          <w:color w:val="808080" w:themeColor="background1" w:themeShade="80"/>
          <w:sz w:val="22"/>
          <w:szCs w:val="22"/>
          <w:lang w:val="en-GB"/>
        </w:rPr>
      </w:pPr>
    </w:p>
    <w:p w14:paraId="5393F08B" w14:textId="691D9F24" w:rsidR="006A7FFE" w:rsidRDefault="00122924" w:rsidP="00D34CEA">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 assuming </w:t>
      </w:r>
      <w:r w:rsidR="00495AC6">
        <w:rPr>
          <w:rFonts w:ascii="Avenir Next" w:hAnsi="Avenir Next" w:cs="Arial"/>
          <w:color w:val="808080" w:themeColor="background1" w:themeShade="80"/>
          <w:sz w:val="22"/>
          <w:szCs w:val="22"/>
          <w:lang w:val="en-GB"/>
        </w:rPr>
        <w:t xml:space="preserve">that Encanto and </w:t>
      </w:r>
      <w:proofErr w:type="spellStart"/>
      <w:r w:rsidR="00495AC6">
        <w:rPr>
          <w:rFonts w:ascii="Avenir Next" w:hAnsi="Avenir Next" w:cs="Arial"/>
          <w:color w:val="808080" w:themeColor="background1" w:themeShade="80"/>
          <w:sz w:val="22"/>
          <w:szCs w:val="22"/>
          <w:lang w:val="en-GB"/>
        </w:rPr>
        <w:t>Asgard</w:t>
      </w:r>
      <w:proofErr w:type="spellEnd"/>
      <w:r w:rsidR="00495AC6">
        <w:rPr>
          <w:rFonts w:ascii="Avenir Next" w:hAnsi="Avenir Next" w:cs="Arial"/>
          <w:color w:val="808080" w:themeColor="background1" w:themeShade="80"/>
          <w:sz w:val="22"/>
          <w:szCs w:val="22"/>
          <w:lang w:val="en-GB"/>
        </w:rPr>
        <w:t xml:space="preserve"> adopt a framework tending to universalism</w:t>
      </w:r>
      <w:r w:rsidR="006D15F4">
        <w:rPr>
          <w:rFonts w:ascii="Avenir Next" w:hAnsi="Avenir Next" w:cs="Arial"/>
          <w:color w:val="808080" w:themeColor="background1" w:themeShade="80"/>
          <w:sz w:val="22"/>
          <w:szCs w:val="22"/>
          <w:lang w:val="en-GB"/>
        </w:rPr>
        <w:t xml:space="preserve"> and that </w:t>
      </w:r>
      <w:r w:rsidR="00CE330F">
        <w:rPr>
          <w:rFonts w:ascii="Avenir Next" w:hAnsi="Avenir Next" w:cs="Arial"/>
          <w:color w:val="808080" w:themeColor="background1" w:themeShade="80"/>
          <w:sz w:val="22"/>
          <w:szCs w:val="22"/>
          <w:lang w:val="en-GB"/>
        </w:rPr>
        <w:t>both countries</w:t>
      </w:r>
      <w:r w:rsidR="006D15F4">
        <w:rPr>
          <w:rFonts w:ascii="Avenir Next" w:hAnsi="Avenir Next" w:cs="Arial"/>
          <w:color w:val="808080" w:themeColor="background1" w:themeShade="80"/>
          <w:sz w:val="22"/>
          <w:szCs w:val="22"/>
          <w:lang w:val="en-GB"/>
        </w:rPr>
        <w:t xml:space="preserve"> ad</w:t>
      </w:r>
      <w:r w:rsidR="00CE330F">
        <w:rPr>
          <w:rFonts w:ascii="Avenir Next" w:hAnsi="Avenir Next" w:cs="Arial"/>
          <w:color w:val="808080" w:themeColor="background1" w:themeShade="80"/>
          <w:sz w:val="22"/>
          <w:szCs w:val="22"/>
          <w:lang w:val="en-GB"/>
        </w:rPr>
        <w:t xml:space="preserve">opted the UNCITRAL Model Law on Cross-Broder Insolvency </w:t>
      </w:r>
      <w:r w:rsidR="00517448">
        <w:rPr>
          <w:rFonts w:ascii="Avenir Next" w:hAnsi="Avenir Next" w:cs="Arial"/>
          <w:color w:val="808080" w:themeColor="background1" w:themeShade="80"/>
          <w:sz w:val="22"/>
          <w:szCs w:val="22"/>
          <w:lang w:val="en-GB"/>
        </w:rPr>
        <w:t xml:space="preserve">(MLCBI) </w:t>
      </w:r>
      <w:r w:rsidR="009B2A3E">
        <w:rPr>
          <w:rFonts w:ascii="Avenir Next" w:hAnsi="Avenir Next" w:cs="Arial"/>
          <w:color w:val="808080" w:themeColor="background1" w:themeShade="80"/>
          <w:sz w:val="22"/>
          <w:szCs w:val="22"/>
          <w:lang w:val="en-GB"/>
        </w:rPr>
        <w:t xml:space="preserve">is possible to mention the following </w:t>
      </w:r>
      <w:r w:rsidR="00544E67">
        <w:rPr>
          <w:rFonts w:ascii="Avenir Next" w:hAnsi="Avenir Next" w:cs="Arial"/>
          <w:color w:val="808080" w:themeColor="background1" w:themeShade="80"/>
          <w:sz w:val="22"/>
          <w:szCs w:val="22"/>
          <w:lang w:val="en-GB"/>
        </w:rPr>
        <w:t xml:space="preserve">problems that </w:t>
      </w:r>
      <w:r w:rsidR="00517448">
        <w:rPr>
          <w:rFonts w:ascii="Avenir Next" w:hAnsi="Avenir Next" w:cs="Arial"/>
          <w:color w:val="808080" w:themeColor="background1" w:themeShade="80"/>
          <w:sz w:val="22"/>
          <w:szCs w:val="22"/>
          <w:lang w:val="en-GB"/>
        </w:rPr>
        <w:t>may arise from a transnational insolvency case</w:t>
      </w:r>
      <w:r w:rsidR="00D34CEA">
        <w:rPr>
          <w:rFonts w:ascii="Avenir Next" w:hAnsi="Avenir Next" w:cs="Arial"/>
          <w:color w:val="808080" w:themeColor="background1" w:themeShade="80"/>
          <w:sz w:val="22"/>
          <w:szCs w:val="22"/>
          <w:lang w:val="en-GB"/>
        </w:rPr>
        <w:t>, b</w:t>
      </w:r>
      <w:r w:rsidR="00DB3B8B">
        <w:rPr>
          <w:rFonts w:ascii="Avenir Next" w:hAnsi="Avenir Next" w:cs="Arial"/>
          <w:color w:val="808080" w:themeColor="background1" w:themeShade="80"/>
          <w:sz w:val="22"/>
          <w:szCs w:val="22"/>
          <w:lang w:val="en-GB"/>
        </w:rPr>
        <w:t>ased on the authoritative text of</w:t>
      </w:r>
      <w:r w:rsidR="00A03576">
        <w:rPr>
          <w:rFonts w:ascii="Avenir Next" w:hAnsi="Avenir Next" w:cs="Arial"/>
          <w:color w:val="808080" w:themeColor="background1" w:themeShade="80"/>
          <w:sz w:val="22"/>
          <w:szCs w:val="22"/>
          <w:lang w:val="en-GB"/>
        </w:rPr>
        <w:t xml:space="preserve"> </w:t>
      </w:r>
      <w:r w:rsidR="006A7FFE" w:rsidRPr="006A7FFE">
        <w:rPr>
          <w:rFonts w:ascii="Avenir Next" w:hAnsi="Avenir Next" w:cs="Arial"/>
          <w:color w:val="808080" w:themeColor="background1" w:themeShade="80"/>
          <w:sz w:val="22"/>
          <w:szCs w:val="22"/>
          <w:lang w:val="en-GB"/>
        </w:rPr>
        <w:t>Professor Fletcher</w:t>
      </w:r>
      <w:r w:rsidR="00D34CEA">
        <w:rPr>
          <w:rFonts w:ascii="Avenir Next" w:hAnsi="Avenir Next" w:cs="Arial"/>
          <w:color w:val="808080" w:themeColor="background1" w:themeShade="80"/>
          <w:sz w:val="22"/>
          <w:szCs w:val="22"/>
          <w:lang w:val="en-GB"/>
        </w:rPr>
        <w:t>:</w:t>
      </w:r>
      <w:r w:rsidR="006A7FFE" w:rsidRPr="006A7FFE">
        <w:rPr>
          <w:rFonts w:ascii="Avenir Next" w:hAnsi="Avenir Next" w:cs="Arial"/>
          <w:color w:val="808080" w:themeColor="background1" w:themeShade="80"/>
          <w:sz w:val="22"/>
          <w:szCs w:val="22"/>
          <w:lang w:val="en-GB"/>
        </w:rPr>
        <w:t xml:space="preserve"> (</w:t>
      </w:r>
      <w:proofErr w:type="spellStart"/>
      <w:r w:rsidR="006A7FFE" w:rsidRPr="006A7FFE">
        <w:rPr>
          <w:rFonts w:ascii="Avenir Next" w:hAnsi="Avenir Next" w:cs="Arial"/>
          <w:color w:val="808080" w:themeColor="background1" w:themeShade="80"/>
          <w:sz w:val="22"/>
          <w:szCs w:val="22"/>
          <w:lang w:val="en-GB"/>
        </w:rPr>
        <w:t>i</w:t>
      </w:r>
      <w:proofErr w:type="spellEnd"/>
      <w:r w:rsidR="006A7FFE" w:rsidRPr="006A7FFE">
        <w:rPr>
          <w:rFonts w:ascii="Avenir Next" w:hAnsi="Avenir Next" w:cs="Arial"/>
          <w:color w:val="808080" w:themeColor="background1" w:themeShade="80"/>
          <w:sz w:val="22"/>
          <w:szCs w:val="22"/>
          <w:lang w:val="en-GB"/>
        </w:rPr>
        <w:t>) in which jurisdiction should the bankruptcy process be opened; (ii) the choice of law to apply to the matter, according to the particularities of the process; (iii) the recognition and effects that the main process will have on secondary processes. Therefore, the main difficulties of the transactional bankruptcy process will permeate the confrontation of these three points.</w:t>
      </w:r>
    </w:p>
    <w:p w14:paraId="3B47101E" w14:textId="30422032" w:rsidR="00CF59F6" w:rsidRDefault="00CF59F6" w:rsidP="003A28A8">
      <w:pPr>
        <w:jc w:val="both"/>
        <w:rPr>
          <w:rFonts w:ascii="Avenir Next" w:hAnsi="Avenir Next" w:cs="Arial"/>
          <w:color w:val="808080" w:themeColor="background1" w:themeShade="80"/>
          <w:sz w:val="22"/>
          <w:szCs w:val="22"/>
          <w:lang w:val="en-GB"/>
        </w:rPr>
      </w:pPr>
    </w:p>
    <w:p w14:paraId="73D9FB13" w14:textId="5FD35DEC" w:rsidR="00CF59F6" w:rsidRDefault="00CF59F6" w:rsidP="003A28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context, the foreign representative of the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insolvency proceeding must face the provisions of the article 17.2 of the M</w:t>
      </w:r>
      <w:r w:rsidR="00215841">
        <w:rPr>
          <w:rFonts w:ascii="Avenir Next" w:hAnsi="Avenir Next" w:cs="Arial"/>
          <w:color w:val="808080" w:themeColor="background1" w:themeShade="80"/>
          <w:sz w:val="22"/>
          <w:szCs w:val="22"/>
          <w:lang w:val="en-GB"/>
        </w:rPr>
        <w:t>LCBI, that states the following:</w:t>
      </w:r>
    </w:p>
    <w:p w14:paraId="4AC70718" w14:textId="5067EDD2" w:rsidR="00215841" w:rsidRDefault="00215841" w:rsidP="003A28A8">
      <w:pPr>
        <w:jc w:val="both"/>
        <w:rPr>
          <w:rFonts w:ascii="Avenir Next" w:hAnsi="Avenir Next" w:cs="Arial"/>
          <w:color w:val="808080" w:themeColor="background1" w:themeShade="80"/>
          <w:sz w:val="22"/>
          <w:szCs w:val="22"/>
          <w:lang w:val="en-GB"/>
        </w:rPr>
      </w:pPr>
    </w:p>
    <w:p w14:paraId="33F0A224" w14:textId="4F406408" w:rsidR="00215841" w:rsidRPr="00742960" w:rsidRDefault="00742960" w:rsidP="00215841">
      <w:pPr>
        <w:ind w:lef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215841" w:rsidRPr="00742960">
        <w:rPr>
          <w:rFonts w:ascii="Avenir Next" w:hAnsi="Avenir Next" w:cs="Arial"/>
          <w:color w:val="808080" w:themeColor="background1" w:themeShade="80"/>
          <w:sz w:val="22"/>
          <w:szCs w:val="22"/>
          <w:lang w:val="en-GB"/>
        </w:rPr>
        <w:t>2. The foreign proceeding shall be recognized:</w:t>
      </w:r>
    </w:p>
    <w:p w14:paraId="4AB70A89" w14:textId="77777777" w:rsidR="00215841" w:rsidRPr="00742960" w:rsidRDefault="00215841" w:rsidP="00215841">
      <w:pPr>
        <w:ind w:left="851"/>
        <w:jc w:val="both"/>
        <w:rPr>
          <w:rFonts w:ascii="Avenir Next" w:hAnsi="Avenir Next" w:cs="Arial"/>
          <w:color w:val="808080" w:themeColor="background1" w:themeShade="80"/>
          <w:sz w:val="22"/>
          <w:szCs w:val="22"/>
          <w:lang w:val="en-GB"/>
        </w:rPr>
      </w:pPr>
    </w:p>
    <w:p w14:paraId="71269CB7" w14:textId="3AEC870E" w:rsidR="00215841" w:rsidRPr="00742960" w:rsidRDefault="00215841" w:rsidP="00215841">
      <w:pPr>
        <w:ind w:left="851"/>
        <w:jc w:val="both"/>
        <w:rPr>
          <w:rFonts w:ascii="Avenir Next" w:hAnsi="Avenir Next" w:cs="Arial"/>
          <w:color w:val="808080" w:themeColor="background1" w:themeShade="80"/>
          <w:sz w:val="22"/>
          <w:szCs w:val="22"/>
          <w:lang w:val="en-GB"/>
        </w:rPr>
      </w:pPr>
      <w:r w:rsidRPr="00742960">
        <w:rPr>
          <w:rFonts w:ascii="Avenir Next" w:hAnsi="Avenir Next" w:cs="Arial"/>
          <w:color w:val="808080" w:themeColor="background1" w:themeShade="80"/>
          <w:sz w:val="22"/>
          <w:szCs w:val="22"/>
          <w:lang w:val="en-GB"/>
        </w:rPr>
        <w:t>(a) As a foreign main proceeding if it is taking place in the State where the debtor has the centre of its main interests; or</w:t>
      </w:r>
    </w:p>
    <w:p w14:paraId="3E1B83C8" w14:textId="41603220" w:rsidR="00215841" w:rsidRPr="00742960" w:rsidRDefault="00215841" w:rsidP="00215841">
      <w:pPr>
        <w:ind w:left="851"/>
        <w:jc w:val="both"/>
        <w:rPr>
          <w:rFonts w:ascii="Avenir Next" w:hAnsi="Avenir Next" w:cs="Arial"/>
          <w:color w:val="808080" w:themeColor="background1" w:themeShade="80"/>
          <w:sz w:val="22"/>
          <w:szCs w:val="22"/>
          <w:lang w:val="en-GB"/>
        </w:rPr>
      </w:pPr>
      <w:r w:rsidRPr="00742960">
        <w:rPr>
          <w:rFonts w:ascii="Avenir Next" w:hAnsi="Avenir Next" w:cs="Arial"/>
          <w:color w:val="808080" w:themeColor="background1" w:themeShade="80"/>
          <w:sz w:val="22"/>
          <w:szCs w:val="22"/>
          <w:lang w:val="en-GB"/>
        </w:rPr>
        <w:t>(b) As a foreign non-main proceeding if the debtor has an establishment within the meaning of subparagraph (f) of article 2 in the foreign State</w:t>
      </w:r>
      <w:r w:rsidR="00742960">
        <w:rPr>
          <w:rFonts w:ascii="Avenir Next" w:hAnsi="Avenir Next" w:cs="Arial"/>
          <w:color w:val="808080" w:themeColor="background1" w:themeShade="80"/>
          <w:sz w:val="22"/>
          <w:szCs w:val="22"/>
          <w:lang w:val="en-GB"/>
        </w:rPr>
        <w:t>”</w:t>
      </w:r>
    </w:p>
    <w:p w14:paraId="4DAEDD96" w14:textId="77777777" w:rsidR="00CA23A3" w:rsidRDefault="00CA23A3" w:rsidP="00785FB0">
      <w:pPr>
        <w:ind w:left="720" w:hanging="720"/>
        <w:jc w:val="both"/>
        <w:rPr>
          <w:rFonts w:ascii="Avenir Next" w:hAnsi="Avenir Next" w:cs="Arial"/>
          <w:color w:val="808080" w:themeColor="background1" w:themeShade="80"/>
          <w:sz w:val="22"/>
          <w:szCs w:val="22"/>
          <w:lang w:val="en-GB"/>
        </w:rPr>
      </w:pPr>
    </w:p>
    <w:p w14:paraId="0D3B1D18" w14:textId="02752237" w:rsidR="004E1D03" w:rsidRDefault="00215841" w:rsidP="00692852">
      <w:pPr>
        <w:jc w:val="both"/>
        <w:rPr>
          <w:rFonts w:ascii="Avenir Next" w:hAnsi="Avenir Next" w:cs="Arial"/>
          <w:color w:val="808080" w:themeColor="background1" w:themeShade="80"/>
          <w:sz w:val="22"/>
          <w:szCs w:val="22"/>
          <w:lang w:val="en-GB"/>
        </w:rPr>
      </w:pPr>
      <w:r w:rsidRPr="00FE7693">
        <w:rPr>
          <w:rFonts w:ascii="Avenir Next" w:hAnsi="Avenir Next" w:cs="Arial"/>
          <w:color w:val="808080" w:themeColor="background1" w:themeShade="80"/>
          <w:sz w:val="22"/>
          <w:szCs w:val="22"/>
          <w:lang w:val="en-GB"/>
        </w:rPr>
        <w:t xml:space="preserve">Considering that </w:t>
      </w:r>
      <w:r w:rsidR="00425671" w:rsidRPr="00FE7693">
        <w:rPr>
          <w:rFonts w:ascii="Avenir Next" w:hAnsi="Avenir Next" w:cs="Arial"/>
          <w:color w:val="808080" w:themeColor="background1" w:themeShade="80"/>
          <w:sz w:val="22"/>
          <w:szCs w:val="22"/>
          <w:lang w:val="en-GB"/>
        </w:rPr>
        <w:t xml:space="preserve">FPPL is </w:t>
      </w:r>
      <w:r w:rsidR="00F94854" w:rsidRPr="00FE7693">
        <w:rPr>
          <w:rFonts w:ascii="Avenir Next" w:hAnsi="Avenir Next" w:cs="Arial"/>
          <w:color w:val="808080" w:themeColor="background1" w:themeShade="80"/>
          <w:sz w:val="22"/>
          <w:szCs w:val="22"/>
          <w:lang w:val="en-GB"/>
        </w:rPr>
        <w:t xml:space="preserve">a company incorporated with its head office and significant operations in Encanto as well as being registered as a foreign company in </w:t>
      </w:r>
      <w:proofErr w:type="spellStart"/>
      <w:r w:rsidR="00F94854" w:rsidRPr="00FE7693">
        <w:rPr>
          <w:rFonts w:ascii="Avenir Next" w:hAnsi="Avenir Next" w:cs="Arial"/>
          <w:color w:val="808080" w:themeColor="background1" w:themeShade="80"/>
          <w:sz w:val="22"/>
          <w:szCs w:val="22"/>
          <w:lang w:val="en-GB"/>
        </w:rPr>
        <w:t>Asgard</w:t>
      </w:r>
      <w:proofErr w:type="spellEnd"/>
      <w:r w:rsidR="00F94854" w:rsidRPr="00FE7693">
        <w:rPr>
          <w:rFonts w:ascii="Avenir Next" w:hAnsi="Avenir Next" w:cs="Arial"/>
          <w:color w:val="808080" w:themeColor="background1" w:themeShade="80"/>
          <w:sz w:val="22"/>
          <w:szCs w:val="22"/>
          <w:lang w:val="en-GB"/>
        </w:rPr>
        <w:t>, where it also carries on business</w:t>
      </w:r>
      <w:r w:rsidR="00742960" w:rsidRPr="00FE7693">
        <w:rPr>
          <w:rFonts w:ascii="Avenir Next" w:hAnsi="Avenir Next" w:cs="Arial"/>
          <w:color w:val="808080" w:themeColor="background1" w:themeShade="80"/>
          <w:sz w:val="22"/>
          <w:szCs w:val="22"/>
          <w:lang w:val="en-GB"/>
        </w:rPr>
        <w:t>, but less than in Encanto,</w:t>
      </w:r>
      <w:r w:rsidR="00A311D7">
        <w:rPr>
          <w:rFonts w:ascii="Avenir Next" w:hAnsi="Avenir Next" w:cs="Arial"/>
          <w:color w:val="808080" w:themeColor="background1" w:themeShade="80"/>
          <w:sz w:val="22"/>
          <w:szCs w:val="22"/>
          <w:lang w:val="en-GB"/>
        </w:rPr>
        <w:t xml:space="preserve"> it</w:t>
      </w:r>
      <w:r w:rsidR="00742960" w:rsidRPr="00FE7693">
        <w:rPr>
          <w:rFonts w:ascii="Avenir Next" w:hAnsi="Avenir Next" w:cs="Arial"/>
          <w:color w:val="808080" w:themeColor="background1" w:themeShade="80"/>
          <w:sz w:val="22"/>
          <w:szCs w:val="22"/>
          <w:lang w:val="en-GB"/>
        </w:rPr>
        <w:t xml:space="preserve"> is probably that the foreign main proceeding would take place in Encanto, where FPPL has the centre of its main interests.</w:t>
      </w:r>
    </w:p>
    <w:p w14:paraId="62AE4503" w14:textId="529A644D" w:rsidR="00220E8A" w:rsidRDefault="00220E8A" w:rsidP="00692852">
      <w:pPr>
        <w:jc w:val="both"/>
        <w:rPr>
          <w:rFonts w:ascii="Avenir Next" w:hAnsi="Avenir Next" w:cs="Arial"/>
          <w:color w:val="808080" w:themeColor="background1" w:themeShade="80"/>
          <w:sz w:val="22"/>
          <w:szCs w:val="22"/>
          <w:lang w:val="en-GB"/>
        </w:rPr>
      </w:pPr>
    </w:p>
    <w:p w14:paraId="0806B126" w14:textId="4CB7884B" w:rsidR="00220E8A" w:rsidRDefault="00F97BE5"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is pending a decision to recognize the foreign main proceeding, </w:t>
      </w:r>
      <w:r w:rsidR="00217F61">
        <w:rPr>
          <w:rFonts w:ascii="Avenir Next" w:hAnsi="Avenir Next" w:cs="Arial"/>
          <w:color w:val="808080" w:themeColor="background1" w:themeShade="80"/>
          <w:sz w:val="22"/>
          <w:szCs w:val="22"/>
          <w:lang w:val="en-GB"/>
        </w:rPr>
        <w:t xml:space="preserve">in case </w:t>
      </w:r>
      <w:r w:rsidR="00F27889">
        <w:rPr>
          <w:rFonts w:ascii="Avenir Next" w:hAnsi="Avenir Next" w:cs="Arial"/>
          <w:color w:val="808080" w:themeColor="background1" w:themeShade="80"/>
          <w:sz w:val="22"/>
          <w:szCs w:val="22"/>
          <w:lang w:val="en-GB"/>
        </w:rPr>
        <w:t xml:space="preserve">it </w:t>
      </w:r>
      <w:r w:rsidR="00217F61">
        <w:rPr>
          <w:rFonts w:ascii="Avenir Next" w:hAnsi="Avenir Next" w:cs="Arial"/>
          <w:color w:val="808080" w:themeColor="background1" w:themeShade="80"/>
          <w:sz w:val="22"/>
          <w:szCs w:val="22"/>
          <w:lang w:val="en-GB"/>
        </w:rPr>
        <w:t xml:space="preserve">is needed </w:t>
      </w:r>
      <w:r w:rsidR="00B115D5">
        <w:rPr>
          <w:rFonts w:ascii="Avenir Next" w:hAnsi="Avenir Next" w:cs="Arial"/>
          <w:color w:val="808080" w:themeColor="background1" w:themeShade="80"/>
          <w:sz w:val="22"/>
          <w:szCs w:val="22"/>
          <w:lang w:val="en-GB"/>
        </w:rPr>
        <w:t xml:space="preserve">urgently relief, </w:t>
      </w:r>
      <w:r>
        <w:rPr>
          <w:rFonts w:ascii="Avenir Next" w:hAnsi="Avenir Next" w:cs="Arial"/>
          <w:color w:val="808080" w:themeColor="background1" w:themeShade="80"/>
          <w:sz w:val="22"/>
          <w:szCs w:val="22"/>
          <w:lang w:val="en-GB"/>
        </w:rPr>
        <w:t xml:space="preserve">the foreign representative of the insolvency proceeding opened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may reque</w:t>
      </w:r>
      <w:r w:rsidR="00217F61">
        <w:rPr>
          <w:rFonts w:ascii="Avenir Next" w:hAnsi="Avenir Next" w:cs="Arial"/>
          <w:color w:val="808080" w:themeColor="background1" w:themeShade="80"/>
          <w:sz w:val="22"/>
          <w:szCs w:val="22"/>
          <w:lang w:val="en-GB"/>
        </w:rPr>
        <w:t>st relief of provisional nature</w:t>
      </w:r>
      <w:r w:rsidR="00F27889">
        <w:rPr>
          <w:rFonts w:ascii="Avenir Next" w:hAnsi="Avenir Next" w:cs="Arial"/>
          <w:color w:val="808080" w:themeColor="background1" w:themeShade="80"/>
          <w:sz w:val="22"/>
          <w:szCs w:val="22"/>
          <w:lang w:val="en-GB"/>
        </w:rPr>
        <w:t xml:space="preserve"> </w:t>
      </w:r>
      <w:r w:rsidR="00217F61">
        <w:rPr>
          <w:rFonts w:ascii="Avenir Next" w:hAnsi="Avenir Next" w:cs="Arial"/>
          <w:color w:val="808080" w:themeColor="background1" w:themeShade="80"/>
          <w:sz w:val="22"/>
          <w:szCs w:val="22"/>
          <w:lang w:val="en-GB"/>
        </w:rPr>
        <w:t xml:space="preserve">to stay </w:t>
      </w:r>
      <w:r w:rsidR="00B115D5">
        <w:rPr>
          <w:rFonts w:ascii="Avenir Next" w:hAnsi="Avenir Next" w:cs="Arial"/>
          <w:color w:val="808080" w:themeColor="background1" w:themeShade="80"/>
          <w:sz w:val="22"/>
          <w:szCs w:val="22"/>
          <w:lang w:val="en-GB"/>
        </w:rPr>
        <w:t>execution against FPPL’s assets</w:t>
      </w:r>
      <w:r w:rsidR="00C6622B">
        <w:rPr>
          <w:rFonts w:ascii="Avenir Next" w:hAnsi="Avenir Next" w:cs="Arial"/>
          <w:color w:val="808080" w:themeColor="background1" w:themeShade="80"/>
          <w:sz w:val="22"/>
          <w:szCs w:val="22"/>
          <w:lang w:val="en-GB"/>
        </w:rPr>
        <w:t xml:space="preserve"> before the Court where the debtor’s assets are located</w:t>
      </w:r>
      <w:r w:rsidR="00B115D5">
        <w:rPr>
          <w:rFonts w:ascii="Avenir Next" w:hAnsi="Avenir Next" w:cs="Arial"/>
          <w:color w:val="808080" w:themeColor="background1" w:themeShade="80"/>
          <w:sz w:val="22"/>
          <w:szCs w:val="22"/>
          <w:lang w:val="en-GB"/>
        </w:rPr>
        <w:t xml:space="preserve">; </w:t>
      </w:r>
      <w:r w:rsidR="00F27889">
        <w:rPr>
          <w:rFonts w:ascii="Avenir Next" w:hAnsi="Avenir Next" w:cs="Arial"/>
          <w:color w:val="808080" w:themeColor="background1" w:themeShade="80"/>
          <w:sz w:val="22"/>
          <w:szCs w:val="22"/>
          <w:lang w:val="en-GB"/>
        </w:rPr>
        <w:t xml:space="preserve">and any other measures </w:t>
      </w:r>
      <w:r w:rsidR="007D2F1A">
        <w:rPr>
          <w:rFonts w:ascii="Avenir Next" w:hAnsi="Avenir Next" w:cs="Arial"/>
          <w:color w:val="808080" w:themeColor="background1" w:themeShade="80"/>
          <w:sz w:val="22"/>
          <w:szCs w:val="22"/>
          <w:lang w:val="en-GB"/>
        </w:rPr>
        <w:t>to grant additional relief under the law of this State, accordingly to Article 19.1 of MLCBI.</w:t>
      </w:r>
    </w:p>
    <w:p w14:paraId="37F489F3" w14:textId="3B5D0DEA" w:rsidR="00963483" w:rsidRDefault="00963483" w:rsidP="00692852">
      <w:pPr>
        <w:jc w:val="both"/>
        <w:rPr>
          <w:rFonts w:ascii="Avenir Next" w:hAnsi="Avenir Next" w:cs="Arial"/>
          <w:color w:val="808080" w:themeColor="background1" w:themeShade="80"/>
          <w:sz w:val="22"/>
          <w:szCs w:val="22"/>
          <w:lang w:val="en-GB"/>
        </w:rPr>
      </w:pPr>
    </w:p>
    <w:p w14:paraId="7BEB8D4A" w14:textId="12473BC7" w:rsidR="00963483" w:rsidRDefault="001463AB" w:rsidP="00692852">
      <w:pPr>
        <w:jc w:val="both"/>
        <w:rPr>
          <w:rFonts w:ascii="Avenir Next" w:hAnsi="Avenir Next" w:cs="Arial"/>
          <w:color w:val="808080" w:themeColor="background1" w:themeShade="80"/>
          <w:sz w:val="22"/>
          <w:szCs w:val="22"/>
        </w:rPr>
      </w:pPr>
      <w:r w:rsidRPr="001463AB">
        <w:rPr>
          <w:rFonts w:ascii="Avenir Next" w:hAnsi="Avenir Next" w:cs="Arial"/>
          <w:color w:val="808080" w:themeColor="background1" w:themeShade="80"/>
          <w:sz w:val="22"/>
          <w:szCs w:val="22"/>
        </w:rPr>
        <w:t>Once the main insolvency procedure has been defined, binding effects on FPPL's ​​creditors will arise, as provided for in article 20.1 of the MLCBI. For example, individual actions or individual insolvency proceedings would be stayed; enforcement of judgments against FPPL would be stayed; rights to transfe</w:t>
      </w:r>
      <w:r>
        <w:rPr>
          <w:rFonts w:ascii="Avenir Next" w:hAnsi="Avenir Next" w:cs="Arial"/>
          <w:color w:val="808080" w:themeColor="background1" w:themeShade="80"/>
          <w:sz w:val="22"/>
          <w:szCs w:val="22"/>
        </w:rPr>
        <w:t xml:space="preserve">r </w:t>
      </w:r>
      <w:r w:rsidRPr="001463AB">
        <w:rPr>
          <w:rFonts w:ascii="Avenir Next" w:hAnsi="Avenir Next" w:cs="Arial"/>
          <w:color w:val="808080" w:themeColor="background1" w:themeShade="80"/>
          <w:sz w:val="22"/>
          <w:szCs w:val="22"/>
        </w:rPr>
        <w:t>or dispose of FPPL assets would be suspended</w:t>
      </w:r>
      <w:r>
        <w:rPr>
          <w:rFonts w:ascii="Avenir Next" w:hAnsi="Avenir Next" w:cs="Arial"/>
          <w:color w:val="808080" w:themeColor="background1" w:themeShade="80"/>
          <w:sz w:val="22"/>
          <w:szCs w:val="22"/>
        </w:rPr>
        <w:t>.</w:t>
      </w:r>
    </w:p>
    <w:p w14:paraId="51CCECE7" w14:textId="3DA928D1" w:rsidR="00131E21" w:rsidRDefault="00131E21" w:rsidP="00692852">
      <w:pPr>
        <w:jc w:val="both"/>
        <w:rPr>
          <w:rFonts w:ascii="Avenir Next" w:hAnsi="Avenir Next" w:cs="Arial"/>
          <w:color w:val="808080" w:themeColor="background1" w:themeShade="80"/>
          <w:sz w:val="22"/>
          <w:szCs w:val="22"/>
        </w:rPr>
      </w:pPr>
    </w:p>
    <w:p w14:paraId="1D8FBE08" w14:textId="1C8C6DC2" w:rsidR="00131E21" w:rsidRPr="001463AB" w:rsidRDefault="00131E21" w:rsidP="00692852">
      <w:pPr>
        <w:jc w:val="both"/>
        <w:rPr>
          <w:rFonts w:ascii="Avenir Next" w:hAnsi="Avenir Next" w:cs="Arial"/>
          <w:color w:val="808080" w:themeColor="background1" w:themeShade="80"/>
          <w:sz w:val="22"/>
          <w:szCs w:val="22"/>
        </w:rPr>
      </w:pPr>
      <w:r w:rsidRPr="00131E21">
        <w:rPr>
          <w:rFonts w:ascii="Avenir Next" w:hAnsi="Avenir Next" w:cs="Arial"/>
          <w:color w:val="808080" w:themeColor="background1" w:themeShade="80"/>
          <w:sz w:val="22"/>
          <w:szCs w:val="22"/>
        </w:rPr>
        <w:t xml:space="preserve">Therefore, the foreign representative of the </w:t>
      </w:r>
      <w:proofErr w:type="spellStart"/>
      <w:r w:rsidRPr="00131E21">
        <w:rPr>
          <w:rFonts w:ascii="Avenir Next" w:hAnsi="Avenir Next" w:cs="Arial"/>
          <w:color w:val="808080" w:themeColor="background1" w:themeShade="80"/>
          <w:sz w:val="22"/>
          <w:szCs w:val="22"/>
        </w:rPr>
        <w:t>Asgard</w:t>
      </w:r>
      <w:proofErr w:type="spellEnd"/>
      <w:r w:rsidRPr="00131E21">
        <w:rPr>
          <w:rFonts w:ascii="Avenir Next" w:hAnsi="Avenir Next" w:cs="Arial"/>
          <w:color w:val="808080" w:themeColor="background1" w:themeShade="80"/>
          <w:sz w:val="22"/>
          <w:szCs w:val="22"/>
        </w:rPr>
        <w:t xml:space="preserve"> bankruptcy </w:t>
      </w:r>
      <w:r>
        <w:rPr>
          <w:rFonts w:ascii="Avenir Next" w:hAnsi="Avenir Next" w:cs="Arial"/>
          <w:color w:val="808080" w:themeColor="background1" w:themeShade="80"/>
          <w:sz w:val="22"/>
          <w:szCs w:val="22"/>
        </w:rPr>
        <w:t xml:space="preserve">proceeding would be bind by </w:t>
      </w:r>
      <w:r w:rsidR="00DB7671">
        <w:rPr>
          <w:rFonts w:ascii="Avenir Next" w:hAnsi="Avenir Next" w:cs="Arial"/>
          <w:color w:val="808080" w:themeColor="background1" w:themeShade="80"/>
          <w:sz w:val="22"/>
          <w:szCs w:val="22"/>
        </w:rPr>
        <w:t xml:space="preserve">the </w:t>
      </w:r>
      <w:r w:rsidR="00DB7671" w:rsidRPr="00131E21">
        <w:rPr>
          <w:rFonts w:ascii="Avenir Next" w:hAnsi="Avenir Next" w:cs="Arial"/>
          <w:color w:val="808080" w:themeColor="background1" w:themeShade="80"/>
          <w:sz w:val="22"/>
          <w:szCs w:val="22"/>
        </w:rPr>
        <w:t>possible</w:t>
      </w:r>
      <w:r w:rsidRPr="00131E21">
        <w:rPr>
          <w:rFonts w:ascii="Avenir Next" w:hAnsi="Avenir Next" w:cs="Arial"/>
          <w:color w:val="808080" w:themeColor="background1" w:themeShade="80"/>
          <w:sz w:val="22"/>
          <w:szCs w:val="22"/>
        </w:rPr>
        <w:t xml:space="preserve"> recognition of a main bankruptcy proceeding in Encanto. As a result, the credit held by Lobo before the FPPL should be submitted to collective execution, respecting a single payment order to creditors, which would be available in the main bankruptcy proceeding.</w:t>
      </w:r>
    </w:p>
    <w:p w14:paraId="7EA3775A" w14:textId="77777777" w:rsidR="00F94854" w:rsidRPr="004216EA" w:rsidRDefault="00F94854"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w:t>
      </w:r>
      <w:r w:rsidR="00B12F13" w:rsidRPr="004216EA">
        <w:rPr>
          <w:rFonts w:ascii="Avenir Next" w:hAnsi="Avenir Next" w:cs="Arial"/>
          <w:sz w:val="22"/>
          <w:szCs w:val="22"/>
          <w:lang w:val="en-GB"/>
        </w:rPr>
        <w:lastRenderedPageBreak/>
        <w:t>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1FF5B145" w:rsidR="001E1C34" w:rsidRDefault="00FC024F" w:rsidP="00FC024F">
      <w:pPr>
        <w:tabs>
          <w:tab w:val="left" w:pos="0"/>
        </w:tabs>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FC024F">
        <w:rPr>
          <w:rFonts w:ascii="Avenir Next" w:hAnsi="Avenir Next" w:cs="Arial"/>
          <w:color w:val="808080" w:themeColor="background1" w:themeShade="80"/>
          <w:sz w:val="22"/>
          <w:szCs w:val="22"/>
          <w:lang w:val="en-GB"/>
        </w:rPr>
        <w:t xml:space="preserve">he European Insolvency Regulation Recast </w:t>
      </w:r>
      <w:r>
        <w:rPr>
          <w:rFonts w:ascii="Avenir Next" w:hAnsi="Avenir Next" w:cs="Arial"/>
          <w:color w:val="808080" w:themeColor="background1" w:themeShade="80"/>
          <w:sz w:val="22"/>
          <w:szCs w:val="22"/>
          <w:lang w:val="en-GB"/>
        </w:rPr>
        <w:t xml:space="preserve">would not apply to the </w:t>
      </w:r>
      <w:r w:rsidR="008D7DAA">
        <w:rPr>
          <w:rFonts w:ascii="Avenir Next" w:hAnsi="Avenir Next" w:cs="Arial"/>
          <w:color w:val="808080" w:themeColor="background1" w:themeShade="80"/>
          <w:sz w:val="22"/>
          <w:szCs w:val="22"/>
          <w:lang w:val="en-GB"/>
        </w:rPr>
        <w:t>commenced insolvency proceedings</w:t>
      </w:r>
      <w:r w:rsidR="00517F14">
        <w:rPr>
          <w:rFonts w:ascii="Avenir Next" w:hAnsi="Avenir Next" w:cs="Arial"/>
          <w:color w:val="808080" w:themeColor="background1" w:themeShade="80"/>
          <w:sz w:val="22"/>
          <w:szCs w:val="22"/>
          <w:lang w:val="en-GB"/>
        </w:rPr>
        <w:t xml:space="preserve"> opened</w:t>
      </w:r>
      <w:r w:rsidR="008D7DAA">
        <w:rPr>
          <w:rFonts w:ascii="Avenir Next" w:hAnsi="Avenir Next" w:cs="Arial"/>
          <w:color w:val="808080" w:themeColor="background1" w:themeShade="80"/>
          <w:sz w:val="22"/>
          <w:szCs w:val="22"/>
          <w:lang w:val="en-GB"/>
        </w:rPr>
        <w:t xml:space="preserve"> by the minor creditor, </w:t>
      </w:r>
      <w:r>
        <w:rPr>
          <w:rFonts w:ascii="Avenir Next" w:hAnsi="Avenir Next" w:cs="Arial"/>
          <w:color w:val="808080" w:themeColor="background1" w:themeShade="80"/>
          <w:sz w:val="22"/>
          <w:szCs w:val="22"/>
          <w:lang w:val="en-GB"/>
        </w:rPr>
        <w:t>since the</w:t>
      </w:r>
      <w:r w:rsidR="00AB65D0">
        <w:rPr>
          <w:rFonts w:ascii="Avenir Next" w:hAnsi="Avenir Next" w:cs="Arial"/>
          <w:color w:val="808080" w:themeColor="background1" w:themeShade="80"/>
          <w:sz w:val="22"/>
          <w:szCs w:val="22"/>
          <w:lang w:val="en-GB"/>
        </w:rPr>
        <w:t xml:space="preserve"> UK ceased to be a member of the EU on 31 January 2020</w:t>
      </w:r>
      <w:r w:rsidR="00517F14">
        <w:rPr>
          <w:rFonts w:ascii="Avenir Next" w:hAnsi="Avenir Next" w:cs="Arial"/>
          <w:color w:val="808080" w:themeColor="background1" w:themeShade="80"/>
          <w:sz w:val="22"/>
          <w:szCs w:val="22"/>
          <w:lang w:val="en-GB"/>
        </w:rPr>
        <w:t xml:space="preserve"> and the </w:t>
      </w:r>
      <w:r w:rsidR="006E08E8">
        <w:rPr>
          <w:rFonts w:ascii="Avenir Next" w:hAnsi="Avenir Next" w:cs="Arial"/>
          <w:color w:val="808080" w:themeColor="background1" w:themeShade="80"/>
          <w:sz w:val="22"/>
          <w:szCs w:val="22"/>
          <w:lang w:val="en-GB"/>
        </w:rPr>
        <w:t>transitional period expired at 11 pm on 31 December 2020.</w:t>
      </w:r>
    </w:p>
    <w:p w14:paraId="2F9E590B" w14:textId="68CABE94" w:rsidR="00087793" w:rsidRDefault="00087793" w:rsidP="00FC024F">
      <w:pPr>
        <w:tabs>
          <w:tab w:val="left" w:pos="0"/>
        </w:tabs>
        <w:jc w:val="both"/>
        <w:rPr>
          <w:rFonts w:ascii="Avenir Next" w:hAnsi="Avenir Next" w:cs="Arial"/>
          <w:color w:val="808080" w:themeColor="background1" w:themeShade="80"/>
          <w:sz w:val="22"/>
          <w:szCs w:val="22"/>
          <w:lang w:val="en-GB"/>
        </w:rPr>
      </w:pPr>
    </w:p>
    <w:p w14:paraId="44FE2DD3" w14:textId="4091BA61" w:rsidR="00087793" w:rsidRPr="00087793" w:rsidRDefault="00EE2031" w:rsidP="00FC024F">
      <w:pPr>
        <w:tabs>
          <w:tab w:val="left" w:pos="0"/>
        </w:tabs>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Hence</w:t>
      </w:r>
      <w:r w:rsidR="00087793" w:rsidRPr="00087793">
        <w:rPr>
          <w:rFonts w:ascii="Avenir Next" w:hAnsi="Avenir Next" w:cs="Arial"/>
          <w:color w:val="808080" w:themeColor="background1" w:themeShade="80"/>
          <w:sz w:val="22"/>
          <w:szCs w:val="22"/>
        </w:rPr>
        <w:t xml:space="preserve">, the </w:t>
      </w:r>
      <w:r>
        <w:rPr>
          <w:rFonts w:ascii="Avenir Next" w:hAnsi="Avenir Next" w:cs="Arial"/>
          <w:color w:val="808080" w:themeColor="background1" w:themeShade="80"/>
          <w:sz w:val="22"/>
          <w:szCs w:val="22"/>
        </w:rPr>
        <w:t>matter</w:t>
      </w:r>
      <w:r w:rsidR="00087793" w:rsidRPr="00087793">
        <w:rPr>
          <w:rFonts w:ascii="Avenir Next" w:hAnsi="Avenir Next" w:cs="Arial"/>
          <w:color w:val="808080" w:themeColor="background1" w:themeShade="80"/>
          <w:sz w:val="22"/>
          <w:szCs w:val="22"/>
        </w:rPr>
        <w:t xml:space="preserve"> would have to be resolved </w:t>
      </w:r>
      <w:r w:rsidR="00232D77" w:rsidRPr="00087793">
        <w:rPr>
          <w:rFonts w:ascii="Avenir Next" w:hAnsi="Avenir Next" w:cs="Arial"/>
          <w:color w:val="808080" w:themeColor="background1" w:themeShade="80"/>
          <w:sz w:val="22"/>
          <w:szCs w:val="22"/>
        </w:rPr>
        <w:t>based on</w:t>
      </w:r>
      <w:r w:rsidR="00087793" w:rsidRPr="00087793">
        <w:rPr>
          <w:rFonts w:ascii="Avenir Next" w:hAnsi="Avenir Next" w:cs="Arial"/>
          <w:color w:val="808080" w:themeColor="background1" w:themeShade="80"/>
          <w:sz w:val="22"/>
          <w:szCs w:val="22"/>
        </w:rPr>
        <w:t xml:space="preserve"> the cross-border insolvency laws adopted by England and Wales. In particular, section 426 of the insolvency act 1986, which </w:t>
      </w:r>
      <w:r>
        <w:rPr>
          <w:rFonts w:ascii="Avenir Next" w:hAnsi="Avenir Next" w:cs="Arial"/>
          <w:color w:val="808080" w:themeColor="background1" w:themeShade="80"/>
          <w:sz w:val="22"/>
          <w:szCs w:val="22"/>
        </w:rPr>
        <w:t>is a adoption of</w:t>
      </w:r>
      <w:r w:rsidR="00087793" w:rsidRPr="00087793">
        <w:rPr>
          <w:rFonts w:ascii="Avenir Next" w:hAnsi="Avenir Next" w:cs="Arial"/>
          <w:color w:val="808080" w:themeColor="background1" w:themeShade="80"/>
          <w:sz w:val="22"/>
          <w:szCs w:val="22"/>
        </w:rPr>
        <w:t xml:space="preserve"> the UNCITRAL Model Law on Cross-Broder Insolvency</w:t>
      </w:r>
      <w:r w:rsidR="00800C1E">
        <w:rPr>
          <w:rFonts w:ascii="Avenir Next" w:hAnsi="Avenir Next" w:cs="Arial"/>
          <w:color w:val="808080" w:themeColor="background1" w:themeShade="80"/>
          <w:sz w:val="22"/>
          <w:szCs w:val="22"/>
        </w:rPr>
        <w:t>, that took place</w:t>
      </w:r>
      <w:r w:rsidR="00087793" w:rsidRPr="00087793">
        <w:rPr>
          <w:rFonts w:ascii="Avenir Next" w:hAnsi="Avenir Next" w:cs="Arial"/>
          <w:color w:val="808080" w:themeColor="background1" w:themeShade="80"/>
          <w:sz w:val="22"/>
          <w:szCs w:val="22"/>
        </w:rPr>
        <w:t xml:space="preserve"> in 2006. Common law principles would also apply</w:t>
      </w:r>
      <w:r w:rsidR="00800C1E">
        <w:rPr>
          <w:rFonts w:ascii="Avenir Next" w:hAnsi="Avenir Next" w:cs="Arial"/>
          <w:color w:val="808080" w:themeColor="background1" w:themeShade="80"/>
          <w:sz w:val="22"/>
          <w:szCs w:val="22"/>
        </w:rPr>
        <w:t xml:space="preserve"> for the matter</w:t>
      </w:r>
      <w:r w:rsidR="00087793" w:rsidRPr="00087793">
        <w:rPr>
          <w:rFonts w:ascii="Avenir Next" w:hAnsi="Avenir Next" w:cs="Arial"/>
          <w:color w:val="808080" w:themeColor="background1" w:themeShade="80"/>
          <w:sz w:val="22"/>
          <w:szCs w:val="22"/>
        </w:rPr>
        <w:t xml:space="preserve">. Furthermore, it should be noted that the recognition of the existence of insolvency proceedings outside the EU is an amendment area of ​​the EIR Recast, which could </w:t>
      </w:r>
      <w:r w:rsidR="00236FC8">
        <w:rPr>
          <w:rFonts w:ascii="Avenir Next" w:hAnsi="Avenir Next" w:cs="Arial"/>
          <w:color w:val="808080" w:themeColor="background1" w:themeShade="80"/>
          <w:sz w:val="22"/>
          <w:szCs w:val="22"/>
        </w:rPr>
        <w:t>complicate the</w:t>
      </w:r>
      <w:r w:rsidR="00087793" w:rsidRPr="00087793">
        <w:rPr>
          <w:rFonts w:ascii="Avenir Next" w:hAnsi="Avenir Next" w:cs="Arial"/>
          <w:color w:val="808080" w:themeColor="background1" w:themeShade="80"/>
          <w:sz w:val="22"/>
          <w:szCs w:val="22"/>
        </w:rPr>
        <w:t xml:space="preserve"> co-operation and co-ordination </w:t>
      </w:r>
      <w:r w:rsidR="00236FC8">
        <w:rPr>
          <w:rFonts w:ascii="Avenir Next" w:hAnsi="Avenir Next" w:cs="Arial"/>
          <w:color w:val="808080" w:themeColor="background1" w:themeShade="80"/>
          <w:sz w:val="22"/>
          <w:szCs w:val="22"/>
        </w:rPr>
        <w:t>between the concurrent insolvency proceedings.</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0064" w14:textId="77777777" w:rsidR="003E2DEC" w:rsidRDefault="003E2DEC" w:rsidP="00241B44">
      <w:r>
        <w:separator/>
      </w:r>
    </w:p>
  </w:endnote>
  <w:endnote w:type="continuationSeparator" w:id="0">
    <w:p w14:paraId="53F44E06" w14:textId="77777777" w:rsidR="003E2DEC" w:rsidRDefault="003E2DE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Rodap"/>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B64A85" w:rsidRPr="00A31881" w:rsidRDefault="00B64A85" w:rsidP="00FC7B47">
    <w:pPr>
      <w:pStyle w:val="Rodap"/>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2016673495"/>
      <w:docPartObj>
        <w:docPartGallery w:val="Page Numbers (Bottom of Page)"/>
        <w:docPartUnique/>
      </w:docPartObj>
    </w:sdtPr>
    <w:sdtEndPr>
      <w:rPr>
        <w:rStyle w:val="Nmerodepgina"/>
        <w:rFonts w:ascii="Arial" w:hAnsi="Arial"/>
      </w:rPr>
    </w:sdtEndPr>
    <w:sdtContent>
      <w:p w14:paraId="532C33C7" w14:textId="27F0D173" w:rsidR="00B64A85" w:rsidRPr="00297BDF" w:rsidRDefault="00B64A85" w:rsidP="006E1CB0">
        <w:pPr>
          <w:pStyle w:val="Rodap"/>
          <w:framePr w:wrap="none" w:vAnchor="text" w:hAnchor="margin" w:xAlign="right" w:y="1"/>
          <w:rPr>
            <w:rStyle w:val="Nmerodepgina"/>
            <w:rFonts w:ascii="Arial" w:hAnsi="Arial" w:cs="Arial"/>
            <w:sz w:val="22"/>
            <w:szCs w:val="22"/>
          </w:rPr>
        </w:pPr>
        <w:r w:rsidRPr="00297BDF">
          <w:rPr>
            <w:rStyle w:val="Nmerodepgina"/>
            <w:rFonts w:ascii="Avenir Next" w:hAnsi="Avenir Next" w:cs="Arial"/>
            <w:sz w:val="22"/>
            <w:szCs w:val="22"/>
          </w:rPr>
          <w:t xml:space="preserve">Page </w:t>
        </w:r>
        <w:r w:rsidRPr="00297BDF">
          <w:rPr>
            <w:rStyle w:val="Nmerodepgina"/>
            <w:rFonts w:ascii="Avenir Next" w:hAnsi="Avenir Next" w:cs="Arial"/>
            <w:sz w:val="22"/>
            <w:szCs w:val="22"/>
          </w:rPr>
          <w:fldChar w:fldCharType="begin"/>
        </w:r>
        <w:r w:rsidRPr="00297BDF">
          <w:rPr>
            <w:rStyle w:val="Nmerodepgina"/>
            <w:rFonts w:ascii="Avenir Next" w:hAnsi="Avenir Next" w:cs="Arial"/>
            <w:sz w:val="22"/>
            <w:szCs w:val="22"/>
          </w:rPr>
          <w:instrText xml:space="preserve"> PAGE </w:instrText>
        </w:r>
        <w:r w:rsidRPr="00297BDF">
          <w:rPr>
            <w:rStyle w:val="Nmerodepgina"/>
            <w:rFonts w:ascii="Avenir Next" w:hAnsi="Avenir Next" w:cs="Arial"/>
            <w:sz w:val="22"/>
            <w:szCs w:val="22"/>
          </w:rPr>
          <w:fldChar w:fldCharType="separate"/>
        </w:r>
        <w:r w:rsidR="00466ED6" w:rsidRPr="00297BDF">
          <w:rPr>
            <w:rStyle w:val="Nmerodepgina"/>
            <w:rFonts w:ascii="Avenir Next" w:hAnsi="Avenir Next" w:cs="Arial"/>
            <w:noProof/>
            <w:sz w:val="22"/>
            <w:szCs w:val="22"/>
          </w:rPr>
          <w:t>2</w:t>
        </w:r>
        <w:r w:rsidRPr="00297BDF">
          <w:rPr>
            <w:rStyle w:val="Nmerodepgina"/>
            <w:rFonts w:ascii="Avenir Next" w:hAnsi="Avenir Next" w:cs="Arial"/>
            <w:sz w:val="22"/>
            <w:szCs w:val="22"/>
          </w:rPr>
          <w:fldChar w:fldCharType="end"/>
        </w:r>
      </w:p>
    </w:sdtContent>
  </w:sdt>
  <w:p w14:paraId="12ABA5E1" w14:textId="190C5AF7" w:rsidR="00B64A85" w:rsidRPr="00297BDF" w:rsidRDefault="00F833AB" w:rsidP="0052732A">
    <w:pPr>
      <w:pStyle w:val="Rodap"/>
      <w:ind w:right="360"/>
      <w:rPr>
        <w:rFonts w:ascii="Avenir Next" w:hAnsi="Avenir Next" w:cs="Arial"/>
        <w:sz w:val="22"/>
        <w:szCs w:val="22"/>
      </w:rPr>
    </w:pPr>
    <w:r w:rsidRPr="00F833AB">
      <w:rPr>
        <w:rFonts w:ascii="Avenir Next" w:hAnsi="Avenir Next" w:cs="Arial"/>
        <w:sz w:val="22"/>
        <w:szCs w:val="22"/>
      </w:rPr>
      <w:t>202223-938</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3CE8" w14:textId="77777777" w:rsidR="003E2DEC" w:rsidRDefault="003E2DEC" w:rsidP="00241B44">
      <w:r>
        <w:separator/>
      </w:r>
    </w:p>
  </w:footnote>
  <w:footnote w:type="continuationSeparator" w:id="0">
    <w:p w14:paraId="6ABB45CB" w14:textId="77777777" w:rsidR="003E2DEC" w:rsidRDefault="003E2DE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220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83578">
    <w:abstractNumId w:val="18"/>
  </w:num>
  <w:num w:numId="2" w16cid:durableId="1066104741">
    <w:abstractNumId w:val="22"/>
  </w:num>
  <w:num w:numId="3" w16cid:durableId="458228271">
    <w:abstractNumId w:val="2"/>
  </w:num>
  <w:num w:numId="4" w16cid:durableId="2132093103">
    <w:abstractNumId w:val="3"/>
  </w:num>
  <w:num w:numId="5" w16cid:durableId="1320228923">
    <w:abstractNumId w:val="14"/>
  </w:num>
  <w:num w:numId="6" w16cid:durableId="1497575832">
    <w:abstractNumId w:val="19"/>
  </w:num>
  <w:num w:numId="7" w16cid:durableId="1860972053">
    <w:abstractNumId w:val="8"/>
  </w:num>
  <w:num w:numId="8" w16cid:durableId="447159547">
    <w:abstractNumId w:val="23"/>
  </w:num>
  <w:num w:numId="9" w16cid:durableId="1567571732">
    <w:abstractNumId w:val="7"/>
  </w:num>
  <w:num w:numId="10" w16cid:durableId="848759736">
    <w:abstractNumId w:val="20"/>
  </w:num>
  <w:num w:numId="11" w16cid:durableId="1052926339">
    <w:abstractNumId w:val="6"/>
  </w:num>
  <w:num w:numId="12" w16cid:durableId="906300465">
    <w:abstractNumId w:val="21"/>
  </w:num>
  <w:num w:numId="13" w16cid:durableId="1715082731">
    <w:abstractNumId w:val="13"/>
  </w:num>
  <w:num w:numId="14" w16cid:durableId="697707030">
    <w:abstractNumId w:val="12"/>
  </w:num>
  <w:num w:numId="15" w16cid:durableId="2034066067">
    <w:abstractNumId w:val="4"/>
  </w:num>
  <w:num w:numId="16" w16cid:durableId="576406620">
    <w:abstractNumId w:val="15"/>
  </w:num>
  <w:num w:numId="17" w16cid:durableId="1596357967">
    <w:abstractNumId w:val="10"/>
  </w:num>
  <w:num w:numId="18" w16cid:durableId="1431700151">
    <w:abstractNumId w:val="11"/>
  </w:num>
  <w:num w:numId="19" w16cid:durableId="251624977">
    <w:abstractNumId w:val="17"/>
  </w:num>
  <w:num w:numId="20" w16cid:durableId="634599018">
    <w:abstractNumId w:val="5"/>
  </w:num>
  <w:num w:numId="21" w16cid:durableId="876576695">
    <w:abstractNumId w:val="9"/>
  </w:num>
  <w:num w:numId="22" w16cid:durableId="395784650">
    <w:abstractNumId w:val="0"/>
  </w:num>
  <w:num w:numId="23" w16cid:durableId="338582524">
    <w:abstractNumId w:val="16"/>
  </w:num>
  <w:num w:numId="24" w16cid:durableId="201355901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4167"/>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87793"/>
    <w:rsid w:val="00090933"/>
    <w:rsid w:val="00092378"/>
    <w:rsid w:val="00093BE8"/>
    <w:rsid w:val="00093FE2"/>
    <w:rsid w:val="0009471C"/>
    <w:rsid w:val="0009504E"/>
    <w:rsid w:val="000974F8"/>
    <w:rsid w:val="000A01B9"/>
    <w:rsid w:val="000A0C1B"/>
    <w:rsid w:val="000A68ED"/>
    <w:rsid w:val="000A74CA"/>
    <w:rsid w:val="000B1519"/>
    <w:rsid w:val="000B5B93"/>
    <w:rsid w:val="000B5FF1"/>
    <w:rsid w:val="000B609F"/>
    <w:rsid w:val="000B6B56"/>
    <w:rsid w:val="000D1040"/>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3055"/>
    <w:rsid w:val="00105CBD"/>
    <w:rsid w:val="0010672B"/>
    <w:rsid w:val="001107F2"/>
    <w:rsid w:val="00110E0C"/>
    <w:rsid w:val="001131C6"/>
    <w:rsid w:val="0011473D"/>
    <w:rsid w:val="00115C85"/>
    <w:rsid w:val="001174E6"/>
    <w:rsid w:val="00120B4D"/>
    <w:rsid w:val="00122924"/>
    <w:rsid w:val="0012303D"/>
    <w:rsid w:val="00123855"/>
    <w:rsid w:val="00124B70"/>
    <w:rsid w:val="00125A7C"/>
    <w:rsid w:val="00126A4D"/>
    <w:rsid w:val="00131D42"/>
    <w:rsid w:val="00131E21"/>
    <w:rsid w:val="0013278B"/>
    <w:rsid w:val="00135FFC"/>
    <w:rsid w:val="00136505"/>
    <w:rsid w:val="0014171F"/>
    <w:rsid w:val="0014622C"/>
    <w:rsid w:val="001463AB"/>
    <w:rsid w:val="00146419"/>
    <w:rsid w:val="00150F6C"/>
    <w:rsid w:val="00152348"/>
    <w:rsid w:val="0015328F"/>
    <w:rsid w:val="0015456D"/>
    <w:rsid w:val="00161F1B"/>
    <w:rsid w:val="001620AF"/>
    <w:rsid w:val="00162829"/>
    <w:rsid w:val="0016472D"/>
    <w:rsid w:val="00164B28"/>
    <w:rsid w:val="001677CC"/>
    <w:rsid w:val="00172D96"/>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6E2"/>
    <w:rsid w:val="001F2AF5"/>
    <w:rsid w:val="001F5204"/>
    <w:rsid w:val="001F603D"/>
    <w:rsid w:val="001F7412"/>
    <w:rsid w:val="001F7C77"/>
    <w:rsid w:val="00201386"/>
    <w:rsid w:val="00202C2B"/>
    <w:rsid w:val="00205B31"/>
    <w:rsid w:val="0020725B"/>
    <w:rsid w:val="0020730B"/>
    <w:rsid w:val="00212B14"/>
    <w:rsid w:val="00215841"/>
    <w:rsid w:val="00216499"/>
    <w:rsid w:val="002164C0"/>
    <w:rsid w:val="00216CB4"/>
    <w:rsid w:val="002173C5"/>
    <w:rsid w:val="00217F61"/>
    <w:rsid w:val="00220E8A"/>
    <w:rsid w:val="00223780"/>
    <w:rsid w:val="0022719C"/>
    <w:rsid w:val="00231F38"/>
    <w:rsid w:val="00232D77"/>
    <w:rsid w:val="002362AB"/>
    <w:rsid w:val="00236FC8"/>
    <w:rsid w:val="002400DB"/>
    <w:rsid w:val="002406A4"/>
    <w:rsid w:val="0024116D"/>
    <w:rsid w:val="00241B44"/>
    <w:rsid w:val="00245EFB"/>
    <w:rsid w:val="002461CD"/>
    <w:rsid w:val="00251460"/>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51C"/>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B6633"/>
    <w:rsid w:val="002C1227"/>
    <w:rsid w:val="002C13C8"/>
    <w:rsid w:val="002C259C"/>
    <w:rsid w:val="002C3547"/>
    <w:rsid w:val="002D0021"/>
    <w:rsid w:val="002D02AE"/>
    <w:rsid w:val="002D10A3"/>
    <w:rsid w:val="002D2356"/>
    <w:rsid w:val="002D295D"/>
    <w:rsid w:val="002D3473"/>
    <w:rsid w:val="002E37B7"/>
    <w:rsid w:val="002E4A02"/>
    <w:rsid w:val="002E4A1F"/>
    <w:rsid w:val="002E66F4"/>
    <w:rsid w:val="002F14C5"/>
    <w:rsid w:val="002F1956"/>
    <w:rsid w:val="002F2B8D"/>
    <w:rsid w:val="002F3440"/>
    <w:rsid w:val="002F3B17"/>
    <w:rsid w:val="002F5510"/>
    <w:rsid w:val="002F5DD8"/>
    <w:rsid w:val="002F75A3"/>
    <w:rsid w:val="002F75CD"/>
    <w:rsid w:val="002F7EB5"/>
    <w:rsid w:val="0030201F"/>
    <w:rsid w:val="00302820"/>
    <w:rsid w:val="00303C2F"/>
    <w:rsid w:val="00305248"/>
    <w:rsid w:val="0030558B"/>
    <w:rsid w:val="00306E87"/>
    <w:rsid w:val="00310FC2"/>
    <w:rsid w:val="003134B4"/>
    <w:rsid w:val="003144EF"/>
    <w:rsid w:val="003219CB"/>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660"/>
    <w:rsid w:val="00355B57"/>
    <w:rsid w:val="00361A0A"/>
    <w:rsid w:val="00361DF9"/>
    <w:rsid w:val="0036565C"/>
    <w:rsid w:val="0036625E"/>
    <w:rsid w:val="00367162"/>
    <w:rsid w:val="00372215"/>
    <w:rsid w:val="00372CD4"/>
    <w:rsid w:val="0037386C"/>
    <w:rsid w:val="0037465A"/>
    <w:rsid w:val="0038255B"/>
    <w:rsid w:val="00382C98"/>
    <w:rsid w:val="0038325E"/>
    <w:rsid w:val="00384604"/>
    <w:rsid w:val="00384E3D"/>
    <w:rsid w:val="00385041"/>
    <w:rsid w:val="0038533C"/>
    <w:rsid w:val="00385D73"/>
    <w:rsid w:val="00391B12"/>
    <w:rsid w:val="00392E3A"/>
    <w:rsid w:val="003937B9"/>
    <w:rsid w:val="003948D5"/>
    <w:rsid w:val="003957FD"/>
    <w:rsid w:val="00396821"/>
    <w:rsid w:val="00396CE5"/>
    <w:rsid w:val="003979A3"/>
    <w:rsid w:val="00397D3A"/>
    <w:rsid w:val="003A051E"/>
    <w:rsid w:val="003A0BBE"/>
    <w:rsid w:val="003A2448"/>
    <w:rsid w:val="003A28A8"/>
    <w:rsid w:val="003A2F5D"/>
    <w:rsid w:val="003A3128"/>
    <w:rsid w:val="003A5AD1"/>
    <w:rsid w:val="003A5D5D"/>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DEC"/>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5671"/>
    <w:rsid w:val="00426969"/>
    <w:rsid w:val="00426B64"/>
    <w:rsid w:val="00430FED"/>
    <w:rsid w:val="00431A8C"/>
    <w:rsid w:val="00432A59"/>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5AC6"/>
    <w:rsid w:val="00497558"/>
    <w:rsid w:val="00497CF9"/>
    <w:rsid w:val="004A27CB"/>
    <w:rsid w:val="004A50C3"/>
    <w:rsid w:val="004A57DD"/>
    <w:rsid w:val="004A588B"/>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3D93"/>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448"/>
    <w:rsid w:val="005177FE"/>
    <w:rsid w:val="00517F14"/>
    <w:rsid w:val="0052263B"/>
    <w:rsid w:val="00524728"/>
    <w:rsid w:val="00524840"/>
    <w:rsid w:val="00525459"/>
    <w:rsid w:val="00525C99"/>
    <w:rsid w:val="0052732A"/>
    <w:rsid w:val="00527527"/>
    <w:rsid w:val="00530010"/>
    <w:rsid w:val="00530CA0"/>
    <w:rsid w:val="00531512"/>
    <w:rsid w:val="00531592"/>
    <w:rsid w:val="00532283"/>
    <w:rsid w:val="005323A7"/>
    <w:rsid w:val="005331CA"/>
    <w:rsid w:val="005337E0"/>
    <w:rsid w:val="0053523A"/>
    <w:rsid w:val="00537970"/>
    <w:rsid w:val="00540E3A"/>
    <w:rsid w:val="00542E08"/>
    <w:rsid w:val="005433D7"/>
    <w:rsid w:val="00543941"/>
    <w:rsid w:val="00544127"/>
    <w:rsid w:val="00544E67"/>
    <w:rsid w:val="00546685"/>
    <w:rsid w:val="00547068"/>
    <w:rsid w:val="005508BB"/>
    <w:rsid w:val="00553EB2"/>
    <w:rsid w:val="00555C4D"/>
    <w:rsid w:val="00560534"/>
    <w:rsid w:val="005626D3"/>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AAB"/>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29E"/>
    <w:rsid w:val="005C4FF2"/>
    <w:rsid w:val="005C6778"/>
    <w:rsid w:val="005D0511"/>
    <w:rsid w:val="005D3437"/>
    <w:rsid w:val="005D36B3"/>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57A1"/>
    <w:rsid w:val="005F6059"/>
    <w:rsid w:val="005F6E88"/>
    <w:rsid w:val="0060397D"/>
    <w:rsid w:val="00604723"/>
    <w:rsid w:val="00610388"/>
    <w:rsid w:val="00612092"/>
    <w:rsid w:val="00612CA5"/>
    <w:rsid w:val="00612DB7"/>
    <w:rsid w:val="00614858"/>
    <w:rsid w:val="006153EC"/>
    <w:rsid w:val="00620ACA"/>
    <w:rsid w:val="00621312"/>
    <w:rsid w:val="00621A17"/>
    <w:rsid w:val="0062260C"/>
    <w:rsid w:val="00627CC9"/>
    <w:rsid w:val="00627E7B"/>
    <w:rsid w:val="00630542"/>
    <w:rsid w:val="00630727"/>
    <w:rsid w:val="00631E7B"/>
    <w:rsid w:val="00632E44"/>
    <w:rsid w:val="0063316D"/>
    <w:rsid w:val="00633DC9"/>
    <w:rsid w:val="00634622"/>
    <w:rsid w:val="00636808"/>
    <w:rsid w:val="00636ECB"/>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1865"/>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A7FFE"/>
    <w:rsid w:val="006B2893"/>
    <w:rsid w:val="006B435A"/>
    <w:rsid w:val="006B4539"/>
    <w:rsid w:val="006B4C64"/>
    <w:rsid w:val="006B5AE8"/>
    <w:rsid w:val="006C5CE2"/>
    <w:rsid w:val="006D0529"/>
    <w:rsid w:val="006D0605"/>
    <w:rsid w:val="006D15F4"/>
    <w:rsid w:val="006D176A"/>
    <w:rsid w:val="006D564C"/>
    <w:rsid w:val="006D6BD5"/>
    <w:rsid w:val="006E08E8"/>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2960"/>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346B"/>
    <w:rsid w:val="0077498C"/>
    <w:rsid w:val="00777070"/>
    <w:rsid w:val="00782B3F"/>
    <w:rsid w:val="00784128"/>
    <w:rsid w:val="00785FB0"/>
    <w:rsid w:val="0078662F"/>
    <w:rsid w:val="00790B4C"/>
    <w:rsid w:val="0079206E"/>
    <w:rsid w:val="0079223B"/>
    <w:rsid w:val="00793173"/>
    <w:rsid w:val="007958F0"/>
    <w:rsid w:val="00797E1B"/>
    <w:rsid w:val="007A0F14"/>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2F1A"/>
    <w:rsid w:val="007D7C92"/>
    <w:rsid w:val="007D7E30"/>
    <w:rsid w:val="007E1154"/>
    <w:rsid w:val="007E1212"/>
    <w:rsid w:val="007E1571"/>
    <w:rsid w:val="007E2228"/>
    <w:rsid w:val="007E3AA5"/>
    <w:rsid w:val="007E3ADF"/>
    <w:rsid w:val="007E41A0"/>
    <w:rsid w:val="007E43C3"/>
    <w:rsid w:val="007E530F"/>
    <w:rsid w:val="007E6BA4"/>
    <w:rsid w:val="007F19A2"/>
    <w:rsid w:val="007F21A1"/>
    <w:rsid w:val="007F41F8"/>
    <w:rsid w:val="007F5B4C"/>
    <w:rsid w:val="00800C1E"/>
    <w:rsid w:val="00801B30"/>
    <w:rsid w:val="00803BE9"/>
    <w:rsid w:val="00804000"/>
    <w:rsid w:val="0080454E"/>
    <w:rsid w:val="00804C32"/>
    <w:rsid w:val="00806302"/>
    <w:rsid w:val="00807119"/>
    <w:rsid w:val="008071D5"/>
    <w:rsid w:val="00807FE8"/>
    <w:rsid w:val="00811865"/>
    <w:rsid w:val="00814A55"/>
    <w:rsid w:val="0081547D"/>
    <w:rsid w:val="0082145B"/>
    <w:rsid w:val="0082483F"/>
    <w:rsid w:val="00827849"/>
    <w:rsid w:val="008279C0"/>
    <w:rsid w:val="00841E70"/>
    <w:rsid w:val="00845226"/>
    <w:rsid w:val="008473AA"/>
    <w:rsid w:val="00852883"/>
    <w:rsid w:val="00852F37"/>
    <w:rsid w:val="008571F6"/>
    <w:rsid w:val="00857A02"/>
    <w:rsid w:val="00857B75"/>
    <w:rsid w:val="00861E51"/>
    <w:rsid w:val="00870B96"/>
    <w:rsid w:val="008723F3"/>
    <w:rsid w:val="00873246"/>
    <w:rsid w:val="00875E2E"/>
    <w:rsid w:val="00880F99"/>
    <w:rsid w:val="00881DA8"/>
    <w:rsid w:val="00881DE6"/>
    <w:rsid w:val="008837A6"/>
    <w:rsid w:val="008841E5"/>
    <w:rsid w:val="00884D7C"/>
    <w:rsid w:val="00885AA8"/>
    <w:rsid w:val="0089145D"/>
    <w:rsid w:val="00896FD7"/>
    <w:rsid w:val="00897428"/>
    <w:rsid w:val="00897F78"/>
    <w:rsid w:val="008A15DA"/>
    <w:rsid w:val="008A30C3"/>
    <w:rsid w:val="008A30EE"/>
    <w:rsid w:val="008A4DF2"/>
    <w:rsid w:val="008A6841"/>
    <w:rsid w:val="008A6CFE"/>
    <w:rsid w:val="008B40E7"/>
    <w:rsid w:val="008B4681"/>
    <w:rsid w:val="008B4B58"/>
    <w:rsid w:val="008B5333"/>
    <w:rsid w:val="008B5476"/>
    <w:rsid w:val="008B6223"/>
    <w:rsid w:val="008C0772"/>
    <w:rsid w:val="008C09EF"/>
    <w:rsid w:val="008C165D"/>
    <w:rsid w:val="008C23A3"/>
    <w:rsid w:val="008C4066"/>
    <w:rsid w:val="008C66E0"/>
    <w:rsid w:val="008D0122"/>
    <w:rsid w:val="008D3E17"/>
    <w:rsid w:val="008D5D34"/>
    <w:rsid w:val="008D7718"/>
    <w:rsid w:val="008D7DAA"/>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7FA"/>
    <w:rsid w:val="00955CE0"/>
    <w:rsid w:val="009609CA"/>
    <w:rsid w:val="00961BC2"/>
    <w:rsid w:val="00962045"/>
    <w:rsid w:val="00963483"/>
    <w:rsid w:val="009658BC"/>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5B97"/>
    <w:rsid w:val="009A6A10"/>
    <w:rsid w:val="009A7172"/>
    <w:rsid w:val="009B0723"/>
    <w:rsid w:val="009B07AD"/>
    <w:rsid w:val="009B0883"/>
    <w:rsid w:val="009B15E2"/>
    <w:rsid w:val="009B2A3E"/>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3576"/>
    <w:rsid w:val="00A047EE"/>
    <w:rsid w:val="00A057CA"/>
    <w:rsid w:val="00A07ED5"/>
    <w:rsid w:val="00A13F8F"/>
    <w:rsid w:val="00A149B7"/>
    <w:rsid w:val="00A177BC"/>
    <w:rsid w:val="00A17930"/>
    <w:rsid w:val="00A2274A"/>
    <w:rsid w:val="00A235B7"/>
    <w:rsid w:val="00A249AC"/>
    <w:rsid w:val="00A27A7A"/>
    <w:rsid w:val="00A301D1"/>
    <w:rsid w:val="00A311D7"/>
    <w:rsid w:val="00A31881"/>
    <w:rsid w:val="00A36291"/>
    <w:rsid w:val="00A40529"/>
    <w:rsid w:val="00A407EF"/>
    <w:rsid w:val="00A411B7"/>
    <w:rsid w:val="00A45800"/>
    <w:rsid w:val="00A46B4C"/>
    <w:rsid w:val="00A5117B"/>
    <w:rsid w:val="00A560B6"/>
    <w:rsid w:val="00A566E3"/>
    <w:rsid w:val="00A56CF7"/>
    <w:rsid w:val="00A56DBC"/>
    <w:rsid w:val="00A60074"/>
    <w:rsid w:val="00A620DC"/>
    <w:rsid w:val="00A646E2"/>
    <w:rsid w:val="00A651A9"/>
    <w:rsid w:val="00A6627C"/>
    <w:rsid w:val="00A70457"/>
    <w:rsid w:val="00A71019"/>
    <w:rsid w:val="00A81029"/>
    <w:rsid w:val="00A82AFB"/>
    <w:rsid w:val="00A83660"/>
    <w:rsid w:val="00A8485D"/>
    <w:rsid w:val="00A86211"/>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5D0"/>
    <w:rsid w:val="00AB685C"/>
    <w:rsid w:val="00AB6C2D"/>
    <w:rsid w:val="00AC08F7"/>
    <w:rsid w:val="00AC126D"/>
    <w:rsid w:val="00AC1919"/>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15D5"/>
    <w:rsid w:val="00B12F13"/>
    <w:rsid w:val="00B14819"/>
    <w:rsid w:val="00B17AA9"/>
    <w:rsid w:val="00B221FF"/>
    <w:rsid w:val="00B2292D"/>
    <w:rsid w:val="00B26B31"/>
    <w:rsid w:val="00B30A70"/>
    <w:rsid w:val="00B32674"/>
    <w:rsid w:val="00B333FE"/>
    <w:rsid w:val="00B3503B"/>
    <w:rsid w:val="00B378FA"/>
    <w:rsid w:val="00B42352"/>
    <w:rsid w:val="00B44E3A"/>
    <w:rsid w:val="00B51227"/>
    <w:rsid w:val="00B51975"/>
    <w:rsid w:val="00B52E4D"/>
    <w:rsid w:val="00B54F90"/>
    <w:rsid w:val="00B55C9E"/>
    <w:rsid w:val="00B56B95"/>
    <w:rsid w:val="00B607DF"/>
    <w:rsid w:val="00B6373C"/>
    <w:rsid w:val="00B6409C"/>
    <w:rsid w:val="00B64845"/>
    <w:rsid w:val="00B64A85"/>
    <w:rsid w:val="00B66053"/>
    <w:rsid w:val="00B7193E"/>
    <w:rsid w:val="00B72999"/>
    <w:rsid w:val="00B72FD7"/>
    <w:rsid w:val="00B736DF"/>
    <w:rsid w:val="00B74FBD"/>
    <w:rsid w:val="00B81CEB"/>
    <w:rsid w:val="00B82586"/>
    <w:rsid w:val="00B829A3"/>
    <w:rsid w:val="00B84CE9"/>
    <w:rsid w:val="00B86537"/>
    <w:rsid w:val="00B86DB1"/>
    <w:rsid w:val="00B87869"/>
    <w:rsid w:val="00B87A61"/>
    <w:rsid w:val="00B90E76"/>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6E2D"/>
    <w:rsid w:val="00BD71D7"/>
    <w:rsid w:val="00BD7D49"/>
    <w:rsid w:val="00BE2464"/>
    <w:rsid w:val="00BF1DCF"/>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B7E"/>
    <w:rsid w:val="00C33C84"/>
    <w:rsid w:val="00C33E15"/>
    <w:rsid w:val="00C3453F"/>
    <w:rsid w:val="00C34A50"/>
    <w:rsid w:val="00C35026"/>
    <w:rsid w:val="00C35671"/>
    <w:rsid w:val="00C35B77"/>
    <w:rsid w:val="00C376EB"/>
    <w:rsid w:val="00C4187E"/>
    <w:rsid w:val="00C444EC"/>
    <w:rsid w:val="00C45A03"/>
    <w:rsid w:val="00C46EC1"/>
    <w:rsid w:val="00C50AA9"/>
    <w:rsid w:val="00C50F86"/>
    <w:rsid w:val="00C53986"/>
    <w:rsid w:val="00C53E2C"/>
    <w:rsid w:val="00C550C8"/>
    <w:rsid w:val="00C56136"/>
    <w:rsid w:val="00C56B61"/>
    <w:rsid w:val="00C56D56"/>
    <w:rsid w:val="00C570AC"/>
    <w:rsid w:val="00C5730D"/>
    <w:rsid w:val="00C60631"/>
    <w:rsid w:val="00C606C3"/>
    <w:rsid w:val="00C620F4"/>
    <w:rsid w:val="00C629CB"/>
    <w:rsid w:val="00C62FDC"/>
    <w:rsid w:val="00C6622B"/>
    <w:rsid w:val="00C71F4F"/>
    <w:rsid w:val="00C72848"/>
    <w:rsid w:val="00C750BA"/>
    <w:rsid w:val="00C7736C"/>
    <w:rsid w:val="00C80272"/>
    <w:rsid w:val="00C82D87"/>
    <w:rsid w:val="00C8712A"/>
    <w:rsid w:val="00C92A0D"/>
    <w:rsid w:val="00C93032"/>
    <w:rsid w:val="00C952A2"/>
    <w:rsid w:val="00C963D3"/>
    <w:rsid w:val="00CA1802"/>
    <w:rsid w:val="00CA23A3"/>
    <w:rsid w:val="00CB262C"/>
    <w:rsid w:val="00CB2CBB"/>
    <w:rsid w:val="00CB33A1"/>
    <w:rsid w:val="00CB7076"/>
    <w:rsid w:val="00CB7283"/>
    <w:rsid w:val="00CB7CAC"/>
    <w:rsid w:val="00CC2271"/>
    <w:rsid w:val="00CC467D"/>
    <w:rsid w:val="00CC49B6"/>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330F"/>
    <w:rsid w:val="00CE62CA"/>
    <w:rsid w:val="00CF01D6"/>
    <w:rsid w:val="00CF2819"/>
    <w:rsid w:val="00CF2C42"/>
    <w:rsid w:val="00CF4F9D"/>
    <w:rsid w:val="00CF59F6"/>
    <w:rsid w:val="00CF5AD8"/>
    <w:rsid w:val="00CF70DC"/>
    <w:rsid w:val="00CF717B"/>
    <w:rsid w:val="00D068C5"/>
    <w:rsid w:val="00D07F87"/>
    <w:rsid w:val="00D14784"/>
    <w:rsid w:val="00D148DC"/>
    <w:rsid w:val="00D1688E"/>
    <w:rsid w:val="00D17FDC"/>
    <w:rsid w:val="00D223E4"/>
    <w:rsid w:val="00D24F18"/>
    <w:rsid w:val="00D2550E"/>
    <w:rsid w:val="00D256C6"/>
    <w:rsid w:val="00D25F51"/>
    <w:rsid w:val="00D34CEA"/>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A446B"/>
    <w:rsid w:val="00DB1A35"/>
    <w:rsid w:val="00DB243C"/>
    <w:rsid w:val="00DB3B8B"/>
    <w:rsid w:val="00DB482A"/>
    <w:rsid w:val="00DB56F2"/>
    <w:rsid w:val="00DB5D9B"/>
    <w:rsid w:val="00DB6EF5"/>
    <w:rsid w:val="00DB7671"/>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E7DC7"/>
    <w:rsid w:val="00DF056D"/>
    <w:rsid w:val="00DF4D51"/>
    <w:rsid w:val="00DF687B"/>
    <w:rsid w:val="00DF75F8"/>
    <w:rsid w:val="00DF7A3A"/>
    <w:rsid w:val="00DF7AD4"/>
    <w:rsid w:val="00E009E1"/>
    <w:rsid w:val="00E00C00"/>
    <w:rsid w:val="00E00E54"/>
    <w:rsid w:val="00E01C69"/>
    <w:rsid w:val="00E041F9"/>
    <w:rsid w:val="00E043FF"/>
    <w:rsid w:val="00E05837"/>
    <w:rsid w:val="00E07C5A"/>
    <w:rsid w:val="00E10A73"/>
    <w:rsid w:val="00E12C13"/>
    <w:rsid w:val="00E15BA9"/>
    <w:rsid w:val="00E161D2"/>
    <w:rsid w:val="00E177E2"/>
    <w:rsid w:val="00E17BF1"/>
    <w:rsid w:val="00E22DE4"/>
    <w:rsid w:val="00E23A6F"/>
    <w:rsid w:val="00E242B1"/>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5E5"/>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5A1A"/>
    <w:rsid w:val="00EA6550"/>
    <w:rsid w:val="00EA7BAB"/>
    <w:rsid w:val="00EB02BE"/>
    <w:rsid w:val="00EB146B"/>
    <w:rsid w:val="00EB21D4"/>
    <w:rsid w:val="00EB2845"/>
    <w:rsid w:val="00EB45AC"/>
    <w:rsid w:val="00EB488B"/>
    <w:rsid w:val="00EB6668"/>
    <w:rsid w:val="00EB6A2F"/>
    <w:rsid w:val="00EC2998"/>
    <w:rsid w:val="00EC3875"/>
    <w:rsid w:val="00EC53B1"/>
    <w:rsid w:val="00EC549E"/>
    <w:rsid w:val="00EC6E55"/>
    <w:rsid w:val="00ED0BC4"/>
    <w:rsid w:val="00ED151E"/>
    <w:rsid w:val="00ED3CDA"/>
    <w:rsid w:val="00ED617A"/>
    <w:rsid w:val="00ED7EB6"/>
    <w:rsid w:val="00EE1A0E"/>
    <w:rsid w:val="00EE2031"/>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37F"/>
    <w:rsid w:val="00F13850"/>
    <w:rsid w:val="00F13FB1"/>
    <w:rsid w:val="00F15181"/>
    <w:rsid w:val="00F1640B"/>
    <w:rsid w:val="00F2025D"/>
    <w:rsid w:val="00F20842"/>
    <w:rsid w:val="00F27889"/>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30F3"/>
    <w:rsid w:val="00F54776"/>
    <w:rsid w:val="00F548A8"/>
    <w:rsid w:val="00F5524B"/>
    <w:rsid w:val="00F5710B"/>
    <w:rsid w:val="00F61B1B"/>
    <w:rsid w:val="00F61DD2"/>
    <w:rsid w:val="00F62000"/>
    <w:rsid w:val="00F63720"/>
    <w:rsid w:val="00F65FB6"/>
    <w:rsid w:val="00F66AFF"/>
    <w:rsid w:val="00F71433"/>
    <w:rsid w:val="00F71CE8"/>
    <w:rsid w:val="00F738B0"/>
    <w:rsid w:val="00F801C5"/>
    <w:rsid w:val="00F83231"/>
    <w:rsid w:val="00F833AB"/>
    <w:rsid w:val="00F85A51"/>
    <w:rsid w:val="00F85DB2"/>
    <w:rsid w:val="00F91FA7"/>
    <w:rsid w:val="00F94854"/>
    <w:rsid w:val="00F95955"/>
    <w:rsid w:val="00F96AF1"/>
    <w:rsid w:val="00F97BE5"/>
    <w:rsid w:val="00F97C5B"/>
    <w:rsid w:val="00FA29FD"/>
    <w:rsid w:val="00FA2A46"/>
    <w:rsid w:val="00FA2EA4"/>
    <w:rsid w:val="00FA3739"/>
    <w:rsid w:val="00FA3D50"/>
    <w:rsid w:val="00FA43E7"/>
    <w:rsid w:val="00FB2C81"/>
    <w:rsid w:val="00FB6703"/>
    <w:rsid w:val="00FB7C8F"/>
    <w:rsid w:val="00FB7D52"/>
    <w:rsid w:val="00FC024F"/>
    <w:rsid w:val="00FC2741"/>
    <w:rsid w:val="00FC30E1"/>
    <w:rsid w:val="00FC337F"/>
    <w:rsid w:val="00FC374A"/>
    <w:rsid w:val="00FC4F43"/>
    <w:rsid w:val="00FC5D26"/>
    <w:rsid w:val="00FC7B47"/>
    <w:rsid w:val="00FD0169"/>
    <w:rsid w:val="00FD035C"/>
    <w:rsid w:val="00FD0C11"/>
    <w:rsid w:val="00FD1240"/>
    <w:rsid w:val="00FD1A35"/>
    <w:rsid w:val="00FD36C5"/>
    <w:rsid w:val="00FD5B6F"/>
    <w:rsid w:val="00FD6126"/>
    <w:rsid w:val="00FD6310"/>
    <w:rsid w:val="00FD719B"/>
    <w:rsid w:val="00FD77E3"/>
    <w:rsid w:val="00FD7C7B"/>
    <w:rsid w:val="00FE1D12"/>
    <w:rsid w:val="00FE2122"/>
    <w:rsid w:val="00FE2A86"/>
    <w:rsid w:val="00FE6330"/>
    <w:rsid w:val="00FE7693"/>
    <w:rsid w:val="00FF0D81"/>
    <w:rsid w:val="00FF109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o">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Fontepargpadro"/>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8699">
      <w:bodyDiv w:val="1"/>
      <w:marLeft w:val="0"/>
      <w:marRight w:val="0"/>
      <w:marTop w:val="0"/>
      <w:marBottom w:val="0"/>
      <w:divBdr>
        <w:top w:val="none" w:sz="0" w:space="0" w:color="auto"/>
        <w:left w:val="none" w:sz="0" w:space="0" w:color="auto"/>
        <w:bottom w:val="none" w:sz="0" w:space="0" w:color="auto"/>
        <w:right w:val="none" w:sz="0" w:space="0" w:color="auto"/>
      </w:divBdr>
    </w:div>
    <w:div w:id="214631295">
      <w:bodyDiv w:val="1"/>
      <w:marLeft w:val="0"/>
      <w:marRight w:val="0"/>
      <w:marTop w:val="0"/>
      <w:marBottom w:val="0"/>
      <w:divBdr>
        <w:top w:val="none" w:sz="0" w:space="0" w:color="auto"/>
        <w:left w:val="none" w:sz="0" w:space="0" w:color="auto"/>
        <w:bottom w:val="none" w:sz="0" w:space="0" w:color="auto"/>
        <w:right w:val="none" w:sz="0" w:space="0" w:color="auto"/>
      </w:divBdr>
    </w:div>
    <w:div w:id="273175705">
      <w:bodyDiv w:val="1"/>
      <w:marLeft w:val="0"/>
      <w:marRight w:val="0"/>
      <w:marTop w:val="0"/>
      <w:marBottom w:val="0"/>
      <w:divBdr>
        <w:top w:val="none" w:sz="0" w:space="0" w:color="auto"/>
        <w:left w:val="none" w:sz="0" w:space="0" w:color="auto"/>
        <w:bottom w:val="none" w:sz="0" w:space="0" w:color="auto"/>
        <w:right w:val="none" w:sz="0" w:space="0" w:color="auto"/>
      </w:divBdr>
    </w:div>
    <w:div w:id="279798700">
      <w:bodyDiv w:val="1"/>
      <w:marLeft w:val="0"/>
      <w:marRight w:val="0"/>
      <w:marTop w:val="0"/>
      <w:marBottom w:val="0"/>
      <w:divBdr>
        <w:top w:val="none" w:sz="0" w:space="0" w:color="auto"/>
        <w:left w:val="none" w:sz="0" w:space="0" w:color="auto"/>
        <w:bottom w:val="none" w:sz="0" w:space="0" w:color="auto"/>
        <w:right w:val="none" w:sz="0" w:space="0" w:color="auto"/>
      </w:divBdr>
    </w:div>
    <w:div w:id="38603093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10748193">
      <w:bodyDiv w:val="1"/>
      <w:marLeft w:val="0"/>
      <w:marRight w:val="0"/>
      <w:marTop w:val="0"/>
      <w:marBottom w:val="0"/>
      <w:divBdr>
        <w:top w:val="none" w:sz="0" w:space="0" w:color="auto"/>
        <w:left w:val="none" w:sz="0" w:space="0" w:color="auto"/>
        <w:bottom w:val="none" w:sz="0" w:space="0" w:color="auto"/>
        <w:right w:val="none" w:sz="0" w:space="0" w:color="auto"/>
      </w:divBdr>
    </w:div>
    <w:div w:id="700129821">
      <w:bodyDiv w:val="1"/>
      <w:marLeft w:val="0"/>
      <w:marRight w:val="0"/>
      <w:marTop w:val="0"/>
      <w:marBottom w:val="0"/>
      <w:divBdr>
        <w:top w:val="none" w:sz="0" w:space="0" w:color="auto"/>
        <w:left w:val="none" w:sz="0" w:space="0" w:color="auto"/>
        <w:bottom w:val="none" w:sz="0" w:space="0" w:color="auto"/>
        <w:right w:val="none" w:sz="0" w:space="0" w:color="auto"/>
      </w:divBdr>
    </w:div>
    <w:div w:id="772481140">
      <w:bodyDiv w:val="1"/>
      <w:marLeft w:val="0"/>
      <w:marRight w:val="0"/>
      <w:marTop w:val="0"/>
      <w:marBottom w:val="0"/>
      <w:divBdr>
        <w:top w:val="none" w:sz="0" w:space="0" w:color="auto"/>
        <w:left w:val="none" w:sz="0" w:space="0" w:color="auto"/>
        <w:bottom w:val="none" w:sz="0" w:space="0" w:color="auto"/>
        <w:right w:val="none" w:sz="0" w:space="0" w:color="auto"/>
      </w:divBdr>
    </w:div>
    <w:div w:id="783504960">
      <w:bodyDiv w:val="1"/>
      <w:marLeft w:val="0"/>
      <w:marRight w:val="0"/>
      <w:marTop w:val="0"/>
      <w:marBottom w:val="0"/>
      <w:divBdr>
        <w:top w:val="none" w:sz="0" w:space="0" w:color="auto"/>
        <w:left w:val="none" w:sz="0" w:space="0" w:color="auto"/>
        <w:bottom w:val="none" w:sz="0" w:space="0" w:color="auto"/>
        <w:right w:val="none" w:sz="0" w:space="0" w:color="auto"/>
      </w:divBdr>
    </w:div>
    <w:div w:id="815952877">
      <w:bodyDiv w:val="1"/>
      <w:marLeft w:val="0"/>
      <w:marRight w:val="0"/>
      <w:marTop w:val="0"/>
      <w:marBottom w:val="0"/>
      <w:divBdr>
        <w:top w:val="none" w:sz="0" w:space="0" w:color="auto"/>
        <w:left w:val="none" w:sz="0" w:space="0" w:color="auto"/>
        <w:bottom w:val="none" w:sz="0" w:space="0" w:color="auto"/>
        <w:right w:val="none" w:sz="0" w:space="0" w:color="auto"/>
      </w:divBdr>
    </w:div>
    <w:div w:id="82662707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4749474">
      <w:bodyDiv w:val="1"/>
      <w:marLeft w:val="0"/>
      <w:marRight w:val="0"/>
      <w:marTop w:val="0"/>
      <w:marBottom w:val="0"/>
      <w:divBdr>
        <w:top w:val="none" w:sz="0" w:space="0" w:color="auto"/>
        <w:left w:val="none" w:sz="0" w:space="0" w:color="auto"/>
        <w:bottom w:val="none" w:sz="0" w:space="0" w:color="auto"/>
        <w:right w:val="none" w:sz="0" w:space="0" w:color="auto"/>
      </w:divBdr>
    </w:div>
    <w:div w:id="872301322">
      <w:bodyDiv w:val="1"/>
      <w:marLeft w:val="0"/>
      <w:marRight w:val="0"/>
      <w:marTop w:val="0"/>
      <w:marBottom w:val="0"/>
      <w:divBdr>
        <w:top w:val="none" w:sz="0" w:space="0" w:color="auto"/>
        <w:left w:val="none" w:sz="0" w:space="0" w:color="auto"/>
        <w:bottom w:val="none" w:sz="0" w:space="0" w:color="auto"/>
        <w:right w:val="none" w:sz="0" w:space="0" w:color="auto"/>
      </w:divBdr>
    </w:div>
    <w:div w:id="926884802">
      <w:bodyDiv w:val="1"/>
      <w:marLeft w:val="0"/>
      <w:marRight w:val="0"/>
      <w:marTop w:val="0"/>
      <w:marBottom w:val="0"/>
      <w:divBdr>
        <w:top w:val="none" w:sz="0" w:space="0" w:color="auto"/>
        <w:left w:val="none" w:sz="0" w:space="0" w:color="auto"/>
        <w:bottom w:val="none" w:sz="0" w:space="0" w:color="auto"/>
        <w:right w:val="none" w:sz="0" w:space="0" w:color="auto"/>
      </w:divBdr>
    </w:div>
    <w:div w:id="1033918807">
      <w:bodyDiv w:val="1"/>
      <w:marLeft w:val="0"/>
      <w:marRight w:val="0"/>
      <w:marTop w:val="0"/>
      <w:marBottom w:val="0"/>
      <w:divBdr>
        <w:top w:val="none" w:sz="0" w:space="0" w:color="auto"/>
        <w:left w:val="none" w:sz="0" w:space="0" w:color="auto"/>
        <w:bottom w:val="none" w:sz="0" w:space="0" w:color="auto"/>
        <w:right w:val="none" w:sz="0" w:space="0" w:color="auto"/>
      </w:divBdr>
    </w:div>
    <w:div w:id="1089740687">
      <w:bodyDiv w:val="1"/>
      <w:marLeft w:val="0"/>
      <w:marRight w:val="0"/>
      <w:marTop w:val="0"/>
      <w:marBottom w:val="0"/>
      <w:divBdr>
        <w:top w:val="none" w:sz="0" w:space="0" w:color="auto"/>
        <w:left w:val="none" w:sz="0" w:space="0" w:color="auto"/>
        <w:bottom w:val="none" w:sz="0" w:space="0" w:color="auto"/>
        <w:right w:val="none" w:sz="0" w:space="0" w:color="auto"/>
      </w:divBdr>
    </w:div>
    <w:div w:id="1288657549">
      <w:bodyDiv w:val="1"/>
      <w:marLeft w:val="0"/>
      <w:marRight w:val="0"/>
      <w:marTop w:val="0"/>
      <w:marBottom w:val="0"/>
      <w:divBdr>
        <w:top w:val="none" w:sz="0" w:space="0" w:color="auto"/>
        <w:left w:val="none" w:sz="0" w:space="0" w:color="auto"/>
        <w:bottom w:val="none" w:sz="0" w:space="0" w:color="auto"/>
        <w:right w:val="none" w:sz="0" w:space="0" w:color="auto"/>
      </w:divBdr>
    </w:div>
    <w:div w:id="1589969621">
      <w:bodyDiv w:val="1"/>
      <w:marLeft w:val="0"/>
      <w:marRight w:val="0"/>
      <w:marTop w:val="0"/>
      <w:marBottom w:val="0"/>
      <w:divBdr>
        <w:top w:val="none" w:sz="0" w:space="0" w:color="auto"/>
        <w:left w:val="none" w:sz="0" w:space="0" w:color="auto"/>
        <w:bottom w:val="none" w:sz="0" w:space="0" w:color="auto"/>
        <w:right w:val="none" w:sz="0" w:space="0" w:color="auto"/>
      </w:divBdr>
      <w:divsChild>
        <w:div w:id="312762774">
          <w:marLeft w:val="0"/>
          <w:marRight w:val="0"/>
          <w:marTop w:val="0"/>
          <w:marBottom w:val="0"/>
          <w:divBdr>
            <w:top w:val="none" w:sz="0" w:space="0" w:color="auto"/>
            <w:left w:val="none" w:sz="0" w:space="0" w:color="auto"/>
            <w:bottom w:val="none" w:sz="0" w:space="0" w:color="auto"/>
            <w:right w:val="none" w:sz="0" w:space="0" w:color="auto"/>
          </w:divBdr>
        </w:div>
        <w:div w:id="1986202207">
          <w:marLeft w:val="0"/>
          <w:marRight w:val="0"/>
          <w:marTop w:val="0"/>
          <w:marBottom w:val="0"/>
          <w:divBdr>
            <w:top w:val="none" w:sz="0" w:space="0" w:color="auto"/>
            <w:left w:val="none" w:sz="0" w:space="0" w:color="auto"/>
            <w:bottom w:val="none" w:sz="0" w:space="0" w:color="auto"/>
            <w:right w:val="none" w:sz="0" w:space="0" w:color="auto"/>
          </w:divBdr>
          <w:divsChild>
            <w:div w:id="1865054555">
              <w:marLeft w:val="0"/>
              <w:marRight w:val="165"/>
              <w:marTop w:val="150"/>
              <w:marBottom w:val="0"/>
              <w:divBdr>
                <w:top w:val="none" w:sz="0" w:space="0" w:color="auto"/>
                <w:left w:val="none" w:sz="0" w:space="0" w:color="auto"/>
                <w:bottom w:val="none" w:sz="0" w:space="0" w:color="auto"/>
                <w:right w:val="none" w:sz="0" w:space="0" w:color="auto"/>
              </w:divBdr>
              <w:divsChild>
                <w:div w:id="2034499944">
                  <w:marLeft w:val="0"/>
                  <w:marRight w:val="0"/>
                  <w:marTop w:val="0"/>
                  <w:marBottom w:val="0"/>
                  <w:divBdr>
                    <w:top w:val="none" w:sz="0" w:space="0" w:color="auto"/>
                    <w:left w:val="none" w:sz="0" w:space="0" w:color="auto"/>
                    <w:bottom w:val="none" w:sz="0" w:space="0" w:color="auto"/>
                    <w:right w:val="none" w:sz="0" w:space="0" w:color="auto"/>
                  </w:divBdr>
                  <w:divsChild>
                    <w:div w:id="18184501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228">
      <w:bodyDiv w:val="1"/>
      <w:marLeft w:val="0"/>
      <w:marRight w:val="0"/>
      <w:marTop w:val="0"/>
      <w:marBottom w:val="0"/>
      <w:divBdr>
        <w:top w:val="none" w:sz="0" w:space="0" w:color="auto"/>
        <w:left w:val="none" w:sz="0" w:space="0" w:color="auto"/>
        <w:bottom w:val="none" w:sz="0" w:space="0" w:color="auto"/>
        <w:right w:val="none" w:sz="0" w:space="0" w:color="auto"/>
      </w:divBdr>
    </w:div>
    <w:div w:id="1694064597">
      <w:bodyDiv w:val="1"/>
      <w:marLeft w:val="0"/>
      <w:marRight w:val="0"/>
      <w:marTop w:val="0"/>
      <w:marBottom w:val="0"/>
      <w:divBdr>
        <w:top w:val="none" w:sz="0" w:space="0" w:color="auto"/>
        <w:left w:val="none" w:sz="0" w:space="0" w:color="auto"/>
        <w:bottom w:val="none" w:sz="0" w:space="0" w:color="auto"/>
        <w:right w:val="none" w:sz="0" w:space="0" w:color="auto"/>
      </w:divBdr>
    </w:div>
    <w:div w:id="1840345704">
      <w:bodyDiv w:val="1"/>
      <w:marLeft w:val="0"/>
      <w:marRight w:val="0"/>
      <w:marTop w:val="0"/>
      <w:marBottom w:val="0"/>
      <w:divBdr>
        <w:top w:val="none" w:sz="0" w:space="0" w:color="auto"/>
        <w:left w:val="none" w:sz="0" w:space="0" w:color="auto"/>
        <w:bottom w:val="none" w:sz="0" w:space="0" w:color="auto"/>
        <w:right w:val="none" w:sz="0" w:space="0" w:color="auto"/>
      </w:divBdr>
    </w:div>
    <w:div w:id="1888032290">
      <w:bodyDiv w:val="1"/>
      <w:marLeft w:val="0"/>
      <w:marRight w:val="0"/>
      <w:marTop w:val="0"/>
      <w:marBottom w:val="0"/>
      <w:divBdr>
        <w:top w:val="none" w:sz="0" w:space="0" w:color="auto"/>
        <w:left w:val="none" w:sz="0" w:space="0" w:color="auto"/>
        <w:bottom w:val="none" w:sz="0" w:space="0" w:color="auto"/>
        <w:right w:val="none" w:sz="0" w:space="0" w:color="auto"/>
      </w:divBdr>
    </w:div>
    <w:div w:id="19212851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12</Pages>
  <Words>4721</Words>
  <Characters>25496</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Lucas Galassi</cp:lastModifiedBy>
  <cp:revision>23</cp:revision>
  <cp:lastPrinted>2020-06-12T02:43:00Z</cp:lastPrinted>
  <dcterms:created xsi:type="dcterms:W3CDTF">2022-11-14T20:27:00Z</dcterms:created>
  <dcterms:modified xsi:type="dcterms:W3CDTF">2022-11-15T20:45:00Z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