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97F9B" w:rsidRDefault="002D2356" w:rsidP="008071D5">
      <w:pPr>
        <w:pStyle w:val="ListParagraph"/>
        <w:numPr>
          <w:ilvl w:val="0"/>
          <w:numId w:val="15"/>
        </w:numPr>
        <w:ind w:left="425" w:hanging="357"/>
        <w:jc w:val="both"/>
        <w:rPr>
          <w:rFonts w:ascii="Avenir Next" w:hAnsi="Avenir Next" w:cs="Arial"/>
          <w:sz w:val="22"/>
          <w:szCs w:val="22"/>
          <w:highlight w:val="yellow"/>
        </w:rPr>
      </w:pPr>
      <w:r w:rsidRPr="00F97F9B">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97F9B">
        <w:rPr>
          <w:rFonts w:ascii="Avenir Next" w:hAnsi="Avenir Next" w:cs="Arial"/>
          <w:sz w:val="22"/>
          <w:szCs w:val="22"/>
          <w:highlight w:val="yellow"/>
          <w:vertAlign w:val="superscript"/>
        </w:rPr>
        <w:t>th</w:t>
      </w:r>
      <w:r w:rsidRPr="00F97F9B">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A4273" w:rsidRDefault="002D2356" w:rsidP="008071D5">
      <w:pPr>
        <w:pStyle w:val="ListParagraph"/>
        <w:numPr>
          <w:ilvl w:val="0"/>
          <w:numId w:val="16"/>
        </w:numPr>
        <w:ind w:left="426"/>
        <w:jc w:val="both"/>
        <w:rPr>
          <w:rFonts w:ascii="Avenir Next" w:hAnsi="Avenir Next" w:cs="Arial"/>
          <w:sz w:val="22"/>
          <w:szCs w:val="22"/>
          <w:highlight w:val="yellow"/>
        </w:rPr>
      </w:pPr>
      <w:r w:rsidRPr="003A4273">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D80DF1" w:rsidRDefault="002D2356" w:rsidP="008071D5">
      <w:pPr>
        <w:pStyle w:val="ListParagraph"/>
        <w:numPr>
          <w:ilvl w:val="0"/>
          <w:numId w:val="17"/>
        </w:numPr>
        <w:ind w:left="426"/>
        <w:jc w:val="both"/>
        <w:rPr>
          <w:rFonts w:ascii="Avenir Next" w:hAnsi="Avenir Next" w:cs="Arial"/>
          <w:sz w:val="22"/>
          <w:szCs w:val="22"/>
          <w:highlight w:val="yellow"/>
        </w:rPr>
      </w:pPr>
      <w:r w:rsidRPr="00D80DF1">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D80DF1" w:rsidRDefault="00466ED6" w:rsidP="008071D5">
      <w:pPr>
        <w:pStyle w:val="ListParagraph"/>
        <w:numPr>
          <w:ilvl w:val="0"/>
          <w:numId w:val="18"/>
        </w:numPr>
        <w:ind w:left="426"/>
        <w:jc w:val="both"/>
        <w:rPr>
          <w:rFonts w:ascii="Avenir Next" w:hAnsi="Avenir Next" w:cs="Arial"/>
          <w:sz w:val="22"/>
          <w:szCs w:val="22"/>
          <w:highlight w:val="yellow"/>
        </w:rPr>
      </w:pPr>
      <w:r w:rsidRPr="00D80DF1">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670094" w:rsidRDefault="002D2356" w:rsidP="008071D5">
      <w:pPr>
        <w:pStyle w:val="ListParagraph"/>
        <w:numPr>
          <w:ilvl w:val="0"/>
          <w:numId w:val="19"/>
        </w:numPr>
        <w:ind w:left="425" w:hanging="357"/>
        <w:jc w:val="both"/>
        <w:rPr>
          <w:rFonts w:ascii="Avenir Next" w:hAnsi="Avenir Next" w:cs="Arial"/>
          <w:sz w:val="22"/>
          <w:szCs w:val="22"/>
          <w:highlight w:val="yellow"/>
        </w:rPr>
      </w:pPr>
      <w:r w:rsidRPr="00670094">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67009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670094">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CA7FF6"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CA7FF6">
        <w:rPr>
          <w:rFonts w:ascii="Avenir Next" w:eastAsiaTheme="minorHAnsi" w:hAnsi="Avenir Next" w:cs="Arial"/>
          <w:sz w:val="22"/>
          <w:szCs w:val="22"/>
          <w:highlight w:val="yellow"/>
          <w:lang w:val="en-GB"/>
        </w:rPr>
        <w:t>It is relevant</w:t>
      </w:r>
      <w:r w:rsidR="009A0501" w:rsidRPr="00CA7FF6">
        <w:rPr>
          <w:rFonts w:ascii="Avenir Next" w:eastAsiaTheme="minorHAnsi" w:hAnsi="Avenir Next" w:cs="Arial"/>
          <w:sz w:val="22"/>
          <w:szCs w:val="22"/>
          <w:highlight w:val="yellow"/>
          <w:lang w:val="en-GB"/>
        </w:rPr>
        <w:t xml:space="preserve"> factor for the English Court hearing the matter</w:t>
      </w:r>
      <w:r w:rsidR="0095223A" w:rsidRPr="00CA7FF6">
        <w:rPr>
          <w:rFonts w:ascii="Avenir Next" w:eastAsiaTheme="minorHAnsi" w:hAnsi="Avenir Next" w:cs="Arial"/>
          <w:sz w:val="22"/>
          <w:szCs w:val="22"/>
          <w:highlight w:val="yellow"/>
          <w:lang w:val="en-GB"/>
        </w:rPr>
        <w:t xml:space="preserve"> </w:t>
      </w:r>
      <w:r w:rsidR="00D910D5" w:rsidRPr="00CA7FF6">
        <w:rPr>
          <w:rFonts w:ascii="Avenir Next" w:eastAsiaTheme="minorHAnsi" w:hAnsi="Avenir Next" w:cs="Arial"/>
          <w:sz w:val="22"/>
          <w:szCs w:val="22"/>
          <w:highlight w:val="yellow"/>
          <w:lang w:val="en-GB"/>
        </w:rPr>
        <w:t>to consider</w:t>
      </w:r>
      <w:r w:rsidR="009A0501" w:rsidRPr="00CA7FF6">
        <w:rPr>
          <w:rFonts w:ascii="Avenir Next" w:eastAsiaTheme="minorHAnsi" w:hAnsi="Avenir Next" w:cs="Arial"/>
          <w:sz w:val="22"/>
          <w:szCs w:val="22"/>
          <w:highlight w:val="yellow"/>
          <w:lang w:val="en-GB"/>
        </w:rPr>
        <w:t xml:space="preserve"> whether Germany</w:t>
      </w:r>
      <w:r w:rsidRPr="00CA7FF6">
        <w:rPr>
          <w:rFonts w:ascii="Avenir Next" w:eastAsiaTheme="minorHAnsi" w:hAnsi="Avenir Next" w:cs="Arial"/>
          <w:sz w:val="22"/>
          <w:szCs w:val="22"/>
          <w:highlight w:val="yellow"/>
          <w:lang w:val="en-GB"/>
        </w:rPr>
        <w:t xml:space="preserve"> has adopted the UNCITRAL Model Law on Cross-border Insolvency 1997</w:t>
      </w:r>
      <w:r w:rsidR="009A0501" w:rsidRPr="00CA7FF6">
        <w:rPr>
          <w:rFonts w:ascii="Avenir Next" w:eastAsiaTheme="minorHAnsi" w:hAnsi="Avenir Next" w:cs="Arial"/>
          <w:sz w:val="22"/>
          <w:szCs w:val="22"/>
          <w:highlight w:val="yellow"/>
          <w:lang w:val="en-GB"/>
        </w:rPr>
        <w:t>, or not</w:t>
      </w:r>
      <w:r w:rsidRPr="00CA7FF6">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CA7FF6"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CA7FF6">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CA7FF6" w:rsidRDefault="00F5239B" w:rsidP="008071D5">
      <w:pPr>
        <w:pStyle w:val="ListParagraph"/>
        <w:numPr>
          <w:ilvl w:val="0"/>
          <w:numId w:val="23"/>
        </w:numPr>
        <w:ind w:left="426"/>
        <w:jc w:val="both"/>
        <w:rPr>
          <w:rFonts w:ascii="Avenir Next" w:hAnsi="Avenir Next" w:cs="Arial"/>
          <w:sz w:val="22"/>
          <w:szCs w:val="22"/>
          <w:highlight w:val="yellow"/>
        </w:rPr>
      </w:pPr>
      <w:r w:rsidRPr="00CA7FF6">
        <w:rPr>
          <w:rFonts w:ascii="Avenir Next" w:hAnsi="Avenir Next" w:cs="Arial"/>
          <w:sz w:val="22"/>
          <w:szCs w:val="22"/>
          <w:highlight w:val="yellow"/>
        </w:rPr>
        <w:t xml:space="preserve">This statement is true because </w:t>
      </w:r>
      <w:r w:rsidR="007B5180" w:rsidRPr="00CA7FF6">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CA7FF6" w:rsidRDefault="009355DB" w:rsidP="008071D5">
      <w:pPr>
        <w:pStyle w:val="ListParagraph"/>
        <w:numPr>
          <w:ilvl w:val="0"/>
          <w:numId w:val="24"/>
        </w:numPr>
        <w:ind w:left="426"/>
        <w:jc w:val="both"/>
        <w:rPr>
          <w:rFonts w:ascii="Avenir Next" w:hAnsi="Avenir Next" w:cs="Arial"/>
          <w:sz w:val="22"/>
          <w:szCs w:val="22"/>
          <w:highlight w:val="yellow"/>
        </w:rPr>
      </w:pPr>
      <w:r w:rsidRPr="00CA7FF6">
        <w:rPr>
          <w:rFonts w:ascii="Avenir Next" w:hAnsi="Avenir Next" w:cs="Arial"/>
          <w:sz w:val="22"/>
          <w:szCs w:val="22"/>
          <w:highlight w:val="yellow"/>
        </w:rPr>
        <w:t xml:space="preserve">This statement is true because </w:t>
      </w:r>
      <w:r w:rsidR="005C4FF2" w:rsidRPr="00CA7FF6">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4E293B44" w14:textId="474A21BC" w:rsidR="00C95D3B" w:rsidRPr="00AB63DE" w:rsidRDefault="00EF4CAC" w:rsidP="00C95D3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African countries adopted </w:t>
      </w:r>
      <w:r w:rsidR="00C95D3B">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00C95D3B">
        <w:rPr>
          <w:rFonts w:ascii="Avenir Next" w:hAnsi="Avenir Next" w:cs="Arial"/>
          <w:color w:val="808080" w:themeColor="background1" w:themeShade="80"/>
          <w:sz w:val="22"/>
          <w:szCs w:val="22"/>
          <w:lang w:val="en-GB"/>
        </w:rPr>
        <w:t>laws and practices of their former colonial powers, including their insolvency systems. Accordingly, the prevalent systems are similar to or based on English law (Eastern Africa, Kenya etc)</w:t>
      </w:r>
      <w:r w:rsidR="00BA7BC9">
        <w:rPr>
          <w:rFonts w:ascii="Avenir Next" w:hAnsi="Avenir Next" w:cs="Arial"/>
          <w:color w:val="808080" w:themeColor="background1" w:themeShade="80"/>
          <w:sz w:val="22"/>
          <w:szCs w:val="22"/>
          <w:lang w:val="en-GB"/>
        </w:rPr>
        <w:t xml:space="preserve"> or</w:t>
      </w:r>
      <w:r w:rsidR="00C95D3B">
        <w:rPr>
          <w:rFonts w:ascii="Avenir Next" w:hAnsi="Avenir Next" w:cs="Arial"/>
          <w:color w:val="808080" w:themeColor="background1" w:themeShade="80"/>
          <w:sz w:val="22"/>
          <w:szCs w:val="22"/>
          <w:lang w:val="en-GB"/>
        </w:rPr>
        <w:t xml:space="preserve"> civil </w:t>
      </w:r>
      <w:r w:rsidR="00BA7BC9">
        <w:rPr>
          <w:rFonts w:ascii="Avenir Next" w:hAnsi="Avenir Next" w:cs="Arial"/>
          <w:color w:val="808080" w:themeColor="background1" w:themeShade="80"/>
          <w:sz w:val="22"/>
          <w:szCs w:val="22"/>
          <w:lang w:val="en-GB"/>
        </w:rPr>
        <w:t xml:space="preserve">law, similar to that of </w:t>
      </w:r>
      <w:r w:rsidR="00C95D3B">
        <w:rPr>
          <w:rFonts w:ascii="Avenir Next" w:hAnsi="Avenir Next" w:cs="Arial"/>
          <w:color w:val="808080" w:themeColor="background1" w:themeShade="80"/>
          <w:sz w:val="22"/>
          <w:szCs w:val="22"/>
          <w:lang w:val="en-GB"/>
        </w:rPr>
        <w:t>Portugal (Angola, Mozambique) or France ((West and North Africa).  Some countries also</w:t>
      </w:r>
      <w:r w:rsidR="00BA7BC9">
        <w:rPr>
          <w:rFonts w:ascii="Avenir Next" w:hAnsi="Avenir Next" w:cs="Arial"/>
          <w:color w:val="808080" w:themeColor="background1" w:themeShade="80"/>
          <w:sz w:val="22"/>
          <w:szCs w:val="22"/>
          <w:lang w:val="en-GB"/>
        </w:rPr>
        <w:t xml:space="preserve"> have mixed legal systems since they were exposed to both civil and common law systems (e.g. South Africa and Namibia).</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5FC32B2D" w:rsidR="00AB63DE" w:rsidRPr="00AB63DE" w:rsidRDefault="00CC48D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financial crisis in East Asia had a dramatic effect on some countries in the region and led to reforms of the insolvency laws in many countries. For example, it resulted in Thailand overhauling its bankruptcy laws and, also, the emergence of Singapore as an increasingly influential jurisdiction in the region.  This was </w:t>
      </w:r>
      <w:r w:rsidR="00CD4795">
        <w:rPr>
          <w:rFonts w:ascii="Avenir Next" w:hAnsi="Avenir Next" w:cs="Arial"/>
          <w:color w:val="808080" w:themeColor="background1" w:themeShade="80"/>
          <w:sz w:val="22"/>
          <w:szCs w:val="22"/>
          <w:lang w:val="en-GB"/>
        </w:rPr>
        <w:t xml:space="preserve">further </w:t>
      </w:r>
      <w:r>
        <w:rPr>
          <w:rFonts w:ascii="Avenir Next" w:hAnsi="Avenir Next" w:cs="Arial"/>
          <w:color w:val="808080" w:themeColor="background1" w:themeShade="80"/>
          <w:sz w:val="22"/>
          <w:szCs w:val="22"/>
          <w:lang w:val="en-GB"/>
        </w:rPr>
        <w:t>enhance</w:t>
      </w:r>
      <w:r w:rsidR="00CD4795">
        <w:rPr>
          <w:rFonts w:ascii="Avenir Next" w:hAnsi="Avenir Next" w:cs="Arial"/>
          <w:color w:val="808080" w:themeColor="background1" w:themeShade="80"/>
          <w:sz w:val="22"/>
          <w:szCs w:val="22"/>
          <w:lang w:val="en-GB"/>
        </w:rPr>
        <w:t xml:space="preserve">d when Singapore enacted their new Insolvency, Restructuring and Dissolution Act to consolidated their existing insolvency laws on 30 July 2020.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AAC51BC" w:rsidR="00AB63DE" w:rsidRPr="00AB63DE" w:rsidRDefault="008765C4" w:rsidP="004D235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Canada and the USA failed in an attempt to implement a bi-lateral treaty  in the 1970s but both have adopted the UNNITRAL Model Law on Cross Border Insolvency which has facilitated cooperation</w:t>
      </w:r>
      <w:r w:rsidR="004D2350">
        <w:rPr>
          <w:rFonts w:ascii="Avenir Next" w:hAnsi="Avenir Next" w:cs="Arial"/>
          <w:color w:val="808080" w:themeColor="background1" w:themeShade="80"/>
          <w:sz w:val="22"/>
          <w:szCs w:val="22"/>
          <w:lang w:val="en-GB"/>
        </w:rPr>
        <w:t xml:space="preserve"> on cross border insolvency issues</w:t>
      </w:r>
      <w:r>
        <w:rPr>
          <w:rFonts w:ascii="Avenir Next" w:hAnsi="Avenir Next" w:cs="Arial"/>
          <w:color w:val="808080" w:themeColor="background1" w:themeShade="80"/>
          <w:sz w:val="22"/>
          <w:szCs w:val="22"/>
          <w:lang w:val="en-GB"/>
        </w:rPr>
        <w:t>. In addition, the American Law Institute has also made efforts to facilitate the resolution of international insolvency issues between NAFTA countries (USA, Canada  and Mexico)</w:t>
      </w:r>
      <w:r w:rsidR="004D2350">
        <w:rPr>
          <w:rFonts w:ascii="Avenir Next" w:hAnsi="Avenir Next" w:cs="Arial"/>
          <w:color w:val="808080" w:themeColor="background1" w:themeShade="80"/>
          <w:sz w:val="22"/>
          <w:szCs w:val="22"/>
          <w:lang w:val="en-GB"/>
        </w:rPr>
        <w:t xml:space="preserve"> by appointing experts in each jurisdiction and preparing 'Principles of Cooperation' regarding each countries insolvency laws which were approved and adopted by all NAFTA members in 2000. These govern corporate insolvency only </w:t>
      </w:r>
      <w:r w:rsidR="0094489A">
        <w:rPr>
          <w:rFonts w:ascii="Avenir Next" w:hAnsi="Avenir Next" w:cs="Arial"/>
          <w:color w:val="808080" w:themeColor="background1" w:themeShade="80"/>
          <w:sz w:val="22"/>
          <w:szCs w:val="22"/>
          <w:lang w:val="en-GB"/>
        </w:rPr>
        <w:t xml:space="preserve">and have increased cooperation between NAFTA members provided useful guidelines for issues such as, inter alia, recognition, administration and distribution. </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542081D9" w:rsidR="00AB63DE" w:rsidRPr="00AB63DE" w:rsidRDefault="00A27450"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laws governing voidable dispositions</w:t>
      </w:r>
      <w:r w:rsidR="00A17A0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which incorporate</w:t>
      </w:r>
      <w:r w:rsidR="00A17A0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fraudulent conveyances</w:t>
      </w:r>
      <w:r w:rsidR="00A17A0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can be traced back to the '</w:t>
      </w:r>
      <w:proofErr w:type="spellStart"/>
      <w:r>
        <w:rPr>
          <w:rFonts w:ascii="Avenir Next" w:hAnsi="Avenir Next" w:cs="Arial"/>
          <w:color w:val="808080" w:themeColor="background1" w:themeShade="80"/>
          <w:sz w:val="22"/>
          <w:szCs w:val="22"/>
          <w:lang w:val="en-GB"/>
        </w:rPr>
        <w:t>actio</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in civil law traditions, and the Act of Elizabeth of 1570 in English law. </w:t>
      </w:r>
      <w:r w:rsidR="005D418F">
        <w:rPr>
          <w:rFonts w:ascii="Avenir Next" w:hAnsi="Avenir Next" w:cs="Arial"/>
          <w:color w:val="808080" w:themeColor="background1" w:themeShade="80"/>
          <w:sz w:val="22"/>
          <w:szCs w:val="22"/>
          <w:lang w:val="en-GB"/>
        </w:rPr>
        <w:t xml:space="preserve">Despite the differences in these </w:t>
      </w:r>
      <w:r w:rsidR="00013008">
        <w:rPr>
          <w:rFonts w:ascii="Avenir Next" w:hAnsi="Avenir Next" w:cs="Arial"/>
          <w:color w:val="808080" w:themeColor="background1" w:themeShade="80"/>
          <w:sz w:val="22"/>
          <w:szCs w:val="22"/>
          <w:lang w:val="en-GB"/>
        </w:rPr>
        <w:t xml:space="preserve">legal </w:t>
      </w:r>
      <w:r w:rsidR="005D418F">
        <w:rPr>
          <w:rFonts w:ascii="Avenir Next" w:hAnsi="Avenir Next" w:cs="Arial"/>
          <w:color w:val="808080" w:themeColor="background1" w:themeShade="80"/>
          <w:sz w:val="22"/>
          <w:szCs w:val="22"/>
          <w:lang w:val="en-GB"/>
        </w:rPr>
        <w:t>systems, the basis for being be able to make enquiries into potentially voidable dispositions is the</w:t>
      </w:r>
      <w:r w:rsidR="00906E93">
        <w:rPr>
          <w:rFonts w:ascii="Avenir Next" w:hAnsi="Avenir Next" w:cs="Arial"/>
          <w:color w:val="808080" w:themeColor="background1" w:themeShade="80"/>
          <w:sz w:val="22"/>
          <w:szCs w:val="22"/>
          <w:lang w:val="en-GB"/>
        </w:rPr>
        <w:t xml:space="preserve"> same</w:t>
      </w:r>
      <w:r w:rsidR="005D418F">
        <w:rPr>
          <w:rFonts w:ascii="Avenir Next" w:hAnsi="Avenir Next" w:cs="Arial"/>
          <w:color w:val="808080" w:themeColor="background1" w:themeShade="80"/>
          <w:sz w:val="22"/>
          <w:szCs w:val="22"/>
          <w:lang w:val="en-GB"/>
        </w:rPr>
        <w:t xml:space="preserve"> across both. Such transactions undermine the collective debt </w:t>
      </w:r>
      <w:r w:rsidR="00906E93">
        <w:rPr>
          <w:rFonts w:ascii="Avenir Next" w:hAnsi="Avenir Next" w:cs="Arial"/>
          <w:color w:val="808080" w:themeColor="background1" w:themeShade="80"/>
          <w:sz w:val="22"/>
          <w:szCs w:val="22"/>
          <w:lang w:val="en-GB"/>
        </w:rPr>
        <w:t>collection</w:t>
      </w:r>
      <w:r w:rsidR="005D418F">
        <w:rPr>
          <w:rFonts w:ascii="Avenir Next" w:hAnsi="Avenir Next" w:cs="Arial"/>
          <w:color w:val="808080" w:themeColor="background1" w:themeShade="80"/>
          <w:sz w:val="22"/>
          <w:szCs w:val="22"/>
          <w:lang w:val="en-GB"/>
        </w:rPr>
        <w:t xml:space="preserve"> mechanism and could lead to dispositions by the insolvent </w:t>
      </w:r>
      <w:r w:rsidR="00906E93">
        <w:rPr>
          <w:rFonts w:ascii="Avenir Next" w:hAnsi="Avenir Next" w:cs="Arial"/>
          <w:color w:val="808080" w:themeColor="background1" w:themeShade="80"/>
          <w:sz w:val="22"/>
          <w:szCs w:val="22"/>
          <w:lang w:val="en-GB"/>
        </w:rPr>
        <w:t xml:space="preserve"> at an undervalue with the intention of preferring one creditor or class of creditor </w:t>
      </w:r>
      <w:r w:rsidR="00906E93">
        <w:rPr>
          <w:rFonts w:ascii="Avenir Next" w:hAnsi="Avenir Next" w:cs="Arial"/>
          <w:color w:val="808080" w:themeColor="background1" w:themeShade="80"/>
          <w:sz w:val="22"/>
          <w:szCs w:val="22"/>
          <w:lang w:val="en-GB"/>
        </w:rPr>
        <w:lastRenderedPageBreak/>
        <w:t>over another</w:t>
      </w:r>
      <w:r w:rsidR="005D418F">
        <w:rPr>
          <w:rFonts w:ascii="Avenir Next" w:hAnsi="Avenir Next" w:cs="Arial"/>
          <w:color w:val="808080" w:themeColor="background1" w:themeShade="80"/>
          <w:sz w:val="22"/>
          <w:szCs w:val="22"/>
          <w:lang w:val="en-GB"/>
        </w:rPr>
        <w:t xml:space="preserve"> </w:t>
      </w:r>
      <w:r w:rsidR="00906E93">
        <w:rPr>
          <w:rFonts w:ascii="Avenir Next" w:hAnsi="Avenir Next" w:cs="Arial"/>
          <w:color w:val="808080" w:themeColor="background1" w:themeShade="80"/>
          <w:sz w:val="22"/>
          <w:szCs w:val="22"/>
          <w:lang w:val="en-GB"/>
        </w:rPr>
        <w:t xml:space="preserve">to the detriment of the general body of creditors.  In spite of the fact that different jurisdictions may traditionally have differing approaches to insolvency law (i.e. some are more 'debtor' friendly than others or permit a fresh start), </w:t>
      </w:r>
      <w:r w:rsidR="00013008">
        <w:rPr>
          <w:rFonts w:ascii="Avenir Next" w:hAnsi="Avenir Next" w:cs="Arial"/>
          <w:color w:val="808080" w:themeColor="background1" w:themeShade="80"/>
          <w:sz w:val="22"/>
          <w:szCs w:val="22"/>
          <w:lang w:val="en-GB"/>
        </w:rPr>
        <w:t>such an unfair preference</w:t>
      </w:r>
      <w:r w:rsidR="00906E93">
        <w:rPr>
          <w:rFonts w:ascii="Avenir Next" w:hAnsi="Avenir Next" w:cs="Arial"/>
          <w:color w:val="808080" w:themeColor="background1" w:themeShade="80"/>
          <w:sz w:val="22"/>
          <w:szCs w:val="22"/>
          <w:lang w:val="en-GB"/>
        </w:rPr>
        <w:t xml:space="preserve"> is contrary to the established </w:t>
      </w:r>
      <w:r w:rsidR="00013008">
        <w:rPr>
          <w:rFonts w:ascii="Avenir Next" w:hAnsi="Avenir Next" w:cs="Arial"/>
          <w:color w:val="808080" w:themeColor="background1" w:themeShade="80"/>
          <w:sz w:val="22"/>
          <w:szCs w:val="22"/>
          <w:lang w:val="en-GB"/>
        </w:rPr>
        <w:t>principles</w:t>
      </w:r>
      <w:r w:rsidR="00906E93">
        <w:rPr>
          <w:rFonts w:ascii="Avenir Next" w:hAnsi="Avenir Next" w:cs="Arial"/>
          <w:color w:val="808080" w:themeColor="background1" w:themeShade="80"/>
          <w:sz w:val="22"/>
          <w:szCs w:val="22"/>
          <w:lang w:val="en-GB"/>
        </w:rPr>
        <w:t xml:space="preserve"> of </w:t>
      </w:r>
      <w:r w:rsidR="00013008">
        <w:rPr>
          <w:rFonts w:ascii="Avenir Next" w:hAnsi="Avenir Next" w:cs="Arial"/>
          <w:color w:val="808080" w:themeColor="background1" w:themeShade="80"/>
          <w:sz w:val="22"/>
          <w:szCs w:val="22"/>
          <w:lang w:val="en-GB"/>
        </w:rPr>
        <w:t>i</w:t>
      </w:r>
      <w:r w:rsidR="00906E93">
        <w:rPr>
          <w:rFonts w:ascii="Avenir Next" w:hAnsi="Avenir Next" w:cs="Arial"/>
          <w:color w:val="808080" w:themeColor="background1" w:themeShade="80"/>
          <w:sz w:val="22"/>
          <w:szCs w:val="22"/>
          <w:lang w:val="en-GB"/>
        </w:rPr>
        <w:t xml:space="preserve">nsolvency </w:t>
      </w:r>
      <w:r w:rsidR="00013008">
        <w:rPr>
          <w:rFonts w:ascii="Avenir Next" w:hAnsi="Avenir Next" w:cs="Arial"/>
          <w:color w:val="808080" w:themeColor="background1" w:themeShade="80"/>
          <w:sz w:val="22"/>
          <w:szCs w:val="22"/>
          <w:lang w:val="en-GB"/>
        </w:rPr>
        <w:t xml:space="preserve">such as those set out in Part 1 of the UNCITRAL Legislative Guide.  Accordingly, both systems have adopted </w:t>
      </w:r>
      <w:r w:rsidR="00445512">
        <w:rPr>
          <w:rFonts w:ascii="Avenir Next" w:hAnsi="Avenir Next" w:cs="Arial"/>
          <w:color w:val="808080" w:themeColor="background1" w:themeShade="80"/>
          <w:sz w:val="22"/>
          <w:szCs w:val="22"/>
          <w:lang w:val="en-GB"/>
        </w:rPr>
        <w:t xml:space="preserve">a </w:t>
      </w:r>
      <w:r w:rsidR="00013008">
        <w:rPr>
          <w:rFonts w:ascii="Avenir Next" w:hAnsi="Avenir Next" w:cs="Arial"/>
          <w:color w:val="808080" w:themeColor="background1" w:themeShade="80"/>
          <w:sz w:val="22"/>
          <w:szCs w:val="22"/>
          <w:lang w:val="en-GB"/>
        </w:rPr>
        <w:t xml:space="preserve">general prohibition on such voidable dispositions which encourages debtors to use traditional </w:t>
      </w:r>
      <w:r w:rsidR="00725503">
        <w:rPr>
          <w:rFonts w:ascii="Avenir Next" w:hAnsi="Avenir Next" w:cs="Arial"/>
          <w:color w:val="808080" w:themeColor="background1" w:themeShade="80"/>
          <w:sz w:val="22"/>
          <w:szCs w:val="22"/>
          <w:lang w:val="en-GB"/>
        </w:rPr>
        <w:t>and approved insolvency processes instead.</w:t>
      </w:r>
      <w:r w:rsidR="00013008">
        <w:rPr>
          <w:rFonts w:ascii="Avenir Next" w:hAnsi="Avenir Next" w:cs="Arial"/>
          <w:color w:val="808080" w:themeColor="background1" w:themeShade="80"/>
          <w:sz w:val="22"/>
          <w:szCs w:val="22"/>
          <w:lang w:val="en-GB"/>
        </w:rPr>
        <w:t xml:space="preserve">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4B38DBAD" w14:textId="7B39DD8D" w:rsidR="001E1C34" w:rsidRPr="00445512" w:rsidRDefault="00DE03C2" w:rsidP="00692852">
      <w:pPr>
        <w:jc w:val="both"/>
        <w:rPr>
          <w:rFonts w:ascii="Avenir Next" w:hAnsi="Avenir Next" w:cs="Arial"/>
          <w:color w:val="808080" w:themeColor="background1" w:themeShade="80"/>
          <w:sz w:val="22"/>
          <w:szCs w:val="22"/>
        </w:rPr>
      </w:pPr>
      <w:r w:rsidRPr="00445512">
        <w:rPr>
          <w:rFonts w:ascii="Avenir Next" w:hAnsi="Avenir Next" w:cs="Arial"/>
          <w:color w:val="808080" w:themeColor="background1" w:themeShade="80"/>
          <w:sz w:val="22"/>
          <w:szCs w:val="22"/>
        </w:rPr>
        <w:t xml:space="preserve">This definition does indeed have limitations as it fails to </w:t>
      </w:r>
      <w:r w:rsidR="00445512">
        <w:rPr>
          <w:rFonts w:ascii="Avenir Next" w:hAnsi="Avenir Next" w:cs="Arial"/>
          <w:color w:val="808080" w:themeColor="background1" w:themeShade="80"/>
          <w:sz w:val="22"/>
          <w:szCs w:val="22"/>
        </w:rPr>
        <w:t>reveal</w:t>
      </w:r>
      <w:r w:rsidRPr="00445512">
        <w:rPr>
          <w:rFonts w:ascii="Avenir Next" w:hAnsi="Avenir Next" w:cs="Arial"/>
          <w:color w:val="808080" w:themeColor="background1" w:themeShade="80"/>
          <w:sz w:val="22"/>
          <w:szCs w:val="22"/>
        </w:rPr>
        <w:t xml:space="preserve"> anything particularly useful </w:t>
      </w:r>
      <w:r w:rsidR="00445512">
        <w:rPr>
          <w:rFonts w:ascii="Avenir Next" w:hAnsi="Avenir Next" w:cs="Arial"/>
          <w:color w:val="808080" w:themeColor="background1" w:themeShade="80"/>
          <w:sz w:val="22"/>
          <w:szCs w:val="22"/>
        </w:rPr>
        <w:t xml:space="preserve">about </w:t>
      </w:r>
      <w:r w:rsidRPr="00445512">
        <w:rPr>
          <w:rFonts w:ascii="Avenir Next" w:hAnsi="Avenir Next" w:cs="Arial"/>
          <w:color w:val="808080" w:themeColor="background1" w:themeShade="80"/>
          <w:sz w:val="22"/>
          <w:szCs w:val="22"/>
        </w:rPr>
        <w:t xml:space="preserve">international insolvency law.  It </w:t>
      </w:r>
      <w:r w:rsidR="006C24CC" w:rsidRPr="00445512">
        <w:rPr>
          <w:rFonts w:ascii="Avenir Next" w:hAnsi="Avenir Next" w:cs="Arial"/>
          <w:color w:val="808080" w:themeColor="background1" w:themeShade="80"/>
          <w:sz w:val="22"/>
          <w:szCs w:val="22"/>
        </w:rPr>
        <w:t xml:space="preserve">appears to ascribe an aspect of universalism to international insolvency law and </w:t>
      </w:r>
      <w:r w:rsidRPr="00445512">
        <w:rPr>
          <w:rFonts w:ascii="Avenir Next" w:hAnsi="Avenir Next" w:cs="Arial"/>
          <w:color w:val="808080" w:themeColor="background1" w:themeShade="80"/>
          <w:sz w:val="22"/>
          <w:szCs w:val="22"/>
        </w:rPr>
        <w:t>essentially says t</w:t>
      </w:r>
      <w:r w:rsidR="006C24CC" w:rsidRPr="00445512">
        <w:rPr>
          <w:rFonts w:ascii="Avenir Next" w:hAnsi="Avenir Next" w:cs="Arial"/>
          <w:color w:val="808080" w:themeColor="background1" w:themeShade="80"/>
          <w:sz w:val="22"/>
          <w:szCs w:val="22"/>
        </w:rPr>
        <w:t>hat one must always consider the international aspects of each</w:t>
      </w:r>
      <w:r w:rsidR="00445512">
        <w:rPr>
          <w:rFonts w:ascii="Avenir Next" w:hAnsi="Avenir Next" w:cs="Arial"/>
          <w:color w:val="808080" w:themeColor="background1" w:themeShade="80"/>
          <w:sz w:val="22"/>
          <w:szCs w:val="22"/>
        </w:rPr>
        <w:t xml:space="preserve"> case</w:t>
      </w:r>
      <w:r w:rsidRPr="00445512">
        <w:rPr>
          <w:rFonts w:ascii="Avenir Next" w:hAnsi="Avenir Next" w:cs="Arial"/>
          <w:color w:val="808080" w:themeColor="background1" w:themeShade="80"/>
          <w:sz w:val="22"/>
          <w:szCs w:val="22"/>
        </w:rPr>
        <w:t xml:space="preserve">.  </w:t>
      </w:r>
      <w:r w:rsidR="006C24CC" w:rsidRPr="00445512">
        <w:rPr>
          <w:rFonts w:ascii="Avenir Next" w:hAnsi="Avenir Next" w:cs="Arial"/>
          <w:color w:val="808080" w:themeColor="background1" w:themeShade="80"/>
          <w:sz w:val="22"/>
          <w:szCs w:val="22"/>
        </w:rPr>
        <w:t>However, i</w:t>
      </w:r>
      <w:r w:rsidRPr="00445512">
        <w:rPr>
          <w:rFonts w:ascii="Avenir Next" w:hAnsi="Avenir Next" w:cs="Arial"/>
          <w:color w:val="808080" w:themeColor="background1" w:themeShade="80"/>
          <w:sz w:val="22"/>
          <w:szCs w:val="22"/>
        </w:rPr>
        <w:t xml:space="preserve">t fails to </w:t>
      </w:r>
      <w:r w:rsidR="006C24CC" w:rsidRPr="00445512">
        <w:rPr>
          <w:rFonts w:ascii="Avenir Next" w:hAnsi="Avenir Next" w:cs="Arial"/>
          <w:color w:val="808080" w:themeColor="background1" w:themeShade="80"/>
          <w:sz w:val="22"/>
          <w:szCs w:val="22"/>
        </w:rPr>
        <w:t>take into account the reality that, although there is such a thing as international insolvency law</w:t>
      </w:r>
      <w:r w:rsidR="005F6AC3" w:rsidRPr="00445512">
        <w:rPr>
          <w:rFonts w:ascii="Avenir Next" w:hAnsi="Avenir Next" w:cs="Arial"/>
          <w:color w:val="808080" w:themeColor="background1" w:themeShade="80"/>
          <w:sz w:val="22"/>
          <w:szCs w:val="22"/>
        </w:rPr>
        <w:t xml:space="preserve"> and some countries do adopt a more 'universal' approach</w:t>
      </w:r>
      <w:r w:rsidR="006C24CC" w:rsidRPr="00445512">
        <w:rPr>
          <w:rFonts w:ascii="Avenir Next" w:hAnsi="Avenir Next" w:cs="Arial"/>
          <w:color w:val="808080" w:themeColor="background1" w:themeShade="80"/>
          <w:sz w:val="22"/>
          <w:szCs w:val="22"/>
        </w:rPr>
        <w:t xml:space="preserve">, </w:t>
      </w:r>
      <w:r w:rsidR="005F6AC3" w:rsidRPr="00445512">
        <w:rPr>
          <w:rFonts w:ascii="Avenir Next" w:hAnsi="Avenir Next" w:cs="Arial"/>
          <w:color w:val="808080" w:themeColor="background1" w:themeShade="80"/>
          <w:sz w:val="22"/>
          <w:szCs w:val="22"/>
        </w:rPr>
        <w:t xml:space="preserve">many </w:t>
      </w:r>
      <w:r w:rsidR="00445512">
        <w:rPr>
          <w:rFonts w:ascii="Avenir Next" w:hAnsi="Avenir Next" w:cs="Arial"/>
          <w:color w:val="808080" w:themeColor="background1" w:themeShade="80"/>
          <w:sz w:val="22"/>
          <w:szCs w:val="22"/>
        </w:rPr>
        <w:t xml:space="preserve">more </w:t>
      </w:r>
      <w:r w:rsidR="005F6AC3" w:rsidRPr="00445512">
        <w:rPr>
          <w:rFonts w:ascii="Avenir Next" w:hAnsi="Avenir Next" w:cs="Arial"/>
          <w:color w:val="808080" w:themeColor="background1" w:themeShade="80"/>
          <w:sz w:val="22"/>
          <w:szCs w:val="22"/>
        </w:rPr>
        <w:t xml:space="preserve">countries are more inclined to adopt a more territorial approach and prefer to deal with local interests and local creditors </w:t>
      </w:r>
      <w:r w:rsidR="009C5B61" w:rsidRPr="00445512">
        <w:rPr>
          <w:rFonts w:ascii="Avenir Next" w:hAnsi="Avenir Next" w:cs="Arial"/>
          <w:color w:val="808080" w:themeColor="background1" w:themeShade="80"/>
          <w:sz w:val="22"/>
          <w:szCs w:val="22"/>
        </w:rPr>
        <w:t xml:space="preserve">without necessarily ensuring cooperation </w:t>
      </w:r>
      <w:r w:rsidR="00445512">
        <w:rPr>
          <w:rFonts w:ascii="Avenir Next" w:hAnsi="Avenir Next" w:cs="Arial"/>
          <w:color w:val="808080" w:themeColor="background1" w:themeShade="80"/>
          <w:sz w:val="22"/>
          <w:szCs w:val="22"/>
        </w:rPr>
        <w:t xml:space="preserve">foreign officeholders or </w:t>
      </w:r>
      <w:r w:rsidR="009C5B61" w:rsidRPr="00445512">
        <w:rPr>
          <w:rFonts w:ascii="Avenir Next" w:hAnsi="Avenir Next" w:cs="Arial"/>
          <w:color w:val="808080" w:themeColor="background1" w:themeShade="80"/>
          <w:sz w:val="22"/>
          <w:szCs w:val="22"/>
        </w:rPr>
        <w:t xml:space="preserve">jurisdictions.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75F55C56" w:rsidR="001E1C34" w:rsidRPr="00AB63DE" w:rsidRDefault="006B640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have been a successful source of </w:t>
      </w:r>
      <w:r w:rsidRPr="006B6409">
        <w:rPr>
          <w:rFonts w:ascii="Avenir Next" w:hAnsi="Avenir Next" w:cs="Arial"/>
          <w:color w:val="808080" w:themeColor="background1" w:themeShade="80"/>
          <w:sz w:val="22"/>
          <w:szCs w:val="22"/>
          <w:lang w:val="en-GB"/>
        </w:rPr>
        <w:t>cross-border insolvency law</w:t>
      </w:r>
      <w:r>
        <w:rPr>
          <w:rFonts w:ascii="Avenir Next" w:hAnsi="Avenir Next" w:cs="Arial"/>
          <w:color w:val="808080" w:themeColor="background1" w:themeShade="80"/>
          <w:sz w:val="22"/>
          <w:szCs w:val="22"/>
          <w:lang w:val="en-GB"/>
        </w:rPr>
        <w:t>. There are may reasons for this. In  many case they are enacted by jurisdictions which are geographically and / or culturally similar which makes it more likely that they will be successful (as they are likely to be based on similar legal traditions etc.).  Examples of such successful treaties between countries in a certain region are the Montevideo Treaties of 1889 and 1940 and the Havana Convention on Private International Law</w:t>
      </w:r>
      <w:r w:rsidR="001940AD">
        <w:rPr>
          <w:rFonts w:ascii="Avenir Next" w:hAnsi="Avenir Next" w:cs="Arial"/>
          <w:color w:val="808080" w:themeColor="background1" w:themeShade="80"/>
          <w:sz w:val="22"/>
          <w:szCs w:val="22"/>
          <w:lang w:val="en-GB"/>
        </w:rPr>
        <w:t xml:space="preserve"> (1928) which cover Latin America.  Canada and the USA failed in an attempt to implement a bi-lateral treaty  in the 1970s but, as described above,  both have adopted the UNNITRAL Model Law and the 'Principles of Cooperation' prepared by  the American Law Institute.  The EU has also been successful in </w:t>
      </w:r>
      <w:r w:rsidR="00B82C7A">
        <w:rPr>
          <w:rFonts w:ascii="Avenir Next" w:hAnsi="Avenir Next" w:cs="Arial"/>
          <w:color w:val="808080" w:themeColor="background1" w:themeShade="80"/>
          <w:sz w:val="22"/>
          <w:szCs w:val="22"/>
          <w:lang w:val="en-GB"/>
        </w:rPr>
        <w:t xml:space="preserve">adopting regulations to harmonise insolvency law across member states which ultimately resulted in the adoption of the European Insolvency Regulation (EIR) by member states (now EIR Recast). Other regions have had similar success implementing cross-border treaties such as the Nordic Convention comprising five Scandinavian states and the Organisation pour </w:t>
      </w:r>
      <w:proofErr w:type="spellStart"/>
      <w:r w:rsidR="00B82C7A">
        <w:rPr>
          <w:rFonts w:ascii="Avenir Next" w:hAnsi="Avenir Next" w:cs="Arial"/>
          <w:color w:val="808080" w:themeColor="background1" w:themeShade="80"/>
          <w:sz w:val="22"/>
          <w:szCs w:val="22"/>
          <w:lang w:val="en-GB"/>
        </w:rPr>
        <w:t>l'Harmonisation</w:t>
      </w:r>
      <w:proofErr w:type="spellEnd"/>
      <w:r w:rsidR="00B82C7A">
        <w:rPr>
          <w:rFonts w:ascii="Avenir Next" w:hAnsi="Avenir Next" w:cs="Arial"/>
          <w:color w:val="808080" w:themeColor="background1" w:themeShade="80"/>
          <w:sz w:val="22"/>
          <w:szCs w:val="22"/>
          <w:lang w:val="en-GB"/>
        </w:rPr>
        <w:t xml:space="preserve"> </w:t>
      </w:r>
      <w:proofErr w:type="spellStart"/>
      <w:r w:rsidR="00B82C7A">
        <w:rPr>
          <w:rFonts w:ascii="Avenir Next" w:hAnsi="Avenir Next" w:cs="Arial"/>
          <w:color w:val="808080" w:themeColor="background1" w:themeShade="80"/>
          <w:sz w:val="22"/>
          <w:szCs w:val="22"/>
          <w:lang w:val="en-GB"/>
        </w:rPr>
        <w:t>en</w:t>
      </w:r>
      <w:proofErr w:type="spellEnd"/>
      <w:r w:rsidR="00B82C7A">
        <w:rPr>
          <w:rFonts w:ascii="Avenir Next" w:hAnsi="Avenir Next" w:cs="Arial"/>
          <w:color w:val="808080" w:themeColor="background1" w:themeShade="80"/>
          <w:sz w:val="22"/>
          <w:szCs w:val="22"/>
          <w:lang w:val="en-GB"/>
        </w:rPr>
        <w:t xml:space="preserve"> Afrique du Droit des Affaires (OHADA) in Sub- Saharan Africa.</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FB7B1F5" w:rsidR="001E1C34" w:rsidRPr="00AB63DE" w:rsidRDefault="000D5A9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Informal arrangements can be agreed between parties and can avoid the stigma which can sometimes attach to formal or court administered insolvency proceedings and so avoid unwanted negative publicity. They are also likely to be less costly than formal court processes</w:t>
      </w:r>
      <w:r w:rsidR="00E463A6">
        <w:rPr>
          <w:rFonts w:ascii="Avenir Next" w:hAnsi="Avenir Next" w:cs="Arial"/>
          <w:color w:val="808080" w:themeColor="background1" w:themeShade="80"/>
          <w:sz w:val="22"/>
          <w:szCs w:val="22"/>
          <w:lang w:val="en-GB"/>
        </w:rPr>
        <w:t>. However, some major disadvantages are that there will be no moratorium in place to prevent creditors from bringing claims and</w:t>
      </w:r>
      <w:r w:rsidR="00445512">
        <w:rPr>
          <w:rFonts w:ascii="Avenir Next" w:hAnsi="Avenir Next" w:cs="Arial"/>
          <w:color w:val="808080" w:themeColor="background1" w:themeShade="80"/>
          <w:sz w:val="22"/>
          <w:szCs w:val="22"/>
          <w:lang w:val="en-GB"/>
        </w:rPr>
        <w:t xml:space="preserve"> /</w:t>
      </w:r>
      <w:r w:rsidR="00E463A6">
        <w:rPr>
          <w:rFonts w:ascii="Avenir Next" w:hAnsi="Avenir Next" w:cs="Arial"/>
          <w:color w:val="808080" w:themeColor="background1" w:themeShade="80"/>
          <w:sz w:val="22"/>
          <w:szCs w:val="22"/>
          <w:lang w:val="en-GB"/>
        </w:rPr>
        <w:t xml:space="preserve"> or launching formal insolvency processes and there is no way of binding dissenting creditors who are not in favour of the informal arrangement (who are free to then launch their own formal insolvency proceedings).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6CE8DA0A" w:rsidR="001E1C34" w:rsidRPr="00AB63DE" w:rsidRDefault="005C5A4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thing </w:t>
      </w:r>
      <w:r w:rsidR="00B46C3F">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establish is whether the respective domestic insolvency laws of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ma</w:t>
      </w:r>
      <w:r w:rsidR="00B11A3D">
        <w:rPr>
          <w:rFonts w:ascii="Avenir Next" w:hAnsi="Avenir Next" w:cs="Arial"/>
          <w:color w:val="808080" w:themeColor="background1" w:themeShade="80"/>
          <w:sz w:val="22"/>
          <w:szCs w:val="22"/>
          <w:lang w:val="en-GB"/>
        </w:rPr>
        <w:t>k</w:t>
      </w:r>
      <w:r>
        <w:rPr>
          <w:rFonts w:ascii="Avenir Next" w:hAnsi="Avenir Next" w:cs="Arial"/>
          <w:color w:val="808080" w:themeColor="background1" w:themeShade="80"/>
          <w:sz w:val="22"/>
          <w:szCs w:val="22"/>
          <w:lang w:val="en-GB"/>
        </w:rPr>
        <w:t xml:space="preserve">e provision for </w:t>
      </w:r>
      <w:r w:rsidR="00B11A3D">
        <w:rPr>
          <w:rFonts w:ascii="Avenir Next" w:hAnsi="Avenir Next" w:cs="Arial"/>
          <w:color w:val="808080" w:themeColor="background1" w:themeShade="80"/>
          <w:sz w:val="22"/>
          <w:szCs w:val="22"/>
          <w:lang w:val="en-GB"/>
        </w:rPr>
        <w:t xml:space="preserve">the recognition of </w:t>
      </w:r>
      <w:r>
        <w:rPr>
          <w:rFonts w:ascii="Avenir Next" w:hAnsi="Avenir Next" w:cs="Arial"/>
          <w:color w:val="808080" w:themeColor="background1" w:themeShade="80"/>
          <w:sz w:val="22"/>
          <w:szCs w:val="22"/>
          <w:lang w:val="en-GB"/>
        </w:rPr>
        <w:t>foreign insolvency proceedings</w:t>
      </w:r>
      <w:r w:rsidR="00B11A3D">
        <w:rPr>
          <w:rFonts w:ascii="Avenir Next" w:hAnsi="Avenir Next" w:cs="Arial"/>
          <w:color w:val="808080" w:themeColor="background1" w:themeShade="80"/>
          <w:sz w:val="22"/>
          <w:szCs w:val="22"/>
          <w:lang w:val="en-GB"/>
        </w:rPr>
        <w:t xml:space="preserve">. If not, it will be far more difficult for the insolvency representative as he will not be able to rely on the cooperation of the Encanto authorities or his opposite number who will likely be appointed to deal with the assets in that jurisdiction.  </w:t>
      </w:r>
      <w:r w:rsidR="00380F6F">
        <w:rPr>
          <w:rFonts w:ascii="Avenir Next" w:hAnsi="Avenir Next" w:cs="Arial"/>
          <w:color w:val="808080" w:themeColor="background1" w:themeShade="80"/>
          <w:sz w:val="22"/>
          <w:szCs w:val="22"/>
          <w:lang w:val="en-GB"/>
        </w:rPr>
        <w:t xml:space="preserve">International insolvency instruments have sought to address these potential difficulties and take many forms, including some of the regional treaties and / or conventions identified above (EIR Recast, </w:t>
      </w:r>
      <w:proofErr w:type="spellStart"/>
      <w:r w:rsidR="00380F6F">
        <w:rPr>
          <w:rFonts w:ascii="Avenir Next" w:hAnsi="Avenir Next" w:cs="Arial"/>
          <w:color w:val="808080" w:themeColor="background1" w:themeShade="80"/>
          <w:sz w:val="22"/>
          <w:szCs w:val="22"/>
          <w:lang w:val="en-GB"/>
        </w:rPr>
        <w:t>Monteveido</w:t>
      </w:r>
      <w:proofErr w:type="spellEnd"/>
      <w:r w:rsidR="00380F6F">
        <w:rPr>
          <w:rFonts w:ascii="Avenir Next" w:hAnsi="Avenir Next" w:cs="Arial"/>
          <w:color w:val="808080" w:themeColor="background1" w:themeShade="80"/>
          <w:sz w:val="22"/>
          <w:szCs w:val="22"/>
          <w:lang w:val="en-GB"/>
        </w:rPr>
        <w:t xml:space="preserve"> Treaties etc).  However, other instruments </w:t>
      </w:r>
      <w:r w:rsidR="00B46C3F">
        <w:rPr>
          <w:rFonts w:ascii="Avenir Next" w:hAnsi="Avenir Next" w:cs="Arial"/>
          <w:color w:val="808080" w:themeColor="background1" w:themeShade="80"/>
          <w:sz w:val="22"/>
          <w:szCs w:val="22"/>
          <w:lang w:val="en-GB"/>
        </w:rPr>
        <w:t xml:space="preserve">from a variety sources </w:t>
      </w:r>
      <w:r w:rsidR="002D0C9A">
        <w:rPr>
          <w:rFonts w:ascii="Avenir Next" w:hAnsi="Avenir Next" w:cs="Arial"/>
          <w:color w:val="808080" w:themeColor="background1" w:themeShade="80"/>
          <w:sz w:val="22"/>
          <w:szCs w:val="22"/>
          <w:lang w:val="en-GB"/>
        </w:rPr>
        <w:t xml:space="preserve">have also sought to harmonise domestic insolvency laws </w:t>
      </w:r>
      <w:r w:rsidR="00B46C3F">
        <w:rPr>
          <w:rFonts w:ascii="Avenir Next" w:hAnsi="Avenir Next" w:cs="Arial"/>
          <w:color w:val="808080" w:themeColor="background1" w:themeShade="80"/>
          <w:sz w:val="22"/>
          <w:szCs w:val="22"/>
          <w:lang w:val="en-GB"/>
        </w:rPr>
        <w:lastRenderedPageBreak/>
        <w:t xml:space="preserve">with varying degrees of success. The UNCITRAL Legislative Guide on Insolvency Law published in 2004 is perhaps the most effective of these instruments and is intended to be used by national authorities / legislative bodies as a reference when preparing or updating legislation in order to ensure </w:t>
      </w:r>
      <w:r w:rsidR="000B409F">
        <w:rPr>
          <w:rFonts w:ascii="Avenir Next" w:hAnsi="Avenir Next" w:cs="Arial"/>
          <w:color w:val="808080" w:themeColor="background1" w:themeShade="80"/>
          <w:sz w:val="22"/>
          <w:szCs w:val="22"/>
          <w:lang w:val="en-GB"/>
        </w:rPr>
        <w:t xml:space="preserve">some level of </w:t>
      </w:r>
      <w:r w:rsidR="00B46C3F">
        <w:rPr>
          <w:rFonts w:ascii="Avenir Next" w:hAnsi="Avenir Next" w:cs="Arial"/>
          <w:color w:val="808080" w:themeColor="background1" w:themeShade="80"/>
          <w:sz w:val="22"/>
          <w:szCs w:val="22"/>
          <w:lang w:val="en-GB"/>
        </w:rPr>
        <w:t xml:space="preserve">harmonisation </w:t>
      </w:r>
      <w:r w:rsidR="000B409F">
        <w:rPr>
          <w:rFonts w:ascii="Avenir Next" w:hAnsi="Avenir Next" w:cs="Arial"/>
          <w:color w:val="808080" w:themeColor="background1" w:themeShade="80"/>
          <w:sz w:val="22"/>
          <w:szCs w:val="22"/>
          <w:lang w:val="en-GB"/>
        </w:rPr>
        <w:t>between insolvency laws in different jurisdictions.  Other instruments include the International Bar Associations Model Bankruptcy  Code of 1997 and the World Bank's Principles for Effective Insolvency and Creditor / Debtor Regimes which are regularly revised and updated. The development of these insolvency instruments  has been an important factor in the advancement of cross-border insolvency and the resulted in increased cooperation between jurisdictions.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BE5C346" w:rsidR="001E1C34" w:rsidRPr="00AB63DE" w:rsidRDefault="0079396C" w:rsidP="00610D7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Recast (EIR Recast) would not apply as it ceased to have effect in the UK following its exit form the European Union on 31 December 2020.  </w:t>
      </w:r>
      <w:r w:rsidR="006F5325">
        <w:rPr>
          <w:rFonts w:ascii="Avenir Next" w:hAnsi="Avenir Next" w:cs="Arial"/>
          <w:color w:val="808080" w:themeColor="background1" w:themeShade="80"/>
          <w:sz w:val="22"/>
          <w:szCs w:val="22"/>
          <w:lang w:val="en-GB"/>
        </w:rPr>
        <w:t xml:space="preserve">Accordingly, if proceedings are commenced in another European country, the UK courts will not be able to rely on the provisions of the EIR Recast and the insolvency practitioner appointed in the UK will likely need to liaise with insolvency representatives appointed in other jurisdictions as their ability to deal with the assets of FFLP will naturally be curtailed by the ongoing proceedings in those other jurisdictions. </w:t>
      </w:r>
      <w:r w:rsidR="00610D7B">
        <w:rPr>
          <w:rFonts w:ascii="Avenir Next" w:hAnsi="Avenir Next" w:cs="Arial"/>
          <w:color w:val="808080" w:themeColor="background1" w:themeShade="80"/>
          <w:sz w:val="22"/>
          <w:szCs w:val="22"/>
          <w:lang w:val="en-GB"/>
        </w:rPr>
        <w:t xml:space="preserve">Such cooperation was permitted by the House of Lords in McGrath -v- </w:t>
      </w:r>
      <w:proofErr w:type="spellStart"/>
      <w:r w:rsidR="00610D7B">
        <w:rPr>
          <w:rFonts w:ascii="Avenir Next" w:hAnsi="Avenir Next" w:cs="Arial"/>
          <w:color w:val="808080" w:themeColor="background1" w:themeShade="80"/>
          <w:sz w:val="22"/>
          <w:szCs w:val="22"/>
          <w:lang w:val="en-GB"/>
        </w:rPr>
        <w:t>Ridell</w:t>
      </w:r>
      <w:proofErr w:type="spellEnd"/>
      <w:r w:rsidR="00610D7B">
        <w:rPr>
          <w:rFonts w:ascii="Avenir Next" w:hAnsi="Avenir Next" w:cs="Arial"/>
          <w:color w:val="808080" w:themeColor="background1" w:themeShade="80"/>
          <w:sz w:val="22"/>
          <w:szCs w:val="22"/>
          <w:lang w:val="en-GB"/>
        </w:rPr>
        <w:t xml:space="preserve"> where the Court ordered the distribution of assets in the UK to a foreign liquidator. </w:t>
      </w:r>
      <w:r w:rsidR="005F44A1">
        <w:rPr>
          <w:rFonts w:ascii="Avenir Next" w:hAnsi="Avenir Next" w:cs="Arial"/>
          <w:color w:val="808080" w:themeColor="background1" w:themeShade="80"/>
          <w:sz w:val="22"/>
          <w:szCs w:val="22"/>
          <w:lang w:val="en-GB"/>
        </w:rPr>
        <w:t>This is commensurate with</w:t>
      </w:r>
      <w:r w:rsidR="00610D7B">
        <w:rPr>
          <w:rFonts w:ascii="Avenir Next" w:hAnsi="Avenir Next" w:cs="Arial"/>
          <w:color w:val="808080" w:themeColor="background1" w:themeShade="80"/>
          <w:sz w:val="22"/>
          <w:szCs w:val="22"/>
          <w:lang w:val="en-GB"/>
        </w:rPr>
        <w:t xml:space="preserve"> s426(5) of the </w:t>
      </w:r>
      <w:r w:rsidR="005F44A1">
        <w:rPr>
          <w:rFonts w:ascii="Avenir Next" w:hAnsi="Avenir Next" w:cs="Arial"/>
          <w:color w:val="808080" w:themeColor="background1" w:themeShade="80"/>
          <w:sz w:val="22"/>
          <w:szCs w:val="22"/>
          <w:lang w:val="en-GB"/>
        </w:rPr>
        <w:t>Insolvency</w:t>
      </w:r>
      <w:r w:rsidR="00610D7B">
        <w:rPr>
          <w:rFonts w:ascii="Avenir Next" w:hAnsi="Avenir Next" w:cs="Arial"/>
          <w:color w:val="808080" w:themeColor="background1" w:themeShade="80"/>
          <w:sz w:val="22"/>
          <w:szCs w:val="22"/>
          <w:lang w:val="en-GB"/>
        </w:rPr>
        <w:t xml:space="preserve"> Act</w:t>
      </w:r>
      <w:r w:rsidR="005F44A1">
        <w:rPr>
          <w:rFonts w:ascii="Avenir Next" w:hAnsi="Avenir Next" w:cs="Arial"/>
          <w:color w:val="808080" w:themeColor="background1" w:themeShade="80"/>
          <w:sz w:val="22"/>
          <w:szCs w:val="22"/>
          <w:lang w:val="en-GB"/>
        </w:rPr>
        <w:t xml:space="preserve"> 1986, which authorises the local court to apply either their own rules or those of the foreign jurisdiction.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AE5A50E" w:rsidR="00B64A85" w:rsidRPr="00297BDF" w:rsidRDefault="000D5A98" w:rsidP="0052732A">
    <w:pPr>
      <w:pStyle w:val="Footer"/>
      <w:ind w:right="360"/>
      <w:rPr>
        <w:rFonts w:ascii="Avenir Next" w:hAnsi="Avenir Next" w:cs="Arial"/>
        <w:sz w:val="22"/>
        <w:szCs w:val="22"/>
      </w:rPr>
    </w:pPr>
    <w:r w:rsidRPr="000D5A98">
      <w:rPr>
        <w:rFonts w:ascii="Avenir Next" w:hAnsi="Avenir Next" w:cs="Arial"/>
        <w:sz w:val="22"/>
        <w:szCs w:val="22"/>
      </w:rPr>
      <w:t>202223-958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09F5"/>
    <w:rsid w:val="00003D8F"/>
    <w:rsid w:val="0000420A"/>
    <w:rsid w:val="00004AE7"/>
    <w:rsid w:val="00007968"/>
    <w:rsid w:val="00010BA0"/>
    <w:rsid w:val="00013008"/>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409F"/>
    <w:rsid w:val="000B5B93"/>
    <w:rsid w:val="000B5FF1"/>
    <w:rsid w:val="000B609F"/>
    <w:rsid w:val="000B6B56"/>
    <w:rsid w:val="000D55A8"/>
    <w:rsid w:val="000D57BE"/>
    <w:rsid w:val="000D5A98"/>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40AD"/>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0C9A"/>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0F6F"/>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4273"/>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512"/>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350"/>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5A4A"/>
    <w:rsid w:val="005C6778"/>
    <w:rsid w:val="005D0511"/>
    <w:rsid w:val="005D3437"/>
    <w:rsid w:val="005D418F"/>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4A1"/>
    <w:rsid w:val="005F453F"/>
    <w:rsid w:val="005F4B31"/>
    <w:rsid w:val="005F5449"/>
    <w:rsid w:val="005F6059"/>
    <w:rsid w:val="005F6AC3"/>
    <w:rsid w:val="0060397D"/>
    <w:rsid w:val="00604723"/>
    <w:rsid w:val="00610388"/>
    <w:rsid w:val="00610D7B"/>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0094"/>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B6409"/>
    <w:rsid w:val="006C24CC"/>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5325"/>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5503"/>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396C"/>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765C4"/>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6E93"/>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489A"/>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B6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17A04"/>
    <w:rsid w:val="00A2274A"/>
    <w:rsid w:val="00A235B7"/>
    <w:rsid w:val="00A249AC"/>
    <w:rsid w:val="00A27450"/>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1A3D"/>
    <w:rsid w:val="00B12F13"/>
    <w:rsid w:val="00B14819"/>
    <w:rsid w:val="00B17AA9"/>
    <w:rsid w:val="00B221FF"/>
    <w:rsid w:val="00B2292D"/>
    <w:rsid w:val="00B26B31"/>
    <w:rsid w:val="00B30A70"/>
    <w:rsid w:val="00B32674"/>
    <w:rsid w:val="00B333FE"/>
    <w:rsid w:val="00B3503B"/>
    <w:rsid w:val="00B378FA"/>
    <w:rsid w:val="00B42352"/>
    <w:rsid w:val="00B46C3F"/>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2C7A"/>
    <w:rsid w:val="00B84CE9"/>
    <w:rsid w:val="00B86537"/>
    <w:rsid w:val="00B86DB1"/>
    <w:rsid w:val="00B87869"/>
    <w:rsid w:val="00B87A61"/>
    <w:rsid w:val="00B92D5B"/>
    <w:rsid w:val="00B9417E"/>
    <w:rsid w:val="00B948AE"/>
    <w:rsid w:val="00B97F37"/>
    <w:rsid w:val="00BA1648"/>
    <w:rsid w:val="00BA2637"/>
    <w:rsid w:val="00BA2919"/>
    <w:rsid w:val="00BA35FF"/>
    <w:rsid w:val="00BA7BC9"/>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58F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5D3B"/>
    <w:rsid w:val="00C963D3"/>
    <w:rsid w:val="00CA1802"/>
    <w:rsid w:val="00CA7FF6"/>
    <w:rsid w:val="00CB262C"/>
    <w:rsid w:val="00CB2CBB"/>
    <w:rsid w:val="00CB7283"/>
    <w:rsid w:val="00CB7CAC"/>
    <w:rsid w:val="00CC467D"/>
    <w:rsid w:val="00CC48DE"/>
    <w:rsid w:val="00CC5051"/>
    <w:rsid w:val="00CC5335"/>
    <w:rsid w:val="00CC579C"/>
    <w:rsid w:val="00CC5BA4"/>
    <w:rsid w:val="00CC5ECB"/>
    <w:rsid w:val="00CC7728"/>
    <w:rsid w:val="00CD0E2B"/>
    <w:rsid w:val="00CD0FFE"/>
    <w:rsid w:val="00CD34DB"/>
    <w:rsid w:val="00CD377A"/>
    <w:rsid w:val="00CD4795"/>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0DF1"/>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3C2"/>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4D73"/>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463A6"/>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4CAC"/>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97F9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Ronan ODoherty</cp:lastModifiedBy>
  <cp:revision>5</cp:revision>
  <cp:lastPrinted>2020-06-12T02:43:00Z</cp:lastPrinted>
  <dcterms:created xsi:type="dcterms:W3CDTF">2022-11-15T17:39:00Z</dcterms:created>
  <dcterms:modified xsi:type="dcterms:W3CDTF">2022-11-15T20:18:00Z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