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7B3209" w:rsidRDefault="002D2356" w:rsidP="008071D5">
      <w:pPr>
        <w:pStyle w:val="ListParagraph"/>
        <w:numPr>
          <w:ilvl w:val="0"/>
          <w:numId w:val="15"/>
        </w:numPr>
        <w:ind w:left="425" w:hanging="357"/>
        <w:jc w:val="both"/>
        <w:rPr>
          <w:rFonts w:ascii="Avenir Next" w:hAnsi="Avenir Next" w:cs="Arial"/>
          <w:sz w:val="22"/>
          <w:szCs w:val="22"/>
          <w:highlight w:val="yellow"/>
        </w:rPr>
      </w:pPr>
      <w:r w:rsidRPr="007B3209">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7B3209">
        <w:rPr>
          <w:rFonts w:ascii="Avenir Next" w:hAnsi="Avenir Next" w:cs="Arial"/>
          <w:sz w:val="22"/>
          <w:szCs w:val="22"/>
          <w:highlight w:val="yellow"/>
          <w:vertAlign w:val="superscript"/>
        </w:rPr>
        <w:t>th</w:t>
      </w:r>
      <w:r w:rsidRPr="007B3209">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7B3209" w:rsidRDefault="002D2356" w:rsidP="008071D5">
      <w:pPr>
        <w:pStyle w:val="ListParagraph"/>
        <w:numPr>
          <w:ilvl w:val="0"/>
          <w:numId w:val="16"/>
        </w:numPr>
        <w:ind w:left="426"/>
        <w:jc w:val="both"/>
        <w:rPr>
          <w:rFonts w:ascii="Avenir Next" w:hAnsi="Avenir Next" w:cs="Arial"/>
          <w:sz w:val="22"/>
          <w:szCs w:val="22"/>
          <w:highlight w:val="yellow"/>
        </w:rPr>
      </w:pPr>
      <w:r w:rsidRPr="007B3209">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6714B9" w:rsidRDefault="002D2356" w:rsidP="008071D5">
      <w:pPr>
        <w:pStyle w:val="ListParagraph"/>
        <w:numPr>
          <w:ilvl w:val="0"/>
          <w:numId w:val="17"/>
        </w:numPr>
        <w:ind w:left="426"/>
        <w:jc w:val="both"/>
        <w:rPr>
          <w:rFonts w:ascii="Avenir Next" w:hAnsi="Avenir Next" w:cs="Arial"/>
          <w:sz w:val="22"/>
          <w:szCs w:val="22"/>
          <w:highlight w:val="yellow"/>
        </w:rPr>
      </w:pPr>
      <w:r w:rsidRPr="006714B9">
        <w:rPr>
          <w:rFonts w:ascii="Avenir Next" w:hAnsi="Avenir Next" w:cs="Arial"/>
          <w:sz w:val="22"/>
          <w:szCs w:val="22"/>
          <w:highlight w:val="yellow"/>
        </w:rPr>
        <w:t xml:space="preserve">This statement is true since England has the unified 1986 Insolvency </w:t>
      </w:r>
      <w:proofErr w:type="gramStart"/>
      <w:r w:rsidRPr="006714B9">
        <w:rPr>
          <w:rFonts w:ascii="Avenir Next" w:hAnsi="Avenir Next" w:cs="Arial"/>
          <w:sz w:val="22"/>
          <w:szCs w:val="22"/>
          <w:highlight w:val="yellow"/>
        </w:rPr>
        <w:t>Act</w:t>
      </w:r>
      <w:proofErr w:type="gramEnd"/>
      <w:r w:rsidRPr="006714B9">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1631F" w:rsidRDefault="00466ED6" w:rsidP="008071D5">
      <w:pPr>
        <w:pStyle w:val="ListParagraph"/>
        <w:numPr>
          <w:ilvl w:val="0"/>
          <w:numId w:val="18"/>
        </w:numPr>
        <w:ind w:left="426"/>
        <w:jc w:val="both"/>
        <w:rPr>
          <w:rFonts w:ascii="Avenir Next" w:hAnsi="Avenir Next" w:cs="Arial"/>
          <w:sz w:val="22"/>
          <w:szCs w:val="22"/>
          <w:highlight w:val="yellow"/>
        </w:rPr>
      </w:pPr>
      <w:r w:rsidRPr="00F1631F">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B927A3" w:rsidRDefault="002D2356" w:rsidP="008071D5">
      <w:pPr>
        <w:pStyle w:val="ListParagraph"/>
        <w:numPr>
          <w:ilvl w:val="0"/>
          <w:numId w:val="19"/>
        </w:numPr>
        <w:ind w:left="425" w:hanging="357"/>
        <w:jc w:val="both"/>
        <w:rPr>
          <w:rFonts w:ascii="Avenir Next" w:hAnsi="Avenir Next" w:cs="Arial"/>
          <w:sz w:val="22"/>
          <w:szCs w:val="22"/>
          <w:highlight w:val="yellow"/>
        </w:rPr>
      </w:pPr>
      <w:r w:rsidRPr="00B927A3">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6241D5">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5037B9"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5037B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5037B9">
        <w:rPr>
          <w:rFonts w:ascii="Avenir Next" w:eastAsiaTheme="minorHAnsi" w:hAnsi="Avenir Next" w:cs="Arial"/>
          <w:sz w:val="22"/>
          <w:szCs w:val="22"/>
          <w:highlight w:val="yellow"/>
          <w:lang w:val="en-GB"/>
        </w:rPr>
        <w:t xml:space="preserve"> </w:t>
      </w:r>
      <w:r w:rsidRPr="005037B9">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5037B9">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D27439" w:rsidRDefault="00F5239B" w:rsidP="008071D5">
      <w:pPr>
        <w:pStyle w:val="ListParagraph"/>
        <w:numPr>
          <w:ilvl w:val="0"/>
          <w:numId w:val="23"/>
        </w:numPr>
        <w:ind w:left="426"/>
        <w:jc w:val="both"/>
        <w:rPr>
          <w:rFonts w:ascii="Avenir Next" w:hAnsi="Avenir Next" w:cs="Arial"/>
          <w:sz w:val="22"/>
          <w:szCs w:val="22"/>
          <w:highlight w:val="yellow"/>
        </w:rPr>
      </w:pPr>
      <w:r w:rsidRPr="00AB63DE">
        <w:rPr>
          <w:rFonts w:ascii="Avenir Next" w:hAnsi="Avenir Next" w:cs="Arial"/>
          <w:sz w:val="22"/>
          <w:szCs w:val="22"/>
        </w:rPr>
        <w:t>T</w:t>
      </w:r>
      <w:r w:rsidRPr="00D27439">
        <w:rPr>
          <w:rFonts w:ascii="Avenir Next" w:hAnsi="Avenir Next" w:cs="Arial"/>
          <w:sz w:val="22"/>
          <w:szCs w:val="22"/>
          <w:highlight w:val="yellow"/>
        </w:rPr>
        <w:t xml:space="preserve">his statement is true because </w:t>
      </w:r>
      <w:r w:rsidR="007B5180" w:rsidRPr="00D27439">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7131B1" w:rsidRDefault="009355DB" w:rsidP="008071D5">
      <w:pPr>
        <w:pStyle w:val="ListParagraph"/>
        <w:numPr>
          <w:ilvl w:val="0"/>
          <w:numId w:val="24"/>
        </w:numPr>
        <w:ind w:left="426"/>
        <w:jc w:val="both"/>
        <w:rPr>
          <w:rFonts w:ascii="Avenir Next" w:hAnsi="Avenir Next" w:cs="Arial"/>
          <w:sz w:val="22"/>
          <w:szCs w:val="22"/>
          <w:highlight w:val="yellow"/>
        </w:rPr>
      </w:pPr>
      <w:r w:rsidRPr="007131B1">
        <w:rPr>
          <w:rFonts w:ascii="Avenir Next" w:hAnsi="Avenir Next" w:cs="Arial"/>
          <w:sz w:val="22"/>
          <w:szCs w:val="22"/>
          <w:highlight w:val="yellow"/>
        </w:rPr>
        <w:t xml:space="preserve">This statement is true because </w:t>
      </w:r>
      <w:r w:rsidR="005C4FF2" w:rsidRPr="007131B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0B17CF2F" w14:textId="60412FF7" w:rsidR="0081547D" w:rsidRPr="00692852" w:rsidRDefault="00D668DF" w:rsidP="00D668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African jurisdictions, the law on insolvency tends to follow their colonial influences. Several states, including Nigeria, Kenya, Botswana, Zambia and eastern Africa’s Tanzania, tend to follow the English law tradition. On the other hand, Angola and Mozambique tend towards the civil law traditions based on the Portuguese influence. Countries in west Africa, such as </w:t>
      </w:r>
      <w:r w:rsidR="00E57FC9">
        <w:rPr>
          <w:rFonts w:ascii="Avenir Next" w:hAnsi="Avenir Next" w:cs="Arial"/>
          <w:color w:val="808080" w:themeColor="background1" w:themeShade="80"/>
          <w:sz w:val="22"/>
          <w:szCs w:val="22"/>
          <w:lang w:val="en-GB"/>
        </w:rPr>
        <w:t>Senegal and Mali</w:t>
      </w:r>
      <w:r>
        <w:rPr>
          <w:rFonts w:ascii="Avenir Next" w:hAnsi="Avenir Next" w:cs="Arial"/>
          <w:color w:val="808080" w:themeColor="background1" w:themeShade="80"/>
          <w:sz w:val="22"/>
          <w:szCs w:val="22"/>
          <w:lang w:val="en-GB"/>
        </w:rPr>
        <w:t xml:space="preserve">, follow the French civil </w:t>
      </w:r>
      <w:r>
        <w:rPr>
          <w:rFonts w:ascii="Avenir Next" w:hAnsi="Avenir Next" w:cs="Arial"/>
          <w:color w:val="808080" w:themeColor="background1" w:themeShade="80"/>
          <w:sz w:val="22"/>
          <w:szCs w:val="22"/>
          <w:lang w:val="en-GB"/>
        </w:rPr>
        <w:lastRenderedPageBreak/>
        <w:t>law system of insolvency.</w:t>
      </w:r>
      <w:r w:rsidR="00880B5F">
        <w:rPr>
          <w:rFonts w:ascii="Avenir Next" w:hAnsi="Avenir Next" w:cs="Arial"/>
          <w:color w:val="808080" w:themeColor="background1" w:themeShade="80"/>
          <w:sz w:val="22"/>
          <w:szCs w:val="22"/>
          <w:lang w:val="en-GB"/>
        </w:rPr>
        <w:t xml:space="preserve"> There are also states which follow a mixed legal system – this includes South Africa and Namibia, which have mixed legal systems such as Roman-Dutch law and English law.</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0B6CD5D7" w14:textId="34B64743" w:rsidR="00CA79F7" w:rsidRPr="006A2D86" w:rsidRDefault="00880B5F" w:rsidP="00AA5941">
      <w:pPr>
        <w:jc w:val="both"/>
        <w:rPr>
          <w:rFonts w:ascii="Avenir Next" w:hAnsi="Avenir Next" w:cs="Arial"/>
          <w:i/>
          <w:iCs/>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 xml:space="preserve">The </w:t>
      </w:r>
      <w:r w:rsidR="000022F4" w:rsidRPr="006A2D86">
        <w:rPr>
          <w:rFonts w:ascii="Avenir Next" w:hAnsi="Avenir Next" w:cs="Arial"/>
          <w:color w:val="808080" w:themeColor="background1" w:themeShade="80"/>
          <w:sz w:val="22"/>
          <w:szCs w:val="22"/>
          <w:lang w:val="en-GB"/>
        </w:rPr>
        <w:t>Asian Financial Crisis in 1997/8</w:t>
      </w:r>
      <w:r w:rsidRPr="006A2D86">
        <w:rPr>
          <w:rFonts w:ascii="Avenir Next" w:hAnsi="Avenir Next" w:cs="Arial"/>
          <w:color w:val="808080" w:themeColor="background1" w:themeShade="80"/>
          <w:sz w:val="22"/>
          <w:szCs w:val="22"/>
          <w:lang w:val="en-GB"/>
        </w:rPr>
        <w:t xml:space="preserve"> prompted several countries in East Asia to undertake reform. </w:t>
      </w:r>
      <w:r w:rsidR="000022F4" w:rsidRPr="006A2D86">
        <w:rPr>
          <w:rFonts w:ascii="Avenir Next" w:hAnsi="Avenir Next" w:cs="Arial"/>
          <w:color w:val="808080" w:themeColor="background1" w:themeShade="80"/>
          <w:sz w:val="22"/>
          <w:szCs w:val="22"/>
          <w:lang w:val="en-GB"/>
        </w:rPr>
        <w:t>This crisis started on</w:t>
      </w:r>
      <w:r w:rsidRPr="006A2D86">
        <w:rPr>
          <w:rFonts w:ascii="Avenir Next" w:hAnsi="Avenir Next" w:cs="Arial"/>
          <w:color w:val="808080" w:themeColor="background1" w:themeShade="80"/>
          <w:sz w:val="22"/>
          <w:szCs w:val="22"/>
          <w:lang w:val="en-GB"/>
        </w:rPr>
        <w:t xml:space="preserve"> 2 July 1997 when </w:t>
      </w:r>
      <w:r w:rsidR="000022F4" w:rsidRPr="006A2D86">
        <w:rPr>
          <w:rFonts w:ascii="Avenir Next" w:hAnsi="Avenir Next" w:cs="Arial"/>
          <w:color w:val="808080" w:themeColor="background1" w:themeShade="80"/>
          <w:sz w:val="22"/>
          <w:szCs w:val="22"/>
          <w:lang w:val="en-GB"/>
        </w:rPr>
        <w:t xml:space="preserve">Thailand </w:t>
      </w:r>
      <w:r w:rsidRPr="006A2D86">
        <w:rPr>
          <w:rFonts w:ascii="Avenir Next" w:hAnsi="Avenir Next" w:cs="Arial"/>
          <w:color w:val="808080" w:themeColor="background1" w:themeShade="80"/>
          <w:sz w:val="22"/>
          <w:szCs w:val="22"/>
          <w:lang w:val="en-GB"/>
        </w:rPr>
        <w:t>float</w:t>
      </w:r>
      <w:r w:rsidR="000022F4" w:rsidRPr="006A2D86">
        <w:rPr>
          <w:rFonts w:ascii="Avenir Next" w:hAnsi="Avenir Next" w:cs="Arial"/>
          <w:color w:val="808080" w:themeColor="background1" w:themeShade="80"/>
          <w:sz w:val="22"/>
          <w:szCs w:val="22"/>
          <w:lang w:val="en-GB"/>
        </w:rPr>
        <w:t>ed</w:t>
      </w:r>
      <w:r w:rsidRPr="006A2D86">
        <w:rPr>
          <w:rFonts w:ascii="Avenir Next" w:hAnsi="Avenir Next" w:cs="Arial"/>
          <w:color w:val="808080" w:themeColor="background1" w:themeShade="80"/>
          <w:sz w:val="22"/>
          <w:szCs w:val="22"/>
          <w:lang w:val="en-GB"/>
        </w:rPr>
        <w:t xml:space="preserve"> its baht </w:t>
      </w:r>
      <w:r w:rsidR="000022F4" w:rsidRPr="006A2D86">
        <w:rPr>
          <w:rFonts w:ascii="Avenir Next" w:hAnsi="Avenir Next" w:cs="Arial"/>
          <w:color w:val="808080" w:themeColor="background1" w:themeShade="80"/>
          <w:sz w:val="22"/>
          <w:szCs w:val="22"/>
          <w:lang w:val="en-GB"/>
        </w:rPr>
        <w:t>in order to alleviate pressures on its foreign debt.</w:t>
      </w:r>
      <w:r w:rsidRPr="006A2D86">
        <w:rPr>
          <w:rFonts w:ascii="Avenir Next" w:hAnsi="Avenir Next" w:cs="Arial"/>
          <w:color w:val="808080" w:themeColor="background1" w:themeShade="80"/>
          <w:sz w:val="22"/>
          <w:szCs w:val="22"/>
          <w:lang w:val="en-GB"/>
        </w:rPr>
        <w:t xml:space="preserve"> </w:t>
      </w:r>
      <w:r w:rsidR="000022F4" w:rsidRPr="006A2D86">
        <w:rPr>
          <w:rFonts w:ascii="Avenir Next" w:hAnsi="Avenir Next" w:cs="Arial"/>
          <w:color w:val="808080" w:themeColor="background1" w:themeShade="80"/>
          <w:sz w:val="22"/>
          <w:szCs w:val="22"/>
          <w:lang w:val="en-GB"/>
        </w:rPr>
        <w:t xml:space="preserve">Although this policy </w:t>
      </w:r>
      <w:r w:rsidRPr="006A2D86">
        <w:rPr>
          <w:rFonts w:ascii="Avenir Next" w:hAnsi="Avenir Next" w:cs="Arial"/>
          <w:color w:val="808080" w:themeColor="background1" w:themeShade="80"/>
          <w:sz w:val="22"/>
          <w:szCs w:val="22"/>
          <w:lang w:val="en-GB"/>
        </w:rPr>
        <w:t>was aimed at stimulating export revenues</w:t>
      </w:r>
      <w:r w:rsidR="000022F4" w:rsidRPr="006A2D86">
        <w:rPr>
          <w:rFonts w:ascii="Avenir Next" w:hAnsi="Avenir Next" w:cs="Arial"/>
          <w:color w:val="808080" w:themeColor="background1" w:themeShade="80"/>
          <w:sz w:val="22"/>
          <w:szCs w:val="22"/>
          <w:lang w:val="en-GB"/>
        </w:rPr>
        <w:t xml:space="preserve">, it did not perform such a function and instead </w:t>
      </w:r>
      <w:r w:rsidRPr="006A2D86">
        <w:rPr>
          <w:rFonts w:ascii="Avenir Next" w:hAnsi="Avenir Next" w:cs="Arial"/>
          <w:color w:val="808080" w:themeColor="background1" w:themeShade="80"/>
          <w:sz w:val="22"/>
          <w:szCs w:val="22"/>
          <w:lang w:val="en-GB"/>
        </w:rPr>
        <w:t>led to a contagion effect in other Asian countries</w:t>
      </w:r>
      <w:r w:rsidR="00974224" w:rsidRPr="006A2D86">
        <w:rPr>
          <w:rFonts w:ascii="Avenir Next" w:hAnsi="Avenir Next" w:cs="Arial"/>
          <w:color w:val="808080" w:themeColor="background1" w:themeShade="80"/>
          <w:sz w:val="22"/>
          <w:szCs w:val="22"/>
          <w:lang w:val="en-GB"/>
        </w:rPr>
        <w:t>.</w:t>
      </w:r>
      <w:r w:rsidRPr="006A2D86">
        <w:rPr>
          <w:rFonts w:ascii="Avenir Next" w:hAnsi="Avenir Next" w:cs="Arial"/>
          <w:color w:val="808080" w:themeColor="background1" w:themeShade="80"/>
          <w:sz w:val="22"/>
          <w:szCs w:val="22"/>
          <w:lang w:val="en-GB"/>
        </w:rPr>
        <w:t xml:space="preserve"> </w:t>
      </w:r>
      <w:r w:rsidR="00974224" w:rsidRPr="006A2D86">
        <w:rPr>
          <w:rFonts w:ascii="Avenir Next" w:hAnsi="Avenir Next" w:cs="Arial"/>
          <w:color w:val="808080" w:themeColor="background1" w:themeShade="80"/>
          <w:sz w:val="22"/>
          <w:szCs w:val="22"/>
          <w:lang w:val="en-GB"/>
        </w:rPr>
        <w:t xml:space="preserve">As a result, </w:t>
      </w:r>
      <w:r w:rsidRPr="006A2D86">
        <w:rPr>
          <w:rFonts w:ascii="Avenir Next" w:hAnsi="Avenir Next" w:cs="Arial"/>
          <w:color w:val="808080" w:themeColor="background1" w:themeShade="80"/>
          <w:sz w:val="22"/>
          <w:szCs w:val="22"/>
          <w:lang w:val="en-GB"/>
        </w:rPr>
        <w:t xml:space="preserve">foreign investors lost confidence in </w:t>
      </w:r>
      <w:r w:rsidR="000022F4" w:rsidRPr="006A2D86">
        <w:rPr>
          <w:rFonts w:ascii="Avenir Next" w:hAnsi="Avenir Next" w:cs="Arial"/>
          <w:color w:val="808080" w:themeColor="background1" w:themeShade="80"/>
          <w:sz w:val="22"/>
          <w:szCs w:val="22"/>
          <w:lang w:val="en-GB"/>
        </w:rPr>
        <w:t xml:space="preserve">the </w:t>
      </w:r>
      <w:r w:rsidRPr="006A2D86">
        <w:rPr>
          <w:rFonts w:ascii="Avenir Next" w:hAnsi="Avenir Next" w:cs="Arial"/>
          <w:color w:val="808080" w:themeColor="background1" w:themeShade="80"/>
          <w:sz w:val="22"/>
          <w:szCs w:val="22"/>
          <w:lang w:val="en-GB"/>
        </w:rPr>
        <w:t xml:space="preserve">Asian markets </w:t>
      </w:r>
      <w:r w:rsidR="000022F4" w:rsidRPr="006A2D86">
        <w:rPr>
          <w:rFonts w:ascii="Avenir Next" w:hAnsi="Avenir Next" w:cs="Arial"/>
          <w:color w:val="808080" w:themeColor="background1" w:themeShade="80"/>
          <w:sz w:val="22"/>
          <w:szCs w:val="22"/>
          <w:lang w:val="en-GB"/>
        </w:rPr>
        <w:t>and withdrew from their currency and asset markets.</w:t>
      </w:r>
      <w:r w:rsidR="00974224" w:rsidRPr="006A2D86">
        <w:rPr>
          <w:rFonts w:ascii="Avenir Next" w:hAnsi="Avenir Next" w:cs="Arial"/>
          <w:color w:val="808080" w:themeColor="background1" w:themeShade="80"/>
          <w:sz w:val="22"/>
          <w:szCs w:val="22"/>
          <w:lang w:val="en-GB"/>
        </w:rPr>
        <w:t xml:space="preserve"> Two examples of reform initiatives </w:t>
      </w:r>
      <w:r w:rsidR="00235873" w:rsidRPr="006A2D86">
        <w:rPr>
          <w:rFonts w:ascii="Avenir Next" w:hAnsi="Avenir Next" w:cs="Arial"/>
          <w:color w:val="808080" w:themeColor="background1" w:themeShade="80"/>
          <w:sz w:val="22"/>
          <w:szCs w:val="22"/>
          <w:lang w:val="en-GB"/>
        </w:rPr>
        <w:t>are Indonesia and Thailand.</w:t>
      </w:r>
    </w:p>
    <w:p w14:paraId="4546FA95" w14:textId="77777777" w:rsidR="00235873" w:rsidRPr="006A2D86" w:rsidRDefault="00235873" w:rsidP="00AB63DE">
      <w:pPr>
        <w:ind w:left="720" w:hanging="720"/>
        <w:jc w:val="both"/>
        <w:rPr>
          <w:rFonts w:ascii="Avenir Next" w:hAnsi="Avenir Next" w:cs="Arial"/>
          <w:color w:val="808080" w:themeColor="background1" w:themeShade="80"/>
          <w:sz w:val="22"/>
          <w:szCs w:val="22"/>
          <w:lang w:val="en-GB"/>
        </w:rPr>
      </w:pPr>
    </w:p>
    <w:p w14:paraId="7CE403C9" w14:textId="5272377F" w:rsidR="00AA5941" w:rsidRPr="006A2D86" w:rsidRDefault="00AA5941" w:rsidP="00AA5941">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Following the financial fallout in Thailand, the government enacted the Establishment of Bankruptcy Court and Procedure for Bankruptcy Cases Act (the “Act”) in 1999. Under the Act, bankruptcy cases must be heard by specialist bankruptcy courts. Previously, bankruptcy cases could be heard by any civil court. More importantly, the amendment to the Bankruptcy Act by the addition of Chapter 3/1 on corporate reorganisation which closely resembled the United States’ Bankruptcy Code, Chapter 11. This availed companies of the option to pursue restructuring with an automatic moratorium which provides the debtor protection from actions commenced by the creditors.</w:t>
      </w:r>
    </w:p>
    <w:p w14:paraId="02C7D82F" w14:textId="77777777" w:rsidR="00AA5941" w:rsidRPr="006A2D86" w:rsidRDefault="00AA5941" w:rsidP="00AA5941">
      <w:pPr>
        <w:jc w:val="both"/>
        <w:rPr>
          <w:rFonts w:ascii="Avenir Next" w:hAnsi="Avenir Next" w:cs="Arial"/>
          <w:color w:val="808080" w:themeColor="background1" w:themeShade="80"/>
          <w:sz w:val="22"/>
          <w:szCs w:val="22"/>
          <w:lang w:val="en-GB"/>
        </w:rPr>
      </w:pPr>
    </w:p>
    <w:p w14:paraId="74FBCB5E" w14:textId="47BD3CC5" w:rsidR="00C90DBD" w:rsidRPr="006A2D86" w:rsidRDefault="004A13A9" w:rsidP="00AA5941">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 xml:space="preserve">For Indonesia, the government introduced </w:t>
      </w:r>
      <w:r w:rsidR="009D259B" w:rsidRPr="006A2D86">
        <w:rPr>
          <w:rFonts w:ascii="Avenir Next" w:hAnsi="Avenir Next" w:cs="Arial"/>
          <w:color w:val="808080" w:themeColor="background1" w:themeShade="80"/>
          <w:sz w:val="22"/>
          <w:szCs w:val="22"/>
          <w:lang w:val="en-GB"/>
        </w:rPr>
        <w:t xml:space="preserve">amendments to </w:t>
      </w:r>
      <w:r w:rsidR="00235873" w:rsidRPr="006A2D86">
        <w:rPr>
          <w:rFonts w:ascii="Avenir Next" w:hAnsi="Avenir Next" w:cs="Arial"/>
          <w:color w:val="808080" w:themeColor="background1" w:themeShade="80"/>
          <w:sz w:val="22"/>
          <w:szCs w:val="22"/>
          <w:lang w:val="en-GB"/>
        </w:rPr>
        <w:t>the Bankruptcy Act at the behest of the International Monetary Fund in 1998. These amendments facilitated a mechanism with the opportunity for an insolvent debtor to discharge his inability to repay debt by allowing the creditors to recover their loans through asset seizure. In the context of the Asian Financial Crisis, the insolvent debtor was usually a domestic company, and the creditor, a foreign institution.</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7034F7BB" w14:textId="7971A67A" w:rsidR="00AB63DE" w:rsidRPr="006A2D86" w:rsidRDefault="00AE326D" w:rsidP="00692852">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In North America, the American Law Institute</w:t>
      </w:r>
      <w:r w:rsidR="00AA5941" w:rsidRPr="006A2D86">
        <w:rPr>
          <w:rFonts w:ascii="Avenir Next" w:hAnsi="Avenir Next" w:cs="Arial"/>
          <w:color w:val="808080" w:themeColor="background1" w:themeShade="80"/>
          <w:sz w:val="22"/>
          <w:szCs w:val="22"/>
          <w:lang w:val="en-GB"/>
        </w:rPr>
        <w:t xml:space="preserve"> (“ALI”)</w:t>
      </w:r>
      <w:r w:rsidRPr="006A2D86">
        <w:rPr>
          <w:rFonts w:ascii="Avenir Next" w:hAnsi="Avenir Next" w:cs="Arial"/>
          <w:color w:val="808080" w:themeColor="background1" w:themeShade="80"/>
          <w:sz w:val="22"/>
          <w:szCs w:val="22"/>
          <w:lang w:val="en-GB"/>
        </w:rPr>
        <w:t xml:space="preserve"> Transnational Insolvency Project developed the ALI NAFTA Guidelines Applicable to Court-to-Court Communications in Cross-Border Cases in 2000 to facilitate the harmonisation and collaboration in dealing with international insolvency cases </w:t>
      </w:r>
      <w:r w:rsidR="009E73FF" w:rsidRPr="006A2D86">
        <w:rPr>
          <w:rFonts w:ascii="Avenir Next" w:hAnsi="Avenir Next" w:cs="Arial"/>
          <w:color w:val="808080" w:themeColor="background1" w:themeShade="80"/>
          <w:sz w:val="22"/>
          <w:szCs w:val="22"/>
          <w:lang w:val="en-GB"/>
        </w:rPr>
        <w:t>between members of the North American Free Trade Agreement</w:t>
      </w:r>
      <w:r w:rsidR="00AA5941" w:rsidRPr="006A2D86">
        <w:rPr>
          <w:rFonts w:ascii="Avenir Next" w:hAnsi="Avenir Next" w:cs="Arial"/>
          <w:color w:val="808080" w:themeColor="background1" w:themeShade="80"/>
          <w:sz w:val="22"/>
          <w:szCs w:val="22"/>
          <w:lang w:val="en-GB"/>
        </w:rPr>
        <w:t xml:space="preserve"> (“NAFTA”)</w:t>
      </w:r>
      <w:r w:rsidR="009E73FF" w:rsidRPr="006A2D86">
        <w:rPr>
          <w:rFonts w:ascii="Avenir Next" w:hAnsi="Avenir Next" w:cs="Arial"/>
          <w:color w:val="808080" w:themeColor="background1" w:themeShade="80"/>
          <w:sz w:val="22"/>
          <w:szCs w:val="22"/>
          <w:lang w:val="en-GB"/>
        </w:rPr>
        <w:t xml:space="preserve">, such as </w:t>
      </w:r>
      <w:r w:rsidRPr="006A2D86">
        <w:rPr>
          <w:rFonts w:ascii="Avenir Next" w:hAnsi="Avenir Next" w:cs="Arial"/>
          <w:color w:val="808080" w:themeColor="background1" w:themeShade="80"/>
          <w:sz w:val="22"/>
          <w:szCs w:val="22"/>
          <w:lang w:val="en-GB"/>
        </w:rPr>
        <w:t xml:space="preserve">the United States, Canada and Mexico. </w:t>
      </w:r>
      <w:r w:rsidR="00AA5941" w:rsidRPr="006A2D86">
        <w:rPr>
          <w:rFonts w:ascii="Avenir Next" w:hAnsi="Avenir Next" w:cs="Arial"/>
          <w:color w:val="808080" w:themeColor="background1" w:themeShade="80"/>
          <w:sz w:val="22"/>
          <w:szCs w:val="22"/>
          <w:lang w:val="en-GB"/>
        </w:rPr>
        <w:t>The</w:t>
      </w:r>
      <w:r w:rsidRPr="006A2D86">
        <w:rPr>
          <w:rFonts w:ascii="Avenir Next" w:hAnsi="Avenir Next" w:cs="Arial"/>
          <w:color w:val="808080" w:themeColor="background1" w:themeShade="80"/>
          <w:sz w:val="22"/>
          <w:szCs w:val="22"/>
          <w:lang w:val="en-GB"/>
        </w:rPr>
        <w:t xml:space="preserve"> effort was successful</w:t>
      </w:r>
      <w:r w:rsidR="00F37098" w:rsidRPr="006A2D86">
        <w:rPr>
          <w:rFonts w:ascii="Avenir Next" w:hAnsi="Avenir Next" w:cs="Arial"/>
          <w:color w:val="808080" w:themeColor="background1" w:themeShade="80"/>
          <w:sz w:val="22"/>
          <w:szCs w:val="22"/>
          <w:lang w:val="en-GB"/>
        </w:rPr>
        <w:t xml:space="preserve"> in providing harmonisation between the NAFTA states. It was so successful that this was</w:t>
      </w:r>
      <w:r w:rsidRPr="006A2D86">
        <w:rPr>
          <w:rFonts w:ascii="Avenir Next" w:hAnsi="Avenir Next" w:cs="Arial"/>
          <w:color w:val="808080" w:themeColor="background1" w:themeShade="80"/>
          <w:sz w:val="22"/>
          <w:szCs w:val="22"/>
          <w:lang w:val="en-GB"/>
        </w:rPr>
        <w:t xml:space="preserve"> brought on </w:t>
      </w:r>
      <w:r w:rsidR="00AA5941" w:rsidRPr="006A2D86">
        <w:rPr>
          <w:rFonts w:ascii="Avenir Next" w:hAnsi="Avenir Next" w:cs="Arial"/>
          <w:color w:val="808080" w:themeColor="background1" w:themeShade="80"/>
          <w:sz w:val="22"/>
          <w:szCs w:val="22"/>
          <w:lang w:val="en-GB"/>
        </w:rPr>
        <w:t>at a global scale</w:t>
      </w:r>
      <w:r w:rsidRPr="006A2D86">
        <w:rPr>
          <w:rFonts w:ascii="Avenir Next" w:hAnsi="Avenir Next" w:cs="Arial"/>
          <w:color w:val="808080" w:themeColor="background1" w:themeShade="80"/>
          <w:sz w:val="22"/>
          <w:szCs w:val="22"/>
          <w:lang w:val="en-GB"/>
        </w:rPr>
        <w:t xml:space="preserve"> in the ALI-III Global Principles for Cooperation in International Insolvency Cases and Global Guidelines Applicable to Court-to-Court Communication in Cross-Border Cases in 2012. </w:t>
      </w:r>
      <w:r w:rsidR="00F37098" w:rsidRPr="006A2D86">
        <w:rPr>
          <w:rFonts w:ascii="Avenir Next" w:hAnsi="Avenir Next" w:cs="Arial"/>
          <w:color w:val="808080" w:themeColor="background1" w:themeShade="80"/>
          <w:sz w:val="22"/>
          <w:szCs w:val="22"/>
          <w:lang w:val="en-GB"/>
        </w:rPr>
        <w:t>Further, t</w:t>
      </w:r>
      <w:r w:rsidR="009E73FF" w:rsidRPr="006A2D86">
        <w:rPr>
          <w:rFonts w:ascii="Avenir Next" w:hAnsi="Avenir Next" w:cs="Arial"/>
          <w:color w:val="808080" w:themeColor="background1" w:themeShade="80"/>
          <w:sz w:val="22"/>
          <w:szCs w:val="22"/>
          <w:lang w:val="en-GB"/>
        </w:rPr>
        <w:t>he Principles of Cooperation among the NAFTA countries was rolled out as guiding principles which focus on corporate insolvency – these principles included general principles of cooperation and recognition, as well as procedural principles</w:t>
      </w:r>
      <w:r w:rsidR="00F37098" w:rsidRPr="006A2D86">
        <w:rPr>
          <w:rFonts w:ascii="Avenir Next" w:hAnsi="Avenir Next" w:cs="Arial"/>
          <w:color w:val="808080" w:themeColor="background1" w:themeShade="80"/>
          <w:sz w:val="22"/>
          <w:szCs w:val="22"/>
          <w:lang w:val="en-GB"/>
        </w:rPr>
        <w:t xml:space="preserve"> – which proved to be very helpful in coordinating cross-border corporate restructuring.</w:t>
      </w:r>
      <w:r w:rsidR="009E73FF" w:rsidRPr="006A2D86">
        <w:rPr>
          <w:rFonts w:ascii="Avenir Next" w:hAnsi="Avenir Next" w:cs="Arial"/>
          <w:color w:val="808080" w:themeColor="background1" w:themeShade="80"/>
          <w:sz w:val="22"/>
          <w:szCs w:val="22"/>
          <w:lang w:val="en-GB"/>
        </w:rPr>
        <w:t xml:space="preserve"> </w:t>
      </w:r>
      <w:r w:rsidR="00F37098" w:rsidRPr="006A2D86">
        <w:rPr>
          <w:rFonts w:ascii="Avenir Next" w:hAnsi="Avenir Next" w:cs="Arial"/>
          <w:color w:val="808080" w:themeColor="background1" w:themeShade="80"/>
          <w:sz w:val="22"/>
          <w:szCs w:val="22"/>
          <w:lang w:val="en-GB"/>
        </w:rPr>
        <w:t>However, a</w:t>
      </w:r>
      <w:r w:rsidR="00AA5941" w:rsidRPr="006A2D86">
        <w:rPr>
          <w:rFonts w:ascii="Avenir Next" w:hAnsi="Avenir Next" w:cs="Arial"/>
          <w:color w:val="808080" w:themeColor="background1" w:themeShade="80"/>
          <w:sz w:val="22"/>
          <w:szCs w:val="22"/>
          <w:lang w:val="en-GB"/>
        </w:rPr>
        <w:t xml:space="preserve"> short</w:t>
      </w:r>
      <w:r w:rsidR="00F37098" w:rsidRPr="006A2D86">
        <w:rPr>
          <w:rFonts w:ascii="Avenir Next" w:hAnsi="Avenir Next" w:cs="Arial"/>
          <w:color w:val="808080" w:themeColor="background1" w:themeShade="80"/>
          <w:sz w:val="22"/>
          <w:szCs w:val="22"/>
          <w:lang w:val="en-GB"/>
        </w:rPr>
        <w:t>coming</w:t>
      </w:r>
      <w:r w:rsidR="00AA5941" w:rsidRPr="006A2D86">
        <w:rPr>
          <w:rFonts w:ascii="Avenir Next" w:hAnsi="Avenir Next" w:cs="Arial"/>
          <w:color w:val="808080" w:themeColor="background1" w:themeShade="80"/>
          <w:sz w:val="22"/>
          <w:szCs w:val="22"/>
          <w:lang w:val="en-GB"/>
        </w:rPr>
        <w:t xml:space="preserve"> with the Principles of Cooperation is the absence of standardised principles of professional and ethical standards of international insolvency office holders. As there is increased harmonisation in other areas of insolvency law, it </w:t>
      </w:r>
      <w:r w:rsidR="00F37098" w:rsidRPr="006A2D86">
        <w:rPr>
          <w:rFonts w:ascii="Avenir Next" w:hAnsi="Avenir Next" w:cs="Arial"/>
          <w:color w:val="808080" w:themeColor="background1" w:themeShade="80"/>
          <w:sz w:val="22"/>
          <w:szCs w:val="22"/>
          <w:lang w:val="en-GB"/>
        </w:rPr>
        <w:t>may</w:t>
      </w:r>
      <w:r w:rsidR="00AA5941" w:rsidRPr="006A2D86">
        <w:rPr>
          <w:rFonts w:ascii="Avenir Next" w:hAnsi="Avenir Next" w:cs="Arial"/>
          <w:color w:val="808080" w:themeColor="background1" w:themeShade="80"/>
          <w:sz w:val="22"/>
          <w:szCs w:val="22"/>
          <w:lang w:val="en-GB"/>
        </w:rPr>
        <w:t xml:space="preserve"> be prudent for professional and ethical standards of the industry to be coordinated to maintai</w:t>
      </w:r>
      <w:r w:rsidR="00F37098" w:rsidRPr="006A2D86">
        <w:rPr>
          <w:rFonts w:ascii="Avenir Next" w:hAnsi="Avenir Next" w:cs="Arial"/>
          <w:color w:val="808080" w:themeColor="background1" w:themeShade="80"/>
          <w:sz w:val="22"/>
          <w:szCs w:val="22"/>
          <w:lang w:val="en-GB"/>
        </w:rPr>
        <w:t xml:space="preserve">n the quality and consistency of insolvency law </w:t>
      </w:r>
      <w:r w:rsidR="00AA5941" w:rsidRPr="006A2D86">
        <w:rPr>
          <w:rFonts w:ascii="Avenir Next" w:hAnsi="Avenir Next" w:cs="Arial"/>
          <w:color w:val="808080" w:themeColor="background1" w:themeShade="80"/>
          <w:sz w:val="22"/>
          <w:szCs w:val="22"/>
          <w:lang w:val="en-GB"/>
        </w:rPr>
        <w:t xml:space="preserve">in the </w:t>
      </w:r>
      <w:r w:rsidR="00F37098" w:rsidRPr="006A2D86">
        <w:rPr>
          <w:rFonts w:ascii="Avenir Next" w:hAnsi="Avenir Next" w:cs="Arial"/>
          <w:color w:val="808080" w:themeColor="background1" w:themeShade="80"/>
          <w:sz w:val="22"/>
          <w:szCs w:val="22"/>
          <w:lang w:val="en-GB"/>
        </w:rPr>
        <w:t>region.</w:t>
      </w:r>
    </w:p>
    <w:p w14:paraId="49984A27" w14:textId="726189AA" w:rsidR="00AB63DE" w:rsidRPr="006A2D86" w:rsidRDefault="00AB63DE" w:rsidP="00692852">
      <w:pPr>
        <w:jc w:val="both"/>
        <w:rPr>
          <w:rFonts w:ascii="Avenir Next" w:hAnsi="Avenir Next" w:cs="Arial"/>
          <w:color w:val="808080" w:themeColor="background1" w:themeShade="80"/>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369698D9" w:rsidR="00AB63DE" w:rsidRPr="006A2D86" w:rsidRDefault="00F14F98" w:rsidP="00B024FE">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 xml:space="preserve">Voidable dispositions include conveyancing property at undervalue or providing unfair preferences in dealing with creditors. The former situation worsens the circumstances the insolvent debtor is in, while the latter scenario causes benefit to accrue to preferred creditors over the rest of the creditor pool. </w:t>
      </w:r>
    </w:p>
    <w:p w14:paraId="4A7292A0" w14:textId="286FDD24" w:rsidR="00F14F98" w:rsidRPr="006A2D86" w:rsidRDefault="00F14F98" w:rsidP="00AB63DE">
      <w:pPr>
        <w:ind w:left="720" w:hanging="720"/>
        <w:jc w:val="both"/>
        <w:rPr>
          <w:rFonts w:ascii="Avenir Next" w:hAnsi="Avenir Next" w:cs="Arial"/>
          <w:color w:val="808080" w:themeColor="background1" w:themeShade="80"/>
          <w:sz w:val="22"/>
          <w:szCs w:val="22"/>
          <w:lang w:val="en-GB"/>
        </w:rPr>
      </w:pPr>
    </w:p>
    <w:p w14:paraId="66837FD3" w14:textId="5F9B8D33" w:rsidR="00F14F98" w:rsidRPr="006A2D86" w:rsidRDefault="00F14F98" w:rsidP="00C013D3">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 xml:space="preserve">In the English law, the </w:t>
      </w:r>
      <w:r w:rsidR="00BE724F" w:rsidRPr="006A2D86">
        <w:rPr>
          <w:rFonts w:ascii="Avenir Next" w:hAnsi="Avenir Next" w:cs="Arial"/>
          <w:color w:val="808080" w:themeColor="background1" w:themeShade="80"/>
          <w:sz w:val="22"/>
          <w:szCs w:val="22"/>
          <w:lang w:val="en-GB"/>
        </w:rPr>
        <w:t xml:space="preserve">strongest </w:t>
      </w:r>
      <w:r w:rsidRPr="006A2D86">
        <w:rPr>
          <w:rFonts w:ascii="Avenir Next" w:hAnsi="Avenir Next" w:cs="Arial"/>
          <w:color w:val="808080" w:themeColor="background1" w:themeShade="80"/>
          <w:sz w:val="22"/>
          <w:szCs w:val="22"/>
          <w:lang w:val="en-GB"/>
        </w:rPr>
        <w:t xml:space="preserve">historical </w:t>
      </w:r>
      <w:r w:rsidR="00BE724F" w:rsidRPr="006A2D86">
        <w:rPr>
          <w:rFonts w:ascii="Avenir Next" w:hAnsi="Avenir Next" w:cs="Arial"/>
          <w:color w:val="808080" w:themeColor="background1" w:themeShade="80"/>
          <w:sz w:val="22"/>
          <w:szCs w:val="22"/>
          <w:lang w:val="en-GB"/>
        </w:rPr>
        <w:t>influence</w:t>
      </w:r>
      <w:r w:rsidRPr="006A2D86">
        <w:rPr>
          <w:rFonts w:ascii="Avenir Next" w:hAnsi="Avenir Next" w:cs="Arial"/>
          <w:color w:val="808080" w:themeColor="background1" w:themeShade="80"/>
          <w:sz w:val="22"/>
          <w:szCs w:val="22"/>
          <w:lang w:val="en-GB"/>
        </w:rPr>
        <w:t xml:space="preserve"> lies in the Act</w:t>
      </w:r>
      <w:r w:rsidR="00B024FE" w:rsidRPr="006A2D86">
        <w:rPr>
          <w:rFonts w:ascii="Avenir Next" w:hAnsi="Avenir Next" w:cs="Arial"/>
          <w:color w:val="808080" w:themeColor="background1" w:themeShade="80"/>
          <w:sz w:val="22"/>
          <w:szCs w:val="22"/>
          <w:lang w:val="en-GB"/>
        </w:rPr>
        <w:t xml:space="preserve"> (or Statute)</w:t>
      </w:r>
      <w:r w:rsidRPr="006A2D86">
        <w:rPr>
          <w:rFonts w:ascii="Avenir Next" w:hAnsi="Avenir Next" w:cs="Arial"/>
          <w:color w:val="808080" w:themeColor="background1" w:themeShade="80"/>
          <w:sz w:val="22"/>
          <w:szCs w:val="22"/>
          <w:lang w:val="en-GB"/>
        </w:rPr>
        <w:t xml:space="preserve"> of Elizabeth 1570</w:t>
      </w:r>
      <w:r w:rsidR="00B024FE" w:rsidRPr="006A2D86">
        <w:rPr>
          <w:rFonts w:ascii="Avenir Next" w:hAnsi="Avenir Next" w:cs="Arial"/>
          <w:color w:val="808080" w:themeColor="background1" w:themeShade="80"/>
          <w:sz w:val="22"/>
          <w:szCs w:val="22"/>
          <w:lang w:val="en-GB"/>
        </w:rPr>
        <w:t xml:space="preserve">. The policy intention behind the Act may be inferred from the language employed in the Act itself – this included describing debtors as </w:t>
      </w:r>
      <w:r w:rsidR="005F77C8" w:rsidRPr="006A2D86">
        <w:rPr>
          <w:rFonts w:ascii="Avenir Next" w:hAnsi="Avenir Next" w:cs="Arial"/>
          <w:color w:val="808080" w:themeColor="background1" w:themeShade="80"/>
          <w:sz w:val="22"/>
          <w:szCs w:val="22"/>
          <w:lang w:val="en-GB"/>
        </w:rPr>
        <w:t>an “</w:t>
      </w:r>
      <w:r w:rsidR="005F77C8" w:rsidRPr="006A2D86">
        <w:rPr>
          <w:rFonts w:ascii="Avenir Next" w:hAnsi="Avenir Next" w:cs="Arial"/>
          <w:i/>
          <w:iCs/>
          <w:color w:val="808080" w:themeColor="background1" w:themeShade="80"/>
          <w:sz w:val="22"/>
          <w:szCs w:val="22"/>
          <w:lang w:val="en-GB"/>
        </w:rPr>
        <w:t>fraudulent</w:t>
      </w:r>
      <w:r w:rsidR="005F77C8" w:rsidRPr="006A2D86">
        <w:rPr>
          <w:rFonts w:ascii="Avenir Next" w:hAnsi="Avenir Next" w:cs="Arial"/>
          <w:color w:val="808080" w:themeColor="background1" w:themeShade="80"/>
          <w:sz w:val="22"/>
          <w:szCs w:val="22"/>
          <w:lang w:val="en-GB"/>
        </w:rPr>
        <w:t xml:space="preserve"> offender(s)” [emphasis added] who require “repression”, and the creditors’ interests were heavily guarded by a commission of “wise honest and discreet persons” who would extract any remaining value or assets from the debtor for the fulfilment of the debt owed. The Act sanctioned the committal of any act of bankruptcy by the trader (</w:t>
      </w:r>
      <w:proofErr w:type="spellStart"/>
      <w:r w:rsidR="005F77C8" w:rsidRPr="006A2D86">
        <w:rPr>
          <w:rFonts w:ascii="Avenir Next" w:hAnsi="Avenir Next" w:cs="Arial"/>
          <w:i/>
          <w:iCs/>
          <w:color w:val="808080" w:themeColor="background1" w:themeShade="80"/>
          <w:sz w:val="22"/>
          <w:szCs w:val="22"/>
          <w:lang w:val="en-GB"/>
        </w:rPr>
        <w:t>ie</w:t>
      </w:r>
      <w:proofErr w:type="spellEnd"/>
      <w:r w:rsidR="005F77C8" w:rsidRPr="006A2D86">
        <w:rPr>
          <w:rFonts w:ascii="Avenir Next" w:hAnsi="Avenir Next" w:cs="Arial"/>
          <w:color w:val="808080" w:themeColor="background1" w:themeShade="80"/>
          <w:sz w:val="22"/>
          <w:szCs w:val="22"/>
          <w:lang w:val="en-GB"/>
        </w:rPr>
        <w:t xml:space="preserve">, akin to the </w:t>
      </w:r>
      <w:proofErr w:type="gramStart"/>
      <w:r w:rsidR="005F77C8" w:rsidRPr="006A2D86">
        <w:rPr>
          <w:rFonts w:ascii="Avenir Next" w:hAnsi="Avenir Next" w:cs="Arial"/>
          <w:color w:val="808080" w:themeColor="background1" w:themeShade="80"/>
          <w:sz w:val="22"/>
          <w:szCs w:val="22"/>
          <w:lang w:val="en-GB"/>
        </w:rPr>
        <w:t>modern day</w:t>
      </w:r>
      <w:proofErr w:type="gramEnd"/>
      <w:r w:rsidR="005F77C8" w:rsidRPr="006A2D86">
        <w:rPr>
          <w:rFonts w:ascii="Avenir Next" w:hAnsi="Avenir Next" w:cs="Arial"/>
          <w:color w:val="808080" w:themeColor="background1" w:themeShade="80"/>
          <w:sz w:val="22"/>
          <w:szCs w:val="22"/>
          <w:lang w:val="en-GB"/>
        </w:rPr>
        <w:t xml:space="preserve"> company), even if this invalidated all his subsequent dealings with innocent parties. This manifests itself in s 423 of the English Insolvency Act 1986, a provision that renders voidable transactions made with the intent to defraud creditors, even if the assets have been transferred abroad due to the transaction (</w:t>
      </w:r>
      <w:proofErr w:type="spellStart"/>
      <w:r w:rsidR="00292B2B" w:rsidRPr="006A2D86">
        <w:rPr>
          <w:rFonts w:ascii="Avenir Next" w:hAnsi="Avenir Next" w:cs="Arial"/>
          <w:i/>
          <w:iCs/>
          <w:color w:val="808080" w:themeColor="background1" w:themeShade="80"/>
          <w:sz w:val="22"/>
          <w:szCs w:val="22"/>
          <w:lang w:val="en-GB"/>
        </w:rPr>
        <w:t>Orexim</w:t>
      </w:r>
      <w:proofErr w:type="spellEnd"/>
      <w:r w:rsidR="00292B2B" w:rsidRPr="006A2D86">
        <w:rPr>
          <w:rFonts w:ascii="Avenir Next" w:hAnsi="Avenir Next" w:cs="Arial"/>
          <w:i/>
          <w:iCs/>
          <w:color w:val="808080" w:themeColor="background1" w:themeShade="80"/>
          <w:sz w:val="22"/>
          <w:szCs w:val="22"/>
          <w:lang w:val="en-GB"/>
        </w:rPr>
        <w:t xml:space="preserve"> v </w:t>
      </w:r>
      <w:proofErr w:type="spellStart"/>
      <w:r w:rsidR="00292B2B" w:rsidRPr="006A2D86">
        <w:rPr>
          <w:rFonts w:ascii="Avenir Next" w:hAnsi="Avenir Next" w:cs="Arial"/>
          <w:i/>
          <w:iCs/>
          <w:color w:val="808080" w:themeColor="background1" w:themeShade="80"/>
          <w:sz w:val="22"/>
          <w:szCs w:val="22"/>
          <w:lang w:val="en-GB"/>
        </w:rPr>
        <w:t>Mahavar</w:t>
      </w:r>
      <w:proofErr w:type="spellEnd"/>
      <w:r w:rsidR="00292B2B" w:rsidRPr="006A2D86">
        <w:rPr>
          <w:rFonts w:ascii="Avenir Next" w:hAnsi="Avenir Next" w:cs="Arial"/>
          <w:i/>
          <w:iCs/>
          <w:color w:val="808080" w:themeColor="background1" w:themeShade="80"/>
          <w:sz w:val="22"/>
          <w:szCs w:val="22"/>
          <w:lang w:val="en-GB"/>
        </w:rPr>
        <w:t xml:space="preserve"> Port and </w:t>
      </w:r>
      <w:proofErr w:type="spellStart"/>
      <w:r w:rsidR="00292B2B" w:rsidRPr="006A2D86">
        <w:rPr>
          <w:rFonts w:ascii="Avenir Next" w:hAnsi="Avenir Next" w:cs="Arial"/>
          <w:i/>
          <w:iCs/>
          <w:color w:val="808080" w:themeColor="background1" w:themeShade="80"/>
          <w:sz w:val="22"/>
          <w:szCs w:val="22"/>
          <w:lang w:val="en-GB"/>
        </w:rPr>
        <w:t>anor</w:t>
      </w:r>
      <w:proofErr w:type="spellEnd"/>
      <w:r w:rsidR="00292B2B" w:rsidRPr="006A2D86">
        <w:rPr>
          <w:rFonts w:ascii="Avenir Next" w:hAnsi="Avenir Next" w:cs="Arial"/>
          <w:color w:val="808080" w:themeColor="background1" w:themeShade="80"/>
          <w:sz w:val="22"/>
          <w:szCs w:val="22"/>
          <w:lang w:val="en-GB"/>
        </w:rPr>
        <w:t xml:space="preserve"> [2018] EWCA </w:t>
      </w:r>
      <w:proofErr w:type="spellStart"/>
      <w:r w:rsidR="00292B2B" w:rsidRPr="006A2D86">
        <w:rPr>
          <w:rFonts w:ascii="Avenir Next" w:hAnsi="Avenir Next" w:cs="Arial"/>
          <w:color w:val="808080" w:themeColor="background1" w:themeShade="80"/>
          <w:sz w:val="22"/>
          <w:szCs w:val="22"/>
          <w:lang w:val="en-GB"/>
        </w:rPr>
        <w:t>Civ</w:t>
      </w:r>
      <w:proofErr w:type="spellEnd"/>
      <w:r w:rsidR="00292B2B" w:rsidRPr="006A2D86">
        <w:rPr>
          <w:rFonts w:ascii="Avenir Next" w:hAnsi="Avenir Next" w:cs="Arial"/>
          <w:color w:val="808080" w:themeColor="background1" w:themeShade="80"/>
          <w:sz w:val="22"/>
          <w:szCs w:val="22"/>
          <w:lang w:val="en-GB"/>
        </w:rPr>
        <w:t xml:space="preserve"> 1660).</w:t>
      </w:r>
      <w:r w:rsidR="00AC7F4F" w:rsidRPr="006A2D86">
        <w:rPr>
          <w:rFonts w:ascii="Avenir Next" w:hAnsi="Avenir Next" w:cs="Arial"/>
          <w:color w:val="808080" w:themeColor="background1" w:themeShade="80"/>
          <w:sz w:val="22"/>
          <w:szCs w:val="22"/>
          <w:lang w:val="en-GB"/>
        </w:rPr>
        <w:t xml:space="preserve"> Under s 424 of the English Insolvency Act 1986, the remedies available to the court restore the position in such a way as to protect the victims’ interests.</w:t>
      </w:r>
    </w:p>
    <w:p w14:paraId="045D13D5" w14:textId="01CE82C9" w:rsidR="00F14F98" w:rsidRPr="006A2D86" w:rsidRDefault="00F14F98" w:rsidP="00AB63DE">
      <w:pPr>
        <w:ind w:left="720" w:hanging="720"/>
        <w:jc w:val="both"/>
        <w:rPr>
          <w:rFonts w:ascii="Avenir Next" w:hAnsi="Avenir Next" w:cs="Arial"/>
          <w:color w:val="808080" w:themeColor="background1" w:themeShade="80"/>
          <w:sz w:val="22"/>
          <w:szCs w:val="22"/>
          <w:lang w:val="en-GB"/>
        </w:rPr>
      </w:pPr>
    </w:p>
    <w:p w14:paraId="6A7C1988" w14:textId="5852A640" w:rsidR="00F14F98" w:rsidRPr="006A2D86" w:rsidRDefault="00F14F98" w:rsidP="00C013D3">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 xml:space="preserve">In the civil law tradition, </w:t>
      </w:r>
      <w:r w:rsidR="00AC7F4F" w:rsidRPr="006A2D86">
        <w:rPr>
          <w:rFonts w:ascii="Avenir Next" w:hAnsi="Avenir Next" w:cs="Arial"/>
          <w:color w:val="808080" w:themeColor="background1" w:themeShade="80"/>
          <w:sz w:val="22"/>
          <w:szCs w:val="22"/>
          <w:lang w:val="en-GB"/>
        </w:rPr>
        <w:t>an</w:t>
      </w:r>
      <w:r w:rsidRPr="006A2D86">
        <w:rPr>
          <w:rFonts w:ascii="Avenir Next" w:hAnsi="Avenir Next" w:cs="Arial"/>
          <w:color w:val="808080" w:themeColor="background1" w:themeShade="80"/>
          <w:sz w:val="22"/>
          <w:szCs w:val="22"/>
          <w:lang w:val="en-GB"/>
        </w:rPr>
        <w:t xml:space="preserve"> </w:t>
      </w:r>
      <w:proofErr w:type="spellStart"/>
      <w:r w:rsidRPr="006A2D86">
        <w:rPr>
          <w:rFonts w:ascii="Avenir Next" w:hAnsi="Avenir Next" w:cs="Arial"/>
          <w:i/>
          <w:iCs/>
          <w:color w:val="808080" w:themeColor="background1" w:themeShade="80"/>
          <w:sz w:val="22"/>
          <w:szCs w:val="22"/>
          <w:lang w:val="en-GB"/>
        </w:rPr>
        <w:t>actio</w:t>
      </w:r>
      <w:proofErr w:type="spellEnd"/>
      <w:r w:rsidRPr="006A2D86">
        <w:rPr>
          <w:rFonts w:ascii="Avenir Next" w:hAnsi="Avenir Next" w:cs="Arial"/>
          <w:i/>
          <w:iCs/>
          <w:color w:val="808080" w:themeColor="background1" w:themeShade="80"/>
          <w:sz w:val="22"/>
          <w:szCs w:val="22"/>
          <w:lang w:val="en-GB"/>
        </w:rPr>
        <w:t xml:space="preserve"> </w:t>
      </w:r>
      <w:proofErr w:type="spellStart"/>
      <w:r w:rsidRPr="006A2D86">
        <w:rPr>
          <w:rFonts w:ascii="Avenir Next" w:hAnsi="Avenir Next" w:cs="Arial"/>
          <w:i/>
          <w:iCs/>
          <w:color w:val="808080" w:themeColor="background1" w:themeShade="80"/>
          <w:sz w:val="22"/>
          <w:szCs w:val="22"/>
          <w:lang w:val="en-GB"/>
        </w:rPr>
        <w:t>Pauliana</w:t>
      </w:r>
      <w:proofErr w:type="spellEnd"/>
      <w:r w:rsidRPr="006A2D86">
        <w:rPr>
          <w:rFonts w:ascii="Avenir Next" w:hAnsi="Avenir Next" w:cs="Arial"/>
          <w:color w:val="808080" w:themeColor="background1" w:themeShade="80"/>
          <w:sz w:val="22"/>
          <w:szCs w:val="22"/>
          <w:lang w:val="en-GB"/>
        </w:rPr>
        <w:t xml:space="preserve"> </w:t>
      </w:r>
      <w:r w:rsidR="00AC7F4F" w:rsidRPr="006A2D86">
        <w:rPr>
          <w:rFonts w:ascii="Avenir Next" w:hAnsi="Avenir Next" w:cs="Arial"/>
          <w:color w:val="808080" w:themeColor="background1" w:themeShade="80"/>
          <w:sz w:val="22"/>
          <w:szCs w:val="22"/>
          <w:lang w:val="en-GB"/>
        </w:rPr>
        <w:t xml:space="preserve">that </w:t>
      </w:r>
      <w:r w:rsidR="00C013D3" w:rsidRPr="006A2D86">
        <w:rPr>
          <w:rFonts w:ascii="Avenir Next" w:hAnsi="Avenir Next" w:cs="Arial"/>
          <w:color w:val="808080" w:themeColor="background1" w:themeShade="80"/>
          <w:sz w:val="22"/>
          <w:szCs w:val="22"/>
          <w:lang w:val="en-GB"/>
        </w:rPr>
        <w:t xml:space="preserve">is a </w:t>
      </w:r>
      <w:r w:rsidR="00AC7F4F" w:rsidRPr="006A2D86">
        <w:rPr>
          <w:rFonts w:ascii="Avenir Next" w:hAnsi="Avenir Next" w:cs="Arial"/>
          <w:color w:val="808080" w:themeColor="background1" w:themeShade="80"/>
          <w:sz w:val="22"/>
          <w:szCs w:val="22"/>
          <w:lang w:val="en-GB"/>
        </w:rPr>
        <w:t>part of Roman Law (recorded in the Institutes of Justinian)</w:t>
      </w:r>
      <w:r w:rsidR="00C013D3" w:rsidRPr="006A2D86">
        <w:rPr>
          <w:rFonts w:ascii="Avenir Next" w:hAnsi="Avenir Next" w:cs="Arial"/>
          <w:color w:val="808080" w:themeColor="background1" w:themeShade="80"/>
          <w:sz w:val="22"/>
          <w:szCs w:val="22"/>
          <w:lang w:val="en-GB"/>
        </w:rPr>
        <w:t xml:space="preserve"> </w:t>
      </w:r>
      <w:r w:rsidR="00AC7F4F" w:rsidRPr="006A2D86">
        <w:rPr>
          <w:rFonts w:ascii="Avenir Next" w:hAnsi="Avenir Next" w:cs="Arial"/>
          <w:color w:val="808080" w:themeColor="background1" w:themeShade="80"/>
          <w:sz w:val="22"/>
          <w:szCs w:val="22"/>
          <w:lang w:val="en-GB"/>
        </w:rPr>
        <w:t>has continued relevance. It is</w:t>
      </w:r>
      <w:r w:rsidR="00C013D3" w:rsidRPr="006A2D86">
        <w:rPr>
          <w:rFonts w:ascii="Avenir Next" w:hAnsi="Avenir Next" w:cs="Arial"/>
          <w:color w:val="808080" w:themeColor="background1" w:themeShade="80"/>
          <w:sz w:val="22"/>
          <w:szCs w:val="22"/>
          <w:lang w:val="en-GB"/>
        </w:rPr>
        <w:t xml:space="preserve"> an action that lies against persons who were aware of fraudulent dispositions of </w:t>
      </w:r>
      <w:r w:rsidR="001D2E04" w:rsidRPr="006A2D86">
        <w:rPr>
          <w:rFonts w:ascii="Avenir Next" w:hAnsi="Avenir Next" w:cs="Arial"/>
          <w:color w:val="808080" w:themeColor="background1" w:themeShade="80"/>
          <w:sz w:val="22"/>
          <w:szCs w:val="22"/>
          <w:lang w:val="en-GB"/>
        </w:rPr>
        <w:t xml:space="preserve">debtors’ </w:t>
      </w:r>
      <w:r w:rsidR="00C013D3" w:rsidRPr="006A2D86">
        <w:rPr>
          <w:rFonts w:ascii="Avenir Next" w:hAnsi="Avenir Next" w:cs="Arial"/>
          <w:color w:val="808080" w:themeColor="background1" w:themeShade="80"/>
          <w:sz w:val="22"/>
          <w:szCs w:val="22"/>
          <w:lang w:val="en-GB"/>
        </w:rPr>
        <w:t>assets to the detriment or prejudice of creditors</w:t>
      </w:r>
      <w:r w:rsidR="001D2E04" w:rsidRPr="006A2D86">
        <w:rPr>
          <w:rFonts w:ascii="Avenir Next" w:hAnsi="Avenir Next" w:cs="Arial"/>
          <w:color w:val="808080" w:themeColor="background1" w:themeShade="80"/>
          <w:sz w:val="22"/>
          <w:szCs w:val="22"/>
          <w:lang w:val="en-GB"/>
        </w:rPr>
        <w:t>, and permits creditors to take possession of a debtors’ property pursuant to a judgment to bring an action against the holder of the alienated property, because the transaction / disposition of the property was tainted by fraud.</w:t>
      </w:r>
      <w:r w:rsidR="007D5612" w:rsidRPr="006A2D86">
        <w:rPr>
          <w:rFonts w:ascii="Avenir Next" w:hAnsi="Avenir Next" w:cs="Arial"/>
          <w:color w:val="808080" w:themeColor="background1" w:themeShade="80"/>
          <w:sz w:val="22"/>
          <w:szCs w:val="22"/>
          <w:lang w:val="en-GB"/>
        </w:rPr>
        <w:t xml:space="preserve"> In certain jurisdictions such as the Netherlands, Slovenia, Spain and France, an </w:t>
      </w:r>
      <w:proofErr w:type="spellStart"/>
      <w:r w:rsidR="007D5612" w:rsidRPr="006A2D86">
        <w:rPr>
          <w:rFonts w:ascii="Avenir Next" w:hAnsi="Avenir Next" w:cs="Arial"/>
          <w:i/>
          <w:iCs/>
          <w:color w:val="808080" w:themeColor="background1" w:themeShade="80"/>
          <w:sz w:val="22"/>
          <w:szCs w:val="22"/>
          <w:lang w:val="en-GB"/>
        </w:rPr>
        <w:t>actio</w:t>
      </w:r>
      <w:proofErr w:type="spellEnd"/>
      <w:r w:rsidR="007D5612" w:rsidRPr="006A2D86">
        <w:rPr>
          <w:rFonts w:ascii="Avenir Next" w:hAnsi="Avenir Next" w:cs="Arial"/>
          <w:i/>
          <w:iCs/>
          <w:color w:val="808080" w:themeColor="background1" w:themeShade="80"/>
          <w:sz w:val="22"/>
          <w:szCs w:val="22"/>
          <w:lang w:val="en-GB"/>
        </w:rPr>
        <w:t xml:space="preserve"> </w:t>
      </w:r>
      <w:proofErr w:type="spellStart"/>
      <w:r w:rsidR="007D5612" w:rsidRPr="006A2D86">
        <w:rPr>
          <w:rFonts w:ascii="Avenir Next" w:hAnsi="Avenir Next" w:cs="Arial"/>
          <w:i/>
          <w:iCs/>
          <w:color w:val="808080" w:themeColor="background1" w:themeShade="80"/>
          <w:sz w:val="22"/>
          <w:szCs w:val="22"/>
          <w:lang w:val="en-GB"/>
        </w:rPr>
        <w:t>Pauliana</w:t>
      </w:r>
      <w:proofErr w:type="spellEnd"/>
      <w:r w:rsidR="007D5612" w:rsidRPr="006A2D86">
        <w:rPr>
          <w:rFonts w:ascii="Avenir Next" w:hAnsi="Avenir Next" w:cs="Arial"/>
          <w:color w:val="808080" w:themeColor="background1" w:themeShade="80"/>
          <w:sz w:val="22"/>
          <w:szCs w:val="22"/>
          <w:lang w:val="en-GB"/>
        </w:rPr>
        <w:t xml:space="preserve"> has taken a different form – merely pure detriment to the general body of creditors justifies the avoidance of the transaction entirely.</w:t>
      </w:r>
      <w:r w:rsidR="00A717B0" w:rsidRPr="006A2D86">
        <w:rPr>
          <w:rFonts w:ascii="Avenir Next" w:hAnsi="Avenir Next" w:cs="Arial"/>
          <w:color w:val="808080" w:themeColor="background1" w:themeShade="80"/>
          <w:sz w:val="22"/>
          <w:szCs w:val="22"/>
          <w:lang w:val="en-GB"/>
        </w:rPr>
        <w:t xml:space="preserve"> In other states such as Italy and Poland, </w:t>
      </w:r>
      <w:proofErr w:type="spellStart"/>
      <w:r w:rsidR="00A717B0" w:rsidRPr="006A2D86">
        <w:rPr>
          <w:rFonts w:ascii="Avenir Next" w:hAnsi="Avenir Next" w:cs="Arial"/>
          <w:i/>
          <w:iCs/>
          <w:color w:val="808080" w:themeColor="background1" w:themeShade="80"/>
          <w:sz w:val="22"/>
          <w:szCs w:val="22"/>
          <w:lang w:val="en-GB"/>
        </w:rPr>
        <w:t>actio</w:t>
      </w:r>
      <w:proofErr w:type="spellEnd"/>
      <w:r w:rsidR="00A717B0" w:rsidRPr="006A2D86">
        <w:rPr>
          <w:rFonts w:ascii="Avenir Next" w:hAnsi="Avenir Next" w:cs="Arial"/>
          <w:i/>
          <w:iCs/>
          <w:color w:val="808080" w:themeColor="background1" w:themeShade="80"/>
          <w:sz w:val="22"/>
          <w:szCs w:val="22"/>
          <w:lang w:val="en-GB"/>
        </w:rPr>
        <w:t xml:space="preserve"> </w:t>
      </w:r>
      <w:proofErr w:type="spellStart"/>
      <w:r w:rsidR="00A717B0" w:rsidRPr="006A2D86">
        <w:rPr>
          <w:rFonts w:ascii="Avenir Next" w:hAnsi="Avenir Next" w:cs="Arial"/>
          <w:i/>
          <w:iCs/>
          <w:color w:val="808080" w:themeColor="background1" w:themeShade="80"/>
          <w:sz w:val="22"/>
          <w:szCs w:val="22"/>
          <w:lang w:val="en-GB"/>
        </w:rPr>
        <w:t>Pauliana</w:t>
      </w:r>
      <w:proofErr w:type="spellEnd"/>
      <w:r w:rsidR="00A717B0" w:rsidRPr="006A2D86">
        <w:rPr>
          <w:rFonts w:ascii="Avenir Next" w:hAnsi="Avenir Next" w:cs="Arial"/>
          <w:color w:val="808080" w:themeColor="background1" w:themeShade="80"/>
          <w:sz w:val="22"/>
          <w:szCs w:val="22"/>
          <w:lang w:val="en-GB"/>
        </w:rPr>
        <w:t xml:space="preserve"> is part of general civil law (tort law) but also applicable by express reference to the civil law in the insolvency statute.</w:t>
      </w:r>
    </w:p>
    <w:p w14:paraId="0DBB675C" w14:textId="77777777" w:rsidR="00C013D3" w:rsidRPr="006A2D86" w:rsidRDefault="00C013D3" w:rsidP="00AB63DE">
      <w:pPr>
        <w:ind w:left="720" w:hanging="720"/>
        <w:jc w:val="both"/>
        <w:rPr>
          <w:rFonts w:ascii="Avenir Next" w:hAnsi="Avenir Next" w:cs="Arial"/>
          <w:color w:val="808080" w:themeColor="background1" w:themeShade="80"/>
          <w:sz w:val="22"/>
          <w:szCs w:val="22"/>
          <w:lang w:val="en-GB"/>
        </w:rPr>
      </w:pPr>
    </w:p>
    <w:p w14:paraId="03841A42" w14:textId="25D7E6F3" w:rsidR="00C013D3" w:rsidRPr="006A2D86" w:rsidRDefault="00C013D3" w:rsidP="00932009">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 xml:space="preserve">The main difference between the English and civil law approaches is </w:t>
      </w:r>
      <w:r w:rsidR="00932009" w:rsidRPr="006A2D86">
        <w:rPr>
          <w:rFonts w:ascii="Avenir Next" w:hAnsi="Avenir Next" w:cs="Arial"/>
          <w:color w:val="808080" w:themeColor="background1" w:themeShade="80"/>
          <w:sz w:val="22"/>
          <w:szCs w:val="22"/>
          <w:lang w:val="en-GB"/>
        </w:rPr>
        <w:t>that the English insolvency law confines the scope of its rule on transactions defrauding creditors to transactions / dispositions at an undervalue (</w:t>
      </w:r>
      <w:proofErr w:type="spellStart"/>
      <w:r w:rsidR="00932009" w:rsidRPr="006A2D86">
        <w:rPr>
          <w:rFonts w:ascii="Avenir Next" w:hAnsi="Avenir Next" w:cs="Arial"/>
          <w:i/>
          <w:iCs/>
          <w:color w:val="808080" w:themeColor="background1" w:themeShade="80"/>
          <w:sz w:val="22"/>
          <w:szCs w:val="22"/>
          <w:lang w:val="en-GB"/>
        </w:rPr>
        <w:t>ie</w:t>
      </w:r>
      <w:proofErr w:type="spellEnd"/>
      <w:r w:rsidR="00932009" w:rsidRPr="006A2D86">
        <w:rPr>
          <w:rFonts w:ascii="Avenir Next" w:hAnsi="Avenir Next" w:cs="Arial"/>
          <w:color w:val="808080" w:themeColor="background1" w:themeShade="80"/>
          <w:sz w:val="22"/>
          <w:szCs w:val="22"/>
          <w:lang w:val="en-GB"/>
        </w:rPr>
        <w:t xml:space="preserve">, the debtors’ property was dealt with as a gift or for inadequate consideration). This stricter English approach may be traced back to the Cork Report, which recommended that transactions for “full consideration” be excluded. Contrastingly, there is no such </w:t>
      </w:r>
      <w:r w:rsidR="0091269A" w:rsidRPr="006A2D86">
        <w:rPr>
          <w:rFonts w:ascii="Avenir Next" w:hAnsi="Avenir Next" w:cs="Arial"/>
          <w:color w:val="808080" w:themeColor="background1" w:themeShade="80"/>
          <w:sz w:val="22"/>
          <w:szCs w:val="22"/>
          <w:lang w:val="en-GB"/>
        </w:rPr>
        <w:t>prerequisite</w:t>
      </w:r>
      <w:r w:rsidR="00932009" w:rsidRPr="006A2D86">
        <w:rPr>
          <w:rFonts w:ascii="Avenir Next" w:hAnsi="Avenir Next" w:cs="Arial"/>
          <w:color w:val="808080" w:themeColor="background1" w:themeShade="80"/>
          <w:sz w:val="22"/>
          <w:szCs w:val="22"/>
          <w:lang w:val="en-GB"/>
        </w:rPr>
        <w:t xml:space="preserve"> in other civil law traditions.</w:t>
      </w:r>
      <w:r w:rsidR="00F50AC4" w:rsidRPr="006A2D86">
        <w:rPr>
          <w:rFonts w:ascii="Avenir Next" w:hAnsi="Avenir Next" w:cs="Arial"/>
          <w:color w:val="808080" w:themeColor="background1" w:themeShade="80"/>
          <w:sz w:val="22"/>
          <w:szCs w:val="22"/>
          <w:lang w:val="en-GB"/>
        </w:rPr>
        <w:t xml:space="preserve"> Further, while English law requires the intent of putting assets beyond the creditors’ reach or prejudicing their interest, the civil law generally requires only the debtors’ intent to disadvantage a general body of creditors.</w:t>
      </w:r>
      <w:r w:rsidR="0091269A" w:rsidRPr="006A2D86">
        <w:rPr>
          <w:rFonts w:ascii="Avenir Next" w:hAnsi="Avenir Next" w:cs="Arial"/>
          <w:color w:val="808080" w:themeColor="background1" w:themeShade="80"/>
          <w:sz w:val="22"/>
          <w:szCs w:val="22"/>
          <w:lang w:val="en-GB"/>
        </w:rPr>
        <w:t xml:space="preserve"> By way of remedies, this culminates in remedial discretion </w:t>
      </w:r>
      <w:r w:rsidR="0091269A" w:rsidRPr="006A2D86">
        <w:rPr>
          <w:rFonts w:ascii="Avenir Next" w:hAnsi="Avenir Next" w:cs="Arial"/>
          <w:color w:val="808080" w:themeColor="background1" w:themeShade="80"/>
          <w:sz w:val="22"/>
          <w:szCs w:val="22"/>
          <w:lang w:val="en-GB"/>
        </w:rPr>
        <w:lastRenderedPageBreak/>
        <w:t>in the English jurisdiction, while almost all other European jurisdictions with civil law provide for a claim to return or to reconveyance (</w:t>
      </w:r>
      <w:proofErr w:type="spellStart"/>
      <w:r w:rsidR="0091269A" w:rsidRPr="006A2D86">
        <w:rPr>
          <w:rFonts w:ascii="Avenir Next" w:hAnsi="Avenir Next" w:cs="Arial"/>
          <w:i/>
          <w:iCs/>
          <w:color w:val="808080" w:themeColor="background1" w:themeShade="80"/>
          <w:sz w:val="22"/>
          <w:szCs w:val="22"/>
          <w:lang w:val="en-GB"/>
        </w:rPr>
        <w:t>ie</w:t>
      </w:r>
      <w:proofErr w:type="spellEnd"/>
      <w:r w:rsidR="0091269A" w:rsidRPr="006A2D86">
        <w:rPr>
          <w:rFonts w:ascii="Avenir Next" w:hAnsi="Avenir Next" w:cs="Arial"/>
          <w:color w:val="808080" w:themeColor="background1" w:themeShade="80"/>
          <w:sz w:val="22"/>
          <w:szCs w:val="22"/>
          <w:lang w:val="en-GB"/>
        </w:rPr>
        <w:t>, to return the received). On either approach, these rules are important because they provide sufficient safeguard to the creditors against situations where debtors’ assets / properties are fraudulently dealt with in order to avoid ceding them to the creditors.</w:t>
      </w:r>
    </w:p>
    <w:p w14:paraId="09319DF4" w14:textId="77777777" w:rsidR="00A717B0" w:rsidRPr="00F37098" w:rsidRDefault="00A717B0" w:rsidP="00692852">
      <w:pPr>
        <w:jc w:val="both"/>
        <w:rPr>
          <w:rFonts w:ascii="Avenir Next" w:hAnsi="Avenir Next" w:cs="Arial"/>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3F7D2588" w14:textId="77777777" w:rsidR="00F37098" w:rsidRPr="006A2D86" w:rsidRDefault="004412F9" w:rsidP="00184AD0">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T</w:t>
      </w:r>
      <w:r w:rsidR="00F3291D" w:rsidRPr="006A2D86">
        <w:rPr>
          <w:rFonts w:ascii="Avenir Next" w:hAnsi="Avenir Next" w:cs="Arial"/>
          <w:color w:val="808080" w:themeColor="background1" w:themeShade="80"/>
          <w:sz w:val="22"/>
          <w:szCs w:val="22"/>
          <w:lang w:val="en-GB"/>
        </w:rPr>
        <w:t xml:space="preserve">he definition operates on assumption that it presupposes a national legal framework of insolvency law. For instance, the definition provided by Fletcher that international insolvency law is the situation in which “insolvency occurs in circumstances which in some way transcend the confines of a single legal system, commonly described in international literature as a body of rules concerning certain insolvency proceedings or measures”. </w:t>
      </w:r>
      <w:r w:rsidR="00C443ED" w:rsidRPr="006A2D86">
        <w:rPr>
          <w:rFonts w:ascii="Avenir Next" w:hAnsi="Avenir Next" w:cs="Arial"/>
          <w:color w:val="808080" w:themeColor="background1" w:themeShade="80"/>
          <w:sz w:val="22"/>
          <w:szCs w:val="22"/>
          <w:lang w:val="en-GB"/>
        </w:rPr>
        <w:t>This exposes the difficulty with the Dutch commentator’s definition, which has not made clear what the geographical ambit is of the “body of rules” he refers to that “cannot be fully enforced”.</w:t>
      </w:r>
      <w:r w:rsidRPr="006A2D86">
        <w:rPr>
          <w:rFonts w:ascii="Avenir Next" w:hAnsi="Avenir Next" w:cs="Arial"/>
          <w:color w:val="808080" w:themeColor="background1" w:themeShade="80"/>
          <w:sz w:val="22"/>
          <w:szCs w:val="22"/>
          <w:lang w:val="en-GB"/>
        </w:rPr>
        <w:t xml:space="preserve"> </w:t>
      </w:r>
      <w:r w:rsidR="00184AD0" w:rsidRPr="006A2D86">
        <w:rPr>
          <w:rFonts w:ascii="Avenir Next" w:hAnsi="Avenir Next" w:cs="Arial"/>
          <w:color w:val="808080" w:themeColor="background1" w:themeShade="80"/>
          <w:sz w:val="22"/>
          <w:szCs w:val="22"/>
          <w:lang w:val="en-GB"/>
        </w:rPr>
        <w:t>For instance, the initial founding fathers of the United States considered that insolvency law was a federal question rather than a state level one (</w:t>
      </w:r>
      <w:proofErr w:type="spellStart"/>
      <w:r w:rsidR="00184AD0" w:rsidRPr="006A2D86">
        <w:rPr>
          <w:rFonts w:ascii="Avenir Next" w:hAnsi="Avenir Next" w:cs="Arial"/>
          <w:color w:val="808080" w:themeColor="background1" w:themeShade="80"/>
          <w:sz w:val="22"/>
          <w:szCs w:val="22"/>
          <w:lang w:val="en-GB"/>
        </w:rPr>
        <w:t>Friman</w:t>
      </w:r>
      <w:proofErr w:type="spellEnd"/>
      <w:r w:rsidR="00184AD0" w:rsidRPr="006A2D86">
        <w:rPr>
          <w:rFonts w:ascii="Avenir Next" w:hAnsi="Avenir Next" w:cs="Arial"/>
          <w:color w:val="808080" w:themeColor="background1" w:themeShade="80"/>
          <w:sz w:val="22"/>
          <w:szCs w:val="22"/>
          <w:lang w:val="en-GB"/>
        </w:rPr>
        <w:t xml:space="preserve">). </w:t>
      </w:r>
    </w:p>
    <w:p w14:paraId="3BF3F047" w14:textId="77777777" w:rsidR="00F37098" w:rsidRPr="006A2D86" w:rsidRDefault="00F37098" w:rsidP="00184AD0">
      <w:pPr>
        <w:jc w:val="both"/>
        <w:rPr>
          <w:rFonts w:ascii="Avenir Next" w:hAnsi="Avenir Next" w:cs="Arial"/>
          <w:color w:val="808080" w:themeColor="background1" w:themeShade="80"/>
          <w:sz w:val="22"/>
          <w:szCs w:val="22"/>
          <w:lang w:val="en-GB"/>
        </w:rPr>
      </w:pPr>
    </w:p>
    <w:p w14:paraId="2840E50E" w14:textId="77777777" w:rsidR="00F37098" w:rsidRPr="006A2D86" w:rsidRDefault="004412F9" w:rsidP="00184AD0">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 xml:space="preserve">Further, </w:t>
      </w:r>
      <w:r w:rsidR="00184AD0" w:rsidRPr="006A2D86">
        <w:rPr>
          <w:rFonts w:ascii="Avenir Next" w:hAnsi="Avenir Next" w:cs="Arial"/>
          <w:color w:val="808080" w:themeColor="background1" w:themeShade="80"/>
          <w:sz w:val="22"/>
          <w:szCs w:val="22"/>
          <w:lang w:val="en-GB"/>
        </w:rPr>
        <w:t xml:space="preserve">the underlying assumption in the definition is that the “body of rules” </w:t>
      </w:r>
      <w:r w:rsidR="00F37098" w:rsidRPr="006A2D86">
        <w:rPr>
          <w:rFonts w:ascii="Avenir Next" w:hAnsi="Avenir Next" w:cs="Arial"/>
          <w:color w:val="808080" w:themeColor="background1" w:themeShade="80"/>
          <w:sz w:val="22"/>
          <w:szCs w:val="22"/>
          <w:lang w:val="en-GB"/>
        </w:rPr>
        <w:t xml:space="preserve">must </w:t>
      </w:r>
      <w:r w:rsidR="00184AD0" w:rsidRPr="006A2D86">
        <w:rPr>
          <w:rFonts w:ascii="Avenir Next" w:hAnsi="Avenir Next" w:cs="Arial"/>
          <w:color w:val="808080" w:themeColor="background1" w:themeShade="80"/>
          <w:sz w:val="22"/>
          <w:szCs w:val="22"/>
          <w:lang w:val="en-GB"/>
        </w:rPr>
        <w:t xml:space="preserve">stem from state-drawn lines. However, the modern situation is very different – the European Union’s efforts to consolidate and the porous nature of investments and markets mean that there is no way to isolate a “body of rules” from another state as easily as before. </w:t>
      </w:r>
    </w:p>
    <w:p w14:paraId="0202E127" w14:textId="77777777" w:rsidR="00F37098" w:rsidRPr="006A2D86" w:rsidRDefault="00F37098" w:rsidP="00184AD0">
      <w:pPr>
        <w:jc w:val="both"/>
        <w:rPr>
          <w:rFonts w:ascii="Avenir Next" w:hAnsi="Avenir Next" w:cs="Arial"/>
          <w:color w:val="808080" w:themeColor="background1" w:themeShade="80"/>
          <w:sz w:val="22"/>
          <w:szCs w:val="22"/>
          <w:lang w:val="en-GB"/>
        </w:rPr>
      </w:pPr>
    </w:p>
    <w:p w14:paraId="41FB351C" w14:textId="77777777" w:rsidR="00F37098" w:rsidRPr="006A2D86" w:rsidRDefault="00184AD0" w:rsidP="00184AD0">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T</w:t>
      </w:r>
      <w:r w:rsidR="004412F9" w:rsidRPr="006A2D86">
        <w:rPr>
          <w:rFonts w:ascii="Avenir Next" w:hAnsi="Avenir Next" w:cs="Arial"/>
          <w:color w:val="808080" w:themeColor="background1" w:themeShade="80"/>
          <w:sz w:val="22"/>
          <w:szCs w:val="22"/>
          <w:lang w:val="en-GB"/>
        </w:rPr>
        <w:t xml:space="preserve">he Dutch commentator’s definition is </w:t>
      </w:r>
      <w:r w:rsidRPr="006A2D86">
        <w:rPr>
          <w:rFonts w:ascii="Avenir Next" w:hAnsi="Avenir Next" w:cs="Arial"/>
          <w:color w:val="808080" w:themeColor="background1" w:themeShade="80"/>
          <w:sz w:val="22"/>
          <w:szCs w:val="22"/>
          <w:lang w:val="en-GB"/>
        </w:rPr>
        <w:t xml:space="preserve">also </w:t>
      </w:r>
      <w:r w:rsidR="004412F9" w:rsidRPr="006A2D86">
        <w:rPr>
          <w:rFonts w:ascii="Avenir Next" w:hAnsi="Avenir Next" w:cs="Arial"/>
          <w:color w:val="808080" w:themeColor="background1" w:themeShade="80"/>
          <w:sz w:val="22"/>
          <w:szCs w:val="22"/>
          <w:lang w:val="en-GB"/>
        </w:rPr>
        <w:t>vague in the phrase “international aspect of a given case”. While the cross-border nature of international insolvency is acknowledged by the phrase, it is unclear what form the “international aspect” should take and may arguably be too broad. For instance, to refine his definition, an “international aspect” may be qualified to be a material or relevant “international aspect”.</w:t>
      </w:r>
      <w:r w:rsidRPr="006A2D86">
        <w:rPr>
          <w:rFonts w:ascii="Avenir Next" w:hAnsi="Avenir Next" w:cs="Arial"/>
          <w:color w:val="808080" w:themeColor="background1" w:themeShade="80"/>
          <w:sz w:val="22"/>
          <w:szCs w:val="22"/>
          <w:lang w:val="en-GB"/>
        </w:rPr>
        <w:t xml:space="preserve"> </w:t>
      </w:r>
    </w:p>
    <w:p w14:paraId="49BFE29A" w14:textId="77777777" w:rsidR="00F37098" w:rsidRPr="006A2D86" w:rsidRDefault="00F37098" w:rsidP="00184AD0">
      <w:pPr>
        <w:jc w:val="both"/>
        <w:rPr>
          <w:rFonts w:ascii="Avenir Next" w:hAnsi="Avenir Next" w:cs="Arial"/>
          <w:color w:val="808080" w:themeColor="background1" w:themeShade="80"/>
          <w:sz w:val="22"/>
          <w:szCs w:val="22"/>
          <w:lang w:val="en-GB"/>
        </w:rPr>
      </w:pPr>
    </w:p>
    <w:p w14:paraId="6990BAFA" w14:textId="5D315CBF" w:rsidR="00F3291D" w:rsidRPr="006A2D86" w:rsidRDefault="004412F9" w:rsidP="00184AD0">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Crucially, t</w:t>
      </w:r>
      <w:r w:rsidR="00C443ED" w:rsidRPr="006A2D86">
        <w:rPr>
          <w:rFonts w:ascii="Avenir Next" w:hAnsi="Avenir Next" w:cs="Arial"/>
          <w:color w:val="808080" w:themeColor="background1" w:themeShade="80"/>
          <w:sz w:val="22"/>
          <w:szCs w:val="22"/>
          <w:lang w:val="en-GB"/>
        </w:rPr>
        <w:t>he</w:t>
      </w:r>
      <w:r w:rsidR="00F3291D" w:rsidRPr="006A2D86">
        <w:rPr>
          <w:rFonts w:ascii="Avenir Next" w:hAnsi="Avenir Next" w:cs="Arial"/>
          <w:color w:val="808080" w:themeColor="background1" w:themeShade="80"/>
          <w:sz w:val="22"/>
          <w:szCs w:val="22"/>
          <w:lang w:val="en-GB"/>
        </w:rPr>
        <w:t xml:space="preserve"> definition appears to provide a negative description of what international insolvency law is, rather than positively identify the content of international insolvency law. This shortcoming </w:t>
      </w:r>
      <w:r w:rsidRPr="006A2D86">
        <w:rPr>
          <w:rFonts w:ascii="Avenir Next" w:hAnsi="Avenir Next" w:cs="Arial"/>
          <w:color w:val="808080" w:themeColor="background1" w:themeShade="80"/>
          <w:sz w:val="22"/>
          <w:szCs w:val="22"/>
          <w:lang w:val="en-GB"/>
        </w:rPr>
        <w:t>was likely influenced by the level of cooperation (and non-harmonisation) on international insolvency law issues of the time</w:t>
      </w:r>
      <w:r w:rsidR="00184AD0" w:rsidRPr="006A2D86">
        <w:rPr>
          <w:rFonts w:ascii="Avenir Next" w:hAnsi="Avenir Next" w:cs="Arial"/>
          <w:color w:val="808080" w:themeColor="background1" w:themeShade="80"/>
          <w:sz w:val="22"/>
          <w:szCs w:val="22"/>
          <w:lang w:val="en-GB"/>
        </w:rPr>
        <w:t>, but may not be reflective of the modern-day international insolvency law.</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E60DF3C" w14:textId="77777777" w:rsidR="00F37098" w:rsidRPr="006A2D86" w:rsidRDefault="0091269A" w:rsidP="00184AD0">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lastRenderedPageBreak/>
        <w:t>Treaties and conventions are laudable initiatives to establish a</w:t>
      </w:r>
      <w:r w:rsidR="00F25C23" w:rsidRPr="006A2D86">
        <w:rPr>
          <w:rFonts w:ascii="Avenir Next" w:hAnsi="Avenir Next" w:cs="Arial"/>
          <w:color w:val="808080" w:themeColor="background1" w:themeShade="80"/>
          <w:sz w:val="22"/>
          <w:szCs w:val="22"/>
          <w:lang w:val="en-GB"/>
        </w:rPr>
        <w:t xml:space="preserve"> collaborative and consistent practice in international insolvency.</w:t>
      </w:r>
      <w:r w:rsidR="00184AD0" w:rsidRPr="006A2D86">
        <w:rPr>
          <w:rFonts w:ascii="Avenir Next" w:hAnsi="Avenir Next" w:cs="Arial"/>
          <w:color w:val="808080" w:themeColor="background1" w:themeShade="80"/>
          <w:sz w:val="22"/>
          <w:szCs w:val="22"/>
          <w:lang w:val="en-GB"/>
        </w:rPr>
        <w:t xml:space="preserve"> </w:t>
      </w:r>
    </w:p>
    <w:p w14:paraId="577B5735" w14:textId="77777777" w:rsidR="00F37098" w:rsidRPr="006A2D86" w:rsidRDefault="00F37098" w:rsidP="00184AD0">
      <w:pPr>
        <w:jc w:val="both"/>
        <w:rPr>
          <w:rFonts w:ascii="Avenir Next" w:hAnsi="Avenir Next" w:cs="Arial"/>
          <w:color w:val="808080" w:themeColor="background1" w:themeShade="80"/>
          <w:sz w:val="22"/>
          <w:szCs w:val="22"/>
          <w:lang w:val="en-GB"/>
        </w:rPr>
      </w:pPr>
    </w:p>
    <w:p w14:paraId="3361AF65" w14:textId="77777777" w:rsidR="00F37098" w:rsidRPr="006A2D86" w:rsidRDefault="00184AD0" w:rsidP="00184AD0">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 xml:space="preserve">In Europe, the multilateral treaty, the Nordic Convention </w:t>
      </w:r>
      <w:r w:rsidR="00B76E2A" w:rsidRPr="006A2D86">
        <w:rPr>
          <w:rFonts w:ascii="Avenir Next" w:hAnsi="Avenir Next" w:cs="Arial"/>
          <w:color w:val="808080" w:themeColor="background1" w:themeShade="80"/>
          <w:sz w:val="22"/>
          <w:szCs w:val="22"/>
          <w:lang w:val="en-GB"/>
        </w:rPr>
        <w:t xml:space="preserve">on Bankruptcy </w:t>
      </w:r>
      <w:r w:rsidRPr="006A2D86">
        <w:rPr>
          <w:rFonts w:ascii="Avenir Next" w:hAnsi="Avenir Next" w:cs="Arial"/>
          <w:color w:val="808080" w:themeColor="background1" w:themeShade="80"/>
          <w:sz w:val="22"/>
          <w:szCs w:val="22"/>
          <w:lang w:val="en-GB"/>
        </w:rPr>
        <w:t>(1933)</w:t>
      </w:r>
      <w:r w:rsidR="00B76E2A" w:rsidRPr="006A2D86">
        <w:rPr>
          <w:rFonts w:ascii="Avenir Next" w:hAnsi="Avenir Next" w:cs="Arial"/>
          <w:color w:val="808080" w:themeColor="background1" w:themeShade="80"/>
          <w:sz w:val="22"/>
          <w:szCs w:val="22"/>
          <w:lang w:val="en-GB"/>
        </w:rPr>
        <w:t xml:space="preserve"> between Norway, Denmark, Finland, Iceland and Sweden</w:t>
      </w:r>
      <w:r w:rsidR="00B65BDC" w:rsidRPr="006A2D86">
        <w:rPr>
          <w:rFonts w:ascii="Avenir Next" w:hAnsi="Avenir Next" w:cs="Arial"/>
          <w:color w:val="808080" w:themeColor="background1" w:themeShade="80"/>
          <w:sz w:val="22"/>
          <w:szCs w:val="22"/>
          <w:lang w:val="en-GB"/>
        </w:rPr>
        <w:t xml:space="preserve"> bound party states to</w:t>
      </w:r>
      <w:r w:rsidR="00B76E2A" w:rsidRPr="006A2D86">
        <w:rPr>
          <w:rFonts w:ascii="Avenir Next" w:hAnsi="Avenir Next" w:cs="Arial"/>
          <w:color w:val="808080" w:themeColor="background1" w:themeShade="80"/>
          <w:sz w:val="22"/>
          <w:szCs w:val="22"/>
          <w:lang w:val="en-GB"/>
        </w:rPr>
        <w:t xml:space="preserve"> recognise the majority of the order determined by </w:t>
      </w:r>
      <w:r w:rsidR="00B65BDC" w:rsidRPr="006A2D86">
        <w:rPr>
          <w:rFonts w:ascii="Avenir Next" w:hAnsi="Avenir Next" w:cs="Arial"/>
          <w:color w:val="808080" w:themeColor="background1" w:themeShade="80"/>
          <w:sz w:val="22"/>
          <w:szCs w:val="22"/>
          <w:lang w:val="en-GB"/>
        </w:rPr>
        <w:t xml:space="preserve">the </w:t>
      </w:r>
      <w:r w:rsidR="00B76E2A" w:rsidRPr="006A2D86">
        <w:rPr>
          <w:rFonts w:ascii="Avenir Next" w:hAnsi="Avenir Next" w:cs="Arial"/>
          <w:color w:val="808080" w:themeColor="background1" w:themeShade="80"/>
          <w:sz w:val="22"/>
          <w:szCs w:val="22"/>
          <w:lang w:val="en-GB"/>
        </w:rPr>
        <w:t>jurisdiction conducting the insolvency adjudication</w:t>
      </w:r>
      <w:r w:rsidRPr="006A2D86">
        <w:rPr>
          <w:rFonts w:ascii="Avenir Next" w:hAnsi="Avenir Next" w:cs="Arial"/>
          <w:color w:val="808080" w:themeColor="background1" w:themeShade="80"/>
          <w:sz w:val="22"/>
          <w:szCs w:val="22"/>
          <w:lang w:val="en-GB"/>
        </w:rPr>
        <w:t xml:space="preserve">. </w:t>
      </w:r>
    </w:p>
    <w:p w14:paraId="223A4A59" w14:textId="77777777" w:rsidR="00F37098" w:rsidRPr="006A2D86" w:rsidRDefault="00F37098" w:rsidP="00184AD0">
      <w:pPr>
        <w:jc w:val="both"/>
        <w:rPr>
          <w:rFonts w:ascii="Avenir Next" w:hAnsi="Avenir Next" w:cs="Arial"/>
          <w:color w:val="808080" w:themeColor="background1" w:themeShade="80"/>
          <w:sz w:val="22"/>
          <w:szCs w:val="22"/>
          <w:lang w:val="en-GB"/>
        </w:rPr>
      </w:pPr>
    </w:p>
    <w:p w14:paraId="726DF290" w14:textId="77777777" w:rsidR="00F37098" w:rsidRPr="006A2D86" w:rsidRDefault="00184AD0" w:rsidP="00184AD0">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However, the challenge in treaties and conventions is amassing sufficient political will from various states to obtain their signatures and ratification. For instance, the Convention on Certain International Aspects of Bankruptcy (</w:t>
      </w:r>
      <w:proofErr w:type="spellStart"/>
      <w:r w:rsidRPr="006A2D86">
        <w:rPr>
          <w:rFonts w:ascii="Avenir Next" w:hAnsi="Avenir Next" w:cs="Arial"/>
          <w:i/>
          <w:iCs/>
          <w:color w:val="808080" w:themeColor="background1" w:themeShade="80"/>
          <w:sz w:val="22"/>
          <w:szCs w:val="22"/>
          <w:lang w:val="en-GB"/>
        </w:rPr>
        <w:t>ie</w:t>
      </w:r>
      <w:proofErr w:type="spellEnd"/>
      <w:r w:rsidRPr="006A2D86">
        <w:rPr>
          <w:rFonts w:ascii="Avenir Next" w:hAnsi="Avenir Next" w:cs="Arial"/>
          <w:color w:val="808080" w:themeColor="background1" w:themeShade="80"/>
          <w:sz w:val="22"/>
          <w:szCs w:val="22"/>
          <w:lang w:val="en-GB"/>
        </w:rPr>
        <w:t xml:space="preserve">, the Istanbul Convention) was signed by 8 states in the European Union, but was not ratified by a sufficient number of member states for it to enter into force. </w:t>
      </w:r>
    </w:p>
    <w:p w14:paraId="28B41626" w14:textId="77777777" w:rsidR="00F37098" w:rsidRPr="006A2D86" w:rsidRDefault="00F37098" w:rsidP="00184AD0">
      <w:pPr>
        <w:jc w:val="both"/>
        <w:rPr>
          <w:rFonts w:ascii="Avenir Next" w:hAnsi="Avenir Next" w:cs="Arial"/>
          <w:color w:val="808080" w:themeColor="background1" w:themeShade="80"/>
          <w:sz w:val="22"/>
          <w:szCs w:val="22"/>
          <w:lang w:val="en-GB"/>
        </w:rPr>
      </w:pPr>
    </w:p>
    <w:p w14:paraId="04CB54C1" w14:textId="77777777" w:rsidR="00F37098" w:rsidRPr="006A2D86" w:rsidRDefault="00A74136" w:rsidP="00184AD0">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 xml:space="preserve">That said, while there are limitations to proceeding with treaties or conventions as a source of cross-border insolvency law, the mere fact that a treaty or convention is contemplated can start opening the conversation on key harmonisation or recognition measures across states. </w:t>
      </w:r>
    </w:p>
    <w:p w14:paraId="35F7CD56" w14:textId="77777777" w:rsidR="00F37098" w:rsidRPr="006A2D86" w:rsidRDefault="00F37098" w:rsidP="00184AD0">
      <w:pPr>
        <w:jc w:val="both"/>
        <w:rPr>
          <w:rFonts w:ascii="Avenir Next" w:hAnsi="Avenir Next" w:cs="Arial"/>
          <w:color w:val="808080" w:themeColor="background1" w:themeShade="80"/>
          <w:sz w:val="22"/>
          <w:szCs w:val="22"/>
          <w:lang w:val="en-GB"/>
        </w:rPr>
      </w:pPr>
    </w:p>
    <w:p w14:paraId="692B4316" w14:textId="599721E5" w:rsidR="00B76E2A" w:rsidRPr="006A2D86" w:rsidRDefault="00B76E2A" w:rsidP="00184AD0">
      <w:pPr>
        <w:jc w:val="both"/>
        <w:rPr>
          <w:rFonts w:ascii="Avenir Next" w:hAnsi="Avenir Next" w:cs="Arial"/>
          <w:color w:val="808080" w:themeColor="background1" w:themeShade="80"/>
          <w:sz w:val="22"/>
          <w:szCs w:val="22"/>
          <w:lang w:val="en-GB"/>
        </w:rPr>
      </w:pPr>
      <w:r w:rsidRPr="006A2D86">
        <w:rPr>
          <w:rFonts w:ascii="Avenir Next" w:hAnsi="Avenir Next" w:cs="Arial"/>
          <w:color w:val="808080" w:themeColor="background1" w:themeShade="80"/>
          <w:sz w:val="22"/>
          <w:szCs w:val="22"/>
          <w:lang w:val="en-GB"/>
        </w:rPr>
        <w:t>Rather than by</w:t>
      </w:r>
      <w:r w:rsidR="00F37098" w:rsidRPr="006A2D86">
        <w:rPr>
          <w:rFonts w:ascii="Avenir Next" w:hAnsi="Avenir Next" w:cs="Arial"/>
          <w:color w:val="808080" w:themeColor="background1" w:themeShade="80"/>
          <w:sz w:val="22"/>
          <w:szCs w:val="22"/>
          <w:lang w:val="en-GB"/>
        </w:rPr>
        <w:t xml:space="preserve"> treaty or</w:t>
      </w:r>
      <w:r w:rsidRPr="006A2D86">
        <w:rPr>
          <w:rFonts w:ascii="Avenir Next" w:hAnsi="Avenir Next" w:cs="Arial"/>
          <w:color w:val="808080" w:themeColor="background1" w:themeShade="80"/>
          <w:sz w:val="22"/>
          <w:szCs w:val="22"/>
          <w:lang w:val="en-GB"/>
        </w:rPr>
        <w:t xml:space="preserve"> convention, the European Union has seen more success with</w:t>
      </w:r>
      <w:r w:rsidR="00F37098" w:rsidRPr="006A2D86">
        <w:rPr>
          <w:rFonts w:ascii="Avenir Next" w:hAnsi="Avenir Next" w:cs="Arial"/>
          <w:color w:val="808080" w:themeColor="background1" w:themeShade="80"/>
          <w:sz w:val="22"/>
          <w:szCs w:val="22"/>
          <w:lang w:val="en-GB"/>
        </w:rPr>
        <w:t xml:space="preserve"> regulations in</w:t>
      </w:r>
      <w:r w:rsidRPr="006A2D86">
        <w:rPr>
          <w:rFonts w:ascii="Avenir Next" w:hAnsi="Avenir Next" w:cs="Arial"/>
          <w:color w:val="808080" w:themeColor="background1" w:themeShade="80"/>
          <w:sz w:val="22"/>
          <w:szCs w:val="22"/>
          <w:lang w:val="en-GB"/>
        </w:rPr>
        <w:t xml:space="preserve"> the European Insolvency Regulation (2000) (“EIR”) and the EIR Recas</w:t>
      </w:r>
      <w:r w:rsidR="00F37098" w:rsidRPr="006A2D86">
        <w:rPr>
          <w:rFonts w:ascii="Avenir Next" w:hAnsi="Avenir Next" w:cs="Arial"/>
          <w:color w:val="808080" w:themeColor="background1" w:themeShade="80"/>
          <w:sz w:val="22"/>
          <w:szCs w:val="22"/>
          <w:lang w:val="en-GB"/>
        </w:rPr>
        <w:t>t</w:t>
      </w:r>
      <w:r w:rsidRPr="006A2D86">
        <w:rPr>
          <w:rFonts w:ascii="Avenir Next" w:hAnsi="Avenir Next" w:cs="Arial"/>
          <w:color w:val="808080" w:themeColor="background1" w:themeShade="80"/>
          <w:sz w:val="22"/>
          <w:szCs w:val="22"/>
          <w:lang w:val="en-GB"/>
        </w:rPr>
        <w:t xml:space="preserve"> (2015).</w:t>
      </w:r>
      <w:r w:rsidR="00A74136" w:rsidRPr="006A2D86">
        <w:rPr>
          <w:rFonts w:ascii="Avenir Next" w:hAnsi="Avenir Next" w:cs="Arial"/>
          <w:color w:val="808080" w:themeColor="background1" w:themeShade="80"/>
          <w:sz w:val="22"/>
          <w:szCs w:val="22"/>
          <w:lang w:val="en-GB"/>
        </w:rPr>
        <w:t xml:space="preserve"> </w:t>
      </w:r>
      <w:r w:rsidRPr="006A2D86">
        <w:rPr>
          <w:rFonts w:ascii="Avenir Next" w:hAnsi="Avenir Next" w:cs="Arial"/>
          <w:color w:val="808080" w:themeColor="background1" w:themeShade="80"/>
          <w:sz w:val="22"/>
          <w:szCs w:val="22"/>
          <w:lang w:val="en-GB"/>
        </w:rPr>
        <w:t>The approach that has seen the most success</w:t>
      </w:r>
      <w:r w:rsidR="00F37098" w:rsidRPr="006A2D86">
        <w:rPr>
          <w:rFonts w:ascii="Avenir Next" w:hAnsi="Avenir Next" w:cs="Arial"/>
          <w:color w:val="808080" w:themeColor="background1" w:themeShade="80"/>
          <w:sz w:val="22"/>
          <w:szCs w:val="22"/>
          <w:lang w:val="en-GB"/>
        </w:rPr>
        <w:t xml:space="preserve"> generally</w:t>
      </w:r>
      <w:r w:rsidRPr="006A2D86">
        <w:rPr>
          <w:rFonts w:ascii="Avenir Next" w:hAnsi="Avenir Next" w:cs="Arial"/>
          <w:color w:val="808080" w:themeColor="background1" w:themeShade="80"/>
          <w:sz w:val="22"/>
          <w:szCs w:val="22"/>
          <w:lang w:val="en-GB"/>
        </w:rPr>
        <w:t xml:space="preserve"> is “soft law” – for instance, the </w:t>
      </w:r>
      <w:r w:rsidR="00A74136" w:rsidRPr="006A2D86">
        <w:rPr>
          <w:rFonts w:ascii="Avenir Next" w:hAnsi="Avenir Next" w:cs="Arial"/>
          <w:color w:val="808080" w:themeColor="background1" w:themeShade="80"/>
          <w:sz w:val="22"/>
          <w:szCs w:val="22"/>
          <w:lang w:val="en-GB"/>
        </w:rPr>
        <w:t>United Nations Commission on International Trade Law (“</w:t>
      </w:r>
      <w:r w:rsidRPr="006A2D86">
        <w:rPr>
          <w:rFonts w:ascii="Avenir Next" w:hAnsi="Avenir Next" w:cs="Arial"/>
          <w:color w:val="808080" w:themeColor="background1" w:themeShade="80"/>
          <w:sz w:val="22"/>
          <w:szCs w:val="22"/>
          <w:lang w:val="en-GB"/>
        </w:rPr>
        <w:t>UNCITRAL</w:t>
      </w:r>
      <w:r w:rsidR="00A74136" w:rsidRPr="006A2D86">
        <w:rPr>
          <w:rFonts w:ascii="Avenir Next" w:hAnsi="Avenir Next" w:cs="Arial"/>
          <w:color w:val="808080" w:themeColor="background1" w:themeShade="80"/>
          <w:sz w:val="22"/>
          <w:szCs w:val="22"/>
          <w:lang w:val="en-GB"/>
        </w:rPr>
        <w:t>”)</w:t>
      </w:r>
      <w:r w:rsidRPr="006A2D86">
        <w:rPr>
          <w:rFonts w:ascii="Avenir Next" w:hAnsi="Avenir Next" w:cs="Arial"/>
          <w:color w:val="808080" w:themeColor="background1" w:themeShade="80"/>
          <w:sz w:val="22"/>
          <w:szCs w:val="22"/>
          <w:lang w:val="en-GB"/>
        </w:rPr>
        <w:t xml:space="preserve"> Model Law on Cross-Border Insolvency and the Legislative Guide on Insolvency Law. The draft legislation was merely recommended to be adopted by states, with or without modification, and yet gained sizeable traction (</w:t>
      </w:r>
      <w:proofErr w:type="spellStart"/>
      <w:r w:rsidRPr="006A2D86">
        <w:rPr>
          <w:rFonts w:ascii="Avenir Next" w:hAnsi="Avenir Next" w:cs="Arial"/>
          <w:color w:val="808080" w:themeColor="background1" w:themeShade="80"/>
          <w:sz w:val="22"/>
          <w:szCs w:val="22"/>
          <w:lang w:val="en-GB"/>
        </w:rPr>
        <w:t>Mevorach</w:t>
      </w:r>
      <w:proofErr w:type="spellEnd"/>
      <w:r w:rsidRPr="006A2D86">
        <w:rPr>
          <w:rFonts w:ascii="Avenir Next" w:hAnsi="Avenir Next" w:cs="Arial"/>
          <w:color w:val="808080" w:themeColor="background1" w:themeShade="80"/>
          <w:sz w:val="22"/>
          <w:szCs w:val="22"/>
          <w:lang w:val="en-GB"/>
        </w:rPr>
        <w:t xml:space="preserve">). </w:t>
      </w:r>
      <w:r w:rsidR="00F37098" w:rsidRPr="006A2D86">
        <w:rPr>
          <w:rFonts w:ascii="Avenir Next" w:hAnsi="Avenir Next" w:cs="Arial"/>
          <w:color w:val="808080" w:themeColor="background1" w:themeShade="80"/>
          <w:sz w:val="22"/>
          <w:szCs w:val="22"/>
          <w:lang w:val="en-GB"/>
        </w:rPr>
        <w:t xml:space="preserve">Arguably, the </w:t>
      </w:r>
      <w:r w:rsidR="006A2D86">
        <w:rPr>
          <w:rFonts w:ascii="Avenir Next" w:hAnsi="Avenir Next" w:cs="Arial"/>
          <w:color w:val="808080" w:themeColor="background1" w:themeShade="80"/>
          <w:sz w:val="22"/>
          <w:szCs w:val="22"/>
          <w:lang w:val="en-GB"/>
        </w:rPr>
        <w:t xml:space="preserve">binding nature of </w:t>
      </w:r>
      <w:r w:rsidR="00F37098" w:rsidRPr="006A2D86">
        <w:rPr>
          <w:rFonts w:ascii="Avenir Next" w:hAnsi="Avenir Next" w:cs="Arial"/>
          <w:color w:val="808080" w:themeColor="background1" w:themeShade="80"/>
          <w:sz w:val="22"/>
          <w:szCs w:val="22"/>
          <w:lang w:val="en-GB"/>
        </w:rPr>
        <w:t xml:space="preserve">treaties and conventions </w:t>
      </w:r>
      <w:r w:rsidR="006A2D86">
        <w:rPr>
          <w:rFonts w:ascii="Avenir Next" w:hAnsi="Avenir Next" w:cs="Arial"/>
          <w:color w:val="808080" w:themeColor="background1" w:themeShade="80"/>
          <w:sz w:val="22"/>
          <w:szCs w:val="22"/>
          <w:lang w:val="en-GB"/>
        </w:rPr>
        <w:t>may precipitate much more caution on the part of states in signing or ratifying them. This is the reason why “soft law”, which operates to guide (rather than mandate) the adoption of mechanisms to recognise cross-border insolvency proceedings, has greater influence.</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5ABE1D47" w14:textId="77777777" w:rsidR="00A6356B" w:rsidRDefault="006658D8" w:rsidP="00692852">
      <w:pPr>
        <w:jc w:val="both"/>
        <w:rPr>
          <w:rFonts w:ascii="Avenir Next" w:hAnsi="Avenir Next" w:cs="Arial"/>
          <w:color w:val="808080" w:themeColor="background1" w:themeShade="80"/>
          <w:sz w:val="22"/>
          <w:szCs w:val="22"/>
          <w:lang w:val="en-GB"/>
        </w:rPr>
      </w:pPr>
      <w:r w:rsidRPr="00D5333F">
        <w:rPr>
          <w:rFonts w:ascii="Avenir Next" w:hAnsi="Avenir Next" w:cs="Arial"/>
          <w:color w:val="808080" w:themeColor="background1" w:themeShade="80"/>
          <w:sz w:val="22"/>
          <w:szCs w:val="22"/>
          <w:lang w:val="en-GB"/>
        </w:rPr>
        <w:t xml:space="preserve">Formal insolvency proceedings </w:t>
      </w:r>
      <w:r w:rsidR="006C5098" w:rsidRPr="00D5333F">
        <w:rPr>
          <w:rFonts w:ascii="Avenir Next" w:hAnsi="Avenir Next" w:cs="Arial"/>
          <w:color w:val="808080" w:themeColor="background1" w:themeShade="80"/>
          <w:sz w:val="22"/>
          <w:szCs w:val="22"/>
          <w:lang w:val="en-GB"/>
        </w:rPr>
        <w:t xml:space="preserve">include insolvency proceedings and corporate rescue/restructuring programmes which generally </w:t>
      </w:r>
      <w:r w:rsidRPr="00D5333F">
        <w:rPr>
          <w:rFonts w:ascii="Avenir Next" w:hAnsi="Avenir Next" w:cs="Arial"/>
          <w:color w:val="808080" w:themeColor="background1" w:themeShade="80"/>
          <w:sz w:val="22"/>
          <w:szCs w:val="22"/>
          <w:lang w:val="en-GB"/>
        </w:rPr>
        <w:t xml:space="preserve">require court intervention / sanction to proceed. Informal insolvency </w:t>
      </w:r>
      <w:r w:rsidRPr="00D5333F">
        <w:rPr>
          <w:rFonts w:ascii="Avenir Next" w:hAnsi="Avenir Next" w:cs="Arial"/>
          <w:color w:val="808080" w:themeColor="background1" w:themeShade="80"/>
          <w:sz w:val="22"/>
          <w:szCs w:val="22"/>
          <w:lang w:val="en-GB"/>
        </w:rPr>
        <w:lastRenderedPageBreak/>
        <w:t>arrangements</w:t>
      </w:r>
      <w:r w:rsidR="006C5098" w:rsidRPr="00D5333F">
        <w:rPr>
          <w:rFonts w:ascii="Avenir Next" w:hAnsi="Avenir Next" w:cs="Arial"/>
          <w:color w:val="808080" w:themeColor="background1" w:themeShade="80"/>
          <w:sz w:val="22"/>
          <w:szCs w:val="22"/>
          <w:lang w:val="en-GB"/>
        </w:rPr>
        <w:t xml:space="preserve"> are usually voluntary reorganisation plans which are reached with the consent and mutual agreement of the debtor and creditor(s). </w:t>
      </w:r>
    </w:p>
    <w:p w14:paraId="2CC10856" w14:textId="77777777" w:rsidR="00A6356B" w:rsidRDefault="00A6356B" w:rsidP="00692852">
      <w:pPr>
        <w:jc w:val="both"/>
        <w:rPr>
          <w:rFonts w:ascii="Avenir Next" w:hAnsi="Avenir Next" w:cs="Arial"/>
          <w:color w:val="808080" w:themeColor="background1" w:themeShade="80"/>
          <w:sz w:val="22"/>
          <w:szCs w:val="22"/>
          <w:lang w:val="en-GB"/>
        </w:rPr>
      </w:pPr>
    </w:p>
    <w:p w14:paraId="7CBF012E" w14:textId="4A760595" w:rsidR="001E1C34" w:rsidRPr="00D5333F" w:rsidRDefault="006C5098" w:rsidP="00692852">
      <w:pPr>
        <w:jc w:val="both"/>
        <w:rPr>
          <w:rFonts w:ascii="Avenir Next" w:hAnsi="Avenir Next" w:cs="Arial"/>
          <w:color w:val="808080" w:themeColor="background1" w:themeShade="80"/>
          <w:sz w:val="22"/>
          <w:szCs w:val="22"/>
          <w:lang w:val="en-GB"/>
        </w:rPr>
      </w:pPr>
      <w:r w:rsidRPr="00D5333F">
        <w:rPr>
          <w:rFonts w:ascii="Avenir Next" w:hAnsi="Avenir Next" w:cs="Arial"/>
          <w:color w:val="808080" w:themeColor="background1" w:themeShade="80"/>
          <w:sz w:val="22"/>
          <w:szCs w:val="22"/>
          <w:lang w:val="en-GB"/>
        </w:rPr>
        <w:t>For Lobo, informal arrangements</w:t>
      </w:r>
      <w:r w:rsidR="006658D8" w:rsidRPr="00D5333F">
        <w:rPr>
          <w:rFonts w:ascii="Avenir Next" w:hAnsi="Avenir Next" w:cs="Arial"/>
          <w:color w:val="808080" w:themeColor="background1" w:themeShade="80"/>
          <w:sz w:val="22"/>
          <w:szCs w:val="22"/>
          <w:lang w:val="en-GB"/>
        </w:rPr>
        <w:t xml:space="preserve"> such as workouts </w:t>
      </w:r>
      <w:r w:rsidR="00273F88" w:rsidRPr="00D5333F">
        <w:rPr>
          <w:rFonts w:ascii="Avenir Next" w:hAnsi="Avenir Next" w:cs="Arial"/>
          <w:color w:val="808080" w:themeColor="background1" w:themeShade="80"/>
          <w:sz w:val="22"/>
          <w:szCs w:val="22"/>
          <w:lang w:val="en-GB"/>
        </w:rPr>
        <w:t>are beneficial in providing</w:t>
      </w:r>
      <w:r w:rsidR="006658D8" w:rsidRPr="00D5333F">
        <w:rPr>
          <w:rFonts w:ascii="Avenir Next" w:hAnsi="Avenir Next" w:cs="Arial"/>
          <w:color w:val="808080" w:themeColor="background1" w:themeShade="80"/>
          <w:sz w:val="22"/>
          <w:szCs w:val="22"/>
          <w:lang w:val="en-GB"/>
        </w:rPr>
        <w:t xml:space="preserve"> more flexibility to deal with the existing debt obligations between Lobo and FPPL</w:t>
      </w:r>
      <w:r w:rsidRPr="00D5333F">
        <w:rPr>
          <w:rFonts w:ascii="Avenir Next" w:hAnsi="Avenir Next" w:cs="Arial"/>
          <w:color w:val="808080" w:themeColor="background1" w:themeShade="80"/>
          <w:sz w:val="22"/>
          <w:szCs w:val="22"/>
          <w:lang w:val="en-GB"/>
        </w:rPr>
        <w:t xml:space="preserve">, and will more likely preserve Lobo’s enterprise value even as restructuring is underway as it is generally more collaborative and generates less negative publicity. The disadvantage to Lobo for pursuing an informal workout arrangement is the risk that FPPL commences proceedings </w:t>
      </w:r>
      <w:r w:rsidR="00AD41F8" w:rsidRPr="00D5333F">
        <w:rPr>
          <w:rFonts w:ascii="Avenir Next" w:hAnsi="Avenir Next" w:cs="Arial"/>
          <w:color w:val="808080" w:themeColor="background1" w:themeShade="80"/>
          <w:sz w:val="22"/>
          <w:szCs w:val="22"/>
          <w:lang w:val="en-GB"/>
        </w:rPr>
        <w:t>against it – unlike formal restructuring arrangements, there is no automatic stay in proceedings brought by creditors against it and this might thwart restructuring efforts.</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13D7D069" w:rsidR="001E1C34" w:rsidRPr="00AB63DE" w:rsidRDefault="00AD41F8" w:rsidP="00AD4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difficulty with this discovery is two-fold: (a) the court-supervised insolvency proceeding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may have been commenced without the court considering whether there ought to be recognition of the foreign insolvency proceedings (particularly if the moratorium should apply in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by virtue of the earlier concurrent proceedings in Encanto); and (b) </w:t>
      </w:r>
      <w:r w:rsidR="00FC77FA">
        <w:rPr>
          <w:rFonts w:ascii="Avenir Next" w:hAnsi="Avenir Next" w:cs="Arial"/>
          <w:color w:val="808080" w:themeColor="background1" w:themeShade="80"/>
          <w:sz w:val="22"/>
          <w:szCs w:val="22"/>
          <w:lang w:val="en-GB"/>
        </w:rPr>
        <w:t>potential blind spot if</w:t>
      </w:r>
      <w:r w:rsidR="00F40F3C">
        <w:rPr>
          <w:rFonts w:ascii="Avenir Next" w:hAnsi="Avenir Next" w:cs="Arial"/>
          <w:color w:val="808080" w:themeColor="background1" w:themeShade="80"/>
          <w:sz w:val="22"/>
          <w:szCs w:val="22"/>
          <w:lang w:val="en-GB"/>
        </w:rPr>
        <w:t xml:space="preserve"> there are any</w:t>
      </w:r>
      <w:r w:rsidR="006A2D86">
        <w:rPr>
          <w:rFonts w:ascii="Avenir Next" w:hAnsi="Avenir Next" w:cs="Arial"/>
          <w:color w:val="808080" w:themeColor="background1" w:themeShade="80"/>
          <w:sz w:val="22"/>
          <w:szCs w:val="22"/>
          <w:lang w:val="en-GB"/>
        </w:rPr>
        <w:t xml:space="preserve"> existing</w:t>
      </w:r>
      <w:r w:rsidR="00F40F3C">
        <w:rPr>
          <w:rFonts w:ascii="Avenir Next" w:hAnsi="Avenir Next" w:cs="Arial"/>
          <w:color w:val="808080" w:themeColor="background1" w:themeShade="80"/>
          <w:sz w:val="22"/>
          <w:szCs w:val="22"/>
          <w:lang w:val="en-GB"/>
        </w:rPr>
        <w:t xml:space="preserve"> </w:t>
      </w:r>
      <w:proofErr w:type="spellStart"/>
      <w:r w:rsidR="00F40F3C">
        <w:rPr>
          <w:rFonts w:ascii="Avenir Next" w:hAnsi="Avenir Next" w:cs="Arial"/>
          <w:color w:val="808080" w:themeColor="background1" w:themeShade="80"/>
          <w:sz w:val="22"/>
          <w:szCs w:val="22"/>
          <w:lang w:val="en-GB"/>
        </w:rPr>
        <w:t>Mareva</w:t>
      </w:r>
      <w:proofErr w:type="spellEnd"/>
      <w:r w:rsidR="00F40F3C">
        <w:rPr>
          <w:rFonts w:ascii="Avenir Next" w:hAnsi="Avenir Next" w:cs="Arial"/>
          <w:color w:val="808080" w:themeColor="background1" w:themeShade="80"/>
          <w:sz w:val="22"/>
          <w:szCs w:val="22"/>
          <w:lang w:val="en-GB"/>
        </w:rPr>
        <w:t xml:space="preserve"> injunctions against related parties / counter-parties disposing with the assets held by Lobo in </w:t>
      </w:r>
      <w:proofErr w:type="spellStart"/>
      <w:r w:rsidR="00F40F3C">
        <w:rPr>
          <w:rFonts w:ascii="Avenir Next" w:hAnsi="Avenir Next" w:cs="Arial"/>
          <w:color w:val="808080" w:themeColor="background1" w:themeShade="80"/>
          <w:sz w:val="22"/>
          <w:szCs w:val="22"/>
          <w:lang w:val="en-GB"/>
        </w:rPr>
        <w:t>Asgard</w:t>
      </w:r>
      <w:proofErr w:type="spellEnd"/>
      <w:r w:rsidR="00F40F3C">
        <w:rPr>
          <w:rFonts w:ascii="Avenir Next" w:hAnsi="Avenir Next" w:cs="Arial"/>
          <w:color w:val="808080" w:themeColor="background1" w:themeShade="80"/>
          <w:sz w:val="22"/>
          <w:szCs w:val="22"/>
          <w:lang w:val="en-GB"/>
        </w:rPr>
        <w:t xml:space="preserve">. </w:t>
      </w:r>
      <w:r w:rsidR="006A2D86">
        <w:rPr>
          <w:rFonts w:ascii="Avenir Next" w:hAnsi="Avenir Next" w:cs="Arial"/>
          <w:color w:val="808080" w:themeColor="background1" w:themeShade="80"/>
          <w:sz w:val="22"/>
          <w:szCs w:val="22"/>
          <w:lang w:val="en-GB"/>
        </w:rPr>
        <w:t xml:space="preserve">Assuming that </w:t>
      </w:r>
      <w:r w:rsidR="00F40F3C">
        <w:rPr>
          <w:rFonts w:ascii="Avenir Next" w:hAnsi="Avenir Next" w:cs="Arial"/>
          <w:color w:val="808080" w:themeColor="background1" w:themeShade="80"/>
          <w:sz w:val="22"/>
          <w:szCs w:val="22"/>
          <w:lang w:val="en-GB"/>
        </w:rPr>
        <w:t xml:space="preserve">the UNCITRAL Model Laws are </w:t>
      </w:r>
      <w:r w:rsidR="00F95837">
        <w:rPr>
          <w:rFonts w:ascii="Avenir Next" w:hAnsi="Avenir Next" w:cs="Arial"/>
          <w:color w:val="808080" w:themeColor="background1" w:themeShade="80"/>
          <w:sz w:val="22"/>
          <w:szCs w:val="22"/>
          <w:lang w:val="en-GB"/>
        </w:rPr>
        <w:t xml:space="preserve">adopted as legislation by </w:t>
      </w:r>
      <w:proofErr w:type="spellStart"/>
      <w:r w:rsidR="00F95837">
        <w:rPr>
          <w:rFonts w:ascii="Avenir Next" w:hAnsi="Avenir Next" w:cs="Arial"/>
          <w:color w:val="808080" w:themeColor="background1" w:themeShade="80"/>
          <w:sz w:val="22"/>
          <w:szCs w:val="22"/>
          <w:lang w:val="en-GB"/>
        </w:rPr>
        <w:t>Asgard</w:t>
      </w:r>
      <w:proofErr w:type="spellEnd"/>
      <w:r w:rsidR="00F95837">
        <w:rPr>
          <w:rFonts w:ascii="Avenir Next" w:hAnsi="Avenir Next" w:cs="Arial"/>
          <w:color w:val="808080" w:themeColor="background1" w:themeShade="80"/>
          <w:sz w:val="22"/>
          <w:szCs w:val="22"/>
          <w:lang w:val="en-GB"/>
        </w:rPr>
        <w:t xml:space="preserve">, Art 15 will allow a foreign insolvency representative to apply for recognition of the Encanto proceedings in </w:t>
      </w:r>
      <w:proofErr w:type="spellStart"/>
      <w:r w:rsidR="00F95837">
        <w:rPr>
          <w:rFonts w:ascii="Avenir Next" w:hAnsi="Avenir Next" w:cs="Arial"/>
          <w:color w:val="808080" w:themeColor="background1" w:themeShade="80"/>
          <w:sz w:val="22"/>
          <w:szCs w:val="22"/>
          <w:lang w:val="en-GB"/>
        </w:rPr>
        <w:t>Asgard</w:t>
      </w:r>
      <w:proofErr w:type="spellEnd"/>
      <w:r w:rsidR="00F95837">
        <w:rPr>
          <w:rFonts w:ascii="Avenir Next" w:hAnsi="Avenir Next" w:cs="Arial"/>
          <w:color w:val="808080" w:themeColor="background1" w:themeShade="80"/>
          <w:sz w:val="22"/>
          <w:szCs w:val="22"/>
          <w:lang w:val="en-GB"/>
        </w:rPr>
        <w:t xml:space="preserve">. </w:t>
      </w:r>
      <w:r w:rsidR="006A2D86">
        <w:rPr>
          <w:rFonts w:ascii="Avenir Next" w:hAnsi="Avenir Next" w:cs="Arial"/>
          <w:color w:val="808080" w:themeColor="background1" w:themeShade="80"/>
          <w:sz w:val="22"/>
          <w:szCs w:val="22"/>
          <w:lang w:val="en-GB"/>
        </w:rPr>
        <w:t>This is very</w:t>
      </w:r>
      <w:r w:rsidR="006A2D86">
        <w:rPr>
          <w:rFonts w:ascii="Avenir Next" w:hAnsi="Avenir Next" w:cs="Arial"/>
          <w:color w:val="808080" w:themeColor="background1" w:themeShade="80"/>
          <w:sz w:val="22"/>
          <w:szCs w:val="22"/>
          <w:lang w:val="en-GB"/>
        </w:rPr>
        <w:t xml:space="preserve"> useful </w:t>
      </w:r>
      <w:r w:rsidR="00FC77FA">
        <w:rPr>
          <w:rFonts w:ascii="Avenir Next" w:hAnsi="Avenir Next" w:cs="Arial"/>
          <w:color w:val="808080" w:themeColor="background1" w:themeShade="80"/>
          <w:sz w:val="22"/>
          <w:szCs w:val="22"/>
          <w:lang w:val="en-GB"/>
        </w:rPr>
        <w:t xml:space="preserve">to ensure that cross-border insolvency proceedings operate efficiently and to prevent any incentive for parties to transfer assets or judicial proceedings from one state to another in hopes of obtaining a more favourable legal position. Such benefits are enlarged </w:t>
      </w:r>
      <w:r w:rsidR="006A2D86">
        <w:rPr>
          <w:rFonts w:ascii="Avenir Next" w:hAnsi="Avenir Next" w:cs="Arial"/>
          <w:color w:val="808080" w:themeColor="background1" w:themeShade="80"/>
          <w:sz w:val="22"/>
          <w:szCs w:val="22"/>
          <w:lang w:val="en-GB"/>
        </w:rPr>
        <w:t xml:space="preserve">because </w:t>
      </w:r>
      <w:r w:rsidR="006A2D86">
        <w:rPr>
          <w:rFonts w:ascii="Avenir Next" w:hAnsi="Avenir Next" w:cs="Arial"/>
          <w:color w:val="808080" w:themeColor="background1" w:themeShade="80"/>
          <w:sz w:val="22"/>
          <w:szCs w:val="22"/>
          <w:lang w:val="en-GB"/>
        </w:rPr>
        <w:t>the UNCITRAL Model Laws</w:t>
      </w:r>
      <w:r w:rsidR="006A2D86">
        <w:rPr>
          <w:rFonts w:ascii="Avenir Next" w:hAnsi="Avenir Next" w:cs="Arial"/>
          <w:color w:val="808080" w:themeColor="background1" w:themeShade="80"/>
          <w:sz w:val="22"/>
          <w:szCs w:val="22"/>
          <w:lang w:val="en-GB"/>
        </w:rPr>
        <w:t xml:space="preserve"> do not require mutual recognition and it is generally widely adopted </w:t>
      </w:r>
      <w:r w:rsidR="006A2D86">
        <w:rPr>
          <w:rFonts w:ascii="Avenir Next" w:hAnsi="Avenir Next" w:cs="Arial"/>
          <w:color w:val="808080" w:themeColor="background1" w:themeShade="80"/>
          <w:sz w:val="22"/>
          <w:szCs w:val="22"/>
          <w:lang w:val="en-GB"/>
        </w:rPr>
        <w:t>globally</w:t>
      </w:r>
      <w:r w:rsidR="006A2D86">
        <w:rPr>
          <w:rFonts w:ascii="Avenir Next" w:hAnsi="Avenir Next" w:cs="Arial"/>
          <w:color w:val="808080" w:themeColor="background1" w:themeShade="80"/>
          <w:sz w:val="22"/>
          <w:szCs w:val="22"/>
          <w:lang w:val="en-GB"/>
        </w:rPr>
        <w:t xml:space="preserve">.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2F9F9FD4" w:rsidR="001E1C34" w:rsidRPr="00AB63DE" w:rsidRDefault="006658D8" w:rsidP="006658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EIR Recast would no longer apply to proceedings opened in the UK after 11pm on 31 December 2020. </w:t>
      </w:r>
      <w:r w:rsidR="00FC77FA">
        <w:rPr>
          <w:rFonts w:ascii="Avenir Next" w:hAnsi="Avenir Next" w:cs="Arial"/>
          <w:color w:val="808080" w:themeColor="background1" w:themeShade="80"/>
          <w:sz w:val="22"/>
          <w:szCs w:val="22"/>
          <w:lang w:val="en-GB"/>
        </w:rPr>
        <w:t>If the EIR Recast applied, then proceedings commenced in the UK would be recognised in all other member states of the European Union (except Denmark) without further formality. Given that the EIR Recast did not apply to the UK proceedings, the recognition of the English proceeding against FPPL opened on 30 June 2022 in another country in Europe will depend on the country’s local law. If the country has adopted the UNCITRL Model Law, an application may be taken out in that country to seek recognition of the English proceeding</w:t>
      </w:r>
      <w:r w:rsidR="00E827D6">
        <w:rPr>
          <w:rFonts w:ascii="Avenir Next" w:hAnsi="Avenir Next" w:cs="Arial"/>
          <w:color w:val="808080" w:themeColor="background1" w:themeShade="80"/>
          <w:sz w:val="22"/>
          <w:szCs w:val="22"/>
          <w:lang w:val="en-GB"/>
        </w:rPr>
        <w:t>.</w:t>
      </w:r>
      <w:r w:rsidR="00424EE6">
        <w:rPr>
          <w:rFonts w:ascii="Avenir Next" w:hAnsi="Avenir Next" w:cs="Arial"/>
          <w:color w:val="808080" w:themeColor="background1" w:themeShade="80"/>
          <w:sz w:val="22"/>
          <w:szCs w:val="22"/>
          <w:lang w:val="en-GB"/>
        </w:rPr>
        <w:t xml:space="preserve"> The consequence of the lack of automatic recognition of </w:t>
      </w:r>
      <w:r w:rsidR="00424EE6">
        <w:rPr>
          <w:rFonts w:ascii="Avenir Next" w:hAnsi="Avenir Next" w:cs="Arial"/>
          <w:color w:val="808080" w:themeColor="background1" w:themeShade="80"/>
          <w:sz w:val="22"/>
          <w:szCs w:val="22"/>
          <w:lang w:val="en-GB"/>
        </w:rPr>
        <w:lastRenderedPageBreak/>
        <w:t>the English proceeding in the European country is the non-applicability of the English law moratorium to preventing the commencement against a debtor. In other words, creditors like Lobo in the European country can race to enforce against any FPPL assets in its country or open main proceedings against FPPL in the other European country if it persuades the court that FPPL’s COMI is in that state.</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E5A8" w14:textId="77777777" w:rsidR="00B22CB9" w:rsidRDefault="00B22CB9" w:rsidP="00241B44">
      <w:r>
        <w:separator/>
      </w:r>
    </w:p>
  </w:endnote>
  <w:endnote w:type="continuationSeparator" w:id="0">
    <w:p w14:paraId="659FE2CA" w14:textId="77777777" w:rsidR="00B22CB9" w:rsidRDefault="00B22CB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5A876EC" w:rsidR="00B64A85" w:rsidRPr="00297BDF" w:rsidRDefault="00581887" w:rsidP="0052732A">
    <w:pPr>
      <w:pStyle w:val="Footer"/>
      <w:ind w:right="360"/>
      <w:rPr>
        <w:rFonts w:ascii="Avenir Next" w:hAnsi="Avenir Next" w:cs="Arial"/>
        <w:sz w:val="22"/>
        <w:szCs w:val="22"/>
      </w:rPr>
    </w:pPr>
    <w:r w:rsidRPr="00581887">
      <w:rPr>
        <w:rFonts w:ascii="Avenir Next" w:hAnsi="Avenir Next" w:cs="Arial"/>
        <w:sz w:val="22"/>
        <w:szCs w:val="22"/>
      </w:rPr>
      <w:t>202223-991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5227" w14:textId="77777777" w:rsidR="00B22CB9" w:rsidRDefault="00B22CB9" w:rsidP="00241B44">
      <w:r>
        <w:separator/>
      </w:r>
    </w:p>
  </w:footnote>
  <w:footnote w:type="continuationSeparator" w:id="0">
    <w:p w14:paraId="5B02FF05" w14:textId="77777777" w:rsidR="00B22CB9" w:rsidRDefault="00B22CB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875582">
    <w:abstractNumId w:val="18"/>
  </w:num>
  <w:num w:numId="2" w16cid:durableId="824860155">
    <w:abstractNumId w:val="22"/>
  </w:num>
  <w:num w:numId="3" w16cid:durableId="671565232">
    <w:abstractNumId w:val="2"/>
  </w:num>
  <w:num w:numId="4" w16cid:durableId="561985817">
    <w:abstractNumId w:val="3"/>
  </w:num>
  <w:num w:numId="5" w16cid:durableId="106507377">
    <w:abstractNumId w:val="14"/>
  </w:num>
  <w:num w:numId="6" w16cid:durableId="1917013231">
    <w:abstractNumId w:val="19"/>
  </w:num>
  <w:num w:numId="7" w16cid:durableId="1154761887">
    <w:abstractNumId w:val="8"/>
  </w:num>
  <w:num w:numId="8" w16cid:durableId="1125270672">
    <w:abstractNumId w:val="23"/>
  </w:num>
  <w:num w:numId="9" w16cid:durableId="546842688">
    <w:abstractNumId w:val="7"/>
  </w:num>
  <w:num w:numId="10" w16cid:durableId="299458234">
    <w:abstractNumId w:val="20"/>
  </w:num>
  <w:num w:numId="11" w16cid:durableId="1645892781">
    <w:abstractNumId w:val="6"/>
  </w:num>
  <w:num w:numId="12" w16cid:durableId="1582719346">
    <w:abstractNumId w:val="21"/>
  </w:num>
  <w:num w:numId="13" w16cid:durableId="871502141">
    <w:abstractNumId w:val="13"/>
  </w:num>
  <w:num w:numId="14" w16cid:durableId="374738265">
    <w:abstractNumId w:val="12"/>
  </w:num>
  <w:num w:numId="15" w16cid:durableId="213392506">
    <w:abstractNumId w:val="4"/>
  </w:num>
  <w:num w:numId="16" w16cid:durableId="1531380175">
    <w:abstractNumId w:val="15"/>
  </w:num>
  <w:num w:numId="17" w16cid:durableId="1568418017">
    <w:abstractNumId w:val="10"/>
  </w:num>
  <w:num w:numId="18" w16cid:durableId="1510212597">
    <w:abstractNumId w:val="11"/>
  </w:num>
  <w:num w:numId="19" w16cid:durableId="126122162">
    <w:abstractNumId w:val="17"/>
  </w:num>
  <w:num w:numId="20" w16cid:durableId="190152424">
    <w:abstractNumId w:val="5"/>
  </w:num>
  <w:num w:numId="21" w16cid:durableId="622541001">
    <w:abstractNumId w:val="9"/>
  </w:num>
  <w:num w:numId="22" w16cid:durableId="510753634">
    <w:abstractNumId w:val="0"/>
  </w:num>
  <w:num w:numId="23" w16cid:durableId="501287639">
    <w:abstractNumId w:val="16"/>
  </w:num>
  <w:num w:numId="24" w16cid:durableId="36563756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SG"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2F4"/>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2313"/>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4AD0"/>
    <w:rsid w:val="00193AB3"/>
    <w:rsid w:val="00193AD3"/>
    <w:rsid w:val="001966D9"/>
    <w:rsid w:val="00197963"/>
    <w:rsid w:val="001A620B"/>
    <w:rsid w:val="001A716A"/>
    <w:rsid w:val="001A7E9A"/>
    <w:rsid w:val="001B0F70"/>
    <w:rsid w:val="001B5016"/>
    <w:rsid w:val="001B6CEE"/>
    <w:rsid w:val="001C45FC"/>
    <w:rsid w:val="001C594A"/>
    <w:rsid w:val="001D1BF7"/>
    <w:rsid w:val="001D2E04"/>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5873"/>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3F88"/>
    <w:rsid w:val="00275182"/>
    <w:rsid w:val="00275946"/>
    <w:rsid w:val="00276414"/>
    <w:rsid w:val="00276FEA"/>
    <w:rsid w:val="0028252D"/>
    <w:rsid w:val="00284EBE"/>
    <w:rsid w:val="00286720"/>
    <w:rsid w:val="002872E1"/>
    <w:rsid w:val="00287B2E"/>
    <w:rsid w:val="00287D4D"/>
    <w:rsid w:val="00290116"/>
    <w:rsid w:val="00292B2B"/>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A58"/>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4EE6"/>
    <w:rsid w:val="00426969"/>
    <w:rsid w:val="00426B64"/>
    <w:rsid w:val="00430FED"/>
    <w:rsid w:val="00434A8C"/>
    <w:rsid w:val="00437297"/>
    <w:rsid w:val="00437ABE"/>
    <w:rsid w:val="00440AC5"/>
    <w:rsid w:val="004412F9"/>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13A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4F7A2B"/>
    <w:rsid w:val="0050085E"/>
    <w:rsid w:val="0050156C"/>
    <w:rsid w:val="005037B9"/>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4320"/>
    <w:rsid w:val="005650E2"/>
    <w:rsid w:val="00566D80"/>
    <w:rsid w:val="00567AD7"/>
    <w:rsid w:val="005716C3"/>
    <w:rsid w:val="00573594"/>
    <w:rsid w:val="00575B2D"/>
    <w:rsid w:val="005800D0"/>
    <w:rsid w:val="00580417"/>
    <w:rsid w:val="00581887"/>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E7019"/>
    <w:rsid w:val="005F026D"/>
    <w:rsid w:val="005F0764"/>
    <w:rsid w:val="005F19FA"/>
    <w:rsid w:val="005F244F"/>
    <w:rsid w:val="005F2D0B"/>
    <w:rsid w:val="005F453F"/>
    <w:rsid w:val="005F4B31"/>
    <w:rsid w:val="005F5449"/>
    <w:rsid w:val="005F6059"/>
    <w:rsid w:val="005F77C8"/>
    <w:rsid w:val="0060397D"/>
    <w:rsid w:val="00604723"/>
    <w:rsid w:val="00610388"/>
    <w:rsid w:val="00612092"/>
    <w:rsid w:val="00612CA5"/>
    <w:rsid w:val="00614858"/>
    <w:rsid w:val="006153EC"/>
    <w:rsid w:val="00620ACA"/>
    <w:rsid w:val="00621A17"/>
    <w:rsid w:val="0062260C"/>
    <w:rsid w:val="006241D5"/>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58D8"/>
    <w:rsid w:val="006661EF"/>
    <w:rsid w:val="006714B9"/>
    <w:rsid w:val="006746CB"/>
    <w:rsid w:val="00677AEB"/>
    <w:rsid w:val="00680EF2"/>
    <w:rsid w:val="00682A3E"/>
    <w:rsid w:val="006850AE"/>
    <w:rsid w:val="00686C53"/>
    <w:rsid w:val="00687A1D"/>
    <w:rsid w:val="00692852"/>
    <w:rsid w:val="00697EA1"/>
    <w:rsid w:val="006A051A"/>
    <w:rsid w:val="006A2646"/>
    <w:rsid w:val="006A2D86"/>
    <w:rsid w:val="006A6530"/>
    <w:rsid w:val="006A695F"/>
    <w:rsid w:val="006A6D1D"/>
    <w:rsid w:val="006B2893"/>
    <w:rsid w:val="006B435A"/>
    <w:rsid w:val="006B4539"/>
    <w:rsid w:val="006B4C64"/>
    <w:rsid w:val="006B5AE8"/>
    <w:rsid w:val="006C509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1B1"/>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209"/>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5612"/>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B5F"/>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69A"/>
    <w:rsid w:val="00912C79"/>
    <w:rsid w:val="00913FB9"/>
    <w:rsid w:val="00915010"/>
    <w:rsid w:val="0091528C"/>
    <w:rsid w:val="009173D1"/>
    <w:rsid w:val="0092195E"/>
    <w:rsid w:val="0092350E"/>
    <w:rsid w:val="00923CCC"/>
    <w:rsid w:val="00926D10"/>
    <w:rsid w:val="009275FE"/>
    <w:rsid w:val="00932009"/>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BD2"/>
    <w:rsid w:val="00966E44"/>
    <w:rsid w:val="00966EAE"/>
    <w:rsid w:val="009703BD"/>
    <w:rsid w:val="009708BB"/>
    <w:rsid w:val="009727DF"/>
    <w:rsid w:val="009729E8"/>
    <w:rsid w:val="00974224"/>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0F55"/>
    <w:rsid w:val="009C1527"/>
    <w:rsid w:val="009C1BC8"/>
    <w:rsid w:val="009C2442"/>
    <w:rsid w:val="009C2628"/>
    <w:rsid w:val="009C26AB"/>
    <w:rsid w:val="009C27B1"/>
    <w:rsid w:val="009C687D"/>
    <w:rsid w:val="009C7F17"/>
    <w:rsid w:val="009D0811"/>
    <w:rsid w:val="009D0E12"/>
    <w:rsid w:val="009D0EE1"/>
    <w:rsid w:val="009D259B"/>
    <w:rsid w:val="009D382E"/>
    <w:rsid w:val="009D43D0"/>
    <w:rsid w:val="009D510C"/>
    <w:rsid w:val="009D5CDB"/>
    <w:rsid w:val="009D6709"/>
    <w:rsid w:val="009E13C1"/>
    <w:rsid w:val="009E2A9C"/>
    <w:rsid w:val="009E2AEB"/>
    <w:rsid w:val="009E2E27"/>
    <w:rsid w:val="009E44C0"/>
    <w:rsid w:val="009E4DE3"/>
    <w:rsid w:val="009E50C1"/>
    <w:rsid w:val="009E73FF"/>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356B"/>
    <w:rsid w:val="00A646E2"/>
    <w:rsid w:val="00A651A9"/>
    <w:rsid w:val="00A6627C"/>
    <w:rsid w:val="00A71019"/>
    <w:rsid w:val="00A717B0"/>
    <w:rsid w:val="00A74136"/>
    <w:rsid w:val="00A81029"/>
    <w:rsid w:val="00A82AFB"/>
    <w:rsid w:val="00A8485D"/>
    <w:rsid w:val="00A86584"/>
    <w:rsid w:val="00A86B29"/>
    <w:rsid w:val="00A90BDB"/>
    <w:rsid w:val="00A94F10"/>
    <w:rsid w:val="00A96062"/>
    <w:rsid w:val="00A96489"/>
    <w:rsid w:val="00A96BB0"/>
    <w:rsid w:val="00A97D88"/>
    <w:rsid w:val="00AA0E39"/>
    <w:rsid w:val="00AA1DE0"/>
    <w:rsid w:val="00AA1F76"/>
    <w:rsid w:val="00AA23CE"/>
    <w:rsid w:val="00AA2CBD"/>
    <w:rsid w:val="00AA5941"/>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C7F4F"/>
    <w:rsid w:val="00AD0662"/>
    <w:rsid w:val="00AD1B6B"/>
    <w:rsid w:val="00AD331C"/>
    <w:rsid w:val="00AD41F8"/>
    <w:rsid w:val="00AD57A5"/>
    <w:rsid w:val="00AD65A8"/>
    <w:rsid w:val="00AD74AD"/>
    <w:rsid w:val="00AD7A9A"/>
    <w:rsid w:val="00AE027F"/>
    <w:rsid w:val="00AE326D"/>
    <w:rsid w:val="00AE4D6F"/>
    <w:rsid w:val="00AF228E"/>
    <w:rsid w:val="00AF455B"/>
    <w:rsid w:val="00AF5899"/>
    <w:rsid w:val="00B0123F"/>
    <w:rsid w:val="00B024FE"/>
    <w:rsid w:val="00B04004"/>
    <w:rsid w:val="00B12F13"/>
    <w:rsid w:val="00B14819"/>
    <w:rsid w:val="00B17AA9"/>
    <w:rsid w:val="00B221FF"/>
    <w:rsid w:val="00B2292D"/>
    <w:rsid w:val="00B22CB9"/>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5BDC"/>
    <w:rsid w:val="00B66053"/>
    <w:rsid w:val="00B7193E"/>
    <w:rsid w:val="00B72999"/>
    <w:rsid w:val="00B72FD7"/>
    <w:rsid w:val="00B736DF"/>
    <w:rsid w:val="00B74FBD"/>
    <w:rsid w:val="00B76E2A"/>
    <w:rsid w:val="00B82586"/>
    <w:rsid w:val="00B829A3"/>
    <w:rsid w:val="00B84CE9"/>
    <w:rsid w:val="00B86537"/>
    <w:rsid w:val="00B86DB1"/>
    <w:rsid w:val="00B87869"/>
    <w:rsid w:val="00B87A61"/>
    <w:rsid w:val="00B927A3"/>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6C2C"/>
    <w:rsid w:val="00BD71D7"/>
    <w:rsid w:val="00BD7D49"/>
    <w:rsid w:val="00BE2464"/>
    <w:rsid w:val="00BE724F"/>
    <w:rsid w:val="00BF2B49"/>
    <w:rsid w:val="00BF2E7A"/>
    <w:rsid w:val="00BF3D02"/>
    <w:rsid w:val="00BF40B9"/>
    <w:rsid w:val="00BF50F7"/>
    <w:rsid w:val="00BF5D90"/>
    <w:rsid w:val="00C00231"/>
    <w:rsid w:val="00C01017"/>
    <w:rsid w:val="00C013D3"/>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3ED"/>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0DBD"/>
    <w:rsid w:val="00C92A0D"/>
    <w:rsid w:val="00C952A2"/>
    <w:rsid w:val="00C963D3"/>
    <w:rsid w:val="00CA1802"/>
    <w:rsid w:val="00CA79F7"/>
    <w:rsid w:val="00CB262C"/>
    <w:rsid w:val="00CB2CBB"/>
    <w:rsid w:val="00CB7283"/>
    <w:rsid w:val="00CB7CAC"/>
    <w:rsid w:val="00CC3CFE"/>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27439"/>
    <w:rsid w:val="00D35229"/>
    <w:rsid w:val="00D35ADE"/>
    <w:rsid w:val="00D35EAE"/>
    <w:rsid w:val="00D4685B"/>
    <w:rsid w:val="00D5333F"/>
    <w:rsid w:val="00D57C59"/>
    <w:rsid w:val="00D60215"/>
    <w:rsid w:val="00D60874"/>
    <w:rsid w:val="00D63EFD"/>
    <w:rsid w:val="00D6588F"/>
    <w:rsid w:val="00D668DF"/>
    <w:rsid w:val="00D676F1"/>
    <w:rsid w:val="00D714E4"/>
    <w:rsid w:val="00D829EB"/>
    <w:rsid w:val="00D84752"/>
    <w:rsid w:val="00D86A74"/>
    <w:rsid w:val="00D86B3B"/>
    <w:rsid w:val="00D8748A"/>
    <w:rsid w:val="00D905E4"/>
    <w:rsid w:val="00D910D5"/>
    <w:rsid w:val="00D9150E"/>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57FC9"/>
    <w:rsid w:val="00E6211B"/>
    <w:rsid w:val="00E6302B"/>
    <w:rsid w:val="00E6452F"/>
    <w:rsid w:val="00E64F45"/>
    <w:rsid w:val="00E6525B"/>
    <w:rsid w:val="00E6742D"/>
    <w:rsid w:val="00E71CB0"/>
    <w:rsid w:val="00E7537E"/>
    <w:rsid w:val="00E7793C"/>
    <w:rsid w:val="00E77C3D"/>
    <w:rsid w:val="00E80299"/>
    <w:rsid w:val="00E8272F"/>
    <w:rsid w:val="00E827D6"/>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4F98"/>
    <w:rsid w:val="00F15181"/>
    <w:rsid w:val="00F1631F"/>
    <w:rsid w:val="00F1640B"/>
    <w:rsid w:val="00F2025D"/>
    <w:rsid w:val="00F20842"/>
    <w:rsid w:val="00F23459"/>
    <w:rsid w:val="00F25C23"/>
    <w:rsid w:val="00F27CD8"/>
    <w:rsid w:val="00F30351"/>
    <w:rsid w:val="00F3144D"/>
    <w:rsid w:val="00F3291D"/>
    <w:rsid w:val="00F3323E"/>
    <w:rsid w:val="00F341F4"/>
    <w:rsid w:val="00F34F9D"/>
    <w:rsid w:val="00F34FAD"/>
    <w:rsid w:val="00F3554C"/>
    <w:rsid w:val="00F35CCE"/>
    <w:rsid w:val="00F35D73"/>
    <w:rsid w:val="00F366E1"/>
    <w:rsid w:val="00F37098"/>
    <w:rsid w:val="00F40F3C"/>
    <w:rsid w:val="00F42B4B"/>
    <w:rsid w:val="00F4376C"/>
    <w:rsid w:val="00F44D8C"/>
    <w:rsid w:val="00F45599"/>
    <w:rsid w:val="00F50AC4"/>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83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7FA"/>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825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12</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Pearly ANG (SUPCOURT)</cp:lastModifiedBy>
  <cp:revision>39</cp:revision>
  <cp:lastPrinted>2020-06-12T02:43:00Z</cp:lastPrinted>
  <dcterms:created xsi:type="dcterms:W3CDTF">2022-11-12T06:31:00Z</dcterms:created>
  <dcterms:modified xsi:type="dcterms:W3CDTF">2022-11-15T17:52:00Z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0cdb6729-b45c-4a11-ac47-f8584fc7ec0a_Enabled">
    <vt:lpwstr>true</vt:lpwstr>
  </property>
  <property fmtid="{D5CDD505-2E9C-101B-9397-08002B2CF9AE}" pid="4" name="MSIP_Label_0cdb6729-b45c-4a11-ac47-f8584fc7ec0a_SetDate">
    <vt:lpwstr>2022-11-14T05:55:33Z</vt:lpwstr>
  </property>
  <property fmtid="{D5CDD505-2E9C-101B-9397-08002B2CF9AE}" pid="5" name="MSIP_Label_0cdb6729-b45c-4a11-ac47-f8584fc7ec0a_Method">
    <vt:lpwstr>Privileged</vt:lpwstr>
  </property>
  <property fmtid="{D5CDD505-2E9C-101B-9397-08002B2CF9AE}" pid="6" name="MSIP_Label_0cdb6729-b45c-4a11-ac47-f8584fc7ec0a_Name">
    <vt:lpwstr>Non Sensitive_3</vt:lpwstr>
  </property>
  <property fmtid="{D5CDD505-2E9C-101B-9397-08002B2CF9AE}" pid="7" name="MSIP_Label_0cdb6729-b45c-4a11-ac47-f8584fc7ec0a_SiteId">
    <vt:lpwstr>0b11c524-9a1c-4e1b-84cb-6336aefc2243</vt:lpwstr>
  </property>
  <property fmtid="{D5CDD505-2E9C-101B-9397-08002B2CF9AE}" pid="8" name="MSIP_Label_0cdb6729-b45c-4a11-ac47-f8584fc7ec0a_ActionId">
    <vt:lpwstr>e40901f5-5c4c-4b6e-9d9e-eb93e33fffc1</vt:lpwstr>
  </property>
  <property fmtid="{D5CDD505-2E9C-101B-9397-08002B2CF9AE}" pid="9" name="MSIP_Label_0cdb6729-b45c-4a11-ac47-f8584fc7ec0a_ContentBits">
    <vt:lpwstr>0</vt:lpwstr>
  </property>
</Properties>
</file>