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AB63DE">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AB63DE">
        <w:rPr>
          <w:rFonts w:ascii="Avenir Next" w:hAnsi="Avenir Next" w:cs="Arial"/>
          <w:sz w:val="22"/>
          <w:szCs w:val="22"/>
          <w:vertAlign w:val="superscript"/>
        </w:rPr>
        <w:t>th</w:t>
      </w:r>
      <w:r w:rsidRPr="00AB63DE">
        <w:rPr>
          <w:rFonts w:ascii="Avenir Next" w:hAnsi="Avenir Next" w:cs="Arial"/>
          <w:sz w:val="22"/>
          <w:szCs w:val="22"/>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Pr="00330540" w:rsidRDefault="002D2356" w:rsidP="008071D5">
      <w:pPr>
        <w:pStyle w:val="ListParagraph"/>
        <w:numPr>
          <w:ilvl w:val="0"/>
          <w:numId w:val="15"/>
        </w:numPr>
        <w:ind w:left="425" w:hanging="357"/>
        <w:jc w:val="both"/>
        <w:rPr>
          <w:rFonts w:ascii="Avenir Next" w:hAnsi="Avenir Next" w:cs="Arial"/>
          <w:sz w:val="22"/>
          <w:szCs w:val="22"/>
          <w:highlight w:val="yellow"/>
        </w:rPr>
      </w:pPr>
      <w:r w:rsidRPr="00330540">
        <w:rPr>
          <w:rFonts w:ascii="Avenir Next" w:hAnsi="Avenir Next" w:cs="Arial"/>
          <w:sz w:val="22"/>
          <w:szCs w:val="22"/>
          <w:highlight w:val="yellow"/>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14224" w:rsidRDefault="002D2356" w:rsidP="008071D5">
      <w:pPr>
        <w:pStyle w:val="ListParagraph"/>
        <w:numPr>
          <w:ilvl w:val="0"/>
          <w:numId w:val="16"/>
        </w:numPr>
        <w:ind w:left="426"/>
        <w:jc w:val="both"/>
        <w:rPr>
          <w:rFonts w:ascii="Avenir Next" w:hAnsi="Avenir Next" w:cs="Arial"/>
          <w:sz w:val="22"/>
          <w:szCs w:val="22"/>
          <w:highlight w:val="yellow"/>
        </w:rPr>
      </w:pPr>
      <w:r w:rsidRPr="00F14224">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A55BC" w:rsidRDefault="002D2356" w:rsidP="008071D5">
      <w:pPr>
        <w:pStyle w:val="ListParagraph"/>
        <w:numPr>
          <w:ilvl w:val="0"/>
          <w:numId w:val="17"/>
        </w:numPr>
        <w:ind w:left="426"/>
        <w:jc w:val="both"/>
        <w:rPr>
          <w:rFonts w:ascii="Avenir Next" w:hAnsi="Avenir Next" w:cs="Arial"/>
          <w:sz w:val="22"/>
          <w:szCs w:val="22"/>
          <w:highlight w:val="yellow"/>
        </w:rPr>
      </w:pPr>
      <w:r w:rsidRPr="001A55B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1A55BC" w:rsidRDefault="00466ED6" w:rsidP="008071D5">
      <w:pPr>
        <w:pStyle w:val="ListParagraph"/>
        <w:numPr>
          <w:ilvl w:val="0"/>
          <w:numId w:val="18"/>
        </w:numPr>
        <w:ind w:left="426"/>
        <w:jc w:val="both"/>
        <w:rPr>
          <w:rFonts w:ascii="Avenir Next" w:hAnsi="Avenir Next" w:cs="Arial"/>
          <w:sz w:val="22"/>
          <w:szCs w:val="22"/>
          <w:highlight w:val="yellow"/>
        </w:rPr>
      </w:pPr>
      <w:r w:rsidRPr="001A55B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1A55BC" w:rsidRDefault="002D2356" w:rsidP="008071D5">
      <w:pPr>
        <w:pStyle w:val="ListParagraph"/>
        <w:numPr>
          <w:ilvl w:val="0"/>
          <w:numId w:val="19"/>
        </w:numPr>
        <w:ind w:left="425" w:hanging="357"/>
        <w:jc w:val="both"/>
        <w:rPr>
          <w:rFonts w:ascii="Avenir Next" w:hAnsi="Avenir Next" w:cs="Arial"/>
          <w:sz w:val="22"/>
          <w:szCs w:val="22"/>
          <w:highlight w:val="yellow"/>
        </w:rPr>
      </w:pPr>
      <w:r w:rsidRPr="001A55BC">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E18C8"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8E18C8">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30540"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3054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30540">
        <w:rPr>
          <w:rFonts w:ascii="Avenir Next" w:eastAsiaTheme="minorHAnsi" w:hAnsi="Avenir Next" w:cs="Arial"/>
          <w:sz w:val="22"/>
          <w:szCs w:val="22"/>
          <w:highlight w:val="yellow"/>
          <w:lang w:val="en-GB"/>
        </w:rPr>
        <w:t xml:space="preserve"> </w:t>
      </w:r>
      <w:r w:rsidRPr="00330540">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330540">
        <w:rPr>
          <w:rFonts w:ascii="Avenir Next" w:hAnsi="Avenir Next" w:cs="Arial"/>
          <w:sz w:val="22"/>
          <w:szCs w:val="22"/>
          <w:highlight w:val="yellow"/>
        </w:rPr>
        <w:lastRenderedPageBreak/>
        <w:t>It may involve aspects of both public international law and private international law</w:t>
      </w:r>
      <w:r w:rsidRPr="00AB63DE">
        <w:rPr>
          <w:rFonts w:ascii="Avenir Next" w:hAnsi="Avenir Next" w:cs="Arial"/>
          <w:sz w:val="22"/>
          <w:szCs w:val="22"/>
        </w:rPr>
        <w:t>.</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30540" w:rsidRDefault="00F5239B" w:rsidP="008071D5">
      <w:pPr>
        <w:pStyle w:val="ListParagraph"/>
        <w:numPr>
          <w:ilvl w:val="0"/>
          <w:numId w:val="23"/>
        </w:numPr>
        <w:ind w:left="426"/>
        <w:jc w:val="both"/>
        <w:rPr>
          <w:rFonts w:ascii="Avenir Next" w:hAnsi="Avenir Next" w:cs="Arial"/>
          <w:sz w:val="22"/>
          <w:szCs w:val="22"/>
          <w:highlight w:val="yellow"/>
        </w:rPr>
      </w:pPr>
      <w:r w:rsidRPr="00330540">
        <w:rPr>
          <w:rFonts w:ascii="Avenir Next" w:hAnsi="Avenir Next" w:cs="Arial"/>
          <w:sz w:val="22"/>
          <w:szCs w:val="22"/>
          <w:highlight w:val="yellow"/>
        </w:rPr>
        <w:t xml:space="preserve">This statement is true because </w:t>
      </w:r>
      <w:r w:rsidR="007B5180" w:rsidRPr="0033054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30540" w:rsidRDefault="009355DB" w:rsidP="008071D5">
      <w:pPr>
        <w:pStyle w:val="ListParagraph"/>
        <w:numPr>
          <w:ilvl w:val="0"/>
          <w:numId w:val="24"/>
        </w:numPr>
        <w:ind w:left="426"/>
        <w:jc w:val="both"/>
        <w:rPr>
          <w:rFonts w:ascii="Avenir Next" w:hAnsi="Avenir Next" w:cs="Arial"/>
          <w:sz w:val="22"/>
          <w:szCs w:val="22"/>
          <w:highlight w:val="yellow"/>
        </w:rPr>
      </w:pPr>
      <w:r w:rsidRPr="00330540">
        <w:rPr>
          <w:rFonts w:ascii="Avenir Next" w:hAnsi="Avenir Next" w:cs="Arial"/>
          <w:sz w:val="22"/>
          <w:szCs w:val="22"/>
          <w:highlight w:val="yellow"/>
        </w:rPr>
        <w:t xml:space="preserve">This statement is true because </w:t>
      </w:r>
      <w:r w:rsidR="005C4FF2" w:rsidRPr="0033054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27B7370" w:rsidR="0081547D" w:rsidRPr="00AB63DE"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30540">
        <w:rPr>
          <w:rFonts w:ascii="Avenir Next" w:hAnsi="Avenir Next" w:cs="Arial"/>
          <w:color w:val="808080" w:themeColor="background1" w:themeShade="80"/>
          <w:sz w:val="22"/>
          <w:szCs w:val="22"/>
          <w:lang w:val="en-GB"/>
        </w:rPr>
        <w:t xml:space="preserve">The historical roots of the various African </w:t>
      </w:r>
      <w:r w:rsidR="00B20692">
        <w:rPr>
          <w:rFonts w:ascii="Avenir Next" w:hAnsi="Avenir Next" w:cs="Arial"/>
          <w:color w:val="808080" w:themeColor="background1" w:themeShade="80"/>
          <w:sz w:val="22"/>
          <w:szCs w:val="22"/>
          <w:lang w:val="en-GB"/>
        </w:rPr>
        <w:t>jurisdictions</w:t>
      </w:r>
      <w:r w:rsidR="00330540">
        <w:rPr>
          <w:rFonts w:ascii="Avenir Next" w:hAnsi="Avenir Next" w:cs="Arial"/>
          <w:color w:val="808080" w:themeColor="background1" w:themeShade="80"/>
          <w:sz w:val="22"/>
          <w:szCs w:val="22"/>
          <w:lang w:val="en-GB"/>
        </w:rPr>
        <w:t xml:space="preserve"> can be traced to the colonial masters of the countries </w:t>
      </w:r>
      <w:r w:rsidR="00B20692">
        <w:rPr>
          <w:rFonts w:ascii="Avenir Next" w:hAnsi="Avenir Next" w:cs="Arial"/>
          <w:color w:val="808080" w:themeColor="background1" w:themeShade="80"/>
          <w:sz w:val="22"/>
          <w:szCs w:val="22"/>
          <w:lang w:val="en-GB"/>
        </w:rPr>
        <w:t xml:space="preserve">the countries in question. Countries that were colonised by the United Kingdom have the historical roots of their insolvency law in the Common Law. Other countries such as Angola and Mozambique have a civil law tradition based on Portuguese law. French speaking </w:t>
      </w:r>
      <w:r w:rsidR="00B20692">
        <w:rPr>
          <w:rFonts w:ascii="Avenir Next" w:hAnsi="Avenir Next" w:cs="Arial"/>
          <w:color w:val="808080" w:themeColor="background1" w:themeShade="80"/>
          <w:sz w:val="22"/>
          <w:szCs w:val="22"/>
          <w:lang w:val="en-GB"/>
        </w:rPr>
        <w:lastRenderedPageBreak/>
        <w:t>countries have French law roots while some countries such as Namibia, Zimbabwe and South Africa have a mis of Roma-Dutch law and Common law.</w:t>
      </w:r>
      <w:r w:rsidR="00330540">
        <w:rPr>
          <w:rFonts w:ascii="Avenir Next" w:hAnsi="Avenir Next" w:cs="Arial"/>
          <w:color w:val="808080" w:themeColor="background1" w:themeShade="80"/>
          <w:sz w:val="22"/>
          <w:szCs w:val="22"/>
          <w:lang w:val="en-GB"/>
        </w:rPr>
        <w:t xml:space="preserve"> </w:t>
      </w:r>
      <w:r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B29E084"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20692">
        <w:rPr>
          <w:rFonts w:ascii="Avenir Next" w:hAnsi="Avenir Next" w:cs="Arial"/>
          <w:color w:val="808080" w:themeColor="background1" w:themeShade="80"/>
          <w:sz w:val="22"/>
          <w:szCs w:val="22"/>
          <w:lang w:val="en-GB"/>
        </w:rPr>
        <w:t xml:space="preserve">The Asian financial crisis of 1998 affected Indonesia and Thailand greatly. Thailand devalued its currency against the United States dollar, leading to a deep financial crisis affecting property markets and balance of payments. </w:t>
      </w:r>
      <w:r w:rsidR="008E251A">
        <w:rPr>
          <w:rFonts w:ascii="Avenir Next" w:hAnsi="Avenir Next" w:cs="Arial"/>
          <w:color w:val="808080" w:themeColor="background1" w:themeShade="80"/>
          <w:sz w:val="22"/>
          <w:szCs w:val="22"/>
          <w:lang w:val="en-GB"/>
        </w:rPr>
        <w:t>This crisis led to Thailand overhauling its insolvency laws. Secondly, in 2020 Singapore came up with a unified law on insolvency, becoming a major role player in the region. The</w:t>
      </w:r>
      <w:r w:rsidR="008E251A" w:rsidRPr="008E251A">
        <w:t xml:space="preserve"> </w:t>
      </w:r>
      <w:r w:rsidR="008E251A" w:rsidRPr="008E251A">
        <w:rPr>
          <w:rFonts w:ascii="Avenir Next" w:hAnsi="Avenir Next" w:cs="Arial"/>
          <w:color w:val="808080" w:themeColor="background1" w:themeShade="80"/>
          <w:sz w:val="22"/>
          <w:szCs w:val="22"/>
          <w:lang w:val="en-GB"/>
        </w:rPr>
        <w:t>Insolvency, Restructuring and Dissolution Act 2018 (IRDA)</w:t>
      </w:r>
      <w:r w:rsidR="008E251A">
        <w:rPr>
          <w:rFonts w:ascii="Avenir Next" w:hAnsi="Avenir Next" w:cs="Arial"/>
          <w:color w:val="808080" w:themeColor="background1" w:themeShade="80"/>
          <w:sz w:val="22"/>
          <w:szCs w:val="22"/>
          <w:lang w:val="en-GB"/>
        </w:rPr>
        <w:t xml:space="preserve"> has been hailed as a positive move by most observers.</w:t>
      </w:r>
      <w:r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65B4C1D9" w14:textId="18B6529C" w:rsidR="00364AD4"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64AD4">
        <w:rPr>
          <w:rFonts w:ascii="Avenir Next" w:hAnsi="Avenir Next" w:cs="Arial"/>
          <w:color w:val="808080" w:themeColor="background1" w:themeShade="80"/>
          <w:sz w:val="22"/>
          <w:szCs w:val="22"/>
          <w:lang w:val="en-GB"/>
        </w:rPr>
        <w:t xml:space="preserve">The American Law Institute Transnational Insolvency Project has developed the ALI NAFTA Guidelines Applicable to Court to Court Communications in Cross Border Cases. This deals with international insolvencies involving the United States of America, Canada and Mexico. The </w:t>
      </w:r>
      <w:r w:rsidR="00CA599B">
        <w:rPr>
          <w:rFonts w:ascii="Avenir Next" w:hAnsi="Avenir Next" w:cs="Arial"/>
          <w:color w:val="808080" w:themeColor="background1" w:themeShade="80"/>
          <w:sz w:val="22"/>
          <w:szCs w:val="22"/>
          <w:lang w:val="en-GB"/>
        </w:rPr>
        <w:t>P</w:t>
      </w:r>
      <w:r w:rsidR="00364AD4">
        <w:rPr>
          <w:rFonts w:ascii="Avenir Next" w:hAnsi="Avenir Next" w:cs="Arial"/>
          <w:color w:val="808080" w:themeColor="background1" w:themeShade="80"/>
          <w:sz w:val="22"/>
          <w:szCs w:val="22"/>
          <w:lang w:val="en-GB"/>
        </w:rPr>
        <w:t xml:space="preserve">rinciples are complimentary to the model law on cross border insolvency. This means that the United States of America, Canada and Mexico can rely on the model law and the </w:t>
      </w:r>
      <w:r w:rsidR="00CA599B">
        <w:rPr>
          <w:rFonts w:ascii="Avenir Next" w:hAnsi="Avenir Next" w:cs="Arial"/>
          <w:color w:val="808080" w:themeColor="background1" w:themeShade="80"/>
          <w:sz w:val="22"/>
          <w:szCs w:val="22"/>
          <w:lang w:val="en-GB"/>
        </w:rPr>
        <w:t>P</w:t>
      </w:r>
      <w:r w:rsidR="00364AD4">
        <w:rPr>
          <w:rFonts w:ascii="Avenir Next" w:hAnsi="Avenir Next" w:cs="Arial"/>
          <w:color w:val="808080" w:themeColor="background1" w:themeShade="80"/>
          <w:sz w:val="22"/>
          <w:szCs w:val="22"/>
          <w:lang w:val="en-GB"/>
        </w:rPr>
        <w:t xml:space="preserve">rinciples. </w:t>
      </w:r>
    </w:p>
    <w:p w14:paraId="3B10BE24" w14:textId="01FE67AC" w:rsidR="00AB63DE" w:rsidRPr="00AB63DE" w:rsidRDefault="00364AD4"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Principles have been heralded as successful and effective, leading to the establishment of a project led by Fletcher and Wessels to consider the application of the ALI NAFTA Principles </w:t>
      </w:r>
      <w:r w:rsidR="00CA599B">
        <w:rPr>
          <w:rFonts w:ascii="Avenir Next" w:hAnsi="Avenir Next" w:cs="Arial"/>
          <w:color w:val="808080" w:themeColor="background1" w:themeShade="80"/>
          <w:sz w:val="22"/>
          <w:szCs w:val="22"/>
          <w:lang w:val="en-GB"/>
        </w:rPr>
        <w:t>worldwide</w:t>
      </w:r>
      <w:r>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w:t>
      </w:r>
      <w:bookmarkStart w:id="0" w:name="_Hlk119426456"/>
      <w:r w:rsidR="00092378" w:rsidRPr="004216EA">
        <w:rPr>
          <w:rFonts w:ascii="Avenir Next" w:hAnsi="Avenir Next" w:cs="Arial"/>
          <w:sz w:val="22"/>
          <w:szCs w:val="22"/>
          <w:lang w:val="en-GB"/>
        </w:rPr>
        <w:t>the possible historical reasons for the difference in approaches regarding the treatment of voidable dispositions</w:t>
      </w:r>
      <w:bookmarkEnd w:id="0"/>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54F84116"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8A255B" w:rsidRPr="008A255B">
        <w:t xml:space="preserve"> </w:t>
      </w:r>
      <w:r w:rsidR="008A255B" w:rsidRPr="008A255B">
        <w:rPr>
          <w:rFonts w:ascii="Avenir Next" w:hAnsi="Avenir Next" w:cs="Arial"/>
          <w:color w:val="808080" w:themeColor="background1" w:themeShade="80"/>
          <w:sz w:val="22"/>
          <w:szCs w:val="22"/>
          <w:lang w:val="en-GB"/>
        </w:rPr>
        <w:t xml:space="preserve">In civil law history the Actio Pauliana is a remedy that is available to protect creditors from fraudulent legal transactions, especially those that reduce the creditor’s estate through transfer to third parties. On the other </w:t>
      </w:r>
      <w:r w:rsidR="008A255B" w:rsidRPr="008A255B">
        <w:rPr>
          <w:rFonts w:ascii="Avenir Next" w:hAnsi="Avenir Next" w:cs="Arial"/>
          <w:color w:val="808080" w:themeColor="background1" w:themeShade="80"/>
          <w:sz w:val="22"/>
          <w:szCs w:val="22"/>
          <w:lang w:val="en-GB"/>
        </w:rPr>
        <w:t>hand,</w:t>
      </w:r>
      <w:r w:rsidR="008A255B" w:rsidRPr="008A255B">
        <w:rPr>
          <w:rFonts w:ascii="Avenir Next" w:hAnsi="Avenir Next" w:cs="Arial"/>
          <w:color w:val="808080" w:themeColor="background1" w:themeShade="80"/>
          <w:sz w:val="22"/>
          <w:szCs w:val="22"/>
          <w:lang w:val="en-GB"/>
        </w:rPr>
        <w:t xml:space="preserve"> the purpose of the Act of Elizabeth is to provide a way for creditors to reverse asset transfers of their debtors when the transfers were done </w:t>
      </w:r>
      <w:r w:rsidR="008A255B" w:rsidRPr="008A255B">
        <w:rPr>
          <w:rFonts w:ascii="Avenir Next" w:hAnsi="Avenir Next" w:cs="Arial"/>
          <w:color w:val="808080" w:themeColor="background1" w:themeShade="80"/>
          <w:sz w:val="22"/>
          <w:szCs w:val="22"/>
          <w:lang w:val="en-GB"/>
        </w:rPr>
        <w:lastRenderedPageBreak/>
        <w:t>fraudulently. The aim of the actio</w:t>
      </w:r>
      <w:r w:rsidR="008A255B">
        <w:rPr>
          <w:rFonts w:ascii="Avenir Next" w:hAnsi="Avenir Next" w:cs="Arial"/>
          <w:color w:val="808080" w:themeColor="background1" w:themeShade="80"/>
          <w:sz w:val="22"/>
          <w:szCs w:val="22"/>
          <w:lang w:val="en-GB"/>
        </w:rPr>
        <w:t>n</w:t>
      </w:r>
      <w:r w:rsidR="008A255B" w:rsidRPr="008A255B">
        <w:rPr>
          <w:rFonts w:ascii="Avenir Next" w:hAnsi="Avenir Next" w:cs="Arial"/>
          <w:color w:val="808080" w:themeColor="background1" w:themeShade="80"/>
          <w:sz w:val="22"/>
          <w:szCs w:val="22"/>
          <w:lang w:val="en-GB"/>
        </w:rPr>
        <w:t xml:space="preserve"> is to return the creditor to the status before the voidable disposition. These rules are important to insolvency because they help protect the creditor from loss through fraudulent means.</w:t>
      </w:r>
      <w:r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7CAAEEE1"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A255B">
        <w:rPr>
          <w:rFonts w:ascii="Avenir Next" w:hAnsi="Avenir Next" w:cs="Arial"/>
          <w:color w:val="808080" w:themeColor="background1" w:themeShade="80"/>
          <w:sz w:val="22"/>
          <w:szCs w:val="22"/>
          <w:lang w:val="en-GB"/>
        </w:rPr>
        <w:t>This definition has limitations because it is not just the international aspect of a case that is important and must be taken into consideration but the legal systems of the countries involved. In the absence of a proper legal system, there is little that can be done. It is important to note and state that international insolvency law can involve various international aspects especially in relation to a case, but ultimately it is the legal systems of the states in which the insolvency is taking place, or countries in which the insolvent has assets whose law matters.</w:t>
      </w:r>
      <w:r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76C3853"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w:t>
      </w:r>
      <w:r w:rsidR="008A255B">
        <w:rPr>
          <w:rFonts w:ascii="Avenir Next" w:hAnsi="Avenir Next" w:cs="Arial"/>
          <w:color w:val="808080" w:themeColor="background1" w:themeShade="80"/>
          <w:sz w:val="22"/>
          <w:szCs w:val="22"/>
          <w:lang w:val="en-GB"/>
        </w:rPr>
        <w:t>reaties or connections are a source of cross border insolvency. However, the treaties or conventions have to be ratified or acceded to by state parties. Some states also require ratification because the treaties once acceded to do not automatically become part of domestic legislation.</w:t>
      </w:r>
      <w:r w:rsidR="00066C03">
        <w:rPr>
          <w:rFonts w:ascii="Avenir Next" w:hAnsi="Avenir Next" w:cs="Arial"/>
          <w:color w:val="808080" w:themeColor="background1" w:themeShade="80"/>
          <w:sz w:val="22"/>
          <w:szCs w:val="22"/>
          <w:lang w:val="en-GB"/>
        </w:rPr>
        <w:t xml:space="preserve"> Not a lot of success has been achieved by treaties or conventions. Such conventions as the Istanbul Convention, Council of Europe Treaty Series No. 136 did not achieve much success as it was not ratified by enough States for it to enter into force. More success has been achieved by the European Union Insolvency regulation (recast) </w:t>
      </w:r>
      <w:r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 xml:space="preserve">fallen </w:t>
      </w:r>
      <w:r w:rsidR="00385D73" w:rsidRPr="004216EA">
        <w:rPr>
          <w:rFonts w:ascii="Avenir Next" w:hAnsi="Avenir Next" w:cs="Arial"/>
          <w:sz w:val="22"/>
          <w:szCs w:val="22"/>
          <w:lang w:val="en-GB"/>
        </w:rPr>
        <w:lastRenderedPageBreak/>
        <w:t>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F423339" w14:textId="77777777" w:rsidR="005E6637"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966D23">
        <w:rPr>
          <w:rFonts w:ascii="Avenir Next" w:hAnsi="Avenir Next" w:cs="Arial"/>
          <w:color w:val="808080" w:themeColor="background1" w:themeShade="80"/>
          <w:sz w:val="22"/>
          <w:szCs w:val="22"/>
          <w:lang w:val="en-GB"/>
        </w:rPr>
        <w:t xml:space="preserve">Formal insolvency are initiated under and governed by insolvency law and provisions within the law whereas non formal or informal insolvency are not always regulated by the insolvency law and will involve negotiations between the debtor and some or all of its creditors. The main similarity therefore is that both under formal insolvency and informal insolvency there has to be an existence of an insolvency law. The difference between the two is that under inform insolvency there is a possibility of there being voluntary </w:t>
      </w:r>
      <w:r w:rsidR="005E6637">
        <w:rPr>
          <w:rFonts w:ascii="Avenir Next" w:hAnsi="Avenir Next" w:cs="Arial"/>
          <w:color w:val="808080" w:themeColor="background1" w:themeShade="80"/>
          <w:sz w:val="22"/>
          <w:szCs w:val="22"/>
          <w:lang w:val="en-GB"/>
        </w:rPr>
        <w:t>negotiations</w:t>
      </w:r>
      <w:r w:rsidR="00966D23">
        <w:rPr>
          <w:rFonts w:ascii="Avenir Next" w:hAnsi="Avenir Next" w:cs="Arial"/>
          <w:color w:val="808080" w:themeColor="background1" w:themeShade="80"/>
          <w:sz w:val="22"/>
          <w:szCs w:val="22"/>
          <w:lang w:val="en-GB"/>
        </w:rPr>
        <w:t xml:space="preserve"> unlike under a formal </w:t>
      </w:r>
      <w:r w:rsidR="005E6637">
        <w:rPr>
          <w:rFonts w:ascii="Avenir Next" w:hAnsi="Avenir Next" w:cs="Arial"/>
          <w:color w:val="808080" w:themeColor="background1" w:themeShade="80"/>
          <w:sz w:val="22"/>
          <w:szCs w:val="22"/>
          <w:lang w:val="en-GB"/>
        </w:rPr>
        <w:t xml:space="preserve">insolvency, especially if it involves liquidation, reorganisation or business rescue. </w:t>
      </w:r>
    </w:p>
    <w:p w14:paraId="47E9F9D0" w14:textId="77777777" w:rsidR="005E6637" w:rsidRDefault="005E6637" w:rsidP="001E1C34">
      <w:pPr>
        <w:ind w:left="720" w:hanging="720"/>
        <w:jc w:val="both"/>
        <w:rPr>
          <w:rFonts w:ascii="Avenir Next" w:hAnsi="Avenir Next" w:cs="Arial"/>
          <w:color w:val="808080" w:themeColor="background1" w:themeShade="80"/>
          <w:sz w:val="22"/>
          <w:szCs w:val="22"/>
          <w:lang w:val="en-GB"/>
        </w:rPr>
      </w:pPr>
    </w:p>
    <w:p w14:paraId="782A5C1B" w14:textId="77777777" w:rsidR="005E6637" w:rsidRDefault="005E663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Lobo should take advantage of the fact that in Encanto FPPL is doing well and if they enter into an arrangement, the company would be in a position to settle its liabilities as and when they will fall due.</w:t>
      </w:r>
      <w:r w:rsidR="00966D23">
        <w:rPr>
          <w:rFonts w:ascii="Avenir Next" w:hAnsi="Avenir Next" w:cs="Arial"/>
          <w:color w:val="808080" w:themeColor="background1" w:themeShade="80"/>
          <w:sz w:val="22"/>
          <w:szCs w:val="22"/>
          <w:lang w:val="en-GB"/>
        </w:rPr>
        <w:t xml:space="preserve"> </w:t>
      </w:r>
    </w:p>
    <w:p w14:paraId="3801A1C5" w14:textId="77777777" w:rsidR="005E6637" w:rsidRDefault="005E6637" w:rsidP="001E1C34">
      <w:pPr>
        <w:ind w:left="720" w:hanging="720"/>
        <w:jc w:val="both"/>
        <w:rPr>
          <w:rFonts w:ascii="Avenir Next" w:hAnsi="Avenir Next" w:cs="Arial"/>
          <w:color w:val="808080" w:themeColor="background1" w:themeShade="80"/>
          <w:sz w:val="22"/>
          <w:szCs w:val="22"/>
          <w:lang w:val="en-GB"/>
        </w:rPr>
      </w:pPr>
    </w:p>
    <w:p w14:paraId="469D4E20" w14:textId="146C423E" w:rsidR="001E1C34" w:rsidRPr="00AB63DE" w:rsidRDefault="005E663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require further information on the legal systems of Encanto and Asgard as they relate to insolvency</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40B483A7"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E6637">
        <w:rPr>
          <w:rFonts w:ascii="Avenir Next" w:hAnsi="Avenir Next" w:cs="Arial"/>
          <w:color w:val="808080" w:themeColor="background1" w:themeShade="80"/>
          <w:sz w:val="22"/>
          <w:szCs w:val="22"/>
          <w:lang w:val="en-GB"/>
        </w:rPr>
        <w:t xml:space="preserve">Difficulties that may arise are whether or not Asgard and Encanto both have rules regarding cooperation among courts in different countries. It is therefore important that the countries have developed international insolvency instruments that support cooperation, failing which </w:t>
      </w:r>
      <w:r w:rsidR="000334E4">
        <w:rPr>
          <w:rFonts w:ascii="Avenir Next" w:hAnsi="Avenir Next" w:cs="Arial"/>
          <w:color w:val="808080" w:themeColor="background1" w:themeShade="80"/>
          <w:sz w:val="22"/>
          <w:szCs w:val="22"/>
          <w:lang w:val="en-GB"/>
        </w:rPr>
        <w:t>parties to cross border insolvency disputes will not be in a position to assert their rights.</w:t>
      </w:r>
      <w:r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w:t>
      </w:r>
      <w:r w:rsidR="00B12F13" w:rsidRPr="004216EA">
        <w:rPr>
          <w:rFonts w:ascii="Avenir Next" w:hAnsi="Avenir Next" w:cs="Arial"/>
          <w:sz w:val="22"/>
          <w:szCs w:val="22"/>
          <w:lang w:val="en-GB"/>
        </w:rPr>
        <w:lastRenderedPageBreak/>
        <w:t>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4686749"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0334E4">
        <w:rPr>
          <w:rFonts w:ascii="Avenir Next" w:hAnsi="Avenir Next" w:cs="Arial"/>
          <w:color w:val="808080" w:themeColor="background1" w:themeShade="80"/>
          <w:sz w:val="22"/>
          <w:szCs w:val="22"/>
          <w:lang w:val="en-GB"/>
        </w:rPr>
        <w:t>The European Insolvency Regulation Recast would not apply because the insolvency proceedings were commenced after the transition period which period ended on 31</w:t>
      </w:r>
      <w:r w:rsidR="000334E4" w:rsidRPr="000334E4">
        <w:rPr>
          <w:rFonts w:ascii="Avenir Next" w:hAnsi="Avenir Next" w:cs="Arial"/>
          <w:color w:val="808080" w:themeColor="background1" w:themeShade="80"/>
          <w:sz w:val="22"/>
          <w:szCs w:val="22"/>
          <w:vertAlign w:val="superscript"/>
          <w:lang w:val="en-GB"/>
        </w:rPr>
        <w:t>st</w:t>
      </w:r>
      <w:r w:rsidR="000334E4">
        <w:rPr>
          <w:rFonts w:ascii="Avenir Next" w:hAnsi="Avenir Next" w:cs="Arial"/>
          <w:color w:val="808080" w:themeColor="background1" w:themeShade="80"/>
          <w:sz w:val="22"/>
          <w:szCs w:val="22"/>
          <w:lang w:val="en-GB"/>
        </w:rPr>
        <w:t xml:space="preserve"> December 2020 </w:t>
      </w:r>
      <w:r w:rsidRPr="00AB63DE">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40BE" w14:textId="77777777" w:rsidR="00755471" w:rsidRDefault="00755471" w:rsidP="00241B44">
      <w:r>
        <w:separator/>
      </w:r>
    </w:p>
  </w:endnote>
  <w:endnote w:type="continuationSeparator" w:id="0">
    <w:p w14:paraId="39152AA4" w14:textId="77777777" w:rsidR="00755471" w:rsidRDefault="007554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F25139C" w:rsidR="00B64A85" w:rsidRPr="00297BDF" w:rsidRDefault="00A30F71" w:rsidP="0052732A">
    <w:pPr>
      <w:pStyle w:val="Footer"/>
      <w:ind w:right="360"/>
      <w:rPr>
        <w:rFonts w:ascii="Avenir Next" w:hAnsi="Avenir Next" w:cs="Arial"/>
        <w:sz w:val="22"/>
        <w:szCs w:val="22"/>
      </w:rPr>
    </w:pPr>
    <w:r w:rsidRPr="00A30F71">
      <w:rPr>
        <w:rFonts w:ascii="Avenir Next" w:hAnsi="Avenir Next" w:cs="Arial"/>
        <w:sz w:val="22"/>
        <w:szCs w:val="22"/>
      </w:rPr>
      <w:t>202223-</w:t>
    </w:r>
    <w:r>
      <w:rPr>
        <w:rFonts w:ascii="Avenir Next" w:hAnsi="Avenir Next" w:cs="Arial"/>
        <w:sz w:val="22"/>
        <w:szCs w:val="22"/>
      </w:rPr>
      <w:t>754</w:t>
    </w:r>
    <w:r w:rsidRPr="00A30F71">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EA38" w14:textId="77777777" w:rsidR="00755471" w:rsidRDefault="00755471" w:rsidP="00241B44">
      <w:r>
        <w:separator/>
      </w:r>
    </w:p>
  </w:footnote>
  <w:footnote w:type="continuationSeparator" w:id="0">
    <w:p w14:paraId="6E362811" w14:textId="77777777" w:rsidR="00755471" w:rsidRDefault="0075547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150638">
    <w:abstractNumId w:val="18"/>
  </w:num>
  <w:num w:numId="2" w16cid:durableId="738013801">
    <w:abstractNumId w:val="22"/>
  </w:num>
  <w:num w:numId="3" w16cid:durableId="841240450">
    <w:abstractNumId w:val="2"/>
  </w:num>
  <w:num w:numId="4" w16cid:durableId="1939634199">
    <w:abstractNumId w:val="3"/>
  </w:num>
  <w:num w:numId="5" w16cid:durableId="1522275947">
    <w:abstractNumId w:val="14"/>
  </w:num>
  <w:num w:numId="6" w16cid:durableId="1353068334">
    <w:abstractNumId w:val="19"/>
  </w:num>
  <w:num w:numId="7" w16cid:durableId="97068860">
    <w:abstractNumId w:val="8"/>
  </w:num>
  <w:num w:numId="8" w16cid:durableId="731079596">
    <w:abstractNumId w:val="23"/>
  </w:num>
  <w:num w:numId="9" w16cid:durableId="876042691">
    <w:abstractNumId w:val="7"/>
  </w:num>
  <w:num w:numId="10" w16cid:durableId="1876379971">
    <w:abstractNumId w:val="20"/>
  </w:num>
  <w:num w:numId="11" w16cid:durableId="1240483491">
    <w:abstractNumId w:val="6"/>
  </w:num>
  <w:num w:numId="12" w16cid:durableId="40525235">
    <w:abstractNumId w:val="21"/>
  </w:num>
  <w:num w:numId="13" w16cid:durableId="615065336">
    <w:abstractNumId w:val="13"/>
  </w:num>
  <w:num w:numId="14" w16cid:durableId="226648393">
    <w:abstractNumId w:val="12"/>
  </w:num>
  <w:num w:numId="15" w16cid:durableId="449931062">
    <w:abstractNumId w:val="4"/>
  </w:num>
  <w:num w:numId="16" w16cid:durableId="1524131566">
    <w:abstractNumId w:val="15"/>
  </w:num>
  <w:num w:numId="17" w16cid:durableId="1788963664">
    <w:abstractNumId w:val="10"/>
  </w:num>
  <w:num w:numId="18" w16cid:durableId="1956669189">
    <w:abstractNumId w:val="11"/>
  </w:num>
  <w:num w:numId="19" w16cid:durableId="611936097">
    <w:abstractNumId w:val="17"/>
  </w:num>
  <w:num w:numId="20" w16cid:durableId="1735393638">
    <w:abstractNumId w:val="5"/>
  </w:num>
  <w:num w:numId="21" w16cid:durableId="2061321766">
    <w:abstractNumId w:val="9"/>
  </w:num>
  <w:num w:numId="22" w16cid:durableId="1889342847">
    <w:abstractNumId w:val="0"/>
  </w:num>
  <w:num w:numId="23" w16cid:durableId="1405108572">
    <w:abstractNumId w:val="16"/>
  </w:num>
  <w:num w:numId="24" w16cid:durableId="67620100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K0NDCwNDEwtTSxNLNQ0lEKTi0uzszPAykwqgUA9C22zywAAAA="/>
  </w:docVars>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34E4"/>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66C03"/>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5BC"/>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540"/>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4AD4"/>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3AC"/>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E6637"/>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4580"/>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5471"/>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255B"/>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8C8"/>
    <w:rsid w:val="008E220E"/>
    <w:rsid w:val="008E251A"/>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D23"/>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0F7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3A5E"/>
    <w:rsid w:val="00AE4D6F"/>
    <w:rsid w:val="00AF228E"/>
    <w:rsid w:val="00AF455B"/>
    <w:rsid w:val="00AF5899"/>
    <w:rsid w:val="00B0123F"/>
    <w:rsid w:val="00B04004"/>
    <w:rsid w:val="00B12F13"/>
    <w:rsid w:val="00B14819"/>
    <w:rsid w:val="00B17AA9"/>
    <w:rsid w:val="00B20692"/>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A599B"/>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4224"/>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Chewe Chilufya</cp:lastModifiedBy>
  <cp:revision>3</cp:revision>
  <cp:lastPrinted>2020-06-12T02:43:00Z</cp:lastPrinted>
  <dcterms:created xsi:type="dcterms:W3CDTF">2022-11-15T12:51:00Z</dcterms:created>
  <dcterms:modified xsi:type="dcterms:W3CDTF">2022-11-15T16:59:00Z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