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Pr="00B75E2E" w:rsidRDefault="002D2356" w:rsidP="008071D5">
      <w:pPr>
        <w:pStyle w:val="ListParagraph"/>
        <w:numPr>
          <w:ilvl w:val="0"/>
          <w:numId w:val="15"/>
        </w:numPr>
        <w:ind w:left="425" w:hanging="357"/>
        <w:jc w:val="both"/>
        <w:rPr>
          <w:rFonts w:ascii="Avenir Next" w:hAnsi="Avenir Next" w:cs="Arial"/>
          <w:sz w:val="22"/>
          <w:szCs w:val="22"/>
        </w:rPr>
      </w:pPr>
      <w:r w:rsidRPr="00B75E2E">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4B7AD6" w:rsidRDefault="002D2356" w:rsidP="008071D5">
      <w:pPr>
        <w:pStyle w:val="ListParagraph"/>
        <w:numPr>
          <w:ilvl w:val="0"/>
          <w:numId w:val="15"/>
        </w:numPr>
        <w:ind w:left="425" w:hanging="357"/>
        <w:jc w:val="both"/>
        <w:rPr>
          <w:rFonts w:ascii="Avenir Next" w:hAnsi="Avenir Next" w:cs="Arial"/>
          <w:sz w:val="22"/>
          <w:szCs w:val="22"/>
          <w:highlight w:val="yellow"/>
        </w:rPr>
      </w:pPr>
      <w:r w:rsidRPr="004B7AD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B7AD6">
        <w:rPr>
          <w:rFonts w:ascii="Avenir Next" w:hAnsi="Avenir Next" w:cs="Arial"/>
          <w:sz w:val="22"/>
          <w:szCs w:val="22"/>
          <w:highlight w:val="yellow"/>
          <w:vertAlign w:val="superscript"/>
        </w:rPr>
        <w:t>th</w:t>
      </w:r>
      <w:r w:rsidRPr="004B7AD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Pr="00B75E2E" w:rsidRDefault="002D2356" w:rsidP="008071D5">
      <w:pPr>
        <w:pStyle w:val="ListParagraph"/>
        <w:numPr>
          <w:ilvl w:val="0"/>
          <w:numId w:val="15"/>
        </w:numPr>
        <w:ind w:left="425" w:hanging="357"/>
        <w:jc w:val="both"/>
        <w:rPr>
          <w:rFonts w:ascii="Avenir Next" w:hAnsi="Avenir Next" w:cs="Arial"/>
          <w:sz w:val="22"/>
          <w:szCs w:val="22"/>
        </w:rPr>
      </w:pPr>
      <w:r w:rsidRPr="00B75E2E">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93434E" w:rsidRDefault="002D2356" w:rsidP="008071D5">
      <w:pPr>
        <w:pStyle w:val="ListParagraph"/>
        <w:numPr>
          <w:ilvl w:val="0"/>
          <w:numId w:val="16"/>
        </w:numPr>
        <w:ind w:left="426"/>
        <w:jc w:val="both"/>
        <w:rPr>
          <w:rFonts w:ascii="Avenir Next" w:hAnsi="Avenir Next" w:cs="Arial"/>
          <w:sz w:val="22"/>
          <w:szCs w:val="22"/>
          <w:highlight w:val="yellow"/>
        </w:rPr>
      </w:pPr>
      <w:r w:rsidRPr="0093434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C712D3" w:rsidRDefault="002D2356" w:rsidP="008071D5">
      <w:pPr>
        <w:pStyle w:val="ListParagraph"/>
        <w:numPr>
          <w:ilvl w:val="0"/>
          <w:numId w:val="17"/>
        </w:numPr>
        <w:ind w:left="426"/>
        <w:jc w:val="both"/>
        <w:rPr>
          <w:rFonts w:ascii="Avenir Next" w:hAnsi="Avenir Next" w:cs="Arial"/>
          <w:sz w:val="22"/>
          <w:szCs w:val="22"/>
          <w:highlight w:val="yellow"/>
        </w:rPr>
      </w:pPr>
      <w:r w:rsidRPr="00C712D3">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Pr="00C35B66" w:rsidRDefault="002D2356" w:rsidP="008071D5">
      <w:pPr>
        <w:pStyle w:val="ListParagraph"/>
        <w:numPr>
          <w:ilvl w:val="0"/>
          <w:numId w:val="17"/>
        </w:numPr>
        <w:ind w:left="426"/>
        <w:jc w:val="both"/>
        <w:rPr>
          <w:rFonts w:ascii="Avenir Next" w:hAnsi="Avenir Next" w:cs="Arial"/>
          <w:sz w:val="22"/>
          <w:szCs w:val="22"/>
        </w:rPr>
      </w:pPr>
      <w:r w:rsidRPr="00C35B66">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025E7" w:rsidRDefault="00466ED6" w:rsidP="008071D5">
      <w:pPr>
        <w:pStyle w:val="ListParagraph"/>
        <w:numPr>
          <w:ilvl w:val="0"/>
          <w:numId w:val="18"/>
        </w:numPr>
        <w:ind w:left="426"/>
        <w:jc w:val="both"/>
        <w:rPr>
          <w:rFonts w:ascii="Avenir Next" w:hAnsi="Avenir Next" w:cs="Arial"/>
          <w:sz w:val="22"/>
          <w:szCs w:val="22"/>
          <w:highlight w:val="yellow"/>
        </w:rPr>
      </w:pPr>
      <w:r w:rsidRPr="00F025E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2110D" w:rsidRDefault="002D2356" w:rsidP="008071D5">
      <w:pPr>
        <w:pStyle w:val="ListParagraph"/>
        <w:numPr>
          <w:ilvl w:val="0"/>
          <w:numId w:val="19"/>
        </w:numPr>
        <w:ind w:left="425" w:hanging="357"/>
        <w:jc w:val="both"/>
        <w:rPr>
          <w:rFonts w:ascii="Avenir Next" w:hAnsi="Avenir Next" w:cs="Arial"/>
          <w:sz w:val="22"/>
          <w:szCs w:val="22"/>
          <w:highlight w:val="yellow"/>
        </w:rPr>
      </w:pPr>
      <w:r w:rsidRPr="00D2110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4F5135"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4F5135">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Pr="003D580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3D5801">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4F5135"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4F513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C929F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929F5">
        <w:rPr>
          <w:rFonts w:ascii="Avenir Next" w:eastAsiaTheme="minorHAnsi" w:hAnsi="Avenir Next" w:cs="Arial"/>
          <w:sz w:val="22"/>
          <w:szCs w:val="22"/>
          <w:highlight w:val="yellow"/>
          <w:lang w:val="en-GB"/>
        </w:rPr>
        <w:t xml:space="preserve"> </w:t>
      </w:r>
      <w:r w:rsidRPr="00C929F5">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147A8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147A85">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147A85"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147A85">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872374" w:rsidRDefault="00F5239B" w:rsidP="008071D5">
      <w:pPr>
        <w:pStyle w:val="ListParagraph"/>
        <w:numPr>
          <w:ilvl w:val="0"/>
          <w:numId w:val="23"/>
        </w:numPr>
        <w:ind w:left="426"/>
        <w:jc w:val="both"/>
        <w:rPr>
          <w:rFonts w:ascii="Avenir Next" w:hAnsi="Avenir Next" w:cs="Arial"/>
          <w:sz w:val="22"/>
          <w:szCs w:val="22"/>
          <w:highlight w:val="yellow"/>
        </w:rPr>
      </w:pPr>
      <w:r w:rsidRPr="00872374">
        <w:rPr>
          <w:rFonts w:ascii="Avenir Next" w:hAnsi="Avenir Next" w:cs="Arial"/>
          <w:sz w:val="22"/>
          <w:szCs w:val="22"/>
          <w:highlight w:val="yellow"/>
        </w:rPr>
        <w:t xml:space="preserve">This statement is true because </w:t>
      </w:r>
      <w:r w:rsidR="007B5180" w:rsidRPr="0087237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60A8B230" w:rsidR="009355DB" w:rsidRPr="00EB5317" w:rsidRDefault="009F763D" w:rsidP="008071D5">
      <w:pPr>
        <w:pStyle w:val="ListParagraph"/>
        <w:numPr>
          <w:ilvl w:val="0"/>
          <w:numId w:val="24"/>
        </w:numPr>
        <w:ind w:left="426"/>
        <w:jc w:val="both"/>
        <w:rPr>
          <w:rFonts w:ascii="Avenir Next" w:hAnsi="Avenir Next" w:cs="Arial"/>
          <w:sz w:val="22"/>
          <w:szCs w:val="22"/>
          <w:highlight w:val="yellow"/>
        </w:rPr>
      </w:pPr>
      <w:r>
        <w:rPr>
          <w:rFonts w:ascii="Avenir Next" w:hAnsi="Avenir Next" w:cs="Arial"/>
          <w:sz w:val="22"/>
          <w:szCs w:val="22"/>
          <w:highlight w:val="yellow"/>
        </w:rPr>
        <w:t xml:space="preserve"> </w:t>
      </w:r>
      <w:r w:rsidR="009355DB" w:rsidRPr="00EB5317">
        <w:rPr>
          <w:rFonts w:ascii="Avenir Next" w:hAnsi="Avenir Next" w:cs="Arial"/>
          <w:sz w:val="22"/>
          <w:szCs w:val="22"/>
          <w:highlight w:val="yellow"/>
        </w:rPr>
        <w:t xml:space="preserve">This statement is true because </w:t>
      </w:r>
      <w:r w:rsidR="005C4FF2" w:rsidRPr="00EB5317">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sidRPr="00FC6DF3">
        <w:rPr>
          <w:rFonts w:ascii="Avenir Next" w:hAnsi="Avenir Next" w:cs="Arial"/>
          <w:sz w:val="22"/>
          <w:szCs w:val="22"/>
          <w:lang w:val="en-GB"/>
        </w:rPr>
        <w:t>indicate</w:t>
      </w:r>
      <w:r w:rsidR="00A40529" w:rsidRPr="00FC6DF3">
        <w:rPr>
          <w:rFonts w:ascii="Avenir Next" w:hAnsi="Avenir Next" w:cs="Arial"/>
          <w:sz w:val="22"/>
          <w:szCs w:val="22"/>
          <w:lang w:val="en-GB"/>
        </w:rPr>
        <w:t xml:space="preserve"> the historical roots of the various insolvency law systems to be found in African jurisdictions.</w:t>
      </w:r>
      <w:r w:rsidR="00A40529" w:rsidRPr="004216EA">
        <w:rPr>
          <w:rFonts w:ascii="Avenir Next" w:hAnsi="Avenir Next" w:cs="Arial"/>
          <w:sz w:val="22"/>
          <w:szCs w:val="22"/>
          <w:lang w:val="en-GB"/>
        </w:rPr>
        <w:t xml:space="preserve"> </w:t>
      </w:r>
    </w:p>
    <w:p w14:paraId="304C2FB2" w14:textId="77777777" w:rsidR="00CC7728" w:rsidRPr="004216EA" w:rsidRDefault="00CC7728" w:rsidP="00C11F82">
      <w:pPr>
        <w:pStyle w:val="INSOLstyletext"/>
        <w:widowControl w:val="0"/>
        <w:ind w:left="0"/>
        <w:jc w:val="both"/>
        <w:rPr>
          <w:rFonts w:ascii="Avenir Next" w:hAnsi="Avenir Next"/>
        </w:rPr>
      </w:pPr>
    </w:p>
    <w:p w14:paraId="734816B4" w14:textId="3D5C83EA" w:rsidR="0081547D" w:rsidRPr="00C11F82" w:rsidRDefault="002B256A" w:rsidP="00C11F82">
      <w:pPr>
        <w:pStyle w:val="INSOLstyletext"/>
        <w:widowControl w:val="0"/>
        <w:ind w:left="0"/>
        <w:jc w:val="both"/>
        <w:rPr>
          <w:rFonts w:ascii="Avenir Next" w:hAnsi="Avenir Next"/>
        </w:rPr>
      </w:pPr>
      <w:r w:rsidRPr="00C11F82">
        <w:rPr>
          <w:rFonts w:ascii="Avenir Next" w:hAnsi="Avenir Next"/>
        </w:rPr>
        <w:t>The historical roots of</w:t>
      </w:r>
      <w:r w:rsidR="009B57D6" w:rsidRPr="00C11F82">
        <w:rPr>
          <w:rFonts w:ascii="Avenir Next" w:hAnsi="Avenir Next"/>
        </w:rPr>
        <w:t xml:space="preserve"> the various insolvency laws of African nations as a whole still follow those laws of their respective </w:t>
      </w:r>
      <w:r w:rsidR="00C11F82" w:rsidRPr="00C11F82">
        <w:rPr>
          <w:rFonts w:ascii="Avenir Next" w:hAnsi="Avenir Next"/>
        </w:rPr>
        <w:t>former colonial powers.</w:t>
      </w:r>
      <w:r w:rsidR="005A54FF">
        <w:rPr>
          <w:rFonts w:ascii="Avenir Next" w:hAnsi="Avenir Next"/>
        </w:rPr>
        <w:t xml:space="preserve"> West African nati</w:t>
      </w:r>
      <w:r w:rsidR="00EB29EA">
        <w:rPr>
          <w:rFonts w:ascii="Avenir Next" w:hAnsi="Avenir Next"/>
        </w:rPr>
        <w:t xml:space="preserve">ons’ insolvency laws are based on civil law, in particular French civil law. </w:t>
      </w:r>
      <w:r w:rsidR="004E0417">
        <w:rPr>
          <w:rFonts w:ascii="Avenir Next" w:hAnsi="Avenir Next"/>
        </w:rPr>
        <w:t>Nigeria, Botswana, Zambia, Kenya, Tanzania</w:t>
      </w:r>
      <w:r w:rsidR="004658B2">
        <w:rPr>
          <w:rFonts w:ascii="Avenir Next" w:hAnsi="Avenir Next"/>
        </w:rPr>
        <w:t xml:space="preserve"> and East African countries</w:t>
      </w:r>
      <w:r w:rsidR="006D3FE1">
        <w:rPr>
          <w:rFonts w:ascii="Avenir Next" w:hAnsi="Avenir Next"/>
        </w:rPr>
        <w:t xml:space="preserve">’ insolvency laws have an English law tradition. Mozambique and Angola </w:t>
      </w:r>
      <w:r w:rsidR="00530554">
        <w:rPr>
          <w:rFonts w:ascii="Avenir Next" w:hAnsi="Avenir Next"/>
        </w:rPr>
        <w:t>have a civil law tradition w</w:t>
      </w:r>
      <w:r w:rsidR="002F30D7">
        <w:rPr>
          <w:rFonts w:ascii="Avenir Next" w:hAnsi="Avenir Next"/>
        </w:rPr>
        <w:t xml:space="preserve">hich is based on Portuguese law.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71727639" w14:textId="77777777" w:rsidR="00FC6DF3" w:rsidRDefault="00ED66B6" w:rsidP="00E35B20">
      <w:pPr>
        <w:pStyle w:val="INSOLstyletext"/>
        <w:widowControl w:val="0"/>
        <w:ind w:left="0"/>
        <w:jc w:val="both"/>
        <w:rPr>
          <w:rFonts w:ascii="Avenir Next" w:hAnsi="Avenir Next"/>
        </w:rPr>
      </w:pPr>
      <w:r w:rsidRPr="00ED66B6">
        <w:rPr>
          <w:rFonts w:ascii="Avenir Next" w:hAnsi="Avenir Next"/>
        </w:rPr>
        <w:t>The 1998 financial crisis</w:t>
      </w:r>
      <w:r w:rsidR="0050674E">
        <w:rPr>
          <w:rFonts w:ascii="Avenir Next" w:hAnsi="Avenir Next"/>
        </w:rPr>
        <w:t xml:space="preserve"> in Eastern Asia </w:t>
      </w:r>
      <w:r w:rsidR="00FC6DF3">
        <w:rPr>
          <w:rFonts w:ascii="Avenir Next" w:hAnsi="Avenir Next"/>
        </w:rPr>
        <w:t>resulted in insolvency law reforms, particularly in Thailand and</w:t>
      </w:r>
    </w:p>
    <w:p w14:paraId="2D25DE19" w14:textId="32BD75B6" w:rsidR="00AB63DE" w:rsidRPr="00ED66B6" w:rsidRDefault="00FC6DF3" w:rsidP="00E35B20">
      <w:pPr>
        <w:pStyle w:val="INSOLstyletext"/>
        <w:widowControl w:val="0"/>
        <w:ind w:left="0"/>
        <w:jc w:val="both"/>
        <w:rPr>
          <w:rFonts w:ascii="Avenir Next" w:hAnsi="Avenir Next"/>
        </w:rPr>
      </w:pPr>
      <w:r>
        <w:rPr>
          <w:rFonts w:ascii="Avenir Next" w:hAnsi="Avenir Next"/>
        </w:rPr>
        <w:t>Indonesia.</w:t>
      </w:r>
      <w:r w:rsidR="0080526F">
        <w:rPr>
          <w:rFonts w:ascii="Avenir Next" w:hAnsi="Avenir Next"/>
        </w:rPr>
        <w:t xml:space="preserve"> As a result of the crash, Thailand had an overhaul of its bankruptcy laws.</w:t>
      </w:r>
      <w:r w:rsidR="00E35B20">
        <w:rPr>
          <w:rFonts w:ascii="Avenir Next" w:hAnsi="Avenir Next"/>
        </w:rPr>
        <w:t xml:space="preserve"> In addition to this, </w:t>
      </w:r>
      <w:r w:rsidR="00EC02F9">
        <w:rPr>
          <w:rFonts w:ascii="Avenir Next" w:hAnsi="Avenir Next"/>
        </w:rPr>
        <w:t>in October 2018 Singapore passed a new Insolvency, Restructuring and Dissolu</w:t>
      </w:r>
      <w:r w:rsidR="005A2CF7">
        <w:rPr>
          <w:rFonts w:ascii="Avenir Next" w:hAnsi="Avenir Next"/>
        </w:rPr>
        <w:t>tion Act as a means of consolidating Singapore’s personal and corporate insolvency laws into one unified Act. The Act came into force in July 2020</w:t>
      </w:r>
      <w:r w:rsidR="001B27A6">
        <w:rPr>
          <w:rFonts w:ascii="Avenir Next" w:hAnsi="Avenir Next"/>
        </w:rPr>
        <w:t>. Singapore has become a lar</w:t>
      </w:r>
      <w:r w:rsidR="00F25611">
        <w:rPr>
          <w:rFonts w:ascii="Avenir Next" w:hAnsi="Avenir Next"/>
        </w:rPr>
        <w:t xml:space="preserve">ge influence </w:t>
      </w:r>
      <w:r w:rsidR="001B27A6">
        <w:rPr>
          <w:rFonts w:ascii="Avenir Next" w:hAnsi="Avenir Next"/>
        </w:rPr>
        <w:t xml:space="preserve">in insolvency </w:t>
      </w:r>
      <w:r w:rsidR="00F25611">
        <w:rPr>
          <w:rFonts w:ascii="Avenir Next" w:hAnsi="Avenir Next"/>
        </w:rPr>
        <w:t>and restructuring in East Asia.</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BA120AE" w:rsidR="00AB63DE" w:rsidRDefault="00855EF3" w:rsidP="00B27355">
      <w:pPr>
        <w:pStyle w:val="INSOLstyletext"/>
        <w:widowControl w:val="0"/>
        <w:ind w:left="0"/>
        <w:jc w:val="both"/>
        <w:rPr>
          <w:rFonts w:ascii="Avenir Next" w:hAnsi="Avenir Next"/>
        </w:rPr>
      </w:pPr>
      <w:r w:rsidRPr="00B27355">
        <w:rPr>
          <w:rFonts w:ascii="Avenir Next" w:hAnsi="Avenir Next"/>
        </w:rPr>
        <w:t>There have been a number of initiative</w:t>
      </w:r>
      <w:r w:rsidR="00CF513C">
        <w:rPr>
          <w:rFonts w:ascii="Avenir Next" w:hAnsi="Avenir Next"/>
        </w:rPr>
        <w:t>s</w:t>
      </w:r>
      <w:r w:rsidRPr="00B27355">
        <w:rPr>
          <w:rFonts w:ascii="Avenir Next" w:hAnsi="Avenir Next"/>
        </w:rPr>
        <w:t xml:space="preserve"> undertaken in North America and Canada</w:t>
      </w:r>
      <w:r w:rsidR="00B27355">
        <w:rPr>
          <w:rFonts w:ascii="Avenir Next" w:hAnsi="Avenir Next"/>
        </w:rPr>
        <w:t xml:space="preserve"> with regards to the resolution of international insolvency issues </w:t>
      </w:r>
      <w:r w:rsidR="0003108B">
        <w:rPr>
          <w:rFonts w:ascii="Avenir Next" w:hAnsi="Avenir Next"/>
        </w:rPr>
        <w:t>in the area. In the 1970s, the US and Canada worked towards a bilateral insolvency treaty</w:t>
      </w:r>
      <w:r w:rsidR="00FB6884">
        <w:rPr>
          <w:rFonts w:ascii="Avenir Next" w:hAnsi="Avenir Next"/>
        </w:rPr>
        <w:t xml:space="preserve">, however they failed to reach agreement on it as it was too ambitious in scope. </w:t>
      </w:r>
      <w:r w:rsidR="00CC00CC">
        <w:rPr>
          <w:rFonts w:ascii="Avenir Next" w:hAnsi="Avenir Next"/>
        </w:rPr>
        <w:t xml:space="preserve">Following this, both countries have made more practical progress after their </w:t>
      </w:r>
      <w:r w:rsidR="00590725">
        <w:rPr>
          <w:rFonts w:ascii="Avenir Next" w:hAnsi="Avenir Next"/>
        </w:rPr>
        <w:t xml:space="preserve">respective adoptions of the </w:t>
      </w:r>
      <w:r w:rsidR="006F52B6">
        <w:rPr>
          <w:rFonts w:ascii="Avenir Next" w:hAnsi="Avenir Next"/>
        </w:rPr>
        <w:t>UNCITRAL Model Law on Cross-border Insolvency</w:t>
      </w:r>
      <w:r w:rsidR="00982AA6">
        <w:rPr>
          <w:rFonts w:ascii="Avenir Next" w:hAnsi="Avenir Next"/>
        </w:rPr>
        <w:t xml:space="preserve"> and through mechanisms such as Protocols. </w:t>
      </w:r>
    </w:p>
    <w:p w14:paraId="70B5E187" w14:textId="0C99E092" w:rsidR="00AB7BDC" w:rsidRDefault="00AB7BDC" w:rsidP="00AB7BDC">
      <w:pPr>
        <w:rPr>
          <w:lang w:val="en-GB"/>
        </w:rPr>
      </w:pPr>
    </w:p>
    <w:p w14:paraId="06490381" w14:textId="710A1BFD" w:rsidR="00AB7BDC" w:rsidRDefault="00D004CD" w:rsidP="00AB7BDC">
      <w:pPr>
        <w:rPr>
          <w:rFonts w:ascii="Avenir Next" w:eastAsiaTheme="minorEastAsia" w:hAnsi="Avenir Next" w:cs="Arial"/>
          <w:sz w:val="22"/>
          <w:szCs w:val="22"/>
          <w:u w:color="FF0000"/>
          <w:lang w:val="en-GB"/>
        </w:rPr>
      </w:pPr>
      <w:r w:rsidRPr="00D004CD">
        <w:rPr>
          <w:rFonts w:ascii="Avenir Next" w:eastAsiaTheme="minorEastAsia" w:hAnsi="Avenir Next" w:cs="Arial"/>
          <w:sz w:val="22"/>
          <w:szCs w:val="22"/>
          <w:u w:color="FF0000"/>
          <w:lang w:val="en-GB"/>
        </w:rPr>
        <w:t>The American</w:t>
      </w:r>
      <w:r>
        <w:rPr>
          <w:rFonts w:ascii="Avenir Next" w:eastAsiaTheme="minorEastAsia" w:hAnsi="Avenir Next" w:cs="Arial"/>
          <w:sz w:val="22"/>
          <w:szCs w:val="22"/>
          <w:u w:color="FF0000"/>
          <w:lang w:val="en-GB"/>
        </w:rPr>
        <w:t xml:space="preserve"> Law Institute</w:t>
      </w:r>
      <w:r w:rsidR="001B0B8C">
        <w:rPr>
          <w:rFonts w:ascii="Avenir Next" w:eastAsiaTheme="minorEastAsia" w:hAnsi="Avenir Next" w:cs="Arial"/>
          <w:sz w:val="22"/>
          <w:szCs w:val="22"/>
          <w:u w:color="FF0000"/>
          <w:lang w:val="en-GB"/>
        </w:rPr>
        <w:t xml:space="preserve"> (“ALI”)</w:t>
      </w:r>
      <w:r>
        <w:rPr>
          <w:rFonts w:ascii="Avenir Next" w:eastAsiaTheme="minorEastAsia" w:hAnsi="Avenir Next" w:cs="Arial"/>
          <w:sz w:val="22"/>
          <w:szCs w:val="22"/>
          <w:u w:color="FF0000"/>
          <w:lang w:val="en-GB"/>
        </w:rPr>
        <w:t xml:space="preserve"> has assisted in the resolution of international insolvency issues </w:t>
      </w:r>
      <w:r w:rsidR="007276FD">
        <w:rPr>
          <w:rFonts w:ascii="Avenir Next" w:eastAsiaTheme="minorEastAsia" w:hAnsi="Avenir Next" w:cs="Arial"/>
          <w:sz w:val="22"/>
          <w:szCs w:val="22"/>
          <w:u w:color="FF0000"/>
          <w:lang w:val="en-GB"/>
        </w:rPr>
        <w:t xml:space="preserve">between the NAFTA countries of the US, </w:t>
      </w:r>
      <w:r w:rsidR="00ED1ACD">
        <w:rPr>
          <w:rFonts w:ascii="Avenir Next" w:eastAsiaTheme="minorEastAsia" w:hAnsi="Avenir Next" w:cs="Arial"/>
          <w:sz w:val="22"/>
          <w:szCs w:val="22"/>
          <w:u w:color="FF0000"/>
          <w:lang w:val="en-GB"/>
        </w:rPr>
        <w:t>Mexico,</w:t>
      </w:r>
      <w:r w:rsidR="007276FD">
        <w:rPr>
          <w:rFonts w:ascii="Avenir Next" w:eastAsiaTheme="minorEastAsia" w:hAnsi="Avenir Next" w:cs="Arial"/>
          <w:sz w:val="22"/>
          <w:szCs w:val="22"/>
          <w:u w:color="FF0000"/>
          <w:lang w:val="en-GB"/>
        </w:rPr>
        <w:t xml:space="preserve"> and Canada. One </w:t>
      </w:r>
      <w:r w:rsidR="001B0B8C">
        <w:rPr>
          <w:rFonts w:ascii="Avenir Next" w:eastAsiaTheme="minorEastAsia" w:hAnsi="Avenir Next" w:cs="Arial"/>
          <w:sz w:val="22"/>
          <w:szCs w:val="22"/>
          <w:u w:color="FF0000"/>
          <w:lang w:val="en-GB"/>
        </w:rPr>
        <w:t>such initiative was the ALI Transnational Insolvency Project</w:t>
      </w:r>
      <w:r w:rsidRPr="00D004CD">
        <w:rPr>
          <w:rFonts w:ascii="Avenir Next" w:eastAsiaTheme="minorEastAsia" w:hAnsi="Avenir Next" w:cs="Arial"/>
          <w:sz w:val="22"/>
          <w:szCs w:val="22"/>
          <w:u w:color="FF0000"/>
          <w:lang w:val="en-GB"/>
        </w:rPr>
        <w:t xml:space="preserve"> </w:t>
      </w:r>
      <w:r w:rsidR="000F5263">
        <w:rPr>
          <w:rFonts w:ascii="Avenir Next" w:eastAsiaTheme="minorEastAsia" w:hAnsi="Avenir Next" w:cs="Arial"/>
          <w:sz w:val="22"/>
          <w:szCs w:val="22"/>
          <w:u w:color="FF0000"/>
          <w:lang w:val="en-GB"/>
        </w:rPr>
        <w:t xml:space="preserve">which worked to improve cooperation in international insolvencies across the 3 nations. </w:t>
      </w:r>
      <w:r w:rsidR="001D2297">
        <w:rPr>
          <w:rFonts w:ascii="Avenir Next" w:eastAsiaTheme="minorEastAsia" w:hAnsi="Avenir Next" w:cs="Arial"/>
          <w:sz w:val="22"/>
          <w:szCs w:val="22"/>
          <w:u w:color="FF0000"/>
          <w:lang w:val="en-GB"/>
        </w:rPr>
        <w:t>Advisory groups were formed from each of the US, Canada</w:t>
      </w:r>
      <w:r w:rsidR="007377FA">
        <w:rPr>
          <w:rFonts w:ascii="Avenir Next" w:eastAsiaTheme="minorEastAsia" w:hAnsi="Avenir Next" w:cs="Arial"/>
          <w:sz w:val="22"/>
          <w:szCs w:val="22"/>
          <w:u w:color="FF0000"/>
          <w:lang w:val="en-GB"/>
        </w:rPr>
        <w:t>,</w:t>
      </w:r>
      <w:r w:rsidR="001D2297">
        <w:rPr>
          <w:rFonts w:ascii="Avenir Next" w:eastAsiaTheme="minorEastAsia" w:hAnsi="Avenir Next" w:cs="Arial"/>
          <w:sz w:val="22"/>
          <w:szCs w:val="22"/>
          <w:u w:color="FF0000"/>
          <w:lang w:val="en-GB"/>
        </w:rPr>
        <w:t xml:space="preserve"> and Mexico</w:t>
      </w:r>
      <w:r w:rsidR="00474A4E">
        <w:rPr>
          <w:rFonts w:ascii="Avenir Next" w:eastAsiaTheme="minorEastAsia" w:hAnsi="Avenir Next" w:cs="Arial"/>
          <w:sz w:val="22"/>
          <w:szCs w:val="22"/>
          <w:u w:color="FF0000"/>
          <w:lang w:val="en-GB"/>
        </w:rPr>
        <w:t xml:space="preserve">, and these groups prepared an International Statement on their countries’ insolvency law as applicable to international cases. </w:t>
      </w:r>
      <w:r w:rsidR="00E14C7F">
        <w:rPr>
          <w:rFonts w:ascii="Avenir Next" w:eastAsiaTheme="minorEastAsia" w:hAnsi="Avenir Next" w:cs="Arial"/>
          <w:sz w:val="22"/>
          <w:szCs w:val="22"/>
          <w:u w:color="FF0000"/>
          <w:lang w:val="en-GB"/>
        </w:rPr>
        <w:t xml:space="preserve">This initiative was a success and resulted in the Principles of Cooperation among the NAFTA countries being prepared and approved by the ALI Council and Members in 2000. </w:t>
      </w:r>
    </w:p>
    <w:p w14:paraId="30525DAF" w14:textId="62E0BCF1" w:rsidR="006D088B" w:rsidRDefault="006D088B" w:rsidP="00AB7BDC">
      <w:pPr>
        <w:rPr>
          <w:rFonts w:ascii="Avenir Next" w:eastAsiaTheme="minorEastAsia" w:hAnsi="Avenir Next" w:cs="Arial"/>
          <w:sz w:val="22"/>
          <w:szCs w:val="22"/>
          <w:u w:color="FF0000"/>
          <w:lang w:val="en-GB"/>
        </w:rPr>
      </w:pPr>
    </w:p>
    <w:p w14:paraId="62BD567F" w14:textId="697E1EFF" w:rsidR="006D088B" w:rsidRPr="00D004CD" w:rsidRDefault="006D088B" w:rsidP="00AB7BDC">
      <w:pPr>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The NAFTA Principles </w:t>
      </w:r>
      <w:r w:rsidR="00477AE9">
        <w:rPr>
          <w:rFonts w:ascii="Avenir Next" w:eastAsiaTheme="minorEastAsia" w:hAnsi="Avenir Next" w:cs="Arial"/>
          <w:sz w:val="22"/>
          <w:szCs w:val="22"/>
          <w:u w:color="FF0000"/>
          <w:lang w:val="en-GB"/>
        </w:rPr>
        <w:t>are focused on the insolvency of corporations and other legal entities with commercial operations, and they exclu</w:t>
      </w:r>
      <w:r w:rsidR="009B5B5D">
        <w:rPr>
          <w:rFonts w:ascii="Avenir Next" w:eastAsiaTheme="minorEastAsia" w:hAnsi="Avenir Next" w:cs="Arial"/>
          <w:sz w:val="22"/>
          <w:szCs w:val="22"/>
          <w:u w:color="FF0000"/>
          <w:lang w:val="en-GB"/>
        </w:rPr>
        <w:t>de individual insolvency, the insolvency of non-profit organisations and of financial institutions.</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9C293D">
        <w:rPr>
          <w:rFonts w:ascii="Avenir Next Demi Bold" w:hAnsi="Avenir Next Demi Bold" w:cs="Arial"/>
          <w:b/>
          <w:bCs/>
          <w:sz w:val="22"/>
          <w:szCs w:val="22"/>
          <w:lang w:val="en-GB"/>
        </w:rPr>
        <w:t xml:space="preserve">Question </w:t>
      </w:r>
      <w:r w:rsidR="00807119" w:rsidRPr="009C293D">
        <w:rPr>
          <w:rFonts w:ascii="Avenir Next Demi Bold" w:hAnsi="Avenir Next Demi Bold" w:cs="Arial"/>
          <w:b/>
          <w:bCs/>
          <w:sz w:val="22"/>
          <w:szCs w:val="22"/>
          <w:lang w:val="en-GB"/>
        </w:rPr>
        <w:t>3.1</w:t>
      </w:r>
      <w:r w:rsidRPr="009C293D">
        <w:rPr>
          <w:rFonts w:ascii="Avenir Next Demi Bold" w:hAnsi="Avenir Next Demi Bold" w:cs="Arial"/>
          <w:b/>
          <w:bCs/>
          <w:sz w:val="22"/>
          <w:szCs w:val="22"/>
          <w:lang w:val="en-GB"/>
        </w:rPr>
        <w:t xml:space="preserve"> [</w:t>
      </w:r>
      <w:r w:rsidR="006A2646" w:rsidRPr="009C293D">
        <w:rPr>
          <w:rFonts w:ascii="Avenir Next Demi Bold" w:hAnsi="Avenir Next Demi Bold" w:cs="Arial"/>
          <w:b/>
          <w:bCs/>
          <w:sz w:val="22"/>
          <w:szCs w:val="22"/>
          <w:lang w:val="en-GB"/>
        </w:rPr>
        <w:t>m</w:t>
      </w:r>
      <w:r w:rsidRPr="009C293D">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6EE5A7A" w14:textId="77777777" w:rsidR="00A44E9E" w:rsidRDefault="003D4221"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The</w:t>
      </w:r>
      <w:r w:rsidR="00C07716">
        <w:rPr>
          <w:rFonts w:ascii="Avenir Next" w:eastAsiaTheme="minorEastAsia" w:hAnsi="Avenir Next" w:cs="Arial"/>
          <w:sz w:val="22"/>
          <w:szCs w:val="22"/>
          <w:u w:color="FF0000"/>
          <w:lang w:val="en-GB"/>
        </w:rPr>
        <w:t xml:space="preserve"> difference in</w:t>
      </w:r>
      <w:r w:rsidR="00A44E9E">
        <w:rPr>
          <w:rFonts w:ascii="Avenir Next" w:eastAsiaTheme="minorEastAsia" w:hAnsi="Avenir Next" w:cs="Arial"/>
          <w:sz w:val="22"/>
          <w:szCs w:val="22"/>
          <w:u w:color="FF0000"/>
          <w:lang w:val="en-GB"/>
        </w:rPr>
        <w:t xml:space="preserve"> approaches regarding the </w:t>
      </w:r>
      <w:r>
        <w:rPr>
          <w:rFonts w:ascii="Avenir Next" w:eastAsiaTheme="minorEastAsia" w:hAnsi="Avenir Next" w:cs="Arial"/>
          <w:sz w:val="22"/>
          <w:szCs w:val="22"/>
          <w:u w:color="FF0000"/>
          <w:lang w:val="en-GB"/>
        </w:rPr>
        <w:t>treatment of v</w:t>
      </w:r>
      <w:r w:rsidR="00794893" w:rsidRPr="00794893">
        <w:rPr>
          <w:rFonts w:ascii="Avenir Next" w:eastAsiaTheme="minorEastAsia" w:hAnsi="Avenir Next" w:cs="Arial"/>
          <w:sz w:val="22"/>
          <w:szCs w:val="22"/>
          <w:u w:color="FF0000"/>
          <w:lang w:val="en-GB"/>
        </w:rPr>
        <w:t>oidable dispositions</w:t>
      </w:r>
      <w:r w:rsidR="00794893">
        <w:rPr>
          <w:rFonts w:ascii="Avenir Next" w:eastAsiaTheme="minorEastAsia" w:hAnsi="Avenir Next" w:cs="Arial"/>
          <w:sz w:val="22"/>
          <w:szCs w:val="22"/>
          <w:u w:color="FF0000"/>
          <w:lang w:val="en-GB"/>
        </w:rPr>
        <w:t xml:space="preserve"> </w:t>
      </w:r>
      <w:r w:rsidR="00C07716">
        <w:rPr>
          <w:rFonts w:ascii="Avenir Next" w:eastAsiaTheme="minorEastAsia" w:hAnsi="Avenir Next" w:cs="Arial"/>
          <w:sz w:val="22"/>
          <w:szCs w:val="22"/>
          <w:u w:color="FF0000"/>
          <w:lang w:val="en-GB"/>
        </w:rPr>
        <w:t>between English law</w:t>
      </w:r>
    </w:p>
    <w:p w14:paraId="1AECA027" w14:textId="77777777" w:rsidR="00775FF9" w:rsidRDefault="00C07716"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and civil law jurisdictions </w:t>
      </w:r>
      <w:r w:rsidR="00427664">
        <w:rPr>
          <w:rFonts w:ascii="Avenir Next" w:eastAsiaTheme="minorEastAsia" w:hAnsi="Avenir Next" w:cs="Arial"/>
          <w:sz w:val="22"/>
          <w:szCs w:val="22"/>
          <w:u w:color="FF0000"/>
          <w:lang w:val="en-GB"/>
        </w:rPr>
        <w:t xml:space="preserve">is as a result of </w:t>
      </w:r>
      <w:r w:rsidR="0040672C">
        <w:rPr>
          <w:rFonts w:ascii="Avenir Next" w:eastAsiaTheme="minorEastAsia" w:hAnsi="Avenir Next" w:cs="Arial"/>
          <w:sz w:val="22"/>
          <w:szCs w:val="22"/>
          <w:u w:color="FF0000"/>
          <w:lang w:val="en-GB"/>
        </w:rPr>
        <w:t>differing underlying rules in the jurisdictions.</w:t>
      </w:r>
      <w:r w:rsidR="00CE045F">
        <w:rPr>
          <w:rFonts w:ascii="Avenir Next" w:eastAsiaTheme="minorEastAsia" w:hAnsi="Avenir Next" w:cs="Arial"/>
          <w:sz w:val="22"/>
          <w:szCs w:val="22"/>
          <w:u w:color="FF0000"/>
          <w:lang w:val="en-GB"/>
        </w:rPr>
        <w:t xml:space="preserve"> Voidable</w:t>
      </w:r>
    </w:p>
    <w:p w14:paraId="2084191E" w14:textId="0926ABC3" w:rsidR="00775FF9" w:rsidRDefault="00CE045F"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dispositions can be defined as either fraudulent </w:t>
      </w:r>
      <w:r w:rsidR="00FD7E76">
        <w:rPr>
          <w:rFonts w:ascii="Avenir Next" w:eastAsiaTheme="minorEastAsia" w:hAnsi="Avenir Next" w:cs="Arial"/>
          <w:sz w:val="22"/>
          <w:szCs w:val="22"/>
          <w:u w:color="FF0000"/>
          <w:lang w:val="en-GB"/>
        </w:rPr>
        <w:t>conveyance</w:t>
      </w:r>
      <w:r>
        <w:rPr>
          <w:rFonts w:ascii="Avenir Next" w:eastAsiaTheme="minorEastAsia" w:hAnsi="Avenir Next" w:cs="Arial"/>
          <w:sz w:val="22"/>
          <w:szCs w:val="22"/>
          <w:u w:color="FF0000"/>
          <w:lang w:val="en-GB"/>
        </w:rPr>
        <w:t xml:space="preserve"> </w:t>
      </w:r>
      <w:r w:rsidR="006267C6">
        <w:rPr>
          <w:rFonts w:ascii="Avenir Next" w:eastAsiaTheme="minorEastAsia" w:hAnsi="Avenir Next" w:cs="Arial"/>
          <w:sz w:val="22"/>
          <w:szCs w:val="22"/>
          <w:u w:color="FF0000"/>
          <w:lang w:val="en-GB"/>
        </w:rPr>
        <w:t>(disposition of property without</w:t>
      </w:r>
    </w:p>
    <w:p w14:paraId="01922813" w14:textId="77777777" w:rsidR="00775FF9" w:rsidRDefault="006267C6"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receiving adequate value in return) </w:t>
      </w:r>
      <w:r w:rsidR="00167311">
        <w:rPr>
          <w:rFonts w:ascii="Avenir Next" w:eastAsiaTheme="minorEastAsia" w:hAnsi="Avenir Next" w:cs="Arial"/>
          <w:sz w:val="22"/>
          <w:szCs w:val="22"/>
          <w:u w:color="FF0000"/>
          <w:lang w:val="en-GB"/>
        </w:rPr>
        <w:t xml:space="preserve">or preferences. </w:t>
      </w:r>
      <w:proofErr w:type="spellStart"/>
      <w:r w:rsidR="00167311">
        <w:rPr>
          <w:rFonts w:ascii="Avenir Next" w:eastAsiaTheme="minorEastAsia" w:hAnsi="Avenir Next" w:cs="Arial"/>
          <w:sz w:val="22"/>
          <w:szCs w:val="22"/>
          <w:u w:color="FF0000"/>
          <w:lang w:val="en-GB"/>
        </w:rPr>
        <w:t>Fradulent</w:t>
      </w:r>
      <w:proofErr w:type="spellEnd"/>
      <w:r w:rsidR="00167311">
        <w:rPr>
          <w:rFonts w:ascii="Avenir Next" w:eastAsiaTheme="minorEastAsia" w:hAnsi="Avenir Next" w:cs="Arial"/>
          <w:sz w:val="22"/>
          <w:szCs w:val="22"/>
          <w:u w:color="FF0000"/>
          <w:lang w:val="en-GB"/>
        </w:rPr>
        <w:t xml:space="preserve"> conveyance refers to </w:t>
      </w:r>
      <w:r w:rsidR="004160E8">
        <w:rPr>
          <w:rFonts w:ascii="Avenir Next" w:eastAsiaTheme="minorEastAsia" w:hAnsi="Avenir Next" w:cs="Arial"/>
          <w:sz w:val="22"/>
          <w:szCs w:val="22"/>
          <w:u w:color="FF0000"/>
          <w:lang w:val="en-GB"/>
        </w:rPr>
        <w:t>the disposal of</w:t>
      </w:r>
    </w:p>
    <w:p w14:paraId="1D6BFC83" w14:textId="77777777" w:rsidR="00775FF9" w:rsidRDefault="004160E8"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property by the insolvent, normally by way of a donation of undervalue transaction, that results in an</w:t>
      </w:r>
    </w:p>
    <w:p w14:paraId="619EE3F6" w14:textId="77777777" w:rsidR="00775FF9" w:rsidRDefault="004160E8"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increase in the debtor’s insolvency. Preferences </w:t>
      </w:r>
      <w:r w:rsidR="002124C1">
        <w:rPr>
          <w:rFonts w:ascii="Avenir Next" w:eastAsiaTheme="minorEastAsia" w:hAnsi="Avenir Next" w:cs="Arial"/>
          <w:sz w:val="22"/>
          <w:szCs w:val="22"/>
          <w:u w:color="FF0000"/>
          <w:lang w:val="en-GB"/>
        </w:rPr>
        <w:t>can be defined as the settlement of a pre-existing</w:t>
      </w:r>
    </w:p>
    <w:p w14:paraId="1E52731F" w14:textId="77777777" w:rsidR="00775FF9" w:rsidRDefault="002124C1"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debt to a creditor, </w:t>
      </w:r>
      <w:r w:rsidR="00A64C8D">
        <w:rPr>
          <w:rFonts w:ascii="Avenir Next" w:eastAsiaTheme="minorEastAsia" w:hAnsi="Avenir Next" w:cs="Arial"/>
          <w:sz w:val="22"/>
          <w:szCs w:val="22"/>
          <w:u w:color="FF0000"/>
          <w:lang w:val="en-GB"/>
        </w:rPr>
        <w:t>or the affording of a real security for a pre-existing unsecured debt to a creditor</w:t>
      </w:r>
      <w:r w:rsidR="00775FF9">
        <w:rPr>
          <w:rFonts w:ascii="Avenir Next" w:eastAsiaTheme="minorEastAsia" w:hAnsi="Avenir Next" w:cs="Arial"/>
          <w:sz w:val="22"/>
          <w:szCs w:val="22"/>
          <w:u w:color="FF0000"/>
          <w:lang w:val="en-GB"/>
        </w:rPr>
        <w:t>,</w:t>
      </w:r>
    </w:p>
    <w:p w14:paraId="06A7EBDD" w14:textId="752D555B" w:rsidR="00DF4F80" w:rsidRDefault="00775FF9"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resulting in an improvement of the creditor’s position once insolvency commences.</w:t>
      </w:r>
    </w:p>
    <w:p w14:paraId="673071D4" w14:textId="488BAFE7" w:rsidR="00FD292A" w:rsidRDefault="00FD292A" w:rsidP="00AB63DE">
      <w:pPr>
        <w:ind w:left="720" w:hanging="720"/>
        <w:jc w:val="both"/>
        <w:rPr>
          <w:rFonts w:ascii="Avenir Next" w:eastAsiaTheme="minorEastAsia" w:hAnsi="Avenir Next" w:cs="Arial"/>
          <w:sz w:val="22"/>
          <w:szCs w:val="22"/>
          <w:u w:color="FF0000"/>
          <w:lang w:val="en-GB"/>
        </w:rPr>
      </w:pPr>
    </w:p>
    <w:p w14:paraId="5DDE1DF4" w14:textId="77777777" w:rsidR="00C26BDA" w:rsidRDefault="00C032CE"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The payment of distributions to creditors differs between countries, but most </w:t>
      </w:r>
      <w:r w:rsidR="00AB7FE8">
        <w:rPr>
          <w:rFonts w:ascii="Avenir Next" w:eastAsiaTheme="minorEastAsia" w:hAnsi="Avenir Next" w:cs="Arial"/>
          <w:sz w:val="22"/>
          <w:szCs w:val="22"/>
          <w:u w:color="FF0000"/>
          <w:lang w:val="en-GB"/>
        </w:rPr>
        <w:t>systems will draw a</w:t>
      </w:r>
    </w:p>
    <w:p w14:paraId="0F9089BD" w14:textId="77777777" w:rsidR="00C26BDA" w:rsidRDefault="00AB7FE8"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distinction between secured and unsecured creditors. Secured creditors are those creditors who</w:t>
      </w:r>
    </w:p>
    <w:p w14:paraId="72DF08B7" w14:textId="77777777" w:rsidR="00C26BDA" w:rsidRDefault="00CE0D40"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possess a valid form of security for their claims; unsecured creditors </w:t>
      </w:r>
      <w:r w:rsidR="008A6B78">
        <w:rPr>
          <w:rFonts w:ascii="Avenir Next" w:eastAsiaTheme="minorEastAsia" w:hAnsi="Avenir Next" w:cs="Arial"/>
          <w:sz w:val="22"/>
          <w:szCs w:val="22"/>
          <w:u w:color="FF0000"/>
          <w:lang w:val="en-GB"/>
        </w:rPr>
        <w:t>do not. Unsecured creditors can</w:t>
      </w:r>
    </w:p>
    <w:p w14:paraId="4431F7F9" w14:textId="77777777" w:rsidR="00C26BDA" w:rsidRDefault="008A6B78"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further be classified between preferential (priority) claims and concurrent claims. </w:t>
      </w:r>
      <w:r w:rsidR="009152EE">
        <w:rPr>
          <w:rFonts w:ascii="Avenir Next" w:eastAsiaTheme="minorEastAsia" w:hAnsi="Avenir Next" w:cs="Arial"/>
          <w:sz w:val="22"/>
          <w:szCs w:val="22"/>
          <w:u w:color="FF0000"/>
          <w:lang w:val="en-GB"/>
        </w:rPr>
        <w:t>Priority claims are</w:t>
      </w:r>
    </w:p>
    <w:p w14:paraId="32EC9219" w14:textId="77777777" w:rsidR="00C26BDA" w:rsidRDefault="009152EE"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normally as a result of legislation </w:t>
      </w:r>
      <w:r w:rsidR="003E22CF">
        <w:rPr>
          <w:rFonts w:ascii="Avenir Next" w:eastAsiaTheme="minorEastAsia" w:hAnsi="Avenir Next" w:cs="Arial"/>
          <w:sz w:val="22"/>
          <w:szCs w:val="22"/>
          <w:u w:color="FF0000"/>
          <w:lang w:val="en-GB"/>
        </w:rPr>
        <w:t>and normally consist of amounts owing to employees (e.g., salary)</w:t>
      </w:r>
    </w:p>
    <w:p w14:paraId="31E7FB3F" w14:textId="323B7960" w:rsidR="00FD292A" w:rsidRDefault="00C26BDA"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or the State (e.g., unpaid taxes).</w:t>
      </w:r>
    </w:p>
    <w:p w14:paraId="2EAC1F48" w14:textId="1C38EAF8" w:rsidR="0047404E" w:rsidRDefault="0047404E" w:rsidP="00AB63DE">
      <w:pPr>
        <w:ind w:left="720" w:hanging="720"/>
        <w:jc w:val="both"/>
        <w:rPr>
          <w:rFonts w:ascii="Avenir Next" w:eastAsiaTheme="minorEastAsia" w:hAnsi="Avenir Next" w:cs="Arial"/>
          <w:sz w:val="22"/>
          <w:szCs w:val="22"/>
          <w:u w:color="FF0000"/>
          <w:lang w:val="en-GB"/>
        </w:rPr>
      </w:pPr>
    </w:p>
    <w:p w14:paraId="614C06A0" w14:textId="77777777" w:rsidR="00D84E1B" w:rsidRDefault="009027A9"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In a cross-border insolvency context, </w:t>
      </w:r>
      <w:r w:rsidR="00FB1E71">
        <w:rPr>
          <w:rFonts w:ascii="Avenir Next" w:eastAsiaTheme="minorEastAsia" w:hAnsi="Avenir Next" w:cs="Arial"/>
          <w:sz w:val="22"/>
          <w:szCs w:val="22"/>
          <w:u w:color="FF0000"/>
          <w:lang w:val="en-GB"/>
        </w:rPr>
        <w:t xml:space="preserve">the differences </w:t>
      </w:r>
      <w:r w:rsidR="00331ECF">
        <w:rPr>
          <w:rFonts w:ascii="Avenir Next" w:eastAsiaTheme="minorEastAsia" w:hAnsi="Avenir Next" w:cs="Arial"/>
          <w:sz w:val="22"/>
          <w:szCs w:val="22"/>
          <w:u w:color="FF0000"/>
          <w:lang w:val="en-GB"/>
        </w:rPr>
        <w:t xml:space="preserve">in domestic approaches towards insolvency </w:t>
      </w:r>
      <w:r w:rsidR="002235BD">
        <w:rPr>
          <w:rFonts w:ascii="Avenir Next" w:eastAsiaTheme="minorEastAsia" w:hAnsi="Avenir Next" w:cs="Arial"/>
          <w:sz w:val="22"/>
          <w:szCs w:val="22"/>
          <w:u w:color="FF0000"/>
          <w:lang w:val="en-GB"/>
        </w:rPr>
        <w:t>have</w:t>
      </w:r>
    </w:p>
    <w:p w14:paraId="4E9AEF74" w14:textId="14D24274" w:rsidR="0047404E" w:rsidRDefault="002235BD" w:rsidP="00AB63D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resulted in difficulties in designing a proper cross-border insolvency dispensation. </w:t>
      </w:r>
    </w:p>
    <w:p w14:paraId="4F005C73" w14:textId="77777777" w:rsidR="00DF4F80" w:rsidRDefault="00DF4F80" w:rsidP="00AB63DE">
      <w:pPr>
        <w:ind w:left="720" w:hanging="720"/>
        <w:jc w:val="both"/>
        <w:rPr>
          <w:rFonts w:ascii="Avenir Next" w:eastAsiaTheme="minorEastAsia" w:hAnsi="Avenir Next" w:cs="Arial"/>
          <w:sz w:val="22"/>
          <w:szCs w:val="22"/>
          <w:u w:color="FF0000"/>
          <w:lang w:val="en-GB"/>
        </w:rPr>
      </w:pPr>
    </w:p>
    <w:p w14:paraId="6B4E1A87" w14:textId="77777777" w:rsidR="00DF4F80" w:rsidRDefault="00AA7440"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In English law,</w:t>
      </w:r>
      <w:r w:rsidR="00DF4F80">
        <w:rPr>
          <w:rFonts w:ascii="Avenir Next" w:eastAsiaTheme="minorEastAsia" w:hAnsi="Avenir Next" w:cs="Arial"/>
          <w:sz w:val="22"/>
          <w:szCs w:val="22"/>
          <w:u w:color="FF0000"/>
          <w:lang w:val="en-GB"/>
        </w:rPr>
        <w:t xml:space="preserve"> </w:t>
      </w:r>
      <w:r>
        <w:rPr>
          <w:rFonts w:ascii="Avenir Next" w:eastAsiaTheme="minorEastAsia" w:hAnsi="Avenir Next" w:cs="Arial"/>
          <w:sz w:val="22"/>
          <w:szCs w:val="22"/>
          <w:u w:color="FF0000"/>
          <w:lang w:val="en-GB"/>
        </w:rPr>
        <w:t>the Act of Elizabeth of 1570</w:t>
      </w:r>
      <w:r w:rsidR="00F8122B">
        <w:rPr>
          <w:rFonts w:ascii="Avenir Next" w:eastAsiaTheme="minorEastAsia" w:hAnsi="Avenir Next" w:cs="Arial"/>
          <w:sz w:val="22"/>
          <w:szCs w:val="22"/>
          <w:u w:color="FF0000"/>
          <w:lang w:val="en-GB"/>
        </w:rPr>
        <w:t xml:space="preserve"> formed the</w:t>
      </w:r>
      <w:r w:rsidR="00FE46DC">
        <w:rPr>
          <w:rFonts w:ascii="Avenir Next" w:eastAsiaTheme="minorEastAsia" w:hAnsi="Avenir Next" w:cs="Arial"/>
          <w:sz w:val="22"/>
          <w:szCs w:val="22"/>
          <w:u w:color="FF0000"/>
          <w:lang w:val="en-GB"/>
        </w:rPr>
        <w:t xml:space="preserve"> basis of fraudulent conveyance law. </w:t>
      </w:r>
      <w:r w:rsidR="00346BBB">
        <w:rPr>
          <w:rFonts w:ascii="Avenir Next" w:eastAsiaTheme="minorEastAsia" w:hAnsi="Avenir Next" w:cs="Arial"/>
          <w:sz w:val="22"/>
          <w:szCs w:val="22"/>
          <w:u w:color="FF0000"/>
          <w:lang w:val="en-GB"/>
        </w:rPr>
        <w:t>The Act</w:t>
      </w:r>
    </w:p>
    <w:p w14:paraId="3E6ED35C" w14:textId="77777777" w:rsidR="00DF4F80" w:rsidRDefault="00346BBB"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was important in</w:t>
      </w:r>
      <w:r w:rsidR="00DF4F80">
        <w:rPr>
          <w:rFonts w:ascii="Avenir Next" w:eastAsiaTheme="minorEastAsia" w:hAnsi="Avenir Next" w:cs="Arial"/>
          <w:sz w:val="22"/>
          <w:szCs w:val="22"/>
          <w:u w:color="FF0000"/>
          <w:lang w:val="en-GB"/>
        </w:rPr>
        <w:t xml:space="preserve"> </w:t>
      </w:r>
      <w:r>
        <w:rPr>
          <w:rFonts w:ascii="Avenir Next" w:eastAsiaTheme="minorEastAsia" w:hAnsi="Avenir Next" w:cs="Arial"/>
          <w:sz w:val="22"/>
          <w:szCs w:val="22"/>
          <w:u w:color="FF0000"/>
          <w:lang w:val="en-GB"/>
        </w:rPr>
        <w:t xml:space="preserve">that it </w:t>
      </w:r>
      <w:r w:rsidR="00392B32">
        <w:rPr>
          <w:rFonts w:ascii="Avenir Next" w:eastAsiaTheme="minorEastAsia" w:hAnsi="Avenir Next" w:cs="Arial"/>
          <w:sz w:val="22"/>
          <w:szCs w:val="22"/>
          <w:u w:color="FF0000"/>
          <w:lang w:val="en-GB"/>
        </w:rPr>
        <w:t>is said to be the first law designed specifically as a true bankruptcy statute</w:t>
      </w:r>
    </w:p>
    <w:p w14:paraId="21EB5D9A" w14:textId="77777777" w:rsidR="00DF4F80" w:rsidRDefault="0001763C"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rather than a law</w:t>
      </w:r>
      <w:r w:rsidR="00DF4F80">
        <w:rPr>
          <w:rFonts w:ascii="Avenir Next" w:eastAsiaTheme="minorEastAsia" w:hAnsi="Avenir Next" w:cs="Arial"/>
          <w:sz w:val="22"/>
          <w:szCs w:val="22"/>
          <w:u w:color="FF0000"/>
          <w:lang w:val="en-GB"/>
        </w:rPr>
        <w:t xml:space="preserve"> </w:t>
      </w:r>
      <w:r>
        <w:rPr>
          <w:rFonts w:ascii="Avenir Next" w:eastAsiaTheme="minorEastAsia" w:hAnsi="Avenir Next" w:cs="Arial"/>
          <w:sz w:val="22"/>
          <w:szCs w:val="22"/>
          <w:u w:color="FF0000"/>
          <w:lang w:val="en-GB"/>
        </w:rPr>
        <w:t>preventing fraud.</w:t>
      </w:r>
      <w:r w:rsidR="005628F4">
        <w:rPr>
          <w:rFonts w:ascii="Avenir Next" w:eastAsiaTheme="minorEastAsia" w:hAnsi="Avenir Next" w:cs="Arial"/>
          <w:sz w:val="22"/>
          <w:szCs w:val="22"/>
          <w:u w:color="FF0000"/>
          <w:lang w:val="en-GB"/>
        </w:rPr>
        <w:t xml:space="preserve"> The Act transferred jurisdiction of the supervision of the estate </w:t>
      </w:r>
      <w:r w:rsidR="00295D53">
        <w:rPr>
          <w:rFonts w:ascii="Avenir Next" w:eastAsiaTheme="minorEastAsia" w:hAnsi="Avenir Next" w:cs="Arial"/>
          <w:sz w:val="22"/>
          <w:szCs w:val="22"/>
          <w:u w:color="FF0000"/>
          <w:lang w:val="en-GB"/>
        </w:rPr>
        <w:t>t</w:t>
      </w:r>
      <w:r w:rsidR="00DF4F80">
        <w:rPr>
          <w:rFonts w:ascii="Avenir Next" w:eastAsiaTheme="minorEastAsia" w:hAnsi="Avenir Next" w:cs="Arial"/>
          <w:sz w:val="22"/>
          <w:szCs w:val="22"/>
          <w:u w:color="FF0000"/>
          <w:lang w:val="en-GB"/>
        </w:rPr>
        <w:t>o</w:t>
      </w:r>
    </w:p>
    <w:p w14:paraId="15911F65" w14:textId="77777777" w:rsidR="00F84768" w:rsidRDefault="00295D53"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the Lord</w:t>
      </w:r>
      <w:r w:rsidR="00DF4F80">
        <w:rPr>
          <w:rFonts w:ascii="Avenir Next" w:eastAsiaTheme="minorEastAsia" w:hAnsi="Avenir Next" w:cs="Arial"/>
          <w:sz w:val="22"/>
          <w:szCs w:val="22"/>
          <w:u w:color="FF0000"/>
          <w:lang w:val="en-GB"/>
        </w:rPr>
        <w:t xml:space="preserve"> </w:t>
      </w:r>
      <w:r>
        <w:rPr>
          <w:rFonts w:ascii="Avenir Next" w:eastAsiaTheme="minorEastAsia" w:hAnsi="Avenir Next" w:cs="Arial"/>
          <w:sz w:val="22"/>
          <w:szCs w:val="22"/>
          <w:u w:color="FF0000"/>
          <w:lang w:val="en-GB"/>
        </w:rPr>
        <w:t xml:space="preserve">Chancellor, a change from the commissioners </w:t>
      </w:r>
      <w:r w:rsidR="0037665D">
        <w:rPr>
          <w:rFonts w:ascii="Avenir Next" w:eastAsiaTheme="minorEastAsia" w:hAnsi="Avenir Next" w:cs="Arial"/>
          <w:sz w:val="22"/>
          <w:szCs w:val="22"/>
          <w:u w:color="FF0000"/>
          <w:lang w:val="en-GB"/>
        </w:rPr>
        <w:t xml:space="preserve">per the Bankruptcy Act of 1542. </w:t>
      </w:r>
      <w:r w:rsidR="00FA71E1">
        <w:rPr>
          <w:rFonts w:ascii="Avenir Next" w:eastAsiaTheme="minorEastAsia" w:hAnsi="Avenir Next" w:cs="Arial"/>
          <w:sz w:val="22"/>
          <w:szCs w:val="22"/>
          <w:u w:color="FF0000"/>
          <w:lang w:val="en-GB"/>
        </w:rPr>
        <w:t>Following an</w:t>
      </w:r>
    </w:p>
    <w:p w14:paraId="3D3954DF" w14:textId="77777777" w:rsidR="00F84768" w:rsidRDefault="00FA71E1"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‘act of bankruptcy’</w:t>
      </w:r>
      <w:r w:rsidR="00993741">
        <w:rPr>
          <w:rFonts w:ascii="Avenir Next" w:eastAsiaTheme="minorEastAsia" w:hAnsi="Avenir Next" w:cs="Arial"/>
          <w:sz w:val="22"/>
          <w:szCs w:val="22"/>
          <w:u w:color="FF0000"/>
          <w:lang w:val="en-GB"/>
        </w:rPr>
        <w:t xml:space="preserve"> by the debtor, a bankruptcy proceeding could be opened by a creditor</w:t>
      </w:r>
      <w:r w:rsidR="00F84768">
        <w:rPr>
          <w:rFonts w:ascii="Avenir Next" w:eastAsiaTheme="minorEastAsia" w:hAnsi="Avenir Next" w:cs="Arial"/>
          <w:sz w:val="22"/>
          <w:szCs w:val="22"/>
          <w:u w:color="FF0000"/>
          <w:lang w:val="en-GB"/>
        </w:rPr>
        <w:t>. Creditors</w:t>
      </w:r>
    </w:p>
    <w:p w14:paraId="78FA1C29" w14:textId="77777777" w:rsidR="001E27B3" w:rsidRDefault="00F84768"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could then</w:t>
      </w:r>
      <w:r w:rsidR="00CE7C03">
        <w:rPr>
          <w:rFonts w:ascii="Avenir Next" w:eastAsiaTheme="minorEastAsia" w:hAnsi="Avenir Next" w:cs="Arial"/>
          <w:sz w:val="22"/>
          <w:szCs w:val="22"/>
          <w:u w:color="FF0000"/>
          <w:lang w:val="en-GB"/>
        </w:rPr>
        <w:t xml:space="preserve"> petition the Lord Chancellor to convene a bankruptcy meeti</w:t>
      </w:r>
      <w:r w:rsidR="001E27B3">
        <w:rPr>
          <w:rFonts w:ascii="Avenir Next" w:eastAsiaTheme="minorEastAsia" w:hAnsi="Avenir Next" w:cs="Arial"/>
          <w:sz w:val="22"/>
          <w:szCs w:val="22"/>
          <w:u w:color="FF0000"/>
          <w:lang w:val="en-GB"/>
        </w:rPr>
        <w:t>ng and have bankruptcy</w:t>
      </w:r>
    </w:p>
    <w:p w14:paraId="42AF645A" w14:textId="77777777" w:rsidR="005F56FD" w:rsidRDefault="001E27B3"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 xml:space="preserve">commissioners appointed. The commissioners would then examine </w:t>
      </w:r>
      <w:r w:rsidR="005F56FD">
        <w:rPr>
          <w:rFonts w:ascii="Avenir Next" w:eastAsiaTheme="minorEastAsia" w:hAnsi="Avenir Next" w:cs="Arial"/>
          <w:sz w:val="22"/>
          <w:szCs w:val="22"/>
          <w:u w:color="FF0000"/>
          <w:lang w:val="en-GB"/>
        </w:rPr>
        <w:t>the transactions and property of</w:t>
      </w:r>
    </w:p>
    <w:p w14:paraId="43768720" w14:textId="24BB5B6F" w:rsidR="00AB63DE" w:rsidRPr="00794893" w:rsidRDefault="005F56FD" w:rsidP="00DF4F80">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the debtor and the debtor would be obligated to transfer their property to the commissioners.</w:t>
      </w:r>
    </w:p>
    <w:p w14:paraId="7E9F61C4" w14:textId="77777777" w:rsidR="00AB63DE" w:rsidRPr="004216EA" w:rsidRDefault="00AB63DE" w:rsidP="00692852">
      <w:pPr>
        <w:jc w:val="both"/>
        <w:rPr>
          <w:rFonts w:ascii="Avenir Next" w:hAnsi="Avenir Next" w:cs="Arial"/>
          <w:sz w:val="22"/>
          <w:szCs w:val="22"/>
          <w:lang w:val="en-GB"/>
        </w:rPr>
      </w:pPr>
    </w:p>
    <w:p w14:paraId="6B318F7C" w14:textId="72659DE7" w:rsidR="00282D1E" w:rsidRDefault="0071253A" w:rsidP="00282D1E">
      <w:pPr>
        <w:ind w:left="720" w:hanging="720"/>
        <w:jc w:val="both"/>
        <w:rPr>
          <w:rFonts w:ascii="Avenir Next" w:eastAsiaTheme="minorEastAsia" w:hAnsi="Avenir Next" w:cs="Arial"/>
          <w:sz w:val="22"/>
          <w:szCs w:val="22"/>
          <w:u w:color="FF0000"/>
          <w:lang w:val="en-GB"/>
        </w:rPr>
      </w:pPr>
      <w:r w:rsidRPr="0071253A">
        <w:rPr>
          <w:rFonts w:ascii="Avenir Next" w:eastAsiaTheme="minorEastAsia" w:hAnsi="Avenir Next" w:cs="Arial"/>
          <w:sz w:val="22"/>
          <w:szCs w:val="22"/>
          <w:u w:color="FF0000"/>
          <w:lang w:val="en-GB"/>
        </w:rPr>
        <w:t xml:space="preserve">In civil law, </w:t>
      </w:r>
      <w:r w:rsidR="003C6AF2">
        <w:rPr>
          <w:rFonts w:ascii="Avenir Next" w:eastAsiaTheme="minorEastAsia" w:hAnsi="Avenir Next" w:cs="Arial"/>
          <w:sz w:val="22"/>
          <w:szCs w:val="22"/>
          <w:u w:color="FF0000"/>
          <w:lang w:val="en-GB"/>
        </w:rPr>
        <w:t xml:space="preserve">the </w:t>
      </w:r>
      <w:proofErr w:type="spellStart"/>
      <w:r w:rsidR="003C6AF2">
        <w:rPr>
          <w:rFonts w:ascii="Avenir Next" w:eastAsiaTheme="minorEastAsia" w:hAnsi="Avenir Next" w:cs="Arial"/>
          <w:sz w:val="22"/>
          <w:szCs w:val="22"/>
          <w:u w:color="FF0000"/>
          <w:lang w:val="en-GB"/>
        </w:rPr>
        <w:t>actio</w:t>
      </w:r>
      <w:proofErr w:type="spellEnd"/>
      <w:r w:rsidR="003C6AF2">
        <w:rPr>
          <w:rFonts w:ascii="Avenir Next" w:eastAsiaTheme="minorEastAsia" w:hAnsi="Avenir Next" w:cs="Arial"/>
          <w:sz w:val="22"/>
          <w:szCs w:val="22"/>
          <w:u w:color="FF0000"/>
          <w:lang w:val="en-GB"/>
        </w:rPr>
        <w:t xml:space="preserve"> </w:t>
      </w:r>
      <w:proofErr w:type="spellStart"/>
      <w:r w:rsidR="003C6AF2">
        <w:rPr>
          <w:rFonts w:ascii="Avenir Next" w:eastAsiaTheme="minorEastAsia" w:hAnsi="Avenir Next" w:cs="Arial"/>
          <w:sz w:val="22"/>
          <w:szCs w:val="22"/>
          <w:u w:color="FF0000"/>
          <w:lang w:val="en-GB"/>
        </w:rPr>
        <w:t>Pauliana</w:t>
      </w:r>
      <w:proofErr w:type="spellEnd"/>
      <w:r w:rsidR="003C6AF2">
        <w:rPr>
          <w:rFonts w:ascii="Avenir Next" w:eastAsiaTheme="minorEastAsia" w:hAnsi="Avenir Next" w:cs="Arial"/>
          <w:sz w:val="22"/>
          <w:szCs w:val="22"/>
          <w:u w:color="FF0000"/>
          <w:lang w:val="en-GB"/>
        </w:rPr>
        <w:t xml:space="preserve"> formed the basis of fraudulent conveyance law. </w:t>
      </w:r>
      <w:r w:rsidR="00AF00D0">
        <w:rPr>
          <w:rFonts w:ascii="Avenir Next" w:eastAsiaTheme="minorEastAsia" w:hAnsi="Avenir Next" w:cs="Arial"/>
          <w:sz w:val="22"/>
          <w:szCs w:val="22"/>
          <w:u w:color="FF0000"/>
          <w:lang w:val="en-GB"/>
        </w:rPr>
        <w:t xml:space="preserve">In practice, </w:t>
      </w:r>
      <w:r w:rsidR="00744549">
        <w:rPr>
          <w:rFonts w:ascii="Avenir Next" w:eastAsiaTheme="minorEastAsia" w:hAnsi="Avenir Next" w:cs="Arial"/>
          <w:sz w:val="22"/>
          <w:szCs w:val="22"/>
          <w:u w:color="FF0000"/>
          <w:lang w:val="en-GB"/>
        </w:rPr>
        <w:t>the</w:t>
      </w:r>
    </w:p>
    <w:p w14:paraId="704DA9BF" w14:textId="62A19081" w:rsidR="00FC48BB" w:rsidRDefault="00F71658" w:rsidP="00282D1E">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legislation detail</w:t>
      </w:r>
      <w:r w:rsidR="00FC48BB">
        <w:rPr>
          <w:rFonts w:ascii="Avenir Next" w:eastAsiaTheme="minorEastAsia" w:hAnsi="Avenir Next" w:cs="Arial"/>
          <w:sz w:val="22"/>
          <w:szCs w:val="22"/>
          <w:u w:color="FF0000"/>
          <w:lang w:val="en-GB"/>
        </w:rPr>
        <w:t xml:space="preserve"> in dealing with these matters</w:t>
      </w:r>
      <w:r>
        <w:rPr>
          <w:rFonts w:ascii="Avenir Next" w:eastAsiaTheme="minorEastAsia" w:hAnsi="Avenir Next" w:cs="Arial"/>
          <w:sz w:val="22"/>
          <w:szCs w:val="22"/>
          <w:u w:color="FF0000"/>
          <w:lang w:val="en-GB"/>
        </w:rPr>
        <w:t xml:space="preserve"> may differ </w:t>
      </w:r>
      <w:r w:rsidR="00744549">
        <w:rPr>
          <w:rFonts w:ascii="Avenir Next" w:eastAsiaTheme="minorEastAsia" w:hAnsi="Avenir Next" w:cs="Arial"/>
          <w:sz w:val="22"/>
          <w:szCs w:val="22"/>
          <w:u w:color="FF0000"/>
          <w:lang w:val="en-GB"/>
        </w:rPr>
        <w:t>regarding the requirements</w:t>
      </w:r>
    </w:p>
    <w:p w14:paraId="5AD2CDEB" w14:textId="675A7417" w:rsidR="00AF00D0" w:rsidRDefault="004B13C7" w:rsidP="0071253A">
      <w:pPr>
        <w:ind w:left="720" w:hanging="720"/>
        <w:jc w:val="both"/>
        <w:rPr>
          <w:rFonts w:ascii="Avenir Next" w:eastAsiaTheme="minorEastAsia" w:hAnsi="Avenir Next" w:cs="Arial"/>
          <w:sz w:val="22"/>
          <w:szCs w:val="22"/>
          <w:u w:color="FF0000"/>
          <w:lang w:val="en-GB"/>
        </w:rPr>
      </w:pPr>
      <w:r>
        <w:rPr>
          <w:rFonts w:ascii="Avenir Next" w:eastAsiaTheme="minorEastAsia" w:hAnsi="Avenir Next" w:cs="Arial"/>
          <w:sz w:val="22"/>
          <w:szCs w:val="22"/>
          <w:u w:color="FF0000"/>
          <w:lang w:val="en-GB"/>
        </w:rPr>
        <w:t>f</w:t>
      </w:r>
      <w:r w:rsidR="00744549">
        <w:rPr>
          <w:rFonts w:ascii="Avenir Next" w:eastAsiaTheme="minorEastAsia" w:hAnsi="Avenir Next" w:cs="Arial"/>
          <w:sz w:val="22"/>
          <w:szCs w:val="22"/>
          <w:u w:color="FF0000"/>
          <w:lang w:val="en-GB"/>
        </w:rPr>
        <w:t>or</w:t>
      </w:r>
      <w:r>
        <w:rPr>
          <w:rFonts w:ascii="Avenir Next" w:eastAsiaTheme="minorEastAsia" w:hAnsi="Avenir Next" w:cs="Arial"/>
          <w:sz w:val="22"/>
          <w:szCs w:val="22"/>
          <w:u w:color="FF0000"/>
          <w:lang w:val="en-GB"/>
        </w:rPr>
        <w:t xml:space="preserve"> the</w:t>
      </w:r>
      <w:r w:rsidR="00744549">
        <w:rPr>
          <w:rFonts w:ascii="Avenir Next" w:eastAsiaTheme="minorEastAsia" w:hAnsi="Avenir Next" w:cs="Arial"/>
          <w:sz w:val="22"/>
          <w:szCs w:val="22"/>
          <w:u w:color="FF0000"/>
          <w:lang w:val="en-GB"/>
        </w:rPr>
        <w:t xml:space="preserve"> remedies to be applied</w:t>
      </w:r>
      <w:r>
        <w:rPr>
          <w:rFonts w:ascii="Avenir Next" w:eastAsiaTheme="minorEastAsia" w:hAnsi="Avenir Next" w:cs="Arial"/>
          <w:sz w:val="22"/>
          <w:szCs w:val="22"/>
          <w:u w:color="FF0000"/>
          <w:lang w:val="en-GB"/>
        </w:rPr>
        <w:t>.</w:t>
      </w:r>
    </w:p>
    <w:p w14:paraId="142493DD" w14:textId="5A494247" w:rsidR="00282D1E" w:rsidRDefault="00282D1E" w:rsidP="0071253A">
      <w:pPr>
        <w:ind w:left="720" w:hanging="720"/>
        <w:jc w:val="both"/>
        <w:rPr>
          <w:rFonts w:ascii="Avenir Next" w:eastAsiaTheme="minorEastAsia" w:hAnsi="Avenir Next" w:cs="Arial"/>
          <w:sz w:val="22"/>
          <w:szCs w:val="22"/>
          <w:u w:color="FF0000"/>
          <w:lang w:val="en-GB"/>
        </w:rPr>
      </w:pPr>
    </w:p>
    <w:p w14:paraId="4B74DD41" w14:textId="6F2909F1" w:rsidR="0000387F" w:rsidRPr="00313313" w:rsidRDefault="00AB2401" w:rsidP="00313313">
      <w:pPr>
        <w:jc w:val="both"/>
        <w:rPr>
          <w:rFonts w:ascii="Avenir Next" w:hAnsi="Avenir Next" w:cs="Arial"/>
          <w:sz w:val="22"/>
          <w:szCs w:val="22"/>
          <w:lang w:val="en-GB"/>
        </w:rPr>
      </w:pPr>
      <w:r w:rsidRPr="00313313">
        <w:rPr>
          <w:rFonts w:ascii="Avenir Next" w:hAnsi="Avenir Next" w:cs="Arial"/>
          <w:sz w:val="22"/>
          <w:szCs w:val="22"/>
          <w:lang w:val="en-GB"/>
        </w:rPr>
        <w:t xml:space="preserve">The United Nations Commission on International Trade Law (UNCITRAL) </w:t>
      </w:r>
      <w:r w:rsidR="00783AEC" w:rsidRPr="00313313">
        <w:rPr>
          <w:rFonts w:ascii="Avenir Next" w:hAnsi="Avenir Next" w:cs="Arial"/>
          <w:sz w:val="22"/>
          <w:szCs w:val="22"/>
          <w:lang w:val="en-GB"/>
        </w:rPr>
        <w:t xml:space="preserve">completed a Model Law on Cross-Border Insolvency (MLCBI) in 1997 which aimed to address </w:t>
      </w:r>
      <w:r w:rsidR="00986A56" w:rsidRPr="00313313">
        <w:rPr>
          <w:rFonts w:ascii="Avenir Next" w:hAnsi="Avenir Next" w:cs="Arial"/>
          <w:sz w:val="22"/>
          <w:szCs w:val="22"/>
          <w:lang w:val="en-GB"/>
        </w:rPr>
        <w:t>the challenges arising in a cross-border insolvency context</w:t>
      </w:r>
      <w:r w:rsidR="00BE43D0" w:rsidRPr="00313313">
        <w:rPr>
          <w:rFonts w:ascii="Avenir Next" w:hAnsi="Avenir Next" w:cs="Arial"/>
          <w:sz w:val="22"/>
          <w:szCs w:val="22"/>
          <w:lang w:val="en-GB"/>
        </w:rPr>
        <w:t>. T</w:t>
      </w:r>
      <w:r w:rsidR="0053427F" w:rsidRPr="00313313">
        <w:rPr>
          <w:rFonts w:ascii="Avenir Next" w:hAnsi="Avenir Next" w:cs="Arial"/>
          <w:sz w:val="22"/>
          <w:szCs w:val="22"/>
          <w:lang w:val="en-GB"/>
        </w:rPr>
        <w:t xml:space="preserve">he UN recommended that all member States review their cross-border insolvency legislation </w:t>
      </w:r>
      <w:r w:rsidR="004B7F84" w:rsidRPr="00313313">
        <w:rPr>
          <w:rFonts w:ascii="Avenir Next" w:hAnsi="Avenir Next" w:cs="Arial"/>
          <w:sz w:val="22"/>
          <w:szCs w:val="22"/>
          <w:lang w:val="en-GB"/>
        </w:rPr>
        <w:t xml:space="preserve">to determine whether it meets the objectives of a modern and efficient insolvency system, bearing in mind that need for an internationally harmonized legislation </w:t>
      </w:r>
      <w:r w:rsidR="00313313" w:rsidRPr="00313313">
        <w:rPr>
          <w:rFonts w:ascii="Avenir Next" w:hAnsi="Avenir Next" w:cs="Arial"/>
          <w:sz w:val="22"/>
          <w:szCs w:val="22"/>
          <w:lang w:val="en-GB"/>
        </w:rPr>
        <w:t xml:space="preserve">governing cross-border insolvencies. </w:t>
      </w:r>
    </w:p>
    <w:p w14:paraId="57A7FAA4" w14:textId="3696FB10" w:rsidR="0000387F" w:rsidRPr="0071253A" w:rsidRDefault="0000387F" w:rsidP="0071253A">
      <w:pPr>
        <w:ind w:left="720" w:hanging="720"/>
        <w:jc w:val="both"/>
        <w:rPr>
          <w:rFonts w:ascii="Avenir Next" w:eastAsiaTheme="minorEastAsia" w:hAnsi="Avenir Next" w:cs="Arial"/>
          <w:sz w:val="22"/>
          <w:szCs w:val="22"/>
          <w:u w:color="FF0000"/>
          <w:lang w:val="en-GB"/>
        </w:rPr>
      </w:pPr>
    </w:p>
    <w:p w14:paraId="1B020D63" w14:textId="77777777" w:rsidR="0071253A" w:rsidRPr="001F5204" w:rsidRDefault="0071253A"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0541C5">
        <w:rPr>
          <w:rFonts w:ascii="Avenir Next Demi Bold" w:hAnsi="Avenir Next Demi Bold" w:cs="Arial"/>
          <w:b/>
          <w:bCs/>
          <w:sz w:val="22"/>
          <w:szCs w:val="22"/>
          <w:lang w:val="en-GB"/>
        </w:rPr>
        <w:t xml:space="preserve">Question </w:t>
      </w:r>
      <w:r w:rsidR="00544127" w:rsidRPr="000541C5">
        <w:rPr>
          <w:rFonts w:ascii="Avenir Next Demi Bold" w:hAnsi="Avenir Next Demi Bold" w:cs="Arial"/>
          <w:b/>
          <w:bCs/>
          <w:sz w:val="22"/>
          <w:szCs w:val="22"/>
          <w:lang w:val="en-GB"/>
        </w:rPr>
        <w:t>3.2</w:t>
      </w:r>
      <w:r w:rsidRPr="000541C5">
        <w:rPr>
          <w:rFonts w:ascii="Avenir Next Demi Bold" w:hAnsi="Avenir Next Demi Bold" w:cs="Arial"/>
          <w:b/>
          <w:bCs/>
          <w:sz w:val="22"/>
          <w:szCs w:val="22"/>
          <w:lang w:val="en-GB"/>
        </w:rPr>
        <w:t xml:space="preserve"> [</w:t>
      </w:r>
      <w:r w:rsidR="006A2646" w:rsidRPr="000541C5">
        <w:rPr>
          <w:rFonts w:ascii="Avenir Next Demi Bold" w:hAnsi="Avenir Next Demi Bold" w:cs="Arial"/>
          <w:b/>
          <w:bCs/>
          <w:sz w:val="22"/>
          <w:szCs w:val="22"/>
          <w:lang w:val="en-GB"/>
        </w:rPr>
        <w:t>m</w:t>
      </w:r>
      <w:r w:rsidRPr="000541C5">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7239F184" w14:textId="39345BEE" w:rsidR="004527F6" w:rsidRDefault="00F059AA" w:rsidP="00F059AA">
      <w:pPr>
        <w:jc w:val="both"/>
        <w:rPr>
          <w:rFonts w:ascii="Avenir Next" w:hAnsi="Avenir Next" w:cs="Arial"/>
          <w:sz w:val="22"/>
          <w:szCs w:val="22"/>
          <w:lang w:val="en-GB"/>
        </w:rPr>
      </w:pPr>
      <w:r w:rsidRPr="00F059AA">
        <w:rPr>
          <w:rFonts w:ascii="Avenir Next" w:hAnsi="Avenir Next" w:cs="Arial"/>
          <w:sz w:val="22"/>
          <w:szCs w:val="22"/>
          <w:lang w:val="en-GB"/>
        </w:rPr>
        <w:t>Wessels</w:t>
      </w:r>
      <w:r>
        <w:rPr>
          <w:rFonts w:ascii="Avenir Next" w:hAnsi="Avenir Next" w:cs="Arial"/>
          <w:sz w:val="22"/>
          <w:szCs w:val="22"/>
          <w:lang w:val="en-GB"/>
        </w:rPr>
        <w:t xml:space="preserve"> </w:t>
      </w:r>
      <w:r w:rsidR="00D878CC">
        <w:rPr>
          <w:rFonts w:ascii="Avenir Next" w:hAnsi="Avenir Next" w:cs="Arial"/>
          <w:sz w:val="22"/>
          <w:szCs w:val="22"/>
          <w:lang w:val="en-GB"/>
        </w:rPr>
        <w:t>concedes that his definition of international insolvency law has its limitations as it is connected to the existence of a national legal framework of insolvency law</w:t>
      </w:r>
      <w:r w:rsidR="009F1D63">
        <w:rPr>
          <w:rFonts w:ascii="Avenir Next" w:hAnsi="Avenir Next" w:cs="Arial"/>
          <w:sz w:val="22"/>
          <w:szCs w:val="22"/>
          <w:lang w:val="en-GB"/>
        </w:rPr>
        <w:t xml:space="preserve">. </w:t>
      </w:r>
      <w:r w:rsidR="004A3F78">
        <w:rPr>
          <w:rFonts w:ascii="Avenir Next" w:hAnsi="Avenir Next" w:cs="Arial"/>
          <w:sz w:val="22"/>
          <w:szCs w:val="22"/>
          <w:lang w:val="en-GB"/>
        </w:rPr>
        <w:t xml:space="preserve">Many domestic legal systems </w:t>
      </w:r>
      <w:r w:rsidR="002A333A">
        <w:rPr>
          <w:rFonts w:ascii="Avenir Next" w:hAnsi="Avenir Next" w:cs="Arial"/>
          <w:sz w:val="22"/>
          <w:szCs w:val="22"/>
          <w:lang w:val="en-GB"/>
        </w:rPr>
        <w:t xml:space="preserve">are ill-equipped with regards to dealing with insolvencies </w:t>
      </w:r>
      <w:r w:rsidR="00770BC9">
        <w:rPr>
          <w:rFonts w:ascii="Avenir Next" w:hAnsi="Avenir Next" w:cs="Arial"/>
          <w:sz w:val="22"/>
          <w:szCs w:val="22"/>
          <w:lang w:val="en-GB"/>
        </w:rPr>
        <w:t>and this has implications across national borders.</w:t>
      </w:r>
      <w:r w:rsidR="00953A04">
        <w:rPr>
          <w:rFonts w:ascii="Avenir Next" w:hAnsi="Avenir Next" w:cs="Arial"/>
          <w:sz w:val="22"/>
          <w:szCs w:val="22"/>
          <w:lang w:val="en-GB"/>
        </w:rPr>
        <w:t xml:space="preserve"> </w:t>
      </w:r>
      <w:r w:rsidR="00D56A4B">
        <w:rPr>
          <w:rFonts w:ascii="Avenir Next" w:hAnsi="Avenir Next" w:cs="Arial"/>
          <w:sz w:val="22"/>
          <w:szCs w:val="22"/>
          <w:lang w:val="en-GB"/>
        </w:rPr>
        <w:t>The stand</w:t>
      </w:r>
      <w:r w:rsidR="0040007B">
        <w:rPr>
          <w:rFonts w:ascii="Avenir Next" w:hAnsi="Avenir Next" w:cs="Arial"/>
          <w:sz w:val="22"/>
          <w:szCs w:val="22"/>
          <w:lang w:val="en-GB"/>
        </w:rPr>
        <w:t xml:space="preserve">ard of insolvency laws in many countries is relatively low, with many laws being outdated (perhaps due to their colonial past) </w:t>
      </w:r>
      <w:r w:rsidR="00100C89">
        <w:rPr>
          <w:rFonts w:ascii="Avenir Next" w:hAnsi="Avenir Next" w:cs="Arial"/>
          <w:sz w:val="22"/>
          <w:szCs w:val="22"/>
          <w:lang w:val="en-GB"/>
        </w:rPr>
        <w:t xml:space="preserve">or not otherwise suited to modern trade and investment. For these reasons, </w:t>
      </w:r>
      <w:r w:rsidR="007B0004">
        <w:rPr>
          <w:rFonts w:ascii="Avenir Next" w:hAnsi="Avenir Next" w:cs="Arial"/>
          <w:sz w:val="22"/>
          <w:szCs w:val="22"/>
          <w:lang w:val="en-GB"/>
        </w:rPr>
        <w:t>Wessels’ definition has some limitations.</w:t>
      </w:r>
    </w:p>
    <w:p w14:paraId="48CA25DF" w14:textId="77777777" w:rsidR="004527F6" w:rsidRDefault="004527F6" w:rsidP="00F059AA">
      <w:pPr>
        <w:jc w:val="both"/>
        <w:rPr>
          <w:rFonts w:ascii="Avenir Next" w:hAnsi="Avenir Next" w:cs="Arial"/>
          <w:sz w:val="22"/>
          <w:szCs w:val="22"/>
          <w:lang w:val="en-GB"/>
        </w:rPr>
      </w:pPr>
    </w:p>
    <w:p w14:paraId="5F505EC0" w14:textId="5D154000" w:rsidR="001E1C34" w:rsidRPr="00F059AA" w:rsidRDefault="00500D05" w:rsidP="00F059AA">
      <w:pPr>
        <w:jc w:val="both"/>
        <w:rPr>
          <w:rFonts w:ascii="Avenir Next" w:hAnsi="Avenir Next" w:cs="Arial"/>
          <w:sz w:val="22"/>
          <w:szCs w:val="22"/>
          <w:lang w:val="en-GB"/>
        </w:rPr>
      </w:pPr>
      <w:r>
        <w:rPr>
          <w:rFonts w:ascii="Avenir Next" w:hAnsi="Avenir Next" w:cs="Arial"/>
          <w:sz w:val="22"/>
          <w:szCs w:val="22"/>
          <w:lang w:val="en-GB"/>
        </w:rPr>
        <w:t xml:space="preserve">Wessels further </w:t>
      </w:r>
      <w:r w:rsidR="001310E5">
        <w:rPr>
          <w:rFonts w:ascii="Avenir Next" w:hAnsi="Avenir Next" w:cs="Arial"/>
          <w:sz w:val="22"/>
          <w:szCs w:val="22"/>
          <w:lang w:val="en-GB"/>
        </w:rPr>
        <w:t>highlights</w:t>
      </w:r>
      <w:r w:rsidR="0043017F">
        <w:rPr>
          <w:rFonts w:ascii="Avenir Next" w:hAnsi="Avenir Next" w:cs="Arial"/>
          <w:sz w:val="22"/>
          <w:szCs w:val="22"/>
          <w:lang w:val="en-GB"/>
        </w:rPr>
        <w:t xml:space="preserve"> limitations in </w:t>
      </w:r>
      <w:r w:rsidR="00F05E63">
        <w:rPr>
          <w:rFonts w:ascii="Avenir Next" w:hAnsi="Avenir Next" w:cs="Arial"/>
          <w:sz w:val="22"/>
          <w:szCs w:val="22"/>
          <w:lang w:val="en-GB"/>
        </w:rPr>
        <w:t xml:space="preserve">defining </w:t>
      </w:r>
      <w:r w:rsidR="0043017F">
        <w:rPr>
          <w:rFonts w:ascii="Avenir Next" w:hAnsi="Avenir Next" w:cs="Arial"/>
          <w:sz w:val="22"/>
          <w:szCs w:val="22"/>
          <w:lang w:val="en-GB"/>
        </w:rPr>
        <w:t>‘international insolvency law’</w:t>
      </w:r>
      <w:r w:rsidR="00077257">
        <w:rPr>
          <w:rFonts w:ascii="Avenir Next" w:hAnsi="Avenir Next" w:cs="Arial"/>
          <w:sz w:val="22"/>
          <w:szCs w:val="22"/>
          <w:lang w:val="en-GB"/>
        </w:rPr>
        <w:t xml:space="preserve">, proposing that </w:t>
      </w:r>
      <w:r w:rsidR="00E36BAC">
        <w:rPr>
          <w:rFonts w:ascii="Avenir Next" w:hAnsi="Avenir Next" w:cs="Arial"/>
          <w:sz w:val="22"/>
          <w:szCs w:val="22"/>
          <w:lang w:val="en-GB"/>
        </w:rPr>
        <w:t xml:space="preserve">international insolvency law should be considered as a situation ‘… in which an insolvency occurs in circumstances which in some way transcend the confines of a single legal system, so that </w:t>
      </w:r>
      <w:r w:rsidR="00563A99">
        <w:rPr>
          <w:rFonts w:ascii="Avenir Next" w:hAnsi="Avenir Next" w:cs="Arial"/>
          <w:sz w:val="22"/>
          <w:szCs w:val="22"/>
          <w:lang w:val="en-GB"/>
        </w:rPr>
        <w:t>a single set of domestic insolvency law provisions cannot be immediately and exclusively applied without regard to the issues raised by the foreign elements of the case.’</w:t>
      </w:r>
      <w:r w:rsidR="008E3047">
        <w:rPr>
          <w:rFonts w:ascii="Avenir Next" w:hAnsi="Avenir Next" w:cs="Arial"/>
          <w:sz w:val="22"/>
          <w:szCs w:val="22"/>
          <w:lang w:val="en-GB"/>
        </w:rPr>
        <w:t xml:space="preserve"> (Wessels, supra).</w:t>
      </w:r>
      <w:r w:rsidR="00824AF8">
        <w:rPr>
          <w:rFonts w:ascii="Avenir Next" w:hAnsi="Avenir Next" w:cs="Arial"/>
          <w:sz w:val="22"/>
          <w:szCs w:val="22"/>
          <w:lang w:val="en-GB"/>
        </w:rPr>
        <w:t xml:space="preserve"> Examples </w:t>
      </w:r>
      <w:r w:rsidR="00586441">
        <w:rPr>
          <w:rFonts w:ascii="Avenir Next" w:hAnsi="Avenir Next" w:cs="Arial"/>
          <w:sz w:val="22"/>
          <w:szCs w:val="22"/>
          <w:lang w:val="en-GB"/>
        </w:rPr>
        <w:t xml:space="preserve">of this are the founding fathers of the US declaring in their Constitution that insolvency law is a federal question, rather than </w:t>
      </w:r>
      <w:r w:rsidR="008A28FC">
        <w:rPr>
          <w:rFonts w:ascii="Avenir Next" w:hAnsi="Avenir Next" w:cs="Arial"/>
          <w:sz w:val="22"/>
          <w:szCs w:val="22"/>
          <w:lang w:val="en-GB"/>
        </w:rPr>
        <w:t>a state question and the EU creating a common market between nation States.</w:t>
      </w:r>
      <w:r w:rsidR="00107229">
        <w:rPr>
          <w:rFonts w:ascii="Avenir Next" w:hAnsi="Avenir Next" w:cs="Arial"/>
          <w:sz w:val="22"/>
          <w:szCs w:val="22"/>
          <w:lang w:val="en-GB"/>
        </w:rPr>
        <w:t xml:space="preserve"> The recognition of </w:t>
      </w:r>
      <w:r w:rsidR="004D44F9">
        <w:rPr>
          <w:rFonts w:ascii="Avenir Next" w:hAnsi="Avenir Next" w:cs="Arial"/>
          <w:sz w:val="22"/>
          <w:szCs w:val="22"/>
          <w:lang w:val="en-GB"/>
        </w:rPr>
        <w:t xml:space="preserve">insolvency proceedings in one state where the debtor holds assets </w:t>
      </w:r>
      <w:r w:rsidR="00E70576">
        <w:rPr>
          <w:rFonts w:ascii="Avenir Next" w:hAnsi="Avenir Next" w:cs="Arial"/>
          <w:sz w:val="22"/>
          <w:szCs w:val="22"/>
          <w:lang w:val="en-GB"/>
        </w:rPr>
        <w:t xml:space="preserve">at the commencement of the insolvency proceedings </w:t>
      </w:r>
      <w:r w:rsidR="00785B77">
        <w:rPr>
          <w:rFonts w:ascii="Avenir Next" w:hAnsi="Avenir Next" w:cs="Arial"/>
          <w:sz w:val="22"/>
          <w:szCs w:val="22"/>
          <w:lang w:val="en-GB"/>
        </w:rPr>
        <w:t xml:space="preserve">in another </w:t>
      </w:r>
      <w:r w:rsidR="005C6B73">
        <w:rPr>
          <w:rFonts w:ascii="Avenir Next" w:hAnsi="Avenir Next" w:cs="Arial"/>
          <w:sz w:val="22"/>
          <w:szCs w:val="22"/>
          <w:lang w:val="en-GB"/>
        </w:rPr>
        <w:t>state cannot depend solely on the goodwill of the first state.</w:t>
      </w:r>
      <w:r w:rsidR="008A28FC">
        <w:rPr>
          <w:rFonts w:ascii="Avenir Next" w:hAnsi="Avenir Next" w:cs="Arial"/>
          <w:sz w:val="22"/>
          <w:szCs w:val="22"/>
          <w:lang w:val="en-GB"/>
        </w:rPr>
        <w:t xml:space="preserve"> </w:t>
      </w:r>
      <w:r w:rsidR="0015439B">
        <w:rPr>
          <w:rFonts w:ascii="Avenir Next" w:hAnsi="Avenir Next" w:cs="Arial"/>
          <w:sz w:val="22"/>
          <w:szCs w:val="22"/>
          <w:lang w:val="en-GB"/>
        </w:rPr>
        <w:t xml:space="preserve">In the modern world, </w:t>
      </w:r>
      <w:r w:rsidR="00531B45">
        <w:rPr>
          <w:rFonts w:ascii="Avenir Next" w:hAnsi="Avenir Next" w:cs="Arial"/>
          <w:sz w:val="22"/>
          <w:szCs w:val="22"/>
          <w:lang w:val="en-GB"/>
        </w:rPr>
        <w:t>the communication and interaction between individuals, businesses and States has resulted in cross-border insolvency issues</w:t>
      </w:r>
      <w:r w:rsidR="00134710">
        <w:rPr>
          <w:rFonts w:ascii="Avenir Next" w:hAnsi="Avenir Next" w:cs="Arial"/>
          <w:sz w:val="22"/>
          <w:szCs w:val="22"/>
          <w:lang w:val="en-GB"/>
        </w:rPr>
        <w:t xml:space="preserve"> as national borders are becoming increasingly irrelevant. </w:t>
      </w:r>
      <w:r w:rsidR="00531B45">
        <w:rPr>
          <w:rFonts w:ascii="Avenir Next" w:hAnsi="Avenir Next" w:cs="Arial"/>
          <w:sz w:val="22"/>
          <w:szCs w:val="22"/>
          <w:lang w:val="en-GB"/>
        </w:rPr>
        <w:t xml:space="preserve">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w:t>
      </w:r>
      <w:r w:rsidRPr="00B67DB1">
        <w:rPr>
          <w:rFonts w:ascii="Avenir Next" w:hAnsi="Avenir Next"/>
        </w:rPr>
        <w:t xml:space="preserve">or </w:t>
      </w:r>
      <w:r w:rsidR="005F0764" w:rsidRPr="00B67DB1">
        <w:rPr>
          <w:rFonts w:ascii="Avenir Next" w:hAnsi="Avenir Next"/>
        </w:rPr>
        <w:t>conventions as</w:t>
      </w:r>
      <w:r w:rsidRPr="00B67DB1">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24B86C10" w14:textId="77777777" w:rsidR="00FE3583" w:rsidRDefault="0000192E" w:rsidP="001E1C34">
      <w:pPr>
        <w:ind w:left="720" w:hanging="720"/>
        <w:jc w:val="both"/>
        <w:rPr>
          <w:rFonts w:ascii="Avenir Next" w:hAnsi="Avenir Next" w:cs="Arial"/>
          <w:sz w:val="22"/>
          <w:szCs w:val="22"/>
          <w:lang w:val="en-GB"/>
        </w:rPr>
      </w:pPr>
      <w:r w:rsidRPr="0000192E">
        <w:rPr>
          <w:rFonts w:ascii="Avenir Next" w:hAnsi="Avenir Next" w:cs="Arial"/>
          <w:sz w:val="22"/>
          <w:szCs w:val="22"/>
          <w:lang w:val="en-GB"/>
        </w:rPr>
        <w:t>Treaties and conventions</w:t>
      </w:r>
      <w:r>
        <w:rPr>
          <w:rFonts w:ascii="Avenir Next" w:hAnsi="Avenir Next" w:cs="Arial"/>
          <w:sz w:val="22"/>
          <w:szCs w:val="22"/>
          <w:lang w:val="en-GB"/>
        </w:rPr>
        <w:t xml:space="preserve"> </w:t>
      </w:r>
      <w:r w:rsidR="00FE3583">
        <w:rPr>
          <w:rFonts w:ascii="Avenir Next" w:hAnsi="Avenir Next" w:cs="Arial"/>
          <w:sz w:val="22"/>
          <w:szCs w:val="22"/>
          <w:lang w:val="en-GB"/>
        </w:rPr>
        <w:t>have been used as instruments in cross-border insolvency law, with varying</w:t>
      </w:r>
    </w:p>
    <w:p w14:paraId="5A72936B" w14:textId="77777777" w:rsidR="009D1576" w:rsidRDefault="00FE3583" w:rsidP="001E1C34">
      <w:pPr>
        <w:ind w:left="720" w:hanging="720"/>
        <w:jc w:val="both"/>
        <w:rPr>
          <w:rFonts w:ascii="Avenir Next" w:hAnsi="Avenir Next" w:cs="Arial"/>
          <w:sz w:val="22"/>
          <w:szCs w:val="22"/>
          <w:lang w:val="en-GB"/>
        </w:rPr>
      </w:pPr>
      <w:r>
        <w:rPr>
          <w:rFonts w:ascii="Avenir Next" w:hAnsi="Avenir Next" w:cs="Arial"/>
          <w:sz w:val="22"/>
          <w:szCs w:val="22"/>
          <w:lang w:val="en-GB"/>
        </w:rPr>
        <w:t>degrees of success over the years.</w:t>
      </w:r>
      <w:r w:rsidR="0050091B">
        <w:rPr>
          <w:rFonts w:ascii="Avenir Next" w:hAnsi="Avenir Next" w:cs="Arial"/>
          <w:sz w:val="22"/>
          <w:szCs w:val="22"/>
          <w:lang w:val="en-GB"/>
        </w:rPr>
        <w:t xml:space="preserve"> Treaties and conventions act as public international instruments in</w:t>
      </w:r>
    </w:p>
    <w:p w14:paraId="6675BEEE" w14:textId="2A886047" w:rsidR="001E1C34" w:rsidRDefault="0050091B"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that States bind themselves </w:t>
      </w:r>
      <w:r w:rsidR="009D1576">
        <w:rPr>
          <w:rFonts w:ascii="Avenir Next" w:hAnsi="Avenir Next" w:cs="Arial"/>
          <w:sz w:val="22"/>
          <w:szCs w:val="22"/>
          <w:lang w:val="en-GB"/>
        </w:rPr>
        <w:t>in signing the treaties and affect their domestic laws accordingly.</w:t>
      </w:r>
    </w:p>
    <w:p w14:paraId="4CE24CD9" w14:textId="20AAFE7F" w:rsidR="008220DE" w:rsidRDefault="008220DE" w:rsidP="001E1C34">
      <w:pPr>
        <w:ind w:left="720" w:hanging="720"/>
        <w:jc w:val="both"/>
        <w:rPr>
          <w:rFonts w:ascii="Avenir Next" w:hAnsi="Avenir Next" w:cs="Arial"/>
          <w:sz w:val="22"/>
          <w:szCs w:val="22"/>
          <w:lang w:val="en-GB"/>
        </w:rPr>
      </w:pPr>
    </w:p>
    <w:p w14:paraId="22160710" w14:textId="77777777" w:rsidR="00DF410F" w:rsidRDefault="00DF410F" w:rsidP="001E1C34">
      <w:pPr>
        <w:ind w:left="720" w:hanging="720"/>
        <w:jc w:val="both"/>
        <w:rPr>
          <w:rFonts w:ascii="Avenir Next" w:hAnsi="Avenir Next"/>
          <w:sz w:val="22"/>
          <w:szCs w:val="22"/>
        </w:rPr>
      </w:pPr>
      <w:r w:rsidRPr="00DF410F">
        <w:rPr>
          <w:rFonts w:ascii="Avenir Next" w:hAnsi="Avenir Next"/>
          <w:sz w:val="22"/>
          <w:szCs w:val="22"/>
        </w:rPr>
        <w:t>Bilateral international insolvency conventions began in Europe from the 13th and 14th centuries with</w:t>
      </w:r>
    </w:p>
    <w:p w14:paraId="6B83E9AA" w14:textId="77777777" w:rsidR="00E8110D" w:rsidRDefault="00DF410F" w:rsidP="001E1C34">
      <w:pPr>
        <w:ind w:left="720" w:hanging="720"/>
        <w:jc w:val="both"/>
        <w:rPr>
          <w:rFonts w:ascii="Avenir Next" w:hAnsi="Avenir Next"/>
          <w:sz w:val="22"/>
          <w:szCs w:val="22"/>
        </w:rPr>
      </w:pPr>
      <w:r w:rsidRPr="00DF410F">
        <w:rPr>
          <w:rFonts w:ascii="Avenir Next" w:hAnsi="Avenir Next"/>
          <w:sz w:val="22"/>
          <w:szCs w:val="22"/>
        </w:rPr>
        <w:t>a view</w:t>
      </w:r>
      <w:r>
        <w:rPr>
          <w:rFonts w:ascii="Avenir Next" w:hAnsi="Avenir Next" w:cs="Arial"/>
          <w:sz w:val="22"/>
          <w:szCs w:val="22"/>
          <w:lang w:val="en-GB"/>
        </w:rPr>
        <w:t xml:space="preserve"> t</w:t>
      </w:r>
      <w:r w:rsidRPr="00E8110D">
        <w:rPr>
          <w:rFonts w:ascii="Avenir Next" w:hAnsi="Avenir Next"/>
          <w:sz w:val="22"/>
          <w:szCs w:val="22"/>
        </w:rPr>
        <w:t>o addressing absconding debtors and later collecting assets.</w:t>
      </w:r>
      <w:r w:rsidR="00FD70B8" w:rsidRPr="00E8110D">
        <w:rPr>
          <w:rFonts w:ascii="Avenir Next" w:hAnsi="Avenir Next"/>
          <w:sz w:val="22"/>
          <w:szCs w:val="22"/>
        </w:rPr>
        <w:t xml:space="preserve"> More modern treaties and</w:t>
      </w:r>
    </w:p>
    <w:p w14:paraId="640752EC" w14:textId="77777777" w:rsidR="00841AF7" w:rsidRDefault="00FD70B8" w:rsidP="001E1C34">
      <w:pPr>
        <w:ind w:left="720" w:hanging="720"/>
        <w:jc w:val="both"/>
        <w:rPr>
          <w:rFonts w:ascii="Avenir Next" w:hAnsi="Avenir Next"/>
          <w:sz w:val="22"/>
          <w:szCs w:val="22"/>
        </w:rPr>
      </w:pPr>
      <w:r w:rsidRPr="00E8110D">
        <w:rPr>
          <w:rFonts w:ascii="Avenir Next" w:hAnsi="Avenir Next"/>
          <w:sz w:val="22"/>
          <w:szCs w:val="22"/>
        </w:rPr>
        <w:t>conventions</w:t>
      </w:r>
      <w:r w:rsidRPr="00841AF7">
        <w:rPr>
          <w:rFonts w:ascii="Avenir Next" w:hAnsi="Avenir Next"/>
          <w:sz w:val="22"/>
          <w:szCs w:val="22"/>
        </w:rPr>
        <w:t xml:space="preserve"> </w:t>
      </w:r>
      <w:r w:rsidR="00E8110D" w:rsidRPr="00841AF7">
        <w:rPr>
          <w:rFonts w:ascii="Avenir Next" w:hAnsi="Avenir Next"/>
          <w:sz w:val="22"/>
          <w:szCs w:val="22"/>
        </w:rPr>
        <w:t>arose in the 19th century, addressing topics such as jurisdiction, recognition and</w:t>
      </w:r>
    </w:p>
    <w:p w14:paraId="0F7B1F55" w14:textId="77777777" w:rsidR="006A0DA6" w:rsidRDefault="00E8110D" w:rsidP="001E1C34">
      <w:pPr>
        <w:ind w:left="720" w:hanging="720"/>
        <w:jc w:val="both"/>
        <w:rPr>
          <w:rFonts w:ascii="Avenir Next" w:hAnsi="Avenir Next"/>
          <w:sz w:val="22"/>
          <w:szCs w:val="22"/>
        </w:rPr>
      </w:pPr>
      <w:r w:rsidRPr="00841AF7">
        <w:rPr>
          <w:rFonts w:ascii="Avenir Next" w:hAnsi="Avenir Next"/>
          <w:sz w:val="22"/>
          <w:szCs w:val="22"/>
        </w:rPr>
        <w:t>enforcement</w:t>
      </w:r>
      <w:r w:rsidRPr="00CD5325">
        <w:rPr>
          <w:rFonts w:ascii="Avenir Next" w:hAnsi="Avenir Next"/>
          <w:sz w:val="22"/>
          <w:szCs w:val="22"/>
        </w:rPr>
        <w:t xml:space="preserve"> related to bankruptcy, </w:t>
      </w:r>
      <w:r w:rsidR="00841AF7" w:rsidRPr="00CD5325">
        <w:rPr>
          <w:rFonts w:ascii="Avenir Next" w:hAnsi="Avenir Next"/>
          <w:sz w:val="22"/>
          <w:szCs w:val="22"/>
        </w:rPr>
        <w:t>winding up and arrangements.</w:t>
      </w:r>
      <w:r w:rsidR="00701C73">
        <w:rPr>
          <w:rFonts w:ascii="Avenir Next" w:hAnsi="Avenir Next"/>
          <w:sz w:val="22"/>
          <w:szCs w:val="22"/>
        </w:rPr>
        <w:t xml:space="preserve"> European efforts at achieving</w:t>
      </w:r>
    </w:p>
    <w:p w14:paraId="7BF76090" w14:textId="77777777" w:rsidR="00886461" w:rsidRDefault="00701C73" w:rsidP="00886461">
      <w:pPr>
        <w:ind w:left="720" w:hanging="720"/>
        <w:jc w:val="both"/>
        <w:rPr>
          <w:rFonts w:ascii="Avenir Next" w:hAnsi="Avenir Next"/>
          <w:sz w:val="22"/>
          <w:szCs w:val="22"/>
        </w:rPr>
      </w:pPr>
      <w:r>
        <w:rPr>
          <w:rFonts w:ascii="Avenir Next" w:hAnsi="Avenir Next"/>
          <w:sz w:val="22"/>
          <w:szCs w:val="22"/>
        </w:rPr>
        <w:t xml:space="preserve">multilateral international insolvency </w:t>
      </w:r>
      <w:r w:rsidR="006A0DA6">
        <w:rPr>
          <w:rFonts w:ascii="Avenir Next" w:hAnsi="Avenir Next"/>
          <w:sz w:val="22"/>
          <w:szCs w:val="22"/>
        </w:rPr>
        <w:t>agreements were unsuccessful for many years.</w:t>
      </w:r>
      <w:r w:rsidR="00886461" w:rsidRPr="00886461">
        <w:rPr>
          <w:rFonts w:ascii="Avenir Next" w:hAnsi="Avenir Next"/>
          <w:sz w:val="22"/>
          <w:szCs w:val="22"/>
        </w:rPr>
        <w:t xml:space="preserve"> </w:t>
      </w:r>
      <w:r w:rsidR="00886461" w:rsidRPr="00CD5325">
        <w:rPr>
          <w:rFonts w:ascii="Avenir Next" w:hAnsi="Avenir Next"/>
          <w:sz w:val="22"/>
          <w:szCs w:val="22"/>
        </w:rPr>
        <w:t>The Nordic</w:t>
      </w:r>
    </w:p>
    <w:p w14:paraId="7AC32972" w14:textId="79C3081F" w:rsidR="00886461" w:rsidRDefault="00886461" w:rsidP="00886461">
      <w:pPr>
        <w:ind w:left="720" w:hanging="720"/>
        <w:jc w:val="both"/>
        <w:rPr>
          <w:rFonts w:ascii="Avenir Next" w:hAnsi="Avenir Next"/>
          <w:sz w:val="22"/>
          <w:szCs w:val="22"/>
        </w:rPr>
      </w:pPr>
      <w:r w:rsidRPr="00CD5325">
        <w:rPr>
          <w:rFonts w:ascii="Avenir Next" w:hAnsi="Avenir Next"/>
          <w:sz w:val="22"/>
          <w:szCs w:val="22"/>
        </w:rPr>
        <w:t>Convention of 1933</w:t>
      </w:r>
      <w:r>
        <w:rPr>
          <w:rFonts w:ascii="Avenir Next" w:hAnsi="Avenir Next"/>
          <w:sz w:val="22"/>
          <w:szCs w:val="22"/>
        </w:rPr>
        <w:t xml:space="preserve"> </w:t>
      </w:r>
      <w:r w:rsidRPr="00CD5325">
        <w:rPr>
          <w:rFonts w:ascii="Avenir Next" w:hAnsi="Avenir Next"/>
          <w:sz w:val="22"/>
          <w:szCs w:val="22"/>
        </w:rPr>
        <w:t xml:space="preserve">was </w:t>
      </w:r>
      <w:r>
        <w:rPr>
          <w:rFonts w:ascii="Avenir Next" w:hAnsi="Avenir Next"/>
          <w:sz w:val="22"/>
          <w:szCs w:val="22"/>
        </w:rPr>
        <w:t>one</w:t>
      </w:r>
      <w:r>
        <w:rPr>
          <w:rFonts w:ascii="Avenir Next" w:hAnsi="Avenir Next"/>
          <w:sz w:val="22"/>
          <w:szCs w:val="22"/>
        </w:rPr>
        <w:t xml:space="preserve"> rare</w:t>
      </w:r>
      <w:r>
        <w:rPr>
          <w:rFonts w:ascii="Avenir Next" w:hAnsi="Avenir Next"/>
          <w:sz w:val="22"/>
          <w:szCs w:val="22"/>
        </w:rPr>
        <w:t xml:space="preserve"> successful multilateral treaty that arose.</w:t>
      </w:r>
    </w:p>
    <w:p w14:paraId="2373D158" w14:textId="77777777" w:rsidR="00886461" w:rsidRDefault="00886461" w:rsidP="00886461">
      <w:pPr>
        <w:jc w:val="both"/>
        <w:rPr>
          <w:rFonts w:ascii="Avenir Next" w:hAnsi="Avenir Next"/>
          <w:sz w:val="22"/>
          <w:szCs w:val="22"/>
        </w:rPr>
      </w:pPr>
    </w:p>
    <w:p w14:paraId="48966391" w14:textId="77777777" w:rsidR="00886461" w:rsidRDefault="009E7039" w:rsidP="00886461">
      <w:pPr>
        <w:ind w:left="720" w:hanging="720"/>
        <w:jc w:val="both"/>
        <w:rPr>
          <w:rFonts w:ascii="Avenir Next" w:hAnsi="Avenir Next"/>
          <w:sz w:val="22"/>
          <w:szCs w:val="22"/>
        </w:rPr>
      </w:pPr>
      <w:r>
        <w:rPr>
          <w:rFonts w:ascii="Avenir Next" w:hAnsi="Avenir Next"/>
          <w:sz w:val="22"/>
          <w:szCs w:val="22"/>
        </w:rPr>
        <w:t>The Council of</w:t>
      </w:r>
      <w:r w:rsidR="00886461">
        <w:rPr>
          <w:rFonts w:ascii="Avenir Next" w:hAnsi="Avenir Next"/>
          <w:sz w:val="22"/>
          <w:szCs w:val="22"/>
        </w:rPr>
        <w:t xml:space="preserve"> Europe</w:t>
      </w:r>
      <w:r>
        <w:rPr>
          <w:rFonts w:ascii="Avenir Next" w:hAnsi="Avenir Next"/>
          <w:sz w:val="22"/>
          <w:szCs w:val="22"/>
        </w:rPr>
        <w:t xml:space="preserve"> (currently with 47 member countries) was founded in 1949 </w:t>
      </w:r>
      <w:r w:rsidR="00D569FD">
        <w:rPr>
          <w:rFonts w:ascii="Avenir Next" w:hAnsi="Avenir Next"/>
          <w:sz w:val="22"/>
          <w:szCs w:val="22"/>
        </w:rPr>
        <w:t>and is based in</w:t>
      </w:r>
    </w:p>
    <w:p w14:paraId="4B85CB42" w14:textId="7A12A12F" w:rsidR="00886461" w:rsidRDefault="00D569FD" w:rsidP="00886461">
      <w:pPr>
        <w:ind w:left="720" w:hanging="720"/>
        <w:jc w:val="both"/>
        <w:rPr>
          <w:rFonts w:ascii="Avenir Next" w:hAnsi="Avenir Next"/>
          <w:sz w:val="22"/>
          <w:szCs w:val="22"/>
        </w:rPr>
      </w:pPr>
      <w:r>
        <w:rPr>
          <w:rFonts w:ascii="Avenir Next" w:hAnsi="Avenir Next"/>
          <w:sz w:val="22"/>
          <w:szCs w:val="22"/>
        </w:rPr>
        <w:t>Strasbourg, France.</w:t>
      </w:r>
      <w:r w:rsidR="00886461">
        <w:rPr>
          <w:rFonts w:ascii="Avenir Next" w:hAnsi="Avenir Next"/>
          <w:sz w:val="22"/>
          <w:szCs w:val="22"/>
        </w:rPr>
        <w:t xml:space="preserve"> </w:t>
      </w:r>
      <w:r>
        <w:rPr>
          <w:rFonts w:ascii="Avenir Next" w:hAnsi="Avenir Next"/>
          <w:sz w:val="22"/>
          <w:szCs w:val="22"/>
        </w:rPr>
        <w:t>Its purpose is to develop comm</w:t>
      </w:r>
      <w:r w:rsidR="006C4974">
        <w:rPr>
          <w:rFonts w:ascii="Avenir Next" w:hAnsi="Avenir Next"/>
          <w:sz w:val="22"/>
          <w:szCs w:val="22"/>
        </w:rPr>
        <w:t>on</w:t>
      </w:r>
      <w:r>
        <w:rPr>
          <w:rFonts w:ascii="Avenir Next" w:hAnsi="Avenir Next"/>
          <w:sz w:val="22"/>
          <w:szCs w:val="22"/>
        </w:rPr>
        <w:t xml:space="preserve"> and democratic principles based on the</w:t>
      </w:r>
    </w:p>
    <w:p w14:paraId="343FF00F" w14:textId="77777777" w:rsidR="0026172B" w:rsidRDefault="00D569FD" w:rsidP="00886461">
      <w:pPr>
        <w:ind w:left="720" w:hanging="720"/>
        <w:jc w:val="both"/>
        <w:rPr>
          <w:rFonts w:ascii="Avenir Next" w:hAnsi="Avenir Next"/>
          <w:sz w:val="22"/>
          <w:szCs w:val="22"/>
        </w:rPr>
      </w:pPr>
      <w:r>
        <w:rPr>
          <w:rFonts w:ascii="Avenir Next" w:hAnsi="Avenir Next"/>
          <w:sz w:val="22"/>
          <w:szCs w:val="22"/>
        </w:rPr>
        <w:t>European Convention on</w:t>
      </w:r>
      <w:r w:rsidR="00886461">
        <w:rPr>
          <w:rFonts w:ascii="Avenir Next" w:hAnsi="Avenir Next"/>
          <w:sz w:val="22"/>
          <w:szCs w:val="22"/>
        </w:rPr>
        <w:t xml:space="preserve"> </w:t>
      </w:r>
      <w:r>
        <w:rPr>
          <w:rFonts w:ascii="Avenir Next" w:hAnsi="Avenir Next"/>
          <w:sz w:val="22"/>
          <w:szCs w:val="22"/>
        </w:rPr>
        <w:t>Human Rights and other texts on the protection of individuals.</w:t>
      </w:r>
      <w:r w:rsidR="008B60D9">
        <w:rPr>
          <w:rFonts w:ascii="Avenir Next" w:hAnsi="Avenir Next"/>
          <w:sz w:val="22"/>
          <w:szCs w:val="22"/>
        </w:rPr>
        <w:t xml:space="preserve"> In 1990, it</w:t>
      </w:r>
    </w:p>
    <w:p w14:paraId="24B26F97" w14:textId="77777777" w:rsidR="0026172B" w:rsidRDefault="008B60D9" w:rsidP="00886461">
      <w:pPr>
        <w:ind w:left="720" w:hanging="720"/>
        <w:jc w:val="both"/>
        <w:rPr>
          <w:rFonts w:ascii="Avenir Next" w:hAnsi="Avenir Next"/>
          <w:sz w:val="22"/>
          <w:szCs w:val="22"/>
        </w:rPr>
      </w:pPr>
      <w:r>
        <w:rPr>
          <w:rFonts w:ascii="Avenir Next" w:hAnsi="Avenir Next"/>
          <w:sz w:val="22"/>
          <w:szCs w:val="22"/>
        </w:rPr>
        <w:t>h</w:t>
      </w:r>
      <w:r w:rsidR="0026172B">
        <w:rPr>
          <w:rFonts w:ascii="Avenir Next" w:hAnsi="Avenir Next"/>
          <w:sz w:val="22"/>
          <w:szCs w:val="22"/>
        </w:rPr>
        <w:t>osted the Istanbul Convention, Council of Europe Treaty Series No 136, a convention on certain</w:t>
      </w:r>
    </w:p>
    <w:p w14:paraId="1D336C98" w14:textId="77777777" w:rsidR="003E1DE4" w:rsidRDefault="0026172B" w:rsidP="00886461">
      <w:pPr>
        <w:ind w:left="720" w:hanging="720"/>
        <w:jc w:val="both"/>
        <w:rPr>
          <w:rFonts w:ascii="Avenir Next" w:hAnsi="Avenir Next"/>
          <w:sz w:val="22"/>
          <w:szCs w:val="22"/>
        </w:rPr>
      </w:pPr>
      <w:r>
        <w:rPr>
          <w:rFonts w:ascii="Avenir Next" w:hAnsi="Avenir Next"/>
          <w:sz w:val="22"/>
          <w:szCs w:val="22"/>
        </w:rPr>
        <w:t xml:space="preserve">international aspects of bankruptcy. </w:t>
      </w:r>
      <w:r w:rsidR="003E1DE4">
        <w:rPr>
          <w:rFonts w:ascii="Avenir Next" w:hAnsi="Avenir Next"/>
          <w:sz w:val="22"/>
          <w:szCs w:val="22"/>
        </w:rPr>
        <w:t>The Treaty was signed by 8 member states only, and so was not</w:t>
      </w:r>
    </w:p>
    <w:p w14:paraId="62C0350F" w14:textId="77777777" w:rsidR="008E7FE9" w:rsidRDefault="003E1DE4" w:rsidP="00886461">
      <w:pPr>
        <w:ind w:left="720" w:hanging="720"/>
        <w:jc w:val="both"/>
        <w:rPr>
          <w:rFonts w:ascii="Avenir Next" w:hAnsi="Avenir Next"/>
          <w:sz w:val="22"/>
          <w:szCs w:val="22"/>
        </w:rPr>
      </w:pPr>
      <w:r>
        <w:rPr>
          <w:rFonts w:ascii="Avenir Next" w:hAnsi="Avenir Next"/>
          <w:sz w:val="22"/>
          <w:szCs w:val="22"/>
        </w:rPr>
        <w:t>ratified by a sufficient number to be entered into force.</w:t>
      </w:r>
      <w:r w:rsidR="008E7FE9">
        <w:rPr>
          <w:rFonts w:ascii="Avenir Next" w:hAnsi="Avenir Next"/>
          <w:sz w:val="22"/>
          <w:szCs w:val="22"/>
        </w:rPr>
        <w:t xml:space="preserve"> Notwithstanding this, it has an important</w:t>
      </w:r>
    </w:p>
    <w:p w14:paraId="1111F37A" w14:textId="77777777" w:rsidR="008E7FE9" w:rsidRDefault="008E7FE9" w:rsidP="00886461">
      <w:pPr>
        <w:ind w:left="720" w:hanging="720"/>
        <w:jc w:val="both"/>
        <w:rPr>
          <w:rFonts w:ascii="Avenir Next" w:hAnsi="Avenir Next"/>
          <w:sz w:val="22"/>
          <w:szCs w:val="22"/>
        </w:rPr>
      </w:pPr>
      <w:r>
        <w:rPr>
          <w:rFonts w:ascii="Avenir Next" w:hAnsi="Avenir Next"/>
          <w:sz w:val="22"/>
          <w:szCs w:val="22"/>
        </w:rPr>
        <w:t>influence on the development of an EU response to the international insolvency problems amongst</w:t>
      </w:r>
    </w:p>
    <w:p w14:paraId="47DD1102" w14:textId="2C2E8E33" w:rsidR="00701C73" w:rsidRDefault="008E7FE9" w:rsidP="00886461">
      <w:pPr>
        <w:ind w:left="720" w:hanging="720"/>
        <w:jc w:val="both"/>
        <w:rPr>
          <w:rFonts w:ascii="Avenir Next" w:hAnsi="Avenir Next"/>
          <w:sz w:val="22"/>
          <w:szCs w:val="22"/>
        </w:rPr>
      </w:pPr>
      <w:r>
        <w:rPr>
          <w:rFonts w:ascii="Avenir Next" w:hAnsi="Avenir Next"/>
          <w:sz w:val="22"/>
          <w:szCs w:val="22"/>
        </w:rPr>
        <w:t>its member States.</w:t>
      </w:r>
    </w:p>
    <w:p w14:paraId="366A13CB" w14:textId="77777777" w:rsidR="00701C73" w:rsidRDefault="00701C73" w:rsidP="001E1C34">
      <w:pPr>
        <w:ind w:left="720" w:hanging="720"/>
        <w:jc w:val="both"/>
        <w:rPr>
          <w:rFonts w:ascii="Avenir Next" w:hAnsi="Avenir Next"/>
          <w:sz w:val="22"/>
          <w:szCs w:val="22"/>
        </w:rPr>
      </w:pPr>
    </w:p>
    <w:p w14:paraId="50765720" w14:textId="626499F4" w:rsidR="00CD5325" w:rsidRDefault="00DC293A" w:rsidP="00886461">
      <w:pPr>
        <w:jc w:val="both"/>
        <w:rPr>
          <w:rFonts w:ascii="Avenir Next" w:hAnsi="Avenir Next"/>
          <w:sz w:val="22"/>
          <w:szCs w:val="22"/>
        </w:rPr>
      </w:pPr>
      <w:r>
        <w:rPr>
          <w:rFonts w:ascii="Avenir Next" w:hAnsi="Avenir Next"/>
          <w:sz w:val="22"/>
          <w:szCs w:val="22"/>
        </w:rPr>
        <w:lastRenderedPageBreak/>
        <w:t>The EU has had success not by way of Convention but by way of the European Insolvency Regulation (EIR) (2000)</w:t>
      </w:r>
      <w:r w:rsidR="00B97904">
        <w:rPr>
          <w:rFonts w:ascii="Avenir Next" w:hAnsi="Avenir Next"/>
          <w:sz w:val="22"/>
          <w:szCs w:val="22"/>
        </w:rPr>
        <w:t xml:space="preserve"> which has also had an influence on broader multilateral developments in international insolvency law.</w:t>
      </w:r>
      <w:r w:rsidR="00463EE5">
        <w:rPr>
          <w:rFonts w:ascii="Avenir Next" w:hAnsi="Avenir Next"/>
          <w:sz w:val="22"/>
          <w:szCs w:val="22"/>
        </w:rPr>
        <w:t xml:space="preserve"> The EIR (2000) has since been reviewed and slightly amended </w:t>
      </w:r>
      <w:r w:rsidR="00883FB5">
        <w:rPr>
          <w:rFonts w:ascii="Avenir Next" w:hAnsi="Avenir Next"/>
          <w:sz w:val="22"/>
          <w:szCs w:val="22"/>
        </w:rPr>
        <w:t xml:space="preserve">by way of the European Union Regulation </w:t>
      </w:r>
      <w:r w:rsidR="00445CA8">
        <w:rPr>
          <w:rFonts w:ascii="Avenir Next" w:hAnsi="Avenir Next"/>
          <w:sz w:val="22"/>
          <w:szCs w:val="22"/>
        </w:rPr>
        <w:t xml:space="preserve">(EU) </w:t>
      </w:r>
      <w:r w:rsidR="00883FB5">
        <w:rPr>
          <w:rFonts w:ascii="Avenir Next" w:hAnsi="Avenir Next"/>
          <w:sz w:val="22"/>
          <w:szCs w:val="22"/>
        </w:rPr>
        <w:t>2015/848 of the European Parliament and the Council of 20 May 2015 on Insolvency Proceedings (Recast) (EIR Recast).</w:t>
      </w:r>
    </w:p>
    <w:p w14:paraId="04027D35" w14:textId="77777777" w:rsidR="00CD5325" w:rsidRPr="00CD5325" w:rsidRDefault="00CD5325" w:rsidP="001E1C34">
      <w:pPr>
        <w:ind w:left="720" w:hanging="720"/>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58A6EBCA" w14:textId="77777777" w:rsidR="00B7274E" w:rsidRDefault="00B60D2B" w:rsidP="001E1C34">
      <w:pPr>
        <w:ind w:left="720" w:hanging="720"/>
        <w:jc w:val="both"/>
        <w:rPr>
          <w:rFonts w:ascii="Avenir Next" w:hAnsi="Avenir Next" w:cs="Arial"/>
          <w:sz w:val="22"/>
          <w:szCs w:val="22"/>
          <w:lang w:val="en-GB"/>
        </w:rPr>
      </w:pPr>
      <w:r w:rsidRPr="00B60D2B">
        <w:rPr>
          <w:rFonts w:ascii="Avenir Next" w:hAnsi="Avenir Next" w:cs="Arial"/>
          <w:sz w:val="22"/>
          <w:szCs w:val="22"/>
          <w:lang w:val="en-GB"/>
        </w:rPr>
        <w:t xml:space="preserve">The main differences between formal </w:t>
      </w:r>
      <w:r>
        <w:rPr>
          <w:rFonts w:ascii="Avenir Next" w:hAnsi="Avenir Next" w:cs="Arial"/>
          <w:sz w:val="22"/>
          <w:szCs w:val="22"/>
          <w:lang w:val="en-GB"/>
        </w:rPr>
        <w:t xml:space="preserve">insolvency proceedings </w:t>
      </w:r>
      <w:r w:rsidRPr="00B60D2B">
        <w:rPr>
          <w:rFonts w:ascii="Avenir Next" w:hAnsi="Avenir Next" w:cs="Arial"/>
          <w:sz w:val="22"/>
          <w:szCs w:val="22"/>
          <w:lang w:val="en-GB"/>
        </w:rPr>
        <w:t xml:space="preserve">and informal insolvency </w:t>
      </w:r>
      <w:r>
        <w:rPr>
          <w:rFonts w:ascii="Avenir Next" w:hAnsi="Avenir Next" w:cs="Arial"/>
          <w:sz w:val="22"/>
          <w:szCs w:val="22"/>
          <w:lang w:val="en-GB"/>
        </w:rPr>
        <w:t>arrangements</w:t>
      </w:r>
    </w:p>
    <w:p w14:paraId="3CA24833" w14:textId="77777777" w:rsidR="00B7274E" w:rsidRDefault="00B60D2B" w:rsidP="001E1C34">
      <w:pPr>
        <w:ind w:left="720" w:hanging="720"/>
        <w:jc w:val="both"/>
        <w:rPr>
          <w:rFonts w:ascii="Avenir Next" w:hAnsi="Avenir Next" w:cs="Arial"/>
          <w:sz w:val="22"/>
          <w:szCs w:val="22"/>
          <w:lang w:val="en-GB"/>
        </w:rPr>
      </w:pPr>
      <w:r>
        <w:rPr>
          <w:rFonts w:ascii="Avenir Next" w:hAnsi="Avenir Next" w:cs="Arial"/>
          <w:sz w:val="22"/>
          <w:szCs w:val="22"/>
          <w:lang w:val="en-GB"/>
        </w:rPr>
        <w:t xml:space="preserve">are </w:t>
      </w:r>
      <w:r w:rsidR="00821859">
        <w:rPr>
          <w:rFonts w:ascii="Avenir Next" w:hAnsi="Avenir Next" w:cs="Arial"/>
          <w:sz w:val="22"/>
          <w:szCs w:val="22"/>
          <w:lang w:val="en-GB"/>
        </w:rPr>
        <w:t xml:space="preserve">that formal insolvency proceedings </w:t>
      </w:r>
      <w:r w:rsidR="009D3A06">
        <w:rPr>
          <w:rFonts w:ascii="Avenir Next" w:hAnsi="Avenir Next" w:cs="Arial"/>
          <w:sz w:val="22"/>
          <w:szCs w:val="22"/>
          <w:lang w:val="en-GB"/>
        </w:rPr>
        <w:t>are those commenced under the insolvency law and governed</w:t>
      </w:r>
    </w:p>
    <w:p w14:paraId="7DB72720" w14:textId="77777777" w:rsidR="00AC0CC8" w:rsidRDefault="009D3A06" w:rsidP="00AC0CC8">
      <w:pPr>
        <w:ind w:left="720" w:hanging="720"/>
        <w:jc w:val="both"/>
        <w:rPr>
          <w:rFonts w:ascii="Avenir Next" w:hAnsi="Avenir Next" w:cs="Arial"/>
          <w:sz w:val="22"/>
          <w:szCs w:val="22"/>
          <w:lang w:val="en-GB"/>
        </w:rPr>
      </w:pPr>
      <w:r>
        <w:rPr>
          <w:rFonts w:ascii="Avenir Next" w:hAnsi="Avenir Next" w:cs="Arial"/>
          <w:sz w:val="22"/>
          <w:szCs w:val="22"/>
          <w:lang w:val="en-GB"/>
        </w:rPr>
        <w:t xml:space="preserve">by that law. </w:t>
      </w:r>
      <w:r w:rsidR="008E3A77">
        <w:rPr>
          <w:rFonts w:ascii="Avenir Next" w:hAnsi="Avenir Next" w:cs="Arial"/>
          <w:sz w:val="22"/>
          <w:szCs w:val="22"/>
          <w:lang w:val="en-GB"/>
        </w:rPr>
        <w:t>Formal insolvency proceedings generally include both liquidation</w:t>
      </w:r>
      <w:r w:rsidR="00AC0CC8">
        <w:rPr>
          <w:rFonts w:ascii="Avenir Next" w:hAnsi="Avenir Next" w:cs="Arial"/>
          <w:sz w:val="22"/>
          <w:szCs w:val="22"/>
          <w:lang w:val="en-GB"/>
        </w:rPr>
        <w:t xml:space="preserve"> and reorganisation or</w:t>
      </w:r>
    </w:p>
    <w:p w14:paraId="16C13C81" w14:textId="77777777" w:rsidR="00E30A8F" w:rsidRDefault="00AC0CC8" w:rsidP="00AC0CC8">
      <w:pPr>
        <w:ind w:left="720" w:hanging="720"/>
        <w:jc w:val="both"/>
        <w:rPr>
          <w:rFonts w:ascii="Avenir Next" w:hAnsi="Avenir Next" w:cs="Arial"/>
          <w:sz w:val="22"/>
          <w:szCs w:val="22"/>
          <w:lang w:val="en-GB"/>
        </w:rPr>
      </w:pPr>
      <w:r>
        <w:rPr>
          <w:rFonts w:ascii="Avenir Next" w:hAnsi="Avenir Next" w:cs="Arial"/>
          <w:sz w:val="22"/>
          <w:szCs w:val="22"/>
          <w:lang w:val="en-GB"/>
        </w:rPr>
        <w:t xml:space="preserve">rescue proceedings. </w:t>
      </w:r>
      <w:r w:rsidR="009D3A06">
        <w:rPr>
          <w:rFonts w:ascii="Avenir Next" w:hAnsi="Avenir Next" w:cs="Arial"/>
          <w:sz w:val="22"/>
          <w:szCs w:val="22"/>
          <w:lang w:val="en-GB"/>
        </w:rPr>
        <w:t xml:space="preserve">In contrast to this, informal insolvency </w:t>
      </w:r>
      <w:r w:rsidR="008E3A77">
        <w:rPr>
          <w:rFonts w:ascii="Avenir Next" w:hAnsi="Avenir Next" w:cs="Arial"/>
          <w:sz w:val="22"/>
          <w:szCs w:val="22"/>
          <w:lang w:val="en-GB"/>
        </w:rPr>
        <w:t>arrangements</w:t>
      </w:r>
      <w:r w:rsidR="009D3A06">
        <w:rPr>
          <w:rFonts w:ascii="Avenir Next" w:hAnsi="Avenir Next" w:cs="Arial"/>
          <w:sz w:val="22"/>
          <w:szCs w:val="22"/>
          <w:lang w:val="en-GB"/>
        </w:rPr>
        <w:t xml:space="preserve"> </w:t>
      </w:r>
      <w:r w:rsidR="00E30A8F">
        <w:rPr>
          <w:rFonts w:ascii="Avenir Next" w:hAnsi="Avenir Next" w:cs="Arial"/>
          <w:sz w:val="22"/>
          <w:szCs w:val="22"/>
          <w:lang w:val="en-GB"/>
        </w:rPr>
        <w:t>are not always governed by</w:t>
      </w:r>
    </w:p>
    <w:p w14:paraId="6ADBFB78" w14:textId="77777777" w:rsidR="00E30A8F" w:rsidRDefault="00E30A8F" w:rsidP="00AC0CC8">
      <w:pPr>
        <w:ind w:left="720" w:hanging="720"/>
        <w:jc w:val="both"/>
        <w:rPr>
          <w:rFonts w:ascii="Avenir Next" w:hAnsi="Avenir Next" w:cs="Arial"/>
          <w:sz w:val="22"/>
          <w:szCs w:val="22"/>
          <w:lang w:val="en-GB"/>
        </w:rPr>
      </w:pPr>
      <w:r>
        <w:rPr>
          <w:rFonts w:ascii="Avenir Next" w:hAnsi="Avenir Next" w:cs="Arial"/>
          <w:sz w:val="22"/>
          <w:szCs w:val="22"/>
          <w:lang w:val="en-GB"/>
        </w:rPr>
        <w:t>the insolvency law and often involve voluntary negotiations between the debtor and some or all of its</w:t>
      </w:r>
    </w:p>
    <w:p w14:paraId="4FAEF80E" w14:textId="77777777" w:rsidR="002D753F" w:rsidRDefault="00E30A8F" w:rsidP="00AC0CC8">
      <w:pPr>
        <w:ind w:left="720" w:hanging="720"/>
        <w:jc w:val="both"/>
        <w:rPr>
          <w:rFonts w:ascii="Avenir Next" w:hAnsi="Avenir Next" w:cs="Arial"/>
          <w:sz w:val="22"/>
          <w:szCs w:val="22"/>
          <w:lang w:val="en-GB"/>
        </w:rPr>
      </w:pPr>
      <w:r>
        <w:rPr>
          <w:rFonts w:ascii="Avenir Next" w:hAnsi="Avenir Next" w:cs="Arial"/>
          <w:sz w:val="22"/>
          <w:szCs w:val="22"/>
          <w:lang w:val="en-GB"/>
        </w:rPr>
        <w:t>creditors.</w:t>
      </w:r>
      <w:r w:rsidR="007A793A">
        <w:rPr>
          <w:rFonts w:ascii="Avenir Next" w:hAnsi="Avenir Next" w:cs="Arial"/>
          <w:sz w:val="22"/>
          <w:szCs w:val="22"/>
          <w:lang w:val="en-GB"/>
        </w:rPr>
        <w:t xml:space="preserve"> Informal insolvency arrangements have developed through the banking and commercial</w:t>
      </w:r>
    </w:p>
    <w:p w14:paraId="554DD56C" w14:textId="77777777" w:rsidR="00677017" w:rsidRDefault="007A793A" w:rsidP="00AC0CC8">
      <w:pPr>
        <w:ind w:left="720" w:hanging="720"/>
        <w:jc w:val="both"/>
        <w:rPr>
          <w:rFonts w:ascii="Avenir Next" w:hAnsi="Avenir Next" w:cs="Arial"/>
          <w:sz w:val="22"/>
          <w:szCs w:val="22"/>
          <w:lang w:val="en-GB"/>
        </w:rPr>
      </w:pPr>
      <w:r>
        <w:rPr>
          <w:rFonts w:ascii="Avenir Next" w:hAnsi="Avenir Next" w:cs="Arial"/>
          <w:sz w:val="22"/>
          <w:szCs w:val="22"/>
          <w:lang w:val="en-GB"/>
        </w:rPr>
        <w:t xml:space="preserve">sectors </w:t>
      </w:r>
      <w:r w:rsidR="002D753F">
        <w:rPr>
          <w:rFonts w:ascii="Avenir Next" w:hAnsi="Avenir Next" w:cs="Arial"/>
          <w:sz w:val="22"/>
          <w:szCs w:val="22"/>
          <w:lang w:val="en-GB"/>
        </w:rPr>
        <w:t>and usually allow for some form of restructuring of the insolvent debtor. Although informal</w:t>
      </w:r>
    </w:p>
    <w:p w14:paraId="5EA2CECC" w14:textId="332D353D" w:rsidR="00677017" w:rsidRDefault="002D753F" w:rsidP="00AC0CC8">
      <w:pPr>
        <w:ind w:left="720" w:hanging="720"/>
        <w:jc w:val="both"/>
        <w:rPr>
          <w:rFonts w:ascii="Avenir Next" w:hAnsi="Avenir Next" w:cs="Arial"/>
          <w:sz w:val="22"/>
          <w:szCs w:val="22"/>
          <w:lang w:val="en-GB"/>
        </w:rPr>
      </w:pPr>
      <w:r>
        <w:rPr>
          <w:rFonts w:ascii="Avenir Next" w:hAnsi="Avenir Next" w:cs="Arial"/>
          <w:sz w:val="22"/>
          <w:szCs w:val="22"/>
          <w:lang w:val="en-GB"/>
        </w:rPr>
        <w:t>arrangement</w:t>
      </w:r>
      <w:r w:rsidR="00564C27">
        <w:rPr>
          <w:rFonts w:ascii="Avenir Next" w:hAnsi="Avenir Next" w:cs="Arial"/>
          <w:sz w:val="22"/>
          <w:szCs w:val="22"/>
          <w:lang w:val="en-GB"/>
        </w:rPr>
        <w:t>s</w:t>
      </w:r>
      <w:r>
        <w:rPr>
          <w:rFonts w:ascii="Avenir Next" w:hAnsi="Avenir Next" w:cs="Arial"/>
          <w:sz w:val="22"/>
          <w:szCs w:val="22"/>
          <w:lang w:val="en-GB"/>
        </w:rPr>
        <w:t xml:space="preserve"> are not regulated by an insolvency law, </w:t>
      </w:r>
      <w:r w:rsidR="006B4876">
        <w:rPr>
          <w:rFonts w:ascii="Avenir Next" w:hAnsi="Avenir Next" w:cs="Arial"/>
          <w:sz w:val="22"/>
          <w:szCs w:val="22"/>
          <w:lang w:val="en-GB"/>
        </w:rPr>
        <w:t>the effectiveness of the voluntary negotiations</w:t>
      </w:r>
    </w:p>
    <w:p w14:paraId="359C909F" w14:textId="77777777" w:rsidR="00677017" w:rsidRDefault="006B4876" w:rsidP="00AC0CC8">
      <w:pPr>
        <w:ind w:left="720" w:hanging="720"/>
        <w:jc w:val="both"/>
        <w:rPr>
          <w:rFonts w:ascii="Avenir Next" w:hAnsi="Avenir Next" w:cs="Arial"/>
          <w:sz w:val="22"/>
          <w:szCs w:val="22"/>
          <w:lang w:val="en-GB"/>
        </w:rPr>
      </w:pPr>
      <w:r>
        <w:rPr>
          <w:rFonts w:ascii="Avenir Next" w:hAnsi="Avenir Next" w:cs="Arial"/>
          <w:sz w:val="22"/>
          <w:szCs w:val="22"/>
          <w:lang w:val="en-GB"/>
        </w:rPr>
        <w:t>depends on the existence of an insolvency law</w:t>
      </w:r>
      <w:r w:rsidR="00677017">
        <w:rPr>
          <w:rFonts w:ascii="Avenir Next" w:hAnsi="Avenir Next" w:cs="Arial"/>
          <w:sz w:val="22"/>
          <w:szCs w:val="22"/>
          <w:lang w:val="en-GB"/>
        </w:rPr>
        <w:t>, which provides indirect incentives or persuasive forces</w:t>
      </w:r>
    </w:p>
    <w:p w14:paraId="469D4E20" w14:textId="1D753C72" w:rsidR="001E1C34" w:rsidRPr="00B60D2B" w:rsidRDefault="00677017" w:rsidP="00AC0CC8">
      <w:pPr>
        <w:ind w:left="720" w:hanging="720"/>
        <w:jc w:val="both"/>
        <w:rPr>
          <w:rFonts w:ascii="Avenir Next" w:hAnsi="Avenir Next" w:cs="Arial"/>
          <w:sz w:val="22"/>
          <w:szCs w:val="22"/>
          <w:lang w:val="en-GB"/>
        </w:rPr>
      </w:pPr>
      <w:r>
        <w:rPr>
          <w:rFonts w:ascii="Avenir Next" w:hAnsi="Avenir Next" w:cs="Arial"/>
          <w:sz w:val="22"/>
          <w:szCs w:val="22"/>
          <w:lang w:val="en-GB"/>
        </w:rPr>
        <w:t>to facilitate a reorganisation.</w:t>
      </w:r>
    </w:p>
    <w:p w14:paraId="7CBF012E" w14:textId="5F05BA99" w:rsidR="001E1C34" w:rsidRDefault="001E1C34" w:rsidP="00692852">
      <w:pPr>
        <w:jc w:val="both"/>
        <w:rPr>
          <w:rFonts w:ascii="Avenir Next" w:hAnsi="Avenir Next" w:cs="Arial"/>
          <w:sz w:val="22"/>
          <w:szCs w:val="22"/>
          <w:lang w:val="en-GB"/>
        </w:rPr>
      </w:pPr>
    </w:p>
    <w:p w14:paraId="79D46B40" w14:textId="1E1E5DED" w:rsidR="00030192" w:rsidRDefault="00A2263D" w:rsidP="00692852">
      <w:pPr>
        <w:jc w:val="both"/>
        <w:rPr>
          <w:rFonts w:ascii="Avenir Next" w:hAnsi="Avenir Next" w:cs="Arial"/>
          <w:sz w:val="22"/>
          <w:szCs w:val="22"/>
          <w:lang w:val="en-GB"/>
        </w:rPr>
      </w:pPr>
      <w:r>
        <w:rPr>
          <w:rFonts w:ascii="Avenir Next" w:hAnsi="Avenir Next" w:cs="Arial"/>
          <w:sz w:val="22"/>
          <w:szCs w:val="22"/>
          <w:lang w:val="en-GB"/>
        </w:rPr>
        <w:t xml:space="preserve">The main advantages of informal insolvency arrangements for Lobo with regards to </w:t>
      </w:r>
      <w:r w:rsidR="00C93C2F">
        <w:rPr>
          <w:rFonts w:ascii="Avenir Next" w:hAnsi="Avenir Next" w:cs="Arial"/>
          <w:sz w:val="22"/>
          <w:szCs w:val="22"/>
          <w:lang w:val="en-GB"/>
        </w:rPr>
        <w:t xml:space="preserve">FPPL are that </w:t>
      </w:r>
      <w:proofErr w:type="spellStart"/>
      <w:r w:rsidR="009A5120">
        <w:rPr>
          <w:rFonts w:ascii="Avenir Next" w:hAnsi="Avenir Next" w:cs="Arial"/>
          <w:sz w:val="22"/>
          <w:szCs w:val="22"/>
          <w:lang w:val="en-GB"/>
        </w:rPr>
        <w:t>i</w:t>
      </w:r>
      <w:proofErr w:type="spellEnd"/>
      <w:r w:rsidR="009A5120">
        <w:rPr>
          <w:rFonts w:ascii="Avenir Next" w:hAnsi="Avenir Next" w:cs="Arial"/>
          <w:sz w:val="22"/>
          <w:szCs w:val="22"/>
          <w:lang w:val="en-GB"/>
        </w:rPr>
        <w:t xml:space="preserve">) the cost would be significantly lower without involvement of the courts and ii) </w:t>
      </w:r>
      <w:r w:rsidR="00B31800">
        <w:rPr>
          <w:rFonts w:ascii="Avenir Next" w:hAnsi="Avenir Next" w:cs="Arial"/>
          <w:sz w:val="22"/>
          <w:szCs w:val="22"/>
          <w:lang w:val="en-GB"/>
        </w:rPr>
        <w:t xml:space="preserve">there would be no publicity regarding FPPL’s financial difficulties, albeit this factor would be less relevant for Lobo here. </w:t>
      </w:r>
      <w:r w:rsidR="003E2807">
        <w:rPr>
          <w:rFonts w:ascii="Avenir Next" w:hAnsi="Avenir Next" w:cs="Arial"/>
          <w:sz w:val="22"/>
          <w:szCs w:val="22"/>
          <w:lang w:val="en-GB"/>
        </w:rPr>
        <w:t xml:space="preserve">Some disadvantages of informal arrangements </w:t>
      </w:r>
      <w:r w:rsidR="003B6488">
        <w:rPr>
          <w:rFonts w:ascii="Avenir Next" w:hAnsi="Avenir Next" w:cs="Arial"/>
          <w:sz w:val="22"/>
          <w:szCs w:val="22"/>
          <w:lang w:val="en-GB"/>
        </w:rPr>
        <w:t xml:space="preserve">would be that </w:t>
      </w:r>
      <w:proofErr w:type="spellStart"/>
      <w:r w:rsidR="003B6488">
        <w:rPr>
          <w:rFonts w:ascii="Avenir Next" w:hAnsi="Avenir Next" w:cs="Arial"/>
          <w:sz w:val="22"/>
          <w:szCs w:val="22"/>
          <w:lang w:val="en-GB"/>
        </w:rPr>
        <w:t>i</w:t>
      </w:r>
      <w:proofErr w:type="spellEnd"/>
      <w:r w:rsidR="003B6488">
        <w:rPr>
          <w:rFonts w:ascii="Avenir Next" w:hAnsi="Avenir Next" w:cs="Arial"/>
          <w:sz w:val="22"/>
          <w:szCs w:val="22"/>
          <w:lang w:val="en-GB"/>
        </w:rPr>
        <w:t xml:space="preserve">) there would be no moratorium in place </w:t>
      </w:r>
      <w:r w:rsidR="00E570AD">
        <w:rPr>
          <w:rFonts w:ascii="Avenir Next" w:hAnsi="Avenir Next" w:cs="Arial"/>
          <w:sz w:val="22"/>
          <w:szCs w:val="22"/>
          <w:lang w:val="en-GB"/>
        </w:rPr>
        <w:t>preventing other creditors of FPPL from commencing insolvency proceedings, a factor which would also affect Lobo’s stake as a creditor of FPPL</w:t>
      </w:r>
      <w:r w:rsidR="0082733A">
        <w:rPr>
          <w:rFonts w:ascii="Avenir Next" w:hAnsi="Avenir Next" w:cs="Arial"/>
          <w:sz w:val="22"/>
          <w:szCs w:val="22"/>
          <w:lang w:val="en-GB"/>
        </w:rPr>
        <w:t xml:space="preserve"> g</w:t>
      </w:r>
      <w:r w:rsidR="002A1D84">
        <w:rPr>
          <w:rFonts w:ascii="Avenir Next" w:hAnsi="Avenir Next" w:cs="Arial"/>
          <w:sz w:val="22"/>
          <w:szCs w:val="22"/>
          <w:lang w:val="en-GB"/>
        </w:rPr>
        <w:t xml:space="preserve">iven these proceedings might be commenced in another jurisdiction (resulting in potential cross-border insolvency issues arising) </w:t>
      </w:r>
      <w:r w:rsidR="00882345">
        <w:rPr>
          <w:rFonts w:ascii="Avenir Next" w:hAnsi="Avenir Next" w:cs="Arial"/>
          <w:sz w:val="22"/>
          <w:szCs w:val="22"/>
          <w:lang w:val="en-GB"/>
        </w:rPr>
        <w:t>and ii) any agreement reached between FPPL and Lobo would not be legally binding.</w:t>
      </w:r>
    </w:p>
    <w:p w14:paraId="0E060094" w14:textId="1750D914" w:rsidR="00882345" w:rsidRDefault="00882345" w:rsidP="00692852">
      <w:pPr>
        <w:jc w:val="both"/>
        <w:rPr>
          <w:rFonts w:ascii="Avenir Next" w:hAnsi="Avenir Next" w:cs="Arial"/>
          <w:sz w:val="22"/>
          <w:szCs w:val="22"/>
          <w:lang w:val="en-GB"/>
        </w:rPr>
      </w:pPr>
    </w:p>
    <w:p w14:paraId="13A4874B" w14:textId="1DC0426B" w:rsidR="00882345" w:rsidRDefault="00882345" w:rsidP="00692852">
      <w:pPr>
        <w:jc w:val="both"/>
        <w:rPr>
          <w:rFonts w:ascii="Avenir Next" w:hAnsi="Avenir Next" w:cs="Arial"/>
          <w:sz w:val="22"/>
          <w:szCs w:val="22"/>
          <w:lang w:val="en-GB"/>
        </w:rPr>
      </w:pPr>
      <w:r>
        <w:rPr>
          <w:rFonts w:ascii="Avenir Next" w:hAnsi="Avenir Next" w:cs="Arial"/>
          <w:sz w:val="22"/>
          <w:szCs w:val="22"/>
          <w:lang w:val="en-GB"/>
        </w:rPr>
        <w:t xml:space="preserve">In contrast, </w:t>
      </w:r>
      <w:r w:rsidR="0063050E">
        <w:rPr>
          <w:rFonts w:ascii="Avenir Next" w:hAnsi="Avenir Next" w:cs="Arial"/>
          <w:sz w:val="22"/>
          <w:szCs w:val="22"/>
          <w:lang w:val="en-GB"/>
        </w:rPr>
        <w:t xml:space="preserve">formal debt recovery options </w:t>
      </w:r>
      <w:r w:rsidR="00BA5F28">
        <w:rPr>
          <w:rFonts w:ascii="Avenir Next" w:hAnsi="Avenir Next" w:cs="Arial"/>
          <w:sz w:val="22"/>
          <w:szCs w:val="22"/>
          <w:lang w:val="en-GB"/>
        </w:rPr>
        <w:t xml:space="preserve">have the advantage that </w:t>
      </w:r>
      <w:proofErr w:type="spellStart"/>
      <w:r w:rsidR="00BA5F28">
        <w:rPr>
          <w:rFonts w:ascii="Avenir Next" w:hAnsi="Avenir Next" w:cs="Arial"/>
          <w:sz w:val="22"/>
          <w:szCs w:val="22"/>
          <w:lang w:val="en-GB"/>
        </w:rPr>
        <w:t>i</w:t>
      </w:r>
      <w:proofErr w:type="spellEnd"/>
      <w:r w:rsidR="00BA5F28">
        <w:rPr>
          <w:rFonts w:ascii="Avenir Next" w:hAnsi="Avenir Next" w:cs="Arial"/>
          <w:sz w:val="22"/>
          <w:szCs w:val="22"/>
          <w:lang w:val="en-GB"/>
        </w:rPr>
        <w:t>) there is a statutory moratorium in place for FPPL</w:t>
      </w:r>
      <w:r w:rsidR="0029155B">
        <w:rPr>
          <w:rFonts w:ascii="Avenir Next" w:hAnsi="Avenir Next" w:cs="Arial"/>
          <w:sz w:val="22"/>
          <w:szCs w:val="22"/>
          <w:lang w:val="en-GB"/>
        </w:rPr>
        <w:t xml:space="preserve"> which would prevent any legal proceedings to be taken against them</w:t>
      </w:r>
      <w:r w:rsidR="00605844">
        <w:rPr>
          <w:rFonts w:ascii="Avenir Next" w:hAnsi="Avenir Next" w:cs="Arial"/>
          <w:sz w:val="22"/>
          <w:szCs w:val="22"/>
          <w:lang w:val="en-GB"/>
        </w:rPr>
        <w:t xml:space="preserve"> and ii) any </w:t>
      </w:r>
      <w:r w:rsidR="00605844">
        <w:rPr>
          <w:rFonts w:ascii="Avenir Next" w:hAnsi="Avenir Next" w:cs="Arial"/>
          <w:sz w:val="22"/>
          <w:szCs w:val="22"/>
          <w:lang w:val="en-GB"/>
        </w:rPr>
        <w:lastRenderedPageBreak/>
        <w:t xml:space="preserve">agreement reached between FPPL and Lobo </w:t>
      </w:r>
      <w:r w:rsidR="001A3A35">
        <w:rPr>
          <w:rFonts w:ascii="Avenir Next" w:hAnsi="Avenir Next" w:cs="Arial"/>
          <w:sz w:val="22"/>
          <w:szCs w:val="22"/>
          <w:lang w:val="en-GB"/>
        </w:rPr>
        <w:t>would be legally binding. The main disadvantage</w:t>
      </w:r>
      <w:r w:rsidR="00C53210">
        <w:rPr>
          <w:rFonts w:ascii="Avenir Next" w:hAnsi="Avenir Next" w:cs="Arial"/>
          <w:sz w:val="22"/>
          <w:szCs w:val="22"/>
          <w:lang w:val="en-GB"/>
        </w:rPr>
        <w:t xml:space="preserve"> for Lobo </w:t>
      </w:r>
      <w:r w:rsidR="001A3A35">
        <w:rPr>
          <w:rFonts w:ascii="Avenir Next" w:hAnsi="Avenir Next" w:cs="Arial"/>
          <w:sz w:val="22"/>
          <w:szCs w:val="22"/>
          <w:lang w:val="en-GB"/>
        </w:rPr>
        <w:t xml:space="preserve">associated with the formal insolvency proceedings </w:t>
      </w:r>
      <w:r w:rsidR="00C53210">
        <w:rPr>
          <w:rFonts w:ascii="Avenir Next" w:hAnsi="Avenir Next" w:cs="Arial"/>
          <w:sz w:val="22"/>
          <w:szCs w:val="22"/>
          <w:lang w:val="en-GB"/>
        </w:rPr>
        <w:t>in this instance would be the significantly higher expense related to court involvement in the insolvency proceedings.</w:t>
      </w:r>
    </w:p>
    <w:p w14:paraId="1E55BCF0" w14:textId="77777777" w:rsidR="00030192" w:rsidRPr="004216EA" w:rsidRDefault="00030192"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EABD4B7" w14:textId="77777777" w:rsidR="007E46CA" w:rsidRDefault="00AE4D18" w:rsidP="00313DA5">
      <w:pPr>
        <w:ind w:left="720" w:hanging="720"/>
        <w:jc w:val="both"/>
        <w:rPr>
          <w:rFonts w:ascii="Avenir Next" w:hAnsi="Avenir Next" w:cs="Arial"/>
          <w:sz w:val="22"/>
          <w:szCs w:val="22"/>
          <w:lang w:val="en-GB"/>
        </w:rPr>
      </w:pPr>
      <w:r w:rsidRPr="00AE4D18">
        <w:rPr>
          <w:rFonts w:ascii="Avenir Next" w:hAnsi="Avenir Next" w:cs="Arial"/>
          <w:sz w:val="22"/>
          <w:szCs w:val="22"/>
          <w:lang w:val="en-GB"/>
        </w:rPr>
        <w:t xml:space="preserve">There are numerous </w:t>
      </w:r>
      <w:r>
        <w:rPr>
          <w:rFonts w:ascii="Avenir Next" w:hAnsi="Avenir Next" w:cs="Arial"/>
          <w:sz w:val="22"/>
          <w:szCs w:val="22"/>
          <w:lang w:val="en-GB"/>
        </w:rPr>
        <w:t>difficulties that may arise for the insolvency representative pertaining to co</w:t>
      </w:r>
    </w:p>
    <w:p w14:paraId="0F48EA28" w14:textId="77777777" w:rsidR="006627E7" w:rsidRDefault="00AE4D18"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operation and co-ordination </w:t>
      </w:r>
      <w:r w:rsidR="007E46CA">
        <w:rPr>
          <w:rFonts w:ascii="Avenir Next" w:hAnsi="Avenir Next" w:cs="Arial"/>
          <w:sz w:val="22"/>
          <w:szCs w:val="22"/>
          <w:lang w:val="en-GB"/>
        </w:rPr>
        <w:t>with the concurrent insolvency proceeding.</w:t>
      </w:r>
      <w:r w:rsidR="00F9502C">
        <w:rPr>
          <w:rFonts w:ascii="Avenir Next" w:hAnsi="Avenir Next" w:cs="Arial"/>
          <w:sz w:val="22"/>
          <w:szCs w:val="22"/>
          <w:lang w:val="en-GB"/>
        </w:rPr>
        <w:t xml:space="preserve"> Both </w:t>
      </w:r>
      <w:proofErr w:type="spellStart"/>
      <w:r w:rsidR="00957081">
        <w:rPr>
          <w:rFonts w:ascii="Avenir Next" w:hAnsi="Avenir Next" w:cs="Arial"/>
          <w:sz w:val="22"/>
          <w:szCs w:val="22"/>
          <w:lang w:val="en-GB"/>
        </w:rPr>
        <w:t>Asgard</w:t>
      </w:r>
      <w:proofErr w:type="spellEnd"/>
      <w:r w:rsidR="00957081">
        <w:rPr>
          <w:rFonts w:ascii="Avenir Next" w:hAnsi="Avenir Next" w:cs="Arial"/>
          <w:sz w:val="22"/>
          <w:szCs w:val="22"/>
          <w:lang w:val="en-GB"/>
        </w:rPr>
        <w:t xml:space="preserve"> and Encanto are</w:t>
      </w:r>
    </w:p>
    <w:p w14:paraId="57AE9C2F" w14:textId="77777777" w:rsidR="002A2A72" w:rsidRDefault="00957081"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separate states </w:t>
      </w:r>
      <w:r w:rsidR="000B6337">
        <w:rPr>
          <w:rFonts w:ascii="Avenir Next" w:hAnsi="Avenir Next" w:cs="Arial"/>
          <w:sz w:val="22"/>
          <w:szCs w:val="22"/>
          <w:lang w:val="en-GB"/>
        </w:rPr>
        <w:t>with their own domestic insolvency laws</w:t>
      </w:r>
      <w:r w:rsidR="00B03881">
        <w:rPr>
          <w:rFonts w:ascii="Avenir Next" w:hAnsi="Avenir Next" w:cs="Arial"/>
          <w:sz w:val="22"/>
          <w:szCs w:val="22"/>
          <w:lang w:val="en-GB"/>
        </w:rPr>
        <w:t xml:space="preserve">, which </w:t>
      </w:r>
      <w:r w:rsidR="006627E7">
        <w:rPr>
          <w:rFonts w:ascii="Avenir Next" w:hAnsi="Avenir Next" w:cs="Arial"/>
          <w:sz w:val="22"/>
          <w:szCs w:val="22"/>
          <w:lang w:val="en-GB"/>
        </w:rPr>
        <w:t>are likely to contrast with one another.</w:t>
      </w:r>
    </w:p>
    <w:p w14:paraId="7AA1248A" w14:textId="77777777" w:rsidR="002A2A72" w:rsidRDefault="006627E7"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standard of insolvency laws in many countries is relatively low, with many states having </w:t>
      </w:r>
      <w:r w:rsidR="002A2A72">
        <w:rPr>
          <w:rFonts w:ascii="Avenir Next" w:hAnsi="Avenir Next" w:cs="Arial"/>
          <w:sz w:val="22"/>
          <w:szCs w:val="22"/>
          <w:lang w:val="en-GB"/>
        </w:rPr>
        <w:t>outdated</w:t>
      </w:r>
    </w:p>
    <w:p w14:paraId="0B7C0109" w14:textId="77777777" w:rsidR="002A2A72" w:rsidRDefault="002A2A72" w:rsidP="00313DA5">
      <w:pPr>
        <w:ind w:left="720" w:hanging="720"/>
        <w:jc w:val="both"/>
        <w:rPr>
          <w:rFonts w:ascii="Avenir Next" w:hAnsi="Avenir Next" w:cs="Arial"/>
          <w:sz w:val="22"/>
          <w:szCs w:val="22"/>
          <w:lang w:val="en-GB"/>
        </w:rPr>
      </w:pPr>
      <w:r>
        <w:rPr>
          <w:rFonts w:ascii="Avenir Next" w:hAnsi="Avenir Next" w:cs="Arial"/>
          <w:sz w:val="22"/>
          <w:szCs w:val="22"/>
          <w:lang w:val="en-GB"/>
        </w:rPr>
        <w:t>laws that are not suited to modern day trade and investment, such as the cross-border commercial</w:t>
      </w:r>
    </w:p>
    <w:p w14:paraId="6CCFCED0" w14:textId="77777777" w:rsidR="00BB3994" w:rsidRDefault="002A2A72" w:rsidP="00313DA5">
      <w:pPr>
        <w:ind w:left="720" w:hanging="720"/>
        <w:jc w:val="both"/>
        <w:rPr>
          <w:rFonts w:ascii="Avenir Next" w:hAnsi="Avenir Next" w:cs="Arial"/>
          <w:sz w:val="22"/>
          <w:szCs w:val="22"/>
          <w:lang w:val="en-GB"/>
        </w:rPr>
      </w:pPr>
      <w:r>
        <w:rPr>
          <w:rFonts w:ascii="Avenir Next" w:hAnsi="Avenir Next" w:cs="Arial"/>
          <w:sz w:val="22"/>
          <w:szCs w:val="22"/>
          <w:lang w:val="en-GB"/>
        </w:rPr>
        <w:t>activities that FPPL engages in in both nations.</w:t>
      </w:r>
      <w:r w:rsidR="007E6D07">
        <w:rPr>
          <w:rFonts w:ascii="Avenir Next" w:hAnsi="Avenir Next" w:cs="Arial"/>
          <w:sz w:val="22"/>
          <w:szCs w:val="22"/>
          <w:lang w:val="en-GB"/>
        </w:rPr>
        <w:t xml:space="preserve"> The Asgardian insolvency representative will face</w:t>
      </w:r>
    </w:p>
    <w:p w14:paraId="0264B890" w14:textId="77777777" w:rsidR="00BB3994" w:rsidRDefault="007E6D07"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difficulties in </w:t>
      </w:r>
      <w:r w:rsidR="00D96B1F">
        <w:rPr>
          <w:rFonts w:ascii="Avenir Next" w:hAnsi="Avenir Next" w:cs="Arial"/>
          <w:sz w:val="22"/>
          <w:szCs w:val="22"/>
          <w:lang w:val="en-GB"/>
        </w:rPr>
        <w:t xml:space="preserve">reconciling the national approaches to insolvency in both </w:t>
      </w:r>
      <w:proofErr w:type="spellStart"/>
      <w:r w:rsidR="00D96B1F">
        <w:rPr>
          <w:rFonts w:ascii="Avenir Next" w:hAnsi="Avenir Next" w:cs="Arial"/>
          <w:sz w:val="22"/>
          <w:szCs w:val="22"/>
          <w:lang w:val="en-GB"/>
        </w:rPr>
        <w:t>Asgard</w:t>
      </w:r>
      <w:proofErr w:type="spellEnd"/>
      <w:r w:rsidR="00D96B1F">
        <w:rPr>
          <w:rFonts w:ascii="Avenir Next" w:hAnsi="Avenir Next" w:cs="Arial"/>
          <w:sz w:val="22"/>
          <w:szCs w:val="22"/>
          <w:lang w:val="en-GB"/>
        </w:rPr>
        <w:t xml:space="preserve"> and Encanto</w:t>
      </w:r>
      <w:r w:rsidR="00894161">
        <w:rPr>
          <w:rFonts w:ascii="Avenir Next" w:hAnsi="Avenir Next" w:cs="Arial"/>
          <w:sz w:val="22"/>
          <w:szCs w:val="22"/>
          <w:lang w:val="en-GB"/>
        </w:rPr>
        <w:t>, with</w:t>
      </w:r>
    </w:p>
    <w:p w14:paraId="481BCF38" w14:textId="77777777" w:rsidR="00BB3994" w:rsidRDefault="00894161"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issues such as a pro-debtor vs. pro-creditor system, </w:t>
      </w:r>
      <w:r w:rsidR="00BB3994">
        <w:rPr>
          <w:rFonts w:ascii="Avenir Next" w:hAnsi="Avenir Next" w:cs="Arial"/>
          <w:sz w:val="22"/>
          <w:szCs w:val="22"/>
          <w:lang w:val="en-GB"/>
        </w:rPr>
        <w:t>labour rights and an unwillingness to recognise</w:t>
      </w:r>
    </w:p>
    <w:p w14:paraId="19F2F902" w14:textId="77777777" w:rsidR="009C0D5B" w:rsidRDefault="00BB3994" w:rsidP="00313DA5">
      <w:pPr>
        <w:ind w:left="720" w:hanging="720"/>
        <w:jc w:val="both"/>
        <w:rPr>
          <w:rFonts w:ascii="Avenir Next" w:hAnsi="Avenir Next" w:cs="Arial"/>
          <w:sz w:val="22"/>
          <w:szCs w:val="22"/>
          <w:lang w:val="en-GB"/>
        </w:rPr>
      </w:pPr>
      <w:r>
        <w:rPr>
          <w:rFonts w:ascii="Avenir Next" w:hAnsi="Avenir Next" w:cs="Arial"/>
          <w:sz w:val="22"/>
          <w:szCs w:val="22"/>
          <w:lang w:val="en-GB"/>
        </w:rPr>
        <w:t>foreign public claims all coming into play.</w:t>
      </w:r>
      <w:r w:rsidR="00F62BB3">
        <w:rPr>
          <w:rFonts w:ascii="Avenir Next" w:hAnsi="Avenir Next" w:cs="Arial"/>
          <w:sz w:val="22"/>
          <w:szCs w:val="22"/>
          <w:lang w:val="en-GB"/>
        </w:rPr>
        <w:t xml:space="preserve"> The insolvency representatives in both </w:t>
      </w:r>
      <w:proofErr w:type="spellStart"/>
      <w:r w:rsidR="00F62BB3">
        <w:rPr>
          <w:rFonts w:ascii="Avenir Next" w:hAnsi="Avenir Next" w:cs="Arial"/>
          <w:sz w:val="22"/>
          <w:szCs w:val="22"/>
          <w:lang w:val="en-GB"/>
        </w:rPr>
        <w:t>Asgard</w:t>
      </w:r>
      <w:proofErr w:type="spellEnd"/>
      <w:r w:rsidR="00F62BB3">
        <w:rPr>
          <w:rFonts w:ascii="Avenir Next" w:hAnsi="Avenir Next" w:cs="Arial"/>
          <w:sz w:val="22"/>
          <w:szCs w:val="22"/>
          <w:lang w:val="en-GB"/>
        </w:rPr>
        <w:t xml:space="preserve"> and Encanto</w:t>
      </w:r>
    </w:p>
    <w:p w14:paraId="0D3B1D18" w14:textId="50147CD7" w:rsidR="004E1D03" w:rsidRDefault="00F62BB3" w:rsidP="009C0D5B">
      <w:pPr>
        <w:ind w:left="720" w:hanging="720"/>
        <w:jc w:val="both"/>
        <w:rPr>
          <w:rFonts w:ascii="Avenir Next" w:hAnsi="Avenir Next" w:cs="Arial"/>
          <w:sz w:val="22"/>
          <w:szCs w:val="22"/>
          <w:lang w:val="en-GB"/>
        </w:rPr>
      </w:pPr>
      <w:r>
        <w:rPr>
          <w:rFonts w:ascii="Avenir Next" w:hAnsi="Avenir Next" w:cs="Arial"/>
          <w:sz w:val="22"/>
          <w:szCs w:val="22"/>
          <w:lang w:val="en-GB"/>
        </w:rPr>
        <w:t xml:space="preserve">will be </w:t>
      </w:r>
      <w:r w:rsidR="009C0D5B">
        <w:rPr>
          <w:rFonts w:ascii="Avenir Next" w:hAnsi="Avenir Next" w:cs="Arial"/>
          <w:sz w:val="22"/>
          <w:szCs w:val="22"/>
          <w:lang w:val="en-GB"/>
        </w:rPr>
        <w:t>competing</w:t>
      </w:r>
      <w:r>
        <w:rPr>
          <w:rFonts w:ascii="Avenir Next" w:hAnsi="Avenir Next" w:cs="Arial"/>
          <w:sz w:val="22"/>
          <w:szCs w:val="22"/>
          <w:lang w:val="en-GB"/>
        </w:rPr>
        <w:t xml:space="preserve"> with regards to FPPL’s assets</w:t>
      </w:r>
      <w:r w:rsidR="009C0D5B">
        <w:rPr>
          <w:rFonts w:ascii="Avenir Next" w:hAnsi="Avenir Next" w:cs="Arial"/>
          <w:sz w:val="22"/>
          <w:szCs w:val="22"/>
          <w:lang w:val="en-GB"/>
        </w:rPr>
        <w:t xml:space="preserve"> and this will result in challenges for both sides.</w:t>
      </w:r>
    </w:p>
    <w:p w14:paraId="0A113C93" w14:textId="524D969D" w:rsidR="007E46CA" w:rsidRDefault="007E46CA" w:rsidP="00313DA5">
      <w:pPr>
        <w:ind w:left="720" w:hanging="720"/>
        <w:jc w:val="both"/>
        <w:rPr>
          <w:rFonts w:ascii="Avenir Next" w:hAnsi="Avenir Next" w:cs="Arial"/>
          <w:sz w:val="22"/>
          <w:szCs w:val="22"/>
          <w:lang w:val="en-GB"/>
        </w:rPr>
      </w:pPr>
    </w:p>
    <w:p w14:paraId="207ED12B" w14:textId="77777777" w:rsidR="00783F63" w:rsidRDefault="00A32591" w:rsidP="00313DA5">
      <w:pPr>
        <w:ind w:left="720" w:hanging="720"/>
        <w:jc w:val="both"/>
        <w:rPr>
          <w:rFonts w:ascii="Avenir Next" w:hAnsi="Avenir Next" w:cs="Arial"/>
          <w:sz w:val="22"/>
          <w:szCs w:val="22"/>
          <w:lang w:val="en-GB"/>
        </w:rPr>
      </w:pPr>
      <w:r>
        <w:rPr>
          <w:rFonts w:ascii="Avenir Next" w:hAnsi="Avenir Next" w:cs="Arial"/>
          <w:sz w:val="22"/>
          <w:szCs w:val="22"/>
          <w:lang w:val="en-GB"/>
        </w:rPr>
        <w:t>Some international insolvency instruments that have been developed to assist with respect to the</w:t>
      </w:r>
    </w:p>
    <w:p w14:paraId="0898D6E0" w14:textId="77777777" w:rsidR="00783F63" w:rsidRDefault="00A32591" w:rsidP="00313DA5">
      <w:pPr>
        <w:ind w:left="720" w:hanging="720"/>
        <w:jc w:val="both"/>
        <w:rPr>
          <w:rFonts w:ascii="Avenir Next" w:hAnsi="Avenir Next" w:cs="Arial"/>
          <w:sz w:val="22"/>
          <w:szCs w:val="22"/>
          <w:lang w:val="en-GB"/>
        </w:rPr>
      </w:pPr>
      <w:r>
        <w:rPr>
          <w:rFonts w:ascii="Avenir Next" w:hAnsi="Avenir Next" w:cs="Arial"/>
          <w:sz w:val="22"/>
          <w:szCs w:val="22"/>
          <w:lang w:val="en-GB"/>
        </w:rPr>
        <w:t>difficulties detailed above are</w:t>
      </w:r>
      <w:r w:rsidR="00D438D0">
        <w:rPr>
          <w:rFonts w:ascii="Avenir Next" w:hAnsi="Avenir Next" w:cs="Arial"/>
          <w:sz w:val="22"/>
          <w:szCs w:val="22"/>
          <w:lang w:val="en-GB"/>
        </w:rPr>
        <w:t>: The World Bank’s Principles for Effective Insolvency and</w:t>
      </w:r>
    </w:p>
    <w:p w14:paraId="48791FA9" w14:textId="77777777" w:rsidR="00CC133D" w:rsidRDefault="00D438D0" w:rsidP="00313DA5">
      <w:pPr>
        <w:ind w:left="720" w:hanging="720"/>
        <w:jc w:val="both"/>
        <w:rPr>
          <w:rFonts w:ascii="Avenir Next" w:hAnsi="Avenir Next" w:cs="Arial"/>
          <w:sz w:val="22"/>
          <w:szCs w:val="22"/>
          <w:lang w:val="en-GB"/>
        </w:rPr>
      </w:pPr>
      <w:r>
        <w:rPr>
          <w:rFonts w:ascii="Avenir Next" w:hAnsi="Avenir Next" w:cs="Arial"/>
          <w:sz w:val="22"/>
          <w:szCs w:val="22"/>
          <w:lang w:val="en-GB"/>
        </w:rPr>
        <w:t>Creditor/Debtor Regimes, the UNCITRAL Legislative Guide on Insolvency</w:t>
      </w:r>
      <w:r w:rsidR="005873A2">
        <w:rPr>
          <w:rFonts w:ascii="Avenir Next" w:hAnsi="Avenir Next" w:cs="Arial"/>
          <w:sz w:val="22"/>
          <w:szCs w:val="22"/>
          <w:lang w:val="en-GB"/>
        </w:rPr>
        <w:t xml:space="preserve"> and </w:t>
      </w:r>
      <w:r w:rsidR="00CC133D">
        <w:rPr>
          <w:rFonts w:ascii="Avenir Next" w:hAnsi="Avenir Next" w:cs="Arial"/>
          <w:sz w:val="22"/>
          <w:szCs w:val="22"/>
          <w:lang w:val="en-GB"/>
        </w:rPr>
        <w:t>the Bankruptcy and fresh</w:t>
      </w:r>
    </w:p>
    <w:p w14:paraId="3F9C4016" w14:textId="77777777" w:rsidR="00CC133D" w:rsidRDefault="00CC133D" w:rsidP="00313DA5">
      <w:pPr>
        <w:ind w:left="720" w:hanging="720"/>
        <w:jc w:val="both"/>
        <w:rPr>
          <w:rFonts w:ascii="Avenir Next" w:hAnsi="Avenir Next" w:cs="Arial"/>
          <w:sz w:val="22"/>
          <w:szCs w:val="22"/>
          <w:lang w:val="en-GB"/>
        </w:rPr>
      </w:pPr>
      <w:r>
        <w:rPr>
          <w:rFonts w:ascii="Avenir Next" w:hAnsi="Avenir Next" w:cs="Arial"/>
          <w:sz w:val="22"/>
          <w:szCs w:val="22"/>
          <w:lang w:val="en-GB"/>
        </w:rPr>
        <w:t>start: stigma on failure and legal consequences of bankruptcy project launched by the European</w:t>
      </w:r>
    </w:p>
    <w:p w14:paraId="0597DC41" w14:textId="1D0EA39D" w:rsidR="007E46CA" w:rsidRDefault="00CC133D" w:rsidP="00313DA5">
      <w:pPr>
        <w:ind w:left="720" w:hanging="720"/>
        <w:jc w:val="both"/>
        <w:rPr>
          <w:rFonts w:ascii="Avenir Next" w:hAnsi="Avenir Next" w:cs="Arial"/>
          <w:sz w:val="22"/>
          <w:szCs w:val="22"/>
          <w:lang w:val="en-GB"/>
        </w:rPr>
      </w:pPr>
      <w:r>
        <w:rPr>
          <w:rFonts w:ascii="Avenir Next" w:hAnsi="Avenir Next" w:cs="Arial"/>
          <w:sz w:val="22"/>
          <w:szCs w:val="22"/>
          <w:lang w:val="en-GB"/>
        </w:rPr>
        <w:t>Commission.</w:t>
      </w:r>
    </w:p>
    <w:p w14:paraId="55A78E95" w14:textId="1815CE16" w:rsidR="00AA7076" w:rsidRDefault="00AA7076" w:rsidP="00313DA5">
      <w:pPr>
        <w:ind w:left="720" w:hanging="720"/>
        <w:jc w:val="both"/>
        <w:rPr>
          <w:rFonts w:ascii="Avenir Next" w:hAnsi="Avenir Next" w:cs="Arial"/>
          <w:sz w:val="22"/>
          <w:szCs w:val="22"/>
          <w:lang w:val="en-GB"/>
        </w:rPr>
      </w:pPr>
    </w:p>
    <w:p w14:paraId="75B2E3B9" w14:textId="77777777" w:rsidR="001459E4" w:rsidRDefault="00AA7076"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Probably the most important </w:t>
      </w:r>
      <w:r w:rsidR="009B652C">
        <w:rPr>
          <w:rFonts w:ascii="Avenir Next" w:hAnsi="Avenir Next" w:cs="Arial"/>
          <w:sz w:val="22"/>
          <w:szCs w:val="22"/>
          <w:lang w:val="en-GB"/>
        </w:rPr>
        <w:t xml:space="preserve">of the </w:t>
      </w:r>
      <w:r w:rsidR="00EE12DD">
        <w:rPr>
          <w:rFonts w:ascii="Avenir Next" w:hAnsi="Avenir Next" w:cs="Arial"/>
          <w:sz w:val="22"/>
          <w:szCs w:val="22"/>
          <w:lang w:val="en-GB"/>
        </w:rPr>
        <w:t>above-mentioned</w:t>
      </w:r>
      <w:r w:rsidR="009B652C">
        <w:rPr>
          <w:rFonts w:ascii="Avenir Next" w:hAnsi="Avenir Next" w:cs="Arial"/>
          <w:sz w:val="22"/>
          <w:szCs w:val="22"/>
          <w:lang w:val="en-GB"/>
        </w:rPr>
        <w:t xml:space="preserve"> international insolvency instruments is the</w:t>
      </w:r>
    </w:p>
    <w:p w14:paraId="07A22E6D" w14:textId="77777777" w:rsidR="001459E4" w:rsidRDefault="00743B61" w:rsidP="00313DA5">
      <w:pPr>
        <w:ind w:left="720" w:hanging="720"/>
        <w:jc w:val="both"/>
        <w:rPr>
          <w:rFonts w:ascii="Avenir Next" w:hAnsi="Avenir Next" w:cs="Arial"/>
          <w:sz w:val="22"/>
          <w:szCs w:val="22"/>
          <w:lang w:val="en-GB"/>
        </w:rPr>
      </w:pPr>
      <w:r>
        <w:rPr>
          <w:rFonts w:ascii="Avenir Next" w:hAnsi="Avenir Next" w:cs="Arial"/>
          <w:sz w:val="22"/>
          <w:szCs w:val="22"/>
          <w:lang w:val="en-GB"/>
        </w:rPr>
        <w:t>UNCITRAL Legislative Guide on Insolvenc</w:t>
      </w:r>
      <w:r w:rsidR="00EE12DD">
        <w:rPr>
          <w:rFonts w:ascii="Avenir Next" w:hAnsi="Avenir Next" w:cs="Arial"/>
          <w:sz w:val="22"/>
          <w:szCs w:val="22"/>
          <w:lang w:val="en-GB"/>
        </w:rPr>
        <w:t xml:space="preserve">y. The Legislative Guide </w:t>
      </w:r>
      <w:r w:rsidR="00762610">
        <w:rPr>
          <w:rFonts w:ascii="Avenir Next" w:hAnsi="Avenir Next" w:cs="Arial"/>
          <w:sz w:val="22"/>
          <w:szCs w:val="22"/>
          <w:lang w:val="en-GB"/>
        </w:rPr>
        <w:t>was designed to be used by member</w:t>
      </w:r>
    </w:p>
    <w:p w14:paraId="5C5F8F70" w14:textId="77777777" w:rsidR="001459E4" w:rsidRDefault="00762610"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States of the United Nations when modifying their existing insolvency laws. </w:t>
      </w:r>
      <w:r w:rsidR="00694D0B">
        <w:rPr>
          <w:rFonts w:ascii="Avenir Next" w:hAnsi="Avenir Next" w:cs="Arial"/>
          <w:sz w:val="22"/>
          <w:szCs w:val="22"/>
          <w:lang w:val="en-GB"/>
        </w:rPr>
        <w:t>The Legislative Guide sets</w:t>
      </w:r>
    </w:p>
    <w:p w14:paraId="15D3558C" w14:textId="77777777" w:rsidR="001459E4" w:rsidRDefault="00694D0B" w:rsidP="00313DA5">
      <w:pPr>
        <w:ind w:left="720" w:hanging="720"/>
        <w:jc w:val="both"/>
        <w:rPr>
          <w:rFonts w:ascii="Avenir Next" w:hAnsi="Avenir Next" w:cs="Arial"/>
          <w:sz w:val="22"/>
          <w:szCs w:val="22"/>
          <w:lang w:val="en-GB"/>
        </w:rPr>
      </w:pPr>
      <w:r>
        <w:rPr>
          <w:rFonts w:ascii="Avenir Next" w:hAnsi="Avenir Next" w:cs="Arial"/>
          <w:sz w:val="22"/>
          <w:szCs w:val="22"/>
          <w:lang w:val="en-GB"/>
        </w:rPr>
        <w:t>uniform standards and approaches to</w:t>
      </w:r>
      <w:r w:rsidR="008E0F09">
        <w:rPr>
          <w:rFonts w:ascii="Avenir Next" w:hAnsi="Avenir Next" w:cs="Arial"/>
          <w:sz w:val="22"/>
          <w:szCs w:val="22"/>
          <w:lang w:val="en-GB"/>
        </w:rPr>
        <w:t xml:space="preserve"> insolvency laws and has set the tone for a</w:t>
      </w:r>
      <w:r w:rsidR="001459E4">
        <w:rPr>
          <w:rFonts w:ascii="Avenir Next" w:hAnsi="Avenir Next" w:cs="Arial"/>
          <w:sz w:val="22"/>
          <w:szCs w:val="22"/>
          <w:lang w:val="en-GB"/>
        </w:rPr>
        <w:t>n approach to</w:t>
      </w:r>
    </w:p>
    <w:p w14:paraId="16297189" w14:textId="77777777" w:rsidR="00195923" w:rsidRDefault="001459E4" w:rsidP="00313DA5">
      <w:pPr>
        <w:ind w:left="720" w:hanging="720"/>
        <w:jc w:val="both"/>
        <w:rPr>
          <w:rFonts w:ascii="Avenir Next" w:hAnsi="Avenir Next" w:cs="Arial"/>
          <w:sz w:val="22"/>
          <w:szCs w:val="22"/>
          <w:lang w:val="en-GB"/>
        </w:rPr>
      </w:pPr>
      <w:r>
        <w:rPr>
          <w:rFonts w:ascii="Avenir Next" w:hAnsi="Avenir Next" w:cs="Arial"/>
          <w:sz w:val="22"/>
          <w:szCs w:val="22"/>
          <w:lang w:val="en-GB"/>
        </w:rPr>
        <w:t>insolvency laws globally that is coherent and uniform.</w:t>
      </w:r>
      <w:r w:rsidR="00266DCB">
        <w:rPr>
          <w:rFonts w:ascii="Avenir Next" w:hAnsi="Avenir Next" w:cs="Arial"/>
          <w:sz w:val="22"/>
          <w:szCs w:val="22"/>
          <w:lang w:val="en-GB"/>
        </w:rPr>
        <w:t xml:space="preserve"> The Guide </w:t>
      </w:r>
      <w:r w:rsidR="00277290">
        <w:rPr>
          <w:rFonts w:ascii="Avenir Next" w:hAnsi="Avenir Next" w:cs="Arial"/>
          <w:sz w:val="22"/>
          <w:szCs w:val="22"/>
          <w:lang w:val="en-GB"/>
        </w:rPr>
        <w:t>addresses a wide spectrum of</w:t>
      </w:r>
    </w:p>
    <w:p w14:paraId="5F220C6B" w14:textId="77777777" w:rsidR="00195923" w:rsidRDefault="00277290"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features of insolvency law </w:t>
      </w:r>
      <w:r w:rsidR="000B2891">
        <w:rPr>
          <w:rFonts w:ascii="Avenir Next" w:hAnsi="Avenir Next" w:cs="Arial"/>
          <w:sz w:val="22"/>
          <w:szCs w:val="22"/>
          <w:lang w:val="en-GB"/>
        </w:rPr>
        <w:t>and has been expanded in the years subsequent to its publishing in 2004 to</w:t>
      </w:r>
    </w:p>
    <w:p w14:paraId="6B7B1C10" w14:textId="77777777" w:rsidR="00195923" w:rsidRDefault="000B2891"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include </w:t>
      </w:r>
      <w:r w:rsidR="00E83074">
        <w:rPr>
          <w:rFonts w:ascii="Avenir Next" w:hAnsi="Avenir Next" w:cs="Arial"/>
          <w:sz w:val="22"/>
          <w:szCs w:val="22"/>
          <w:lang w:val="en-GB"/>
        </w:rPr>
        <w:t>Part Three insolvency of enterprise groups and Part Four directors’ obligations in the period</w:t>
      </w:r>
    </w:p>
    <w:p w14:paraId="178FE14F" w14:textId="0A0B384A" w:rsidR="00AA7076" w:rsidRPr="00AE4D18" w:rsidRDefault="00E83074" w:rsidP="00313DA5">
      <w:pPr>
        <w:ind w:left="720" w:hanging="720"/>
        <w:jc w:val="both"/>
        <w:rPr>
          <w:rFonts w:ascii="Avenir Next" w:hAnsi="Avenir Next" w:cs="Arial"/>
          <w:sz w:val="22"/>
          <w:szCs w:val="22"/>
          <w:lang w:val="en-GB"/>
        </w:rPr>
      </w:pPr>
      <w:r>
        <w:rPr>
          <w:rFonts w:ascii="Avenir Next" w:hAnsi="Avenir Next" w:cs="Arial"/>
          <w:sz w:val="22"/>
          <w:szCs w:val="22"/>
          <w:lang w:val="en-GB"/>
        </w:rPr>
        <w:t xml:space="preserve">approaching insolvency, including </w:t>
      </w:r>
      <w:r w:rsidR="00195923">
        <w:rPr>
          <w:rFonts w:ascii="Avenir Next" w:hAnsi="Avenir Next" w:cs="Arial"/>
          <w:sz w:val="22"/>
          <w:szCs w:val="22"/>
          <w:lang w:val="en-GB"/>
        </w:rPr>
        <w:t>those directors of enterprise group companies.</w:t>
      </w:r>
    </w:p>
    <w:p w14:paraId="5157BB82" w14:textId="77777777" w:rsidR="00313DA5" w:rsidRPr="00313DA5" w:rsidRDefault="00313DA5" w:rsidP="00313DA5">
      <w:pPr>
        <w:ind w:left="720" w:hanging="720"/>
        <w:jc w:val="both"/>
        <w:rPr>
          <w:rFonts w:ascii="Avenir Next" w:hAnsi="Avenir Next" w:cs="Arial"/>
          <w:color w:val="808080" w:themeColor="background1" w:themeShade="80"/>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Pr="0003147F" w:rsidRDefault="004E1D03" w:rsidP="00692852">
      <w:pPr>
        <w:ind w:left="720" w:hanging="720"/>
        <w:jc w:val="both"/>
        <w:rPr>
          <w:rFonts w:ascii="Avenir Next" w:hAnsi="Avenir Next" w:cs="Arial"/>
          <w:sz w:val="22"/>
          <w:szCs w:val="22"/>
          <w:lang w:val="en-GB"/>
        </w:rPr>
      </w:pPr>
    </w:p>
    <w:p w14:paraId="1ED1C4DA" w14:textId="77777777" w:rsidR="003820E6" w:rsidRDefault="0003147F" w:rsidP="001E1C34">
      <w:pPr>
        <w:ind w:left="720" w:hanging="720"/>
        <w:jc w:val="both"/>
        <w:rPr>
          <w:rFonts w:ascii="Avenir Next" w:hAnsi="Avenir Next" w:cs="Arial"/>
          <w:sz w:val="22"/>
          <w:szCs w:val="22"/>
          <w:lang w:val="en-GB"/>
        </w:rPr>
      </w:pPr>
      <w:r w:rsidRPr="0003147F">
        <w:rPr>
          <w:rFonts w:ascii="Avenir Next" w:hAnsi="Avenir Next" w:cs="Arial"/>
          <w:sz w:val="22"/>
          <w:szCs w:val="22"/>
          <w:lang w:val="en-GB"/>
        </w:rPr>
        <w:lastRenderedPageBreak/>
        <w:t xml:space="preserve">The European </w:t>
      </w:r>
      <w:r>
        <w:rPr>
          <w:rFonts w:ascii="Avenir Next" w:hAnsi="Avenir Next" w:cs="Arial"/>
          <w:sz w:val="22"/>
          <w:szCs w:val="22"/>
          <w:lang w:val="en-GB"/>
        </w:rPr>
        <w:t xml:space="preserve">Insolvency Regulation Recast would </w:t>
      </w:r>
      <w:r w:rsidR="00147C95">
        <w:rPr>
          <w:rFonts w:ascii="Avenir Next" w:hAnsi="Avenir Next" w:cs="Arial"/>
          <w:sz w:val="22"/>
          <w:szCs w:val="22"/>
          <w:lang w:val="en-GB"/>
        </w:rPr>
        <w:t>not apply with respect to the UK commenced</w:t>
      </w:r>
    </w:p>
    <w:p w14:paraId="5306D9B1" w14:textId="77777777" w:rsidR="00523C51" w:rsidRDefault="00147C95" w:rsidP="00523C51">
      <w:pPr>
        <w:ind w:left="720" w:hanging="720"/>
        <w:jc w:val="both"/>
        <w:rPr>
          <w:rFonts w:ascii="Avenir Next" w:hAnsi="Avenir Next" w:cs="Arial"/>
          <w:sz w:val="22"/>
          <w:szCs w:val="22"/>
          <w:lang w:val="en-GB"/>
        </w:rPr>
      </w:pPr>
      <w:r>
        <w:rPr>
          <w:rFonts w:ascii="Avenir Next" w:hAnsi="Avenir Next" w:cs="Arial"/>
          <w:sz w:val="22"/>
          <w:szCs w:val="22"/>
          <w:lang w:val="en-GB"/>
        </w:rPr>
        <w:t xml:space="preserve">insolvency proceedings </w:t>
      </w:r>
      <w:r w:rsidR="00CC429E">
        <w:rPr>
          <w:rFonts w:ascii="Avenir Next" w:hAnsi="Avenir Next" w:cs="Arial"/>
          <w:sz w:val="22"/>
          <w:szCs w:val="22"/>
          <w:lang w:val="en-GB"/>
        </w:rPr>
        <w:t>as the proceeding</w:t>
      </w:r>
      <w:r w:rsidR="00523C51">
        <w:rPr>
          <w:rFonts w:ascii="Avenir Next" w:hAnsi="Avenir Next" w:cs="Arial"/>
          <w:sz w:val="22"/>
          <w:szCs w:val="22"/>
          <w:lang w:val="en-GB"/>
        </w:rPr>
        <w:t>s</w:t>
      </w:r>
      <w:r w:rsidR="00CC429E">
        <w:rPr>
          <w:rFonts w:ascii="Avenir Next" w:hAnsi="Avenir Next" w:cs="Arial"/>
          <w:sz w:val="22"/>
          <w:szCs w:val="22"/>
          <w:lang w:val="en-GB"/>
        </w:rPr>
        <w:t xml:space="preserve"> w</w:t>
      </w:r>
      <w:r w:rsidR="00523C51">
        <w:rPr>
          <w:rFonts w:ascii="Avenir Next" w:hAnsi="Avenir Next" w:cs="Arial"/>
          <w:sz w:val="22"/>
          <w:szCs w:val="22"/>
          <w:lang w:val="en-GB"/>
        </w:rPr>
        <w:t>ere</w:t>
      </w:r>
      <w:r w:rsidR="00CC429E">
        <w:rPr>
          <w:rFonts w:ascii="Avenir Next" w:hAnsi="Avenir Next" w:cs="Arial"/>
          <w:sz w:val="22"/>
          <w:szCs w:val="22"/>
          <w:lang w:val="en-GB"/>
        </w:rPr>
        <w:t xml:space="preserve"> opened on 30 June 2022, and the EIR Recast ceased</w:t>
      </w:r>
    </w:p>
    <w:p w14:paraId="4E74BD85" w14:textId="7F53DBBF" w:rsidR="001E1C34" w:rsidRDefault="00CC429E" w:rsidP="00523C51">
      <w:pPr>
        <w:ind w:left="720" w:hanging="720"/>
        <w:jc w:val="both"/>
        <w:rPr>
          <w:rFonts w:ascii="Avenir Next" w:hAnsi="Avenir Next" w:cs="Arial"/>
          <w:sz w:val="22"/>
          <w:szCs w:val="22"/>
          <w:lang w:val="en-GB"/>
        </w:rPr>
      </w:pPr>
      <w:r>
        <w:rPr>
          <w:rFonts w:ascii="Avenir Next" w:hAnsi="Avenir Next" w:cs="Arial"/>
          <w:sz w:val="22"/>
          <w:szCs w:val="22"/>
          <w:lang w:val="en-GB"/>
        </w:rPr>
        <w:t>its</w:t>
      </w:r>
      <w:r w:rsidR="00523C51">
        <w:rPr>
          <w:rFonts w:ascii="Avenir Next" w:hAnsi="Avenir Next" w:cs="Arial"/>
          <w:sz w:val="22"/>
          <w:szCs w:val="22"/>
          <w:lang w:val="en-GB"/>
        </w:rPr>
        <w:t xml:space="preserve"> </w:t>
      </w:r>
      <w:r>
        <w:rPr>
          <w:rFonts w:ascii="Avenir Next" w:hAnsi="Avenir Next" w:cs="Arial"/>
          <w:sz w:val="22"/>
          <w:szCs w:val="22"/>
          <w:lang w:val="en-GB"/>
        </w:rPr>
        <w:t xml:space="preserve">applicability </w:t>
      </w:r>
      <w:r w:rsidR="003820E6">
        <w:rPr>
          <w:rFonts w:ascii="Avenir Next" w:hAnsi="Avenir Next" w:cs="Arial"/>
          <w:sz w:val="22"/>
          <w:szCs w:val="22"/>
          <w:lang w:val="en-GB"/>
        </w:rPr>
        <w:t>in the UK following the UK’s exit from the European Union on 31 December 2020.</w:t>
      </w:r>
    </w:p>
    <w:p w14:paraId="4F2220CD" w14:textId="6B514065" w:rsidR="005B301A" w:rsidRDefault="005B301A" w:rsidP="00523C51">
      <w:pPr>
        <w:ind w:left="720" w:hanging="720"/>
        <w:jc w:val="both"/>
        <w:rPr>
          <w:rFonts w:ascii="Avenir Next" w:hAnsi="Avenir Next" w:cs="Arial"/>
          <w:sz w:val="22"/>
          <w:szCs w:val="22"/>
          <w:lang w:val="en-GB"/>
        </w:rPr>
      </w:pPr>
    </w:p>
    <w:p w14:paraId="21BE6DFB" w14:textId="77777777" w:rsidR="00483CFC" w:rsidRDefault="00447704" w:rsidP="00523C51">
      <w:pPr>
        <w:ind w:left="720" w:hanging="720"/>
        <w:jc w:val="both"/>
        <w:rPr>
          <w:rFonts w:ascii="Avenir Next" w:hAnsi="Avenir Next" w:cs="Arial"/>
          <w:sz w:val="22"/>
          <w:szCs w:val="22"/>
          <w:lang w:val="en-GB"/>
        </w:rPr>
      </w:pPr>
      <w:r>
        <w:rPr>
          <w:rFonts w:ascii="Avenir Next" w:hAnsi="Avenir Next" w:cs="Arial"/>
          <w:sz w:val="22"/>
          <w:szCs w:val="22"/>
          <w:lang w:val="en-GB"/>
        </w:rPr>
        <w:t>The consequences of this are that</w:t>
      </w:r>
      <w:r w:rsidR="00F44986">
        <w:rPr>
          <w:rFonts w:ascii="Avenir Next" w:hAnsi="Avenir Next" w:cs="Arial"/>
          <w:sz w:val="22"/>
          <w:szCs w:val="22"/>
          <w:lang w:val="en-GB"/>
        </w:rPr>
        <w:t>, given that Lobo is incorporated in another European country and</w:t>
      </w:r>
    </w:p>
    <w:p w14:paraId="79C3F163" w14:textId="77777777" w:rsidR="00483CFC" w:rsidRDefault="00F44986" w:rsidP="00523C51">
      <w:pPr>
        <w:ind w:left="720" w:hanging="720"/>
        <w:jc w:val="both"/>
        <w:rPr>
          <w:rFonts w:ascii="Avenir Next" w:hAnsi="Avenir Next" w:cs="Arial"/>
          <w:sz w:val="22"/>
          <w:szCs w:val="22"/>
          <w:lang w:val="en-GB"/>
        </w:rPr>
      </w:pPr>
      <w:r>
        <w:rPr>
          <w:rFonts w:ascii="Avenir Next" w:hAnsi="Avenir Next" w:cs="Arial"/>
          <w:sz w:val="22"/>
          <w:szCs w:val="22"/>
          <w:lang w:val="en-GB"/>
        </w:rPr>
        <w:t xml:space="preserve">is FPPL’s </w:t>
      </w:r>
      <w:r w:rsidR="00690541">
        <w:rPr>
          <w:rFonts w:ascii="Avenir Next" w:hAnsi="Avenir Next" w:cs="Arial"/>
          <w:sz w:val="22"/>
          <w:szCs w:val="22"/>
          <w:lang w:val="en-GB"/>
        </w:rPr>
        <w:t xml:space="preserve">major creditor, under the EIR this other European state would be the </w:t>
      </w:r>
      <w:r w:rsidR="00AC6619">
        <w:rPr>
          <w:rFonts w:ascii="Avenir Next" w:hAnsi="Avenir Next" w:cs="Arial"/>
          <w:sz w:val="22"/>
          <w:szCs w:val="22"/>
          <w:lang w:val="en-GB"/>
        </w:rPr>
        <w:t>‘centre of the debtor’s</w:t>
      </w:r>
    </w:p>
    <w:p w14:paraId="6C01C5D2" w14:textId="77777777" w:rsidR="000A3ABA" w:rsidRDefault="00AC6619" w:rsidP="00523C51">
      <w:pPr>
        <w:ind w:left="720" w:hanging="720"/>
        <w:jc w:val="both"/>
        <w:rPr>
          <w:rFonts w:ascii="Avenir Next" w:hAnsi="Avenir Next" w:cs="Arial"/>
          <w:sz w:val="22"/>
          <w:szCs w:val="22"/>
          <w:lang w:val="en-GB"/>
        </w:rPr>
      </w:pPr>
      <w:r>
        <w:rPr>
          <w:rFonts w:ascii="Avenir Next" w:hAnsi="Avenir Next" w:cs="Arial"/>
          <w:sz w:val="22"/>
          <w:szCs w:val="22"/>
          <w:lang w:val="en-GB"/>
        </w:rPr>
        <w:t>main interest’ (COMI) and as such its courts would be allocated jurisdictional competence.</w:t>
      </w:r>
      <w:r w:rsidR="00483CFC">
        <w:rPr>
          <w:rFonts w:ascii="Avenir Next" w:hAnsi="Avenir Next" w:cs="Arial"/>
          <w:sz w:val="22"/>
          <w:szCs w:val="22"/>
          <w:lang w:val="en-GB"/>
        </w:rPr>
        <w:t xml:space="preserve"> Although</w:t>
      </w:r>
    </w:p>
    <w:p w14:paraId="638C6DB9" w14:textId="77777777" w:rsidR="000A3ABA" w:rsidRDefault="00483CFC" w:rsidP="00523C51">
      <w:pPr>
        <w:ind w:left="720" w:hanging="720"/>
        <w:jc w:val="both"/>
        <w:rPr>
          <w:rFonts w:ascii="Avenir Next" w:hAnsi="Avenir Next" w:cs="Arial"/>
          <w:sz w:val="22"/>
          <w:szCs w:val="22"/>
          <w:lang w:val="en-GB"/>
        </w:rPr>
      </w:pPr>
      <w:r>
        <w:rPr>
          <w:rFonts w:ascii="Avenir Next" w:hAnsi="Avenir Next" w:cs="Arial"/>
          <w:sz w:val="22"/>
          <w:szCs w:val="22"/>
          <w:lang w:val="en-GB"/>
        </w:rPr>
        <w:t>the EIR allocate</w:t>
      </w:r>
      <w:r w:rsidR="00C15108">
        <w:rPr>
          <w:rFonts w:ascii="Avenir Next" w:hAnsi="Avenir Next" w:cs="Arial"/>
          <w:sz w:val="22"/>
          <w:szCs w:val="22"/>
          <w:lang w:val="en-GB"/>
        </w:rPr>
        <w:t>s</w:t>
      </w:r>
      <w:r>
        <w:rPr>
          <w:rFonts w:ascii="Avenir Next" w:hAnsi="Avenir Next" w:cs="Arial"/>
          <w:sz w:val="22"/>
          <w:szCs w:val="22"/>
          <w:lang w:val="en-GB"/>
        </w:rPr>
        <w:t xml:space="preserve"> primary jurisdiction </w:t>
      </w:r>
      <w:r w:rsidR="00C15108">
        <w:rPr>
          <w:rFonts w:ascii="Avenir Next" w:hAnsi="Avenir Next" w:cs="Arial"/>
          <w:sz w:val="22"/>
          <w:szCs w:val="22"/>
          <w:lang w:val="en-GB"/>
        </w:rPr>
        <w:t>based on the COMI, it also allows for the possibility of subsidiary</w:t>
      </w:r>
    </w:p>
    <w:p w14:paraId="36D722F6" w14:textId="77777777" w:rsidR="0012510F" w:rsidRDefault="00C15108" w:rsidP="00523C51">
      <w:pPr>
        <w:ind w:left="720" w:hanging="720"/>
        <w:jc w:val="both"/>
        <w:rPr>
          <w:rFonts w:ascii="Avenir Next" w:hAnsi="Avenir Next" w:cs="Arial"/>
          <w:sz w:val="22"/>
          <w:szCs w:val="22"/>
          <w:lang w:val="en-GB"/>
        </w:rPr>
      </w:pPr>
      <w:r>
        <w:rPr>
          <w:rFonts w:ascii="Avenir Next" w:hAnsi="Avenir Next" w:cs="Arial"/>
          <w:sz w:val="22"/>
          <w:szCs w:val="22"/>
          <w:lang w:val="en-GB"/>
        </w:rPr>
        <w:t xml:space="preserve">territorial proceedings in other member </w:t>
      </w:r>
      <w:r w:rsidR="000A3ABA">
        <w:rPr>
          <w:rFonts w:ascii="Avenir Next" w:hAnsi="Avenir Next" w:cs="Arial"/>
          <w:sz w:val="22"/>
          <w:szCs w:val="22"/>
          <w:lang w:val="en-GB"/>
        </w:rPr>
        <w:t xml:space="preserve">States. </w:t>
      </w:r>
      <w:r w:rsidR="00D944AE">
        <w:rPr>
          <w:rFonts w:ascii="Avenir Next" w:hAnsi="Avenir Next" w:cs="Arial"/>
          <w:sz w:val="22"/>
          <w:szCs w:val="22"/>
          <w:lang w:val="en-GB"/>
        </w:rPr>
        <w:t>This is permitted in the instance where a debtor has</w:t>
      </w:r>
    </w:p>
    <w:p w14:paraId="71F3604A" w14:textId="77777777" w:rsidR="0012510F" w:rsidRDefault="00D944AE" w:rsidP="00523C51">
      <w:pPr>
        <w:ind w:left="720" w:hanging="720"/>
        <w:jc w:val="both"/>
        <w:rPr>
          <w:rFonts w:ascii="Avenir Next" w:hAnsi="Avenir Next" w:cs="Arial"/>
          <w:sz w:val="22"/>
          <w:szCs w:val="22"/>
          <w:lang w:val="en-GB"/>
        </w:rPr>
      </w:pPr>
      <w:r>
        <w:rPr>
          <w:rFonts w:ascii="Avenir Next" w:hAnsi="Avenir Next" w:cs="Arial"/>
          <w:sz w:val="22"/>
          <w:szCs w:val="22"/>
          <w:lang w:val="en-GB"/>
        </w:rPr>
        <w:t>an ‘establishment’</w:t>
      </w:r>
      <w:r w:rsidR="00966EAB">
        <w:rPr>
          <w:rFonts w:ascii="Avenir Next" w:hAnsi="Avenir Next" w:cs="Arial"/>
          <w:sz w:val="22"/>
          <w:szCs w:val="22"/>
          <w:lang w:val="en-GB"/>
        </w:rPr>
        <w:t>, i.e., a place of operations where the debtor carries out a non-transitory economic</w:t>
      </w:r>
    </w:p>
    <w:p w14:paraId="6AD8A4E5" w14:textId="77777777" w:rsidR="005A7FB7" w:rsidRDefault="00966EAB" w:rsidP="00523C51">
      <w:pPr>
        <w:ind w:left="720" w:hanging="720"/>
        <w:jc w:val="both"/>
        <w:rPr>
          <w:rFonts w:ascii="Avenir Next" w:hAnsi="Avenir Next" w:cs="Arial"/>
          <w:sz w:val="22"/>
          <w:szCs w:val="22"/>
          <w:lang w:val="en-GB"/>
        </w:rPr>
      </w:pPr>
      <w:r>
        <w:rPr>
          <w:rFonts w:ascii="Avenir Next" w:hAnsi="Avenir Next" w:cs="Arial"/>
          <w:sz w:val="22"/>
          <w:szCs w:val="22"/>
          <w:lang w:val="en-GB"/>
        </w:rPr>
        <w:t>activity with human means and assets</w:t>
      </w:r>
      <w:r w:rsidR="0012510F">
        <w:rPr>
          <w:rFonts w:ascii="Avenir Next" w:hAnsi="Avenir Next" w:cs="Arial"/>
          <w:sz w:val="22"/>
          <w:szCs w:val="22"/>
          <w:lang w:val="en-GB"/>
        </w:rPr>
        <w:t>, which would be the case for the UK as FPPL has offices there.</w:t>
      </w:r>
    </w:p>
    <w:p w14:paraId="37AF2CB9" w14:textId="77777777" w:rsidR="005A7FB7" w:rsidRDefault="00325B60" w:rsidP="00523C51">
      <w:pPr>
        <w:ind w:left="720" w:hanging="720"/>
        <w:jc w:val="both"/>
        <w:rPr>
          <w:rFonts w:ascii="Avenir Next" w:hAnsi="Avenir Next" w:cs="Arial"/>
          <w:sz w:val="22"/>
          <w:szCs w:val="22"/>
          <w:lang w:val="en-GB"/>
        </w:rPr>
      </w:pPr>
      <w:r>
        <w:rPr>
          <w:rFonts w:ascii="Avenir Next" w:hAnsi="Avenir Next" w:cs="Arial"/>
          <w:sz w:val="22"/>
          <w:szCs w:val="22"/>
          <w:lang w:val="en-GB"/>
        </w:rPr>
        <w:t xml:space="preserve">However, the subsidiary territorial proceedings would not </w:t>
      </w:r>
      <w:r w:rsidR="009E10EA">
        <w:rPr>
          <w:rFonts w:ascii="Avenir Next" w:hAnsi="Avenir Next" w:cs="Arial"/>
          <w:sz w:val="22"/>
          <w:szCs w:val="22"/>
          <w:lang w:val="en-GB"/>
        </w:rPr>
        <w:t>be applicable in the case of the UK minor</w:t>
      </w:r>
    </w:p>
    <w:p w14:paraId="6D2791B4" w14:textId="77777777" w:rsidR="005A7FB7" w:rsidRDefault="009E10EA" w:rsidP="00523C51">
      <w:pPr>
        <w:ind w:left="720" w:hanging="720"/>
        <w:jc w:val="both"/>
        <w:rPr>
          <w:rFonts w:ascii="Avenir Next" w:hAnsi="Avenir Next" w:cs="Arial"/>
          <w:sz w:val="22"/>
          <w:szCs w:val="22"/>
          <w:lang w:val="en-GB"/>
        </w:rPr>
      </w:pPr>
      <w:r>
        <w:rPr>
          <w:rFonts w:ascii="Avenir Next" w:hAnsi="Avenir Next" w:cs="Arial"/>
          <w:sz w:val="22"/>
          <w:szCs w:val="22"/>
          <w:lang w:val="en-GB"/>
        </w:rPr>
        <w:t>creditor due to the UK’s departure from the EU in December 2020, meaning the EIR Recast no longer</w:t>
      </w:r>
    </w:p>
    <w:p w14:paraId="234920ED" w14:textId="5FD44352" w:rsidR="00D944AE" w:rsidRDefault="009E10EA" w:rsidP="00523C51">
      <w:pPr>
        <w:ind w:left="720" w:hanging="720"/>
        <w:jc w:val="both"/>
        <w:rPr>
          <w:rFonts w:ascii="Avenir Next" w:hAnsi="Avenir Next" w:cs="Arial"/>
          <w:sz w:val="22"/>
          <w:szCs w:val="22"/>
          <w:lang w:val="en-GB"/>
        </w:rPr>
      </w:pPr>
      <w:r>
        <w:rPr>
          <w:rFonts w:ascii="Avenir Next" w:hAnsi="Avenir Next" w:cs="Arial"/>
          <w:sz w:val="22"/>
          <w:szCs w:val="22"/>
          <w:lang w:val="en-GB"/>
        </w:rPr>
        <w:t>applies</w:t>
      </w:r>
      <w:r w:rsidR="005A7FB7">
        <w:rPr>
          <w:rFonts w:ascii="Avenir Next" w:hAnsi="Avenir Next" w:cs="Arial"/>
          <w:sz w:val="22"/>
          <w:szCs w:val="22"/>
          <w:lang w:val="en-GB"/>
        </w:rPr>
        <w:t>.</w:t>
      </w:r>
    </w:p>
    <w:p w14:paraId="275FFB24" w14:textId="706A6C75" w:rsidR="0012510F" w:rsidRDefault="0012510F" w:rsidP="00523C51">
      <w:pPr>
        <w:ind w:left="720" w:hanging="720"/>
        <w:jc w:val="both"/>
        <w:rPr>
          <w:rFonts w:ascii="Avenir Next" w:hAnsi="Avenir Next" w:cs="Arial"/>
          <w:sz w:val="22"/>
          <w:szCs w:val="22"/>
          <w:lang w:val="en-GB"/>
        </w:rPr>
      </w:pPr>
    </w:p>
    <w:p w14:paraId="44590093" w14:textId="77777777" w:rsidR="00E140D6" w:rsidRDefault="000514B1" w:rsidP="00523C51">
      <w:pPr>
        <w:ind w:left="720" w:hanging="720"/>
        <w:jc w:val="both"/>
        <w:rPr>
          <w:rFonts w:ascii="Avenir Next" w:hAnsi="Avenir Next" w:cs="Arial"/>
          <w:sz w:val="22"/>
          <w:szCs w:val="22"/>
          <w:lang w:val="en-GB"/>
        </w:rPr>
      </w:pPr>
      <w:r>
        <w:rPr>
          <w:rFonts w:ascii="Avenir Next" w:hAnsi="Avenir Next" w:cs="Arial"/>
          <w:sz w:val="22"/>
          <w:szCs w:val="22"/>
          <w:lang w:val="en-GB"/>
        </w:rPr>
        <w:t>I would not require any further information to establish whether the EIR Recast would apply with</w:t>
      </w:r>
    </w:p>
    <w:p w14:paraId="765062A5" w14:textId="77777777" w:rsidR="008815DD" w:rsidRDefault="000514B1" w:rsidP="008815DD">
      <w:pPr>
        <w:ind w:left="720" w:hanging="720"/>
        <w:jc w:val="both"/>
        <w:rPr>
          <w:rFonts w:ascii="Avenir Next" w:hAnsi="Avenir Next" w:cs="Arial"/>
          <w:sz w:val="22"/>
          <w:szCs w:val="22"/>
          <w:lang w:val="en-GB"/>
        </w:rPr>
      </w:pPr>
      <w:r>
        <w:rPr>
          <w:rFonts w:ascii="Avenir Next" w:hAnsi="Avenir Next" w:cs="Arial"/>
          <w:sz w:val="22"/>
          <w:szCs w:val="22"/>
          <w:lang w:val="en-GB"/>
        </w:rPr>
        <w:t xml:space="preserve">respect to the UK commenced insolvency proceedings </w:t>
      </w:r>
      <w:r w:rsidR="008815DD">
        <w:rPr>
          <w:rFonts w:ascii="Avenir Next" w:hAnsi="Avenir Next" w:cs="Arial"/>
          <w:sz w:val="22"/>
          <w:szCs w:val="22"/>
          <w:lang w:val="en-GB"/>
        </w:rPr>
        <w:t>because</w:t>
      </w:r>
      <w:r>
        <w:rPr>
          <w:rFonts w:ascii="Avenir Next" w:hAnsi="Avenir Next" w:cs="Arial"/>
          <w:sz w:val="22"/>
          <w:szCs w:val="22"/>
          <w:lang w:val="en-GB"/>
        </w:rPr>
        <w:t xml:space="preserve"> the proceedings were</w:t>
      </w:r>
      <w:r w:rsidR="008815DD">
        <w:rPr>
          <w:rFonts w:ascii="Avenir Next" w:hAnsi="Avenir Next" w:cs="Arial"/>
          <w:sz w:val="22"/>
          <w:szCs w:val="22"/>
          <w:lang w:val="en-GB"/>
        </w:rPr>
        <w:t xml:space="preserve"> </w:t>
      </w:r>
      <w:r>
        <w:rPr>
          <w:rFonts w:ascii="Avenir Next" w:hAnsi="Avenir Next" w:cs="Arial"/>
          <w:sz w:val="22"/>
          <w:szCs w:val="22"/>
          <w:lang w:val="en-GB"/>
        </w:rPr>
        <w:t xml:space="preserve">opened on 30 </w:t>
      </w:r>
    </w:p>
    <w:p w14:paraId="087A3C07" w14:textId="77777777" w:rsidR="008815DD" w:rsidRDefault="000514B1" w:rsidP="008815DD">
      <w:pPr>
        <w:ind w:left="720" w:hanging="720"/>
        <w:jc w:val="both"/>
        <w:rPr>
          <w:rFonts w:ascii="Avenir Next" w:hAnsi="Avenir Next" w:cs="Arial"/>
          <w:sz w:val="22"/>
          <w:szCs w:val="22"/>
          <w:lang w:val="en-GB"/>
        </w:rPr>
      </w:pPr>
      <w:r>
        <w:rPr>
          <w:rFonts w:ascii="Avenir Next" w:hAnsi="Avenir Next" w:cs="Arial"/>
          <w:sz w:val="22"/>
          <w:szCs w:val="22"/>
          <w:lang w:val="en-GB"/>
        </w:rPr>
        <w:t xml:space="preserve">June 2022 and </w:t>
      </w:r>
      <w:r w:rsidR="00E140D6">
        <w:rPr>
          <w:rFonts w:ascii="Avenir Next" w:hAnsi="Avenir Next" w:cs="Arial"/>
          <w:sz w:val="22"/>
          <w:szCs w:val="22"/>
          <w:lang w:val="en-GB"/>
        </w:rPr>
        <w:t>hence the EIR Recast was no longer applicable in the UK following its</w:t>
      </w:r>
      <w:r w:rsidR="008815DD">
        <w:rPr>
          <w:rFonts w:ascii="Avenir Next" w:hAnsi="Avenir Next" w:cs="Arial"/>
          <w:sz w:val="22"/>
          <w:szCs w:val="22"/>
          <w:lang w:val="en-GB"/>
        </w:rPr>
        <w:t xml:space="preserve"> </w:t>
      </w:r>
      <w:r w:rsidR="00E140D6">
        <w:rPr>
          <w:rFonts w:ascii="Avenir Next" w:hAnsi="Avenir Next" w:cs="Arial"/>
          <w:sz w:val="22"/>
          <w:szCs w:val="22"/>
          <w:lang w:val="en-GB"/>
        </w:rPr>
        <w:t>departure from</w:t>
      </w:r>
    </w:p>
    <w:p w14:paraId="3DCFBCEA" w14:textId="09B1E3BB" w:rsidR="000514B1" w:rsidRDefault="00E140D6" w:rsidP="008815DD">
      <w:pPr>
        <w:ind w:left="720" w:hanging="720"/>
        <w:jc w:val="both"/>
        <w:rPr>
          <w:rFonts w:ascii="Avenir Next" w:hAnsi="Avenir Next" w:cs="Arial"/>
          <w:sz w:val="22"/>
          <w:szCs w:val="22"/>
          <w:lang w:val="en-GB"/>
        </w:rPr>
      </w:pPr>
      <w:r>
        <w:rPr>
          <w:rFonts w:ascii="Avenir Next" w:hAnsi="Avenir Next" w:cs="Arial"/>
          <w:sz w:val="22"/>
          <w:szCs w:val="22"/>
          <w:lang w:val="en-GB"/>
        </w:rPr>
        <w:t>the EU in December 2020.</w:t>
      </w:r>
    </w:p>
    <w:p w14:paraId="5C55463F" w14:textId="46A3C3A7" w:rsidR="001E1C34" w:rsidRDefault="001E1C34" w:rsidP="005A7FB7">
      <w:pPr>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BD46" w14:textId="77777777" w:rsidR="00D974D2" w:rsidRDefault="00D974D2" w:rsidP="00241B44">
      <w:r>
        <w:separator/>
      </w:r>
    </w:p>
  </w:endnote>
  <w:endnote w:type="continuationSeparator" w:id="0">
    <w:p w14:paraId="6E168C3A" w14:textId="77777777" w:rsidR="00D974D2" w:rsidRDefault="00D974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F981F9F" w:rsidR="00B64A85" w:rsidRPr="00297BDF" w:rsidRDefault="00F445D0" w:rsidP="0052732A">
    <w:pPr>
      <w:pStyle w:val="Footer"/>
      <w:ind w:right="360"/>
      <w:rPr>
        <w:rFonts w:ascii="Avenir Next" w:hAnsi="Avenir Next" w:cs="Arial"/>
        <w:sz w:val="22"/>
        <w:szCs w:val="22"/>
      </w:rPr>
    </w:pPr>
    <w:r w:rsidRPr="00F445D0">
      <w:rPr>
        <w:rFonts w:ascii="Avenir Next" w:hAnsi="Avenir Next" w:cs="Arial"/>
        <w:sz w:val="22"/>
        <w:szCs w:val="22"/>
      </w:rPr>
      <w:t>202223-904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C241" w14:textId="77777777" w:rsidR="00D974D2" w:rsidRDefault="00D974D2" w:rsidP="00241B44">
      <w:r>
        <w:separator/>
      </w:r>
    </w:p>
  </w:footnote>
  <w:footnote w:type="continuationSeparator" w:id="0">
    <w:p w14:paraId="587EA354" w14:textId="77777777" w:rsidR="00D974D2" w:rsidRDefault="00D974D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92E"/>
    <w:rsid w:val="0000387F"/>
    <w:rsid w:val="00003D8F"/>
    <w:rsid w:val="0000420A"/>
    <w:rsid w:val="00004AE7"/>
    <w:rsid w:val="00007968"/>
    <w:rsid w:val="00010BA0"/>
    <w:rsid w:val="00015EE6"/>
    <w:rsid w:val="0001763C"/>
    <w:rsid w:val="00020557"/>
    <w:rsid w:val="0002322B"/>
    <w:rsid w:val="000250C7"/>
    <w:rsid w:val="00025C83"/>
    <w:rsid w:val="00030192"/>
    <w:rsid w:val="0003108B"/>
    <w:rsid w:val="0003147F"/>
    <w:rsid w:val="00031918"/>
    <w:rsid w:val="000329A6"/>
    <w:rsid w:val="00034C0C"/>
    <w:rsid w:val="00037621"/>
    <w:rsid w:val="000419D4"/>
    <w:rsid w:val="00043365"/>
    <w:rsid w:val="000436F0"/>
    <w:rsid w:val="00043960"/>
    <w:rsid w:val="00044D46"/>
    <w:rsid w:val="00045088"/>
    <w:rsid w:val="00045865"/>
    <w:rsid w:val="00045904"/>
    <w:rsid w:val="00045DC7"/>
    <w:rsid w:val="00046789"/>
    <w:rsid w:val="000514B1"/>
    <w:rsid w:val="00052031"/>
    <w:rsid w:val="000521C4"/>
    <w:rsid w:val="00052A5E"/>
    <w:rsid w:val="0005310B"/>
    <w:rsid w:val="000541C5"/>
    <w:rsid w:val="00054EC2"/>
    <w:rsid w:val="00055EB9"/>
    <w:rsid w:val="00057BF2"/>
    <w:rsid w:val="0006130F"/>
    <w:rsid w:val="00062D42"/>
    <w:rsid w:val="00062E85"/>
    <w:rsid w:val="000649D1"/>
    <w:rsid w:val="00064C44"/>
    <w:rsid w:val="00065166"/>
    <w:rsid w:val="00066AE7"/>
    <w:rsid w:val="0007091D"/>
    <w:rsid w:val="00076483"/>
    <w:rsid w:val="00077257"/>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3ABA"/>
    <w:rsid w:val="000A68ED"/>
    <w:rsid w:val="000A74CA"/>
    <w:rsid w:val="000B2891"/>
    <w:rsid w:val="000B5B93"/>
    <w:rsid w:val="000B5FF1"/>
    <w:rsid w:val="000B609F"/>
    <w:rsid w:val="000B6337"/>
    <w:rsid w:val="000B6B56"/>
    <w:rsid w:val="000D55A8"/>
    <w:rsid w:val="000D57BE"/>
    <w:rsid w:val="000D5D04"/>
    <w:rsid w:val="000D6876"/>
    <w:rsid w:val="000E0165"/>
    <w:rsid w:val="000E3A82"/>
    <w:rsid w:val="000E3C5A"/>
    <w:rsid w:val="000E406D"/>
    <w:rsid w:val="000E4841"/>
    <w:rsid w:val="000E5CB4"/>
    <w:rsid w:val="000F0DC0"/>
    <w:rsid w:val="000F0FFF"/>
    <w:rsid w:val="000F12BD"/>
    <w:rsid w:val="000F1677"/>
    <w:rsid w:val="000F3387"/>
    <w:rsid w:val="000F3D6C"/>
    <w:rsid w:val="000F4DD2"/>
    <w:rsid w:val="000F5263"/>
    <w:rsid w:val="000F58B0"/>
    <w:rsid w:val="00100A77"/>
    <w:rsid w:val="00100C89"/>
    <w:rsid w:val="00101707"/>
    <w:rsid w:val="00102F47"/>
    <w:rsid w:val="00105CBD"/>
    <w:rsid w:val="00107229"/>
    <w:rsid w:val="001107F2"/>
    <w:rsid w:val="00110E0C"/>
    <w:rsid w:val="001131C6"/>
    <w:rsid w:val="0011473D"/>
    <w:rsid w:val="00115C85"/>
    <w:rsid w:val="001174E6"/>
    <w:rsid w:val="00120B4D"/>
    <w:rsid w:val="0012303D"/>
    <w:rsid w:val="00123855"/>
    <w:rsid w:val="00124B70"/>
    <w:rsid w:val="0012510F"/>
    <w:rsid w:val="00125A7C"/>
    <w:rsid w:val="00126A4D"/>
    <w:rsid w:val="001310E5"/>
    <w:rsid w:val="00131D42"/>
    <w:rsid w:val="0013278B"/>
    <w:rsid w:val="00134710"/>
    <w:rsid w:val="00135FFC"/>
    <w:rsid w:val="00136505"/>
    <w:rsid w:val="0014171F"/>
    <w:rsid w:val="001459E4"/>
    <w:rsid w:val="0014622C"/>
    <w:rsid w:val="00147A85"/>
    <w:rsid w:val="00147C95"/>
    <w:rsid w:val="00150F6C"/>
    <w:rsid w:val="00152348"/>
    <w:rsid w:val="0015328F"/>
    <w:rsid w:val="0015439B"/>
    <w:rsid w:val="0015456D"/>
    <w:rsid w:val="00161F1B"/>
    <w:rsid w:val="001620AF"/>
    <w:rsid w:val="00162829"/>
    <w:rsid w:val="0016472D"/>
    <w:rsid w:val="00164B28"/>
    <w:rsid w:val="00167311"/>
    <w:rsid w:val="001677CC"/>
    <w:rsid w:val="00167D36"/>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923"/>
    <w:rsid w:val="001966D9"/>
    <w:rsid w:val="00197963"/>
    <w:rsid w:val="001A3A35"/>
    <w:rsid w:val="001A620B"/>
    <w:rsid w:val="001A716A"/>
    <w:rsid w:val="001A7E9A"/>
    <w:rsid w:val="001B0B8C"/>
    <w:rsid w:val="001B0F70"/>
    <w:rsid w:val="001B27A6"/>
    <w:rsid w:val="001B5016"/>
    <w:rsid w:val="001B6CEE"/>
    <w:rsid w:val="001C45FC"/>
    <w:rsid w:val="001C594A"/>
    <w:rsid w:val="001D1BF7"/>
    <w:rsid w:val="001D2297"/>
    <w:rsid w:val="001D2A75"/>
    <w:rsid w:val="001D4862"/>
    <w:rsid w:val="001D632F"/>
    <w:rsid w:val="001D7EF2"/>
    <w:rsid w:val="001E1C34"/>
    <w:rsid w:val="001E1FB4"/>
    <w:rsid w:val="001E23FD"/>
    <w:rsid w:val="001E25B9"/>
    <w:rsid w:val="001E27B3"/>
    <w:rsid w:val="001E392F"/>
    <w:rsid w:val="001E49E0"/>
    <w:rsid w:val="001E7B5A"/>
    <w:rsid w:val="001F0BCF"/>
    <w:rsid w:val="001F1478"/>
    <w:rsid w:val="001F2AF5"/>
    <w:rsid w:val="001F5204"/>
    <w:rsid w:val="001F603D"/>
    <w:rsid w:val="001F7412"/>
    <w:rsid w:val="001F7C77"/>
    <w:rsid w:val="00201386"/>
    <w:rsid w:val="00202C2B"/>
    <w:rsid w:val="00205B31"/>
    <w:rsid w:val="00206AEC"/>
    <w:rsid w:val="0020725B"/>
    <w:rsid w:val="0020730B"/>
    <w:rsid w:val="002124C1"/>
    <w:rsid w:val="00212B14"/>
    <w:rsid w:val="00216499"/>
    <w:rsid w:val="002164C0"/>
    <w:rsid w:val="00216CB4"/>
    <w:rsid w:val="002173C5"/>
    <w:rsid w:val="002235BD"/>
    <w:rsid w:val="00223780"/>
    <w:rsid w:val="0022719C"/>
    <w:rsid w:val="00231F38"/>
    <w:rsid w:val="002362AB"/>
    <w:rsid w:val="002400DB"/>
    <w:rsid w:val="002406A4"/>
    <w:rsid w:val="0024116D"/>
    <w:rsid w:val="00241B44"/>
    <w:rsid w:val="00245EFB"/>
    <w:rsid w:val="002526C5"/>
    <w:rsid w:val="002529D2"/>
    <w:rsid w:val="0025386E"/>
    <w:rsid w:val="00254AB3"/>
    <w:rsid w:val="0026172B"/>
    <w:rsid w:val="002638B0"/>
    <w:rsid w:val="0026510C"/>
    <w:rsid w:val="0026647A"/>
    <w:rsid w:val="002668D3"/>
    <w:rsid w:val="00266DCB"/>
    <w:rsid w:val="00266F17"/>
    <w:rsid w:val="002672D0"/>
    <w:rsid w:val="00270D04"/>
    <w:rsid w:val="0027242B"/>
    <w:rsid w:val="0027299F"/>
    <w:rsid w:val="00275182"/>
    <w:rsid w:val="00275946"/>
    <w:rsid w:val="00276414"/>
    <w:rsid w:val="00276FEA"/>
    <w:rsid w:val="00277290"/>
    <w:rsid w:val="0028252D"/>
    <w:rsid w:val="00282D1E"/>
    <w:rsid w:val="00284EBE"/>
    <w:rsid w:val="00286720"/>
    <w:rsid w:val="002872E1"/>
    <w:rsid w:val="00287B2E"/>
    <w:rsid w:val="00287D4D"/>
    <w:rsid w:val="00290116"/>
    <w:rsid w:val="0029155B"/>
    <w:rsid w:val="0029433F"/>
    <w:rsid w:val="00294829"/>
    <w:rsid w:val="00295742"/>
    <w:rsid w:val="00295D53"/>
    <w:rsid w:val="0029690F"/>
    <w:rsid w:val="00297288"/>
    <w:rsid w:val="00297BDF"/>
    <w:rsid w:val="002A1D84"/>
    <w:rsid w:val="002A24CB"/>
    <w:rsid w:val="002A2A60"/>
    <w:rsid w:val="002A2A72"/>
    <w:rsid w:val="002A333A"/>
    <w:rsid w:val="002A3815"/>
    <w:rsid w:val="002A6646"/>
    <w:rsid w:val="002A74AB"/>
    <w:rsid w:val="002A7ECE"/>
    <w:rsid w:val="002B1034"/>
    <w:rsid w:val="002B1C45"/>
    <w:rsid w:val="002B256A"/>
    <w:rsid w:val="002B2970"/>
    <w:rsid w:val="002C1227"/>
    <w:rsid w:val="002C13C8"/>
    <w:rsid w:val="002C259C"/>
    <w:rsid w:val="002C3547"/>
    <w:rsid w:val="002D0021"/>
    <w:rsid w:val="002D10A3"/>
    <w:rsid w:val="002D2356"/>
    <w:rsid w:val="002D295D"/>
    <w:rsid w:val="002D3473"/>
    <w:rsid w:val="002D753F"/>
    <w:rsid w:val="002E37B7"/>
    <w:rsid w:val="002E4A02"/>
    <w:rsid w:val="002E4A1F"/>
    <w:rsid w:val="002E66F4"/>
    <w:rsid w:val="002F14C5"/>
    <w:rsid w:val="002F1956"/>
    <w:rsid w:val="002F2B8D"/>
    <w:rsid w:val="002F30D7"/>
    <w:rsid w:val="002F3440"/>
    <w:rsid w:val="002F3B17"/>
    <w:rsid w:val="002F5DD8"/>
    <w:rsid w:val="002F75A3"/>
    <w:rsid w:val="002F75CD"/>
    <w:rsid w:val="002F7EB5"/>
    <w:rsid w:val="0030201F"/>
    <w:rsid w:val="00303C2F"/>
    <w:rsid w:val="0030558B"/>
    <w:rsid w:val="00306E87"/>
    <w:rsid w:val="00310FC2"/>
    <w:rsid w:val="00313313"/>
    <w:rsid w:val="003134B4"/>
    <w:rsid w:val="00313DA5"/>
    <w:rsid w:val="003144EF"/>
    <w:rsid w:val="0032538A"/>
    <w:rsid w:val="00325B60"/>
    <w:rsid w:val="00326292"/>
    <w:rsid w:val="00326415"/>
    <w:rsid w:val="00330937"/>
    <w:rsid w:val="00330F31"/>
    <w:rsid w:val="00331ECF"/>
    <w:rsid w:val="003326F0"/>
    <w:rsid w:val="00334648"/>
    <w:rsid w:val="00336CA6"/>
    <w:rsid w:val="0033768C"/>
    <w:rsid w:val="00337938"/>
    <w:rsid w:val="00340769"/>
    <w:rsid w:val="00341A65"/>
    <w:rsid w:val="00341AA6"/>
    <w:rsid w:val="00342E57"/>
    <w:rsid w:val="003451D3"/>
    <w:rsid w:val="00346BBB"/>
    <w:rsid w:val="003500E5"/>
    <w:rsid w:val="00355B57"/>
    <w:rsid w:val="00361A0A"/>
    <w:rsid w:val="00361DF9"/>
    <w:rsid w:val="0036565C"/>
    <w:rsid w:val="0036625E"/>
    <w:rsid w:val="00367162"/>
    <w:rsid w:val="00372CD4"/>
    <w:rsid w:val="0037386C"/>
    <w:rsid w:val="0037465A"/>
    <w:rsid w:val="0037665D"/>
    <w:rsid w:val="003820E6"/>
    <w:rsid w:val="0038255B"/>
    <w:rsid w:val="00382C98"/>
    <w:rsid w:val="0038325E"/>
    <w:rsid w:val="00384604"/>
    <w:rsid w:val="00384E3D"/>
    <w:rsid w:val="00385041"/>
    <w:rsid w:val="0038533C"/>
    <w:rsid w:val="00385D73"/>
    <w:rsid w:val="00391B12"/>
    <w:rsid w:val="00392B3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6488"/>
    <w:rsid w:val="003C1451"/>
    <w:rsid w:val="003C2017"/>
    <w:rsid w:val="003C4471"/>
    <w:rsid w:val="003C6AF2"/>
    <w:rsid w:val="003D0A6D"/>
    <w:rsid w:val="003D100A"/>
    <w:rsid w:val="003D3045"/>
    <w:rsid w:val="003D3410"/>
    <w:rsid w:val="003D4221"/>
    <w:rsid w:val="003D4300"/>
    <w:rsid w:val="003D5801"/>
    <w:rsid w:val="003D6AC4"/>
    <w:rsid w:val="003D7B57"/>
    <w:rsid w:val="003E004D"/>
    <w:rsid w:val="003E064D"/>
    <w:rsid w:val="003E0B16"/>
    <w:rsid w:val="003E1DE4"/>
    <w:rsid w:val="003E22CF"/>
    <w:rsid w:val="003E2807"/>
    <w:rsid w:val="003E2D1B"/>
    <w:rsid w:val="003E2E7C"/>
    <w:rsid w:val="003E67D1"/>
    <w:rsid w:val="003F0B80"/>
    <w:rsid w:val="003F500E"/>
    <w:rsid w:val="003F655E"/>
    <w:rsid w:val="003F74D9"/>
    <w:rsid w:val="0040007B"/>
    <w:rsid w:val="00400920"/>
    <w:rsid w:val="00403F09"/>
    <w:rsid w:val="00404EF7"/>
    <w:rsid w:val="00405DC1"/>
    <w:rsid w:val="0040672C"/>
    <w:rsid w:val="00411E1B"/>
    <w:rsid w:val="00414BF9"/>
    <w:rsid w:val="00415DFF"/>
    <w:rsid w:val="00415F1F"/>
    <w:rsid w:val="004160E8"/>
    <w:rsid w:val="0042108F"/>
    <w:rsid w:val="004214D4"/>
    <w:rsid w:val="004216EA"/>
    <w:rsid w:val="004235F4"/>
    <w:rsid w:val="00426969"/>
    <w:rsid w:val="00426B64"/>
    <w:rsid w:val="00427664"/>
    <w:rsid w:val="0043017F"/>
    <w:rsid w:val="00430FED"/>
    <w:rsid w:val="00434A8C"/>
    <w:rsid w:val="00437297"/>
    <w:rsid w:val="00437ABE"/>
    <w:rsid w:val="00440AC5"/>
    <w:rsid w:val="00444284"/>
    <w:rsid w:val="004442F1"/>
    <w:rsid w:val="00445CA8"/>
    <w:rsid w:val="00445CE6"/>
    <w:rsid w:val="00446987"/>
    <w:rsid w:val="00447704"/>
    <w:rsid w:val="004527F6"/>
    <w:rsid w:val="004534C2"/>
    <w:rsid w:val="00453967"/>
    <w:rsid w:val="0045446F"/>
    <w:rsid w:val="00454C9D"/>
    <w:rsid w:val="0045683E"/>
    <w:rsid w:val="0046142D"/>
    <w:rsid w:val="0046274F"/>
    <w:rsid w:val="0046298C"/>
    <w:rsid w:val="00463259"/>
    <w:rsid w:val="00463EE5"/>
    <w:rsid w:val="004658B2"/>
    <w:rsid w:val="004659E0"/>
    <w:rsid w:val="00466ED6"/>
    <w:rsid w:val="00467C71"/>
    <w:rsid w:val="0047084C"/>
    <w:rsid w:val="00470A63"/>
    <w:rsid w:val="00470C55"/>
    <w:rsid w:val="004715C1"/>
    <w:rsid w:val="004731F4"/>
    <w:rsid w:val="0047404E"/>
    <w:rsid w:val="00474A4E"/>
    <w:rsid w:val="00477AE9"/>
    <w:rsid w:val="00481FC8"/>
    <w:rsid w:val="0048258B"/>
    <w:rsid w:val="00482FE3"/>
    <w:rsid w:val="00483CFC"/>
    <w:rsid w:val="00486065"/>
    <w:rsid w:val="00486776"/>
    <w:rsid w:val="004868BB"/>
    <w:rsid w:val="00491675"/>
    <w:rsid w:val="00493855"/>
    <w:rsid w:val="00497558"/>
    <w:rsid w:val="00497CF9"/>
    <w:rsid w:val="004A27CB"/>
    <w:rsid w:val="004A3F78"/>
    <w:rsid w:val="004A57DD"/>
    <w:rsid w:val="004A7B51"/>
    <w:rsid w:val="004A7D71"/>
    <w:rsid w:val="004A7EF3"/>
    <w:rsid w:val="004B0EBE"/>
    <w:rsid w:val="004B10C5"/>
    <w:rsid w:val="004B11FD"/>
    <w:rsid w:val="004B13C7"/>
    <w:rsid w:val="004B23A2"/>
    <w:rsid w:val="004B25E4"/>
    <w:rsid w:val="004B428D"/>
    <w:rsid w:val="004B607C"/>
    <w:rsid w:val="004B7AD6"/>
    <w:rsid w:val="004B7F84"/>
    <w:rsid w:val="004C1DA6"/>
    <w:rsid w:val="004C1FCA"/>
    <w:rsid w:val="004C5E4F"/>
    <w:rsid w:val="004C7030"/>
    <w:rsid w:val="004D1A5A"/>
    <w:rsid w:val="004D2FFF"/>
    <w:rsid w:val="004D3721"/>
    <w:rsid w:val="004D44F9"/>
    <w:rsid w:val="004D64F9"/>
    <w:rsid w:val="004D687E"/>
    <w:rsid w:val="004E0417"/>
    <w:rsid w:val="004E1D03"/>
    <w:rsid w:val="004E3528"/>
    <w:rsid w:val="004E4224"/>
    <w:rsid w:val="004E5A14"/>
    <w:rsid w:val="004E622C"/>
    <w:rsid w:val="004E64DB"/>
    <w:rsid w:val="004F1534"/>
    <w:rsid w:val="004F2DD1"/>
    <w:rsid w:val="004F301B"/>
    <w:rsid w:val="004F3375"/>
    <w:rsid w:val="004F5135"/>
    <w:rsid w:val="004F55F1"/>
    <w:rsid w:val="004F5FDF"/>
    <w:rsid w:val="0050085E"/>
    <w:rsid w:val="0050091B"/>
    <w:rsid w:val="00500D05"/>
    <w:rsid w:val="0050156C"/>
    <w:rsid w:val="00504AFA"/>
    <w:rsid w:val="005059A4"/>
    <w:rsid w:val="0050674E"/>
    <w:rsid w:val="00515756"/>
    <w:rsid w:val="00515F63"/>
    <w:rsid w:val="005177FE"/>
    <w:rsid w:val="0052263B"/>
    <w:rsid w:val="00523C51"/>
    <w:rsid w:val="00524728"/>
    <w:rsid w:val="00524840"/>
    <w:rsid w:val="00525459"/>
    <w:rsid w:val="00525C99"/>
    <w:rsid w:val="0052732A"/>
    <w:rsid w:val="00527527"/>
    <w:rsid w:val="00530010"/>
    <w:rsid w:val="00530554"/>
    <w:rsid w:val="00530CA0"/>
    <w:rsid w:val="00531B45"/>
    <w:rsid w:val="00532283"/>
    <w:rsid w:val="005323A7"/>
    <w:rsid w:val="005331CA"/>
    <w:rsid w:val="005337E0"/>
    <w:rsid w:val="0053427F"/>
    <w:rsid w:val="0053523A"/>
    <w:rsid w:val="005374C1"/>
    <w:rsid w:val="00537970"/>
    <w:rsid w:val="00540E3A"/>
    <w:rsid w:val="00542E08"/>
    <w:rsid w:val="005433D7"/>
    <w:rsid w:val="00543941"/>
    <w:rsid w:val="00544127"/>
    <w:rsid w:val="005508BB"/>
    <w:rsid w:val="00553EB2"/>
    <w:rsid w:val="00555C4D"/>
    <w:rsid w:val="00560534"/>
    <w:rsid w:val="005628F4"/>
    <w:rsid w:val="0056391B"/>
    <w:rsid w:val="00563A99"/>
    <w:rsid w:val="00564C27"/>
    <w:rsid w:val="005650E2"/>
    <w:rsid w:val="00566D80"/>
    <w:rsid w:val="00567AD7"/>
    <w:rsid w:val="005716C3"/>
    <w:rsid w:val="00573594"/>
    <w:rsid w:val="00573DB3"/>
    <w:rsid w:val="00575B2D"/>
    <w:rsid w:val="005800D0"/>
    <w:rsid w:val="005833D0"/>
    <w:rsid w:val="005846F3"/>
    <w:rsid w:val="005859D2"/>
    <w:rsid w:val="0058622F"/>
    <w:rsid w:val="00586441"/>
    <w:rsid w:val="005865D6"/>
    <w:rsid w:val="00586968"/>
    <w:rsid w:val="005873A2"/>
    <w:rsid w:val="00590725"/>
    <w:rsid w:val="00590880"/>
    <w:rsid w:val="00590FE6"/>
    <w:rsid w:val="00591631"/>
    <w:rsid w:val="00592E7F"/>
    <w:rsid w:val="00592F82"/>
    <w:rsid w:val="005936B3"/>
    <w:rsid w:val="005953ED"/>
    <w:rsid w:val="00595B58"/>
    <w:rsid w:val="005966E3"/>
    <w:rsid w:val="005A0CCA"/>
    <w:rsid w:val="005A2152"/>
    <w:rsid w:val="005A2194"/>
    <w:rsid w:val="005A2628"/>
    <w:rsid w:val="005A2CF7"/>
    <w:rsid w:val="005A383D"/>
    <w:rsid w:val="005A43F4"/>
    <w:rsid w:val="005A54FF"/>
    <w:rsid w:val="005A5ACB"/>
    <w:rsid w:val="005A726D"/>
    <w:rsid w:val="005A7FB7"/>
    <w:rsid w:val="005B0BB2"/>
    <w:rsid w:val="005B2AA0"/>
    <w:rsid w:val="005B301A"/>
    <w:rsid w:val="005B503A"/>
    <w:rsid w:val="005B67AC"/>
    <w:rsid w:val="005C01B0"/>
    <w:rsid w:val="005C2790"/>
    <w:rsid w:val="005C36E9"/>
    <w:rsid w:val="005C3B3A"/>
    <w:rsid w:val="005C41CF"/>
    <w:rsid w:val="005C4FF2"/>
    <w:rsid w:val="005C6778"/>
    <w:rsid w:val="005C6B73"/>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6FD"/>
    <w:rsid w:val="005F6059"/>
    <w:rsid w:val="0060397D"/>
    <w:rsid w:val="00604723"/>
    <w:rsid w:val="00605844"/>
    <w:rsid w:val="00610388"/>
    <w:rsid w:val="00612092"/>
    <w:rsid w:val="00612CA5"/>
    <w:rsid w:val="00614858"/>
    <w:rsid w:val="006153EC"/>
    <w:rsid w:val="00620ACA"/>
    <w:rsid w:val="00621A17"/>
    <w:rsid w:val="0062260C"/>
    <w:rsid w:val="006267C6"/>
    <w:rsid w:val="00627CC9"/>
    <w:rsid w:val="00627E7B"/>
    <w:rsid w:val="0063050E"/>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27E7"/>
    <w:rsid w:val="006643E7"/>
    <w:rsid w:val="006661EF"/>
    <w:rsid w:val="006736C1"/>
    <w:rsid w:val="006746CB"/>
    <w:rsid w:val="00677017"/>
    <w:rsid w:val="00677AEB"/>
    <w:rsid w:val="00680EF2"/>
    <w:rsid w:val="00682A3E"/>
    <w:rsid w:val="006850AE"/>
    <w:rsid w:val="00686C53"/>
    <w:rsid w:val="00687A1D"/>
    <w:rsid w:val="00690541"/>
    <w:rsid w:val="00692852"/>
    <w:rsid w:val="00694D0B"/>
    <w:rsid w:val="00697EA1"/>
    <w:rsid w:val="006A051A"/>
    <w:rsid w:val="006A0DA6"/>
    <w:rsid w:val="006A2646"/>
    <w:rsid w:val="006A6530"/>
    <w:rsid w:val="006A695F"/>
    <w:rsid w:val="006A6D1D"/>
    <w:rsid w:val="006B1ABF"/>
    <w:rsid w:val="006B2893"/>
    <w:rsid w:val="006B435A"/>
    <w:rsid w:val="006B4539"/>
    <w:rsid w:val="006B4876"/>
    <w:rsid w:val="006B4C64"/>
    <w:rsid w:val="006B5AE8"/>
    <w:rsid w:val="006C47EF"/>
    <w:rsid w:val="006C4974"/>
    <w:rsid w:val="006C5CE2"/>
    <w:rsid w:val="006D0529"/>
    <w:rsid w:val="006D0605"/>
    <w:rsid w:val="006D088B"/>
    <w:rsid w:val="006D176A"/>
    <w:rsid w:val="006D3FE1"/>
    <w:rsid w:val="006D564C"/>
    <w:rsid w:val="006D6BD5"/>
    <w:rsid w:val="006E1CB0"/>
    <w:rsid w:val="006E254C"/>
    <w:rsid w:val="006E2974"/>
    <w:rsid w:val="006E481A"/>
    <w:rsid w:val="006E5298"/>
    <w:rsid w:val="006E6A1F"/>
    <w:rsid w:val="006E6A6A"/>
    <w:rsid w:val="006E77B0"/>
    <w:rsid w:val="006F52B6"/>
    <w:rsid w:val="006F6B2E"/>
    <w:rsid w:val="006F734A"/>
    <w:rsid w:val="00700D83"/>
    <w:rsid w:val="00701C73"/>
    <w:rsid w:val="00704852"/>
    <w:rsid w:val="00704C24"/>
    <w:rsid w:val="00705A77"/>
    <w:rsid w:val="00706E2A"/>
    <w:rsid w:val="007074E9"/>
    <w:rsid w:val="00707954"/>
    <w:rsid w:val="00707BC5"/>
    <w:rsid w:val="0071253A"/>
    <w:rsid w:val="00713CA6"/>
    <w:rsid w:val="00713DA4"/>
    <w:rsid w:val="007142FA"/>
    <w:rsid w:val="00714BF1"/>
    <w:rsid w:val="00721383"/>
    <w:rsid w:val="007216AD"/>
    <w:rsid w:val="00726E9A"/>
    <w:rsid w:val="007276FD"/>
    <w:rsid w:val="00727864"/>
    <w:rsid w:val="007333CC"/>
    <w:rsid w:val="007335D8"/>
    <w:rsid w:val="0073399A"/>
    <w:rsid w:val="007369C7"/>
    <w:rsid w:val="007377FA"/>
    <w:rsid w:val="00741D74"/>
    <w:rsid w:val="00743531"/>
    <w:rsid w:val="00743B61"/>
    <w:rsid w:val="00744549"/>
    <w:rsid w:val="007452BB"/>
    <w:rsid w:val="007462D9"/>
    <w:rsid w:val="00746A22"/>
    <w:rsid w:val="00751986"/>
    <w:rsid w:val="007530FC"/>
    <w:rsid w:val="0075428A"/>
    <w:rsid w:val="00754362"/>
    <w:rsid w:val="00756ABD"/>
    <w:rsid w:val="007576A3"/>
    <w:rsid w:val="00757C22"/>
    <w:rsid w:val="007603F5"/>
    <w:rsid w:val="00760A70"/>
    <w:rsid w:val="00760BB2"/>
    <w:rsid w:val="0076181C"/>
    <w:rsid w:val="00762610"/>
    <w:rsid w:val="00764DB0"/>
    <w:rsid w:val="007671EB"/>
    <w:rsid w:val="0076764D"/>
    <w:rsid w:val="0076766F"/>
    <w:rsid w:val="00770BC9"/>
    <w:rsid w:val="00770DF5"/>
    <w:rsid w:val="0077498C"/>
    <w:rsid w:val="00775FF9"/>
    <w:rsid w:val="00777070"/>
    <w:rsid w:val="00782B3F"/>
    <w:rsid w:val="00783AEC"/>
    <w:rsid w:val="00783F63"/>
    <w:rsid w:val="00784128"/>
    <w:rsid w:val="00785B77"/>
    <w:rsid w:val="0078662F"/>
    <w:rsid w:val="00790B4C"/>
    <w:rsid w:val="0079206E"/>
    <w:rsid w:val="00793173"/>
    <w:rsid w:val="00794893"/>
    <w:rsid w:val="007958F0"/>
    <w:rsid w:val="00797E1B"/>
    <w:rsid w:val="007A01A2"/>
    <w:rsid w:val="007A12A4"/>
    <w:rsid w:val="007A793A"/>
    <w:rsid w:val="007B0004"/>
    <w:rsid w:val="007B1862"/>
    <w:rsid w:val="007B1E13"/>
    <w:rsid w:val="007B3B1B"/>
    <w:rsid w:val="007B5180"/>
    <w:rsid w:val="007B5F0B"/>
    <w:rsid w:val="007C0111"/>
    <w:rsid w:val="007C0260"/>
    <w:rsid w:val="007C0663"/>
    <w:rsid w:val="007C1FCC"/>
    <w:rsid w:val="007C2831"/>
    <w:rsid w:val="007C2AA1"/>
    <w:rsid w:val="007C2BE7"/>
    <w:rsid w:val="007C2EAC"/>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46CA"/>
    <w:rsid w:val="007E530F"/>
    <w:rsid w:val="007E6BA4"/>
    <w:rsid w:val="007E6D07"/>
    <w:rsid w:val="007F01E5"/>
    <w:rsid w:val="007F19A2"/>
    <w:rsid w:val="007F21A1"/>
    <w:rsid w:val="007F41F8"/>
    <w:rsid w:val="007F5B4C"/>
    <w:rsid w:val="00801B30"/>
    <w:rsid w:val="00803BE9"/>
    <w:rsid w:val="00804000"/>
    <w:rsid w:val="0080454E"/>
    <w:rsid w:val="00804C32"/>
    <w:rsid w:val="0080526F"/>
    <w:rsid w:val="00806302"/>
    <w:rsid w:val="00807119"/>
    <w:rsid w:val="008071D5"/>
    <w:rsid w:val="00807FE8"/>
    <w:rsid w:val="00811865"/>
    <w:rsid w:val="00814A55"/>
    <w:rsid w:val="0081547D"/>
    <w:rsid w:val="00821859"/>
    <w:rsid w:val="008220DE"/>
    <w:rsid w:val="0082483F"/>
    <w:rsid w:val="00824AF8"/>
    <w:rsid w:val="0082733A"/>
    <w:rsid w:val="00827849"/>
    <w:rsid w:val="008279C0"/>
    <w:rsid w:val="00841AF7"/>
    <w:rsid w:val="00841E70"/>
    <w:rsid w:val="00845226"/>
    <w:rsid w:val="008473AA"/>
    <w:rsid w:val="00852883"/>
    <w:rsid w:val="00852F37"/>
    <w:rsid w:val="00855EF3"/>
    <w:rsid w:val="008571F6"/>
    <w:rsid w:val="00857A02"/>
    <w:rsid w:val="00861E51"/>
    <w:rsid w:val="00870B96"/>
    <w:rsid w:val="00872374"/>
    <w:rsid w:val="008723F3"/>
    <w:rsid w:val="00873246"/>
    <w:rsid w:val="00875E2E"/>
    <w:rsid w:val="00880F99"/>
    <w:rsid w:val="008815DD"/>
    <w:rsid w:val="0088182D"/>
    <w:rsid w:val="00881DA8"/>
    <w:rsid w:val="00881DE6"/>
    <w:rsid w:val="00882345"/>
    <w:rsid w:val="008837A6"/>
    <w:rsid w:val="00883FB5"/>
    <w:rsid w:val="008841E5"/>
    <w:rsid w:val="00884D7C"/>
    <w:rsid w:val="00886461"/>
    <w:rsid w:val="0089145D"/>
    <w:rsid w:val="00894161"/>
    <w:rsid w:val="00896FD7"/>
    <w:rsid w:val="00897428"/>
    <w:rsid w:val="008A15DA"/>
    <w:rsid w:val="008A28FC"/>
    <w:rsid w:val="008A30C3"/>
    <w:rsid w:val="008A30EE"/>
    <w:rsid w:val="008A4DF2"/>
    <w:rsid w:val="008A6841"/>
    <w:rsid w:val="008A6B78"/>
    <w:rsid w:val="008A6CFE"/>
    <w:rsid w:val="008B40E7"/>
    <w:rsid w:val="008B4681"/>
    <w:rsid w:val="008B4B58"/>
    <w:rsid w:val="008B5333"/>
    <w:rsid w:val="008B5476"/>
    <w:rsid w:val="008B60D9"/>
    <w:rsid w:val="008B6223"/>
    <w:rsid w:val="008B7CC9"/>
    <w:rsid w:val="008C0772"/>
    <w:rsid w:val="008C165D"/>
    <w:rsid w:val="008C4066"/>
    <w:rsid w:val="008C66E0"/>
    <w:rsid w:val="008D0122"/>
    <w:rsid w:val="008D3E17"/>
    <w:rsid w:val="008D5D34"/>
    <w:rsid w:val="008D7718"/>
    <w:rsid w:val="008E0F09"/>
    <w:rsid w:val="008E220E"/>
    <w:rsid w:val="008E3047"/>
    <w:rsid w:val="008E3339"/>
    <w:rsid w:val="008E3A77"/>
    <w:rsid w:val="008E3ADC"/>
    <w:rsid w:val="008E64D3"/>
    <w:rsid w:val="008E6F11"/>
    <w:rsid w:val="008E7FE9"/>
    <w:rsid w:val="008F20FC"/>
    <w:rsid w:val="008F3248"/>
    <w:rsid w:val="008F50C4"/>
    <w:rsid w:val="008F5FFE"/>
    <w:rsid w:val="0090037B"/>
    <w:rsid w:val="009027A9"/>
    <w:rsid w:val="00905A43"/>
    <w:rsid w:val="009064FE"/>
    <w:rsid w:val="009078CE"/>
    <w:rsid w:val="009078FC"/>
    <w:rsid w:val="009108EF"/>
    <w:rsid w:val="00911C23"/>
    <w:rsid w:val="00912C79"/>
    <w:rsid w:val="00913FB9"/>
    <w:rsid w:val="00915010"/>
    <w:rsid w:val="0091528C"/>
    <w:rsid w:val="009152EE"/>
    <w:rsid w:val="009173D1"/>
    <w:rsid w:val="0092350E"/>
    <w:rsid w:val="00923CCC"/>
    <w:rsid w:val="00926D10"/>
    <w:rsid w:val="009275FE"/>
    <w:rsid w:val="0093434E"/>
    <w:rsid w:val="009355DB"/>
    <w:rsid w:val="00937A83"/>
    <w:rsid w:val="00940C1F"/>
    <w:rsid w:val="00942123"/>
    <w:rsid w:val="0094263A"/>
    <w:rsid w:val="00943E90"/>
    <w:rsid w:val="009466B4"/>
    <w:rsid w:val="00946EE0"/>
    <w:rsid w:val="0095029B"/>
    <w:rsid w:val="0095207B"/>
    <w:rsid w:val="009521C5"/>
    <w:rsid w:val="0095223A"/>
    <w:rsid w:val="009533CB"/>
    <w:rsid w:val="00953A04"/>
    <w:rsid w:val="00953B5C"/>
    <w:rsid w:val="0095526F"/>
    <w:rsid w:val="00955CE0"/>
    <w:rsid w:val="00957081"/>
    <w:rsid w:val="009609CA"/>
    <w:rsid w:val="00961BC2"/>
    <w:rsid w:val="00962045"/>
    <w:rsid w:val="00966E44"/>
    <w:rsid w:val="00966EAB"/>
    <w:rsid w:val="00966EAE"/>
    <w:rsid w:val="009703BD"/>
    <w:rsid w:val="009708BB"/>
    <w:rsid w:val="009727DF"/>
    <w:rsid w:val="009729E8"/>
    <w:rsid w:val="00975009"/>
    <w:rsid w:val="00975640"/>
    <w:rsid w:val="00975B29"/>
    <w:rsid w:val="00976DA5"/>
    <w:rsid w:val="009773BA"/>
    <w:rsid w:val="00980DF0"/>
    <w:rsid w:val="00981608"/>
    <w:rsid w:val="00982AA6"/>
    <w:rsid w:val="00984680"/>
    <w:rsid w:val="00986A56"/>
    <w:rsid w:val="00987C3C"/>
    <w:rsid w:val="00990F04"/>
    <w:rsid w:val="00991272"/>
    <w:rsid w:val="00991428"/>
    <w:rsid w:val="00992676"/>
    <w:rsid w:val="00993741"/>
    <w:rsid w:val="00997A85"/>
    <w:rsid w:val="009A0501"/>
    <w:rsid w:val="009A2BCA"/>
    <w:rsid w:val="009A4050"/>
    <w:rsid w:val="009A5120"/>
    <w:rsid w:val="009A5354"/>
    <w:rsid w:val="009A6A10"/>
    <w:rsid w:val="009A7172"/>
    <w:rsid w:val="009B0723"/>
    <w:rsid w:val="009B07AD"/>
    <w:rsid w:val="009B0883"/>
    <w:rsid w:val="009B15E2"/>
    <w:rsid w:val="009B57D6"/>
    <w:rsid w:val="009B5B5D"/>
    <w:rsid w:val="009B652C"/>
    <w:rsid w:val="009C0B8E"/>
    <w:rsid w:val="009C0D5B"/>
    <w:rsid w:val="009C1527"/>
    <w:rsid w:val="009C1BC8"/>
    <w:rsid w:val="009C2442"/>
    <w:rsid w:val="009C2628"/>
    <w:rsid w:val="009C26AB"/>
    <w:rsid w:val="009C27B1"/>
    <w:rsid w:val="009C293D"/>
    <w:rsid w:val="009C687D"/>
    <w:rsid w:val="009C7F17"/>
    <w:rsid w:val="009D0811"/>
    <w:rsid w:val="009D0E12"/>
    <w:rsid w:val="009D0EE1"/>
    <w:rsid w:val="009D1576"/>
    <w:rsid w:val="009D382E"/>
    <w:rsid w:val="009D3A06"/>
    <w:rsid w:val="009D43D0"/>
    <w:rsid w:val="009D510C"/>
    <w:rsid w:val="009D5CDB"/>
    <w:rsid w:val="009D6709"/>
    <w:rsid w:val="009E10EA"/>
    <w:rsid w:val="009E13C1"/>
    <w:rsid w:val="009E2A9C"/>
    <w:rsid w:val="009E2AEB"/>
    <w:rsid w:val="009E2E27"/>
    <w:rsid w:val="009E44C0"/>
    <w:rsid w:val="009E4DE3"/>
    <w:rsid w:val="009E50C1"/>
    <w:rsid w:val="009E7039"/>
    <w:rsid w:val="009F0C29"/>
    <w:rsid w:val="009F1D63"/>
    <w:rsid w:val="009F2472"/>
    <w:rsid w:val="009F763D"/>
    <w:rsid w:val="00A02198"/>
    <w:rsid w:val="00A047EE"/>
    <w:rsid w:val="00A057CA"/>
    <w:rsid w:val="00A13F8F"/>
    <w:rsid w:val="00A149B7"/>
    <w:rsid w:val="00A177BC"/>
    <w:rsid w:val="00A17930"/>
    <w:rsid w:val="00A2263D"/>
    <w:rsid w:val="00A2274A"/>
    <w:rsid w:val="00A235B7"/>
    <w:rsid w:val="00A249AC"/>
    <w:rsid w:val="00A27A7A"/>
    <w:rsid w:val="00A301D1"/>
    <w:rsid w:val="00A31881"/>
    <w:rsid w:val="00A32591"/>
    <w:rsid w:val="00A40529"/>
    <w:rsid w:val="00A407EF"/>
    <w:rsid w:val="00A411B7"/>
    <w:rsid w:val="00A44E9E"/>
    <w:rsid w:val="00A45800"/>
    <w:rsid w:val="00A46B4C"/>
    <w:rsid w:val="00A5117B"/>
    <w:rsid w:val="00A560B6"/>
    <w:rsid w:val="00A566E3"/>
    <w:rsid w:val="00A56CF7"/>
    <w:rsid w:val="00A56DBC"/>
    <w:rsid w:val="00A60074"/>
    <w:rsid w:val="00A646E2"/>
    <w:rsid w:val="00A64C8D"/>
    <w:rsid w:val="00A651A9"/>
    <w:rsid w:val="00A6627C"/>
    <w:rsid w:val="00A70EB2"/>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A7076"/>
    <w:rsid w:val="00AA7440"/>
    <w:rsid w:val="00AA7CF8"/>
    <w:rsid w:val="00AB1B60"/>
    <w:rsid w:val="00AB2401"/>
    <w:rsid w:val="00AB5A37"/>
    <w:rsid w:val="00AB61D6"/>
    <w:rsid w:val="00AB63DE"/>
    <w:rsid w:val="00AB685C"/>
    <w:rsid w:val="00AB6C2D"/>
    <w:rsid w:val="00AB70A0"/>
    <w:rsid w:val="00AB7BDC"/>
    <w:rsid w:val="00AB7FE8"/>
    <w:rsid w:val="00AC08F7"/>
    <w:rsid w:val="00AC0CC8"/>
    <w:rsid w:val="00AC126D"/>
    <w:rsid w:val="00AC3075"/>
    <w:rsid w:val="00AC36E5"/>
    <w:rsid w:val="00AC3839"/>
    <w:rsid w:val="00AC6619"/>
    <w:rsid w:val="00AC7082"/>
    <w:rsid w:val="00AD0662"/>
    <w:rsid w:val="00AD1B6B"/>
    <w:rsid w:val="00AD331C"/>
    <w:rsid w:val="00AD57A5"/>
    <w:rsid w:val="00AD65A8"/>
    <w:rsid w:val="00AD74AD"/>
    <w:rsid w:val="00AD7A9A"/>
    <w:rsid w:val="00AE027F"/>
    <w:rsid w:val="00AE4D18"/>
    <w:rsid w:val="00AE4D6F"/>
    <w:rsid w:val="00AF00D0"/>
    <w:rsid w:val="00AF228E"/>
    <w:rsid w:val="00AF455B"/>
    <w:rsid w:val="00AF5899"/>
    <w:rsid w:val="00B0123F"/>
    <w:rsid w:val="00B03881"/>
    <w:rsid w:val="00B04004"/>
    <w:rsid w:val="00B05E2B"/>
    <w:rsid w:val="00B12F13"/>
    <w:rsid w:val="00B14819"/>
    <w:rsid w:val="00B17AA9"/>
    <w:rsid w:val="00B221FF"/>
    <w:rsid w:val="00B2292D"/>
    <w:rsid w:val="00B26B31"/>
    <w:rsid w:val="00B27355"/>
    <w:rsid w:val="00B30A70"/>
    <w:rsid w:val="00B31800"/>
    <w:rsid w:val="00B32674"/>
    <w:rsid w:val="00B333FE"/>
    <w:rsid w:val="00B3503B"/>
    <w:rsid w:val="00B378FA"/>
    <w:rsid w:val="00B42352"/>
    <w:rsid w:val="00B51227"/>
    <w:rsid w:val="00B51975"/>
    <w:rsid w:val="00B52E4D"/>
    <w:rsid w:val="00B54F90"/>
    <w:rsid w:val="00B55C9E"/>
    <w:rsid w:val="00B56B95"/>
    <w:rsid w:val="00B607DF"/>
    <w:rsid w:val="00B60D2B"/>
    <w:rsid w:val="00B6409C"/>
    <w:rsid w:val="00B64845"/>
    <w:rsid w:val="00B64A85"/>
    <w:rsid w:val="00B66053"/>
    <w:rsid w:val="00B67DB1"/>
    <w:rsid w:val="00B7193E"/>
    <w:rsid w:val="00B7274E"/>
    <w:rsid w:val="00B72999"/>
    <w:rsid w:val="00B72FD7"/>
    <w:rsid w:val="00B736DF"/>
    <w:rsid w:val="00B74FBD"/>
    <w:rsid w:val="00B75E2E"/>
    <w:rsid w:val="00B82586"/>
    <w:rsid w:val="00B829A3"/>
    <w:rsid w:val="00B84CE9"/>
    <w:rsid w:val="00B86537"/>
    <w:rsid w:val="00B86DB1"/>
    <w:rsid w:val="00B87869"/>
    <w:rsid w:val="00B87A61"/>
    <w:rsid w:val="00B92D5B"/>
    <w:rsid w:val="00B9417E"/>
    <w:rsid w:val="00B948AE"/>
    <w:rsid w:val="00B97904"/>
    <w:rsid w:val="00BA1648"/>
    <w:rsid w:val="00BA2637"/>
    <w:rsid w:val="00BA2919"/>
    <w:rsid w:val="00BA35FF"/>
    <w:rsid w:val="00BA3A9A"/>
    <w:rsid w:val="00BA5F28"/>
    <w:rsid w:val="00BB09FD"/>
    <w:rsid w:val="00BB0F2B"/>
    <w:rsid w:val="00BB3994"/>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E43D0"/>
    <w:rsid w:val="00BF2B49"/>
    <w:rsid w:val="00BF2E7A"/>
    <w:rsid w:val="00BF3D02"/>
    <w:rsid w:val="00BF40B9"/>
    <w:rsid w:val="00BF50F7"/>
    <w:rsid w:val="00BF5D90"/>
    <w:rsid w:val="00C00231"/>
    <w:rsid w:val="00C01017"/>
    <w:rsid w:val="00C02F29"/>
    <w:rsid w:val="00C032CE"/>
    <w:rsid w:val="00C04632"/>
    <w:rsid w:val="00C07716"/>
    <w:rsid w:val="00C07B0B"/>
    <w:rsid w:val="00C11F82"/>
    <w:rsid w:val="00C15108"/>
    <w:rsid w:val="00C15A16"/>
    <w:rsid w:val="00C1724E"/>
    <w:rsid w:val="00C20337"/>
    <w:rsid w:val="00C20AFE"/>
    <w:rsid w:val="00C21B27"/>
    <w:rsid w:val="00C22A25"/>
    <w:rsid w:val="00C26BDA"/>
    <w:rsid w:val="00C26E4B"/>
    <w:rsid w:val="00C31102"/>
    <w:rsid w:val="00C31C63"/>
    <w:rsid w:val="00C33C84"/>
    <w:rsid w:val="00C3453F"/>
    <w:rsid w:val="00C34A50"/>
    <w:rsid w:val="00C35026"/>
    <w:rsid w:val="00C35671"/>
    <w:rsid w:val="00C35B66"/>
    <w:rsid w:val="00C35B77"/>
    <w:rsid w:val="00C376EB"/>
    <w:rsid w:val="00C4187E"/>
    <w:rsid w:val="00C444EC"/>
    <w:rsid w:val="00C45A03"/>
    <w:rsid w:val="00C46EC1"/>
    <w:rsid w:val="00C50F86"/>
    <w:rsid w:val="00C53210"/>
    <w:rsid w:val="00C53E2C"/>
    <w:rsid w:val="00C550C8"/>
    <w:rsid w:val="00C56136"/>
    <w:rsid w:val="00C56B61"/>
    <w:rsid w:val="00C56D56"/>
    <w:rsid w:val="00C570AC"/>
    <w:rsid w:val="00C5730D"/>
    <w:rsid w:val="00C60631"/>
    <w:rsid w:val="00C606C3"/>
    <w:rsid w:val="00C620F4"/>
    <w:rsid w:val="00C629CB"/>
    <w:rsid w:val="00C712D3"/>
    <w:rsid w:val="00C71F4F"/>
    <w:rsid w:val="00C72848"/>
    <w:rsid w:val="00C750BA"/>
    <w:rsid w:val="00C7736C"/>
    <w:rsid w:val="00C80272"/>
    <w:rsid w:val="00C82D87"/>
    <w:rsid w:val="00C8712A"/>
    <w:rsid w:val="00C929F5"/>
    <w:rsid w:val="00C92A0D"/>
    <w:rsid w:val="00C93C2F"/>
    <w:rsid w:val="00C952A2"/>
    <w:rsid w:val="00C963D3"/>
    <w:rsid w:val="00CA1802"/>
    <w:rsid w:val="00CB262C"/>
    <w:rsid w:val="00CB2CBB"/>
    <w:rsid w:val="00CB7283"/>
    <w:rsid w:val="00CB7CAC"/>
    <w:rsid w:val="00CC00CC"/>
    <w:rsid w:val="00CC133D"/>
    <w:rsid w:val="00CC429E"/>
    <w:rsid w:val="00CC467D"/>
    <w:rsid w:val="00CC5051"/>
    <w:rsid w:val="00CC5335"/>
    <w:rsid w:val="00CC579C"/>
    <w:rsid w:val="00CC5BA4"/>
    <w:rsid w:val="00CC5ECB"/>
    <w:rsid w:val="00CC7728"/>
    <w:rsid w:val="00CD0E2B"/>
    <w:rsid w:val="00CD0FFE"/>
    <w:rsid w:val="00CD34DB"/>
    <w:rsid w:val="00CD377A"/>
    <w:rsid w:val="00CD4998"/>
    <w:rsid w:val="00CD499F"/>
    <w:rsid w:val="00CD5325"/>
    <w:rsid w:val="00CD7DBC"/>
    <w:rsid w:val="00CE045F"/>
    <w:rsid w:val="00CE0D40"/>
    <w:rsid w:val="00CE1035"/>
    <w:rsid w:val="00CE62CA"/>
    <w:rsid w:val="00CE7C03"/>
    <w:rsid w:val="00CF01D6"/>
    <w:rsid w:val="00CF2819"/>
    <w:rsid w:val="00CF4F9D"/>
    <w:rsid w:val="00CF513C"/>
    <w:rsid w:val="00CF5AD8"/>
    <w:rsid w:val="00CF70DC"/>
    <w:rsid w:val="00CF717B"/>
    <w:rsid w:val="00D004CD"/>
    <w:rsid w:val="00D068C5"/>
    <w:rsid w:val="00D07F87"/>
    <w:rsid w:val="00D148DC"/>
    <w:rsid w:val="00D1688E"/>
    <w:rsid w:val="00D17FDC"/>
    <w:rsid w:val="00D2110D"/>
    <w:rsid w:val="00D223E4"/>
    <w:rsid w:val="00D2550E"/>
    <w:rsid w:val="00D256C6"/>
    <w:rsid w:val="00D25F51"/>
    <w:rsid w:val="00D35229"/>
    <w:rsid w:val="00D35ADE"/>
    <w:rsid w:val="00D35EAE"/>
    <w:rsid w:val="00D438D0"/>
    <w:rsid w:val="00D4685B"/>
    <w:rsid w:val="00D569FD"/>
    <w:rsid w:val="00D56A4B"/>
    <w:rsid w:val="00D57C59"/>
    <w:rsid w:val="00D60215"/>
    <w:rsid w:val="00D60874"/>
    <w:rsid w:val="00D63EFD"/>
    <w:rsid w:val="00D6588F"/>
    <w:rsid w:val="00D676F1"/>
    <w:rsid w:val="00D714E4"/>
    <w:rsid w:val="00D829EB"/>
    <w:rsid w:val="00D84752"/>
    <w:rsid w:val="00D84E1B"/>
    <w:rsid w:val="00D86A74"/>
    <w:rsid w:val="00D86B3B"/>
    <w:rsid w:val="00D8748A"/>
    <w:rsid w:val="00D878CC"/>
    <w:rsid w:val="00D905E4"/>
    <w:rsid w:val="00D910D5"/>
    <w:rsid w:val="00D93196"/>
    <w:rsid w:val="00D931A2"/>
    <w:rsid w:val="00D944AE"/>
    <w:rsid w:val="00D96B1F"/>
    <w:rsid w:val="00D974D2"/>
    <w:rsid w:val="00DA42EF"/>
    <w:rsid w:val="00DB1A35"/>
    <w:rsid w:val="00DB243C"/>
    <w:rsid w:val="00DB482A"/>
    <w:rsid w:val="00DB56F2"/>
    <w:rsid w:val="00DB5D9B"/>
    <w:rsid w:val="00DB6EF5"/>
    <w:rsid w:val="00DC293A"/>
    <w:rsid w:val="00DC2A3F"/>
    <w:rsid w:val="00DC2BEC"/>
    <w:rsid w:val="00DC2FDB"/>
    <w:rsid w:val="00DC3089"/>
    <w:rsid w:val="00DC4420"/>
    <w:rsid w:val="00DC468D"/>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10F"/>
    <w:rsid w:val="00DF4D51"/>
    <w:rsid w:val="00DF4F80"/>
    <w:rsid w:val="00DF687B"/>
    <w:rsid w:val="00DF75F8"/>
    <w:rsid w:val="00DF7A3A"/>
    <w:rsid w:val="00DF7AD4"/>
    <w:rsid w:val="00E00642"/>
    <w:rsid w:val="00E009E1"/>
    <w:rsid w:val="00E00C00"/>
    <w:rsid w:val="00E00E54"/>
    <w:rsid w:val="00E01C69"/>
    <w:rsid w:val="00E041F9"/>
    <w:rsid w:val="00E05837"/>
    <w:rsid w:val="00E07C5A"/>
    <w:rsid w:val="00E10A73"/>
    <w:rsid w:val="00E12C13"/>
    <w:rsid w:val="00E140D6"/>
    <w:rsid w:val="00E14C7F"/>
    <w:rsid w:val="00E15BA9"/>
    <w:rsid w:val="00E161D2"/>
    <w:rsid w:val="00E177E2"/>
    <w:rsid w:val="00E17BF1"/>
    <w:rsid w:val="00E22DE4"/>
    <w:rsid w:val="00E26E19"/>
    <w:rsid w:val="00E30A8F"/>
    <w:rsid w:val="00E31DF3"/>
    <w:rsid w:val="00E35B20"/>
    <w:rsid w:val="00E36BAC"/>
    <w:rsid w:val="00E37049"/>
    <w:rsid w:val="00E4126D"/>
    <w:rsid w:val="00E450A4"/>
    <w:rsid w:val="00E506BE"/>
    <w:rsid w:val="00E518B6"/>
    <w:rsid w:val="00E525B9"/>
    <w:rsid w:val="00E53AE9"/>
    <w:rsid w:val="00E54ADD"/>
    <w:rsid w:val="00E55547"/>
    <w:rsid w:val="00E55E9B"/>
    <w:rsid w:val="00E570AD"/>
    <w:rsid w:val="00E6211B"/>
    <w:rsid w:val="00E6302B"/>
    <w:rsid w:val="00E6452F"/>
    <w:rsid w:val="00E64F45"/>
    <w:rsid w:val="00E6525B"/>
    <w:rsid w:val="00E6742D"/>
    <w:rsid w:val="00E70576"/>
    <w:rsid w:val="00E71CB0"/>
    <w:rsid w:val="00E7537E"/>
    <w:rsid w:val="00E7793C"/>
    <w:rsid w:val="00E77C3D"/>
    <w:rsid w:val="00E80299"/>
    <w:rsid w:val="00E8110D"/>
    <w:rsid w:val="00E8272F"/>
    <w:rsid w:val="00E83074"/>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29EA"/>
    <w:rsid w:val="00EB45AC"/>
    <w:rsid w:val="00EB488B"/>
    <w:rsid w:val="00EB5317"/>
    <w:rsid w:val="00EB6668"/>
    <w:rsid w:val="00EB6A2F"/>
    <w:rsid w:val="00EC02F9"/>
    <w:rsid w:val="00EC3875"/>
    <w:rsid w:val="00EC38F3"/>
    <w:rsid w:val="00EC549E"/>
    <w:rsid w:val="00EC6E55"/>
    <w:rsid w:val="00ED0BC4"/>
    <w:rsid w:val="00ED151E"/>
    <w:rsid w:val="00ED1ACD"/>
    <w:rsid w:val="00ED3CDA"/>
    <w:rsid w:val="00ED617A"/>
    <w:rsid w:val="00ED66B6"/>
    <w:rsid w:val="00EE12DD"/>
    <w:rsid w:val="00EE1A0E"/>
    <w:rsid w:val="00EE4971"/>
    <w:rsid w:val="00EE5A48"/>
    <w:rsid w:val="00EE5F7D"/>
    <w:rsid w:val="00EE6390"/>
    <w:rsid w:val="00EE7278"/>
    <w:rsid w:val="00EF090E"/>
    <w:rsid w:val="00EF16B6"/>
    <w:rsid w:val="00EF1B1A"/>
    <w:rsid w:val="00EF2D08"/>
    <w:rsid w:val="00EF54D7"/>
    <w:rsid w:val="00EF5705"/>
    <w:rsid w:val="00EF6653"/>
    <w:rsid w:val="00F025E7"/>
    <w:rsid w:val="00F033DA"/>
    <w:rsid w:val="00F0424E"/>
    <w:rsid w:val="00F059AA"/>
    <w:rsid w:val="00F05E63"/>
    <w:rsid w:val="00F106CE"/>
    <w:rsid w:val="00F1096A"/>
    <w:rsid w:val="00F12AA4"/>
    <w:rsid w:val="00F12F7B"/>
    <w:rsid w:val="00F13FB1"/>
    <w:rsid w:val="00F15181"/>
    <w:rsid w:val="00F1640B"/>
    <w:rsid w:val="00F2025D"/>
    <w:rsid w:val="00F20842"/>
    <w:rsid w:val="00F25611"/>
    <w:rsid w:val="00F27CD8"/>
    <w:rsid w:val="00F30351"/>
    <w:rsid w:val="00F3144D"/>
    <w:rsid w:val="00F3323E"/>
    <w:rsid w:val="00F341F4"/>
    <w:rsid w:val="00F34F9D"/>
    <w:rsid w:val="00F34FAD"/>
    <w:rsid w:val="00F3554C"/>
    <w:rsid w:val="00F35CCE"/>
    <w:rsid w:val="00F35D73"/>
    <w:rsid w:val="00F366E1"/>
    <w:rsid w:val="00F42B4B"/>
    <w:rsid w:val="00F4376C"/>
    <w:rsid w:val="00F445D0"/>
    <w:rsid w:val="00F44986"/>
    <w:rsid w:val="00F44D8C"/>
    <w:rsid w:val="00F45599"/>
    <w:rsid w:val="00F50D48"/>
    <w:rsid w:val="00F5239B"/>
    <w:rsid w:val="00F52552"/>
    <w:rsid w:val="00F52E31"/>
    <w:rsid w:val="00F54776"/>
    <w:rsid w:val="00F5524B"/>
    <w:rsid w:val="00F5710B"/>
    <w:rsid w:val="00F61DD2"/>
    <w:rsid w:val="00F62000"/>
    <w:rsid w:val="00F62BB3"/>
    <w:rsid w:val="00F63720"/>
    <w:rsid w:val="00F65FB6"/>
    <w:rsid w:val="00F66AFF"/>
    <w:rsid w:val="00F71433"/>
    <w:rsid w:val="00F71658"/>
    <w:rsid w:val="00F71CE8"/>
    <w:rsid w:val="00F738B0"/>
    <w:rsid w:val="00F801C5"/>
    <w:rsid w:val="00F8122B"/>
    <w:rsid w:val="00F83231"/>
    <w:rsid w:val="00F84768"/>
    <w:rsid w:val="00F85A51"/>
    <w:rsid w:val="00F85DB2"/>
    <w:rsid w:val="00F90DA6"/>
    <w:rsid w:val="00F91FA7"/>
    <w:rsid w:val="00F9502C"/>
    <w:rsid w:val="00F95955"/>
    <w:rsid w:val="00F96AF1"/>
    <w:rsid w:val="00F97C5B"/>
    <w:rsid w:val="00FA29FD"/>
    <w:rsid w:val="00FA2A46"/>
    <w:rsid w:val="00FA3739"/>
    <w:rsid w:val="00FA3D50"/>
    <w:rsid w:val="00FA43E7"/>
    <w:rsid w:val="00FA71E1"/>
    <w:rsid w:val="00FB1E71"/>
    <w:rsid w:val="00FB2C81"/>
    <w:rsid w:val="00FB6703"/>
    <w:rsid w:val="00FB6884"/>
    <w:rsid w:val="00FB7C8F"/>
    <w:rsid w:val="00FB7D52"/>
    <w:rsid w:val="00FC2741"/>
    <w:rsid w:val="00FC30E1"/>
    <w:rsid w:val="00FC337F"/>
    <w:rsid w:val="00FC374A"/>
    <w:rsid w:val="00FC48BB"/>
    <w:rsid w:val="00FC4F43"/>
    <w:rsid w:val="00FC5D26"/>
    <w:rsid w:val="00FC6DF3"/>
    <w:rsid w:val="00FC7B47"/>
    <w:rsid w:val="00FD0169"/>
    <w:rsid w:val="00FD035C"/>
    <w:rsid w:val="00FD1240"/>
    <w:rsid w:val="00FD1A35"/>
    <w:rsid w:val="00FD292A"/>
    <w:rsid w:val="00FD36C5"/>
    <w:rsid w:val="00FD5B6F"/>
    <w:rsid w:val="00FD6126"/>
    <w:rsid w:val="00FD6310"/>
    <w:rsid w:val="00FD70B8"/>
    <w:rsid w:val="00FD719B"/>
    <w:rsid w:val="00FD77E3"/>
    <w:rsid w:val="00FD7C7B"/>
    <w:rsid w:val="00FD7E76"/>
    <w:rsid w:val="00FE1D12"/>
    <w:rsid w:val="00FE2122"/>
    <w:rsid w:val="00FE2A86"/>
    <w:rsid w:val="00FE3583"/>
    <w:rsid w:val="00FE46DC"/>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12</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Kenna</cp:lastModifiedBy>
  <cp:revision>63</cp:revision>
  <cp:lastPrinted>2020-06-12T02:43:00Z</cp:lastPrinted>
  <dcterms:created xsi:type="dcterms:W3CDTF">2022-11-14T16:57:00Z</dcterms:created>
  <dcterms:modified xsi:type="dcterms:W3CDTF">2022-11-15T14:20:00Z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2022-10-11T19:37:45Z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8d473fee-1e89-48c7-9e90-90338ec5387a</vt:lpwstr>
  </property>
  <property fmtid="{D5CDD505-2E9C-101B-9397-08002B2CF9AE}" pid="9" name="MSIP_Label_ea60d57e-af5b-4752-ac57-3e4f28ca11dc_ContentBits">
    <vt:lpwstr>0</vt:lpwstr>
  </property>
</Properties>
</file>