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744E7F" w:rsidRDefault="002D2356" w:rsidP="008071D5">
      <w:pPr>
        <w:pStyle w:val="ListParagraph"/>
        <w:numPr>
          <w:ilvl w:val="0"/>
          <w:numId w:val="15"/>
        </w:numPr>
        <w:ind w:left="425" w:hanging="357"/>
        <w:jc w:val="both"/>
        <w:rPr>
          <w:rFonts w:ascii="Avenir Next" w:hAnsi="Avenir Next" w:cs="Arial"/>
          <w:sz w:val="22"/>
          <w:szCs w:val="22"/>
          <w:highlight w:val="yellow"/>
        </w:rPr>
      </w:pPr>
      <w:r w:rsidRPr="00744E7F">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744E7F">
        <w:rPr>
          <w:rFonts w:ascii="Avenir Next" w:hAnsi="Avenir Next" w:cs="Arial"/>
          <w:sz w:val="22"/>
          <w:szCs w:val="22"/>
          <w:highlight w:val="yellow"/>
          <w:vertAlign w:val="superscript"/>
        </w:rPr>
        <w:t>th</w:t>
      </w:r>
      <w:r w:rsidRPr="00744E7F">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A03663" w:rsidRDefault="002D2356" w:rsidP="008071D5">
      <w:pPr>
        <w:pStyle w:val="ListParagraph"/>
        <w:numPr>
          <w:ilvl w:val="0"/>
          <w:numId w:val="16"/>
        </w:numPr>
        <w:ind w:left="426"/>
        <w:jc w:val="both"/>
        <w:rPr>
          <w:rFonts w:ascii="Avenir Next" w:hAnsi="Avenir Next" w:cs="Arial"/>
          <w:sz w:val="22"/>
          <w:szCs w:val="22"/>
          <w:highlight w:val="yellow"/>
        </w:rPr>
      </w:pPr>
      <w:r w:rsidRPr="00A03663">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2194E30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7C27C9" w:rsidRDefault="002D2356" w:rsidP="008071D5">
      <w:pPr>
        <w:pStyle w:val="ListParagraph"/>
        <w:numPr>
          <w:ilvl w:val="0"/>
          <w:numId w:val="17"/>
        </w:numPr>
        <w:ind w:left="426"/>
        <w:jc w:val="both"/>
        <w:rPr>
          <w:rFonts w:ascii="Avenir Next" w:hAnsi="Avenir Next" w:cs="Arial"/>
          <w:sz w:val="22"/>
          <w:szCs w:val="22"/>
          <w:highlight w:val="yellow"/>
        </w:rPr>
      </w:pPr>
      <w:r w:rsidRPr="007C27C9">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7C27C9" w:rsidRDefault="00466ED6" w:rsidP="008071D5">
      <w:pPr>
        <w:pStyle w:val="ListParagraph"/>
        <w:numPr>
          <w:ilvl w:val="0"/>
          <w:numId w:val="18"/>
        </w:numPr>
        <w:ind w:left="426"/>
        <w:jc w:val="both"/>
        <w:rPr>
          <w:rFonts w:ascii="Avenir Next" w:hAnsi="Avenir Next" w:cs="Arial"/>
          <w:sz w:val="22"/>
          <w:szCs w:val="22"/>
          <w:highlight w:val="yellow"/>
        </w:rPr>
      </w:pPr>
      <w:r w:rsidRPr="007C27C9">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7C27C9" w:rsidRDefault="002D2356" w:rsidP="008071D5">
      <w:pPr>
        <w:pStyle w:val="ListParagraph"/>
        <w:numPr>
          <w:ilvl w:val="0"/>
          <w:numId w:val="19"/>
        </w:numPr>
        <w:ind w:left="425" w:hanging="357"/>
        <w:jc w:val="both"/>
        <w:rPr>
          <w:rFonts w:ascii="Avenir Next" w:hAnsi="Avenir Next" w:cs="Arial"/>
          <w:sz w:val="22"/>
          <w:szCs w:val="22"/>
          <w:highlight w:val="yellow"/>
        </w:rPr>
      </w:pPr>
      <w:r w:rsidRPr="007C27C9">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D53535"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D53535">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D53535"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D5353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D53535">
        <w:rPr>
          <w:rFonts w:ascii="Avenir Next" w:eastAsiaTheme="minorHAnsi" w:hAnsi="Avenir Next" w:cs="Arial"/>
          <w:sz w:val="22"/>
          <w:szCs w:val="22"/>
          <w:highlight w:val="yellow"/>
          <w:lang w:val="en-GB"/>
        </w:rPr>
        <w:t xml:space="preserve"> </w:t>
      </w:r>
      <w:r w:rsidRPr="00D53535">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D53535"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D53535">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D53535" w:rsidRDefault="00F5239B" w:rsidP="008071D5">
      <w:pPr>
        <w:pStyle w:val="ListParagraph"/>
        <w:numPr>
          <w:ilvl w:val="0"/>
          <w:numId w:val="23"/>
        </w:numPr>
        <w:ind w:left="426"/>
        <w:jc w:val="both"/>
        <w:rPr>
          <w:rFonts w:ascii="Avenir Next" w:hAnsi="Avenir Next" w:cs="Arial"/>
          <w:sz w:val="22"/>
          <w:szCs w:val="22"/>
          <w:highlight w:val="yellow"/>
        </w:rPr>
      </w:pPr>
      <w:r w:rsidRPr="00D53535">
        <w:rPr>
          <w:rFonts w:ascii="Avenir Next" w:hAnsi="Avenir Next" w:cs="Arial"/>
          <w:sz w:val="22"/>
          <w:szCs w:val="22"/>
          <w:highlight w:val="yellow"/>
        </w:rPr>
        <w:t xml:space="preserve">This statement is true because </w:t>
      </w:r>
      <w:r w:rsidR="007B5180" w:rsidRPr="00D53535">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D53535" w:rsidRDefault="009355DB" w:rsidP="008071D5">
      <w:pPr>
        <w:pStyle w:val="ListParagraph"/>
        <w:numPr>
          <w:ilvl w:val="0"/>
          <w:numId w:val="24"/>
        </w:numPr>
        <w:ind w:left="426"/>
        <w:jc w:val="both"/>
        <w:rPr>
          <w:rFonts w:ascii="Avenir Next" w:hAnsi="Avenir Next" w:cs="Arial"/>
          <w:sz w:val="22"/>
          <w:szCs w:val="22"/>
          <w:highlight w:val="yellow"/>
        </w:rPr>
      </w:pPr>
      <w:r w:rsidRPr="00D53535">
        <w:rPr>
          <w:rFonts w:ascii="Avenir Next" w:hAnsi="Avenir Next" w:cs="Arial"/>
          <w:sz w:val="22"/>
          <w:szCs w:val="22"/>
          <w:highlight w:val="yellow"/>
        </w:rPr>
        <w:t xml:space="preserve">This statement is true because </w:t>
      </w:r>
      <w:r w:rsidR="005C4FF2" w:rsidRPr="00D5353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F634969" w14:textId="77777777" w:rsidR="002E6A91" w:rsidRDefault="002E6A91" w:rsidP="0001352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law regimes of African jurisdictions have varied historical roots, and may largely be traced from the legal systems each jurisdiction inherited from their former colonial powers. </w:t>
      </w:r>
    </w:p>
    <w:p w14:paraId="01460557" w14:textId="77777777" w:rsidR="002E6A91" w:rsidRDefault="002E6A91" w:rsidP="002E6A91">
      <w:pPr>
        <w:ind w:left="720"/>
        <w:jc w:val="both"/>
        <w:rPr>
          <w:rFonts w:ascii="Avenir Next" w:hAnsi="Avenir Next" w:cs="Arial"/>
          <w:color w:val="808080" w:themeColor="background1" w:themeShade="80"/>
          <w:sz w:val="22"/>
          <w:szCs w:val="22"/>
          <w:lang w:val="en-GB"/>
        </w:rPr>
      </w:pPr>
    </w:p>
    <w:p w14:paraId="734816B4" w14:textId="1F044133" w:rsidR="0081547D" w:rsidRDefault="002E6A91" w:rsidP="0001352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include:</w:t>
      </w:r>
    </w:p>
    <w:p w14:paraId="3BC4F101" w14:textId="658CDD78" w:rsidR="002E6A91" w:rsidRDefault="002E6A91" w:rsidP="002E6A9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Pr="0001352B">
        <w:rPr>
          <w:rFonts w:ascii="Avenir Next" w:hAnsi="Avenir Next" w:cs="Arial"/>
          <w:color w:val="808080" w:themeColor="background1" w:themeShade="80"/>
          <w:sz w:val="22"/>
          <w:szCs w:val="22"/>
          <w:u w:val="single"/>
          <w:lang w:val="en-GB"/>
        </w:rPr>
        <w:t>civil law system</w:t>
      </w:r>
      <w:r>
        <w:rPr>
          <w:rFonts w:ascii="Avenir Next" w:hAnsi="Avenir Next" w:cs="Arial"/>
          <w:color w:val="808080" w:themeColor="background1" w:themeShade="80"/>
          <w:sz w:val="22"/>
          <w:szCs w:val="22"/>
          <w:lang w:val="en-GB"/>
        </w:rPr>
        <w:t xml:space="preserve"> in countries such as Angola and Mozambique.</w:t>
      </w:r>
    </w:p>
    <w:p w14:paraId="0E7A1392" w14:textId="19962B43" w:rsidR="002E6A91" w:rsidRDefault="002E6A91" w:rsidP="002E6A9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Pr="0001352B">
        <w:rPr>
          <w:rFonts w:ascii="Avenir Next" w:hAnsi="Avenir Next" w:cs="Arial"/>
          <w:color w:val="808080" w:themeColor="background1" w:themeShade="80"/>
          <w:sz w:val="22"/>
          <w:szCs w:val="22"/>
          <w:u w:val="single"/>
          <w:lang w:val="en-GB"/>
        </w:rPr>
        <w:t>mixed legal system</w:t>
      </w:r>
      <w:r>
        <w:rPr>
          <w:rFonts w:ascii="Avenir Next" w:hAnsi="Avenir Next" w:cs="Arial"/>
          <w:color w:val="808080" w:themeColor="background1" w:themeShade="80"/>
          <w:sz w:val="22"/>
          <w:szCs w:val="22"/>
          <w:lang w:val="en-GB"/>
        </w:rPr>
        <w:t xml:space="preserve"> in countries such as South Africa and Namibia arising from Roman-Dutch law </w:t>
      </w:r>
      <w:r w:rsidR="0001352B">
        <w:rPr>
          <w:rFonts w:ascii="Avenir Next" w:hAnsi="Avenir Next" w:cs="Arial"/>
          <w:color w:val="808080" w:themeColor="background1" w:themeShade="80"/>
          <w:sz w:val="22"/>
          <w:szCs w:val="22"/>
          <w:lang w:val="en-GB"/>
        </w:rPr>
        <w:t xml:space="preserve">and English law influences. </w:t>
      </w:r>
    </w:p>
    <w:p w14:paraId="0680848B" w14:textId="3EA27397" w:rsidR="0001352B" w:rsidRPr="002E6A91" w:rsidRDefault="0001352B" w:rsidP="002E6A9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Pr="0001352B">
        <w:rPr>
          <w:rFonts w:ascii="Avenir Next" w:hAnsi="Avenir Next" w:cs="Arial"/>
          <w:color w:val="808080" w:themeColor="background1" w:themeShade="80"/>
          <w:sz w:val="22"/>
          <w:szCs w:val="22"/>
          <w:u w:val="single"/>
          <w:lang w:val="en-GB"/>
        </w:rPr>
        <w:t>common law system</w:t>
      </w:r>
      <w:r>
        <w:rPr>
          <w:rFonts w:ascii="Avenir Next" w:hAnsi="Avenir Next" w:cs="Arial"/>
          <w:color w:val="808080" w:themeColor="background1" w:themeShade="80"/>
          <w:sz w:val="22"/>
          <w:szCs w:val="22"/>
          <w:lang w:val="en-GB"/>
        </w:rPr>
        <w:t>, particularly for former English colonies such as Ghana, Kenya, Botswana and Zambia.</w:t>
      </w:r>
    </w:p>
    <w:p w14:paraId="7E3C627E" w14:textId="77777777" w:rsidR="002E6A91" w:rsidRPr="00AB63DE" w:rsidRDefault="002E6A91" w:rsidP="002E6A91">
      <w:pPr>
        <w:ind w:left="720"/>
        <w:jc w:val="both"/>
        <w:rPr>
          <w:rFonts w:ascii="Avenir Next" w:hAnsi="Avenir Next" w:cs="Arial"/>
          <w:color w:val="808080" w:themeColor="background1" w:themeShade="80"/>
          <w:sz w:val="22"/>
          <w:szCs w:val="22"/>
          <w:lang w:val="en-GB"/>
        </w:rPr>
      </w:pPr>
    </w:p>
    <w:p w14:paraId="0B17CF2F" w14:textId="7D409746" w:rsidR="0081547D" w:rsidRPr="00692852" w:rsidRDefault="0001352B"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roofErr w:type="gramStart"/>
      <w:r>
        <w:rPr>
          <w:rFonts w:ascii="Avenir Next" w:hAnsi="Avenir Next" w:cs="Arial"/>
          <w:color w:val="808080" w:themeColor="background1" w:themeShade="80"/>
          <w:sz w:val="22"/>
          <w:szCs w:val="22"/>
          <w:lang w:val="en-GB"/>
        </w:rPr>
        <w:t>see</w:t>
      </w:r>
      <w:proofErr w:type="gramEnd"/>
      <w:r>
        <w:rPr>
          <w:rFonts w:ascii="Avenir Next" w:hAnsi="Avenir Next" w:cs="Arial"/>
          <w:color w:val="808080" w:themeColor="background1" w:themeShade="80"/>
          <w:sz w:val="22"/>
          <w:szCs w:val="22"/>
          <w:lang w:val="en-GB"/>
        </w:rPr>
        <w:t xml:space="preserve">: </w:t>
      </w:r>
      <w:r w:rsidRPr="0001352B">
        <w:rPr>
          <w:rFonts w:ascii="Avenir Next" w:hAnsi="Avenir Next" w:cs="Arial"/>
          <w:color w:val="808080" w:themeColor="background1" w:themeShade="80"/>
          <w:sz w:val="22"/>
          <w:szCs w:val="22"/>
          <w:lang w:val="en-GB"/>
        </w:rPr>
        <w:t>https://www.lexafrica.com/wp-content/uploads/2022/05/Guide-to-Insolvency-and-Business-Restructuring-in-Africa-Digital.pdf</w:t>
      </w:r>
      <w:r>
        <w:rPr>
          <w:rFonts w:ascii="Avenir Next" w:hAnsi="Avenir Next" w:cs="Arial"/>
          <w:color w:val="808080" w:themeColor="background1" w:themeShade="80"/>
          <w:sz w:val="22"/>
          <w:szCs w:val="22"/>
          <w:lang w:val="en-GB"/>
        </w:rPr>
        <w:t>)</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511596B2" w:rsidR="00AB63DE" w:rsidRDefault="0001352B" w:rsidP="0067200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Key events in East Asia include the 199</w:t>
      </w:r>
      <w:r w:rsidR="0002561F">
        <w:rPr>
          <w:rFonts w:ascii="Avenir Next" w:hAnsi="Avenir Next" w:cs="Arial"/>
          <w:color w:val="808080" w:themeColor="background1" w:themeShade="80"/>
          <w:sz w:val="22"/>
          <w:szCs w:val="22"/>
          <w:lang w:val="en-GB"/>
        </w:rPr>
        <w:t>7/9</w:t>
      </w:r>
      <w:r>
        <w:rPr>
          <w:rFonts w:ascii="Avenir Next" w:hAnsi="Avenir Next" w:cs="Arial"/>
          <w:color w:val="808080" w:themeColor="background1" w:themeShade="80"/>
          <w:sz w:val="22"/>
          <w:szCs w:val="22"/>
          <w:lang w:val="en-GB"/>
        </w:rPr>
        <w:t xml:space="preserve">8 financial crisis </w:t>
      </w:r>
      <w:r w:rsidR="00672001">
        <w:rPr>
          <w:rFonts w:ascii="Avenir Next" w:hAnsi="Avenir Next" w:cs="Arial"/>
          <w:color w:val="808080" w:themeColor="background1" w:themeShade="80"/>
          <w:sz w:val="22"/>
          <w:szCs w:val="22"/>
          <w:lang w:val="en-GB"/>
        </w:rPr>
        <w:t xml:space="preserve">which began in Thailand after the collapse of the Thai baht. </w:t>
      </w:r>
      <w:r w:rsidR="00140CC0">
        <w:rPr>
          <w:rFonts w:ascii="Avenir Next" w:hAnsi="Avenir Next" w:cs="Arial"/>
          <w:color w:val="808080" w:themeColor="background1" w:themeShade="80"/>
          <w:sz w:val="22"/>
          <w:szCs w:val="22"/>
          <w:lang w:val="en-GB"/>
        </w:rPr>
        <w:t>This affected several South and North East Asian countries.</w:t>
      </w:r>
    </w:p>
    <w:p w14:paraId="49F311F5" w14:textId="0D04B0A9" w:rsidR="00140CC0" w:rsidRDefault="00140CC0" w:rsidP="00672001">
      <w:pPr>
        <w:jc w:val="both"/>
        <w:rPr>
          <w:rFonts w:ascii="Avenir Next" w:hAnsi="Avenir Next" w:cs="Arial"/>
          <w:color w:val="808080" w:themeColor="background1" w:themeShade="80"/>
          <w:sz w:val="22"/>
          <w:szCs w:val="22"/>
          <w:lang w:val="en-GB"/>
        </w:rPr>
      </w:pPr>
    </w:p>
    <w:p w14:paraId="07F9EFE8" w14:textId="72A42D2B" w:rsidR="00140CC0" w:rsidRPr="00AB63DE" w:rsidRDefault="00140CC0" w:rsidP="0067200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 highlight two examples in relation to</w:t>
      </w:r>
      <w:r w:rsidR="0002561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Thai</w:t>
      </w:r>
      <w:r w:rsidR="0002561F">
        <w:rPr>
          <w:rFonts w:ascii="Avenir Next" w:hAnsi="Avenir Next" w:cs="Arial"/>
          <w:color w:val="808080" w:themeColor="background1" w:themeShade="80"/>
          <w:sz w:val="22"/>
          <w:szCs w:val="22"/>
          <w:lang w:val="en-GB"/>
        </w:rPr>
        <w:t xml:space="preserve"> and Indonesia</w:t>
      </w:r>
      <w:r>
        <w:rPr>
          <w:rFonts w:ascii="Avenir Next" w:hAnsi="Avenir Next" w:cs="Arial"/>
          <w:color w:val="808080" w:themeColor="background1" w:themeShade="80"/>
          <w:sz w:val="22"/>
          <w:szCs w:val="22"/>
          <w:lang w:val="en-GB"/>
        </w:rPr>
        <w:t xml:space="preserve"> </w:t>
      </w:r>
      <w:r w:rsidR="0002561F">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nsolvency </w:t>
      </w:r>
      <w:r w:rsidR="0002561F">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eform:</w:t>
      </w:r>
    </w:p>
    <w:p w14:paraId="09F61129" w14:textId="087F55A3" w:rsidR="00AB63DE" w:rsidRPr="00C25D59" w:rsidRDefault="00140CC0" w:rsidP="00140CC0">
      <w:pPr>
        <w:pStyle w:val="ListParagraph"/>
        <w:numPr>
          <w:ilvl w:val="0"/>
          <w:numId w:val="26"/>
        </w:numPr>
        <w:jc w:val="both"/>
        <w:rPr>
          <w:rFonts w:ascii="Avenir Next" w:hAnsi="Avenir Next" w:cs="Arial"/>
          <w:color w:val="808080" w:themeColor="background1" w:themeShade="80"/>
          <w:sz w:val="22"/>
          <w:szCs w:val="22"/>
          <w:lang w:val="en-GB"/>
        </w:rPr>
      </w:pPr>
      <w:r w:rsidRPr="00C25D59">
        <w:rPr>
          <w:rFonts w:ascii="Avenir Next" w:hAnsi="Avenir Next" w:cs="Arial"/>
          <w:color w:val="808080" w:themeColor="background1" w:themeShade="80"/>
          <w:sz w:val="22"/>
          <w:szCs w:val="22"/>
          <w:lang w:val="en-GB"/>
        </w:rPr>
        <w:t xml:space="preserve">Thailand: In August 1998, the Thai government convened the Corporate Debt Restructuring Advisory Committee </w:t>
      </w:r>
      <w:r w:rsidR="0002561F" w:rsidRPr="00C25D59">
        <w:rPr>
          <w:rFonts w:ascii="Avenir Next" w:hAnsi="Avenir Next" w:cs="Arial"/>
          <w:color w:val="808080" w:themeColor="background1" w:themeShade="80"/>
          <w:sz w:val="22"/>
          <w:szCs w:val="22"/>
          <w:lang w:val="en-GB"/>
        </w:rPr>
        <w:t xml:space="preserve">to formulate a response to the Asian financial crisis. </w:t>
      </w:r>
      <w:r w:rsidR="00C25D59" w:rsidRPr="00C25D59">
        <w:rPr>
          <w:rFonts w:ascii="Avenir Next" w:hAnsi="Avenir Next" w:cs="Arial"/>
          <w:color w:val="808080" w:themeColor="background1" w:themeShade="80"/>
          <w:sz w:val="22"/>
          <w:szCs w:val="22"/>
          <w:lang w:val="en-GB"/>
        </w:rPr>
        <w:t>The Bankruptcy Act of 1998 was enacted, introducing the Central Bankruptcy Court in 1999 to deal with the large influx of insolvency applications arising from the financial crisis.</w:t>
      </w:r>
    </w:p>
    <w:p w14:paraId="57076452" w14:textId="13B1CB92" w:rsidR="0002561F" w:rsidRPr="00C25D59" w:rsidRDefault="0002561F" w:rsidP="0002561F">
      <w:pPr>
        <w:pStyle w:val="ListParagraph"/>
        <w:numPr>
          <w:ilvl w:val="0"/>
          <w:numId w:val="26"/>
        </w:numPr>
        <w:jc w:val="both"/>
        <w:rPr>
          <w:rFonts w:ascii="Avenir Next" w:hAnsi="Avenir Next" w:cs="Arial"/>
          <w:color w:val="808080" w:themeColor="background1" w:themeShade="80"/>
          <w:sz w:val="22"/>
          <w:szCs w:val="22"/>
          <w:lang w:val="en-SG"/>
        </w:rPr>
      </w:pPr>
      <w:r w:rsidRPr="00C25D59">
        <w:rPr>
          <w:rFonts w:ascii="Avenir Next" w:hAnsi="Avenir Next" w:cs="Arial"/>
          <w:color w:val="808080" w:themeColor="background1" w:themeShade="80"/>
          <w:sz w:val="22"/>
          <w:szCs w:val="22"/>
          <w:lang w:val="en-GB"/>
        </w:rPr>
        <w:t xml:space="preserve">Indonesia: In 1998, the Indonesian Bankruptcy Act introduced an amendment that allowed debtors to request a moratorium on outstanding debts, on grounds that the debtor is </w:t>
      </w:r>
      <w:r w:rsidR="00C25D59" w:rsidRPr="00C25D59">
        <w:rPr>
          <w:rFonts w:ascii="Avenir Next" w:hAnsi="Avenir Next" w:cs="Arial"/>
          <w:color w:val="808080" w:themeColor="background1" w:themeShade="80"/>
          <w:sz w:val="22"/>
          <w:szCs w:val="22"/>
          <w:lang w:val="en-GB"/>
        </w:rPr>
        <w:t>preparing a composition in full or partial discharge of the debt owed to unsecured creditors (Article 212 Indonesian Bankruptcy Act). A Commercial Court to process and expedite bankruptcy petitions was also introduced.</w:t>
      </w:r>
      <w:r w:rsidRPr="00C25D59">
        <w:rPr>
          <w:rFonts w:ascii="Avenir Next" w:hAnsi="Avenir Next" w:cs="Arial"/>
          <w:color w:val="808080" w:themeColor="background1" w:themeShade="80"/>
          <w:sz w:val="22"/>
          <w:szCs w:val="22"/>
          <w:lang w:val="en-SG"/>
        </w:rPr>
        <w:t xml:space="preserve"> </w:t>
      </w:r>
      <w:r w:rsidR="00C25D59" w:rsidRPr="00C25D59">
        <w:rPr>
          <w:rFonts w:ascii="Avenir Next" w:hAnsi="Avenir Next" w:cs="Arial"/>
          <w:color w:val="808080" w:themeColor="background1" w:themeShade="80"/>
          <w:sz w:val="22"/>
          <w:szCs w:val="22"/>
          <w:lang w:val="en-SG"/>
        </w:rPr>
        <w:t xml:space="preserve">(see Indonesian </w:t>
      </w:r>
      <w:r w:rsidR="00575862" w:rsidRPr="00C25D59">
        <w:rPr>
          <w:rFonts w:ascii="Avenir Next" w:hAnsi="Avenir Next" w:cs="Arial"/>
          <w:color w:val="808080" w:themeColor="background1" w:themeShade="80"/>
          <w:sz w:val="22"/>
          <w:szCs w:val="22"/>
          <w:lang w:val="en-SG"/>
        </w:rPr>
        <w:t>Bankruptcy</w:t>
      </w:r>
      <w:r w:rsidR="00C25D59" w:rsidRPr="00C25D59">
        <w:rPr>
          <w:rFonts w:ascii="Avenir Next" w:hAnsi="Avenir Next" w:cs="Arial"/>
          <w:color w:val="808080" w:themeColor="background1" w:themeShade="80"/>
          <w:sz w:val="22"/>
          <w:szCs w:val="22"/>
          <w:lang w:val="en-SG"/>
        </w:rPr>
        <w:t xml:space="preserve"> Law: Revisited, </w:t>
      </w:r>
      <w:proofErr w:type="spellStart"/>
      <w:r w:rsidR="00C25D59" w:rsidRPr="00C25D59">
        <w:rPr>
          <w:rFonts w:ascii="Avenir Next" w:hAnsi="Avenir Next" w:cs="Arial"/>
          <w:color w:val="808080" w:themeColor="background1" w:themeShade="80"/>
          <w:sz w:val="22"/>
          <w:szCs w:val="22"/>
          <w:lang w:val="en-SG"/>
        </w:rPr>
        <w:t>Wijantini</w:t>
      </w:r>
      <w:proofErr w:type="spellEnd"/>
      <w:r w:rsidR="00C25D59" w:rsidRPr="00C25D59">
        <w:rPr>
          <w:rFonts w:ascii="Avenir Next" w:hAnsi="Avenir Next" w:cs="Arial"/>
          <w:color w:val="808080" w:themeColor="background1" w:themeShade="80"/>
          <w:sz w:val="22"/>
          <w:szCs w:val="22"/>
          <w:lang w:val="en-SG"/>
        </w:rPr>
        <w:t>, Indonesian Bankruptcy Law (2008) Vol 1 No 2 at 177 to 185)</w:t>
      </w:r>
    </w:p>
    <w:p w14:paraId="74526C50" w14:textId="51A08198" w:rsidR="0002561F" w:rsidRPr="00C25D59" w:rsidRDefault="0002561F" w:rsidP="00C25D59">
      <w:pPr>
        <w:ind w:left="360"/>
        <w:jc w:val="both"/>
        <w:rPr>
          <w:rFonts w:ascii="Avenir Next" w:hAnsi="Avenir Next" w:cs="Arial"/>
          <w:sz w:val="22"/>
          <w:szCs w:val="22"/>
          <w:lang w:val="en-SG"/>
        </w:rPr>
      </w:pPr>
    </w:p>
    <w:p w14:paraId="7C221D8F" w14:textId="77777777" w:rsidR="00140CC0" w:rsidRDefault="00140CC0"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79958F4B" w:rsidR="00AB63DE" w:rsidRDefault="00C25D59"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highlight the following:</w:t>
      </w:r>
    </w:p>
    <w:p w14:paraId="79A72355" w14:textId="47EBF24B" w:rsidR="00C25D59" w:rsidRDefault="00C25D59" w:rsidP="00C25D59">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Law Institute Transnational Insolvency Project</w:t>
      </w:r>
      <w:r w:rsidR="000B4174">
        <w:rPr>
          <w:rFonts w:ascii="Avenir Next" w:hAnsi="Avenir Next" w:cs="Arial"/>
          <w:color w:val="808080" w:themeColor="background1" w:themeShade="80"/>
          <w:sz w:val="22"/>
          <w:szCs w:val="22"/>
          <w:lang w:val="en-GB"/>
        </w:rPr>
        <w:t xml:space="preserve"> (“ALITIP”)</w:t>
      </w:r>
      <w:r>
        <w:rPr>
          <w:rFonts w:ascii="Avenir Next" w:hAnsi="Avenir Next" w:cs="Arial"/>
          <w:color w:val="808080" w:themeColor="background1" w:themeShade="80"/>
          <w:sz w:val="22"/>
          <w:szCs w:val="22"/>
          <w:lang w:val="en-GB"/>
        </w:rPr>
        <w:t xml:space="preserve"> </w:t>
      </w:r>
      <w:r w:rsidR="009E55C1">
        <w:rPr>
          <w:rFonts w:ascii="Avenir Next" w:hAnsi="Avenir Next" w:cs="Arial"/>
          <w:color w:val="808080" w:themeColor="background1" w:themeShade="80"/>
          <w:sz w:val="22"/>
          <w:szCs w:val="22"/>
          <w:lang w:val="en-GB"/>
        </w:rPr>
        <w:t xml:space="preserve">was </w:t>
      </w:r>
      <w:r w:rsidR="000B4174">
        <w:rPr>
          <w:rFonts w:ascii="Avenir Next" w:hAnsi="Avenir Next" w:cs="Arial"/>
          <w:color w:val="808080" w:themeColor="background1" w:themeShade="80"/>
          <w:sz w:val="22"/>
          <w:szCs w:val="22"/>
          <w:lang w:val="en-GB"/>
        </w:rPr>
        <w:t>a</w:t>
      </w:r>
      <w:r w:rsidR="009E55C1">
        <w:rPr>
          <w:rFonts w:ascii="Avenir Next" w:hAnsi="Avenir Next" w:cs="Arial"/>
          <w:color w:val="808080" w:themeColor="background1" w:themeShade="80"/>
          <w:sz w:val="22"/>
          <w:szCs w:val="22"/>
          <w:lang w:val="en-GB"/>
        </w:rPr>
        <w:t xml:space="preserve"> project which aimed to improve co-operation in international insolvencies across signatories to the North American Free Trade Agreement (“NAFTA”). The Principles of Cooperation among the NAFTA Countries was developed and, amongst other </w:t>
      </w:r>
      <w:r w:rsidR="00575862">
        <w:rPr>
          <w:rFonts w:ascii="Avenir Next" w:hAnsi="Avenir Next" w:cs="Arial"/>
          <w:color w:val="808080" w:themeColor="background1" w:themeShade="80"/>
          <w:sz w:val="22"/>
          <w:szCs w:val="22"/>
          <w:lang w:val="en-GB"/>
        </w:rPr>
        <w:t>recommendations</w:t>
      </w:r>
      <w:r w:rsidR="009E55C1">
        <w:rPr>
          <w:rFonts w:ascii="Avenir Next" w:hAnsi="Avenir Next" w:cs="Arial"/>
          <w:color w:val="808080" w:themeColor="background1" w:themeShade="80"/>
          <w:sz w:val="22"/>
          <w:szCs w:val="22"/>
          <w:lang w:val="en-GB"/>
        </w:rPr>
        <w:t>, urged each NAFTA country to adopt the Model Law on Cross-border Insolvency. That Canada, Mexico and USA have since done so can be viewed as a success of this initiative.</w:t>
      </w:r>
    </w:p>
    <w:p w14:paraId="49984A27" w14:textId="66C0AD99" w:rsidR="00AB63DE" w:rsidRPr="000B4174" w:rsidRDefault="000B4174" w:rsidP="00692852">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ALITIP also introduced the ALI NAFTA Guidelines </w:t>
      </w:r>
      <w:r w:rsidR="00575862">
        <w:rPr>
          <w:rFonts w:ascii="Avenir Next" w:hAnsi="Avenir Next" w:cs="Arial"/>
          <w:color w:val="808080" w:themeColor="background1" w:themeShade="80"/>
          <w:sz w:val="22"/>
          <w:szCs w:val="22"/>
          <w:lang w:val="en-GB"/>
        </w:rPr>
        <w:t>Applicable</w:t>
      </w:r>
      <w:r>
        <w:rPr>
          <w:rFonts w:ascii="Avenir Next" w:hAnsi="Avenir Next" w:cs="Arial"/>
          <w:color w:val="808080" w:themeColor="background1" w:themeShade="80"/>
          <w:sz w:val="22"/>
          <w:szCs w:val="22"/>
          <w:lang w:val="en-GB"/>
        </w:rPr>
        <w:t xml:space="preserve"> to Court-to-Court Communications in Cross-border Cases (2000) for international insolvencies amongst the NAFTA states. </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w:t>
      </w:r>
      <w:r w:rsidR="00092378" w:rsidRPr="004216EA">
        <w:rPr>
          <w:rFonts w:ascii="Avenir Next" w:hAnsi="Avenir Next" w:cs="Arial"/>
          <w:sz w:val="22"/>
          <w:szCs w:val="22"/>
          <w:lang w:val="en-GB"/>
        </w:rPr>
        <w:lastRenderedPageBreak/>
        <w:t xml:space="preserve">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57C81B38" w:rsidR="00AB63DE" w:rsidRDefault="006615F6" w:rsidP="00D543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Rules providing for v</w:t>
      </w:r>
      <w:r w:rsidR="00D669AA">
        <w:rPr>
          <w:rFonts w:ascii="Avenir Next" w:hAnsi="Avenir Next" w:cs="Arial"/>
          <w:color w:val="808080" w:themeColor="background1" w:themeShade="80"/>
          <w:sz w:val="22"/>
          <w:szCs w:val="22"/>
          <w:lang w:val="en-GB"/>
        </w:rPr>
        <w:t xml:space="preserve">oidable dispositions are </w:t>
      </w:r>
      <w:r>
        <w:rPr>
          <w:rFonts w:ascii="Avenir Next" w:hAnsi="Avenir Next" w:cs="Arial"/>
          <w:color w:val="808080" w:themeColor="background1" w:themeShade="80"/>
          <w:sz w:val="22"/>
          <w:szCs w:val="22"/>
          <w:lang w:val="en-GB"/>
        </w:rPr>
        <w:t>importan</w:t>
      </w:r>
      <w:r w:rsidR="00DD7209">
        <w:rPr>
          <w:rFonts w:ascii="Avenir Next" w:hAnsi="Avenir Next" w:cs="Arial"/>
          <w:color w:val="808080" w:themeColor="background1" w:themeShade="80"/>
          <w:sz w:val="22"/>
          <w:szCs w:val="22"/>
          <w:lang w:val="en-GB"/>
        </w:rPr>
        <w:t xml:space="preserve">t </w:t>
      </w:r>
      <w:r w:rsidR="00D5430F">
        <w:rPr>
          <w:rFonts w:ascii="Avenir Next" w:hAnsi="Avenir Next" w:cs="Arial"/>
          <w:color w:val="808080" w:themeColor="background1" w:themeShade="80"/>
          <w:sz w:val="22"/>
          <w:szCs w:val="22"/>
          <w:lang w:val="en-GB"/>
        </w:rPr>
        <w:t>as they</w:t>
      </w:r>
      <w:r w:rsidR="00DD7209">
        <w:rPr>
          <w:rFonts w:ascii="Avenir Next" w:hAnsi="Avenir Next" w:cs="Arial"/>
          <w:color w:val="808080" w:themeColor="background1" w:themeShade="80"/>
          <w:sz w:val="22"/>
          <w:szCs w:val="22"/>
          <w:lang w:val="en-GB"/>
        </w:rPr>
        <w:t xml:space="preserve"> protect the</w:t>
      </w:r>
      <w:r w:rsidR="00AA0FA7">
        <w:rPr>
          <w:rFonts w:ascii="Avenir Next" w:hAnsi="Avenir Next" w:cs="Arial"/>
          <w:color w:val="808080" w:themeColor="background1" w:themeShade="80"/>
          <w:sz w:val="22"/>
          <w:szCs w:val="22"/>
          <w:lang w:val="en-GB"/>
        </w:rPr>
        <w:t xml:space="preserve"> collective</w:t>
      </w:r>
      <w:r w:rsidR="00DD7209">
        <w:rPr>
          <w:rFonts w:ascii="Avenir Next" w:hAnsi="Avenir Next" w:cs="Arial"/>
          <w:color w:val="808080" w:themeColor="background1" w:themeShade="80"/>
          <w:sz w:val="22"/>
          <w:szCs w:val="22"/>
          <w:lang w:val="en-GB"/>
        </w:rPr>
        <w:t xml:space="preserve"> interest</w:t>
      </w:r>
      <w:r w:rsidR="00D5430F">
        <w:rPr>
          <w:rFonts w:ascii="Avenir Next" w:hAnsi="Avenir Next" w:cs="Arial"/>
          <w:color w:val="808080" w:themeColor="background1" w:themeShade="80"/>
          <w:sz w:val="22"/>
          <w:szCs w:val="22"/>
          <w:lang w:val="en-GB"/>
        </w:rPr>
        <w:t>s</w:t>
      </w:r>
      <w:r w:rsidR="00DD7209">
        <w:rPr>
          <w:rFonts w:ascii="Avenir Next" w:hAnsi="Avenir Next" w:cs="Arial"/>
          <w:color w:val="808080" w:themeColor="background1" w:themeShade="80"/>
          <w:sz w:val="22"/>
          <w:szCs w:val="22"/>
          <w:lang w:val="en-GB"/>
        </w:rPr>
        <w:t xml:space="preserve"> of the creditors.</w:t>
      </w:r>
      <w:r w:rsidR="00D5430F">
        <w:rPr>
          <w:rFonts w:ascii="Avenir Next" w:hAnsi="Avenir Next" w:cs="Arial"/>
          <w:color w:val="808080" w:themeColor="background1" w:themeShade="80"/>
          <w:sz w:val="22"/>
          <w:szCs w:val="22"/>
          <w:lang w:val="en-GB"/>
        </w:rPr>
        <w:t xml:space="preserve"> </w:t>
      </w:r>
      <w:r w:rsidR="00AA0FA7">
        <w:rPr>
          <w:rFonts w:ascii="Avenir Next" w:hAnsi="Avenir Next" w:cs="Arial"/>
          <w:color w:val="808080" w:themeColor="background1" w:themeShade="80"/>
          <w:sz w:val="22"/>
          <w:szCs w:val="22"/>
          <w:lang w:val="en-GB"/>
        </w:rPr>
        <w:t>The operative principle underlying voidable dispositions is “that collective action is more efficient in maximizing the assets available to creditors than a system that leaves creditors free to pursue their individual remedies” (</w:t>
      </w:r>
      <w:r w:rsidR="00575862">
        <w:rPr>
          <w:rFonts w:ascii="Avenir Next" w:hAnsi="Avenir Next" w:cs="Arial"/>
          <w:color w:val="808080" w:themeColor="background1" w:themeShade="80"/>
          <w:sz w:val="22"/>
          <w:szCs w:val="22"/>
          <w:lang w:val="en-GB"/>
        </w:rPr>
        <w:t xml:space="preserve">UNCITRAL </w:t>
      </w:r>
      <w:r w:rsidR="00575862" w:rsidRPr="00575862">
        <w:rPr>
          <w:rFonts w:ascii="Avenir Next" w:hAnsi="Avenir Next" w:cs="Arial"/>
          <w:i/>
          <w:iCs/>
          <w:color w:val="808080" w:themeColor="background1" w:themeShade="80"/>
          <w:sz w:val="22"/>
          <w:szCs w:val="22"/>
          <w:lang w:val="en-GB"/>
        </w:rPr>
        <w:t>Legislative</w:t>
      </w:r>
      <w:r w:rsidR="00D3787E">
        <w:rPr>
          <w:rFonts w:ascii="Avenir Next" w:hAnsi="Avenir Next" w:cs="Arial"/>
          <w:i/>
          <w:iCs/>
          <w:color w:val="808080" w:themeColor="background1" w:themeShade="80"/>
          <w:sz w:val="22"/>
          <w:szCs w:val="22"/>
          <w:lang w:val="en-GB"/>
        </w:rPr>
        <w:t xml:space="preserve"> Guide on Insolvency Law </w:t>
      </w:r>
      <w:r w:rsidR="00D3787E">
        <w:rPr>
          <w:rFonts w:ascii="Avenir Next" w:hAnsi="Avenir Next" w:cs="Arial"/>
          <w:color w:val="808080" w:themeColor="background1" w:themeShade="80"/>
          <w:sz w:val="22"/>
          <w:szCs w:val="22"/>
          <w:lang w:val="en-GB"/>
        </w:rPr>
        <w:t>2004</w:t>
      </w:r>
      <w:r w:rsidR="00D3787E">
        <w:rPr>
          <w:rFonts w:ascii="Avenir Next" w:hAnsi="Avenir Next" w:cs="Arial"/>
          <w:i/>
          <w:iCs/>
          <w:color w:val="808080" w:themeColor="background1" w:themeShade="80"/>
          <w:sz w:val="22"/>
          <w:szCs w:val="22"/>
          <w:lang w:val="en-GB"/>
        </w:rPr>
        <w:t xml:space="preserve"> </w:t>
      </w:r>
      <w:r w:rsidR="00D3787E">
        <w:rPr>
          <w:rFonts w:ascii="Avenir Next" w:hAnsi="Avenir Next" w:cs="Arial"/>
          <w:color w:val="808080" w:themeColor="background1" w:themeShade="80"/>
          <w:sz w:val="22"/>
          <w:szCs w:val="22"/>
          <w:lang w:val="en-GB"/>
        </w:rPr>
        <w:t>at para 151</w:t>
      </w:r>
      <w:r w:rsidR="00AA0FA7">
        <w:rPr>
          <w:rFonts w:ascii="Avenir Next" w:hAnsi="Avenir Next" w:cs="Arial"/>
          <w:color w:val="808080" w:themeColor="background1" w:themeShade="80"/>
          <w:sz w:val="22"/>
          <w:szCs w:val="22"/>
          <w:lang w:val="en-GB"/>
        </w:rPr>
        <w:t>).</w:t>
      </w:r>
      <w:r w:rsidR="00D3787E">
        <w:rPr>
          <w:rFonts w:ascii="Avenir Next" w:hAnsi="Avenir Next" w:cs="Arial"/>
          <w:color w:val="808080" w:themeColor="background1" w:themeShade="80"/>
          <w:sz w:val="22"/>
          <w:szCs w:val="22"/>
          <w:lang w:val="en-GB"/>
        </w:rPr>
        <w:t xml:space="preserve"> Conversely, w</w:t>
      </w:r>
      <w:r w:rsidR="00200DBB">
        <w:rPr>
          <w:rFonts w:ascii="Avenir Next" w:hAnsi="Avenir Next" w:cs="Arial"/>
          <w:color w:val="808080" w:themeColor="background1" w:themeShade="80"/>
          <w:sz w:val="22"/>
          <w:szCs w:val="22"/>
          <w:lang w:val="en-GB"/>
        </w:rPr>
        <w:t xml:space="preserve">here an imperilled </w:t>
      </w:r>
      <w:r w:rsidR="004F55E4">
        <w:rPr>
          <w:rFonts w:ascii="Avenir Next" w:hAnsi="Avenir Next" w:cs="Arial"/>
          <w:color w:val="808080" w:themeColor="background1" w:themeShade="80"/>
          <w:sz w:val="22"/>
          <w:szCs w:val="22"/>
          <w:lang w:val="en-GB"/>
        </w:rPr>
        <w:t xml:space="preserve">debtor </w:t>
      </w:r>
      <w:r w:rsidR="00416CC1">
        <w:rPr>
          <w:rFonts w:ascii="Avenir Next" w:hAnsi="Avenir Next" w:cs="Arial"/>
          <w:color w:val="808080" w:themeColor="background1" w:themeShade="80"/>
          <w:sz w:val="22"/>
          <w:szCs w:val="22"/>
          <w:lang w:val="en-GB"/>
        </w:rPr>
        <w:t xml:space="preserve">attempts to dissipate his assets from his creditors, or when the proactive creditor acts </w:t>
      </w:r>
      <w:r w:rsidR="00C14F02">
        <w:rPr>
          <w:rFonts w:ascii="Avenir Next" w:hAnsi="Avenir Next" w:cs="Arial"/>
          <w:color w:val="808080" w:themeColor="background1" w:themeShade="80"/>
          <w:sz w:val="22"/>
          <w:szCs w:val="22"/>
          <w:lang w:val="en-GB"/>
        </w:rPr>
        <w:t>pre-emptively</w:t>
      </w:r>
      <w:r w:rsidR="00416CC1">
        <w:rPr>
          <w:rFonts w:ascii="Avenir Next" w:hAnsi="Avenir Next" w:cs="Arial"/>
          <w:color w:val="808080" w:themeColor="background1" w:themeShade="80"/>
          <w:sz w:val="22"/>
          <w:szCs w:val="22"/>
          <w:lang w:val="en-GB"/>
        </w:rPr>
        <w:t xml:space="preserve"> to procure a preferential disposition in his favour, the pool of assets available for the satisfaction of the </w:t>
      </w:r>
      <w:r w:rsidR="00C14F02">
        <w:rPr>
          <w:rFonts w:ascii="Avenir Next" w:hAnsi="Avenir Next" w:cs="Arial"/>
          <w:color w:val="808080" w:themeColor="background1" w:themeShade="80"/>
          <w:sz w:val="22"/>
          <w:szCs w:val="22"/>
          <w:lang w:val="en-GB"/>
        </w:rPr>
        <w:t>debtor’s debts may be mini</w:t>
      </w:r>
      <w:r w:rsidR="00AA0FA7">
        <w:rPr>
          <w:rFonts w:ascii="Avenir Next" w:hAnsi="Avenir Next" w:cs="Arial"/>
          <w:color w:val="808080" w:themeColor="background1" w:themeShade="80"/>
          <w:sz w:val="22"/>
          <w:szCs w:val="22"/>
          <w:lang w:val="en-GB"/>
        </w:rPr>
        <w:t>mi</w:t>
      </w:r>
      <w:r w:rsidR="00C14F02">
        <w:rPr>
          <w:rFonts w:ascii="Avenir Next" w:hAnsi="Avenir Next" w:cs="Arial"/>
          <w:color w:val="808080" w:themeColor="background1" w:themeShade="80"/>
          <w:sz w:val="22"/>
          <w:szCs w:val="22"/>
          <w:lang w:val="en-GB"/>
        </w:rPr>
        <w:t>zed to the detriment of other similarly-situated creditors.</w:t>
      </w:r>
      <w:r w:rsidR="00D3787E">
        <w:rPr>
          <w:rFonts w:ascii="Avenir Next" w:hAnsi="Avenir Next" w:cs="Arial"/>
          <w:color w:val="808080" w:themeColor="background1" w:themeShade="80"/>
          <w:sz w:val="22"/>
          <w:szCs w:val="22"/>
          <w:lang w:val="en-GB"/>
        </w:rPr>
        <w:t xml:space="preserve"> Rules providing for voidable dispositions thus attempt to reverse such attempts so to ensure the equitable treatment of the other creditors in the distribution of the debtor’s assets. In so doing, voidable disposition rules also have a deterrent effect </w:t>
      </w:r>
      <w:r w:rsidR="00364A39">
        <w:rPr>
          <w:rFonts w:ascii="Avenir Next" w:hAnsi="Avenir Next" w:cs="Arial"/>
          <w:color w:val="808080" w:themeColor="background1" w:themeShade="80"/>
          <w:sz w:val="22"/>
          <w:szCs w:val="22"/>
          <w:lang w:val="en-GB"/>
        </w:rPr>
        <w:t>against individual remedies. This then serves as and facilitates “a code of fair commercial conduct” between creditors (</w:t>
      </w:r>
      <w:r w:rsidR="00364A39">
        <w:rPr>
          <w:rFonts w:ascii="Avenir Next" w:hAnsi="Avenir Next" w:cs="Arial"/>
          <w:i/>
          <w:iCs/>
          <w:color w:val="808080" w:themeColor="background1" w:themeShade="80"/>
          <w:sz w:val="22"/>
          <w:szCs w:val="22"/>
          <w:lang w:val="en-GB"/>
        </w:rPr>
        <w:t>Legislative Guide</w:t>
      </w:r>
      <w:r w:rsidR="00364A39">
        <w:rPr>
          <w:rFonts w:ascii="Avenir Next" w:hAnsi="Avenir Next" w:cs="Arial"/>
          <w:color w:val="808080" w:themeColor="background1" w:themeShade="80"/>
          <w:sz w:val="22"/>
          <w:szCs w:val="22"/>
          <w:lang w:val="en-GB"/>
        </w:rPr>
        <w:t xml:space="preserve"> at paragraph 152)</w:t>
      </w:r>
    </w:p>
    <w:p w14:paraId="3F7030FD" w14:textId="4E142955" w:rsidR="00D669AA" w:rsidRDefault="00D669AA" w:rsidP="00AB63DE">
      <w:pPr>
        <w:ind w:left="720" w:hanging="720"/>
        <w:jc w:val="both"/>
        <w:rPr>
          <w:rFonts w:ascii="Avenir Next" w:hAnsi="Avenir Next" w:cs="Arial"/>
          <w:color w:val="808080" w:themeColor="background1" w:themeShade="80"/>
          <w:sz w:val="22"/>
          <w:szCs w:val="22"/>
          <w:lang w:val="en-GB"/>
        </w:rPr>
      </w:pPr>
    </w:p>
    <w:p w14:paraId="6C17F009" w14:textId="2634B123" w:rsidR="00D3787E" w:rsidRDefault="00D669AA" w:rsidP="006615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English and civil law traditions</w:t>
      </w:r>
      <w:r w:rsidR="00D3787E">
        <w:rPr>
          <w:rFonts w:ascii="Avenir Next" w:hAnsi="Avenir Next" w:cs="Arial"/>
          <w:color w:val="808080" w:themeColor="background1" w:themeShade="80"/>
          <w:sz w:val="22"/>
          <w:szCs w:val="22"/>
          <w:lang w:val="en-GB"/>
        </w:rPr>
        <w:t>, however,</w:t>
      </w:r>
      <w:r>
        <w:rPr>
          <w:rFonts w:ascii="Avenir Next" w:hAnsi="Avenir Next" w:cs="Arial"/>
          <w:color w:val="808080" w:themeColor="background1" w:themeShade="80"/>
          <w:sz w:val="22"/>
          <w:szCs w:val="22"/>
          <w:lang w:val="en-GB"/>
        </w:rPr>
        <w:t xml:space="preserve"> differ in their approaches to voidable dispositions</w:t>
      </w:r>
      <w:r w:rsidR="00D3787E">
        <w:rPr>
          <w:rFonts w:ascii="Avenir Next" w:hAnsi="Avenir Next" w:cs="Arial"/>
          <w:color w:val="808080" w:themeColor="background1" w:themeShade="80"/>
          <w:sz w:val="22"/>
          <w:szCs w:val="22"/>
          <w:lang w:val="en-GB"/>
        </w:rPr>
        <w:t xml:space="preserve"> (even if those underlying principles </w:t>
      </w:r>
      <w:r w:rsidR="00193686">
        <w:rPr>
          <w:rFonts w:ascii="Avenir Next" w:hAnsi="Avenir Next" w:cs="Arial"/>
          <w:color w:val="808080" w:themeColor="background1" w:themeShade="80"/>
          <w:sz w:val="22"/>
          <w:szCs w:val="22"/>
          <w:lang w:val="en-GB"/>
        </w:rPr>
        <w:t>remain</w:t>
      </w:r>
      <w:r w:rsidR="00D3787E">
        <w:rPr>
          <w:rFonts w:ascii="Avenir Next" w:hAnsi="Avenir Next" w:cs="Arial"/>
          <w:color w:val="808080" w:themeColor="background1" w:themeShade="80"/>
          <w:sz w:val="22"/>
          <w:szCs w:val="22"/>
          <w:lang w:val="en-GB"/>
        </w:rPr>
        <w:t xml:space="preserve"> broadly similar)</w:t>
      </w:r>
      <w:r>
        <w:rPr>
          <w:rFonts w:ascii="Avenir Next" w:hAnsi="Avenir Next" w:cs="Arial"/>
          <w:color w:val="808080" w:themeColor="background1" w:themeShade="80"/>
          <w:sz w:val="22"/>
          <w:szCs w:val="22"/>
          <w:lang w:val="en-GB"/>
        </w:rPr>
        <w:t xml:space="preserve">. </w:t>
      </w:r>
    </w:p>
    <w:p w14:paraId="0ED18DB7" w14:textId="77777777" w:rsidR="00E949F8" w:rsidRDefault="00E949F8" w:rsidP="006615F6">
      <w:pPr>
        <w:jc w:val="both"/>
        <w:rPr>
          <w:rFonts w:ascii="Avenir Next" w:hAnsi="Avenir Next" w:cs="Arial"/>
          <w:color w:val="808080" w:themeColor="background1" w:themeShade="80"/>
          <w:sz w:val="22"/>
          <w:szCs w:val="22"/>
          <w:lang w:val="en-GB"/>
        </w:rPr>
      </w:pPr>
    </w:p>
    <w:p w14:paraId="311975B4" w14:textId="0493ECB4" w:rsidR="006615F6" w:rsidRPr="00EA66B3" w:rsidRDefault="006615F6" w:rsidP="006615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i/>
          <w:iCs/>
          <w:color w:val="808080" w:themeColor="background1" w:themeShade="80"/>
          <w:sz w:val="22"/>
          <w:szCs w:val="22"/>
          <w:lang w:val="en-GB"/>
        </w:rPr>
        <w:t>actio</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is the basis for fraudulent conveyance law in </w:t>
      </w:r>
      <w:r w:rsidR="00E949F8">
        <w:rPr>
          <w:rFonts w:ascii="Avenir Next" w:hAnsi="Avenir Next" w:cs="Arial"/>
          <w:color w:val="808080" w:themeColor="background1" w:themeShade="80"/>
          <w:sz w:val="22"/>
          <w:szCs w:val="22"/>
          <w:lang w:val="en-GB"/>
        </w:rPr>
        <w:t xml:space="preserve">many </w:t>
      </w:r>
      <w:r>
        <w:rPr>
          <w:rFonts w:ascii="Avenir Next" w:hAnsi="Avenir Next" w:cs="Arial"/>
          <w:color w:val="808080" w:themeColor="background1" w:themeShade="80"/>
          <w:sz w:val="22"/>
          <w:szCs w:val="22"/>
          <w:lang w:val="en-GB"/>
        </w:rPr>
        <w:t>civil law systems</w:t>
      </w:r>
      <w:r w:rsidR="00A91B62">
        <w:rPr>
          <w:rFonts w:ascii="Avenir Next" w:hAnsi="Avenir Next" w:cs="Arial"/>
          <w:color w:val="808080" w:themeColor="background1" w:themeShade="80"/>
          <w:sz w:val="22"/>
          <w:szCs w:val="22"/>
          <w:lang w:val="en-GB"/>
        </w:rPr>
        <w:t xml:space="preserve"> and has its roots in Roman Law. </w:t>
      </w:r>
      <w:r w:rsidR="00364A39">
        <w:rPr>
          <w:rFonts w:ascii="Avenir Next" w:hAnsi="Avenir Next" w:cs="Arial"/>
          <w:color w:val="808080" w:themeColor="background1" w:themeShade="80"/>
          <w:sz w:val="22"/>
          <w:szCs w:val="22"/>
          <w:lang w:val="en-GB"/>
        </w:rPr>
        <w:t xml:space="preserve">Relative to the voidable disposition provisions in the English tradition, the </w:t>
      </w:r>
      <w:proofErr w:type="spellStart"/>
      <w:r w:rsidR="00364A39">
        <w:rPr>
          <w:rFonts w:ascii="Avenir Next" w:hAnsi="Avenir Next" w:cs="Arial"/>
          <w:i/>
          <w:iCs/>
          <w:color w:val="808080" w:themeColor="background1" w:themeShade="80"/>
          <w:sz w:val="22"/>
          <w:szCs w:val="22"/>
          <w:lang w:val="en-GB"/>
        </w:rPr>
        <w:t>actio</w:t>
      </w:r>
      <w:proofErr w:type="spellEnd"/>
      <w:r w:rsidR="00364A39">
        <w:rPr>
          <w:rFonts w:ascii="Avenir Next" w:hAnsi="Avenir Next" w:cs="Arial"/>
          <w:i/>
          <w:iCs/>
          <w:color w:val="808080" w:themeColor="background1" w:themeShade="80"/>
          <w:sz w:val="22"/>
          <w:szCs w:val="22"/>
          <w:lang w:val="en-GB"/>
        </w:rPr>
        <w:t xml:space="preserve"> </w:t>
      </w:r>
      <w:proofErr w:type="spellStart"/>
      <w:r w:rsidR="00364A39">
        <w:rPr>
          <w:rFonts w:ascii="Avenir Next" w:hAnsi="Avenir Next" w:cs="Arial"/>
          <w:i/>
          <w:iCs/>
          <w:color w:val="808080" w:themeColor="background1" w:themeShade="80"/>
          <w:sz w:val="22"/>
          <w:szCs w:val="22"/>
          <w:lang w:val="en-GB"/>
        </w:rPr>
        <w:t>Pauliana</w:t>
      </w:r>
      <w:proofErr w:type="spellEnd"/>
      <w:r w:rsidR="00364A39">
        <w:rPr>
          <w:rFonts w:ascii="Avenir Next" w:hAnsi="Avenir Next" w:cs="Arial"/>
          <w:color w:val="808080" w:themeColor="background1" w:themeShade="80"/>
          <w:sz w:val="22"/>
          <w:szCs w:val="22"/>
          <w:lang w:val="en-GB"/>
        </w:rPr>
        <w:t xml:space="preserve"> has more general and broader applications. </w:t>
      </w:r>
      <w:r w:rsidR="00193686">
        <w:rPr>
          <w:rFonts w:ascii="Avenir Next" w:hAnsi="Avenir Next" w:cs="Arial"/>
          <w:color w:val="808080" w:themeColor="background1" w:themeShade="80"/>
          <w:sz w:val="22"/>
          <w:szCs w:val="22"/>
          <w:lang w:val="en-GB"/>
        </w:rPr>
        <w:t xml:space="preserve">The broader application of the </w:t>
      </w:r>
      <w:proofErr w:type="spellStart"/>
      <w:r w:rsidR="00193686" w:rsidRPr="00193686">
        <w:rPr>
          <w:rFonts w:ascii="Avenir Next" w:hAnsi="Avenir Next" w:cs="Arial"/>
          <w:i/>
          <w:iCs/>
          <w:color w:val="808080" w:themeColor="background1" w:themeShade="80"/>
          <w:sz w:val="22"/>
          <w:szCs w:val="22"/>
          <w:lang w:val="en-GB"/>
        </w:rPr>
        <w:t>actio</w:t>
      </w:r>
      <w:proofErr w:type="spellEnd"/>
      <w:r w:rsidR="00193686" w:rsidRPr="00193686">
        <w:rPr>
          <w:rFonts w:ascii="Avenir Next" w:hAnsi="Avenir Next" w:cs="Arial"/>
          <w:i/>
          <w:iCs/>
          <w:color w:val="808080" w:themeColor="background1" w:themeShade="80"/>
          <w:sz w:val="22"/>
          <w:szCs w:val="22"/>
          <w:lang w:val="en-GB"/>
        </w:rPr>
        <w:t xml:space="preserve"> </w:t>
      </w:r>
      <w:proofErr w:type="spellStart"/>
      <w:r w:rsidR="00193686" w:rsidRPr="00193686">
        <w:rPr>
          <w:rFonts w:ascii="Avenir Next" w:hAnsi="Avenir Next" w:cs="Arial"/>
          <w:i/>
          <w:iCs/>
          <w:color w:val="808080" w:themeColor="background1" w:themeShade="80"/>
          <w:sz w:val="22"/>
          <w:szCs w:val="22"/>
          <w:lang w:val="en-GB"/>
        </w:rPr>
        <w:t>Pauliana</w:t>
      </w:r>
      <w:proofErr w:type="spellEnd"/>
      <w:r w:rsidR="00193686">
        <w:rPr>
          <w:rFonts w:ascii="Avenir Next" w:hAnsi="Avenir Next" w:cs="Arial"/>
          <w:i/>
          <w:iCs/>
          <w:color w:val="808080" w:themeColor="background1" w:themeShade="80"/>
          <w:sz w:val="22"/>
          <w:szCs w:val="22"/>
          <w:lang w:val="en-GB"/>
        </w:rPr>
        <w:t xml:space="preserve"> </w:t>
      </w:r>
      <w:r w:rsidR="00193686">
        <w:rPr>
          <w:rFonts w:ascii="Avenir Next" w:hAnsi="Avenir Next" w:cs="Arial"/>
          <w:color w:val="808080" w:themeColor="background1" w:themeShade="80"/>
          <w:sz w:val="22"/>
          <w:szCs w:val="22"/>
          <w:lang w:val="en-GB"/>
        </w:rPr>
        <w:t xml:space="preserve">accords with the fact that the bankruptcy regime in the civil law system “started off as a collective debt-collecting mechanism that </w:t>
      </w:r>
      <w:r w:rsidR="00193686" w:rsidRPr="00EA66B3">
        <w:rPr>
          <w:rFonts w:ascii="Avenir Next" w:hAnsi="Avenir Next" w:cs="Arial"/>
          <w:i/>
          <w:iCs/>
          <w:color w:val="808080" w:themeColor="background1" w:themeShade="80"/>
          <w:sz w:val="22"/>
          <w:szCs w:val="22"/>
          <w:lang w:val="en-GB"/>
        </w:rPr>
        <w:t>favoured creditors</w:t>
      </w:r>
      <w:r w:rsidR="00193686">
        <w:rPr>
          <w:rFonts w:ascii="Avenir Next" w:hAnsi="Avenir Next" w:cs="Arial"/>
          <w:color w:val="808080" w:themeColor="background1" w:themeShade="80"/>
          <w:sz w:val="22"/>
          <w:szCs w:val="22"/>
          <w:lang w:val="en-GB"/>
        </w:rPr>
        <w:t>”; with the rehabilitation of debtors and abolishment of imprisonment for debt arriving at a later stage (</w:t>
      </w:r>
      <w:r w:rsidR="00157C8D">
        <w:rPr>
          <w:rFonts w:ascii="Avenir Next" w:hAnsi="Avenir Next" w:cs="Arial"/>
          <w:i/>
          <w:iCs/>
          <w:color w:val="808080" w:themeColor="background1" w:themeShade="80"/>
          <w:sz w:val="22"/>
          <w:szCs w:val="22"/>
          <w:lang w:val="en-GB"/>
        </w:rPr>
        <w:t xml:space="preserve">Guidance Text </w:t>
      </w:r>
      <w:r w:rsidR="00157C8D">
        <w:rPr>
          <w:rFonts w:ascii="Avenir Next" w:hAnsi="Avenir Next" w:cs="Arial"/>
          <w:color w:val="808080" w:themeColor="background1" w:themeShade="80"/>
          <w:sz w:val="22"/>
          <w:szCs w:val="22"/>
          <w:lang w:val="en-GB"/>
        </w:rPr>
        <w:t>at p 5</w:t>
      </w:r>
      <w:r w:rsidR="00193686">
        <w:rPr>
          <w:rFonts w:ascii="Avenir Next" w:hAnsi="Avenir Next" w:cs="Arial"/>
          <w:color w:val="808080" w:themeColor="background1" w:themeShade="80"/>
          <w:sz w:val="22"/>
          <w:szCs w:val="22"/>
          <w:lang w:val="en-GB"/>
        </w:rPr>
        <w:t>)</w:t>
      </w:r>
      <w:r w:rsidR="00EA66B3">
        <w:rPr>
          <w:rFonts w:ascii="Avenir Next" w:hAnsi="Avenir Next" w:cs="Arial"/>
          <w:color w:val="808080" w:themeColor="background1" w:themeShade="80"/>
          <w:sz w:val="22"/>
          <w:szCs w:val="22"/>
          <w:lang w:val="en-GB"/>
        </w:rPr>
        <w:t xml:space="preserve">. In the context of Dutch Insolvency laws, the </w:t>
      </w:r>
      <w:r w:rsidR="00EA66B3">
        <w:rPr>
          <w:rFonts w:ascii="Avenir Next" w:hAnsi="Avenir Next" w:cs="Arial"/>
          <w:i/>
          <w:iCs/>
          <w:color w:val="808080" w:themeColor="background1" w:themeShade="80"/>
          <w:sz w:val="22"/>
          <w:szCs w:val="22"/>
          <w:lang w:val="en-GB"/>
        </w:rPr>
        <w:t>Guidance Text</w:t>
      </w:r>
      <w:r w:rsidR="00EA66B3">
        <w:rPr>
          <w:rFonts w:ascii="Avenir Next" w:hAnsi="Avenir Next" w:cs="Arial"/>
          <w:color w:val="808080" w:themeColor="background1" w:themeShade="80"/>
          <w:sz w:val="22"/>
          <w:szCs w:val="22"/>
          <w:lang w:val="en-GB"/>
        </w:rPr>
        <w:t xml:space="preserve"> also sets out that “[b]</w:t>
      </w:r>
      <w:proofErr w:type="spellStart"/>
      <w:r w:rsidR="00EA66B3">
        <w:rPr>
          <w:rFonts w:ascii="Avenir Next" w:hAnsi="Avenir Next" w:cs="Arial"/>
          <w:color w:val="808080" w:themeColor="background1" w:themeShade="80"/>
          <w:sz w:val="22"/>
          <w:szCs w:val="22"/>
          <w:lang w:val="en-GB"/>
        </w:rPr>
        <w:t>efore</w:t>
      </w:r>
      <w:proofErr w:type="spellEnd"/>
      <w:r w:rsidR="00EA66B3">
        <w:rPr>
          <w:rFonts w:ascii="Avenir Next" w:hAnsi="Avenir Next" w:cs="Arial"/>
          <w:color w:val="808080" w:themeColor="background1" w:themeShade="80"/>
          <w:sz w:val="22"/>
          <w:szCs w:val="22"/>
          <w:lang w:val="en-GB"/>
        </w:rPr>
        <w:t xml:space="preserve"> the introduction of </w:t>
      </w:r>
      <w:proofErr w:type="spellStart"/>
      <w:r w:rsidR="00EA66B3">
        <w:rPr>
          <w:rFonts w:ascii="Avenir Next" w:hAnsi="Avenir Next" w:cs="Arial"/>
          <w:i/>
          <w:iCs/>
          <w:color w:val="808080" w:themeColor="background1" w:themeShade="80"/>
          <w:sz w:val="22"/>
          <w:szCs w:val="22"/>
          <w:lang w:val="en-GB"/>
        </w:rPr>
        <w:t>schuldsanering</w:t>
      </w:r>
      <w:proofErr w:type="spellEnd"/>
      <w:r w:rsidR="00EA66B3">
        <w:rPr>
          <w:rFonts w:ascii="Avenir Next" w:hAnsi="Avenir Next" w:cs="Arial"/>
          <w:color w:val="808080" w:themeColor="background1" w:themeShade="80"/>
          <w:sz w:val="22"/>
          <w:szCs w:val="22"/>
          <w:lang w:val="en-GB"/>
        </w:rPr>
        <w:t>, Dutch law was typical of many West-Europea</w:t>
      </w:r>
      <w:r w:rsidR="00EC59E1">
        <w:rPr>
          <w:rFonts w:ascii="Avenir Next" w:hAnsi="Avenir Next" w:cs="Arial"/>
          <w:color w:val="808080" w:themeColor="background1" w:themeShade="80"/>
          <w:sz w:val="22"/>
          <w:szCs w:val="22"/>
          <w:lang w:val="en-GB"/>
        </w:rPr>
        <w:t>n</w:t>
      </w:r>
      <w:r w:rsidR="00EA66B3">
        <w:rPr>
          <w:rFonts w:ascii="Avenir Next" w:hAnsi="Avenir Next" w:cs="Arial"/>
          <w:color w:val="808080" w:themeColor="background1" w:themeShade="80"/>
          <w:sz w:val="22"/>
          <w:szCs w:val="22"/>
          <w:lang w:val="en-GB"/>
        </w:rPr>
        <w:t xml:space="preserve"> countries in being very much pro-creditor – no discharge was allowed unless creditors agreed.</w:t>
      </w:r>
    </w:p>
    <w:p w14:paraId="7E9F61C4" w14:textId="51CA538E" w:rsidR="00AB63DE" w:rsidRDefault="00AB63DE" w:rsidP="00692852">
      <w:pPr>
        <w:jc w:val="both"/>
        <w:rPr>
          <w:rFonts w:ascii="Avenir Next" w:hAnsi="Avenir Next" w:cs="Arial"/>
          <w:sz w:val="22"/>
          <w:szCs w:val="22"/>
          <w:lang w:val="en-GB"/>
        </w:rPr>
      </w:pPr>
    </w:p>
    <w:p w14:paraId="0F768223" w14:textId="6FA18521" w:rsidR="00E949F8" w:rsidRDefault="00E949F8" w:rsidP="00E949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genesis of voidable dispositions in English Law systems is the 1570 ‘Act of Elizabeth’</w:t>
      </w:r>
      <w:r>
        <w:rPr>
          <w:rFonts w:ascii="Avenir Next" w:hAnsi="Avenir Next" w:cs="Arial"/>
          <w:color w:val="808080" w:themeColor="background1" w:themeShade="80"/>
          <w:sz w:val="22"/>
          <w:szCs w:val="22"/>
          <w:lang w:val="en-GB"/>
        </w:rPr>
        <w:t xml:space="preserve">. English legal systems generally provide two types of avoidance actions, the fraudulent conveyance/transaction (in which property is disposed in circumstances that increases/causes the debtor’s insolvency), or unfair preferences (which improve the creditor’s position relative to other creditors once insolvency commences). </w:t>
      </w:r>
      <w:r w:rsidR="00EC59E1">
        <w:rPr>
          <w:rFonts w:ascii="Avenir Next" w:hAnsi="Avenir Next" w:cs="Arial"/>
          <w:color w:val="808080" w:themeColor="background1" w:themeShade="80"/>
          <w:sz w:val="22"/>
          <w:szCs w:val="22"/>
          <w:lang w:val="en-GB"/>
        </w:rPr>
        <w:t>The more constrained nature of the English legal system perhaps reflects its relatively more pro-debtor stance.</w:t>
      </w:r>
    </w:p>
    <w:p w14:paraId="59F46293" w14:textId="77777777" w:rsidR="00E949F8" w:rsidRPr="004216EA" w:rsidRDefault="00E949F8"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lastRenderedPageBreak/>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65A5E135" w:rsidR="001E1C34" w:rsidRDefault="006B7CAD" w:rsidP="006B7CA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definition is perceived to have limitations because “it is connected to the existence of a national legal framework of insolvency law” (</w:t>
      </w:r>
      <w:r>
        <w:rPr>
          <w:rFonts w:ascii="Avenir Next" w:hAnsi="Avenir Next" w:cs="Arial"/>
          <w:i/>
          <w:iCs/>
          <w:color w:val="808080" w:themeColor="background1" w:themeShade="80"/>
          <w:sz w:val="22"/>
          <w:szCs w:val="22"/>
          <w:lang w:val="en-GB"/>
        </w:rPr>
        <w:t xml:space="preserve">Guidance Text </w:t>
      </w:r>
      <w:r>
        <w:rPr>
          <w:rFonts w:ascii="Avenir Next" w:hAnsi="Avenir Next" w:cs="Arial"/>
          <w:color w:val="808080" w:themeColor="background1" w:themeShade="80"/>
          <w:sz w:val="22"/>
          <w:szCs w:val="22"/>
          <w:lang w:val="en-GB"/>
        </w:rPr>
        <w:t>at p 34). In other words, it presumes that there is an applicable (national) law in the first case</w:t>
      </w:r>
      <w:r w:rsidR="00134639">
        <w:rPr>
          <w:rFonts w:ascii="Avenir Next" w:hAnsi="Avenir Next" w:cs="Arial"/>
          <w:color w:val="808080" w:themeColor="background1" w:themeShade="80"/>
          <w:sz w:val="22"/>
          <w:szCs w:val="22"/>
          <w:lang w:val="en-GB"/>
        </w:rPr>
        <w:t xml:space="preserve"> (and therefore goes on to state what this applicable law </w:t>
      </w:r>
      <w:r w:rsidR="00134639">
        <w:rPr>
          <w:rFonts w:ascii="Avenir Next" w:hAnsi="Avenir Next" w:cs="Arial"/>
          <w:i/>
          <w:iCs/>
          <w:color w:val="808080" w:themeColor="background1" w:themeShade="80"/>
          <w:sz w:val="22"/>
          <w:szCs w:val="22"/>
          <w:lang w:val="en-GB"/>
        </w:rPr>
        <w:t>cannot do</w:t>
      </w:r>
      <w:r w:rsidR="00134639">
        <w:rPr>
          <w:rFonts w:ascii="Avenir Next" w:hAnsi="Avenir Next" w:cs="Arial"/>
          <w:color w:val="808080" w:themeColor="background1" w:themeShade="80"/>
          <w:sz w:val="22"/>
          <w:szCs w:val="22"/>
          <w:lang w:val="en-GB"/>
        </w:rPr>
        <w:t xml:space="preserve"> insofar as a state’s jurisdictional enforcement powers ends with its national borders)</w:t>
      </w:r>
      <w:r>
        <w:rPr>
          <w:rFonts w:ascii="Avenir Next" w:hAnsi="Avenir Next" w:cs="Arial"/>
          <w:color w:val="808080" w:themeColor="background1" w:themeShade="80"/>
          <w:sz w:val="22"/>
          <w:szCs w:val="22"/>
          <w:lang w:val="en-GB"/>
        </w:rPr>
        <w:t xml:space="preserve">. This may be contrasted to Fletcher’s definition, in which cross-border insolvency is described as a </w:t>
      </w:r>
      <w:r>
        <w:rPr>
          <w:rFonts w:ascii="Avenir Next" w:hAnsi="Avenir Next" w:cs="Arial"/>
          <w:i/>
          <w:iCs/>
          <w:color w:val="808080" w:themeColor="background1" w:themeShade="80"/>
          <w:sz w:val="22"/>
          <w:szCs w:val="22"/>
          <w:lang w:val="en-GB"/>
        </w:rPr>
        <w:t>situation</w:t>
      </w:r>
      <w:r>
        <w:rPr>
          <w:rFonts w:ascii="Avenir Next" w:hAnsi="Avenir Next" w:cs="Arial"/>
          <w:color w:val="808080" w:themeColor="background1" w:themeShade="80"/>
          <w:sz w:val="22"/>
          <w:szCs w:val="22"/>
          <w:lang w:val="en-GB"/>
        </w:rPr>
        <w:t xml:space="preserve"> in which “an insolvency occurs in circumstances which in some way </w:t>
      </w:r>
      <w:r>
        <w:rPr>
          <w:rFonts w:ascii="Avenir Next" w:hAnsi="Avenir Next" w:cs="Arial"/>
          <w:i/>
          <w:iCs/>
          <w:color w:val="808080" w:themeColor="background1" w:themeShade="80"/>
          <w:sz w:val="22"/>
          <w:szCs w:val="22"/>
          <w:lang w:val="en-GB"/>
        </w:rPr>
        <w:t>transcend the confines of a single legal system</w:t>
      </w:r>
      <w:r>
        <w:rPr>
          <w:rFonts w:ascii="Avenir Next" w:hAnsi="Avenir Next" w:cs="Arial"/>
          <w:color w:val="808080" w:themeColor="background1" w:themeShade="80"/>
          <w:sz w:val="22"/>
          <w:szCs w:val="22"/>
          <w:lang w:val="en-GB"/>
        </w:rPr>
        <w:t>, so that the a [</w:t>
      </w:r>
      <w:r>
        <w:rPr>
          <w:rFonts w:ascii="Avenir Next" w:hAnsi="Avenir Next" w:cs="Arial"/>
          <w:i/>
          <w:iCs/>
          <w:color w:val="808080" w:themeColor="background1" w:themeShade="80"/>
          <w:sz w:val="22"/>
          <w:szCs w:val="22"/>
          <w:lang w:val="en-GB"/>
        </w:rPr>
        <w:t>sic</w:t>
      </w:r>
      <w:r>
        <w:rPr>
          <w:rFonts w:ascii="Avenir Next" w:hAnsi="Avenir Next" w:cs="Arial"/>
          <w:color w:val="808080" w:themeColor="background1" w:themeShade="80"/>
          <w:sz w:val="22"/>
          <w:szCs w:val="22"/>
          <w:lang w:val="en-GB"/>
        </w:rPr>
        <w:t xml:space="preserve">] single set of domestic insolvency law provisions cannot immediately and exclusively </w:t>
      </w:r>
      <w:proofErr w:type="gramStart"/>
      <w:r>
        <w:rPr>
          <w:rFonts w:ascii="Avenir Next" w:hAnsi="Avenir Next" w:cs="Arial"/>
          <w:color w:val="808080" w:themeColor="background1" w:themeShade="80"/>
          <w:sz w:val="22"/>
          <w:szCs w:val="22"/>
          <w:lang w:val="en-GB"/>
        </w:rPr>
        <w:t>applied</w:t>
      </w:r>
      <w:proofErr w:type="gramEnd"/>
      <w:r>
        <w:rPr>
          <w:rFonts w:ascii="Avenir Next" w:hAnsi="Avenir Next" w:cs="Arial"/>
          <w:color w:val="808080" w:themeColor="background1" w:themeShade="80"/>
          <w:sz w:val="22"/>
          <w:szCs w:val="22"/>
          <w:lang w:val="en-GB"/>
        </w:rPr>
        <w:t xml:space="preserve"> without regard to issues raised by the foreign elements of the case”. Indeed, </w:t>
      </w:r>
      <w:r w:rsidR="00134639">
        <w:rPr>
          <w:rFonts w:ascii="Avenir Next" w:hAnsi="Avenir Next" w:cs="Arial"/>
          <w:color w:val="808080" w:themeColor="background1" w:themeShade="80"/>
          <w:sz w:val="22"/>
          <w:szCs w:val="22"/>
          <w:lang w:val="en-GB"/>
        </w:rPr>
        <w:t>Fletcher’s definition places “international insolvency law” on a more amorphous and nebulous perch. This may accord better with the reality that there is no one uniform set of insolvency rules that apply from jurisdiction to jurisdiction.</w:t>
      </w:r>
    </w:p>
    <w:p w14:paraId="27BDAAB6" w14:textId="50382166" w:rsidR="00134639" w:rsidRDefault="00134639" w:rsidP="006B7CAD">
      <w:pPr>
        <w:jc w:val="both"/>
        <w:rPr>
          <w:rFonts w:ascii="Avenir Next" w:hAnsi="Avenir Next" w:cs="Arial"/>
          <w:color w:val="808080" w:themeColor="background1" w:themeShade="80"/>
          <w:sz w:val="22"/>
          <w:szCs w:val="22"/>
          <w:lang w:val="en-GB"/>
        </w:rPr>
      </w:pPr>
    </w:p>
    <w:p w14:paraId="14661C60" w14:textId="4B6EBA0A" w:rsidR="00134639" w:rsidRPr="00134639" w:rsidRDefault="00134639" w:rsidP="006B7CA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same vein, </w:t>
      </w:r>
      <w:proofErr w:type="spellStart"/>
      <w:r>
        <w:rPr>
          <w:rFonts w:ascii="Avenir Next" w:hAnsi="Avenir Next" w:cs="Arial"/>
          <w:color w:val="808080" w:themeColor="background1" w:themeShade="80"/>
          <w:sz w:val="22"/>
          <w:szCs w:val="22"/>
          <w:lang w:val="en-GB"/>
        </w:rPr>
        <w:t>Friman’s</w:t>
      </w:r>
      <w:proofErr w:type="spellEnd"/>
      <w:r>
        <w:rPr>
          <w:rFonts w:ascii="Avenir Next" w:hAnsi="Avenir Next" w:cs="Arial"/>
          <w:color w:val="808080" w:themeColor="background1" w:themeShade="80"/>
          <w:sz w:val="22"/>
          <w:szCs w:val="22"/>
          <w:lang w:val="en-GB"/>
        </w:rPr>
        <w:t xml:space="preserve"> observations (that follow immediately from Fletcher’s in the </w:t>
      </w:r>
      <w:r>
        <w:rPr>
          <w:rFonts w:ascii="Avenir Next" w:hAnsi="Avenir Next" w:cs="Arial"/>
          <w:i/>
          <w:iCs/>
          <w:color w:val="808080" w:themeColor="background1" w:themeShade="80"/>
          <w:sz w:val="22"/>
          <w:szCs w:val="22"/>
          <w:lang w:val="en-GB"/>
        </w:rPr>
        <w:t>Guidance Text</w:t>
      </w:r>
      <w:r>
        <w:rPr>
          <w:rFonts w:ascii="Avenir Next" w:hAnsi="Avenir Next" w:cs="Arial"/>
          <w:color w:val="808080" w:themeColor="background1" w:themeShade="80"/>
          <w:sz w:val="22"/>
          <w:szCs w:val="22"/>
          <w:lang w:val="en-GB"/>
        </w:rPr>
        <w:t>, p 34) on the USA’s stance that insolvency law is a matter of federal law and not state law is analogous</w:t>
      </w:r>
      <w:r w:rsidR="00575862">
        <w:rPr>
          <w:rFonts w:ascii="Avenir Next" w:hAnsi="Avenir Next" w:cs="Arial"/>
          <w:color w:val="808080" w:themeColor="background1" w:themeShade="80"/>
          <w:sz w:val="22"/>
          <w:szCs w:val="22"/>
          <w:lang w:val="en-GB"/>
        </w:rPr>
        <w:t xml:space="preserve"> – again, there is no one overarching set of laws (which binds every jurisdiction) in the international sphere.</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797AD091" w:rsidR="001E1C34" w:rsidRDefault="00BF219B" w:rsidP="00BF21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may become a source of a state’s ‘hard’ insolvency law once </w:t>
      </w:r>
      <w:r w:rsidR="00841D0E">
        <w:rPr>
          <w:rFonts w:ascii="Avenir Next" w:hAnsi="Avenir Next" w:cs="Arial"/>
          <w:color w:val="808080" w:themeColor="background1" w:themeShade="80"/>
          <w:sz w:val="22"/>
          <w:szCs w:val="22"/>
          <w:lang w:val="en-GB"/>
        </w:rPr>
        <w:t xml:space="preserve">it is ratified and </w:t>
      </w:r>
      <w:r>
        <w:rPr>
          <w:rFonts w:ascii="Avenir Next" w:hAnsi="Avenir Next" w:cs="Arial"/>
          <w:color w:val="808080" w:themeColor="background1" w:themeShade="80"/>
          <w:sz w:val="22"/>
          <w:szCs w:val="22"/>
          <w:lang w:val="en-GB"/>
        </w:rPr>
        <w:t xml:space="preserve">received into said state’s domestic law. </w:t>
      </w:r>
      <w:r w:rsidR="001F75A9">
        <w:rPr>
          <w:rFonts w:ascii="Avenir Next" w:hAnsi="Avenir Next" w:cs="Arial"/>
          <w:color w:val="808080" w:themeColor="background1" w:themeShade="80"/>
          <w:sz w:val="22"/>
          <w:szCs w:val="22"/>
          <w:lang w:val="en-GB"/>
        </w:rPr>
        <w:t xml:space="preserve">These instruments generally seek to provide a common basis to which the questions of appropriate forum, recognition and enforcement and choice of law may be resolved in cross-border insolvencies. </w:t>
      </w:r>
      <w:r>
        <w:rPr>
          <w:rFonts w:ascii="Avenir Next" w:hAnsi="Avenir Next" w:cs="Arial"/>
          <w:color w:val="808080" w:themeColor="background1" w:themeShade="80"/>
          <w:sz w:val="22"/>
          <w:szCs w:val="22"/>
          <w:lang w:val="en-GB"/>
        </w:rPr>
        <w:t xml:space="preserve">Such treaties may operate </w:t>
      </w:r>
      <w:r w:rsidR="00841D0E">
        <w:rPr>
          <w:rFonts w:ascii="Avenir Next" w:hAnsi="Avenir Next" w:cs="Arial"/>
          <w:color w:val="808080" w:themeColor="background1" w:themeShade="80"/>
          <w:sz w:val="22"/>
          <w:szCs w:val="22"/>
          <w:lang w:val="en-GB"/>
        </w:rPr>
        <w:t xml:space="preserve">at the </w:t>
      </w:r>
      <w:r>
        <w:rPr>
          <w:rFonts w:ascii="Avenir Next" w:hAnsi="Avenir Next" w:cs="Arial"/>
          <w:color w:val="808080" w:themeColor="background1" w:themeShade="80"/>
          <w:sz w:val="22"/>
          <w:szCs w:val="22"/>
          <w:lang w:val="en-GB"/>
        </w:rPr>
        <w:t>bilateral or multilateral</w:t>
      </w:r>
      <w:r w:rsidR="00841D0E">
        <w:rPr>
          <w:rFonts w:ascii="Avenir Next" w:hAnsi="Avenir Next" w:cs="Arial"/>
          <w:color w:val="808080" w:themeColor="background1" w:themeShade="80"/>
          <w:sz w:val="22"/>
          <w:szCs w:val="22"/>
          <w:lang w:val="en-GB"/>
        </w:rPr>
        <w:t xml:space="preserve"> level, and may span across specific regions/continents or have global reach.</w:t>
      </w:r>
    </w:p>
    <w:p w14:paraId="4EC4D7E7" w14:textId="709B9201" w:rsidR="00841D0E" w:rsidRDefault="00841D0E" w:rsidP="00BF219B">
      <w:pPr>
        <w:jc w:val="both"/>
        <w:rPr>
          <w:rFonts w:ascii="Avenir Next" w:hAnsi="Avenir Next" w:cs="Arial"/>
          <w:color w:val="808080" w:themeColor="background1" w:themeShade="80"/>
          <w:sz w:val="22"/>
          <w:szCs w:val="22"/>
          <w:lang w:val="en-GB"/>
        </w:rPr>
      </w:pPr>
    </w:p>
    <w:p w14:paraId="52332107" w14:textId="14576AB8" w:rsidR="00D21083" w:rsidRDefault="001F75A9" w:rsidP="00BF21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connection, the extent to which such treaties are viewed as a successful way to establish such rules largely depends on their reach. International law instruments such as treaties ultimately operate on the basis of assent (as opposed to municipal laws, to which the private individual does not necessarily/direct give consent to be bound by); and to that extent, a key measure of a treaties’ effectiveness is whether it can establish a common </w:t>
      </w:r>
      <w:r>
        <w:rPr>
          <w:rFonts w:ascii="Avenir Next" w:hAnsi="Avenir Next" w:cs="Arial"/>
          <w:color w:val="808080" w:themeColor="background1" w:themeShade="80"/>
          <w:sz w:val="22"/>
          <w:szCs w:val="22"/>
          <w:lang w:val="en-GB"/>
        </w:rPr>
        <w:lastRenderedPageBreak/>
        <w:t xml:space="preserve">consensus of rules amongst its ‘target audience’. Some of these instruments even provide for a minimum number of ratifying countries before entry-into-force. For instance, </w:t>
      </w:r>
      <w:r w:rsidR="00D21083">
        <w:rPr>
          <w:rFonts w:ascii="Avenir Next" w:hAnsi="Avenir Next" w:cs="Arial"/>
          <w:color w:val="808080" w:themeColor="background1" w:themeShade="80"/>
          <w:sz w:val="22"/>
          <w:szCs w:val="22"/>
          <w:lang w:val="en-GB"/>
        </w:rPr>
        <w:t xml:space="preserve">in the European context, </w:t>
      </w:r>
      <w:r>
        <w:rPr>
          <w:rFonts w:ascii="Avenir Next" w:hAnsi="Avenir Next" w:cs="Arial"/>
          <w:color w:val="808080" w:themeColor="background1" w:themeShade="80"/>
          <w:sz w:val="22"/>
          <w:szCs w:val="22"/>
          <w:lang w:val="en-GB"/>
        </w:rPr>
        <w:t xml:space="preserve">the 1990 Convention on Certain International Aspects of </w:t>
      </w:r>
      <w:proofErr w:type="gramStart"/>
      <w:r>
        <w:rPr>
          <w:rFonts w:ascii="Avenir Next" w:hAnsi="Avenir Next" w:cs="Arial"/>
          <w:color w:val="808080" w:themeColor="background1" w:themeShade="80"/>
          <w:sz w:val="22"/>
          <w:szCs w:val="22"/>
          <w:lang w:val="en-GB"/>
        </w:rPr>
        <w:t>Bankruptcy  (</w:t>
      </w:r>
      <w:proofErr w:type="gramEnd"/>
      <w:r>
        <w:rPr>
          <w:rFonts w:ascii="Avenir Next" w:hAnsi="Avenir Next" w:cs="Arial"/>
          <w:color w:val="808080" w:themeColor="background1" w:themeShade="80"/>
          <w:sz w:val="22"/>
          <w:szCs w:val="22"/>
          <w:lang w:val="en-GB"/>
        </w:rPr>
        <w:t xml:space="preserve">the Istanbul Convention) was only signed by 8 member states and </w:t>
      </w:r>
      <w:r w:rsidR="00D21083">
        <w:rPr>
          <w:rFonts w:ascii="Avenir Next" w:hAnsi="Avenir Next" w:cs="Arial"/>
          <w:color w:val="808080" w:themeColor="background1" w:themeShade="80"/>
          <w:sz w:val="22"/>
          <w:szCs w:val="22"/>
          <w:lang w:val="en-GB"/>
        </w:rPr>
        <w:t xml:space="preserve">only one ratification (Cyprus in 1994; see </w:t>
      </w:r>
      <w:r w:rsidR="00D21083" w:rsidRPr="00D21083">
        <w:rPr>
          <w:rFonts w:ascii="Avenir Next" w:hAnsi="Avenir Next" w:cs="Arial"/>
          <w:color w:val="808080" w:themeColor="background1" w:themeShade="80"/>
          <w:sz w:val="22"/>
          <w:szCs w:val="22"/>
          <w:lang w:val="en-GB"/>
        </w:rPr>
        <w:t>https://www.coe.int/en/web/conventions/full-list?module=signatures-by</w:t>
      </w:r>
      <w:r w:rsidR="00D21083">
        <w:rPr>
          <w:rFonts w:ascii="Avenir Next" w:hAnsi="Avenir Next" w:cs="Arial"/>
          <w:color w:val="808080" w:themeColor="background1" w:themeShade="80"/>
          <w:sz w:val="22"/>
          <w:szCs w:val="22"/>
          <w:lang w:val="en-GB"/>
        </w:rPr>
        <w:t>-</w:t>
      </w:r>
      <w:r w:rsidR="00D21083" w:rsidRPr="00D21083">
        <w:rPr>
          <w:rFonts w:ascii="Avenir Next" w:hAnsi="Avenir Next" w:cs="Arial"/>
          <w:color w:val="808080" w:themeColor="background1" w:themeShade="80"/>
          <w:sz w:val="22"/>
          <w:szCs w:val="22"/>
          <w:lang w:val="en-GB"/>
        </w:rPr>
        <w:t>treaty&amp;treatynum=136</w:t>
      </w:r>
      <w:r w:rsidR="00D21083">
        <w:rPr>
          <w:rFonts w:ascii="Avenir Next" w:hAnsi="Avenir Next" w:cs="Arial"/>
          <w:color w:val="808080" w:themeColor="background1" w:themeShade="80"/>
          <w:sz w:val="22"/>
          <w:szCs w:val="22"/>
          <w:lang w:val="en-GB"/>
        </w:rPr>
        <w:t xml:space="preserve">) , which did not meet the minimum of three ratifications before entry-into-force. Conversely (and alluding to the ‘involuntary’ nature of municipal laws mentioned earlier); the European Union appears to have considerable success through </w:t>
      </w:r>
      <w:r w:rsidR="00D21083">
        <w:rPr>
          <w:rFonts w:ascii="Avenir Next" w:hAnsi="Avenir Next" w:cs="Arial"/>
          <w:i/>
          <w:iCs/>
          <w:color w:val="808080" w:themeColor="background1" w:themeShade="80"/>
          <w:sz w:val="22"/>
          <w:szCs w:val="22"/>
          <w:lang w:val="en-GB"/>
        </w:rPr>
        <w:t xml:space="preserve">regulation </w:t>
      </w:r>
      <w:r w:rsidR="00D21083">
        <w:rPr>
          <w:rFonts w:ascii="Avenir Next" w:hAnsi="Avenir Next" w:cs="Arial"/>
          <w:color w:val="808080" w:themeColor="background1" w:themeShade="80"/>
          <w:sz w:val="22"/>
          <w:szCs w:val="22"/>
          <w:lang w:val="en-GB"/>
        </w:rPr>
        <w:t>such as the European Insolvency Regulation (2000) and its subsequent recast.</w:t>
      </w:r>
    </w:p>
    <w:p w14:paraId="78A5CAA4" w14:textId="0B5BDF75" w:rsidR="00D21083" w:rsidRDefault="00D21083" w:rsidP="00BF219B">
      <w:pPr>
        <w:jc w:val="both"/>
        <w:rPr>
          <w:rFonts w:ascii="Avenir Next" w:hAnsi="Avenir Next" w:cs="Arial"/>
          <w:color w:val="808080" w:themeColor="background1" w:themeShade="80"/>
          <w:sz w:val="22"/>
          <w:szCs w:val="22"/>
          <w:lang w:val="en-GB"/>
        </w:rPr>
      </w:pPr>
    </w:p>
    <w:p w14:paraId="724655F8" w14:textId="20F808CF" w:rsidR="00D21083" w:rsidRPr="00B6354C" w:rsidRDefault="00D21083" w:rsidP="00BF219B">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GB"/>
        </w:rPr>
        <w:t xml:space="preserve">The ‘hard’ law approach embodied by treaties may also be contrasted to ‘soft law’ options, which the </w:t>
      </w:r>
      <w:r>
        <w:rPr>
          <w:rFonts w:ascii="Avenir Next" w:hAnsi="Avenir Next" w:cs="Arial"/>
          <w:i/>
          <w:iCs/>
          <w:color w:val="808080" w:themeColor="background1" w:themeShade="80"/>
          <w:sz w:val="22"/>
          <w:szCs w:val="22"/>
          <w:lang w:val="en-GB"/>
        </w:rPr>
        <w:t>Guidance Text</w:t>
      </w:r>
      <w:r>
        <w:rPr>
          <w:rFonts w:ascii="Avenir Next" w:hAnsi="Avenir Next" w:cs="Arial"/>
          <w:color w:val="808080" w:themeColor="background1" w:themeShade="80"/>
          <w:sz w:val="22"/>
          <w:szCs w:val="22"/>
          <w:lang w:val="en-GB"/>
        </w:rPr>
        <w:t xml:space="preserve"> notes has </w:t>
      </w:r>
      <w:r w:rsidR="00B6354C">
        <w:rPr>
          <w:rFonts w:ascii="Avenir Next" w:hAnsi="Avenir Next" w:cs="Arial"/>
          <w:color w:val="808080" w:themeColor="background1" w:themeShade="80"/>
          <w:sz w:val="22"/>
          <w:szCs w:val="22"/>
          <w:lang w:val="en-GB"/>
        </w:rPr>
        <w:t>gained more traction</w:t>
      </w:r>
      <w:r>
        <w:rPr>
          <w:rFonts w:ascii="Avenir Next" w:hAnsi="Avenir Next" w:cs="Arial"/>
          <w:color w:val="808080" w:themeColor="background1" w:themeShade="80"/>
          <w:sz w:val="22"/>
          <w:szCs w:val="22"/>
          <w:lang w:val="en-GB"/>
        </w:rPr>
        <w:t>. The most notable example is the UNCITRAL Model Law on Cross-border Insolvency (“the Model Law”), which did not take the form of a treaty but simply a draft piece of legislation</w:t>
      </w:r>
      <w:r w:rsidR="00B6354C">
        <w:rPr>
          <w:rFonts w:ascii="Avenir Next" w:hAnsi="Avenir Next" w:cs="Arial"/>
          <w:color w:val="808080" w:themeColor="background1" w:themeShade="80"/>
          <w:sz w:val="22"/>
          <w:szCs w:val="22"/>
          <w:lang w:val="en-GB"/>
        </w:rPr>
        <w:t xml:space="preserve"> </w:t>
      </w:r>
      <w:r w:rsidR="00B6354C" w:rsidRPr="00B6354C">
        <w:rPr>
          <w:rFonts w:ascii="Avenir Next" w:hAnsi="Avenir Next" w:cs="Arial"/>
          <w:color w:val="808080" w:themeColor="background1" w:themeShade="80"/>
          <w:sz w:val="22"/>
          <w:szCs w:val="22"/>
          <w:lang w:val="en-SG"/>
        </w:rPr>
        <w:t xml:space="preserve">designed to assist </w:t>
      </w:r>
      <w:r w:rsidR="00B6354C">
        <w:rPr>
          <w:rFonts w:ascii="Avenir Next" w:hAnsi="Avenir Next" w:cs="Arial"/>
          <w:color w:val="808080" w:themeColor="background1" w:themeShade="80"/>
          <w:sz w:val="22"/>
          <w:szCs w:val="22"/>
          <w:lang w:val="en-SG"/>
        </w:rPr>
        <w:t>UNCITRAL member states</w:t>
      </w:r>
      <w:r w:rsidR="00B6354C" w:rsidRPr="00B6354C">
        <w:rPr>
          <w:rFonts w:ascii="Avenir Next" w:hAnsi="Avenir Next" w:cs="Arial"/>
          <w:color w:val="808080" w:themeColor="background1" w:themeShade="80"/>
          <w:sz w:val="22"/>
          <w:szCs w:val="22"/>
          <w:lang w:val="en-SG"/>
        </w:rPr>
        <w:t xml:space="preserve"> equip their insolvency laws with a modern, harmonized and fair framework</w:t>
      </w:r>
      <w:r w:rsidR="00B6354C">
        <w:rPr>
          <w:rFonts w:ascii="Avenir Next" w:hAnsi="Avenir Next" w:cs="Arial"/>
          <w:color w:val="808080" w:themeColor="background1" w:themeShade="80"/>
          <w:sz w:val="22"/>
          <w:szCs w:val="22"/>
          <w:lang w:val="en-SG"/>
        </w:rPr>
        <w:t xml:space="preserve">. </w:t>
      </w:r>
      <w:r w:rsidR="00B6354C">
        <w:rPr>
          <w:rFonts w:ascii="Avenir Next" w:hAnsi="Avenir Next" w:cs="Arial"/>
          <w:color w:val="808080" w:themeColor="background1" w:themeShade="80"/>
          <w:sz w:val="22"/>
          <w:szCs w:val="22"/>
          <w:lang w:val="en-GB"/>
        </w:rPr>
        <w:t xml:space="preserve">A testament to its wide-adoption and success is evident from the fact that legislation based on the Model Law has been adopted in 53 States in a total of 56 jurisdictions, and the fact that a compilation of case law could be released in 2021 by UNCITRAL (see </w:t>
      </w:r>
      <w:r w:rsidR="00B6354C">
        <w:rPr>
          <w:rFonts w:ascii="Avenir Next" w:hAnsi="Avenir Next" w:cs="Arial"/>
          <w:i/>
          <w:iCs/>
          <w:color w:val="808080" w:themeColor="background1" w:themeShade="80"/>
          <w:sz w:val="22"/>
          <w:szCs w:val="22"/>
          <w:lang w:val="en-GB"/>
        </w:rPr>
        <w:t>Digest of Case Law on the UNCITRAL Model Law on Cross-Border Insolvency</w:t>
      </w:r>
      <w:r w:rsidR="00B6354C">
        <w:rPr>
          <w:rFonts w:ascii="Avenir Next" w:hAnsi="Avenir Next" w:cs="Arial"/>
          <w:color w:val="808080" w:themeColor="background1" w:themeShade="80"/>
          <w:sz w:val="22"/>
          <w:szCs w:val="22"/>
          <w:lang w:val="en-GB"/>
        </w:rPr>
        <w:t>) attests to its success.</w:t>
      </w:r>
    </w:p>
    <w:p w14:paraId="4F492EF5" w14:textId="459B5EE5" w:rsidR="00841D0E" w:rsidRDefault="00841D0E" w:rsidP="00692852">
      <w:pPr>
        <w:jc w:val="both"/>
        <w:rPr>
          <w:rFonts w:ascii="Avenir Next" w:hAnsi="Avenir Next"/>
          <w:sz w:val="22"/>
          <w:szCs w:val="22"/>
        </w:rPr>
      </w:pPr>
    </w:p>
    <w:p w14:paraId="749454A0" w14:textId="77777777" w:rsidR="00841D0E" w:rsidRPr="004216EA" w:rsidRDefault="00841D0E"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053D9F92" w:rsidR="001E1C34" w:rsidRDefault="0070726D" w:rsidP="00EC59E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main difference between ‘formal’ and ‘informal </w:t>
      </w:r>
      <w:r w:rsidR="001C63E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insolvency arrangements </w:t>
      </w:r>
      <w:r w:rsidR="001C63E0">
        <w:rPr>
          <w:rFonts w:ascii="Avenir Next" w:hAnsi="Avenir Next" w:cs="Arial"/>
          <w:color w:val="808080" w:themeColor="background1" w:themeShade="80"/>
          <w:sz w:val="22"/>
          <w:szCs w:val="22"/>
          <w:lang w:val="en-GB"/>
        </w:rPr>
        <w:t>is that the former is commenced under the insolvency law and generally involve court sanction. The latter need not always be regulated by insolvency law, and can be resolved via negotiations between the debtors and the creditors. That said, it is noted that “these voluntary negotiations nevertheless depend for their effectiveness upon the existence of an insolvency law, which can provide indirect incentives or persuasive force to achieve reorganization”, perhaps at the pain of court-enforced penalties (</w:t>
      </w:r>
      <w:r w:rsidR="001C63E0">
        <w:rPr>
          <w:rFonts w:ascii="Avenir Next" w:hAnsi="Avenir Next" w:cs="Arial"/>
          <w:i/>
          <w:iCs/>
          <w:color w:val="808080" w:themeColor="background1" w:themeShade="80"/>
          <w:sz w:val="22"/>
          <w:szCs w:val="22"/>
          <w:lang w:val="en-GB"/>
        </w:rPr>
        <w:t xml:space="preserve">Guidance Text </w:t>
      </w:r>
      <w:r w:rsidR="001C63E0">
        <w:rPr>
          <w:rFonts w:ascii="Avenir Next" w:hAnsi="Avenir Next" w:cs="Arial"/>
          <w:color w:val="808080" w:themeColor="background1" w:themeShade="80"/>
          <w:sz w:val="22"/>
          <w:szCs w:val="22"/>
          <w:lang w:val="en-GB"/>
        </w:rPr>
        <w:t xml:space="preserve">at pp 17 and 18). </w:t>
      </w:r>
    </w:p>
    <w:p w14:paraId="4B2F7BD1" w14:textId="77ADD43E" w:rsidR="0070726D" w:rsidRDefault="0070726D" w:rsidP="001C63E0">
      <w:pPr>
        <w:jc w:val="both"/>
        <w:rPr>
          <w:rFonts w:ascii="Avenir Next" w:hAnsi="Avenir Next" w:cs="Arial"/>
          <w:color w:val="808080" w:themeColor="background1" w:themeShade="80"/>
          <w:sz w:val="22"/>
          <w:szCs w:val="22"/>
          <w:lang w:val="en-GB"/>
        </w:rPr>
      </w:pPr>
    </w:p>
    <w:p w14:paraId="62B44E20" w14:textId="10819B7F" w:rsidR="0070726D" w:rsidRDefault="0070726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this, the key advantages and disadvantages Lobo should consider to informal out-of-court workout arrangements are set out in the table below:</w:t>
      </w:r>
    </w:p>
    <w:p w14:paraId="573721D7" w14:textId="791A129D" w:rsidR="0070726D" w:rsidRDefault="0070726D" w:rsidP="001E1C34">
      <w:pPr>
        <w:ind w:left="720" w:hanging="720"/>
        <w:jc w:val="both"/>
        <w:rPr>
          <w:rFonts w:ascii="Avenir Next" w:hAnsi="Avenir Next" w:cs="Arial"/>
          <w:color w:val="808080" w:themeColor="background1" w:themeShade="80"/>
          <w:sz w:val="22"/>
          <w:szCs w:val="22"/>
          <w:lang w:val="en-GB"/>
        </w:rPr>
      </w:pPr>
    </w:p>
    <w:tbl>
      <w:tblPr>
        <w:tblStyle w:val="TableGrid"/>
        <w:tblW w:w="0" w:type="auto"/>
        <w:tblInd w:w="720" w:type="dxa"/>
        <w:tblLook w:val="04A0" w:firstRow="1" w:lastRow="0" w:firstColumn="1" w:lastColumn="0" w:noHBand="0" w:noVBand="1"/>
      </w:tblPr>
      <w:tblGrid>
        <w:gridCol w:w="4141"/>
        <w:gridCol w:w="4155"/>
      </w:tblGrid>
      <w:tr w:rsidR="0070726D" w14:paraId="5E655F75" w14:textId="77777777" w:rsidTr="00EC59E1">
        <w:tc>
          <w:tcPr>
            <w:tcW w:w="4141" w:type="dxa"/>
          </w:tcPr>
          <w:p w14:paraId="7F36C7BC" w14:textId="6234DC13" w:rsidR="0070726D" w:rsidRPr="0070726D" w:rsidRDefault="0070726D" w:rsidP="001E1C34">
            <w:pPr>
              <w:jc w:val="both"/>
              <w:rPr>
                <w:rFonts w:ascii="Avenir Next" w:hAnsi="Avenir Next" w:cs="Arial"/>
                <w:b/>
                <w:bCs/>
                <w:color w:val="808080" w:themeColor="background1" w:themeShade="80"/>
                <w:sz w:val="22"/>
                <w:szCs w:val="22"/>
                <w:lang w:val="en-GB"/>
              </w:rPr>
            </w:pPr>
            <w:r w:rsidRPr="0070726D">
              <w:rPr>
                <w:rFonts w:ascii="Avenir Next" w:hAnsi="Avenir Next" w:cs="Arial"/>
                <w:b/>
                <w:bCs/>
                <w:color w:val="808080" w:themeColor="background1" w:themeShade="80"/>
                <w:sz w:val="22"/>
                <w:szCs w:val="22"/>
                <w:lang w:val="en-GB"/>
              </w:rPr>
              <w:t>Advantages</w:t>
            </w:r>
          </w:p>
        </w:tc>
        <w:tc>
          <w:tcPr>
            <w:tcW w:w="4155" w:type="dxa"/>
          </w:tcPr>
          <w:p w14:paraId="73996284" w14:textId="676C1FD5" w:rsidR="0070726D" w:rsidRPr="0070726D" w:rsidRDefault="0070726D" w:rsidP="001E1C34">
            <w:pPr>
              <w:jc w:val="both"/>
              <w:rPr>
                <w:rFonts w:ascii="Avenir Next" w:hAnsi="Avenir Next" w:cs="Arial"/>
                <w:b/>
                <w:bCs/>
                <w:color w:val="808080" w:themeColor="background1" w:themeShade="80"/>
                <w:sz w:val="22"/>
                <w:szCs w:val="22"/>
                <w:lang w:val="en-GB"/>
              </w:rPr>
            </w:pPr>
            <w:r w:rsidRPr="0070726D">
              <w:rPr>
                <w:rFonts w:ascii="Avenir Next" w:hAnsi="Avenir Next" w:cs="Arial"/>
                <w:b/>
                <w:bCs/>
                <w:color w:val="808080" w:themeColor="background1" w:themeShade="80"/>
                <w:sz w:val="22"/>
                <w:szCs w:val="22"/>
                <w:lang w:val="en-GB"/>
              </w:rPr>
              <w:t>Disadvantages</w:t>
            </w:r>
          </w:p>
        </w:tc>
      </w:tr>
      <w:tr w:rsidR="0070726D" w14:paraId="215A8920" w14:textId="77777777" w:rsidTr="00EC59E1">
        <w:tc>
          <w:tcPr>
            <w:tcW w:w="4141" w:type="dxa"/>
          </w:tcPr>
          <w:p w14:paraId="720BEEEE" w14:textId="080D6504" w:rsidR="0070726D" w:rsidRDefault="00EC59E1" w:rsidP="001E1C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Flexibility; particularly when parties can reach commercially-</w:t>
            </w:r>
            <w:proofErr w:type="spellStart"/>
            <w:r>
              <w:rPr>
                <w:rFonts w:ascii="Avenir Next" w:hAnsi="Avenir Next" w:cs="Arial"/>
                <w:color w:val="808080" w:themeColor="background1" w:themeShade="80"/>
                <w:sz w:val="22"/>
                <w:szCs w:val="22"/>
                <w:lang w:val="en-GB"/>
              </w:rPr>
              <w:t>saavy</w:t>
            </w:r>
            <w:proofErr w:type="spellEnd"/>
            <w:r>
              <w:rPr>
                <w:rFonts w:ascii="Avenir Next" w:hAnsi="Avenir Next" w:cs="Arial"/>
                <w:color w:val="808080" w:themeColor="background1" w:themeShade="80"/>
                <w:sz w:val="22"/>
                <w:szCs w:val="22"/>
                <w:lang w:val="en-GB"/>
              </w:rPr>
              <w:t xml:space="preserve"> solutions that may not be within the court’s expertise</w:t>
            </w:r>
          </w:p>
        </w:tc>
        <w:tc>
          <w:tcPr>
            <w:tcW w:w="4155" w:type="dxa"/>
          </w:tcPr>
          <w:p w14:paraId="4EDA2216" w14:textId="0CBAB015" w:rsidR="0070726D" w:rsidRDefault="00EC59E1" w:rsidP="001E1C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inability to rely on statutory mechanisms such as moratoriums </w:t>
            </w:r>
          </w:p>
        </w:tc>
      </w:tr>
      <w:tr w:rsidR="0070726D" w14:paraId="2255FBE8" w14:textId="77777777" w:rsidTr="00EC59E1">
        <w:tc>
          <w:tcPr>
            <w:tcW w:w="4141" w:type="dxa"/>
          </w:tcPr>
          <w:p w14:paraId="294B5004" w14:textId="16B119CA" w:rsidR="00EC59E1" w:rsidRDefault="00EC59E1" w:rsidP="001E1C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Speed (without being encumbered by the court process</w:t>
            </w:r>
            <w:r w:rsidR="00B836D8">
              <w:rPr>
                <w:rFonts w:ascii="Avenir Next" w:hAnsi="Avenir Next" w:cs="Arial"/>
                <w:color w:val="808080" w:themeColor="background1" w:themeShade="80"/>
                <w:sz w:val="22"/>
                <w:szCs w:val="22"/>
                <w:lang w:val="en-GB"/>
              </w:rPr>
              <w:t>, particularly considering the cross-border nature of FPPL’s business</w:t>
            </w:r>
            <w:r>
              <w:rPr>
                <w:rFonts w:ascii="Avenir Next" w:hAnsi="Avenir Next" w:cs="Arial"/>
                <w:color w:val="808080" w:themeColor="background1" w:themeShade="80"/>
                <w:sz w:val="22"/>
                <w:szCs w:val="22"/>
                <w:lang w:val="en-GB"/>
              </w:rPr>
              <w:t>)</w:t>
            </w:r>
          </w:p>
        </w:tc>
        <w:tc>
          <w:tcPr>
            <w:tcW w:w="4155" w:type="dxa"/>
          </w:tcPr>
          <w:p w14:paraId="4949768E" w14:textId="34415FDC" w:rsidR="0070726D" w:rsidRDefault="00EC59E1" w:rsidP="001E1C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Dissenting creditors cannot be bound to any agreement reached due to its contractual nature</w:t>
            </w:r>
          </w:p>
        </w:tc>
      </w:tr>
      <w:tr w:rsidR="00EC59E1" w14:paraId="4D6EFB0E" w14:textId="77777777" w:rsidTr="00EC59E1">
        <w:tc>
          <w:tcPr>
            <w:tcW w:w="4141" w:type="dxa"/>
          </w:tcPr>
          <w:p w14:paraId="0F3C6E0F" w14:textId="16FB1C71" w:rsidR="00EC59E1" w:rsidRDefault="00EC59E1" w:rsidP="001E1C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Costs (obviating the need to pay court fees)</w:t>
            </w:r>
          </w:p>
        </w:tc>
        <w:tc>
          <w:tcPr>
            <w:tcW w:w="4155" w:type="dxa"/>
          </w:tcPr>
          <w:p w14:paraId="1C56EA80" w14:textId="77777777" w:rsidR="00EC59E1" w:rsidRDefault="00EC59E1" w:rsidP="001E1C34">
            <w:pPr>
              <w:jc w:val="both"/>
              <w:rPr>
                <w:rFonts w:ascii="Avenir Next" w:hAnsi="Avenir Next" w:cs="Arial"/>
                <w:color w:val="808080" w:themeColor="background1" w:themeShade="80"/>
                <w:sz w:val="22"/>
                <w:szCs w:val="22"/>
                <w:lang w:val="en-GB"/>
              </w:rPr>
            </w:pPr>
          </w:p>
        </w:tc>
      </w:tr>
      <w:tr w:rsidR="00EC59E1" w14:paraId="6F2E17C3" w14:textId="77777777" w:rsidTr="00EC59E1">
        <w:tc>
          <w:tcPr>
            <w:tcW w:w="4141" w:type="dxa"/>
          </w:tcPr>
          <w:p w14:paraId="214C0C10" w14:textId="4A4418CD" w:rsidR="00EC59E1" w:rsidRDefault="00EC59E1" w:rsidP="001E1C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Confidentiality</w:t>
            </w:r>
            <w:r w:rsidR="000F5994">
              <w:rPr>
                <w:rFonts w:ascii="Avenir Next" w:hAnsi="Avenir Next" w:cs="Arial"/>
                <w:color w:val="808080" w:themeColor="background1" w:themeShade="80"/>
                <w:sz w:val="22"/>
                <w:szCs w:val="22"/>
                <w:lang w:val="en-GB"/>
              </w:rPr>
              <w:t>, which has knock-on effects on consumer/investor confidence in Lobo</w:t>
            </w:r>
          </w:p>
        </w:tc>
        <w:tc>
          <w:tcPr>
            <w:tcW w:w="4155" w:type="dxa"/>
          </w:tcPr>
          <w:p w14:paraId="7D779222" w14:textId="77777777" w:rsidR="00EC59E1" w:rsidRDefault="00EC59E1" w:rsidP="001E1C34">
            <w:pPr>
              <w:jc w:val="both"/>
              <w:rPr>
                <w:rFonts w:ascii="Avenir Next" w:hAnsi="Avenir Next" w:cs="Arial"/>
                <w:color w:val="808080" w:themeColor="background1" w:themeShade="80"/>
                <w:sz w:val="22"/>
                <w:szCs w:val="22"/>
                <w:lang w:val="en-GB"/>
              </w:rPr>
            </w:pPr>
          </w:p>
        </w:tc>
      </w:tr>
    </w:tbl>
    <w:p w14:paraId="7849053F" w14:textId="77777777" w:rsidR="0070726D" w:rsidRPr="00AB63DE" w:rsidRDefault="0070726D" w:rsidP="001E1C34">
      <w:pPr>
        <w:ind w:left="720" w:hanging="720"/>
        <w:jc w:val="both"/>
        <w:rPr>
          <w:rFonts w:ascii="Avenir Next" w:hAnsi="Avenir Next" w:cs="Arial"/>
          <w:color w:val="808080" w:themeColor="background1" w:themeShade="80"/>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067ABAA1" w:rsidR="001E1C34" w:rsidRDefault="001C63E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difficulties that may arise for the insolvency representative </w:t>
      </w:r>
      <w:r w:rsidR="005433EE">
        <w:rPr>
          <w:rFonts w:ascii="Avenir Next" w:hAnsi="Avenir Next" w:cs="Arial"/>
          <w:color w:val="808080" w:themeColor="background1" w:themeShade="80"/>
          <w:sz w:val="22"/>
          <w:szCs w:val="22"/>
          <w:lang w:val="en-GB"/>
        </w:rPr>
        <w:t>may include:</w:t>
      </w:r>
    </w:p>
    <w:p w14:paraId="2D565628" w14:textId="575CE760" w:rsidR="005433EE" w:rsidRDefault="005433EE" w:rsidP="005433EE">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Issues of terminology; the foundational issue of whether the two jurisdictions share a common definition for the term “insolvency” may hinder cross-border discussions. To this, it is noted that “international conventions and other instruments do not even attempt to provide a proper definition” due to the amorphous nature of the term (</w:t>
      </w:r>
      <w:r>
        <w:rPr>
          <w:rFonts w:ascii="Avenir Next" w:hAnsi="Avenir Next" w:cs="Arial"/>
          <w:i/>
          <w:iCs/>
          <w:color w:val="808080" w:themeColor="background1" w:themeShade="80"/>
          <w:sz w:val="22"/>
          <w:szCs w:val="22"/>
          <w:lang w:val="en-GB"/>
        </w:rPr>
        <w:t xml:space="preserve">Guidance text </w:t>
      </w:r>
      <w:r>
        <w:rPr>
          <w:rFonts w:ascii="Avenir Next" w:hAnsi="Avenir Next" w:cs="Arial"/>
          <w:color w:val="808080" w:themeColor="background1" w:themeShade="80"/>
          <w:sz w:val="22"/>
          <w:szCs w:val="22"/>
          <w:lang w:val="en-GB"/>
        </w:rPr>
        <w:t>at p 41)</w:t>
      </w:r>
    </w:p>
    <w:p w14:paraId="2F3690EC" w14:textId="398B54B6" w:rsidR="005433EE" w:rsidRPr="005433EE" w:rsidRDefault="005433EE" w:rsidP="005433EE">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Conflict of laws: difficulties in determining the applicable law to the proceedings (particularly as the different jurisdictions may, at the prior level, already have different choice-of-law rules), and issues which naturally arise when the decisions of the respective jurisdictions conflict.</w:t>
      </w:r>
    </w:p>
    <w:p w14:paraId="1243C48B" w14:textId="4CD7C1BE" w:rsidR="001C63E0" w:rsidRDefault="001C63E0" w:rsidP="001E1C34">
      <w:pPr>
        <w:ind w:left="720" w:hanging="720"/>
        <w:jc w:val="both"/>
        <w:rPr>
          <w:rFonts w:ascii="Avenir Next" w:hAnsi="Avenir Next" w:cs="Arial"/>
          <w:color w:val="808080" w:themeColor="background1" w:themeShade="80"/>
          <w:sz w:val="22"/>
          <w:szCs w:val="22"/>
          <w:lang w:val="en-GB"/>
        </w:rPr>
      </w:pPr>
    </w:p>
    <w:p w14:paraId="0C30672D" w14:textId="31E3D698" w:rsidR="001C63E0" w:rsidRDefault="001C63E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Certain international insolvency instruments that may address these difficulties </w:t>
      </w:r>
      <w:r w:rsidR="00AA4DFF">
        <w:rPr>
          <w:rFonts w:ascii="Avenir Next" w:hAnsi="Avenir Next" w:cs="Arial"/>
          <w:color w:val="808080" w:themeColor="background1" w:themeShade="80"/>
          <w:sz w:val="22"/>
          <w:szCs w:val="22"/>
          <w:lang w:val="en-GB"/>
        </w:rPr>
        <w:t>include:</w:t>
      </w:r>
    </w:p>
    <w:p w14:paraId="0CAC52C6" w14:textId="7F155FE4" w:rsidR="00AA4DFF" w:rsidRDefault="00AA4DFF" w:rsidP="00AA4DFF">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UNCITRAL Model Law on Cross-Border Insolvency (“the Model Law”), which was developed with the end to promoting international harmonization of legislation governing cross-border insolvencies. In particular, the Model Law mandates that “a local court of insolvency representative… co-operate with foreign courts or foreign representatives” (Arts 25 to 26; </w:t>
      </w:r>
      <w:r>
        <w:rPr>
          <w:rFonts w:ascii="Avenir Next" w:hAnsi="Avenir Next" w:cs="Arial"/>
          <w:i/>
          <w:iCs/>
          <w:color w:val="808080" w:themeColor="background1" w:themeShade="80"/>
          <w:sz w:val="22"/>
          <w:szCs w:val="22"/>
          <w:lang w:val="en-GB"/>
        </w:rPr>
        <w:t xml:space="preserve">Guidance Text </w:t>
      </w:r>
      <w:r>
        <w:rPr>
          <w:rFonts w:ascii="Avenir Next" w:hAnsi="Avenir Next" w:cs="Arial"/>
          <w:color w:val="808080" w:themeColor="background1" w:themeShade="80"/>
          <w:sz w:val="22"/>
          <w:szCs w:val="22"/>
          <w:lang w:val="en-GB"/>
        </w:rPr>
        <w:t xml:space="preserve">at pp 56 to 57). </w:t>
      </w:r>
    </w:p>
    <w:p w14:paraId="3E68A025" w14:textId="447607C8" w:rsidR="00AA4DFF" w:rsidRPr="00AA4DFF" w:rsidRDefault="00AA4DFF" w:rsidP="00AA4DFF">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Judicial Insolvency </w:t>
      </w:r>
      <w:r w:rsidR="00BA53B5">
        <w:rPr>
          <w:rFonts w:ascii="Avenir Next" w:hAnsi="Avenir Next" w:cs="Arial"/>
          <w:color w:val="808080" w:themeColor="background1" w:themeShade="80"/>
          <w:sz w:val="22"/>
          <w:szCs w:val="22"/>
          <w:lang w:val="en-GB"/>
        </w:rPr>
        <w:t xml:space="preserve">Network, which seeks to improve the efficiency of parallel </w:t>
      </w:r>
      <w:proofErr w:type="spellStart"/>
      <w:r w:rsidR="00BA53B5">
        <w:rPr>
          <w:rFonts w:ascii="Avenir Next" w:hAnsi="Avenir Next" w:cs="Arial"/>
          <w:color w:val="808080" w:themeColor="background1" w:themeShade="80"/>
          <w:sz w:val="22"/>
          <w:szCs w:val="22"/>
          <w:lang w:val="en-GB"/>
        </w:rPr>
        <w:t>procedings</w:t>
      </w:r>
      <w:proofErr w:type="spellEnd"/>
      <w:r w:rsidR="00BA53B5">
        <w:rPr>
          <w:rFonts w:ascii="Avenir Next" w:hAnsi="Avenir Next" w:cs="Arial"/>
          <w:color w:val="808080" w:themeColor="background1" w:themeShade="80"/>
          <w:sz w:val="22"/>
          <w:szCs w:val="22"/>
          <w:lang w:val="en-GB"/>
        </w:rPr>
        <w:t xml:space="preserve"> “by enhancing co-ordination and cooperation amongst [member] courts”. I note the JIN Modalities, which sets out the mechanics for what is essentially a common basis for cross-court communication (</w:t>
      </w:r>
      <w:r w:rsidR="00BA53B5">
        <w:rPr>
          <w:rFonts w:ascii="Avenir Next" w:hAnsi="Avenir Next" w:cs="Arial"/>
          <w:i/>
          <w:iCs/>
          <w:color w:val="808080" w:themeColor="background1" w:themeShade="80"/>
          <w:sz w:val="22"/>
          <w:szCs w:val="22"/>
          <w:lang w:val="en-GB"/>
        </w:rPr>
        <w:t xml:space="preserve">Guidance Text at p </w:t>
      </w:r>
      <w:r w:rsidR="00BA53B5">
        <w:rPr>
          <w:rFonts w:ascii="Avenir Next" w:hAnsi="Avenir Next" w:cs="Arial"/>
          <w:color w:val="808080" w:themeColor="background1" w:themeShade="80"/>
          <w:sz w:val="22"/>
          <w:szCs w:val="22"/>
          <w:lang w:val="en-GB"/>
        </w:rPr>
        <w:t>58)</w:t>
      </w:r>
    </w:p>
    <w:p w14:paraId="4C7C7FDE" w14:textId="5F423366" w:rsidR="001C63E0" w:rsidRDefault="001C63E0" w:rsidP="001E1C34">
      <w:pPr>
        <w:ind w:left="720" w:hanging="720"/>
        <w:jc w:val="both"/>
        <w:rPr>
          <w:rFonts w:ascii="Avenir Next" w:hAnsi="Avenir Next" w:cs="Arial"/>
          <w:color w:val="808080" w:themeColor="background1" w:themeShade="80"/>
          <w:sz w:val="22"/>
          <w:szCs w:val="22"/>
          <w:lang w:val="en-GB"/>
        </w:rPr>
      </w:pPr>
    </w:p>
    <w:p w14:paraId="09BAC266" w14:textId="40F1FE2C" w:rsidR="001C63E0" w:rsidRPr="00AB63DE" w:rsidRDefault="00AA4DFF" w:rsidP="00BA53B5">
      <w:pPr>
        <w:ind w:left="142"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Generally, the</w:t>
      </w:r>
      <w:r w:rsidR="001C63E0">
        <w:rPr>
          <w:rFonts w:ascii="Avenir Next" w:hAnsi="Avenir Next" w:cs="Arial"/>
          <w:color w:val="808080" w:themeColor="background1" w:themeShade="80"/>
          <w:sz w:val="22"/>
          <w:szCs w:val="22"/>
          <w:lang w:val="en-GB"/>
        </w:rPr>
        <w:t xml:space="preserve"> development of these international insolvency instruments is indeed </w:t>
      </w:r>
      <w:proofErr w:type="spellStart"/>
      <w:r w:rsidR="001C63E0">
        <w:rPr>
          <w:rFonts w:ascii="Avenir Next" w:hAnsi="Avenir Next" w:cs="Arial"/>
          <w:color w:val="808080" w:themeColor="background1" w:themeShade="80"/>
          <w:sz w:val="22"/>
          <w:szCs w:val="22"/>
          <w:lang w:val="en-GB"/>
        </w:rPr>
        <w:t>important</w:t>
      </w:r>
      <w:proofErr w:type="spellEnd"/>
      <w:r w:rsidR="001C63E0">
        <w:rPr>
          <w:rFonts w:ascii="Avenir Next" w:hAnsi="Avenir Next" w:cs="Arial"/>
          <w:color w:val="808080" w:themeColor="background1" w:themeShade="80"/>
          <w:sz w:val="22"/>
          <w:szCs w:val="22"/>
          <w:lang w:val="en-GB"/>
        </w:rPr>
        <w:t xml:space="preserve"> as </w:t>
      </w:r>
      <w:r>
        <w:rPr>
          <w:rFonts w:ascii="Avenir Next" w:hAnsi="Avenir Next" w:cs="Arial"/>
          <w:color w:val="808080" w:themeColor="background1" w:themeShade="80"/>
          <w:sz w:val="22"/>
          <w:szCs w:val="22"/>
          <w:lang w:val="en-GB"/>
        </w:rPr>
        <w:t xml:space="preserve">they seek to resolve the difficulties set out in the first paragraph above. Linking this back to previous discussions about the varied legal traditions that underpin domestic insolvency regimes, </w:t>
      </w:r>
      <w:r w:rsidR="00BA53B5">
        <w:rPr>
          <w:rFonts w:ascii="Avenir Next" w:hAnsi="Avenir Next" w:cs="Arial"/>
          <w:color w:val="808080" w:themeColor="background1" w:themeShade="80"/>
          <w:sz w:val="22"/>
          <w:szCs w:val="22"/>
          <w:lang w:val="en-GB"/>
        </w:rPr>
        <w:t xml:space="preserve">the common goal of harmonization that </w:t>
      </w:r>
      <w:proofErr w:type="gramStart"/>
      <w:r w:rsidR="00BA53B5">
        <w:rPr>
          <w:rFonts w:ascii="Avenir Next" w:hAnsi="Avenir Next" w:cs="Arial"/>
          <w:color w:val="808080" w:themeColor="background1" w:themeShade="80"/>
          <w:sz w:val="22"/>
          <w:szCs w:val="22"/>
          <w:lang w:val="en-GB"/>
        </w:rPr>
        <w:t>there</w:t>
      </w:r>
      <w:proofErr w:type="gramEnd"/>
      <w:r w:rsidR="00BA53B5">
        <w:rPr>
          <w:rFonts w:ascii="Avenir Next" w:hAnsi="Avenir Next" w:cs="Arial"/>
          <w:color w:val="808080" w:themeColor="background1" w:themeShade="80"/>
          <w:sz w:val="22"/>
          <w:szCs w:val="22"/>
          <w:lang w:val="en-GB"/>
        </w:rPr>
        <w:t xml:space="preserve"> international insolvency instruments seek to promote can encourage and facilitate the more efficient and just resolution of cross-border disputes in an increasingly globalized world.</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153FF6FD" w14:textId="51F2FA30" w:rsidR="0056487C" w:rsidRDefault="0056487C" w:rsidP="0056487C">
      <w:pPr>
        <w:jc w:val="both"/>
        <w:rPr>
          <w:rFonts w:ascii="Avenir Next" w:hAnsi="Avenir Next" w:cs="Arial"/>
          <w:color w:val="808080" w:themeColor="background1" w:themeShade="80"/>
          <w:sz w:val="22"/>
          <w:szCs w:val="22"/>
          <w:lang w:val="en-GB"/>
        </w:rPr>
      </w:pPr>
    </w:p>
    <w:p w14:paraId="7174D8B4" w14:textId="61DA7197" w:rsidR="0056487C" w:rsidRDefault="0056487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Notably, the EIRR ceased to apply in the UK on 1pm on 31 December 2020 following Brexit. The insolvency proceeding opened in the UK on 30 June 2022 would therefore </w:t>
      </w:r>
      <w:r>
        <w:rPr>
          <w:rFonts w:ascii="Avenir Next" w:hAnsi="Avenir Next" w:cs="Arial"/>
          <w:i/>
          <w:iCs/>
          <w:color w:val="808080" w:themeColor="background1" w:themeShade="80"/>
          <w:sz w:val="22"/>
          <w:szCs w:val="22"/>
          <w:lang w:val="en-GB"/>
        </w:rPr>
        <w:t>not</w:t>
      </w:r>
      <w:r>
        <w:rPr>
          <w:rFonts w:ascii="Avenir Next" w:hAnsi="Avenir Next" w:cs="Arial"/>
          <w:color w:val="808080" w:themeColor="background1" w:themeShade="80"/>
          <w:sz w:val="22"/>
          <w:szCs w:val="22"/>
          <w:lang w:val="en-GB"/>
        </w:rPr>
        <w:t xml:space="preserve"> fall under the EIRR. The consequence of this is that English domestic insolvency laws apply to the UK proceedings</w:t>
      </w:r>
      <w:r w:rsidR="00EC6902">
        <w:rPr>
          <w:rFonts w:ascii="Avenir Next" w:hAnsi="Avenir Next" w:cs="Arial"/>
          <w:color w:val="808080" w:themeColor="background1" w:themeShade="80"/>
          <w:sz w:val="22"/>
          <w:szCs w:val="22"/>
          <w:lang w:val="en-GB"/>
        </w:rPr>
        <w:t xml:space="preserve">, which rules differ from that of the EIRR. </w:t>
      </w:r>
      <w:r w:rsidR="00B836D8">
        <w:rPr>
          <w:rFonts w:ascii="Avenir Next" w:hAnsi="Avenir Next" w:cs="Arial"/>
          <w:color w:val="808080" w:themeColor="background1" w:themeShade="80"/>
          <w:sz w:val="22"/>
          <w:szCs w:val="22"/>
          <w:lang w:val="en-GB"/>
        </w:rPr>
        <w:t>The minor creditor may not therefore have the benefit of the uniform choice of law rules that are set out in the EIRR Art 7.1: “the law applicable to insolvency proceedings and their effects shall be that of … the ‘State of the opening of proceedings’”.</w:t>
      </w:r>
    </w:p>
    <w:p w14:paraId="134C34E3" w14:textId="6D95B304" w:rsidR="00B836D8" w:rsidRDefault="00B836D8" w:rsidP="001E1C34">
      <w:pPr>
        <w:ind w:left="720" w:hanging="720"/>
        <w:jc w:val="both"/>
        <w:rPr>
          <w:rFonts w:ascii="Avenir Next" w:hAnsi="Avenir Next" w:cs="Arial"/>
          <w:color w:val="808080" w:themeColor="background1" w:themeShade="80"/>
          <w:sz w:val="22"/>
          <w:szCs w:val="22"/>
          <w:lang w:val="en-GB"/>
        </w:rPr>
      </w:pPr>
    </w:p>
    <w:p w14:paraId="23019664" w14:textId="47B77292" w:rsidR="00B836D8" w:rsidRPr="0056487C" w:rsidRDefault="00B836D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information regarding the UK domestic insolvency laws and that of the EIRR is necessary to elaborate fully on the consequences of this change.</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CA3D" w14:textId="77777777" w:rsidR="00F8456E" w:rsidRDefault="00F8456E" w:rsidP="00241B44">
      <w:r>
        <w:separator/>
      </w:r>
    </w:p>
  </w:endnote>
  <w:endnote w:type="continuationSeparator" w:id="0">
    <w:p w14:paraId="2DE32195" w14:textId="77777777" w:rsidR="00F8456E" w:rsidRDefault="00F8456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1ADF0CE4" w:rsidR="00B64A85" w:rsidRPr="00297BDF" w:rsidRDefault="00744E7F" w:rsidP="0052732A">
    <w:pPr>
      <w:pStyle w:val="Footer"/>
      <w:ind w:right="360"/>
      <w:rPr>
        <w:rFonts w:ascii="Avenir Next" w:hAnsi="Avenir Next" w:cs="Arial"/>
        <w:sz w:val="22"/>
        <w:szCs w:val="22"/>
      </w:rPr>
    </w:pPr>
    <w:r>
      <w:rPr>
        <w:rFonts w:ascii="Avenir Next" w:hAnsi="Avenir Next" w:cs="Arial"/>
        <w:sz w:val="22"/>
        <w:szCs w:val="22"/>
      </w:rPr>
      <w:t>202223-990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B63F" w14:textId="77777777" w:rsidR="00F8456E" w:rsidRDefault="00F8456E" w:rsidP="00241B44">
      <w:r>
        <w:separator/>
      </w:r>
    </w:p>
  </w:footnote>
  <w:footnote w:type="continuationSeparator" w:id="0">
    <w:p w14:paraId="33446BBD" w14:textId="77777777" w:rsidR="00F8456E" w:rsidRDefault="00F8456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C252101"/>
    <w:multiLevelType w:val="hybridMultilevel"/>
    <w:tmpl w:val="95207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5740A38"/>
    <w:multiLevelType w:val="hybridMultilevel"/>
    <w:tmpl w:val="5888D8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590D83"/>
    <w:multiLevelType w:val="hybridMultilevel"/>
    <w:tmpl w:val="0398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7254A2C"/>
    <w:multiLevelType w:val="hybridMultilevel"/>
    <w:tmpl w:val="5888D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100CEE"/>
    <w:multiLevelType w:val="hybridMultilevel"/>
    <w:tmpl w:val="77B6F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873865">
    <w:abstractNumId w:val="21"/>
  </w:num>
  <w:num w:numId="2" w16cid:durableId="1239904079">
    <w:abstractNumId w:val="27"/>
  </w:num>
  <w:num w:numId="3" w16cid:durableId="234171187">
    <w:abstractNumId w:val="3"/>
  </w:num>
  <w:num w:numId="4" w16cid:durableId="1667250303">
    <w:abstractNumId w:val="4"/>
  </w:num>
  <w:num w:numId="5" w16cid:durableId="1259752665">
    <w:abstractNumId w:val="16"/>
  </w:num>
  <w:num w:numId="6" w16cid:durableId="340162731">
    <w:abstractNumId w:val="22"/>
  </w:num>
  <w:num w:numId="7" w16cid:durableId="1573082967">
    <w:abstractNumId w:val="10"/>
  </w:num>
  <w:num w:numId="8" w16cid:durableId="1562331662">
    <w:abstractNumId w:val="28"/>
  </w:num>
  <w:num w:numId="9" w16cid:durableId="1132015562">
    <w:abstractNumId w:val="9"/>
  </w:num>
  <w:num w:numId="10" w16cid:durableId="449126178">
    <w:abstractNumId w:val="25"/>
  </w:num>
  <w:num w:numId="11" w16cid:durableId="1677800434">
    <w:abstractNumId w:val="8"/>
  </w:num>
  <w:num w:numId="12" w16cid:durableId="1804469972">
    <w:abstractNumId w:val="26"/>
  </w:num>
  <w:num w:numId="13" w16cid:durableId="259023154">
    <w:abstractNumId w:val="15"/>
  </w:num>
  <w:num w:numId="14" w16cid:durableId="163129783">
    <w:abstractNumId w:val="14"/>
  </w:num>
  <w:num w:numId="15" w16cid:durableId="1175878738">
    <w:abstractNumId w:val="6"/>
  </w:num>
  <w:num w:numId="16" w16cid:durableId="1907377686">
    <w:abstractNumId w:val="17"/>
  </w:num>
  <w:num w:numId="17" w16cid:durableId="580136248">
    <w:abstractNumId w:val="12"/>
  </w:num>
  <w:num w:numId="18" w16cid:durableId="252711864">
    <w:abstractNumId w:val="13"/>
  </w:num>
  <w:num w:numId="19" w16cid:durableId="997919668">
    <w:abstractNumId w:val="19"/>
  </w:num>
  <w:num w:numId="20" w16cid:durableId="168563432">
    <w:abstractNumId w:val="7"/>
  </w:num>
  <w:num w:numId="21" w16cid:durableId="319969075">
    <w:abstractNumId w:val="11"/>
  </w:num>
  <w:num w:numId="22" w16cid:durableId="1118529549">
    <w:abstractNumId w:val="0"/>
  </w:num>
  <w:num w:numId="23" w16cid:durableId="1196966019">
    <w:abstractNumId w:val="18"/>
  </w:num>
  <w:num w:numId="24" w16cid:durableId="242833503">
    <w:abstractNumId w:val="2"/>
  </w:num>
  <w:num w:numId="25" w16cid:durableId="942878235">
    <w:abstractNumId w:val="1"/>
  </w:num>
  <w:num w:numId="26" w16cid:durableId="1192183958">
    <w:abstractNumId w:val="24"/>
  </w:num>
  <w:num w:numId="27" w16cid:durableId="1334721238">
    <w:abstractNumId w:val="20"/>
  </w:num>
  <w:num w:numId="28" w16cid:durableId="1668244348">
    <w:abstractNumId w:val="23"/>
  </w:num>
  <w:num w:numId="29" w16cid:durableId="104629311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352B"/>
    <w:rsid w:val="00015EE6"/>
    <w:rsid w:val="00020557"/>
    <w:rsid w:val="0002322B"/>
    <w:rsid w:val="000250C7"/>
    <w:rsid w:val="0002561F"/>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4174"/>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0F5994"/>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4639"/>
    <w:rsid w:val="00135FFC"/>
    <w:rsid w:val="00136505"/>
    <w:rsid w:val="00140CC0"/>
    <w:rsid w:val="0014171F"/>
    <w:rsid w:val="0014622C"/>
    <w:rsid w:val="00150F6C"/>
    <w:rsid w:val="00152348"/>
    <w:rsid w:val="0015328F"/>
    <w:rsid w:val="0015456D"/>
    <w:rsid w:val="00157C8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686"/>
    <w:rsid w:val="00193AB3"/>
    <w:rsid w:val="00193AD3"/>
    <w:rsid w:val="001966D9"/>
    <w:rsid w:val="00197963"/>
    <w:rsid w:val="001A620B"/>
    <w:rsid w:val="001A716A"/>
    <w:rsid w:val="001A7E9A"/>
    <w:rsid w:val="001B0F70"/>
    <w:rsid w:val="001B5016"/>
    <w:rsid w:val="001B6CEE"/>
    <w:rsid w:val="001C45FC"/>
    <w:rsid w:val="001C594A"/>
    <w:rsid w:val="001C63E0"/>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5A9"/>
    <w:rsid w:val="001F7C77"/>
    <w:rsid w:val="00200DBB"/>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5379"/>
    <w:rsid w:val="002E37B7"/>
    <w:rsid w:val="002E4A02"/>
    <w:rsid w:val="002E4A1F"/>
    <w:rsid w:val="002E66F4"/>
    <w:rsid w:val="002E6A91"/>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4A3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6CC1"/>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E4"/>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3EE"/>
    <w:rsid w:val="00543941"/>
    <w:rsid w:val="00544127"/>
    <w:rsid w:val="005508BB"/>
    <w:rsid w:val="00553EB2"/>
    <w:rsid w:val="00555C4D"/>
    <w:rsid w:val="00560534"/>
    <w:rsid w:val="0056391B"/>
    <w:rsid w:val="0056487C"/>
    <w:rsid w:val="005650E2"/>
    <w:rsid w:val="00566D80"/>
    <w:rsid w:val="00567AD7"/>
    <w:rsid w:val="005716C3"/>
    <w:rsid w:val="00573594"/>
    <w:rsid w:val="00575862"/>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15F6"/>
    <w:rsid w:val="006643E7"/>
    <w:rsid w:val="006661EF"/>
    <w:rsid w:val="00672001"/>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B7CAD"/>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26D"/>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4E7F"/>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7C9"/>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32731"/>
    <w:rsid w:val="00841D0E"/>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29FB"/>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55C1"/>
    <w:rsid w:val="009F0C29"/>
    <w:rsid w:val="009F2472"/>
    <w:rsid w:val="00A02198"/>
    <w:rsid w:val="00A03663"/>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1B62"/>
    <w:rsid w:val="00A94F10"/>
    <w:rsid w:val="00A96062"/>
    <w:rsid w:val="00A96489"/>
    <w:rsid w:val="00A96BB0"/>
    <w:rsid w:val="00A97D88"/>
    <w:rsid w:val="00AA0E39"/>
    <w:rsid w:val="00AA0FA7"/>
    <w:rsid w:val="00AA1F76"/>
    <w:rsid w:val="00AA23CE"/>
    <w:rsid w:val="00AA2CBD"/>
    <w:rsid w:val="00AA4DFF"/>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354C"/>
    <w:rsid w:val="00B6409C"/>
    <w:rsid w:val="00B64845"/>
    <w:rsid w:val="00B64A85"/>
    <w:rsid w:val="00B66053"/>
    <w:rsid w:val="00B7193E"/>
    <w:rsid w:val="00B72999"/>
    <w:rsid w:val="00B72FD7"/>
    <w:rsid w:val="00B736DF"/>
    <w:rsid w:val="00B74FBD"/>
    <w:rsid w:val="00B82586"/>
    <w:rsid w:val="00B829A3"/>
    <w:rsid w:val="00B836D8"/>
    <w:rsid w:val="00B84CE9"/>
    <w:rsid w:val="00B86537"/>
    <w:rsid w:val="00B86DB1"/>
    <w:rsid w:val="00B87869"/>
    <w:rsid w:val="00B87A61"/>
    <w:rsid w:val="00B92D5B"/>
    <w:rsid w:val="00B9417E"/>
    <w:rsid w:val="00B948AE"/>
    <w:rsid w:val="00BA1648"/>
    <w:rsid w:val="00BA2637"/>
    <w:rsid w:val="00BA2919"/>
    <w:rsid w:val="00BA35FF"/>
    <w:rsid w:val="00BA53B5"/>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19B"/>
    <w:rsid w:val="00BF2B49"/>
    <w:rsid w:val="00BF2E7A"/>
    <w:rsid w:val="00BF3D02"/>
    <w:rsid w:val="00BF40B9"/>
    <w:rsid w:val="00BF50F7"/>
    <w:rsid w:val="00BF5D90"/>
    <w:rsid w:val="00C00231"/>
    <w:rsid w:val="00C01017"/>
    <w:rsid w:val="00C02F29"/>
    <w:rsid w:val="00C04632"/>
    <w:rsid w:val="00C07B0B"/>
    <w:rsid w:val="00C14F02"/>
    <w:rsid w:val="00C15A16"/>
    <w:rsid w:val="00C1724E"/>
    <w:rsid w:val="00C20337"/>
    <w:rsid w:val="00C20AFE"/>
    <w:rsid w:val="00C22A25"/>
    <w:rsid w:val="00C25D59"/>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1083"/>
    <w:rsid w:val="00D223E4"/>
    <w:rsid w:val="00D2550E"/>
    <w:rsid w:val="00D256C6"/>
    <w:rsid w:val="00D25F51"/>
    <w:rsid w:val="00D35229"/>
    <w:rsid w:val="00D35ADE"/>
    <w:rsid w:val="00D35EAE"/>
    <w:rsid w:val="00D3787E"/>
    <w:rsid w:val="00D4685B"/>
    <w:rsid w:val="00D53535"/>
    <w:rsid w:val="00D5430F"/>
    <w:rsid w:val="00D57C59"/>
    <w:rsid w:val="00D60215"/>
    <w:rsid w:val="00D60874"/>
    <w:rsid w:val="00D63EFD"/>
    <w:rsid w:val="00D6588F"/>
    <w:rsid w:val="00D669AA"/>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209"/>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49F8"/>
    <w:rsid w:val="00E950C0"/>
    <w:rsid w:val="00E9597C"/>
    <w:rsid w:val="00EA0879"/>
    <w:rsid w:val="00EA0913"/>
    <w:rsid w:val="00EA4D77"/>
    <w:rsid w:val="00EA5317"/>
    <w:rsid w:val="00EA6550"/>
    <w:rsid w:val="00EA66B3"/>
    <w:rsid w:val="00EA7BAB"/>
    <w:rsid w:val="00EB02BE"/>
    <w:rsid w:val="00EB146B"/>
    <w:rsid w:val="00EB21D4"/>
    <w:rsid w:val="00EB2845"/>
    <w:rsid w:val="00EB45AC"/>
    <w:rsid w:val="00EB488B"/>
    <w:rsid w:val="00EB6668"/>
    <w:rsid w:val="00EB6A2F"/>
    <w:rsid w:val="00EC3875"/>
    <w:rsid w:val="00EC549E"/>
    <w:rsid w:val="00EC59E1"/>
    <w:rsid w:val="00EC6902"/>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456E"/>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table" w:styleId="TableGrid">
    <w:name w:val="Table Grid"/>
    <w:basedOn w:val="TableNormal"/>
    <w:uiPriority w:val="39"/>
    <w:rsid w:val="007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1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75253166">
      <w:bodyDiv w:val="1"/>
      <w:marLeft w:val="0"/>
      <w:marRight w:val="0"/>
      <w:marTop w:val="0"/>
      <w:marBottom w:val="0"/>
      <w:divBdr>
        <w:top w:val="none" w:sz="0" w:space="0" w:color="auto"/>
        <w:left w:val="none" w:sz="0" w:space="0" w:color="auto"/>
        <w:bottom w:val="none" w:sz="0" w:space="0" w:color="auto"/>
        <w:right w:val="none" w:sz="0" w:space="0" w:color="auto"/>
      </w:divBdr>
      <w:divsChild>
        <w:div w:id="1610508500">
          <w:marLeft w:val="0"/>
          <w:marRight w:val="0"/>
          <w:marTop w:val="0"/>
          <w:marBottom w:val="0"/>
          <w:divBdr>
            <w:top w:val="none" w:sz="0" w:space="0" w:color="auto"/>
            <w:left w:val="none" w:sz="0" w:space="0" w:color="auto"/>
            <w:bottom w:val="none" w:sz="0" w:space="0" w:color="auto"/>
            <w:right w:val="none" w:sz="0" w:space="0" w:color="auto"/>
          </w:divBdr>
          <w:divsChild>
            <w:div w:id="998966124">
              <w:marLeft w:val="0"/>
              <w:marRight w:val="0"/>
              <w:marTop w:val="0"/>
              <w:marBottom w:val="0"/>
              <w:divBdr>
                <w:top w:val="none" w:sz="0" w:space="0" w:color="auto"/>
                <w:left w:val="none" w:sz="0" w:space="0" w:color="auto"/>
                <w:bottom w:val="none" w:sz="0" w:space="0" w:color="auto"/>
                <w:right w:val="none" w:sz="0" w:space="0" w:color="auto"/>
              </w:divBdr>
              <w:divsChild>
                <w:div w:id="2295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34900015">
      <w:bodyDiv w:val="1"/>
      <w:marLeft w:val="0"/>
      <w:marRight w:val="0"/>
      <w:marTop w:val="0"/>
      <w:marBottom w:val="0"/>
      <w:divBdr>
        <w:top w:val="none" w:sz="0" w:space="0" w:color="auto"/>
        <w:left w:val="none" w:sz="0" w:space="0" w:color="auto"/>
        <w:bottom w:val="none" w:sz="0" w:space="0" w:color="auto"/>
        <w:right w:val="none" w:sz="0" w:space="0" w:color="auto"/>
      </w:divBdr>
      <w:divsChild>
        <w:div w:id="836656460">
          <w:marLeft w:val="0"/>
          <w:marRight w:val="0"/>
          <w:marTop w:val="0"/>
          <w:marBottom w:val="0"/>
          <w:divBdr>
            <w:top w:val="none" w:sz="0" w:space="0" w:color="auto"/>
            <w:left w:val="none" w:sz="0" w:space="0" w:color="auto"/>
            <w:bottom w:val="none" w:sz="0" w:space="0" w:color="auto"/>
            <w:right w:val="none" w:sz="0" w:space="0" w:color="auto"/>
          </w:divBdr>
          <w:divsChild>
            <w:div w:id="1249968706">
              <w:marLeft w:val="0"/>
              <w:marRight w:val="0"/>
              <w:marTop w:val="0"/>
              <w:marBottom w:val="0"/>
              <w:divBdr>
                <w:top w:val="none" w:sz="0" w:space="0" w:color="auto"/>
                <w:left w:val="none" w:sz="0" w:space="0" w:color="auto"/>
                <w:bottom w:val="none" w:sz="0" w:space="0" w:color="auto"/>
                <w:right w:val="none" w:sz="0" w:space="0" w:color="auto"/>
              </w:divBdr>
              <w:divsChild>
                <w:div w:id="783379098">
                  <w:marLeft w:val="0"/>
                  <w:marRight w:val="0"/>
                  <w:marTop w:val="0"/>
                  <w:marBottom w:val="0"/>
                  <w:divBdr>
                    <w:top w:val="none" w:sz="0" w:space="0" w:color="auto"/>
                    <w:left w:val="none" w:sz="0" w:space="0" w:color="auto"/>
                    <w:bottom w:val="none" w:sz="0" w:space="0" w:color="auto"/>
                    <w:right w:val="none" w:sz="0" w:space="0" w:color="auto"/>
                  </w:divBdr>
                  <w:divsChild>
                    <w:div w:id="8542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3000">
      <w:bodyDiv w:val="1"/>
      <w:marLeft w:val="0"/>
      <w:marRight w:val="0"/>
      <w:marTop w:val="0"/>
      <w:marBottom w:val="0"/>
      <w:divBdr>
        <w:top w:val="none" w:sz="0" w:space="0" w:color="auto"/>
        <w:left w:val="none" w:sz="0" w:space="0" w:color="auto"/>
        <w:bottom w:val="none" w:sz="0" w:space="0" w:color="auto"/>
        <w:right w:val="none" w:sz="0" w:space="0" w:color="auto"/>
      </w:divBdr>
      <w:divsChild>
        <w:div w:id="1551333607">
          <w:marLeft w:val="0"/>
          <w:marRight w:val="0"/>
          <w:marTop w:val="0"/>
          <w:marBottom w:val="0"/>
          <w:divBdr>
            <w:top w:val="none" w:sz="0" w:space="0" w:color="auto"/>
            <w:left w:val="none" w:sz="0" w:space="0" w:color="auto"/>
            <w:bottom w:val="none" w:sz="0" w:space="0" w:color="auto"/>
            <w:right w:val="none" w:sz="0" w:space="0" w:color="auto"/>
          </w:divBdr>
          <w:divsChild>
            <w:div w:id="965358548">
              <w:marLeft w:val="0"/>
              <w:marRight w:val="0"/>
              <w:marTop w:val="0"/>
              <w:marBottom w:val="0"/>
              <w:divBdr>
                <w:top w:val="none" w:sz="0" w:space="0" w:color="auto"/>
                <w:left w:val="none" w:sz="0" w:space="0" w:color="auto"/>
                <w:bottom w:val="none" w:sz="0" w:space="0" w:color="auto"/>
                <w:right w:val="none" w:sz="0" w:space="0" w:color="auto"/>
              </w:divBdr>
              <w:divsChild>
                <w:div w:id="8191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5708">
      <w:bodyDiv w:val="1"/>
      <w:marLeft w:val="0"/>
      <w:marRight w:val="0"/>
      <w:marTop w:val="0"/>
      <w:marBottom w:val="0"/>
      <w:divBdr>
        <w:top w:val="none" w:sz="0" w:space="0" w:color="auto"/>
        <w:left w:val="none" w:sz="0" w:space="0" w:color="auto"/>
        <w:bottom w:val="none" w:sz="0" w:space="0" w:color="auto"/>
        <w:right w:val="none" w:sz="0" w:space="0" w:color="auto"/>
      </w:divBdr>
      <w:divsChild>
        <w:div w:id="1130395229">
          <w:marLeft w:val="0"/>
          <w:marRight w:val="0"/>
          <w:marTop w:val="0"/>
          <w:marBottom w:val="0"/>
          <w:divBdr>
            <w:top w:val="none" w:sz="0" w:space="0" w:color="auto"/>
            <w:left w:val="none" w:sz="0" w:space="0" w:color="auto"/>
            <w:bottom w:val="none" w:sz="0" w:space="0" w:color="auto"/>
            <w:right w:val="none" w:sz="0" w:space="0" w:color="auto"/>
          </w:divBdr>
          <w:divsChild>
            <w:div w:id="476648591">
              <w:marLeft w:val="0"/>
              <w:marRight w:val="0"/>
              <w:marTop w:val="0"/>
              <w:marBottom w:val="0"/>
              <w:divBdr>
                <w:top w:val="none" w:sz="0" w:space="0" w:color="auto"/>
                <w:left w:val="none" w:sz="0" w:space="0" w:color="auto"/>
                <w:bottom w:val="none" w:sz="0" w:space="0" w:color="auto"/>
                <w:right w:val="none" w:sz="0" w:space="0" w:color="auto"/>
              </w:divBdr>
              <w:divsChild>
                <w:div w:id="1640645938">
                  <w:marLeft w:val="0"/>
                  <w:marRight w:val="0"/>
                  <w:marTop w:val="0"/>
                  <w:marBottom w:val="0"/>
                  <w:divBdr>
                    <w:top w:val="none" w:sz="0" w:space="0" w:color="auto"/>
                    <w:left w:val="none" w:sz="0" w:space="0" w:color="auto"/>
                    <w:bottom w:val="none" w:sz="0" w:space="0" w:color="auto"/>
                    <w:right w:val="none" w:sz="0" w:space="0" w:color="auto"/>
                  </w:divBdr>
                  <w:divsChild>
                    <w:div w:id="11354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14</Pages>
  <Words>4416</Words>
  <Characters>25176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Lengna tan</cp:lastModifiedBy>
  <cp:revision>13</cp:revision>
  <cp:lastPrinted>2020-06-12T02:43:00Z</cp:lastPrinted>
  <dcterms:created xsi:type="dcterms:W3CDTF">2022-11-14T12:35:00Z</dcterms:created>
  <dcterms:modified xsi:type="dcterms:W3CDTF">2022-11-15T13:33:00Z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