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D11459" w:rsidRDefault="002D2356" w:rsidP="008071D5">
      <w:pPr>
        <w:pStyle w:val="ListParagraph"/>
        <w:numPr>
          <w:ilvl w:val="0"/>
          <w:numId w:val="15"/>
        </w:numPr>
        <w:ind w:left="425" w:hanging="357"/>
        <w:jc w:val="both"/>
        <w:rPr>
          <w:rFonts w:ascii="Avenir Next" w:hAnsi="Avenir Next" w:cs="Arial"/>
          <w:sz w:val="22"/>
          <w:szCs w:val="22"/>
          <w:highlight w:val="yellow"/>
        </w:rPr>
      </w:pPr>
      <w:r w:rsidRPr="00D1145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D11459">
        <w:rPr>
          <w:rFonts w:ascii="Avenir Next" w:hAnsi="Avenir Next" w:cs="Arial"/>
          <w:sz w:val="22"/>
          <w:szCs w:val="22"/>
          <w:highlight w:val="yellow"/>
          <w:vertAlign w:val="superscript"/>
        </w:rPr>
        <w:t>th</w:t>
      </w:r>
      <w:r w:rsidRPr="00D1145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93121" w:rsidRDefault="002D2356" w:rsidP="008071D5">
      <w:pPr>
        <w:pStyle w:val="ListParagraph"/>
        <w:numPr>
          <w:ilvl w:val="0"/>
          <w:numId w:val="16"/>
        </w:numPr>
        <w:ind w:left="426"/>
        <w:jc w:val="both"/>
        <w:rPr>
          <w:rFonts w:ascii="Avenir Next" w:hAnsi="Avenir Next" w:cs="Arial"/>
          <w:sz w:val="22"/>
          <w:szCs w:val="22"/>
          <w:highlight w:val="yellow"/>
        </w:rPr>
      </w:pPr>
      <w:r w:rsidRPr="00A93121">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25999" w:rsidRDefault="002D2356" w:rsidP="008071D5">
      <w:pPr>
        <w:pStyle w:val="ListParagraph"/>
        <w:numPr>
          <w:ilvl w:val="0"/>
          <w:numId w:val="17"/>
        </w:numPr>
        <w:ind w:left="426"/>
        <w:jc w:val="both"/>
        <w:rPr>
          <w:rFonts w:ascii="Avenir Next" w:hAnsi="Avenir Next" w:cs="Arial"/>
          <w:sz w:val="22"/>
          <w:szCs w:val="22"/>
          <w:highlight w:val="yellow"/>
        </w:rPr>
      </w:pPr>
      <w:r w:rsidRPr="0052599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4598F" w:rsidRDefault="00466ED6" w:rsidP="008071D5">
      <w:pPr>
        <w:pStyle w:val="ListParagraph"/>
        <w:numPr>
          <w:ilvl w:val="0"/>
          <w:numId w:val="18"/>
        </w:numPr>
        <w:ind w:left="426"/>
        <w:jc w:val="both"/>
        <w:rPr>
          <w:rFonts w:ascii="Avenir Next" w:hAnsi="Avenir Next" w:cs="Arial"/>
          <w:sz w:val="22"/>
          <w:szCs w:val="22"/>
          <w:highlight w:val="yellow"/>
        </w:rPr>
      </w:pPr>
      <w:r w:rsidRPr="00B4598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4598F" w:rsidRDefault="002D2356" w:rsidP="008071D5">
      <w:pPr>
        <w:pStyle w:val="ListParagraph"/>
        <w:numPr>
          <w:ilvl w:val="0"/>
          <w:numId w:val="19"/>
        </w:numPr>
        <w:ind w:left="425" w:hanging="357"/>
        <w:jc w:val="both"/>
        <w:rPr>
          <w:rFonts w:ascii="Avenir Next" w:hAnsi="Avenir Next" w:cs="Arial"/>
          <w:sz w:val="22"/>
          <w:szCs w:val="22"/>
          <w:highlight w:val="yellow"/>
        </w:rPr>
      </w:pPr>
      <w:r w:rsidRPr="00B4598F">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B0C5C"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CB0C5C">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22184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22184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22184D">
        <w:rPr>
          <w:rFonts w:ascii="Avenir Next" w:eastAsiaTheme="minorHAnsi" w:hAnsi="Avenir Next" w:cs="Arial"/>
          <w:sz w:val="22"/>
          <w:szCs w:val="22"/>
          <w:highlight w:val="yellow"/>
          <w:lang w:val="en-GB"/>
        </w:rPr>
        <w:t xml:space="preserve"> </w:t>
      </w:r>
      <w:r w:rsidRPr="0022184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41DF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41DF4">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720EC" w:rsidRDefault="00F5239B" w:rsidP="008071D5">
      <w:pPr>
        <w:pStyle w:val="ListParagraph"/>
        <w:numPr>
          <w:ilvl w:val="0"/>
          <w:numId w:val="23"/>
        </w:numPr>
        <w:ind w:left="426"/>
        <w:jc w:val="both"/>
        <w:rPr>
          <w:rFonts w:ascii="Avenir Next" w:hAnsi="Avenir Next" w:cs="Arial"/>
          <w:sz w:val="22"/>
          <w:szCs w:val="22"/>
          <w:highlight w:val="yellow"/>
        </w:rPr>
      </w:pPr>
      <w:r w:rsidRPr="006720EC">
        <w:rPr>
          <w:rFonts w:ascii="Avenir Next" w:hAnsi="Avenir Next" w:cs="Arial"/>
          <w:sz w:val="22"/>
          <w:szCs w:val="22"/>
          <w:highlight w:val="yellow"/>
        </w:rPr>
        <w:t xml:space="preserve">This statement is true because </w:t>
      </w:r>
      <w:r w:rsidR="007B5180" w:rsidRPr="006720EC">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40F97E8C"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105BE" w:rsidRDefault="009355DB" w:rsidP="008071D5">
      <w:pPr>
        <w:pStyle w:val="ListParagraph"/>
        <w:numPr>
          <w:ilvl w:val="0"/>
          <w:numId w:val="24"/>
        </w:numPr>
        <w:ind w:left="426"/>
        <w:jc w:val="both"/>
        <w:rPr>
          <w:rFonts w:ascii="Avenir Next" w:hAnsi="Avenir Next" w:cs="Arial"/>
          <w:sz w:val="22"/>
          <w:szCs w:val="22"/>
          <w:highlight w:val="yellow"/>
        </w:rPr>
      </w:pPr>
      <w:r w:rsidRPr="00A105BE">
        <w:rPr>
          <w:rFonts w:ascii="Avenir Next" w:hAnsi="Avenir Next" w:cs="Arial"/>
          <w:sz w:val="22"/>
          <w:szCs w:val="22"/>
          <w:highlight w:val="yellow"/>
        </w:rPr>
        <w:t xml:space="preserve">This statement is true because </w:t>
      </w:r>
      <w:r w:rsidR="005C4FF2" w:rsidRPr="00A105B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205BD02" w:rsidR="0081547D" w:rsidRPr="00AB63DE" w:rsidRDefault="00242218" w:rsidP="008B2D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laws found in African countries are, to a large extent, influenced by the former colonial powers of the various African countries. For example, </w:t>
      </w:r>
      <w:r w:rsidR="004A107B">
        <w:rPr>
          <w:rFonts w:ascii="Avenir Next" w:hAnsi="Avenir Next" w:cs="Arial"/>
          <w:color w:val="808080" w:themeColor="background1" w:themeShade="80"/>
          <w:sz w:val="22"/>
          <w:szCs w:val="22"/>
          <w:lang w:val="en-GB"/>
        </w:rPr>
        <w:t xml:space="preserve"> the insolvency law in South Africa and Namibia are based on Roman-Dutch law as well as English law while the insolvency laws in Cape Verde, Angola and Mozambique  are based on Portuguese law.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6330E909" w14:textId="5B029886" w:rsidR="000C6855" w:rsidRPr="000C6855" w:rsidRDefault="000C6855" w:rsidP="000C68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Asian financial crisis in 1998 had caused a substantial part of Eastern Asia’s corporate sector insolvent.  The lack of proper and orderly methods</w:t>
      </w:r>
      <w:r w:rsidR="000A46DE">
        <w:rPr>
          <w:rFonts w:ascii="Avenir Next" w:hAnsi="Avenir Next" w:cs="Arial"/>
          <w:color w:val="808080" w:themeColor="background1" w:themeShade="80"/>
          <w:sz w:val="22"/>
          <w:szCs w:val="22"/>
          <w:lang w:val="en-GB"/>
        </w:rPr>
        <w:t xml:space="preserve"> and procedures</w:t>
      </w:r>
      <w:r>
        <w:rPr>
          <w:rFonts w:ascii="Avenir Next" w:hAnsi="Avenir Next" w:cs="Arial"/>
          <w:color w:val="808080" w:themeColor="background1" w:themeShade="80"/>
          <w:sz w:val="22"/>
          <w:szCs w:val="22"/>
          <w:lang w:val="en-GB"/>
        </w:rPr>
        <w:t xml:space="preserve"> to deal with insolvency </w:t>
      </w:r>
      <w:r w:rsidR="000A46DE">
        <w:rPr>
          <w:rFonts w:ascii="Avenir Next" w:hAnsi="Avenir Next" w:cs="Arial"/>
          <w:color w:val="808080" w:themeColor="background1" w:themeShade="80"/>
          <w:sz w:val="22"/>
          <w:szCs w:val="22"/>
          <w:lang w:val="en-GB"/>
        </w:rPr>
        <w:t xml:space="preserve">on a large scale </w:t>
      </w:r>
      <w:r>
        <w:rPr>
          <w:rFonts w:ascii="Avenir Next" w:hAnsi="Avenir Next" w:cs="Arial"/>
          <w:color w:val="808080" w:themeColor="background1" w:themeShade="80"/>
          <w:sz w:val="22"/>
          <w:szCs w:val="22"/>
          <w:lang w:val="en-GB"/>
        </w:rPr>
        <w:t>was</w:t>
      </w:r>
      <w:r w:rsidR="000A46DE">
        <w:rPr>
          <w:rFonts w:ascii="Avenir Next" w:hAnsi="Avenir Next" w:cs="Arial"/>
          <w:color w:val="808080" w:themeColor="background1" w:themeShade="80"/>
          <w:sz w:val="22"/>
          <w:szCs w:val="22"/>
          <w:lang w:val="en-GB"/>
        </w:rPr>
        <w:t xml:space="preserve"> felt by creditors, corporations as well as governments of the various East Asian countries. </w:t>
      </w:r>
      <w:r w:rsidR="00D80F59">
        <w:rPr>
          <w:rFonts w:ascii="Avenir Next" w:hAnsi="Avenir Next" w:cs="Arial"/>
          <w:color w:val="808080" w:themeColor="background1" w:themeShade="80"/>
          <w:sz w:val="22"/>
          <w:szCs w:val="22"/>
          <w:lang w:val="en-GB"/>
        </w:rPr>
        <w:t xml:space="preserve"> This resulted in various insolvency law reform in Eastern Asia. For example, Thailand had reformed its Bankruptcy Act in 1998 by introducing a new rescue mechanism while </w:t>
      </w:r>
      <w:r w:rsidR="00D80F59" w:rsidRPr="00D80F59">
        <w:rPr>
          <w:rFonts w:ascii="Avenir Next" w:hAnsi="Avenir Next" w:cs="Arial"/>
          <w:color w:val="808080" w:themeColor="background1" w:themeShade="80"/>
          <w:sz w:val="22"/>
          <w:szCs w:val="22"/>
          <w:lang w:val="en-GB"/>
        </w:rPr>
        <w:t xml:space="preserve">Japan </w:t>
      </w:r>
      <w:r w:rsidR="005739EC">
        <w:rPr>
          <w:rFonts w:ascii="Avenir Next" w:hAnsi="Avenir Next" w:cs="Arial"/>
          <w:color w:val="808080" w:themeColor="background1" w:themeShade="80"/>
          <w:sz w:val="22"/>
          <w:szCs w:val="22"/>
          <w:lang w:val="en-GB"/>
        </w:rPr>
        <w:t>introduced a</w:t>
      </w:r>
      <w:r w:rsidR="00D80F59" w:rsidRPr="00D80F59">
        <w:rPr>
          <w:rFonts w:ascii="Avenir Next" w:hAnsi="Avenir Next" w:cs="Arial"/>
          <w:color w:val="808080" w:themeColor="background1" w:themeShade="80"/>
          <w:sz w:val="22"/>
          <w:szCs w:val="22"/>
          <w:lang w:val="en-GB"/>
        </w:rPr>
        <w:t xml:space="preserve"> new rescue </w:t>
      </w:r>
      <w:r w:rsidR="005739EC">
        <w:rPr>
          <w:rFonts w:ascii="Avenir Next" w:hAnsi="Avenir Next" w:cs="Arial"/>
          <w:color w:val="808080" w:themeColor="background1" w:themeShade="80"/>
          <w:sz w:val="22"/>
          <w:szCs w:val="22"/>
          <w:lang w:val="en-GB"/>
        </w:rPr>
        <w:t xml:space="preserve">mechanism </w:t>
      </w:r>
      <w:r w:rsidR="00257D01">
        <w:rPr>
          <w:rFonts w:ascii="Avenir Next" w:hAnsi="Avenir Next" w:cs="Arial"/>
          <w:color w:val="808080" w:themeColor="background1" w:themeShade="80"/>
          <w:sz w:val="22"/>
          <w:szCs w:val="22"/>
          <w:lang w:val="en-GB"/>
        </w:rPr>
        <w:t xml:space="preserve">in 1999 through the Civil Rescue Law </w:t>
      </w:r>
      <w:r w:rsidR="005739EC">
        <w:rPr>
          <w:rFonts w:ascii="Avenir Next" w:hAnsi="Avenir Next" w:cs="Arial"/>
          <w:color w:val="808080" w:themeColor="background1" w:themeShade="80"/>
          <w:sz w:val="22"/>
          <w:szCs w:val="22"/>
          <w:lang w:val="en-GB"/>
        </w:rPr>
        <w:t>which was</w:t>
      </w:r>
      <w:r w:rsidR="00257D01">
        <w:rPr>
          <w:rFonts w:ascii="Avenir Next" w:hAnsi="Avenir Next" w:cs="Arial"/>
          <w:color w:val="808080" w:themeColor="background1" w:themeShade="80"/>
          <w:sz w:val="22"/>
          <w:szCs w:val="22"/>
          <w:lang w:val="en-GB"/>
        </w:rPr>
        <w:t xml:space="preserve"> adapted from </w:t>
      </w:r>
      <w:r w:rsidR="00D80F59" w:rsidRPr="00D80F59">
        <w:rPr>
          <w:rFonts w:ascii="Avenir Next" w:hAnsi="Avenir Next" w:cs="Arial"/>
          <w:color w:val="808080" w:themeColor="background1" w:themeShade="80"/>
          <w:sz w:val="22"/>
          <w:szCs w:val="22"/>
          <w:lang w:val="en-GB"/>
        </w:rPr>
        <w:t>the</w:t>
      </w:r>
      <w:r w:rsidR="00257D01">
        <w:rPr>
          <w:rFonts w:ascii="Avenir Next" w:hAnsi="Avenir Next" w:cs="Arial"/>
          <w:color w:val="808080" w:themeColor="background1" w:themeShade="80"/>
          <w:sz w:val="22"/>
          <w:szCs w:val="22"/>
          <w:lang w:val="en-GB"/>
        </w:rPr>
        <w:t xml:space="preserve"> United States of America’s</w:t>
      </w:r>
      <w:r w:rsidR="00D80F59" w:rsidRPr="00D80F59">
        <w:rPr>
          <w:rFonts w:ascii="Avenir Next" w:hAnsi="Avenir Next" w:cs="Arial"/>
          <w:color w:val="808080" w:themeColor="background1" w:themeShade="80"/>
          <w:sz w:val="22"/>
          <w:szCs w:val="22"/>
          <w:lang w:val="en-GB"/>
        </w:rPr>
        <w:t xml:space="preserve"> Chapter 11 regime</w:t>
      </w:r>
      <w:r w:rsidR="00257D01">
        <w:rPr>
          <w:rFonts w:ascii="Avenir Next" w:hAnsi="Avenir Next" w:cs="Arial"/>
          <w:color w:val="808080" w:themeColor="background1" w:themeShade="80"/>
          <w:sz w:val="22"/>
          <w:szCs w:val="22"/>
          <w:lang w:val="en-GB"/>
        </w:rPr>
        <w:t>.</w:t>
      </w:r>
    </w:p>
    <w:p w14:paraId="09F61129" w14:textId="3FFD16C1" w:rsidR="00AB63DE" w:rsidRPr="00D80F59" w:rsidRDefault="00AB63DE" w:rsidP="00692852">
      <w:pPr>
        <w:ind w:left="720" w:hanging="720"/>
        <w:jc w:val="both"/>
        <w:rPr>
          <w:rFonts w:ascii="Avenir Next" w:hAnsi="Avenir Next" w:cs="Arial"/>
          <w:color w:val="808080" w:themeColor="background1" w:themeShade="80"/>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187EF70" w14:textId="77777777" w:rsidR="00691927" w:rsidRDefault="00F9354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there were attempts by the United States of America and Canada to create a bilateral insolvency treaty</w:t>
      </w:r>
      <w:r w:rsidR="006C5464">
        <w:rPr>
          <w:rFonts w:ascii="Avenir Next" w:hAnsi="Avenir Next" w:cs="Arial"/>
          <w:color w:val="808080" w:themeColor="background1" w:themeShade="80"/>
          <w:sz w:val="22"/>
          <w:szCs w:val="22"/>
          <w:lang w:val="en-GB"/>
        </w:rPr>
        <w:t xml:space="preserve">, i.e., the </w:t>
      </w:r>
      <w:r w:rsidR="006C5464" w:rsidRPr="006C5464">
        <w:rPr>
          <w:rFonts w:ascii="Avenir Next" w:hAnsi="Avenir Next" w:cs="Arial"/>
          <w:color w:val="808080" w:themeColor="background1" w:themeShade="80"/>
          <w:sz w:val="22"/>
          <w:szCs w:val="22"/>
          <w:lang w:val="en-GB"/>
        </w:rPr>
        <w:t>United States of America – Canada Bankruptcy Treat</w:t>
      </w:r>
      <w:r w:rsidR="006C5464">
        <w:rPr>
          <w:rFonts w:ascii="Avenir Next" w:hAnsi="Avenir Next" w:cs="Arial"/>
          <w:color w:val="808080" w:themeColor="background1" w:themeShade="80"/>
          <w:sz w:val="22"/>
          <w:szCs w:val="22"/>
          <w:lang w:val="en-GB"/>
        </w:rPr>
        <w:t>y. The treaty was negotiated, but was ultimately unsigned</w:t>
      </w:r>
      <w:r w:rsidR="00BA5369">
        <w:rPr>
          <w:rFonts w:ascii="Avenir Next" w:hAnsi="Avenir Next" w:cs="Arial"/>
          <w:color w:val="808080" w:themeColor="background1" w:themeShade="80"/>
          <w:sz w:val="22"/>
          <w:szCs w:val="22"/>
          <w:lang w:val="en-GB"/>
        </w:rPr>
        <w:t xml:space="preserve"> as both States failed to arrive at an agreement. </w:t>
      </w:r>
    </w:p>
    <w:p w14:paraId="7A8F4D9D" w14:textId="77777777" w:rsidR="00691927" w:rsidRDefault="00691927" w:rsidP="00692852">
      <w:pPr>
        <w:jc w:val="both"/>
        <w:rPr>
          <w:rFonts w:ascii="Avenir Next" w:hAnsi="Avenir Next" w:cs="Arial"/>
          <w:color w:val="808080" w:themeColor="background1" w:themeShade="80"/>
          <w:sz w:val="22"/>
          <w:szCs w:val="22"/>
          <w:lang w:val="en-GB"/>
        </w:rPr>
      </w:pPr>
    </w:p>
    <w:p w14:paraId="1E19C3FC" w14:textId="77777777" w:rsidR="00ED77FA" w:rsidRPr="00312EBC" w:rsidRDefault="00BA5369" w:rsidP="00ED77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Thereafter, </w:t>
      </w:r>
      <w:r w:rsidR="00312EBC">
        <w:rPr>
          <w:rFonts w:ascii="Avenir Next" w:hAnsi="Avenir Next" w:cs="Arial"/>
          <w:color w:val="808080" w:themeColor="background1" w:themeShade="80"/>
          <w:sz w:val="22"/>
          <w:szCs w:val="22"/>
          <w:lang w:val="en-GB"/>
        </w:rPr>
        <w:t xml:space="preserve">both States adopted the Model Law as well as Protocols. </w:t>
      </w:r>
      <w:r w:rsidR="00ED77FA">
        <w:rPr>
          <w:rFonts w:ascii="Avenir Next" w:hAnsi="Avenir Next" w:cs="Arial"/>
          <w:color w:val="808080" w:themeColor="background1" w:themeShade="80"/>
          <w:sz w:val="22"/>
          <w:szCs w:val="22"/>
          <w:lang w:val="en-GB"/>
        </w:rPr>
        <w:t>These initiatives were more practical and can be considered to be more successful than the United States of America – Canada Bankruptcy Treaty.</w:t>
      </w:r>
    </w:p>
    <w:p w14:paraId="17C28FF7" w14:textId="77777777" w:rsidR="00ED77FA" w:rsidRDefault="00ED77FA" w:rsidP="00692852">
      <w:pPr>
        <w:jc w:val="both"/>
        <w:rPr>
          <w:rFonts w:ascii="Avenir Next" w:hAnsi="Avenir Next" w:cs="Arial"/>
          <w:color w:val="808080" w:themeColor="background1" w:themeShade="80"/>
          <w:sz w:val="22"/>
          <w:szCs w:val="22"/>
          <w:lang w:val="en-GB"/>
        </w:rPr>
      </w:pPr>
    </w:p>
    <w:p w14:paraId="22EB343F" w14:textId="18EE53E2" w:rsidR="00AB63DE" w:rsidRPr="00ED77FA" w:rsidRDefault="00312EBC" w:rsidP="00ED77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the American Law Institute</w:t>
      </w:r>
      <w:r w:rsidR="00275F23">
        <w:rPr>
          <w:rFonts w:ascii="Avenir Next" w:hAnsi="Avenir Next" w:cs="Arial"/>
          <w:color w:val="808080" w:themeColor="background1" w:themeShade="80"/>
          <w:sz w:val="22"/>
          <w:szCs w:val="22"/>
          <w:lang w:val="en-GB"/>
        </w:rPr>
        <w:t xml:space="preserve"> (“</w:t>
      </w:r>
      <w:r w:rsidR="00275F23" w:rsidRPr="00275F23">
        <w:rPr>
          <w:rFonts w:ascii="Avenir Next" w:hAnsi="Avenir Next" w:cs="Arial"/>
          <w:b/>
          <w:bCs/>
          <w:color w:val="808080" w:themeColor="background1" w:themeShade="80"/>
          <w:sz w:val="22"/>
          <w:szCs w:val="22"/>
          <w:lang w:val="en-GB"/>
        </w:rPr>
        <w:t>ALI</w:t>
      </w:r>
      <w:r w:rsidR="00275F2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also assisted in resolving various insolvency issues </w:t>
      </w:r>
      <w:r w:rsidR="00A2731E">
        <w:rPr>
          <w:rFonts w:ascii="Avenir Next" w:hAnsi="Avenir Next" w:cs="Arial"/>
          <w:color w:val="808080" w:themeColor="background1" w:themeShade="80"/>
          <w:sz w:val="22"/>
          <w:szCs w:val="22"/>
          <w:lang w:val="en-GB"/>
        </w:rPr>
        <w:t xml:space="preserve">among </w:t>
      </w:r>
      <w:r>
        <w:rPr>
          <w:rFonts w:ascii="Avenir Next" w:hAnsi="Avenir Next" w:cs="Arial"/>
          <w:color w:val="808080" w:themeColor="background1" w:themeShade="80"/>
          <w:sz w:val="22"/>
          <w:szCs w:val="22"/>
          <w:lang w:val="en-GB"/>
        </w:rPr>
        <w:t>the</w:t>
      </w:r>
      <w:r w:rsidR="00A2731E">
        <w:rPr>
          <w:rFonts w:ascii="Avenir Next" w:hAnsi="Avenir Next" w:cs="Arial"/>
          <w:color w:val="808080" w:themeColor="background1" w:themeShade="80"/>
          <w:sz w:val="22"/>
          <w:szCs w:val="22"/>
          <w:lang w:val="en-GB"/>
        </w:rPr>
        <w:t xml:space="preserve"> member</w:t>
      </w:r>
      <w:r w:rsidR="00ED77FA">
        <w:rPr>
          <w:rFonts w:ascii="Avenir Next" w:hAnsi="Avenir Next" w:cs="Arial"/>
          <w:color w:val="808080" w:themeColor="background1" w:themeShade="80"/>
          <w:sz w:val="22"/>
          <w:szCs w:val="22"/>
          <w:lang w:val="en-GB"/>
        </w:rPr>
        <w:t xml:space="preserve"> states</w:t>
      </w:r>
      <w:r w:rsidR="00A2731E">
        <w:rPr>
          <w:rFonts w:ascii="Avenir Next" w:hAnsi="Avenir Next" w:cs="Arial"/>
          <w:color w:val="808080" w:themeColor="background1" w:themeShade="80"/>
          <w:sz w:val="22"/>
          <w:szCs w:val="22"/>
          <w:lang w:val="en-GB"/>
        </w:rPr>
        <w:t xml:space="preserve"> of the United States of America </w:t>
      </w:r>
      <w:r>
        <w:rPr>
          <w:rFonts w:ascii="Avenir Next" w:hAnsi="Avenir Next" w:cs="Arial"/>
          <w:color w:val="808080" w:themeColor="background1" w:themeShade="80"/>
          <w:sz w:val="22"/>
          <w:szCs w:val="22"/>
          <w:lang w:val="en-GB"/>
        </w:rPr>
        <w:t xml:space="preserve"> North American Free Trade Agreement</w:t>
      </w:r>
      <w:r w:rsidR="00691927">
        <w:rPr>
          <w:rFonts w:ascii="Avenir Next" w:hAnsi="Avenir Next" w:cs="Arial"/>
          <w:color w:val="808080" w:themeColor="background1" w:themeShade="80"/>
          <w:sz w:val="22"/>
          <w:szCs w:val="22"/>
          <w:lang w:val="en-GB"/>
        </w:rPr>
        <w:t xml:space="preserve"> (NAFTA)</w:t>
      </w:r>
      <w:r w:rsidR="00A2731E">
        <w:rPr>
          <w:rFonts w:ascii="Avenir Next" w:hAnsi="Avenir Next" w:cs="Arial"/>
          <w:color w:val="808080" w:themeColor="background1" w:themeShade="80"/>
          <w:sz w:val="22"/>
          <w:szCs w:val="22"/>
          <w:lang w:val="en-GB"/>
        </w:rPr>
        <w:t xml:space="preserve"> which includes, among others, Canada and Mexico.</w:t>
      </w:r>
      <w:r w:rsidR="00691927">
        <w:rPr>
          <w:rFonts w:ascii="Avenir Next" w:hAnsi="Avenir Next" w:cs="Arial"/>
          <w:color w:val="808080" w:themeColor="background1" w:themeShade="80"/>
          <w:sz w:val="22"/>
          <w:szCs w:val="22"/>
          <w:lang w:val="en-GB"/>
        </w:rPr>
        <w:t xml:space="preserve"> </w:t>
      </w:r>
      <w:r w:rsidR="00ED77FA">
        <w:rPr>
          <w:rFonts w:ascii="Avenir Next" w:hAnsi="Avenir Next" w:cs="Arial"/>
          <w:color w:val="808080" w:themeColor="background1" w:themeShade="80"/>
          <w:sz w:val="22"/>
          <w:szCs w:val="22"/>
          <w:lang w:val="en-GB"/>
        </w:rPr>
        <w:t xml:space="preserve"> For instance, the ALI Transnational Insolvency Project was introduced for the purposes of facilitating co-operation among the NAFTA members vis-à-vis international insolvency. </w:t>
      </w:r>
      <w:r w:rsidR="0059330A">
        <w:rPr>
          <w:rFonts w:ascii="Avenir Next" w:hAnsi="Avenir Next" w:cs="Arial"/>
          <w:color w:val="808080" w:themeColor="background1" w:themeShade="80"/>
          <w:sz w:val="22"/>
          <w:szCs w:val="22"/>
          <w:lang w:val="en-GB"/>
        </w:rPr>
        <w:t>Again, this is considered to be a success as it resulted in the Principles of Cooperation among the NAFTA members being prepared and eventually approved in 2000.</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E9F61C4" w14:textId="39EA1C62" w:rsidR="00AB63DE" w:rsidRDefault="00860A2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Historically, civil law stems </w:t>
      </w:r>
      <w:proofErr w:type="gramStart"/>
      <w:r>
        <w:rPr>
          <w:rFonts w:ascii="Avenir Next" w:hAnsi="Avenir Next" w:cs="Arial"/>
          <w:color w:val="808080" w:themeColor="background1" w:themeShade="80"/>
          <w:sz w:val="22"/>
          <w:szCs w:val="22"/>
          <w:lang w:val="en-GB"/>
        </w:rPr>
        <w:t>from  Roman</w:t>
      </w:r>
      <w:proofErr w:type="gramEnd"/>
      <w:r>
        <w:rPr>
          <w:rFonts w:ascii="Avenir Next" w:hAnsi="Avenir Next" w:cs="Arial"/>
          <w:color w:val="808080" w:themeColor="background1" w:themeShade="80"/>
          <w:sz w:val="22"/>
          <w:szCs w:val="22"/>
          <w:lang w:val="en-GB"/>
        </w:rPr>
        <w:t xml:space="preserve"> law as well as Table 3 to the Twelve Tables which essentially dealt with execution of judgments. In this regard, debtors would pledge his own body to repay debts </w:t>
      </w:r>
      <w:r>
        <w:rPr>
          <w:rFonts w:ascii="Avenir Next" w:hAnsi="Avenir Next" w:cs="Arial"/>
          <w:color w:val="808080" w:themeColor="background1" w:themeShade="80"/>
          <w:sz w:val="22"/>
          <w:szCs w:val="22"/>
          <w:lang w:val="en-GB"/>
        </w:rPr>
        <w:lastRenderedPageBreak/>
        <w:t>and where he could be imprisoned, sentenced to death as well as sold as a slave for the purposes of securing repayment of his debts.</w:t>
      </w:r>
      <w:r w:rsidR="00233876">
        <w:rPr>
          <w:rFonts w:ascii="Avenir Next" w:hAnsi="Avenir Next" w:cs="Arial"/>
          <w:color w:val="808080" w:themeColor="background1" w:themeShade="80"/>
          <w:sz w:val="22"/>
          <w:szCs w:val="22"/>
          <w:lang w:val="en-GB"/>
        </w:rPr>
        <w:t xml:space="preserve"> </w:t>
      </w:r>
    </w:p>
    <w:p w14:paraId="3F97F203" w14:textId="77777777" w:rsidR="00860A24" w:rsidRPr="004216EA" w:rsidRDefault="00860A24" w:rsidP="00692852">
      <w:pPr>
        <w:jc w:val="both"/>
        <w:rPr>
          <w:rFonts w:ascii="Avenir Next" w:hAnsi="Avenir Next" w:cs="Arial"/>
          <w:sz w:val="22"/>
          <w:szCs w:val="22"/>
          <w:lang w:val="en-GB"/>
        </w:rPr>
      </w:pPr>
    </w:p>
    <w:p w14:paraId="0DCFD5B9" w14:textId="64C36951" w:rsidR="00DD526C" w:rsidRDefault="00724D8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contrary, </w:t>
      </w:r>
      <w:r w:rsidR="00233876">
        <w:rPr>
          <w:rFonts w:ascii="Avenir Next" w:hAnsi="Avenir Next" w:cs="Arial"/>
          <w:color w:val="808080" w:themeColor="background1" w:themeShade="80"/>
          <w:sz w:val="22"/>
          <w:szCs w:val="22"/>
          <w:lang w:val="en-GB"/>
        </w:rPr>
        <w:t>imprisonment of debtors was never provided for under English law, initially. This was however introduced at the end of the 13</w:t>
      </w:r>
      <w:r w:rsidR="00233876" w:rsidRPr="00233876">
        <w:rPr>
          <w:rFonts w:ascii="Avenir Next" w:hAnsi="Avenir Next" w:cs="Arial"/>
          <w:color w:val="808080" w:themeColor="background1" w:themeShade="80"/>
          <w:sz w:val="22"/>
          <w:szCs w:val="22"/>
          <w:vertAlign w:val="superscript"/>
          <w:lang w:val="en-GB"/>
        </w:rPr>
        <w:t>th</w:t>
      </w:r>
      <w:r w:rsidR="00233876">
        <w:rPr>
          <w:rFonts w:ascii="Avenir Next" w:hAnsi="Avenir Next" w:cs="Arial"/>
          <w:color w:val="808080" w:themeColor="background1" w:themeShade="80"/>
          <w:sz w:val="22"/>
          <w:szCs w:val="22"/>
          <w:lang w:val="en-GB"/>
        </w:rPr>
        <w:t xml:space="preserve"> century through the Statute of </w:t>
      </w:r>
      <w:proofErr w:type="spellStart"/>
      <w:r w:rsidR="00233876">
        <w:rPr>
          <w:rFonts w:ascii="Avenir Next" w:hAnsi="Avenir Next" w:cs="Arial"/>
          <w:color w:val="808080" w:themeColor="background1" w:themeShade="80"/>
          <w:sz w:val="22"/>
          <w:szCs w:val="22"/>
          <w:lang w:val="en-GB"/>
        </w:rPr>
        <w:t>Marlbridge</w:t>
      </w:r>
      <w:proofErr w:type="spellEnd"/>
      <w:r w:rsidR="00233876">
        <w:rPr>
          <w:rFonts w:ascii="Avenir Next" w:hAnsi="Avenir Next" w:cs="Arial"/>
          <w:color w:val="808080" w:themeColor="background1" w:themeShade="80"/>
          <w:sz w:val="22"/>
          <w:szCs w:val="22"/>
          <w:lang w:val="en-GB"/>
        </w:rPr>
        <w:t xml:space="preserve"> of </w:t>
      </w:r>
      <w:proofErr w:type="gramStart"/>
      <w:r w:rsidR="00233876">
        <w:rPr>
          <w:rFonts w:ascii="Avenir Next" w:hAnsi="Avenir Next" w:cs="Arial"/>
          <w:color w:val="808080" w:themeColor="background1" w:themeShade="80"/>
          <w:sz w:val="22"/>
          <w:szCs w:val="22"/>
          <w:lang w:val="en-GB"/>
        </w:rPr>
        <w:t>1267</w:t>
      </w:r>
      <w:r w:rsidR="00326919">
        <w:rPr>
          <w:rFonts w:ascii="Avenir Next" w:hAnsi="Avenir Next" w:cs="Arial"/>
          <w:color w:val="808080" w:themeColor="background1" w:themeShade="80"/>
          <w:sz w:val="22"/>
          <w:szCs w:val="22"/>
          <w:lang w:val="en-GB"/>
        </w:rPr>
        <w:t>, and</w:t>
      </w:r>
      <w:proofErr w:type="gramEnd"/>
      <w:r w:rsidR="00326919">
        <w:rPr>
          <w:rFonts w:ascii="Avenir Next" w:hAnsi="Avenir Next" w:cs="Arial"/>
          <w:color w:val="808080" w:themeColor="background1" w:themeShade="80"/>
          <w:sz w:val="22"/>
          <w:szCs w:val="22"/>
          <w:lang w:val="en-GB"/>
        </w:rPr>
        <w:t xml:space="preserve"> was subsequently abolished by the Debtors Act in 1869. </w:t>
      </w:r>
    </w:p>
    <w:p w14:paraId="37AC37C5" w14:textId="64E45742" w:rsidR="007A32AD" w:rsidRDefault="007A32AD" w:rsidP="00692852">
      <w:pPr>
        <w:jc w:val="both"/>
        <w:rPr>
          <w:rFonts w:ascii="Avenir Next" w:hAnsi="Avenir Next" w:cs="Arial"/>
          <w:color w:val="808080" w:themeColor="background1" w:themeShade="80"/>
          <w:sz w:val="22"/>
          <w:szCs w:val="22"/>
          <w:lang w:val="en-GB"/>
        </w:rPr>
      </w:pPr>
    </w:p>
    <w:p w14:paraId="26F45EE3" w14:textId="671DB92F" w:rsidR="007A32AD" w:rsidRDefault="00AE306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reason for the difference in treatment of voidable dispositions could be </w:t>
      </w:r>
      <w:proofErr w:type="gramStart"/>
      <w:r>
        <w:rPr>
          <w:rFonts w:ascii="Avenir Next" w:hAnsi="Avenir Next" w:cs="Arial"/>
          <w:color w:val="808080" w:themeColor="background1" w:themeShade="80"/>
          <w:sz w:val="22"/>
          <w:szCs w:val="22"/>
          <w:lang w:val="en-GB"/>
        </w:rPr>
        <w:t>based on the fact that</w:t>
      </w:r>
      <w:proofErr w:type="gramEnd"/>
      <w:r>
        <w:rPr>
          <w:rFonts w:ascii="Avenir Next" w:hAnsi="Avenir Next" w:cs="Arial"/>
          <w:color w:val="808080" w:themeColor="background1" w:themeShade="80"/>
          <w:sz w:val="22"/>
          <w:szCs w:val="22"/>
          <w:lang w:val="en-GB"/>
        </w:rPr>
        <w:t xml:space="preserve"> English law adopts the concept of universalism whereas civil law countries are more inclined towards a territorial approach. Under the concept of universalism, </w:t>
      </w:r>
      <w:r w:rsidR="001F45F2">
        <w:rPr>
          <w:rFonts w:ascii="Avenir Next" w:hAnsi="Avenir Next" w:cs="Arial"/>
          <w:color w:val="808080" w:themeColor="background1" w:themeShade="80"/>
          <w:sz w:val="22"/>
          <w:szCs w:val="22"/>
          <w:lang w:val="en-GB"/>
        </w:rPr>
        <w:t xml:space="preserve">it is believed that there should only be a </w:t>
      </w:r>
      <w:proofErr w:type="gramStart"/>
      <w:r w:rsidR="001F45F2">
        <w:rPr>
          <w:rFonts w:ascii="Avenir Next" w:hAnsi="Avenir Next" w:cs="Arial"/>
          <w:color w:val="808080" w:themeColor="background1" w:themeShade="80"/>
          <w:sz w:val="22"/>
          <w:szCs w:val="22"/>
          <w:lang w:val="en-GB"/>
        </w:rPr>
        <w:t>single insolvency proceedings</w:t>
      </w:r>
      <w:proofErr w:type="gramEnd"/>
      <w:r w:rsidR="001F45F2">
        <w:rPr>
          <w:rFonts w:ascii="Avenir Next" w:hAnsi="Avenir Next" w:cs="Arial"/>
          <w:color w:val="808080" w:themeColor="background1" w:themeShade="80"/>
          <w:sz w:val="22"/>
          <w:szCs w:val="22"/>
          <w:lang w:val="en-GB"/>
        </w:rPr>
        <w:t xml:space="preserve"> which extends to the entire assets of the debtor, regardless of where they are located around the world. On the other hand, under the concept of territorialism, it is believed that insolvency proceedings can be commenced in every state.</w:t>
      </w:r>
    </w:p>
    <w:p w14:paraId="7A56381B" w14:textId="58B3638F" w:rsidR="001E052E" w:rsidRDefault="001E052E" w:rsidP="00692852">
      <w:pPr>
        <w:jc w:val="both"/>
        <w:rPr>
          <w:rFonts w:ascii="Avenir Next" w:hAnsi="Avenir Next" w:cs="Arial"/>
          <w:color w:val="808080" w:themeColor="background1" w:themeShade="80"/>
          <w:sz w:val="22"/>
          <w:szCs w:val="22"/>
          <w:lang w:val="en-GB"/>
        </w:rPr>
      </w:pPr>
    </w:p>
    <w:p w14:paraId="74FF599C" w14:textId="13092AC3" w:rsidR="001E052E" w:rsidRDefault="001E052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major setback vis-à-vis the concept of territorialism is that a debtor could be declared as being insolvent in a state where the debts are while remain solvent in another state where its assets are located.</w:t>
      </w:r>
    </w:p>
    <w:p w14:paraId="4ED0C356" w14:textId="77777777" w:rsidR="001F45F2" w:rsidRPr="001F5204" w:rsidRDefault="001F45F2"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7E23007B" w:rsidR="001E1C34" w:rsidRDefault="00FB4BF7" w:rsidP="005F67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61244">
        <w:rPr>
          <w:rFonts w:ascii="Avenir Next" w:hAnsi="Avenir Next" w:cs="Arial"/>
          <w:color w:val="808080" w:themeColor="background1" w:themeShade="80"/>
          <w:sz w:val="22"/>
          <w:szCs w:val="22"/>
          <w:lang w:val="en-GB"/>
        </w:rPr>
        <w:t xml:space="preserve">he above definition is limited as it is linked </w:t>
      </w:r>
      <w:r w:rsidR="00855096">
        <w:rPr>
          <w:rFonts w:ascii="Avenir Next" w:hAnsi="Avenir Next" w:cs="Arial"/>
          <w:color w:val="808080" w:themeColor="background1" w:themeShade="80"/>
          <w:sz w:val="22"/>
          <w:szCs w:val="22"/>
          <w:lang w:val="en-GB"/>
        </w:rPr>
        <w:t xml:space="preserve">or confined </w:t>
      </w:r>
      <w:r w:rsidR="00561244">
        <w:rPr>
          <w:rFonts w:ascii="Avenir Next" w:hAnsi="Avenir Next" w:cs="Arial"/>
          <w:color w:val="808080" w:themeColor="background1" w:themeShade="80"/>
          <w:sz w:val="22"/>
          <w:szCs w:val="22"/>
          <w:lang w:val="en-GB"/>
        </w:rPr>
        <w:t xml:space="preserve">to the existence of </w:t>
      </w:r>
      <w:r w:rsidR="005E7382">
        <w:rPr>
          <w:rFonts w:ascii="Avenir Next" w:hAnsi="Avenir Next" w:cs="Arial"/>
          <w:color w:val="808080" w:themeColor="background1" w:themeShade="80"/>
          <w:sz w:val="22"/>
          <w:szCs w:val="22"/>
          <w:lang w:val="en-GB"/>
        </w:rPr>
        <w:t xml:space="preserve">a single set of </w:t>
      </w:r>
      <w:r w:rsidR="00855096">
        <w:rPr>
          <w:rFonts w:ascii="Avenir Next" w:hAnsi="Avenir Next" w:cs="Arial"/>
          <w:color w:val="808080" w:themeColor="background1" w:themeShade="80"/>
          <w:sz w:val="22"/>
          <w:szCs w:val="22"/>
          <w:lang w:val="en-GB"/>
        </w:rPr>
        <w:t>national insolvency</w:t>
      </w:r>
      <w:r w:rsidR="005F678C">
        <w:rPr>
          <w:rFonts w:ascii="Avenir Next" w:hAnsi="Avenir Next" w:cs="Arial"/>
          <w:color w:val="808080" w:themeColor="background1" w:themeShade="80"/>
          <w:sz w:val="22"/>
          <w:szCs w:val="22"/>
          <w:lang w:val="en-GB"/>
        </w:rPr>
        <w:t xml:space="preserve"> law</w:t>
      </w:r>
      <w:r w:rsidR="00BC3343">
        <w:rPr>
          <w:rFonts w:ascii="Avenir Next" w:hAnsi="Avenir Next" w:cs="Arial"/>
          <w:color w:val="808080" w:themeColor="background1" w:themeShade="80"/>
          <w:sz w:val="22"/>
          <w:szCs w:val="22"/>
          <w:lang w:val="en-GB"/>
        </w:rPr>
        <w:t xml:space="preserve"> provisions</w:t>
      </w:r>
      <w:r w:rsidR="00855096">
        <w:rPr>
          <w:rFonts w:ascii="Avenir Next" w:hAnsi="Avenir Next" w:cs="Arial"/>
          <w:color w:val="808080" w:themeColor="background1" w:themeShade="80"/>
          <w:sz w:val="22"/>
          <w:szCs w:val="22"/>
          <w:lang w:val="en-GB"/>
        </w:rPr>
        <w:t xml:space="preserve">. This limitation had been exposed by </w:t>
      </w:r>
      <w:r w:rsidR="001553C6">
        <w:rPr>
          <w:rFonts w:ascii="Avenir Next" w:hAnsi="Avenir Next" w:cs="Arial"/>
          <w:color w:val="808080" w:themeColor="background1" w:themeShade="80"/>
          <w:sz w:val="22"/>
          <w:szCs w:val="22"/>
          <w:lang w:val="en-GB"/>
        </w:rPr>
        <w:t>Professor Fletcher</w:t>
      </w:r>
      <w:r w:rsidR="00855096">
        <w:rPr>
          <w:rFonts w:ascii="Avenir Next" w:hAnsi="Avenir Next" w:cs="Arial"/>
          <w:color w:val="808080" w:themeColor="background1" w:themeShade="80"/>
          <w:sz w:val="22"/>
          <w:szCs w:val="22"/>
          <w:lang w:val="en-GB"/>
        </w:rPr>
        <w:t>’s definition of international insolvency or cross-border insolvency law which is as follows:</w:t>
      </w:r>
    </w:p>
    <w:p w14:paraId="4CD7B4F6" w14:textId="0A462BB2" w:rsidR="00855096" w:rsidRDefault="00855096" w:rsidP="005F678C">
      <w:pPr>
        <w:jc w:val="both"/>
        <w:rPr>
          <w:rFonts w:ascii="Avenir Next" w:hAnsi="Avenir Next" w:cs="Arial"/>
          <w:color w:val="808080" w:themeColor="background1" w:themeShade="80"/>
          <w:sz w:val="22"/>
          <w:szCs w:val="22"/>
          <w:lang w:val="en-GB"/>
        </w:rPr>
      </w:pPr>
    </w:p>
    <w:p w14:paraId="4106F579" w14:textId="79F3634F" w:rsidR="00855096" w:rsidRDefault="00855096" w:rsidP="005F67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5E7382">
        <w:rPr>
          <w:rFonts w:ascii="Avenir Next" w:hAnsi="Avenir Next" w:cs="Arial"/>
          <w:i/>
          <w:color w:val="808080" w:themeColor="background1" w:themeShade="80"/>
          <w:sz w:val="22"/>
          <w:szCs w:val="22"/>
          <w:lang w:val="en-GB"/>
        </w:rPr>
        <w:t>International insolvency” or “cross-border insolvency” should be considered as a situation “…in which an insolvency occurs in circumstances which is some way transcend the confines of a single legal system</w:t>
      </w:r>
      <w:r w:rsidR="005E7382" w:rsidRPr="005E7382">
        <w:rPr>
          <w:rFonts w:ascii="Avenir Next" w:hAnsi="Avenir Next" w:cs="Arial"/>
          <w:i/>
          <w:color w:val="808080" w:themeColor="background1" w:themeShade="80"/>
          <w:sz w:val="22"/>
          <w:szCs w:val="22"/>
          <w:lang w:val="en-GB"/>
        </w:rPr>
        <w:t>, so that a single set of domestic law provisions cannot be immediately and exclusively applied without regard to the issues raised by the foreign elements of the case</w:t>
      </w:r>
      <w:r w:rsidR="005E7382">
        <w:rPr>
          <w:rFonts w:ascii="Avenir Next" w:hAnsi="Avenir Next" w:cs="Arial"/>
          <w:color w:val="808080" w:themeColor="background1" w:themeShade="80"/>
          <w:sz w:val="22"/>
          <w:szCs w:val="22"/>
          <w:lang w:val="en-GB"/>
        </w:rPr>
        <w:t>.”</w:t>
      </w:r>
    </w:p>
    <w:p w14:paraId="0B07FB6D" w14:textId="77777777" w:rsidR="004739F8" w:rsidRDefault="004739F8" w:rsidP="005F678C">
      <w:pPr>
        <w:jc w:val="both"/>
        <w:rPr>
          <w:rFonts w:ascii="Avenir Next" w:hAnsi="Avenir Next" w:cs="Arial"/>
          <w:color w:val="808080" w:themeColor="background1" w:themeShade="80"/>
          <w:sz w:val="22"/>
          <w:szCs w:val="22"/>
          <w:lang w:val="en-GB"/>
        </w:rPr>
      </w:pPr>
    </w:p>
    <w:p w14:paraId="72DDE2CE" w14:textId="49FD21CA" w:rsidR="00F106B1" w:rsidRDefault="00194115" w:rsidP="00F106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w:t>
      </w:r>
      <w:proofErr w:type="gramStart"/>
      <w:r>
        <w:rPr>
          <w:rFonts w:ascii="Avenir Next" w:hAnsi="Avenir Next" w:cs="Arial"/>
          <w:color w:val="808080" w:themeColor="background1" w:themeShade="80"/>
          <w:sz w:val="22"/>
          <w:szCs w:val="22"/>
          <w:lang w:val="en-GB"/>
        </w:rPr>
        <w:t xml:space="preserve">globalisation, </w:t>
      </w:r>
      <w:r w:rsidR="004739F8">
        <w:rPr>
          <w:rFonts w:ascii="Avenir Next" w:hAnsi="Avenir Next" w:cs="Arial"/>
          <w:color w:val="808080" w:themeColor="background1" w:themeShade="80"/>
          <w:sz w:val="22"/>
          <w:szCs w:val="22"/>
          <w:lang w:val="en-GB"/>
        </w:rPr>
        <w:t xml:space="preserve"> national</w:t>
      </w:r>
      <w:proofErr w:type="gramEnd"/>
      <w:r w:rsidR="004739F8">
        <w:rPr>
          <w:rFonts w:ascii="Avenir Next" w:hAnsi="Avenir Next" w:cs="Arial"/>
          <w:color w:val="808080" w:themeColor="background1" w:themeShade="80"/>
          <w:sz w:val="22"/>
          <w:szCs w:val="22"/>
          <w:lang w:val="en-GB"/>
        </w:rPr>
        <w:t xml:space="preserve"> borders between different </w:t>
      </w:r>
      <w:r w:rsidR="00CD2D8E">
        <w:rPr>
          <w:rFonts w:ascii="Avenir Next" w:hAnsi="Avenir Next" w:cs="Arial"/>
          <w:color w:val="808080" w:themeColor="background1" w:themeShade="80"/>
          <w:sz w:val="22"/>
          <w:szCs w:val="22"/>
          <w:lang w:val="en-GB"/>
        </w:rPr>
        <w:t>nations</w:t>
      </w:r>
      <w:r w:rsidR="004739F8">
        <w:rPr>
          <w:rFonts w:ascii="Avenir Next" w:hAnsi="Avenir Next" w:cs="Arial"/>
          <w:color w:val="808080" w:themeColor="background1" w:themeShade="80"/>
          <w:sz w:val="22"/>
          <w:szCs w:val="22"/>
          <w:lang w:val="en-GB"/>
        </w:rPr>
        <w:t xml:space="preserve"> are </w:t>
      </w:r>
      <w:r w:rsidR="0012612B">
        <w:rPr>
          <w:rFonts w:ascii="Avenir Next" w:hAnsi="Avenir Next" w:cs="Arial"/>
          <w:color w:val="808080" w:themeColor="background1" w:themeShade="80"/>
          <w:sz w:val="22"/>
          <w:szCs w:val="22"/>
          <w:lang w:val="en-GB"/>
        </w:rPr>
        <w:t>becoming more i</w:t>
      </w:r>
      <w:r w:rsidR="00CD2D8E">
        <w:rPr>
          <w:rFonts w:ascii="Avenir Next" w:hAnsi="Avenir Next" w:cs="Arial"/>
          <w:color w:val="808080" w:themeColor="background1" w:themeShade="80"/>
          <w:sz w:val="22"/>
          <w:szCs w:val="22"/>
          <w:lang w:val="en-GB"/>
        </w:rPr>
        <w:t xml:space="preserve">rrelevant </w:t>
      </w:r>
      <w:r>
        <w:rPr>
          <w:rFonts w:ascii="Avenir Next" w:hAnsi="Avenir Next" w:cs="Arial"/>
          <w:color w:val="808080" w:themeColor="background1" w:themeShade="80"/>
          <w:sz w:val="22"/>
          <w:szCs w:val="22"/>
          <w:lang w:val="en-GB"/>
        </w:rPr>
        <w:t xml:space="preserve">today </w:t>
      </w:r>
      <w:r w:rsidR="00CD2D8E">
        <w:rPr>
          <w:rFonts w:ascii="Avenir Next" w:hAnsi="Avenir Next" w:cs="Arial"/>
          <w:color w:val="808080" w:themeColor="background1" w:themeShade="80"/>
          <w:sz w:val="22"/>
          <w:szCs w:val="22"/>
          <w:lang w:val="en-GB"/>
        </w:rPr>
        <w:t>as cross border transactions and investments increase, and as corporations establish various branches and subsidiaries in foreign countries.</w:t>
      </w:r>
      <w:r w:rsidR="006E1DC9">
        <w:rPr>
          <w:rFonts w:ascii="Avenir Next" w:hAnsi="Avenir Next" w:cs="Arial"/>
          <w:color w:val="808080" w:themeColor="background1" w:themeShade="80"/>
          <w:sz w:val="22"/>
          <w:szCs w:val="22"/>
          <w:lang w:val="en-GB"/>
        </w:rPr>
        <w:t xml:space="preserve"> </w:t>
      </w:r>
      <w:r w:rsidR="009D6D5B">
        <w:rPr>
          <w:rFonts w:ascii="Avenir Next" w:hAnsi="Avenir Next" w:cs="Arial"/>
          <w:color w:val="808080" w:themeColor="background1" w:themeShade="80"/>
          <w:sz w:val="22"/>
          <w:szCs w:val="22"/>
          <w:lang w:val="en-GB"/>
        </w:rPr>
        <w:t xml:space="preserve"> </w:t>
      </w:r>
      <w:r w:rsidR="006E1DC9">
        <w:rPr>
          <w:rFonts w:ascii="Avenir Next" w:hAnsi="Avenir Next" w:cs="Arial"/>
          <w:color w:val="808080" w:themeColor="background1" w:themeShade="80"/>
          <w:sz w:val="22"/>
          <w:szCs w:val="22"/>
          <w:lang w:val="en-GB"/>
        </w:rPr>
        <w:t>To a large extent, g</w:t>
      </w:r>
      <w:r w:rsidR="00C95B49">
        <w:rPr>
          <w:rFonts w:ascii="Avenir Next" w:hAnsi="Avenir Next" w:cs="Arial"/>
          <w:color w:val="808080" w:themeColor="background1" w:themeShade="80"/>
          <w:sz w:val="22"/>
          <w:szCs w:val="22"/>
          <w:lang w:val="en-GB"/>
        </w:rPr>
        <w:t xml:space="preserve">oods, services, </w:t>
      </w:r>
      <w:proofErr w:type="gramStart"/>
      <w:r w:rsidR="00C95B49">
        <w:rPr>
          <w:rFonts w:ascii="Avenir Next" w:hAnsi="Avenir Next" w:cs="Arial"/>
          <w:color w:val="808080" w:themeColor="background1" w:themeShade="80"/>
          <w:sz w:val="22"/>
          <w:szCs w:val="22"/>
          <w:lang w:val="en-GB"/>
        </w:rPr>
        <w:t>capital</w:t>
      </w:r>
      <w:proofErr w:type="gramEnd"/>
      <w:r w:rsidR="00C95B49">
        <w:rPr>
          <w:rFonts w:ascii="Avenir Next" w:hAnsi="Avenir Next" w:cs="Arial"/>
          <w:color w:val="808080" w:themeColor="background1" w:themeShade="80"/>
          <w:sz w:val="22"/>
          <w:szCs w:val="22"/>
          <w:lang w:val="en-GB"/>
        </w:rPr>
        <w:t xml:space="preserve"> and persons </w:t>
      </w:r>
      <w:r w:rsidR="00371CB6">
        <w:rPr>
          <w:rFonts w:ascii="Avenir Next" w:hAnsi="Avenir Next" w:cs="Arial"/>
          <w:color w:val="808080" w:themeColor="background1" w:themeShade="80"/>
          <w:sz w:val="22"/>
          <w:szCs w:val="22"/>
          <w:lang w:val="en-GB"/>
        </w:rPr>
        <w:t xml:space="preserve">between different countries in the world, </w:t>
      </w:r>
      <w:r w:rsidR="006E1DC9">
        <w:rPr>
          <w:rFonts w:ascii="Avenir Next" w:hAnsi="Avenir Next" w:cs="Arial"/>
          <w:color w:val="808080" w:themeColor="background1" w:themeShade="80"/>
          <w:sz w:val="22"/>
          <w:szCs w:val="22"/>
          <w:lang w:val="en-GB"/>
        </w:rPr>
        <w:t>are now allowed to move freely in today’s economy.</w:t>
      </w:r>
      <w:r w:rsidR="00361827">
        <w:rPr>
          <w:rFonts w:ascii="Avenir Next" w:hAnsi="Avenir Next" w:cs="Arial"/>
          <w:color w:val="808080" w:themeColor="background1" w:themeShade="80"/>
          <w:sz w:val="22"/>
          <w:szCs w:val="22"/>
          <w:lang w:val="en-GB"/>
        </w:rPr>
        <w:t xml:space="preserve"> As a result of this, many corporate </w:t>
      </w:r>
      <w:r w:rsidR="00F106B1">
        <w:rPr>
          <w:rFonts w:ascii="Avenir Next" w:hAnsi="Avenir Next" w:cs="Arial"/>
          <w:color w:val="808080" w:themeColor="background1" w:themeShade="80"/>
          <w:sz w:val="22"/>
          <w:szCs w:val="22"/>
          <w:lang w:val="en-GB"/>
        </w:rPr>
        <w:t>collapses</w:t>
      </w:r>
      <w:r w:rsidR="00361827">
        <w:rPr>
          <w:rFonts w:ascii="Avenir Next" w:hAnsi="Avenir Next" w:cs="Arial"/>
          <w:color w:val="808080" w:themeColor="background1" w:themeShade="80"/>
          <w:sz w:val="22"/>
          <w:szCs w:val="22"/>
          <w:lang w:val="en-GB"/>
        </w:rPr>
        <w:t xml:space="preserve"> involv</w:t>
      </w:r>
      <w:r w:rsidR="00F106B1">
        <w:rPr>
          <w:rFonts w:ascii="Avenir Next" w:hAnsi="Avenir Next" w:cs="Arial"/>
          <w:color w:val="808080" w:themeColor="background1" w:themeShade="80"/>
          <w:sz w:val="22"/>
          <w:szCs w:val="22"/>
          <w:lang w:val="en-GB"/>
        </w:rPr>
        <w:t>e</w:t>
      </w:r>
      <w:r w:rsidR="00361827">
        <w:rPr>
          <w:rFonts w:ascii="Avenir Next" w:hAnsi="Avenir Next" w:cs="Arial"/>
          <w:color w:val="808080" w:themeColor="background1" w:themeShade="80"/>
          <w:sz w:val="22"/>
          <w:szCs w:val="22"/>
          <w:lang w:val="en-GB"/>
        </w:rPr>
        <w:t xml:space="preserve"> multiple nations</w:t>
      </w:r>
      <w:r w:rsidR="00F106B1">
        <w:rPr>
          <w:rFonts w:ascii="Avenir Next" w:hAnsi="Avenir Next" w:cs="Arial"/>
          <w:color w:val="808080" w:themeColor="background1" w:themeShade="80"/>
          <w:sz w:val="22"/>
          <w:szCs w:val="22"/>
          <w:lang w:val="en-GB"/>
        </w:rPr>
        <w:t xml:space="preserve"> and jurisdictions as well as </w:t>
      </w:r>
      <w:r w:rsidR="00F106B1" w:rsidRPr="00F106B1">
        <w:rPr>
          <w:rFonts w:ascii="Avenir Next" w:hAnsi="Avenir Next" w:cs="Arial"/>
          <w:color w:val="808080" w:themeColor="background1" w:themeShade="80"/>
          <w:sz w:val="22"/>
          <w:szCs w:val="22"/>
          <w:lang w:val="en-GB"/>
        </w:rPr>
        <w:t xml:space="preserve">competing claims in multiple jurisdictions and different insolvency regimes as seen in the insolvency case of Lehman Brothers. </w:t>
      </w:r>
      <w:r w:rsidR="004F0688">
        <w:rPr>
          <w:rFonts w:ascii="Avenir Next" w:hAnsi="Avenir Next" w:cs="Arial"/>
          <w:color w:val="808080" w:themeColor="background1" w:themeShade="80"/>
          <w:sz w:val="22"/>
          <w:szCs w:val="22"/>
          <w:lang w:val="en-GB"/>
        </w:rPr>
        <w:t xml:space="preserve"> </w:t>
      </w:r>
    </w:p>
    <w:p w14:paraId="51A9EEDB" w14:textId="7F3D2DE8" w:rsidR="004F0688" w:rsidRDefault="004F0688" w:rsidP="00F106B1">
      <w:pPr>
        <w:jc w:val="both"/>
        <w:rPr>
          <w:rFonts w:ascii="Avenir Next" w:hAnsi="Avenir Next" w:cs="Arial"/>
          <w:color w:val="808080" w:themeColor="background1" w:themeShade="80"/>
          <w:sz w:val="22"/>
          <w:szCs w:val="22"/>
          <w:lang w:val="en-GB"/>
        </w:rPr>
      </w:pPr>
    </w:p>
    <w:p w14:paraId="2078EDC5" w14:textId="61BAA1EC" w:rsidR="00F106B1" w:rsidRDefault="004F0688" w:rsidP="00F106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legal provisions (including those relating to insolvency) of a state would not have extraterritorial effect. This means that a state’s </w:t>
      </w:r>
      <w:r w:rsidR="00D9319C">
        <w:rPr>
          <w:rFonts w:ascii="Avenir Next" w:hAnsi="Avenir Next" w:cs="Arial"/>
          <w:color w:val="808080" w:themeColor="background1" w:themeShade="80"/>
          <w:sz w:val="22"/>
          <w:szCs w:val="22"/>
          <w:lang w:val="en-GB"/>
        </w:rPr>
        <w:t xml:space="preserve">jurisdiction ends at its national borders. As such, </w:t>
      </w:r>
      <w:r w:rsidR="00D9319C">
        <w:rPr>
          <w:rFonts w:ascii="Avenir Next" w:hAnsi="Avenir Next" w:cs="Arial"/>
          <w:color w:val="808080" w:themeColor="background1" w:themeShade="80"/>
          <w:sz w:val="22"/>
          <w:szCs w:val="22"/>
          <w:lang w:val="en-GB"/>
        </w:rPr>
        <w:lastRenderedPageBreak/>
        <w:t>d</w:t>
      </w:r>
      <w:r>
        <w:rPr>
          <w:rFonts w:ascii="Avenir Next" w:hAnsi="Avenir Next" w:cs="Arial"/>
          <w:color w:val="808080" w:themeColor="background1" w:themeShade="80"/>
          <w:sz w:val="22"/>
          <w:szCs w:val="22"/>
          <w:lang w:val="en-GB"/>
        </w:rPr>
        <w:t>omestic legal systems are often incapable when it comes to addressing cross border insolvency matters which transcends national borders.</w:t>
      </w:r>
      <w:r w:rsidR="00D9319C">
        <w:rPr>
          <w:rFonts w:ascii="Avenir Next" w:hAnsi="Avenir Next" w:cs="Arial"/>
          <w:color w:val="808080" w:themeColor="background1" w:themeShade="80"/>
          <w:sz w:val="22"/>
          <w:szCs w:val="22"/>
          <w:lang w:val="en-GB"/>
        </w:rPr>
        <w:t xml:space="preserve"> This is especially so when assets can now be transferred from one state to another easily and at great speed.</w:t>
      </w:r>
    </w:p>
    <w:p w14:paraId="4FE2BBEA" w14:textId="77777777" w:rsidR="00D9319C" w:rsidRPr="00F106B1" w:rsidRDefault="00D9319C" w:rsidP="00F106B1">
      <w:pPr>
        <w:jc w:val="both"/>
        <w:rPr>
          <w:rFonts w:ascii="Avenir Next" w:hAnsi="Avenir Next" w:cs="Arial"/>
          <w:color w:val="808080" w:themeColor="background1" w:themeShade="80"/>
          <w:sz w:val="22"/>
          <w:szCs w:val="22"/>
          <w:lang w:val="en-GB"/>
        </w:rPr>
      </w:pPr>
    </w:p>
    <w:p w14:paraId="4D2D7537" w14:textId="6CCCA076" w:rsidR="005B3B9F" w:rsidRDefault="00557614" w:rsidP="005F67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 border transactions which lead to insolvency would almost always give rise to a risk of multiple insolvency proceedings, as in the case of the Lehman Brothers. </w:t>
      </w:r>
      <w:r w:rsidR="00D9319C">
        <w:rPr>
          <w:rFonts w:ascii="Avenir Next" w:hAnsi="Avenir Next" w:cs="Arial"/>
          <w:color w:val="808080" w:themeColor="background1" w:themeShade="80"/>
          <w:sz w:val="22"/>
          <w:szCs w:val="22"/>
          <w:lang w:val="en-GB"/>
        </w:rPr>
        <w:t>I</w:t>
      </w:r>
      <w:r w:rsidR="00C95B49">
        <w:rPr>
          <w:rFonts w:ascii="Avenir Next" w:hAnsi="Avenir Next" w:cs="Arial"/>
          <w:color w:val="808080" w:themeColor="background1" w:themeShade="80"/>
          <w:sz w:val="22"/>
          <w:szCs w:val="22"/>
          <w:lang w:val="en-GB"/>
        </w:rPr>
        <w:t xml:space="preserve">t is </w:t>
      </w:r>
      <w:r w:rsidR="00D9319C">
        <w:rPr>
          <w:rFonts w:ascii="Avenir Next" w:hAnsi="Avenir Next" w:cs="Arial"/>
          <w:color w:val="808080" w:themeColor="background1" w:themeShade="80"/>
          <w:sz w:val="22"/>
          <w:szCs w:val="22"/>
          <w:lang w:val="en-GB"/>
        </w:rPr>
        <w:t xml:space="preserve">therefore </w:t>
      </w:r>
      <w:r w:rsidR="00C95B49">
        <w:rPr>
          <w:rFonts w:ascii="Avenir Next" w:hAnsi="Avenir Next" w:cs="Arial"/>
          <w:color w:val="808080" w:themeColor="background1" w:themeShade="80"/>
          <w:sz w:val="22"/>
          <w:szCs w:val="22"/>
          <w:lang w:val="en-GB"/>
        </w:rPr>
        <w:t>important for there to be a standardise insolvency framework to regulate</w:t>
      </w:r>
      <w:r w:rsidR="00973ED5">
        <w:rPr>
          <w:rFonts w:ascii="Avenir Next" w:hAnsi="Avenir Next" w:cs="Arial"/>
          <w:color w:val="808080" w:themeColor="background1" w:themeShade="80"/>
          <w:sz w:val="22"/>
          <w:szCs w:val="22"/>
          <w:lang w:val="en-GB"/>
        </w:rPr>
        <w:t xml:space="preserve"> cross border</w:t>
      </w:r>
      <w:r w:rsidR="00C95B49">
        <w:rPr>
          <w:rFonts w:ascii="Avenir Next" w:hAnsi="Avenir Next" w:cs="Arial"/>
          <w:color w:val="808080" w:themeColor="background1" w:themeShade="80"/>
          <w:sz w:val="22"/>
          <w:szCs w:val="22"/>
          <w:lang w:val="en-GB"/>
        </w:rPr>
        <w:t xml:space="preserve"> insolvency matters</w:t>
      </w:r>
      <w:r w:rsidR="00D9319C">
        <w:rPr>
          <w:rFonts w:ascii="Avenir Next" w:hAnsi="Avenir Next" w:cs="Arial"/>
          <w:color w:val="808080" w:themeColor="background1" w:themeShade="80"/>
          <w:sz w:val="22"/>
          <w:szCs w:val="22"/>
          <w:lang w:val="en-GB"/>
        </w:rPr>
        <w:t xml:space="preserve"> or at least, for there to </w:t>
      </w:r>
      <w:r>
        <w:rPr>
          <w:rFonts w:ascii="Avenir Next" w:hAnsi="Avenir Next" w:cs="Arial"/>
          <w:color w:val="808080" w:themeColor="background1" w:themeShade="80"/>
          <w:sz w:val="22"/>
          <w:szCs w:val="22"/>
          <w:lang w:val="en-GB"/>
        </w:rPr>
        <w:t xml:space="preserve">be </w:t>
      </w:r>
      <w:r w:rsidR="00D9319C">
        <w:rPr>
          <w:rFonts w:ascii="Avenir Next" w:hAnsi="Avenir Next" w:cs="Arial"/>
          <w:color w:val="808080" w:themeColor="background1" w:themeShade="80"/>
          <w:sz w:val="22"/>
          <w:szCs w:val="22"/>
          <w:lang w:val="en-GB"/>
        </w:rPr>
        <w:t>co-ordination and/or co-operation between the judiciary of different states</w:t>
      </w:r>
      <w:r>
        <w:rPr>
          <w:rFonts w:ascii="Avenir Next" w:hAnsi="Avenir Next" w:cs="Arial"/>
          <w:color w:val="808080" w:themeColor="background1" w:themeShade="80"/>
          <w:sz w:val="22"/>
          <w:szCs w:val="22"/>
          <w:lang w:val="en-GB"/>
        </w:rPr>
        <w:t xml:space="preserve">. </w:t>
      </w:r>
    </w:p>
    <w:p w14:paraId="3624B00A" w14:textId="38824EDE" w:rsidR="00973ED5" w:rsidRDefault="00973ED5" w:rsidP="005F678C">
      <w:pPr>
        <w:jc w:val="both"/>
        <w:rPr>
          <w:rFonts w:ascii="Avenir Next" w:hAnsi="Avenir Next" w:cs="Arial"/>
          <w:color w:val="808080" w:themeColor="background1" w:themeShade="80"/>
          <w:sz w:val="22"/>
          <w:szCs w:val="22"/>
          <w:lang w:val="en-GB"/>
        </w:rPr>
      </w:pPr>
    </w:p>
    <w:p w14:paraId="7A186F50" w14:textId="791D5775" w:rsidR="00973ED5" w:rsidRDefault="00973ED5" w:rsidP="005F67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Without a standardise insolvency framework or co-ordination and/or co-operation between the judiciary of different states, </w:t>
      </w:r>
      <w:r w:rsidR="002707B4">
        <w:rPr>
          <w:rFonts w:ascii="Avenir Next" w:hAnsi="Avenir Next" w:cs="Arial"/>
          <w:color w:val="808080" w:themeColor="background1" w:themeShade="80"/>
          <w:sz w:val="22"/>
          <w:szCs w:val="22"/>
          <w:lang w:val="en-GB"/>
        </w:rPr>
        <w:t xml:space="preserve">proceedings in the different jurisdictions would then compete with one another, or worse still, </w:t>
      </w:r>
      <w:r w:rsidR="00E81A49">
        <w:rPr>
          <w:rFonts w:ascii="Avenir Next" w:hAnsi="Avenir Next" w:cs="Arial"/>
          <w:color w:val="808080" w:themeColor="background1" w:themeShade="80"/>
          <w:sz w:val="22"/>
          <w:szCs w:val="22"/>
          <w:lang w:val="en-GB"/>
        </w:rPr>
        <w:t xml:space="preserve">the decisions made in the different jurisdictions would </w:t>
      </w:r>
      <w:r w:rsidR="002707B4">
        <w:rPr>
          <w:rFonts w:ascii="Avenir Next" w:hAnsi="Avenir Next" w:cs="Arial"/>
          <w:color w:val="808080" w:themeColor="background1" w:themeShade="80"/>
          <w:sz w:val="22"/>
          <w:szCs w:val="22"/>
          <w:lang w:val="en-GB"/>
        </w:rPr>
        <w:t xml:space="preserve">be incompatible with one another. There will also be the issue of which would be the governing law vis-à-vis security rights as well as priority of payments. </w:t>
      </w:r>
      <w:r w:rsidR="00E81A49">
        <w:rPr>
          <w:rFonts w:ascii="Avenir Next" w:hAnsi="Avenir Next" w:cs="Arial"/>
          <w:color w:val="808080" w:themeColor="background1" w:themeShade="80"/>
          <w:sz w:val="22"/>
          <w:szCs w:val="22"/>
          <w:lang w:val="en-GB"/>
        </w:rPr>
        <w:t>There is also a possibility of forum shopping by the creditors.</w:t>
      </w:r>
    </w:p>
    <w:p w14:paraId="13D665EA" w14:textId="23108705" w:rsidR="00E81A49" w:rsidRDefault="00E81A49" w:rsidP="005F678C">
      <w:pPr>
        <w:jc w:val="both"/>
        <w:rPr>
          <w:rFonts w:ascii="Avenir Next" w:hAnsi="Avenir Next" w:cs="Arial"/>
          <w:color w:val="808080" w:themeColor="background1" w:themeShade="80"/>
          <w:sz w:val="22"/>
          <w:szCs w:val="22"/>
          <w:lang w:val="en-GB"/>
        </w:rPr>
      </w:pPr>
    </w:p>
    <w:p w14:paraId="262F429A" w14:textId="5DB3B56A" w:rsidR="00C952A2" w:rsidRDefault="00E81A49"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these weaknesses, it is important to establish a clear and uniform framework vis-à-vis cross border insolvency matters so as to provide clarity and certainty to the various stakeholders.</w:t>
      </w:r>
    </w:p>
    <w:p w14:paraId="52439C84" w14:textId="77777777" w:rsidR="00E91773" w:rsidRPr="004216EA" w:rsidRDefault="00E91773"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143DBCF4" w:rsidR="001E1C34" w:rsidRDefault="001F168A" w:rsidP="001F168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conventions are agreements entered into between different nations. </w:t>
      </w:r>
      <w:r w:rsidR="00551051">
        <w:rPr>
          <w:rFonts w:ascii="Avenir Next" w:hAnsi="Avenir Next" w:cs="Arial"/>
          <w:color w:val="808080" w:themeColor="background1" w:themeShade="80"/>
          <w:sz w:val="22"/>
          <w:szCs w:val="22"/>
          <w:lang w:val="en-GB"/>
        </w:rPr>
        <w:t xml:space="preserve">States that are signatories to treaties or </w:t>
      </w:r>
      <w:proofErr w:type="gramStart"/>
      <w:r w:rsidR="00551051">
        <w:rPr>
          <w:rFonts w:ascii="Avenir Next" w:hAnsi="Avenir Next" w:cs="Arial"/>
          <w:color w:val="808080" w:themeColor="background1" w:themeShade="80"/>
          <w:sz w:val="22"/>
          <w:szCs w:val="22"/>
          <w:lang w:val="en-GB"/>
        </w:rPr>
        <w:t xml:space="preserve">conventions </w:t>
      </w:r>
      <w:r>
        <w:rPr>
          <w:rFonts w:ascii="Avenir Next" w:hAnsi="Avenir Next" w:cs="Arial"/>
          <w:color w:val="808080" w:themeColor="background1" w:themeShade="80"/>
          <w:sz w:val="22"/>
          <w:szCs w:val="22"/>
          <w:lang w:val="en-GB"/>
        </w:rPr>
        <w:t xml:space="preserve"> agree</w:t>
      </w:r>
      <w:proofErr w:type="gramEnd"/>
      <w:r>
        <w:rPr>
          <w:rFonts w:ascii="Avenir Next" w:hAnsi="Avenir Next" w:cs="Arial"/>
          <w:color w:val="808080" w:themeColor="background1" w:themeShade="80"/>
          <w:sz w:val="22"/>
          <w:szCs w:val="22"/>
          <w:lang w:val="en-GB"/>
        </w:rPr>
        <w:t xml:space="preserve"> to be bound</w:t>
      </w:r>
      <w:r w:rsidR="00551051">
        <w:rPr>
          <w:rFonts w:ascii="Avenir Next" w:hAnsi="Avenir Next" w:cs="Arial"/>
          <w:color w:val="808080" w:themeColor="background1" w:themeShade="80"/>
          <w:sz w:val="22"/>
          <w:szCs w:val="22"/>
          <w:lang w:val="en-GB"/>
        </w:rPr>
        <w:t xml:space="preserve"> by the same</w:t>
      </w:r>
      <w:r>
        <w:rPr>
          <w:rFonts w:ascii="Avenir Next" w:hAnsi="Avenir Next" w:cs="Arial"/>
          <w:color w:val="808080" w:themeColor="background1" w:themeShade="80"/>
          <w:sz w:val="22"/>
          <w:szCs w:val="22"/>
          <w:lang w:val="en-GB"/>
        </w:rPr>
        <w:t xml:space="preserve"> and must</w:t>
      </w:r>
      <w:r w:rsidR="00551051">
        <w:rPr>
          <w:rFonts w:ascii="Avenir Next" w:hAnsi="Avenir Next" w:cs="Arial"/>
          <w:color w:val="808080" w:themeColor="background1" w:themeShade="80"/>
          <w:sz w:val="22"/>
          <w:szCs w:val="22"/>
          <w:lang w:val="en-GB"/>
        </w:rPr>
        <w:t xml:space="preserve"> therefore</w:t>
      </w:r>
      <w:r>
        <w:rPr>
          <w:rFonts w:ascii="Avenir Next" w:hAnsi="Avenir Next" w:cs="Arial"/>
          <w:color w:val="808080" w:themeColor="background1" w:themeShade="80"/>
          <w:sz w:val="22"/>
          <w:szCs w:val="22"/>
          <w:lang w:val="en-GB"/>
        </w:rPr>
        <w:t xml:space="preserve"> affect their domestic law accordingly to give effect to the treati</w:t>
      </w:r>
      <w:r w:rsidR="00551051">
        <w:rPr>
          <w:rFonts w:ascii="Avenir Next" w:hAnsi="Avenir Next" w:cs="Arial"/>
          <w:color w:val="808080" w:themeColor="background1" w:themeShade="80"/>
          <w:sz w:val="22"/>
          <w:szCs w:val="22"/>
          <w:lang w:val="en-GB"/>
        </w:rPr>
        <w:t>es or conventions</w:t>
      </w:r>
      <w:r>
        <w:rPr>
          <w:rFonts w:ascii="Avenir Next" w:hAnsi="Avenir Next" w:cs="Arial"/>
          <w:color w:val="808080" w:themeColor="background1" w:themeShade="80"/>
          <w:sz w:val="22"/>
          <w:szCs w:val="22"/>
          <w:lang w:val="en-GB"/>
        </w:rPr>
        <w:t>. Domestic laws which give effect to these treaties or conventions will then form “hard law” vis-à-vis insolvency of a particular state.</w:t>
      </w:r>
    </w:p>
    <w:p w14:paraId="7E6AFBDD" w14:textId="694D5A73" w:rsidR="00B654C5" w:rsidRDefault="00B654C5" w:rsidP="001F168A">
      <w:pPr>
        <w:ind w:hanging="11"/>
        <w:jc w:val="both"/>
        <w:rPr>
          <w:rFonts w:ascii="Avenir Next" w:hAnsi="Avenir Next" w:cs="Arial"/>
          <w:color w:val="808080" w:themeColor="background1" w:themeShade="80"/>
          <w:sz w:val="22"/>
          <w:szCs w:val="22"/>
          <w:lang w:val="en-GB"/>
        </w:rPr>
      </w:pPr>
    </w:p>
    <w:p w14:paraId="5793CFB5" w14:textId="75E50E70" w:rsidR="00B654C5" w:rsidRDefault="00B654C5" w:rsidP="001F168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Between the 13</w:t>
      </w:r>
      <w:r w:rsidRPr="00B654C5">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B654C5">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bilateral international insolvency conventions were established in Europe for the purposes of dealing with</w:t>
      </w:r>
      <w:r w:rsidR="00551051">
        <w:rPr>
          <w:rFonts w:ascii="Avenir Next" w:hAnsi="Avenir Next" w:cs="Arial"/>
          <w:color w:val="808080" w:themeColor="background1" w:themeShade="80"/>
          <w:sz w:val="22"/>
          <w:szCs w:val="22"/>
          <w:lang w:val="en-GB"/>
        </w:rPr>
        <w:t xml:space="preserve">, among others, the issue of absconding debtors. </w:t>
      </w:r>
      <w:r w:rsidR="002F6F13">
        <w:rPr>
          <w:rFonts w:ascii="Avenir Next" w:hAnsi="Avenir Next" w:cs="Arial"/>
          <w:color w:val="808080" w:themeColor="background1" w:themeShade="80"/>
          <w:sz w:val="22"/>
          <w:szCs w:val="22"/>
          <w:lang w:val="en-GB"/>
        </w:rPr>
        <w:t xml:space="preserve"> Beginning the 19</w:t>
      </w:r>
      <w:r w:rsidR="002F6F13" w:rsidRPr="002F6F13">
        <w:rPr>
          <w:rFonts w:ascii="Avenir Next" w:hAnsi="Avenir Next" w:cs="Arial"/>
          <w:color w:val="808080" w:themeColor="background1" w:themeShade="80"/>
          <w:sz w:val="22"/>
          <w:szCs w:val="22"/>
          <w:vertAlign w:val="superscript"/>
          <w:lang w:val="en-GB"/>
        </w:rPr>
        <w:t>th</w:t>
      </w:r>
      <w:r w:rsidR="002F6F13">
        <w:rPr>
          <w:rFonts w:ascii="Avenir Next" w:hAnsi="Avenir Next" w:cs="Arial"/>
          <w:color w:val="808080" w:themeColor="background1" w:themeShade="80"/>
          <w:sz w:val="22"/>
          <w:szCs w:val="22"/>
          <w:lang w:val="en-GB"/>
        </w:rPr>
        <w:t xml:space="preserve"> century, bilateral treaties or conventions began to cater for recognition and enforcement vis-à-vis bankruptcy, winding up, arrangements as well as compositions.</w:t>
      </w:r>
    </w:p>
    <w:p w14:paraId="6F67D12D" w14:textId="7CD09A2A" w:rsidR="00EA158D" w:rsidRDefault="00EA158D" w:rsidP="001F168A">
      <w:pPr>
        <w:ind w:hanging="11"/>
        <w:jc w:val="both"/>
        <w:rPr>
          <w:rFonts w:ascii="Avenir Next" w:hAnsi="Avenir Next" w:cs="Arial"/>
          <w:color w:val="808080" w:themeColor="background1" w:themeShade="80"/>
          <w:sz w:val="22"/>
          <w:szCs w:val="22"/>
          <w:lang w:val="en-GB"/>
        </w:rPr>
      </w:pPr>
    </w:p>
    <w:p w14:paraId="69B72FF9" w14:textId="4380B782" w:rsidR="00EA158D" w:rsidRDefault="00EA158D" w:rsidP="001F168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Europe has, for many years, failed in its attempt to establish </w:t>
      </w:r>
      <w:r w:rsidR="00A728CF">
        <w:rPr>
          <w:rFonts w:ascii="Avenir Next" w:hAnsi="Avenir Next" w:cs="Arial"/>
          <w:color w:val="808080" w:themeColor="background1" w:themeShade="80"/>
          <w:sz w:val="22"/>
          <w:szCs w:val="22"/>
          <w:lang w:val="en-GB"/>
        </w:rPr>
        <w:t>various</w:t>
      </w:r>
      <w:r>
        <w:rPr>
          <w:rFonts w:ascii="Avenir Next" w:hAnsi="Avenir Next" w:cs="Arial"/>
          <w:color w:val="808080" w:themeColor="background1" w:themeShade="80"/>
          <w:sz w:val="22"/>
          <w:szCs w:val="22"/>
          <w:lang w:val="en-GB"/>
        </w:rPr>
        <w:t xml:space="preserve"> multilateral international insolvency</w:t>
      </w:r>
      <w:r w:rsidR="00A728CF">
        <w:rPr>
          <w:rFonts w:ascii="Avenir Next" w:hAnsi="Avenir Next" w:cs="Arial"/>
          <w:color w:val="808080" w:themeColor="background1" w:themeShade="80"/>
          <w:sz w:val="22"/>
          <w:szCs w:val="22"/>
          <w:lang w:val="en-GB"/>
        </w:rPr>
        <w:t xml:space="preserve"> conventions. While the </w:t>
      </w:r>
      <w:proofErr w:type="spellStart"/>
      <w:r w:rsidR="00A728CF">
        <w:rPr>
          <w:rFonts w:ascii="Avenir Next" w:hAnsi="Avenir Next" w:cs="Arial"/>
          <w:color w:val="808080" w:themeColor="background1" w:themeShade="80"/>
          <w:sz w:val="22"/>
          <w:szCs w:val="22"/>
          <w:lang w:val="en-GB"/>
        </w:rPr>
        <w:t>Instanbul</w:t>
      </w:r>
      <w:proofErr w:type="spellEnd"/>
      <w:r w:rsidR="00A728CF">
        <w:rPr>
          <w:rFonts w:ascii="Avenir Next" w:hAnsi="Avenir Next" w:cs="Arial"/>
          <w:color w:val="808080" w:themeColor="background1" w:themeShade="80"/>
          <w:sz w:val="22"/>
          <w:szCs w:val="22"/>
          <w:lang w:val="en-GB"/>
        </w:rPr>
        <w:t xml:space="preserve"> Convention, Council of Europe Treaty Series No 136 was established in 1990, the same was merely ratified by 8 member states and therefore, failed to come into force.</w:t>
      </w:r>
      <w:r w:rsidR="00C832EC">
        <w:rPr>
          <w:rFonts w:ascii="Avenir Next" w:hAnsi="Avenir Next" w:cs="Arial"/>
          <w:color w:val="808080" w:themeColor="background1" w:themeShade="80"/>
          <w:sz w:val="22"/>
          <w:szCs w:val="22"/>
          <w:lang w:val="en-GB"/>
        </w:rPr>
        <w:t xml:space="preserve"> Despite its failure, the </w:t>
      </w:r>
      <w:proofErr w:type="spellStart"/>
      <w:r w:rsidR="00C832EC">
        <w:rPr>
          <w:rFonts w:ascii="Avenir Next" w:hAnsi="Avenir Next" w:cs="Arial"/>
          <w:color w:val="808080" w:themeColor="background1" w:themeShade="80"/>
          <w:sz w:val="22"/>
          <w:szCs w:val="22"/>
          <w:lang w:val="en-GB"/>
        </w:rPr>
        <w:t>Instanbul</w:t>
      </w:r>
      <w:proofErr w:type="spellEnd"/>
      <w:r w:rsidR="00C832EC">
        <w:rPr>
          <w:rFonts w:ascii="Avenir Next" w:hAnsi="Avenir Next" w:cs="Arial"/>
          <w:color w:val="808080" w:themeColor="background1" w:themeShade="80"/>
          <w:sz w:val="22"/>
          <w:szCs w:val="22"/>
          <w:lang w:val="en-GB"/>
        </w:rPr>
        <w:t xml:space="preserve"> Convention, Council of Europe Treaty Series No 136</w:t>
      </w:r>
      <w:r w:rsidR="00C832EC">
        <w:rPr>
          <w:rFonts w:ascii="Avenir Next" w:hAnsi="Avenir Next" w:cs="Arial"/>
          <w:color w:val="808080" w:themeColor="background1" w:themeShade="80"/>
          <w:sz w:val="22"/>
          <w:szCs w:val="22"/>
          <w:lang w:val="en-GB"/>
        </w:rPr>
        <w:t xml:space="preserve"> was able to bring about some response from European Union in respect of the problems faced by its members states vis-à-vis international insolvency.</w:t>
      </w:r>
    </w:p>
    <w:p w14:paraId="3C0CCFC4" w14:textId="528B6E5D" w:rsidR="00D96DBD" w:rsidRDefault="00D96DBD" w:rsidP="001F168A">
      <w:pPr>
        <w:ind w:hanging="11"/>
        <w:jc w:val="both"/>
        <w:rPr>
          <w:rFonts w:ascii="Avenir Next" w:hAnsi="Avenir Next" w:cs="Arial"/>
          <w:color w:val="808080" w:themeColor="background1" w:themeShade="80"/>
          <w:sz w:val="22"/>
          <w:szCs w:val="22"/>
          <w:lang w:val="en-GB"/>
        </w:rPr>
      </w:pPr>
    </w:p>
    <w:p w14:paraId="4A15CFA9" w14:textId="52AF0426" w:rsidR="00D96DBD" w:rsidRDefault="00E530CA" w:rsidP="001F168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European Union was able to achieve more success vide the European Insolvency Regulation (EIR) (2000) which was able to bring about further multilateral developments in the law of international insolvency. The European Insolvency Regulation (EIR) (2000) has gone through some review and </w:t>
      </w:r>
      <w:proofErr w:type="gramStart"/>
      <w:r>
        <w:rPr>
          <w:rFonts w:ascii="Avenir Next" w:hAnsi="Avenir Next" w:cs="Arial"/>
          <w:color w:val="808080" w:themeColor="background1" w:themeShade="80"/>
          <w:sz w:val="22"/>
          <w:szCs w:val="22"/>
          <w:lang w:val="en-GB"/>
        </w:rPr>
        <w:t>amendments</w:t>
      </w:r>
      <w:proofErr w:type="gramEnd"/>
      <w:r>
        <w:rPr>
          <w:rFonts w:ascii="Avenir Next" w:hAnsi="Avenir Next" w:cs="Arial"/>
          <w:color w:val="808080" w:themeColor="background1" w:themeShade="80"/>
          <w:sz w:val="22"/>
          <w:szCs w:val="22"/>
          <w:lang w:val="en-GB"/>
        </w:rPr>
        <w:t xml:space="preserve"> and it is now known a</w:t>
      </w:r>
      <w:r w:rsidR="004772EE">
        <w:rPr>
          <w:rFonts w:ascii="Avenir Next" w:hAnsi="Avenir Next" w:cs="Arial"/>
          <w:color w:val="808080" w:themeColor="background1" w:themeShade="80"/>
          <w:sz w:val="22"/>
          <w:szCs w:val="22"/>
          <w:lang w:val="en-GB"/>
        </w:rPr>
        <w:t xml:space="preserve">s the </w:t>
      </w:r>
      <w:bookmarkStart w:id="0" w:name="_Hlk119424038"/>
      <w:r w:rsidR="004772EE">
        <w:rPr>
          <w:rFonts w:ascii="Avenir Next" w:hAnsi="Avenir Next" w:cs="Arial"/>
          <w:color w:val="808080" w:themeColor="background1" w:themeShade="80"/>
          <w:sz w:val="22"/>
          <w:szCs w:val="22"/>
          <w:lang w:val="en-GB"/>
        </w:rPr>
        <w:t>Regulation (EU) 2015/848 of the European Parliament and of the Council of 20 May 2015 on Insolvency Proceedings (Recast) (EIR Recast).</w:t>
      </w:r>
      <w:r w:rsidR="006B5982">
        <w:rPr>
          <w:rFonts w:ascii="Avenir Next" w:hAnsi="Avenir Next" w:cs="Arial"/>
          <w:color w:val="808080" w:themeColor="background1" w:themeShade="80"/>
          <w:sz w:val="22"/>
          <w:szCs w:val="22"/>
          <w:lang w:val="en-GB"/>
        </w:rPr>
        <w:t xml:space="preserve"> </w:t>
      </w:r>
      <w:bookmarkEnd w:id="0"/>
      <w:r w:rsidR="006B5982">
        <w:rPr>
          <w:rFonts w:ascii="Avenir Next" w:hAnsi="Avenir Next" w:cs="Arial"/>
          <w:color w:val="808080" w:themeColor="background1" w:themeShade="80"/>
          <w:sz w:val="22"/>
          <w:szCs w:val="22"/>
          <w:lang w:val="en-GB"/>
        </w:rPr>
        <w:t xml:space="preserve">The </w:t>
      </w:r>
      <w:r w:rsidR="006B5982">
        <w:rPr>
          <w:rFonts w:ascii="Avenir Next" w:hAnsi="Avenir Next" w:cs="Arial"/>
          <w:color w:val="808080" w:themeColor="background1" w:themeShade="80"/>
          <w:sz w:val="22"/>
          <w:szCs w:val="22"/>
          <w:lang w:val="en-GB"/>
        </w:rPr>
        <w:t>Regulation (EU) 2015/848 of the European Parliament and of the Council of 20 May 2015 on Insolvency Proceedings (Recast) (EIR Recast)</w:t>
      </w:r>
      <w:r w:rsidR="006B5982">
        <w:rPr>
          <w:rFonts w:ascii="Avenir Next" w:hAnsi="Avenir Next" w:cs="Arial"/>
          <w:color w:val="808080" w:themeColor="background1" w:themeShade="80"/>
          <w:sz w:val="22"/>
          <w:szCs w:val="22"/>
          <w:lang w:val="en-GB"/>
        </w:rPr>
        <w:t xml:space="preserve"> codifies the method in determining the centre of main interests. The centre of main interests ascertains whether the </w:t>
      </w:r>
      <w:r w:rsidR="006B5982">
        <w:rPr>
          <w:rFonts w:ascii="Avenir Next" w:hAnsi="Avenir Next" w:cs="Arial"/>
          <w:color w:val="808080" w:themeColor="background1" w:themeShade="80"/>
          <w:sz w:val="22"/>
          <w:szCs w:val="22"/>
          <w:lang w:val="en-GB"/>
        </w:rPr>
        <w:t>Regulation (EU) 2015/848 of the European Parliament and of the Council of 20 May 2015 on Insolvency Proceedings (Recast) (EIR Recast)</w:t>
      </w:r>
      <w:r w:rsidR="006B5982">
        <w:rPr>
          <w:rFonts w:ascii="Avenir Next" w:hAnsi="Avenir Next" w:cs="Arial"/>
          <w:color w:val="808080" w:themeColor="background1" w:themeShade="80"/>
          <w:sz w:val="22"/>
          <w:szCs w:val="22"/>
          <w:lang w:val="en-GB"/>
        </w:rPr>
        <w:t xml:space="preserve"> applies to a specific debtor as well as the applicable jurisdiction vis-à-vis opening of the main insolvency proceedings.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4FEC4E6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794AD11F" w14:textId="7789401B" w:rsidR="00ED6959" w:rsidRDefault="00ED6959" w:rsidP="00692852">
      <w:pPr>
        <w:jc w:val="both"/>
        <w:rPr>
          <w:rFonts w:ascii="Avenir Next" w:hAnsi="Avenir Next" w:cs="Arial"/>
          <w:sz w:val="22"/>
          <w:szCs w:val="22"/>
          <w:lang w:val="en-GB"/>
        </w:rPr>
      </w:pPr>
    </w:p>
    <w:p w14:paraId="0CB98637" w14:textId="445E9D22" w:rsidR="001E1C34" w:rsidRDefault="001E1C34" w:rsidP="00692852">
      <w:pPr>
        <w:jc w:val="both"/>
        <w:rPr>
          <w:rFonts w:ascii="Avenir Next" w:hAnsi="Avenir Next" w:cs="Arial"/>
          <w:sz w:val="22"/>
          <w:szCs w:val="22"/>
          <w:lang w:val="en-GB"/>
        </w:rPr>
      </w:pPr>
    </w:p>
    <w:p w14:paraId="469D4E20" w14:textId="7BF1BA05" w:rsidR="001E1C34" w:rsidRDefault="00ED6959" w:rsidP="00ED69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 are those that are commenced and governed by specific insolvency law. They typically include proceedings such as liquidation and re-organisation. On the other hand, “informal” insolvency arrangements are those that not commenced or governed by any insolvency law. Typically, “informal” insolvency arrangements would include voluntary negotiations between the debtor and its</w:t>
      </w:r>
      <w:r w:rsidR="001F30EB">
        <w:rPr>
          <w:rFonts w:ascii="Avenir Next" w:hAnsi="Avenir Next" w:cs="Arial"/>
          <w:color w:val="808080" w:themeColor="background1" w:themeShade="80"/>
          <w:sz w:val="22"/>
          <w:szCs w:val="22"/>
          <w:lang w:val="en-GB"/>
        </w:rPr>
        <w:t xml:space="preserve"> creditors.</w:t>
      </w:r>
      <w:r w:rsidR="00752CDC">
        <w:rPr>
          <w:rFonts w:ascii="Avenir Next" w:hAnsi="Avenir Next" w:cs="Arial"/>
          <w:color w:val="808080" w:themeColor="background1" w:themeShade="80"/>
          <w:sz w:val="22"/>
          <w:szCs w:val="22"/>
          <w:lang w:val="en-GB"/>
        </w:rPr>
        <w:t xml:space="preserve"> </w:t>
      </w:r>
    </w:p>
    <w:p w14:paraId="43100763" w14:textId="58F8285F" w:rsidR="007A1548" w:rsidRDefault="007A1548" w:rsidP="00ED6959">
      <w:pPr>
        <w:jc w:val="both"/>
        <w:rPr>
          <w:rFonts w:ascii="Avenir Next" w:hAnsi="Avenir Next" w:cs="Arial"/>
          <w:color w:val="808080" w:themeColor="background1" w:themeShade="80"/>
          <w:sz w:val="22"/>
          <w:szCs w:val="22"/>
          <w:lang w:val="en-GB"/>
        </w:rPr>
      </w:pPr>
    </w:p>
    <w:p w14:paraId="4331A252" w14:textId="6661F625" w:rsidR="007A1548" w:rsidRPr="00AB63DE" w:rsidRDefault="007A1548" w:rsidP="007A1548">
      <w:pPr>
        <w:jc w:val="both"/>
        <w:rPr>
          <w:rFonts w:ascii="Avenir Next" w:hAnsi="Avenir Next" w:cs="Arial"/>
          <w:color w:val="808080" w:themeColor="background1" w:themeShade="80"/>
          <w:sz w:val="22"/>
          <w:szCs w:val="22"/>
          <w:lang w:val="en-GB"/>
        </w:rPr>
      </w:pPr>
      <w:r w:rsidRPr="007A1548">
        <w:rPr>
          <w:rFonts w:ascii="Avenir Next" w:hAnsi="Avenir Next" w:cs="Arial"/>
          <w:color w:val="808080" w:themeColor="background1" w:themeShade="80"/>
          <w:sz w:val="22"/>
          <w:szCs w:val="22"/>
          <w:lang w:val="en-GB"/>
        </w:rPr>
        <w:t xml:space="preserve">There may be some parties who would nonetheless express doubts on the effectiveness of </w:t>
      </w:r>
      <w:r>
        <w:rPr>
          <w:rFonts w:ascii="Avenir Next" w:hAnsi="Avenir Next" w:cs="Arial"/>
          <w:color w:val="808080" w:themeColor="background1" w:themeShade="80"/>
          <w:sz w:val="22"/>
          <w:szCs w:val="22"/>
          <w:lang w:val="en-GB"/>
        </w:rPr>
        <w:t>“informal” insolvency arrangements such as negotiation/mediation</w:t>
      </w:r>
      <w:r w:rsidRPr="007A1548">
        <w:rPr>
          <w:rFonts w:ascii="Avenir Next" w:hAnsi="Avenir Next" w:cs="Arial"/>
          <w:color w:val="808080" w:themeColor="background1" w:themeShade="80"/>
          <w:sz w:val="22"/>
          <w:szCs w:val="22"/>
          <w:lang w:val="en-GB"/>
        </w:rPr>
        <w:t xml:space="preserve"> due to its voluntary nature. </w:t>
      </w:r>
      <w:r w:rsidR="00491425">
        <w:rPr>
          <w:rFonts w:ascii="Avenir Next" w:hAnsi="Avenir Next" w:cs="Arial"/>
          <w:color w:val="808080" w:themeColor="background1" w:themeShade="80"/>
          <w:sz w:val="22"/>
          <w:szCs w:val="22"/>
          <w:lang w:val="en-GB"/>
        </w:rPr>
        <w:t>While “informal” insolvency proceedings such as</w:t>
      </w:r>
      <w:r w:rsidRPr="007A154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negotiation/mediation </w:t>
      </w:r>
      <w:r w:rsidRPr="007A1548">
        <w:rPr>
          <w:rFonts w:ascii="Avenir Next" w:hAnsi="Avenir Next" w:cs="Arial"/>
          <w:color w:val="808080" w:themeColor="background1" w:themeShade="80"/>
          <w:sz w:val="22"/>
          <w:szCs w:val="22"/>
          <w:lang w:val="en-GB"/>
        </w:rPr>
        <w:t>may be a voluntary process</w:t>
      </w:r>
      <w:r w:rsidR="00491425">
        <w:rPr>
          <w:rFonts w:ascii="Avenir Next" w:hAnsi="Avenir Next" w:cs="Arial"/>
          <w:color w:val="808080" w:themeColor="background1" w:themeShade="80"/>
          <w:sz w:val="22"/>
          <w:szCs w:val="22"/>
          <w:lang w:val="en-GB"/>
        </w:rPr>
        <w:t xml:space="preserve"> and are not regulated by any specific insolvency law</w:t>
      </w:r>
      <w:r w:rsidRPr="007A1548">
        <w:rPr>
          <w:rFonts w:ascii="Avenir Next" w:hAnsi="Avenir Next" w:cs="Arial"/>
          <w:color w:val="808080" w:themeColor="background1" w:themeShade="80"/>
          <w:sz w:val="22"/>
          <w:szCs w:val="22"/>
          <w:lang w:val="en-GB"/>
        </w:rPr>
        <w:t>, an agreement reached among parties pursuant to such a process is nonetheless enforceable by the courts.</w:t>
      </w:r>
      <w:r>
        <w:rPr>
          <w:rFonts w:ascii="Avenir Next" w:hAnsi="Avenir Next" w:cs="Arial"/>
          <w:color w:val="808080" w:themeColor="background1" w:themeShade="80"/>
          <w:sz w:val="22"/>
          <w:szCs w:val="22"/>
          <w:lang w:val="en-GB"/>
        </w:rPr>
        <w:t xml:space="preserve"> F</w:t>
      </w:r>
      <w:r w:rsidR="00491425">
        <w:rPr>
          <w:rFonts w:ascii="Avenir Next" w:hAnsi="Avenir Next" w:cs="Arial"/>
          <w:color w:val="808080" w:themeColor="background1" w:themeShade="80"/>
          <w:sz w:val="22"/>
          <w:szCs w:val="22"/>
          <w:lang w:val="en-GB"/>
        </w:rPr>
        <w:t xml:space="preserve">urther, </w:t>
      </w:r>
      <w:r>
        <w:rPr>
          <w:rFonts w:ascii="Avenir Next" w:hAnsi="Avenir Next" w:cs="Arial"/>
          <w:color w:val="808080" w:themeColor="background1" w:themeShade="80"/>
          <w:sz w:val="22"/>
          <w:szCs w:val="22"/>
          <w:lang w:val="en-GB"/>
        </w:rPr>
        <w:t>t</w:t>
      </w:r>
      <w:r w:rsidRPr="007A1548">
        <w:rPr>
          <w:rFonts w:ascii="Avenir Next" w:hAnsi="Avenir Next" w:cs="Arial"/>
          <w:color w:val="808080" w:themeColor="background1" w:themeShade="80"/>
          <w:sz w:val="22"/>
          <w:szCs w:val="22"/>
          <w:lang w:val="en-GB"/>
        </w:rPr>
        <w:t xml:space="preserve">he United Nations Convention on International Settlement Agreements Resulting from Mediation (Singapore Convention) which came into force on 12 September 2020 provides a uniformed and efficient framework for the enforcement and invocation of international settlement agreements resulting from mediation of commercial disputes. The Singapore Convention enables and facilitates the enforcement of mediated settlement agreements among the signatory states, in a manner </w:t>
      </w:r>
      <w:proofErr w:type="gramStart"/>
      <w:r w:rsidRPr="007A1548">
        <w:rPr>
          <w:rFonts w:ascii="Avenir Next" w:hAnsi="Avenir Next" w:cs="Arial"/>
          <w:color w:val="808080" w:themeColor="background1" w:themeShade="80"/>
          <w:sz w:val="22"/>
          <w:szCs w:val="22"/>
          <w:lang w:val="en-GB"/>
        </w:rPr>
        <w:t>similar to</w:t>
      </w:r>
      <w:proofErr w:type="gramEnd"/>
      <w:r w:rsidRPr="007A1548">
        <w:rPr>
          <w:rFonts w:ascii="Avenir Next" w:hAnsi="Avenir Next" w:cs="Arial"/>
          <w:color w:val="808080" w:themeColor="background1" w:themeShade="80"/>
          <w:sz w:val="22"/>
          <w:szCs w:val="22"/>
          <w:lang w:val="en-GB"/>
        </w:rPr>
        <w:t xml:space="preserve"> the Convention of the Recognition and Enforcement of Foreign Arbitral Awards (New York Convention) for arbitral awards. This means that a settlement agreement can be enforced in any of the 55 contracting states as if it is a court order.</w:t>
      </w:r>
    </w:p>
    <w:p w14:paraId="7CBF012E" w14:textId="77777777" w:rsidR="001E1C34" w:rsidRPr="004216EA" w:rsidRDefault="001E1C34" w:rsidP="00692852">
      <w:pPr>
        <w:jc w:val="both"/>
        <w:rPr>
          <w:rFonts w:ascii="Avenir Next" w:hAnsi="Avenir Next" w:cs="Arial"/>
          <w:sz w:val="22"/>
          <w:szCs w:val="22"/>
          <w:lang w:val="en-GB"/>
        </w:rPr>
      </w:pPr>
    </w:p>
    <w:p w14:paraId="4F9136B3" w14:textId="6BE33BC4" w:rsidR="00491425" w:rsidRDefault="00525467" w:rsidP="00692852">
      <w:pPr>
        <w:jc w:val="both"/>
        <w:rPr>
          <w:rFonts w:ascii="Avenir Next" w:hAnsi="Avenir Next" w:cs="Arial"/>
          <w:color w:val="808080" w:themeColor="background1" w:themeShade="80"/>
          <w:sz w:val="22"/>
          <w:szCs w:val="22"/>
          <w:lang w:val="en-GB"/>
        </w:rPr>
      </w:pPr>
      <w:r w:rsidRPr="00491425">
        <w:rPr>
          <w:rFonts w:ascii="Avenir Next" w:hAnsi="Avenir Next" w:cs="Arial"/>
          <w:color w:val="808080" w:themeColor="background1" w:themeShade="80"/>
          <w:sz w:val="22"/>
          <w:szCs w:val="22"/>
          <w:lang w:val="en-GB"/>
        </w:rPr>
        <w:t xml:space="preserve">Lobo must first recognise that any settlement that arises from the “informal” process between itself and FPPL are not regulated by any insolvency law. </w:t>
      </w:r>
      <w:r w:rsidR="00491425" w:rsidRPr="00491425">
        <w:rPr>
          <w:rFonts w:ascii="Avenir Next" w:hAnsi="Avenir Next" w:cs="Arial"/>
          <w:color w:val="808080" w:themeColor="background1" w:themeShade="80"/>
          <w:sz w:val="22"/>
          <w:szCs w:val="22"/>
          <w:lang w:val="en-GB"/>
        </w:rPr>
        <w:t>As such, there are no specific procedures to be followed. As such, it is entirely up to FPPL and Lobo to agree on the terms of the settlement, if any, and the procedures to be followed. This is unlike “formal” insolvency proceedings which are governed and regulated by specific insolvency law</w:t>
      </w:r>
      <w:r w:rsidR="00323035">
        <w:rPr>
          <w:rFonts w:ascii="Avenir Next" w:hAnsi="Avenir Next" w:cs="Arial"/>
          <w:color w:val="808080" w:themeColor="background1" w:themeShade="80"/>
          <w:sz w:val="22"/>
          <w:szCs w:val="22"/>
          <w:lang w:val="en-GB"/>
        </w:rPr>
        <w:t xml:space="preserve"> and where the procedures involved are all set out in the law.  </w:t>
      </w:r>
    </w:p>
    <w:p w14:paraId="0778CDF6" w14:textId="4081FE4E" w:rsidR="00323035" w:rsidRDefault="00323035" w:rsidP="00692852">
      <w:pPr>
        <w:jc w:val="both"/>
        <w:rPr>
          <w:rFonts w:ascii="Avenir Next" w:hAnsi="Avenir Next" w:cs="Arial"/>
          <w:color w:val="808080" w:themeColor="background1" w:themeShade="80"/>
          <w:sz w:val="22"/>
          <w:szCs w:val="22"/>
          <w:lang w:val="en-GB"/>
        </w:rPr>
      </w:pPr>
    </w:p>
    <w:p w14:paraId="3674205F" w14:textId="03263F7F" w:rsidR="00323035" w:rsidRPr="00491425" w:rsidRDefault="0032303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should also consider that </w:t>
      </w:r>
      <w:proofErr w:type="gramStart"/>
      <w:r>
        <w:rPr>
          <w:rFonts w:ascii="Avenir Next" w:hAnsi="Avenir Next" w:cs="Arial"/>
          <w:color w:val="808080" w:themeColor="background1" w:themeShade="80"/>
          <w:sz w:val="22"/>
          <w:szCs w:val="22"/>
          <w:lang w:val="en-GB"/>
        </w:rPr>
        <w:t>in the event that</w:t>
      </w:r>
      <w:proofErr w:type="gramEnd"/>
      <w:r>
        <w:rPr>
          <w:rFonts w:ascii="Avenir Next" w:hAnsi="Avenir Next" w:cs="Arial"/>
          <w:color w:val="808080" w:themeColor="background1" w:themeShade="80"/>
          <w:sz w:val="22"/>
          <w:szCs w:val="22"/>
          <w:lang w:val="en-GB"/>
        </w:rPr>
        <w:t xml:space="preserve"> FPPL is in breach of any settlement agreement reached between then, Lobo would have to then commence legal proceedings against FPPL vis-à-vis </w:t>
      </w:r>
      <w:r>
        <w:rPr>
          <w:rFonts w:ascii="Avenir Next" w:hAnsi="Avenir Next" w:cs="Arial"/>
          <w:color w:val="808080" w:themeColor="background1" w:themeShade="80"/>
          <w:sz w:val="22"/>
          <w:szCs w:val="22"/>
          <w:lang w:val="en-GB"/>
        </w:rPr>
        <w:lastRenderedPageBreak/>
        <w:t>the settlement agreement. That itself may be a futile exercise as FPPL may already be insolvent by then</w:t>
      </w:r>
      <w:r w:rsidR="006263F9">
        <w:rPr>
          <w:rFonts w:ascii="Avenir Next" w:hAnsi="Avenir Next" w:cs="Arial"/>
          <w:color w:val="808080" w:themeColor="background1" w:themeShade="80"/>
          <w:sz w:val="22"/>
          <w:szCs w:val="22"/>
          <w:lang w:val="en-GB"/>
        </w:rPr>
        <w:t xml:space="preserve"> with no longer any assets left.</w:t>
      </w:r>
    </w:p>
    <w:p w14:paraId="68247525" w14:textId="77777777" w:rsidR="0040300B" w:rsidRPr="004216EA" w:rsidRDefault="0040300B"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w:t>
      </w:r>
      <w:bookmarkStart w:id="1" w:name="_Hlk119421259"/>
      <w:r w:rsidRPr="004216EA">
        <w:rPr>
          <w:rFonts w:ascii="Avenir Next" w:hAnsi="Avenir Next" w:cs="Arial"/>
          <w:sz w:val="22"/>
          <w:szCs w:val="22"/>
          <w:lang w:val="en-GB"/>
        </w:rPr>
        <w:t xml:space="preserve">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bookmarkEnd w:id="1"/>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1365C6B" w:rsidR="001E1C34" w:rsidRDefault="00F4432E" w:rsidP="00F443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will need to first find out whether Encanto has adopted the UNCITRAL Model law on Cross Border Insolvency. This is because of Encanto has adopted the UNCITRAL Model law on Cross Border Insolvency, its Courts</w:t>
      </w:r>
      <w:r w:rsidRPr="00F4432E">
        <w:rPr>
          <w:rFonts w:ascii="Avenir Next" w:hAnsi="Avenir Next" w:cs="Arial"/>
          <w:color w:val="808080" w:themeColor="background1" w:themeShade="80"/>
          <w:sz w:val="22"/>
          <w:szCs w:val="22"/>
          <w:lang w:val="en-GB"/>
        </w:rPr>
        <w:t xml:space="preserve"> will be able to consider </w:t>
      </w:r>
      <w:r>
        <w:rPr>
          <w:rFonts w:ascii="Avenir Next" w:hAnsi="Avenir Next" w:cs="Arial"/>
          <w:color w:val="808080" w:themeColor="background1" w:themeShade="80"/>
          <w:sz w:val="22"/>
          <w:szCs w:val="22"/>
          <w:lang w:val="en-GB"/>
        </w:rPr>
        <w:t xml:space="preserve">a </w:t>
      </w:r>
      <w:r w:rsidRPr="00F4432E">
        <w:rPr>
          <w:rFonts w:ascii="Avenir Next" w:hAnsi="Avenir Next" w:cs="Arial"/>
          <w:color w:val="808080" w:themeColor="background1" w:themeShade="80"/>
          <w:sz w:val="22"/>
          <w:szCs w:val="22"/>
          <w:lang w:val="en-GB"/>
        </w:rPr>
        <w:t xml:space="preserve">request </w:t>
      </w:r>
      <w:r>
        <w:rPr>
          <w:rFonts w:ascii="Avenir Next" w:hAnsi="Avenir Next" w:cs="Arial"/>
          <w:color w:val="808080" w:themeColor="background1" w:themeShade="80"/>
          <w:sz w:val="22"/>
          <w:szCs w:val="22"/>
          <w:lang w:val="en-GB"/>
        </w:rPr>
        <w:t xml:space="preserve">to recognise and enforce the formal Court Order granted by the Asgardian Court. </w:t>
      </w:r>
    </w:p>
    <w:p w14:paraId="1D84256D" w14:textId="719C950C" w:rsidR="00AE251D" w:rsidRDefault="00AE251D" w:rsidP="00F4432E">
      <w:pPr>
        <w:jc w:val="both"/>
        <w:rPr>
          <w:rFonts w:ascii="Avenir Next" w:hAnsi="Avenir Next" w:cs="Arial"/>
          <w:color w:val="808080" w:themeColor="background1" w:themeShade="80"/>
          <w:sz w:val="22"/>
          <w:szCs w:val="22"/>
          <w:lang w:val="en-GB"/>
        </w:rPr>
      </w:pPr>
    </w:p>
    <w:p w14:paraId="1F0ED985" w14:textId="2ED65DEF" w:rsidR="00AE251D" w:rsidRDefault="00AE251D" w:rsidP="00F443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Various difficulties may </w:t>
      </w:r>
      <w:proofErr w:type="gramStart"/>
      <w:r>
        <w:rPr>
          <w:rFonts w:ascii="Avenir Next" w:hAnsi="Avenir Next" w:cs="Arial"/>
          <w:color w:val="808080" w:themeColor="background1" w:themeShade="80"/>
          <w:sz w:val="22"/>
          <w:szCs w:val="22"/>
          <w:lang w:val="en-GB"/>
        </w:rPr>
        <w:t>actually arise</w:t>
      </w:r>
      <w:proofErr w:type="gramEnd"/>
      <w:r>
        <w:rPr>
          <w:rFonts w:ascii="Avenir Next" w:hAnsi="Avenir Next" w:cs="Arial"/>
          <w:color w:val="808080" w:themeColor="background1" w:themeShade="80"/>
          <w:sz w:val="22"/>
          <w:szCs w:val="22"/>
          <w:lang w:val="en-GB"/>
        </w:rPr>
        <w:t xml:space="preserve"> in this situation. Firstly, the Court Order granted by the Asgardian Court may conflict with the concurrent insolvency proceeding commenced against FPPL in Encanto. Secondly, there may also be difficulties in determining which law (whether the law in </w:t>
      </w:r>
      <w:proofErr w:type="spellStart"/>
      <w:r>
        <w:rPr>
          <w:rFonts w:ascii="Avenir Next" w:hAnsi="Avenir Next" w:cs="Arial"/>
          <w:color w:val="808080" w:themeColor="background1" w:themeShade="80"/>
          <w:sz w:val="22"/>
          <w:szCs w:val="22"/>
          <w:lang w:val="en-GB"/>
        </w:rPr>
        <w:t>Entanto</w:t>
      </w:r>
      <w:proofErr w:type="spellEnd"/>
      <w:r>
        <w:rPr>
          <w:rFonts w:ascii="Avenir Next" w:hAnsi="Avenir Next" w:cs="Arial"/>
          <w:color w:val="808080" w:themeColor="background1" w:themeShade="80"/>
          <w:sz w:val="22"/>
          <w:szCs w:val="22"/>
          <w:lang w:val="en-GB"/>
        </w:rPr>
        <w:t xml:space="preserve"> or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will govern the various questions that may arise such as priority of payments among the creditors. </w:t>
      </w:r>
      <w:r w:rsidR="00F0129C">
        <w:rPr>
          <w:rFonts w:ascii="Avenir Next" w:hAnsi="Avenir Next" w:cs="Arial"/>
          <w:color w:val="808080" w:themeColor="background1" w:themeShade="80"/>
          <w:sz w:val="22"/>
          <w:szCs w:val="22"/>
          <w:lang w:val="en-GB"/>
        </w:rPr>
        <w:t xml:space="preserve"> Thirdly, </w:t>
      </w:r>
      <w:proofErr w:type="gramStart"/>
      <w:r w:rsidR="00F0129C">
        <w:rPr>
          <w:rFonts w:ascii="Avenir Next" w:hAnsi="Avenir Next" w:cs="Arial"/>
          <w:color w:val="808080" w:themeColor="background1" w:themeShade="80"/>
          <w:sz w:val="22"/>
          <w:szCs w:val="22"/>
          <w:lang w:val="en-GB"/>
        </w:rPr>
        <w:t>in the event that</w:t>
      </w:r>
      <w:proofErr w:type="gramEnd"/>
      <w:r w:rsidR="00F0129C">
        <w:rPr>
          <w:rFonts w:ascii="Avenir Next" w:hAnsi="Avenir Next" w:cs="Arial"/>
          <w:color w:val="808080" w:themeColor="background1" w:themeShade="80"/>
          <w:sz w:val="22"/>
          <w:szCs w:val="22"/>
          <w:lang w:val="en-GB"/>
        </w:rPr>
        <w:t xml:space="preserve"> the proceedings in Encanto and </w:t>
      </w:r>
      <w:proofErr w:type="spellStart"/>
      <w:r w:rsidR="00F0129C">
        <w:rPr>
          <w:rFonts w:ascii="Avenir Next" w:hAnsi="Avenir Next" w:cs="Arial"/>
          <w:color w:val="808080" w:themeColor="background1" w:themeShade="80"/>
          <w:sz w:val="22"/>
          <w:szCs w:val="22"/>
          <w:lang w:val="en-GB"/>
        </w:rPr>
        <w:t>Asgard</w:t>
      </w:r>
      <w:proofErr w:type="spellEnd"/>
      <w:r w:rsidR="00F0129C">
        <w:rPr>
          <w:rFonts w:ascii="Avenir Next" w:hAnsi="Avenir Next" w:cs="Arial"/>
          <w:color w:val="808080" w:themeColor="background1" w:themeShade="80"/>
          <w:sz w:val="22"/>
          <w:szCs w:val="22"/>
          <w:lang w:val="en-GB"/>
        </w:rPr>
        <w:t xml:space="preserve"> compete with each other, it may even result in unnecessary capital losses to both the creditors and debtors. </w:t>
      </w:r>
    </w:p>
    <w:p w14:paraId="70DE675F" w14:textId="1F30A7A4" w:rsidR="00F0129C" w:rsidRDefault="00F0129C" w:rsidP="00F4432E">
      <w:pPr>
        <w:jc w:val="both"/>
        <w:rPr>
          <w:rFonts w:ascii="Avenir Next" w:hAnsi="Avenir Next" w:cs="Arial"/>
          <w:color w:val="808080" w:themeColor="background1" w:themeShade="80"/>
          <w:sz w:val="22"/>
          <w:szCs w:val="22"/>
          <w:lang w:val="en-GB"/>
        </w:rPr>
      </w:pPr>
    </w:p>
    <w:p w14:paraId="289C096F" w14:textId="362A47D6" w:rsidR="00F0129C" w:rsidRPr="00AB63DE" w:rsidRDefault="00F0129C" w:rsidP="00F443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Model Law on Cross Border Insolvency </w:t>
      </w:r>
      <w:r w:rsidR="002129FE">
        <w:rPr>
          <w:rFonts w:ascii="Avenir Next" w:hAnsi="Avenir Next" w:cs="Arial"/>
          <w:color w:val="808080" w:themeColor="background1" w:themeShade="80"/>
          <w:sz w:val="22"/>
          <w:szCs w:val="22"/>
          <w:lang w:val="en-GB"/>
        </w:rPr>
        <w:t>as well as the</w:t>
      </w:r>
      <w:r w:rsidR="002129FE" w:rsidRPr="002129FE">
        <w:rPr>
          <w:rFonts w:ascii="Avenir Next" w:hAnsi="Avenir Next" w:cs="Arial"/>
          <w:color w:val="808080" w:themeColor="background1" w:themeShade="80"/>
          <w:sz w:val="22"/>
          <w:szCs w:val="22"/>
          <w:lang w:val="en-GB"/>
        </w:rPr>
        <w:t xml:space="preserve"> </w:t>
      </w:r>
      <w:r w:rsidR="002129FE">
        <w:rPr>
          <w:rFonts w:ascii="Avenir Next" w:hAnsi="Avenir Next" w:cs="Arial"/>
          <w:color w:val="808080" w:themeColor="background1" w:themeShade="80"/>
          <w:sz w:val="22"/>
          <w:szCs w:val="22"/>
          <w:lang w:val="en-GB"/>
        </w:rPr>
        <w:t xml:space="preserve">Regulation (EU) 2015/848 of the European Parliament and of the Council of 20 May 2015 on Insolvency Proceedings (Recast) (EIR Recast) </w:t>
      </w:r>
      <w:r>
        <w:rPr>
          <w:rFonts w:ascii="Avenir Next" w:hAnsi="Avenir Next" w:cs="Arial"/>
          <w:color w:val="808080" w:themeColor="background1" w:themeShade="80"/>
          <w:sz w:val="22"/>
          <w:szCs w:val="22"/>
          <w:lang w:val="en-GB"/>
        </w:rPr>
        <w:t>w</w:t>
      </w:r>
      <w:r w:rsidR="002129FE">
        <w:rPr>
          <w:rFonts w:ascii="Avenir Next" w:hAnsi="Avenir Next" w:cs="Arial"/>
          <w:color w:val="808080" w:themeColor="background1" w:themeShade="80"/>
          <w:sz w:val="22"/>
          <w:szCs w:val="22"/>
          <w:lang w:val="en-GB"/>
        </w:rPr>
        <w:t>ere</w:t>
      </w:r>
      <w:r>
        <w:rPr>
          <w:rFonts w:ascii="Avenir Next" w:hAnsi="Avenir Next" w:cs="Arial"/>
          <w:color w:val="808080" w:themeColor="background1" w:themeShade="80"/>
          <w:sz w:val="22"/>
          <w:szCs w:val="22"/>
          <w:lang w:val="en-GB"/>
        </w:rPr>
        <w:t xml:space="preserve"> established for the purposes of addressing among others, </w:t>
      </w:r>
      <w:r w:rsidR="008F786C" w:rsidRPr="00F0129C">
        <w:rPr>
          <w:rFonts w:ascii="Avenir Next" w:hAnsi="Avenir Next" w:cs="Arial"/>
          <w:color w:val="808080" w:themeColor="background1" w:themeShade="80"/>
          <w:sz w:val="22"/>
          <w:szCs w:val="22"/>
          <w:lang w:val="en-GB"/>
        </w:rPr>
        <w:t>th</w:t>
      </w:r>
      <w:r w:rsidR="008F786C">
        <w:rPr>
          <w:rFonts w:ascii="Avenir Next" w:hAnsi="Avenir Next" w:cs="Arial"/>
          <w:color w:val="808080" w:themeColor="background1" w:themeShade="80"/>
          <w:sz w:val="22"/>
          <w:szCs w:val="22"/>
          <w:lang w:val="en-GB"/>
        </w:rPr>
        <w:t>e</w:t>
      </w:r>
      <w:r w:rsidR="008F786C" w:rsidRPr="00F0129C">
        <w:rPr>
          <w:rFonts w:ascii="Avenir Next" w:hAnsi="Avenir Next" w:cs="Arial"/>
          <w:color w:val="808080" w:themeColor="background1" w:themeShade="80"/>
          <w:sz w:val="22"/>
          <w:szCs w:val="22"/>
          <w:lang w:val="en-GB"/>
        </w:rPr>
        <w:t xml:space="preserve"> difficulties</w:t>
      </w:r>
      <w:r w:rsidR="005215D6">
        <w:rPr>
          <w:rFonts w:ascii="Avenir Next" w:hAnsi="Avenir Next" w:cs="Arial"/>
          <w:color w:val="808080" w:themeColor="background1" w:themeShade="80"/>
          <w:sz w:val="22"/>
          <w:szCs w:val="22"/>
          <w:lang w:val="en-GB"/>
        </w:rPr>
        <w:t xml:space="preserve"> explained above.</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3C57A702" w:rsidR="004E1D03" w:rsidRPr="002129FE" w:rsidRDefault="004E1D03" w:rsidP="00692852">
      <w:pPr>
        <w:ind w:left="720" w:hanging="720"/>
        <w:jc w:val="both"/>
        <w:rPr>
          <w:rFonts w:ascii="Avenir Next" w:hAnsi="Avenir Next" w:cs="Arial"/>
          <w:sz w:val="22"/>
          <w:szCs w:val="22"/>
          <w:highlight w:val="yellow"/>
          <w:lang w:val="en-GB"/>
        </w:rPr>
      </w:pPr>
    </w:p>
    <w:p w14:paraId="0D4AAB9E" w14:textId="77777777" w:rsidR="000D5C84" w:rsidRDefault="000D5C84"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24FCA" w:rsidRPr="008661C4">
        <w:rPr>
          <w:rFonts w:ascii="Avenir Next" w:hAnsi="Avenir Next" w:cs="Arial"/>
          <w:color w:val="808080" w:themeColor="background1" w:themeShade="80"/>
          <w:sz w:val="22"/>
          <w:szCs w:val="22"/>
          <w:lang w:val="en-GB"/>
        </w:rPr>
        <w:t xml:space="preserve">he European Insolvency Regulation Recast would not apply to the UK commenced insolvency proceedings as it was commenced on 30 June 2022. In this regard, the European Insolvency Regulation Recast has ceased to have effect vis-à-vis UK </w:t>
      </w:r>
      <w:r w:rsidR="004A293C" w:rsidRPr="008661C4">
        <w:rPr>
          <w:rFonts w:ascii="Avenir Next" w:hAnsi="Avenir Next" w:cs="Arial"/>
          <w:color w:val="808080" w:themeColor="background1" w:themeShade="80"/>
          <w:sz w:val="22"/>
          <w:szCs w:val="22"/>
          <w:lang w:val="en-GB"/>
        </w:rPr>
        <w:t>from 11 pm on 31 December 2020 following UK’s exit from the European Union.</w:t>
      </w:r>
    </w:p>
    <w:p w14:paraId="01485447" w14:textId="77777777" w:rsidR="000D5C84" w:rsidRDefault="000D5C84" w:rsidP="002129FE">
      <w:pPr>
        <w:jc w:val="both"/>
        <w:rPr>
          <w:rFonts w:ascii="Avenir Next" w:hAnsi="Avenir Next" w:cs="Arial"/>
          <w:color w:val="808080" w:themeColor="background1" w:themeShade="80"/>
          <w:sz w:val="22"/>
          <w:szCs w:val="22"/>
          <w:lang w:val="en-GB"/>
        </w:rPr>
      </w:pPr>
    </w:p>
    <w:p w14:paraId="09AEBD30" w14:textId="7C2A44AB" w:rsidR="00024FCA" w:rsidRDefault="000D5C84"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w</w:t>
      </w:r>
      <w:r w:rsidR="00CF0CC6">
        <w:rPr>
          <w:rFonts w:ascii="Avenir Next" w:hAnsi="Avenir Next" w:cs="Arial"/>
          <w:color w:val="808080" w:themeColor="background1" w:themeShade="80"/>
          <w:sz w:val="22"/>
          <w:szCs w:val="22"/>
          <w:lang w:val="en-GB"/>
        </w:rPr>
        <w:t xml:space="preserve">ithout the European Insolvency Regulation Recast, </w:t>
      </w:r>
      <w:r>
        <w:rPr>
          <w:rFonts w:ascii="Avenir Next" w:hAnsi="Avenir Next" w:cs="Arial"/>
          <w:color w:val="808080" w:themeColor="background1" w:themeShade="80"/>
          <w:sz w:val="22"/>
          <w:szCs w:val="22"/>
          <w:lang w:val="en-GB"/>
        </w:rPr>
        <w:t xml:space="preserve">it would mean that the UK Court would not be able to apply the concept of centre of main interests (COMI) to determine the jurisdiction for opening of main insolvency proceedings. </w:t>
      </w:r>
    </w:p>
    <w:p w14:paraId="7C995572" w14:textId="216FE409" w:rsidR="000D5C84" w:rsidRDefault="000D5C84" w:rsidP="002129FE">
      <w:pPr>
        <w:jc w:val="both"/>
        <w:rPr>
          <w:rFonts w:ascii="Avenir Next" w:hAnsi="Avenir Next" w:cs="Arial"/>
          <w:color w:val="808080" w:themeColor="background1" w:themeShade="80"/>
          <w:sz w:val="22"/>
          <w:szCs w:val="22"/>
          <w:lang w:val="en-GB"/>
        </w:rPr>
      </w:pPr>
    </w:p>
    <w:p w14:paraId="5C8BFD37" w14:textId="6B06C626" w:rsidR="000D5C84" w:rsidRDefault="00724019"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Secondly, t</w:t>
      </w:r>
      <w:r w:rsidR="000D5C84">
        <w:rPr>
          <w:rFonts w:ascii="Avenir Next" w:hAnsi="Avenir Next" w:cs="Arial"/>
          <w:color w:val="808080" w:themeColor="background1" w:themeShade="80"/>
          <w:sz w:val="22"/>
          <w:szCs w:val="22"/>
          <w:lang w:val="en-GB"/>
        </w:rPr>
        <w:t>his would also mean that t</w:t>
      </w:r>
      <w:r w:rsidR="00F66ADE">
        <w:rPr>
          <w:rFonts w:ascii="Avenir Next" w:hAnsi="Avenir Next" w:cs="Arial"/>
          <w:color w:val="808080" w:themeColor="background1" w:themeShade="80"/>
          <w:sz w:val="22"/>
          <w:szCs w:val="22"/>
          <w:lang w:val="en-GB"/>
        </w:rPr>
        <w:t>he UK Court would not have jurisdiction to hear the other actions commenced in the other European countries that are derived directly from insolvency proceedings that are closely linked to that which has begun in UK.</w:t>
      </w:r>
    </w:p>
    <w:p w14:paraId="3BD3346B" w14:textId="308EBE05" w:rsidR="00724019" w:rsidRDefault="00724019" w:rsidP="002129FE">
      <w:pPr>
        <w:jc w:val="both"/>
        <w:rPr>
          <w:rFonts w:ascii="Avenir Next" w:hAnsi="Avenir Next" w:cs="Arial"/>
          <w:color w:val="808080" w:themeColor="background1" w:themeShade="80"/>
          <w:sz w:val="22"/>
          <w:szCs w:val="22"/>
          <w:lang w:val="en-GB"/>
        </w:rPr>
      </w:pPr>
    </w:p>
    <w:p w14:paraId="6F1C94CA" w14:textId="2F57C010" w:rsidR="00724019" w:rsidRDefault="00724019"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Fourthly, this would also mean that any orders obtained by Lobo in other countries in Europe may be inconsistent with the order, if any, given by the UK Court.</w:t>
      </w:r>
    </w:p>
    <w:p w14:paraId="546FE307" w14:textId="63656CBE" w:rsidR="00724019" w:rsidRDefault="00724019" w:rsidP="002129FE">
      <w:pPr>
        <w:jc w:val="both"/>
        <w:rPr>
          <w:rFonts w:ascii="Avenir Next" w:hAnsi="Avenir Next" w:cs="Arial"/>
          <w:color w:val="808080" w:themeColor="background1" w:themeShade="80"/>
          <w:sz w:val="22"/>
          <w:szCs w:val="22"/>
          <w:lang w:val="en-GB"/>
        </w:rPr>
      </w:pPr>
    </w:p>
    <w:p w14:paraId="45098FC3" w14:textId="0EF82641" w:rsidR="00724019" w:rsidRDefault="0086444E"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Fifthly, the </w:t>
      </w:r>
      <w:r w:rsidR="00330180">
        <w:rPr>
          <w:rFonts w:ascii="Avenir Next" w:hAnsi="Avenir Next" w:cs="Arial"/>
          <w:color w:val="808080" w:themeColor="background1" w:themeShade="80"/>
          <w:sz w:val="22"/>
          <w:szCs w:val="22"/>
          <w:lang w:val="en-GB"/>
        </w:rPr>
        <w:t>enforceability of any orders/judgments obtained before the UK Courts, in the other European countries would also depend on whether the other European countries have adopted the UNCITRAL Model Law on Cross Border Insolvency.</w:t>
      </w:r>
    </w:p>
    <w:p w14:paraId="60E05005" w14:textId="186AC9CD" w:rsidR="00204851" w:rsidRDefault="00204851" w:rsidP="002129FE">
      <w:pPr>
        <w:jc w:val="both"/>
        <w:rPr>
          <w:rFonts w:ascii="Avenir Next" w:hAnsi="Avenir Next" w:cs="Arial"/>
          <w:color w:val="808080" w:themeColor="background1" w:themeShade="80"/>
          <w:sz w:val="22"/>
          <w:szCs w:val="22"/>
          <w:lang w:val="en-GB"/>
        </w:rPr>
      </w:pPr>
    </w:p>
    <w:p w14:paraId="53CC8C39" w14:textId="7CD1B19E" w:rsidR="00204851" w:rsidRDefault="00204851" w:rsidP="002129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Sixthly, the Courts in Europe would ha</w:t>
      </w:r>
      <w:r w:rsidR="007D1CC4">
        <w:rPr>
          <w:rFonts w:ascii="Avenir Next" w:hAnsi="Avenir Next" w:cs="Arial"/>
          <w:color w:val="808080" w:themeColor="background1" w:themeShade="80"/>
          <w:sz w:val="22"/>
          <w:szCs w:val="22"/>
          <w:lang w:val="en-GB"/>
        </w:rPr>
        <w:t>ve to also consider which law to apply.</w:t>
      </w:r>
    </w:p>
    <w:p w14:paraId="4E74BD85" w14:textId="18DBCA43" w:rsidR="001E1C34" w:rsidRPr="00AB63DE" w:rsidRDefault="001E1C34" w:rsidP="00744D59">
      <w:pPr>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DBF6CB1" w:rsidR="00B64A85" w:rsidRPr="00297BDF" w:rsidRDefault="002E20C1" w:rsidP="0052732A">
    <w:pPr>
      <w:pStyle w:val="Footer"/>
      <w:ind w:right="360"/>
      <w:rPr>
        <w:rFonts w:ascii="Avenir Next" w:hAnsi="Avenir Next" w:cs="Arial"/>
        <w:sz w:val="22"/>
        <w:szCs w:val="22"/>
      </w:rPr>
    </w:pPr>
    <w:r w:rsidRPr="002E20C1">
      <w:rPr>
        <w:rFonts w:ascii="Avenir Next" w:hAnsi="Avenir Next" w:cs="Arial"/>
        <w:sz w:val="22"/>
        <w:szCs w:val="22"/>
      </w:rPr>
      <w:t>202223-932</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0357" w14:textId="77777777" w:rsidR="0004402C" w:rsidRDefault="00044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14C8" w14:textId="77777777" w:rsidR="0004402C" w:rsidRDefault="00044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5E98" w14:textId="77777777" w:rsidR="0004402C" w:rsidRDefault="00044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FBA0" w14:textId="77777777" w:rsidR="0004402C" w:rsidRDefault="0004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65821">
    <w:abstractNumId w:val="18"/>
  </w:num>
  <w:num w:numId="2" w16cid:durableId="584925576">
    <w:abstractNumId w:val="22"/>
  </w:num>
  <w:num w:numId="3" w16cid:durableId="1362588994">
    <w:abstractNumId w:val="2"/>
  </w:num>
  <w:num w:numId="4" w16cid:durableId="1179927173">
    <w:abstractNumId w:val="3"/>
  </w:num>
  <w:num w:numId="5" w16cid:durableId="1915121172">
    <w:abstractNumId w:val="14"/>
  </w:num>
  <w:num w:numId="6" w16cid:durableId="795877630">
    <w:abstractNumId w:val="19"/>
  </w:num>
  <w:num w:numId="7" w16cid:durableId="512113409">
    <w:abstractNumId w:val="8"/>
  </w:num>
  <w:num w:numId="8" w16cid:durableId="908810966">
    <w:abstractNumId w:val="23"/>
  </w:num>
  <w:num w:numId="9" w16cid:durableId="2026326785">
    <w:abstractNumId w:val="7"/>
  </w:num>
  <w:num w:numId="10" w16cid:durableId="1216772058">
    <w:abstractNumId w:val="20"/>
  </w:num>
  <w:num w:numId="11" w16cid:durableId="776946989">
    <w:abstractNumId w:val="6"/>
  </w:num>
  <w:num w:numId="12" w16cid:durableId="1992437671">
    <w:abstractNumId w:val="21"/>
  </w:num>
  <w:num w:numId="13" w16cid:durableId="1518887611">
    <w:abstractNumId w:val="13"/>
  </w:num>
  <w:num w:numId="14" w16cid:durableId="1224365226">
    <w:abstractNumId w:val="12"/>
  </w:num>
  <w:num w:numId="15" w16cid:durableId="1133475964">
    <w:abstractNumId w:val="4"/>
  </w:num>
  <w:num w:numId="16" w16cid:durableId="1548951572">
    <w:abstractNumId w:val="15"/>
  </w:num>
  <w:num w:numId="17" w16cid:durableId="2146655307">
    <w:abstractNumId w:val="10"/>
  </w:num>
  <w:num w:numId="18" w16cid:durableId="1094787866">
    <w:abstractNumId w:val="11"/>
  </w:num>
  <w:num w:numId="19" w16cid:durableId="1103113411">
    <w:abstractNumId w:val="17"/>
  </w:num>
  <w:num w:numId="20" w16cid:durableId="1023677273">
    <w:abstractNumId w:val="5"/>
  </w:num>
  <w:num w:numId="21" w16cid:durableId="1643198756">
    <w:abstractNumId w:val="9"/>
  </w:num>
  <w:num w:numId="22" w16cid:durableId="2088067731">
    <w:abstractNumId w:val="0"/>
  </w:num>
  <w:num w:numId="23" w16cid:durableId="684137297">
    <w:abstractNumId w:val="16"/>
  </w:num>
  <w:num w:numId="24" w16cid:durableId="74753227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07968"/>
    <w:rsid w:val="00010BA0"/>
    <w:rsid w:val="00015EE6"/>
    <w:rsid w:val="00020557"/>
    <w:rsid w:val="0002322B"/>
    <w:rsid w:val="00024FCA"/>
    <w:rsid w:val="000250C7"/>
    <w:rsid w:val="00025C83"/>
    <w:rsid w:val="00031918"/>
    <w:rsid w:val="000329A6"/>
    <w:rsid w:val="00034C0C"/>
    <w:rsid w:val="00037621"/>
    <w:rsid w:val="000419D4"/>
    <w:rsid w:val="00043365"/>
    <w:rsid w:val="000436F0"/>
    <w:rsid w:val="00043960"/>
    <w:rsid w:val="0004402C"/>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53D7"/>
    <w:rsid w:val="000A01B9"/>
    <w:rsid w:val="000A0C1B"/>
    <w:rsid w:val="000A46DE"/>
    <w:rsid w:val="000A68ED"/>
    <w:rsid w:val="000A74CA"/>
    <w:rsid w:val="000B5B93"/>
    <w:rsid w:val="000B5FF1"/>
    <w:rsid w:val="000B609F"/>
    <w:rsid w:val="000B6B56"/>
    <w:rsid w:val="000C6855"/>
    <w:rsid w:val="000D55A8"/>
    <w:rsid w:val="000D57BE"/>
    <w:rsid w:val="000D5C84"/>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12B"/>
    <w:rsid w:val="00126A4D"/>
    <w:rsid w:val="00131D42"/>
    <w:rsid w:val="0013278B"/>
    <w:rsid w:val="00135FFC"/>
    <w:rsid w:val="00136505"/>
    <w:rsid w:val="0014171F"/>
    <w:rsid w:val="00143A63"/>
    <w:rsid w:val="0014622C"/>
    <w:rsid w:val="00150F6C"/>
    <w:rsid w:val="00152348"/>
    <w:rsid w:val="0015328F"/>
    <w:rsid w:val="0015456D"/>
    <w:rsid w:val="001553C6"/>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05F6"/>
    <w:rsid w:val="00193AB3"/>
    <w:rsid w:val="00193AD3"/>
    <w:rsid w:val="00194115"/>
    <w:rsid w:val="00194867"/>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052E"/>
    <w:rsid w:val="001E1C34"/>
    <w:rsid w:val="001E1FB4"/>
    <w:rsid w:val="001E23FD"/>
    <w:rsid w:val="001E25B9"/>
    <w:rsid w:val="001E2976"/>
    <w:rsid w:val="001E392F"/>
    <w:rsid w:val="001E49E0"/>
    <w:rsid w:val="001E7B5A"/>
    <w:rsid w:val="001F0BCF"/>
    <w:rsid w:val="001F1478"/>
    <w:rsid w:val="001F168A"/>
    <w:rsid w:val="001F2AF5"/>
    <w:rsid w:val="001F30EB"/>
    <w:rsid w:val="001F45F2"/>
    <w:rsid w:val="001F5204"/>
    <w:rsid w:val="001F603D"/>
    <w:rsid w:val="001F7412"/>
    <w:rsid w:val="001F7C77"/>
    <w:rsid w:val="00201386"/>
    <w:rsid w:val="00202C2B"/>
    <w:rsid w:val="00204851"/>
    <w:rsid w:val="00205B31"/>
    <w:rsid w:val="0020725B"/>
    <w:rsid w:val="0020730B"/>
    <w:rsid w:val="002129FE"/>
    <w:rsid w:val="00212B14"/>
    <w:rsid w:val="00216499"/>
    <w:rsid w:val="002164C0"/>
    <w:rsid w:val="00216CB4"/>
    <w:rsid w:val="002173C5"/>
    <w:rsid w:val="0022184D"/>
    <w:rsid w:val="00223780"/>
    <w:rsid w:val="0022719C"/>
    <w:rsid w:val="00231F38"/>
    <w:rsid w:val="00233876"/>
    <w:rsid w:val="002362AB"/>
    <w:rsid w:val="002400DB"/>
    <w:rsid w:val="002406A4"/>
    <w:rsid w:val="0024116D"/>
    <w:rsid w:val="00241B44"/>
    <w:rsid w:val="00242218"/>
    <w:rsid w:val="00245EFB"/>
    <w:rsid w:val="002526C5"/>
    <w:rsid w:val="002529D2"/>
    <w:rsid w:val="0025386E"/>
    <w:rsid w:val="00254AB3"/>
    <w:rsid w:val="00257D01"/>
    <w:rsid w:val="002638B0"/>
    <w:rsid w:val="0026510C"/>
    <w:rsid w:val="0026647A"/>
    <w:rsid w:val="002668D3"/>
    <w:rsid w:val="00266F17"/>
    <w:rsid w:val="002672D0"/>
    <w:rsid w:val="002707B4"/>
    <w:rsid w:val="00270D04"/>
    <w:rsid w:val="0027242B"/>
    <w:rsid w:val="0027299F"/>
    <w:rsid w:val="00275182"/>
    <w:rsid w:val="00275946"/>
    <w:rsid w:val="00275F23"/>
    <w:rsid w:val="00276414"/>
    <w:rsid w:val="00276FEA"/>
    <w:rsid w:val="0028252D"/>
    <w:rsid w:val="00284EBE"/>
    <w:rsid w:val="0028501E"/>
    <w:rsid w:val="00286720"/>
    <w:rsid w:val="002872E1"/>
    <w:rsid w:val="00287B2E"/>
    <w:rsid w:val="00287D4D"/>
    <w:rsid w:val="00290116"/>
    <w:rsid w:val="0029433F"/>
    <w:rsid w:val="00294829"/>
    <w:rsid w:val="00295742"/>
    <w:rsid w:val="0029690F"/>
    <w:rsid w:val="00297288"/>
    <w:rsid w:val="00297BDF"/>
    <w:rsid w:val="002A2A60"/>
    <w:rsid w:val="002A3815"/>
    <w:rsid w:val="002A5449"/>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4D5"/>
    <w:rsid w:val="002E20C1"/>
    <w:rsid w:val="002E37B7"/>
    <w:rsid w:val="002E4A02"/>
    <w:rsid w:val="002E4A1F"/>
    <w:rsid w:val="002E66F4"/>
    <w:rsid w:val="002F14C5"/>
    <w:rsid w:val="002F1956"/>
    <w:rsid w:val="002F2B8D"/>
    <w:rsid w:val="002F3440"/>
    <w:rsid w:val="002F3B17"/>
    <w:rsid w:val="002F5DD8"/>
    <w:rsid w:val="002F6F13"/>
    <w:rsid w:val="002F75A3"/>
    <w:rsid w:val="002F75CD"/>
    <w:rsid w:val="002F7EB5"/>
    <w:rsid w:val="0030201F"/>
    <w:rsid w:val="00303C2F"/>
    <w:rsid w:val="0030558B"/>
    <w:rsid w:val="00306E87"/>
    <w:rsid w:val="00310FC2"/>
    <w:rsid w:val="00312EBC"/>
    <w:rsid w:val="003134B4"/>
    <w:rsid w:val="003144EF"/>
    <w:rsid w:val="00323035"/>
    <w:rsid w:val="0032538A"/>
    <w:rsid w:val="00326292"/>
    <w:rsid w:val="00326415"/>
    <w:rsid w:val="00326919"/>
    <w:rsid w:val="00330180"/>
    <w:rsid w:val="00330937"/>
    <w:rsid w:val="00330F31"/>
    <w:rsid w:val="003326F0"/>
    <w:rsid w:val="00334648"/>
    <w:rsid w:val="00336CA6"/>
    <w:rsid w:val="0033768C"/>
    <w:rsid w:val="00337938"/>
    <w:rsid w:val="00340769"/>
    <w:rsid w:val="00341A65"/>
    <w:rsid w:val="00341AA6"/>
    <w:rsid w:val="00342E57"/>
    <w:rsid w:val="003500E5"/>
    <w:rsid w:val="00355B57"/>
    <w:rsid w:val="00361827"/>
    <w:rsid w:val="00361A0A"/>
    <w:rsid w:val="00361DF9"/>
    <w:rsid w:val="0036565C"/>
    <w:rsid w:val="0036625E"/>
    <w:rsid w:val="00367162"/>
    <w:rsid w:val="00371CB6"/>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634"/>
    <w:rsid w:val="00400920"/>
    <w:rsid w:val="0040300B"/>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39F8"/>
    <w:rsid w:val="004772EE"/>
    <w:rsid w:val="00481FC8"/>
    <w:rsid w:val="0048258B"/>
    <w:rsid w:val="00482FE3"/>
    <w:rsid w:val="00486065"/>
    <w:rsid w:val="00486776"/>
    <w:rsid w:val="004868BB"/>
    <w:rsid w:val="00491425"/>
    <w:rsid w:val="00491675"/>
    <w:rsid w:val="00493855"/>
    <w:rsid w:val="00497558"/>
    <w:rsid w:val="00497CF9"/>
    <w:rsid w:val="004A107B"/>
    <w:rsid w:val="004A27CB"/>
    <w:rsid w:val="004A293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0688"/>
    <w:rsid w:val="004F1534"/>
    <w:rsid w:val="004F2DD1"/>
    <w:rsid w:val="004F301B"/>
    <w:rsid w:val="004F3375"/>
    <w:rsid w:val="004F55F1"/>
    <w:rsid w:val="004F5FDF"/>
    <w:rsid w:val="0050052B"/>
    <w:rsid w:val="0050085E"/>
    <w:rsid w:val="0050156C"/>
    <w:rsid w:val="00503C08"/>
    <w:rsid w:val="00504AFA"/>
    <w:rsid w:val="00505754"/>
    <w:rsid w:val="005059A4"/>
    <w:rsid w:val="00515756"/>
    <w:rsid w:val="00515F63"/>
    <w:rsid w:val="005177FE"/>
    <w:rsid w:val="005215D6"/>
    <w:rsid w:val="0052263B"/>
    <w:rsid w:val="00524728"/>
    <w:rsid w:val="00524840"/>
    <w:rsid w:val="00525459"/>
    <w:rsid w:val="00525467"/>
    <w:rsid w:val="00525999"/>
    <w:rsid w:val="00525C99"/>
    <w:rsid w:val="00526A96"/>
    <w:rsid w:val="0052732A"/>
    <w:rsid w:val="00527527"/>
    <w:rsid w:val="00530010"/>
    <w:rsid w:val="00530CA0"/>
    <w:rsid w:val="00532283"/>
    <w:rsid w:val="005323A7"/>
    <w:rsid w:val="005331CA"/>
    <w:rsid w:val="005337E0"/>
    <w:rsid w:val="0053523A"/>
    <w:rsid w:val="00537970"/>
    <w:rsid w:val="00540E3A"/>
    <w:rsid w:val="00541DF4"/>
    <w:rsid w:val="00542E08"/>
    <w:rsid w:val="005433D7"/>
    <w:rsid w:val="00543941"/>
    <w:rsid w:val="00544127"/>
    <w:rsid w:val="005508BB"/>
    <w:rsid w:val="00551051"/>
    <w:rsid w:val="00553EB2"/>
    <w:rsid w:val="00555C4D"/>
    <w:rsid w:val="00557614"/>
    <w:rsid w:val="00557EA5"/>
    <w:rsid w:val="00560534"/>
    <w:rsid w:val="00561244"/>
    <w:rsid w:val="0056391B"/>
    <w:rsid w:val="005650E2"/>
    <w:rsid w:val="00566D80"/>
    <w:rsid w:val="00567AD7"/>
    <w:rsid w:val="005716C3"/>
    <w:rsid w:val="00573594"/>
    <w:rsid w:val="005739EC"/>
    <w:rsid w:val="00575B2D"/>
    <w:rsid w:val="005800D0"/>
    <w:rsid w:val="005833D0"/>
    <w:rsid w:val="005846F3"/>
    <w:rsid w:val="005859D2"/>
    <w:rsid w:val="0058622F"/>
    <w:rsid w:val="005865D6"/>
    <w:rsid w:val="00586968"/>
    <w:rsid w:val="00590880"/>
    <w:rsid w:val="00590FE6"/>
    <w:rsid w:val="00591631"/>
    <w:rsid w:val="00592E7F"/>
    <w:rsid w:val="00592F82"/>
    <w:rsid w:val="0059330A"/>
    <w:rsid w:val="005934F3"/>
    <w:rsid w:val="005936B3"/>
    <w:rsid w:val="005953ED"/>
    <w:rsid w:val="00595B58"/>
    <w:rsid w:val="005966E3"/>
    <w:rsid w:val="005A0CCA"/>
    <w:rsid w:val="005A2152"/>
    <w:rsid w:val="005A2194"/>
    <w:rsid w:val="005A2628"/>
    <w:rsid w:val="005A383D"/>
    <w:rsid w:val="005A43F4"/>
    <w:rsid w:val="005A5ACB"/>
    <w:rsid w:val="005A68B1"/>
    <w:rsid w:val="005A726D"/>
    <w:rsid w:val="005B0BB2"/>
    <w:rsid w:val="005B2AA0"/>
    <w:rsid w:val="005B3B9F"/>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E7382"/>
    <w:rsid w:val="005F026D"/>
    <w:rsid w:val="005F0764"/>
    <w:rsid w:val="005F19FA"/>
    <w:rsid w:val="005F244F"/>
    <w:rsid w:val="005F2D0B"/>
    <w:rsid w:val="005F453F"/>
    <w:rsid w:val="005F4B31"/>
    <w:rsid w:val="005F5449"/>
    <w:rsid w:val="005F6059"/>
    <w:rsid w:val="005F678C"/>
    <w:rsid w:val="0060397D"/>
    <w:rsid w:val="00604723"/>
    <w:rsid w:val="00610388"/>
    <w:rsid w:val="00611BF4"/>
    <w:rsid w:val="00612092"/>
    <w:rsid w:val="00612CA5"/>
    <w:rsid w:val="00614858"/>
    <w:rsid w:val="006153EC"/>
    <w:rsid w:val="00620ACA"/>
    <w:rsid w:val="00621A17"/>
    <w:rsid w:val="0062260C"/>
    <w:rsid w:val="006263F9"/>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20EC"/>
    <w:rsid w:val="006746CB"/>
    <w:rsid w:val="00677AEB"/>
    <w:rsid w:val="00680EF2"/>
    <w:rsid w:val="00682A3E"/>
    <w:rsid w:val="006850AE"/>
    <w:rsid w:val="00686C53"/>
    <w:rsid w:val="00687A1D"/>
    <w:rsid w:val="00691927"/>
    <w:rsid w:val="00692852"/>
    <w:rsid w:val="00693325"/>
    <w:rsid w:val="00697EA1"/>
    <w:rsid w:val="006A051A"/>
    <w:rsid w:val="006A2646"/>
    <w:rsid w:val="006A6530"/>
    <w:rsid w:val="006A695F"/>
    <w:rsid w:val="006A6D1D"/>
    <w:rsid w:val="006B2893"/>
    <w:rsid w:val="006B435A"/>
    <w:rsid w:val="006B4539"/>
    <w:rsid w:val="006B4C64"/>
    <w:rsid w:val="006B5982"/>
    <w:rsid w:val="006B5AE8"/>
    <w:rsid w:val="006C5464"/>
    <w:rsid w:val="006C5CE2"/>
    <w:rsid w:val="006D0529"/>
    <w:rsid w:val="006D0605"/>
    <w:rsid w:val="006D176A"/>
    <w:rsid w:val="006D564C"/>
    <w:rsid w:val="006D6BD5"/>
    <w:rsid w:val="006E1CB0"/>
    <w:rsid w:val="006E1DC9"/>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4019"/>
    <w:rsid w:val="00724D88"/>
    <w:rsid w:val="00726E9A"/>
    <w:rsid w:val="00727864"/>
    <w:rsid w:val="0073278A"/>
    <w:rsid w:val="007333CC"/>
    <w:rsid w:val="007335D8"/>
    <w:rsid w:val="0073399A"/>
    <w:rsid w:val="007369C7"/>
    <w:rsid w:val="007371A3"/>
    <w:rsid w:val="00741D74"/>
    <w:rsid w:val="00743531"/>
    <w:rsid w:val="00744D59"/>
    <w:rsid w:val="007452BB"/>
    <w:rsid w:val="007462D9"/>
    <w:rsid w:val="00746A22"/>
    <w:rsid w:val="00751986"/>
    <w:rsid w:val="00752CDC"/>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86BCD"/>
    <w:rsid w:val="00790B4C"/>
    <w:rsid w:val="0079206E"/>
    <w:rsid w:val="00793173"/>
    <w:rsid w:val="007958F0"/>
    <w:rsid w:val="00797E1B"/>
    <w:rsid w:val="007A12A4"/>
    <w:rsid w:val="007A1548"/>
    <w:rsid w:val="007A32AD"/>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CC4"/>
    <w:rsid w:val="007D1E28"/>
    <w:rsid w:val="007D6DF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3E84"/>
    <w:rsid w:val="00841E70"/>
    <w:rsid w:val="00845226"/>
    <w:rsid w:val="008473AA"/>
    <w:rsid w:val="00852883"/>
    <w:rsid w:val="00852F37"/>
    <w:rsid w:val="00855096"/>
    <w:rsid w:val="008571F6"/>
    <w:rsid w:val="00857A02"/>
    <w:rsid w:val="00860A24"/>
    <w:rsid w:val="00861E51"/>
    <w:rsid w:val="0086444E"/>
    <w:rsid w:val="008661C4"/>
    <w:rsid w:val="00870B96"/>
    <w:rsid w:val="008723F3"/>
    <w:rsid w:val="00873246"/>
    <w:rsid w:val="00875E2E"/>
    <w:rsid w:val="00880F99"/>
    <w:rsid w:val="00881DA8"/>
    <w:rsid w:val="00881DE6"/>
    <w:rsid w:val="008837A6"/>
    <w:rsid w:val="008841E5"/>
    <w:rsid w:val="00884D7C"/>
    <w:rsid w:val="0089145D"/>
    <w:rsid w:val="00896FD7"/>
    <w:rsid w:val="00897428"/>
    <w:rsid w:val="008A0810"/>
    <w:rsid w:val="008A15DA"/>
    <w:rsid w:val="008A30C3"/>
    <w:rsid w:val="008A30EE"/>
    <w:rsid w:val="008A4DF2"/>
    <w:rsid w:val="008A6841"/>
    <w:rsid w:val="008A6CFE"/>
    <w:rsid w:val="008B2DBD"/>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8F786C"/>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3ED5"/>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1C93"/>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D6D5B"/>
    <w:rsid w:val="009E13C1"/>
    <w:rsid w:val="009E2A9C"/>
    <w:rsid w:val="009E2AEB"/>
    <w:rsid w:val="009E2E27"/>
    <w:rsid w:val="009E44C0"/>
    <w:rsid w:val="009E4DE3"/>
    <w:rsid w:val="009E50C1"/>
    <w:rsid w:val="009F0C29"/>
    <w:rsid w:val="009F2472"/>
    <w:rsid w:val="00A02198"/>
    <w:rsid w:val="00A047EE"/>
    <w:rsid w:val="00A057CA"/>
    <w:rsid w:val="00A105BE"/>
    <w:rsid w:val="00A13F8F"/>
    <w:rsid w:val="00A149B7"/>
    <w:rsid w:val="00A177BC"/>
    <w:rsid w:val="00A17930"/>
    <w:rsid w:val="00A2274A"/>
    <w:rsid w:val="00A235B7"/>
    <w:rsid w:val="00A249AC"/>
    <w:rsid w:val="00A270CE"/>
    <w:rsid w:val="00A2731E"/>
    <w:rsid w:val="00A27A7A"/>
    <w:rsid w:val="00A301D1"/>
    <w:rsid w:val="00A31881"/>
    <w:rsid w:val="00A35ABC"/>
    <w:rsid w:val="00A40529"/>
    <w:rsid w:val="00A407EF"/>
    <w:rsid w:val="00A411B7"/>
    <w:rsid w:val="00A45800"/>
    <w:rsid w:val="00A46B4C"/>
    <w:rsid w:val="00A46CC7"/>
    <w:rsid w:val="00A5117B"/>
    <w:rsid w:val="00A560B6"/>
    <w:rsid w:val="00A566E3"/>
    <w:rsid w:val="00A56CF7"/>
    <w:rsid w:val="00A56DBC"/>
    <w:rsid w:val="00A60074"/>
    <w:rsid w:val="00A646E2"/>
    <w:rsid w:val="00A651A9"/>
    <w:rsid w:val="00A6627C"/>
    <w:rsid w:val="00A71019"/>
    <w:rsid w:val="00A728CF"/>
    <w:rsid w:val="00A81029"/>
    <w:rsid w:val="00A82AFB"/>
    <w:rsid w:val="00A8485D"/>
    <w:rsid w:val="00A86584"/>
    <w:rsid w:val="00A86B29"/>
    <w:rsid w:val="00A90BDB"/>
    <w:rsid w:val="00A93121"/>
    <w:rsid w:val="00A94F10"/>
    <w:rsid w:val="00A96062"/>
    <w:rsid w:val="00A96489"/>
    <w:rsid w:val="00A96BB0"/>
    <w:rsid w:val="00A97D88"/>
    <w:rsid w:val="00AA0E39"/>
    <w:rsid w:val="00AA1F76"/>
    <w:rsid w:val="00AA23CE"/>
    <w:rsid w:val="00AA2CBD"/>
    <w:rsid w:val="00AA5A58"/>
    <w:rsid w:val="00AA670C"/>
    <w:rsid w:val="00AB1B60"/>
    <w:rsid w:val="00AB2786"/>
    <w:rsid w:val="00AB5A37"/>
    <w:rsid w:val="00AB61D6"/>
    <w:rsid w:val="00AB63DE"/>
    <w:rsid w:val="00AB685C"/>
    <w:rsid w:val="00AB6C2D"/>
    <w:rsid w:val="00AC08F7"/>
    <w:rsid w:val="00AC126D"/>
    <w:rsid w:val="00AC3075"/>
    <w:rsid w:val="00AC36E5"/>
    <w:rsid w:val="00AC3839"/>
    <w:rsid w:val="00AC4D79"/>
    <w:rsid w:val="00AC7082"/>
    <w:rsid w:val="00AD0662"/>
    <w:rsid w:val="00AD1B6B"/>
    <w:rsid w:val="00AD331C"/>
    <w:rsid w:val="00AD57A5"/>
    <w:rsid w:val="00AD65A8"/>
    <w:rsid w:val="00AD74AD"/>
    <w:rsid w:val="00AD7A9A"/>
    <w:rsid w:val="00AE027F"/>
    <w:rsid w:val="00AE251D"/>
    <w:rsid w:val="00AE306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598F"/>
    <w:rsid w:val="00B51227"/>
    <w:rsid w:val="00B51975"/>
    <w:rsid w:val="00B52E4D"/>
    <w:rsid w:val="00B54F90"/>
    <w:rsid w:val="00B55C9E"/>
    <w:rsid w:val="00B56B95"/>
    <w:rsid w:val="00B607DF"/>
    <w:rsid w:val="00B6409C"/>
    <w:rsid w:val="00B64845"/>
    <w:rsid w:val="00B64A85"/>
    <w:rsid w:val="00B654C5"/>
    <w:rsid w:val="00B66053"/>
    <w:rsid w:val="00B7193E"/>
    <w:rsid w:val="00B72999"/>
    <w:rsid w:val="00B72FD7"/>
    <w:rsid w:val="00B736DF"/>
    <w:rsid w:val="00B74FBD"/>
    <w:rsid w:val="00B765BB"/>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369"/>
    <w:rsid w:val="00BB09FD"/>
    <w:rsid w:val="00BB0F2B"/>
    <w:rsid w:val="00BB5A37"/>
    <w:rsid w:val="00BB6955"/>
    <w:rsid w:val="00BB6F7A"/>
    <w:rsid w:val="00BC1043"/>
    <w:rsid w:val="00BC33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730F"/>
    <w:rsid w:val="00BF75E2"/>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32EC"/>
    <w:rsid w:val="00C8712A"/>
    <w:rsid w:val="00C92A0D"/>
    <w:rsid w:val="00C952A2"/>
    <w:rsid w:val="00C95B49"/>
    <w:rsid w:val="00C963D3"/>
    <w:rsid w:val="00C9672A"/>
    <w:rsid w:val="00CA1802"/>
    <w:rsid w:val="00CB0C5C"/>
    <w:rsid w:val="00CB262C"/>
    <w:rsid w:val="00CB2CBB"/>
    <w:rsid w:val="00CB7283"/>
    <w:rsid w:val="00CB7CAC"/>
    <w:rsid w:val="00CC467D"/>
    <w:rsid w:val="00CC5051"/>
    <w:rsid w:val="00CC5335"/>
    <w:rsid w:val="00CC579C"/>
    <w:rsid w:val="00CC5BA4"/>
    <w:rsid w:val="00CC5ECB"/>
    <w:rsid w:val="00CC7728"/>
    <w:rsid w:val="00CD0E2B"/>
    <w:rsid w:val="00CD0FFE"/>
    <w:rsid w:val="00CD2D8E"/>
    <w:rsid w:val="00CD34DB"/>
    <w:rsid w:val="00CD377A"/>
    <w:rsid w:val="00CD4998"/>
    <w:rsid w:val="00CD499F"/>
    <w:rsid w:val="00CD7DBC"/>
    <w:rsid w:val="00CE1035"/>
    <w:rsid w:val="00CE62CA"/>
    <w:rsid w:val="00CF01D6"/>
    <w:rsid w:val="00CF0CC6"/>
    <w:rsid w:val="00CF2819"/>
    <w:rsid w:val="00CF4F9D"/>
    <w:rsid w:val="00CF5AD8"/>
    <w:rsid w:val="00CF70DC"/>
    <w:rsid w:val="00CF717B"/>
    <w:rsid w:val="00D068C5"/>
    <w:rsid w:val="00D07F87"/>
    <w:rsid w:val="00D11459"/>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73686"/>
    <w:rsid w:val="00D80F59"/>
    <w:rsid w:val="00D829EB"/>
    <w:rsid w:val="00D84752"/>
    <w:rsid w:val="00D86A74"/>
    <w:rsid w:val="00D86B3B"/>
    <w:rsid w:val="00D8748A"/>
    <w:rsid w:val="00D905E4"/>
    <w:rsid w:val="00D910D5"/>
    <w:rsid w:val="00D93196"/>
    <w:rsid w:val="00D9319C"/>
    <w:rsid w:val="00D931A2"/>
    <w:rsid w:val="00D96DBD"/>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6D4F"/>
    <w:rsid w:val="00E177E2"/>
    <w:rsid w:val="00E17BF1"/>
    <w:rsid w:val="00E22DE4"/>
    <w:rsid w:val="00E26E19"/>
    <w:rsid w:val="00E31DF3"/>
    <w:rsid w:val="00E37049"/>
    <w:rsid w:val="00E4126D"/>
    <w:rsid w:val="00E450A4"/>
    <w:rsid w:val="00E506BE"/>
    <w:rsid w:val="00E518B6"/>
    <w:rsid w:val="00E525B9"/>
    <w:rsid w:val="00E530CA"/>
    <w:rsid w:val="00E53A8B"/>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A49"/>
    <w:rsid w:val="00E8272F"/>
    <w:rsid w:val="00E84DA5"/>
    <w:rsid w:val="00E84DD5"/>
    <w:rsid w:val="00E86549"/>
    <w:rsid w:val="00E86D64"/>
    <w:rsid w:val="00E909F0"/>
    <w:rsid w:val="00E90B4B"/>
    <w:rsid w:val="00E90D47"/>
    <w:rsid w:val="00E91773"/>
    <w:rsid w:val="00E91BE6"/>
    <w:rsid w:val="00E92DA7"/>
    <w:rsid w:val="00E93993"/>
    <w:rsid w:val="00E950C0"/>
    <w:rsid w:val="00E9597C"/>
    <w:rsid w:val="00EA0879"/>
    <w:rsid w:val="00EA0913"/>
    <w:rsid w:val="00EA158D"/>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6959"/>
    <w:rsid w:val="00ED77FA"/>
    <w:rsid w:val="00EE1A0E"/>
    <w:rsid w:val="00EE4971"/>
    <w:rsid w:val="00EE5A48"/>
    <w:rsid w:val="00EE5F7D"/>
    <w:rsid w:val="00EE6390"/>
    <w:rsid w:val="00EE7278"/>
    <w:rsid w:val="00EF090E"/>
    <w:rsid w:val="00EF16B6"/>
    <w:rsid w:val="00EF1B1A"/>
    <w:rsid w:val="00EF2D08"/>
    <w:rsid w:val="00EF54D7"/>
    <w:rsid w:val="00EF5705"/>
    <w:rsid w:val="00EF6653"/>
    <w:rsid w:val="00F0129C"/>
    <w:rsid w:val="00F033DA"/>
    <w:rsid w:val="00F0424E"/>
    <w:rsid w:val="00F106B1"/>
    <w:rsid w:val="00F106CE"/>
    <w:rsid w:val="00F1096A"/>
    <w:rsid w:val="00F12AA4"/>
    <w:rsid w:val="00F12F7B"/>
    <w:rsid w:val="00F13FB1"/>
    <w:rsid w:val="00F15181"/>
    <w:rsid w:val="00F1640B"/>
    <w:rsid w:val="00F2025D"/>
    <w:rsid w:val="00F20842"/>
    <w:rsid w:val="00F27C28"/>
    <w:rsid w:val="00F27CD8"/>
    <w:rsid w:val="00F30351"/>
    <w:rsid w:val="00F3144D"/>
    <w:rsid w:val="00F3323E"/>
    <w:rsid w:val="00F341F4"/>
    <w:rsid w:val="00F34F9D"/>
    <w:rsid w:val="00F34FAD"/>
    <w:rsid w:val="00F3554C"/>
    <w:rsid w:val="00F35CCE"/>
    <w:rsid w:val="00F35D73"/>
    <w:rsid w:val="00F366E1"/>
    <w:rsid w:val="00F42B4B"/>
    <w:rsid w:val="00F4376C"/>
    <w:rsid w:val="00F4432E"/>
    <w:rsid w:val="00F44D8C"/>
    <w:rsid w:val="00F45599"/>
    <w:rsid w:val="00F50D48"/>
    <w:rsid w:val="00F5239B"/>
    <w:rsid w:val="00F52552"/>
    <w:rsid w:val="00F52E31"/>
    <w:rsid w:val="00F54776"/>
    <w:rsid w:val="00F5524B"/>
    <w:rsid w:val="00F5710B"/>
    <w:rsid w:val="00F61DD2"/>
    <w:rsid w:val="00F62000"/>
    <w:rsid w:val="00F63720"/>
    <w:rsid w:val="00F65FB6"/>
    <w:rsid w:val="00F66ADE"/>
    <w:rsid w:val="00F66AFF"/>
    <w:rsid w:val="00F71433"/>
    <w:rsid w:val="00F71CE8"/>
    <w:rsid w:val="00F738B0"/>
    <w:rsid w:val="00F801C5"/>
    <w:rsid w:val="00F83231"/>
    <w:rsid w:val="00F85A51"/>
    <w:rsid w:val="00F85DB2"/>
    <w:rsid w:val="00F91FA7"/>
    <w:rsid w:val="00F93546"/>
    <w:rsid w:val="00F95955"/>
    <w:rsid w:val="00F96AF1"/>
    <w:rsid w:val="00F97C5B"/>
    <w:rsid w:val="00FA29FD"/>
    <w:rsid w:val="00FA2A46"/>
    <w:rsid w:val="00FA3739"/>
    <w:rsid w:val="00FA3D50"/>
    <w:rsid w:val="00FA43E7"/>
    <w:rsid w:val="00FB2C81"/>
    <w:rsid w:val="00FB4BF7"/>
    <w:rsid w:val="00FB6703"/>
    <w:rsid w:val="00FB7C0C"/>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693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61BF7F8F-FE26-4A60-AE3D-8D6918E8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Skrine</cp:lastModifiedBy>
  <cp:revision>4</cp:revision>
  <cp:lastPrinted>2020-06-12T02:43:00Z</cp:lastPrinted>
  <dcterms:created xsi:type="dcterms:W3CDTF">2022-11-15T12:29:00Z</dcterms:created>
  <dcterms:modified xsi:type="dcterms:W3CDTF">2022-11-15T12:29:00Z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iManageFooter">
    <vt:lpwstr>&lt;#1478563&gt;&lt;JAN&gt;&lt;JANICE.OOI&gt;&lt;JANICE.OOI&gt;</vt:lpwstr>
  </property>
</Properties>
</file>