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SG" w:eastAsia="en-SG"/>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Pr="003A2BB6" w:rsidRDefault="002D2356" w:rsidP="008071D5">
      <w:pPr>
        <w:pStyle w:val="ListParagraph"/>
        <w:numPr>
          <w:ilvl w:val="0"/>
          <w:numId w:val="15"/>
        </w:numPr>
        <w:ind w:left="425" w:hanging="357"/>
        <w:jc w:val="both"/>
        <w:rPr>
          <w:rFonts w:ascii="Avenir Next" w:hAnsi="Avenir Next" w:cs="Arial"/>
          <w:sz w:val="22"/>
          <w:szCs w:val="22"/>
        </w:rPr>
      </w:pPr>
      <w:r w:rsidRPr="003A2BB6">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3A2BB6" w:rsidRDefault="002D2356" w:rsidP="008071D5">
      <w:pPr>
        <w:pStyle w:val="ListParagraph"/>
        <w:numPr>
          <w:ilvl w:val="0"/>
          <w:numId w:val="15"/>
        </w:numPr>
        <w:ind w:left="425" w:hanging="357"/>
        <w:jc w:val="both"/>
        <w:rPr>
          <w:rFonts w:ascii="Avenir Next" w:hAnsi="Avenir Next" w:cs="Arial"/>
          <w:sz w:val="22"/>
          <w:szCs w:val="22"/>
          <w:highlight w:val="yellow"/>
        </w:rPr>
      </w:pPr>
      <w:r w:rsidRPr="003A2BB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A2BB6">
        <w:rPr>
          <w:rFonts w:ascii="Avenir Next" w:hAnsi="Avenir Next" w:cs="Arial"/>
          <w:sz w:val="22"/>
          <w:szCs w:val="22"/>
          <w:highlight w:val="yellow"/>
          <w:vertAlign w:val="superscript"/>
        </w:rPr>
        <w:t>th</w:t>
      </w:r>
      <w:r w:rsidRPr="003A2BB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A2BB6" w:rsidRDefault="002D2356" w:rsidP="008071D5">
      <w:pPr>
        <w:pStyle w:val="ListParagraph"/>
        <w:numPr>
          <w:ilvl w:val="0"/>
          <w:numId w:val="16"/>
        </w:numPr>
        <w:ind w:left="426"/>
        <w:jc w:val="both"/>
        <w:rPr>
          <w:rFonts w:ascii="Avenir Next" w:hAnsi="Avenir Next" w:cs="Arial"/>
          <w:sz w:val="22"/>
          <w:szCs w:val="22"/>
          <w:highlight w:val="yellow"/>
        </w:rPr>
      </w:pPr>
      <w:r w:rsidRPr="003A2BB6">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2041CFB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5216E" w:rsidRDefault="002D2356" w:rsidP="008071D5">
      <w:pPr>
        <w:pStyle w:val="ListParagraph"/>
        <w:numPr>
          <w:ilvl w:val="0"/>
          <w:numId w:val="17"/>
        </w:numPr>
        <w:ind w:left="426"/>
        <w:jc w:val="both"/>
        <w:rPr>
          <w:rFonts w:ascii="Avenir Next" w:hAnsi="Avenir Next" w:cs="Arial"/>
          <w:sz w:val="22"/>
          <w:szCs w:val="22"/>
          <w:highlight w:val="yellow"/>
        </w:rPr>
      </w:pPr>
      <w:r w:rsidRPr="00F5216E">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7A52E6" w:rsidRDefault="00466ED6" w:rsidP="008071D5">
      <w:pPr>
        <w:pStyle w:val="ListParagraph"/>
        <w:numPr>
          <w:ilvl w:val="0"/>
          <w:numId w:val="18"/>
        </w:numPr>
        <w:ind w:left="426"/>
        <w:jc w:val="both"/>
        <w:rPr>
          <w:rFonts w:ascii="Avenir Next" w:hAnsi="Avenir Next" w:cs="Arial"/>
          <w:sz w:val="22"/>
          <w:szCs w:val="22"/>
          <w:highlight w:val="yellow"/>
        </w:rPr>
      </w:pPr>
      <w:r w:rsidRPr="007A52E6">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C30FF90"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C3CED" w:rsidRDefault="002D2356" w:rsidP="008071D5">
      <w:pPr>
        <w:pStyle w:val="ListParagraph"/>
        <w:numPr>
          <w:ilvl w:val="0"/>
          <w:numId w:val="19"/>
        </w:numPr>
        <w:ind w:left="425" w:hanging="357"/>
        <w:jc w:val="both"/>
        <w:rPr>
          <w:rFonts w:ascii="Avenir Next" w:hAnsi="Avenir Next" w:cs="Arial"/>
          <w:sz w:val="22"/>
          <w:szCs w:val="22"/>
          <w:highlight w:val="yellow"/>
        </w:rPr>
      </w:pPr>
      <w:r w:rsidRPr="003C3CE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795AA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795AA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1271C"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1271C">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1271C">
        <w:rPr>
          <w:rFonts w:ascii="Avenir Next" w:eastAsiaTheme="minorHAnsi" w:hAnsi="Avenir Next" w:cs="Arial"/>
          <w:sz w:val="22"/>
          <w:szCs w:val="22"/>
          <w:highlight w:val="yellow"/>
          <w:lang w:val="en-GB"/>
        </w:rPr>
        <w:t xml:space="preserve"> </w:t>
      </w:r>
      <w:r w:rsidRPr="00E1271C">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797719"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797719">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301B76" w:rsidRDefault="00F5239B" w:rsidP="008071D5">
      <w:pPr>
        <w:pStyle w:val="ListParagraph"/>
        <w:numPr>
          <w:ilvl w:val="0"/>
          <w:numId w:val="23"/>
        </w:numPr>
        <w:ind w:left="426"/>
        <w:jc w:val="both"/>
        <w:rPr>
          <w:rFonts w:ascii="Avenir Next" w:hAnsi="Avenir Next" w:cs="Arial"/>
          <w:sz w:val="22"/>
          <w:szCs w:val="22"/>
          <w:highlight w:val="yellow"/>
        </w:rPr>
      </w:pPr>
      <w:r w:rsidRPr="00301B76">
        <w:rPr>
          <w:rFonts w:ascii="Avenir Next" w:hAnsi="Avenir Next" w:cs="Arial"/>
          <w:sz w:val="22"/>
          <w:szCs w:val="22"/>
          <w:highlight w:val="yellow"/>
        </w:rPr>
        <w:t xml:space="preserve">This statement is true because </w:t>
      </w:r>
      <w:r w:rsidR="007B5180" w:rsidRPr="00301B76">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E4F54" w:rsidRDefault="009355DB" w:rsidP="008071D5">
      <w:pPr>
        <w:pStyle w:val="ListParagraph"/>
        <w:numPr>
          <w:ilvl w:val="0"/>
          <w:numId w:val="24"/>
        </w:numPr>
        <w:ind w:left="426"/>
        <w:jc w:val="both"/>
        <w:rPr>
          <w:rFonts w:ascii="Avenir Next" w:hAnsi="Avenir Next" w:cs="Arial"/>
          <w:sz w:val="22"/>
          <w:szCs w:val="22"/>
          <w:highlight w:val="yellow"/>
        </w:rPr>
      </w:pPr>
      <w:r w:rsidRPr="00EE4F54">
        <w:rPr>
          <w:rFonts w:ascii="Avenir Next" w:hAnsi="Avenir Next" w:cs="Arial"/>
          <w:sz w:val="22"/>
          <w:szCs w:val="22"/>
          <w:highlight w:val="yellow"/>
        </w:rPr>
        <w:t xml:space="preserve">This statement is true because </w:t>
      </w:r>
      <w:r w:rsidR="005C4FF2" w:rsidRPr="00EE4F54">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654DB64F" w:rsidR="0081547D" w:rsidRDefault="00154D4F" w:rsidP="00692852">
      <w:pPr>
        <w:ind w:left="720" w:hanging="720"/>
        <w:jc w:val="both"/>
        <w:rPr>
          <w:rFonts w:ascii="Avenir Next" w:hAnsi="Avenir Next" w:cs="Arial"/>
          <w:sz w:val="22"/>
          <w:szCs w:val="22"/>
          <w:lang w:val="en-GB"/>
        </w:rPr>
      </w:pPr>
      <w:r w:rsidRPr="00154D4F">
        <w:rPr>
          <w:rFonts w:ascii="Avenir Next" w:hAnsi="Avenir Next" w:cs="Arial"/>
          <w:sz w:val="22"/>
          <w:szCs w:val="22"/>
          <w:lang w:val="en-GB"/>
        </w:rPr>
        <w:t xml:space="preserve">The historical roots of the insolvency law systems in African jurisdictions may be traced to the laws or legal </w:t>
      </w:r>
      <w:r>
        <w:rPr>
          <w:rFonts w:ascii="Avenir Next" w:hAnsi="Avenir Next" w:cs="Arial"/>
          <w:sz w:val="22"/>
          <w:szCs w:val="22"/>
          <w:lang w:val="en-GB"/>
        </w:rPr>
        <w:t>traditions</w:t>
      </w:r>
      <w:r w:rsidRPr="00154D4F">
        <w:rPr>
          <w:rFonts w:ascii="Avenir Next" w:hAnsi="Avenir Next" w:cs="Arial"/>
          <w:sz w:val="22"/>
          <w:szCs w:val="22"/>
          <w:lang w:val="en-GB"/>
        </w:rPr>
        <w:t xml:space="preserve"> of the former colonial powers that ruled these countries.</w:t>
      </w:r>
      <w:r>
        <w:rPr>
          <w:rFonts w:ascii="Avenir Next" w:hAnsi="Avenir Next" w:cs="Arial"/>
          <w:sz w:val="22"/>
          <w:szCs w:val="22"/>
          <w:lang w:val="en-GB"/>
        </w:rPr>
        <w:t xml:space="preserve"> Most African jurisdictions still follow the laws imposed by their former colonial powers. For instance, former British colonies such as Nigeria, Kenya, Botswana, Zambia</w:t>
      </w:r>
      <w:r w:rsidR="00716D34">
        <w:rPr>
          <w:rFonts w:ascii="Avenir Next" w:hAnsi="Avenir Next" w:cs="Arial"/>
          <w:sz w:val="22"/>
          <w:szCs w:val="22"/>
          <w:lang w:val="en-GB"/>
        </w:rPr>
        <w:t xml:space="preserve"> and Tanzania retain an English law tradition, while Angola and Mozambique have a civil law tradition based on Portuguese law. </w:t>
      </w:r>
      <w:r w:rsidR="00716D34">
        <w:rPr>
          <w:rFonts w:ascii="Avenir Next" w:hAnsi="Avenir Next" w:cs="Arial"/>
          <w:sz w:val="22"/>
          <w:szCs w:val="22"/>
          <w:lang w:val="en-GB"/>
        </w:rPr>
        <w:lastRenderedPageBreak/>
        <w:t>The legal systems of French-speaking countries in West Africa follow a civil law tradition, particularly based on French law. Some countries (</w:t>
      </w:r>
      <w:proofErr w:type="spellStart"/>
      <w:r w:rsidR="00716D34">
        <w:rPr>
          <w:rFonts w:ascii="Avenir Next" w:hAnsi="Avenir Next" w:cs="Arial"/>
          <w:i/>
          <w:iCs/>
          <w:sz w:val="22"/>
          <w:szCs w:val="22"/>
          <w:lang w:val="en-GB"/>
        </w:rPr>
        <w:t>eg</w:t>
      </w:r>
      <w:proofErr w:type="spellEnd"/>
      <w:r w:rsidR="00716D34">
        <w:rPr>
          <w:rFonts w:ascii="Avenir Next" w:hAnsi="Avenir Next" w:cs="Arial"/>
          <w:sz w:val="22"/>
          <w:szCs w:val="22"/>
          <w:lang w:val="en-GB"/>
        </w:rPr>
        <w:t>, South Africa and Namibia) have mixed legal systems influenced by both civil law and English law.</w:t>
      </w:r>
    </w:p>
    <w:p w14:paraId="7157D714" w14:textId="51E30710" w:rsidR="00716D34" w:rsidRDefault="00716D34" w:rsidP="00692852">
      <w:pPr>
        <w:ind w:left="720" w:hanging="720"/>
        <w:jc w:val="both"/>
        <w:rPr>
          <w:rFonts w:ascii="Avenir Next" w:hAnsi="Avenir Next" w:cs="Arial"/>
          <w:sz w:val="22"/>
          <w:szCs w:val="22"/>
          <w:lang w:val="en-GB"/>
        </w:rPr>
      </w:pPr>
    </w:p>
    <w:p w14:paraId="0D92C0C4" w14:textId="050960E0" w:rsidR="00716D34" w:rsidRPr="00716D34" w:rsidRDefault="00716D34" w:rsidP="00692852">
      <w:pPr>
        <w:ind w:left="720" w:hanging="720"/>
        <w:jc w:val="both"/>
        <w:rPr>
          <w:rFonts w:ascii="Avenir Next" w:hAnsi="Avenir Next" w:cs="Arial"/>
          <w:sz w:val="22"/>
          <w:szCs w:val="22"/>
          <w:lang w:val="en-GB"/>
        </w:rPr>
      </w:pPr>
      <w:r>
        <w:rPr>
          <w:rFonts w:ascii="Avenir Next" w:hAnsi="Avenir Next" w:cs="Arial"/>
          <w:sz w:val="22"/>
          <w:szCs w:val="22"/>
          <w:lang w:val="en-GB"/>
        </w:rPr>
        <w:t>While the legal systems of African jurisdictions may be tied to their colonial past, some African states have started moving away from this by introducing new and more modern legislation.</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9F61129" w14:textId="5953BD46" w:rsidR="00AB63DE" w:rsidRPr="00B13F4F" w:rsidRDefault="00EE4833" w:rsidP="00716D34">
      <w:pPr>
        <w:ind w:left="720" w:hanging="720"/>
        <w:jc w:val="both"/>
        <w:rPr>
          <w:rFonts w:ascii="Avenir Next" w:hAnsi="Avenir Next" w:cs="Arial"/>
          <w:sz w:val="22"/>
          <w:szCs w:val="22"/>
          <w:lang w:val="en-GB"/>
        </w:rPr>
      </w:pPr>
      <w:r w:rsidRPr="00EE4833">
        <w:rPr>
          <w:rFonts w:ascii="Avenir Next" w:hAnsi="Avenir Next" w:cs="Arial"/>
          <w:sz w:val="22"/>
          <w:szCs w:val="22"/>
          <w:lang w:val="en-GB"/>
        </w:rPr>
        <w:t xml:space="preserve">First, the aftermath of the 1998 Asian Financial Crisis prompted </w:t>
      </w:r>
      <w:r>
        <w:rPr>
          <w:rFonts w:ascii="Avenir Next" w:hAnsi="Avenir Next" w:cs="Arial"/>
          <w:sz w:val="22"/>
          <w:szCs w:val="22"/>
          <w:lang w:val="en-GB"/>
        </w:rPr>
        <w:t xml:space="preserve">multiple countries in East Asia to undertake reform of their insolvency laws. For instance, </w:t>
      </w:r>
      <w:r w:rsidR="00CB608A">
        <w:rPr>
          <w:rFonts w:ascii="Avenir Next" w:hAnsi="Avenir Next" w:cs="Arial"/>
          <w:sz w:val="22"/>
          <w:szCs w:val="22"/>
          <w:lang w:val="en-GB"/>
        </w:rPr>
        <w:t xml:space="preserve">Thailand passed a new Bankruptcy Act in 1998, which allowed reorganisation for the first time, as an alternative to liquidating a debtor’s assets. It was hoped that the new legislation would provide more liquidity to the Thai economy, boost investor confidence, and help resuscitate the commercial sector: </w:t>
      </w:r>
      <w:proofErr w:type="spellStart"/>
      <w:r w:rsidR="00CB608A" w:rsidRPr="00CB608A">
        <w:rPr>
          <w:rFonts w:ascii="Avenir Next" w:hAnsi="Avenir Next" w:cs="Arial"/>
          <w:sz w:val="22"/>
          <w:szCs w:val="22"/>
          <w:lang w:val="en-GB"/>
        </w:rPr>
        <w:t>Kitipong</w:t>
      </w:r>
      <w:proofErr w:type="spellEnd"/>
      <w:r w:rsidR="00CB608A" w:rsidRPr="00CB608A">
        <w:rPr>
          <w:rFonts w:ascii="Avenir Next" w:hAnsi="Avenir Next" w:cs="Arial"/>
          <w:sz w:val="22"/>
          <w:szCs w:val="22"/>
          <w:lang w:val="en-GB"/>
        </w:rPr>
        <w:t xml:space="preserve"> </w:t>
      </w:r>
      <w:proofErr w:type="spellStart"/>
      <w:r w:rsidR="00CB608A" w:rsidRPr="00CB608A">
        <w:rPr>
          <w:rFonts w:ascii="Avenir Next" w:hAnsi="Avenir Next" w:cs="Arial"/>
          <w:sz w:val="22"/>
          <w:szCs w:val="22"/>
          <w:lang w:val="en-GB"/>
        </w:rPr>
        <w:t>Urapeepatanapong</w:t>
      </w:r>
      <w:proofErr w:type="spellEnd"/>
      <w:r w:rsidR="00CB608A" w:rsidRPr="00CB608A">
        <w:rPr>
          <w:rFonts w:ascii="Avenir Next" w:hAnsi="Avenir Next" w:cs="Arial"/>
          <w:sz w:val="22"/>
          <w:szCs w:val="22"/>
          <w:lang w:val="en-GB"/>
        </w:rPr>
        <w:t xml:space="preserve">, </w:t>
      </w:r>
      <w:r w:rsidR="00CB608A">
        <w:rPr>
          <w:rFonts w:ascii="Avenir Next" w:hAnsi="Avenir Next" w:cs="Arial"/>
          <w:sz w:val="22"/>
          <w:szCs w:val="22"/>
          <w:lang w:val="en-GB"/>
        </w:rPr>
        <w:t>“</w:t>
      </w:r>
      <w:r w:rsidR="00CB608A" w:rsidRPr="00CB608A">
        <w:rPr>
          <w:rFonts w:ascii="Avenir Next" w:hAnsi="Avenir Next" w:cs="Arial"/>
          <w:sz w:val="22"/>
          <w:szCs w:val="22"/>
          <w:lang w:val="en-GB"/>
        </w:rPr>
        <w:t>New Bankruptcy Act to boost Thai economy</w:t>
      </w:r>
      <w:r w:rsidR="00CB608A">
        <w:rPr>
          <w:rFonts w:ascii="Avenir Next" w:hAnsi="Avenir Next" w:cs="Arial"/>
          <w:sz w:val="22"/>
          <w:szCs w:val="22"/>
          <w:lang w:val="en-GB"/>
        </w:rPr>
        <w:t>”</w:t>
      </w:r>
      <w:r w:rsidR="00CB608A" w:rsidRPr="00CB608A">
        <w:rPr>
          <w:rFonts w:ascii="Avenir Next" w:hAnsi="Avenir Next" w:cs="Arial"/>
          <w:sz w:val="22"/>
          <w:szCs w:val="22"/>
          <w:lang w:val="en-GB"/>
        </w:rPr>
        <w:t xml:space="preserve">, </w:t>
      </w:r>
      <w:r w:rsidR="00CB608A" w:rsidRPr="00CB608A">
        <w:rPr>
          <w:rFonts w:ascii="Avenir Next" w:hAnsi="Avenir Next" w:cs="Arial"/>
          <w:i/>
          <w:iCs/>
          <w:sz w:val="22"/>
          <w:szCs w:val="22"/>
          <w:lang w:val="en-GB"/>
        </w:rPr>
        <w:t xml:space="preserve">17 International Financial Law Review 4, </w:t>
      </w:r>
      <w:r w:rsidR="00CB608A" w:rsidRPr="00CB608A">
        <w:rPr>
          <w:rFonts w:ascii="Avenir Next" w:hAnsi="Avenir Next" w:cs="Arial"/>
          <w:sz w:val="22"/>
          <w:szCs w:val="22"/>
          <w:lang w:val="en-GB"/>
        </w:rPr>
        <w:t>33</w:t>
      </w:r>
      <w:r w:rsidR="00CB608A">
        <w:rPr>
          <w:rFonts w:ascii="Avenir Next" w:hAnsi="Avenir Next" w:cs="Arial"/>
          <w:sz w:val="22"/>
          <w:szCs w:val="22"/>
          <w:lang w:val="en-GB"/>
        </w:rPr>
        <w:t>.</w:t>
      </w:r>
      <w:r w:rsidR="00CB608A">
        <w:rPr>
          <w:rStyle w:val="FootnoteReference"/>
          <w:rFonts w:ascii="Avenir Next" w:hAnsi="Avenir Next" w:cs="Arial"/>
          <w:sz w:val="22"/>
          <w:szCs w:val="22"/>
          <w:lang w:val="en-GB"/>
        </w:rPr>
        <w:footnoteReference w:id="1"/>
      </w:r>
      <w:r w:rsidR="00B13F4F">
        <w:rPr>
          <w:rFonts w:ascii="Avenir Next" w:hAnsi="Avenir Next" w:cs="Arial"/>
          <w:sz w:val="22"/>
          <w:szCs w:val="22"/>
          <w:lang w:val="en-GB"/>
        </w:rPr>
        <w:t xml:space="preserve"> Likewise, Indonesia passed Law No. 4/1998, which amended its insolvency legislation to provide for the new positions of bankruptcy receivers and voluntary debt compromise administrators: Roman </w:t>
      </w:r>
      <w:proofErr w:type="spellStart"/>
      <w:r w:rsidR="00B13F4F">
        <w:rPr>
          <w:rFonts w:ascii="Avenir Next" w:hAnsi="Avenir Next" w:cs="Arial"/>
          <w:sz w:val="22"/>
          <w:szCs w:val="22"/>
          <w:lang w:val="en-GB"/>
        </w:rPr>
        <w:t>Tomasic</w:t>
      </w:r>
      <w:proofErr w:type="spellEnd"/>
      <w:r w:rsidR="00B13F4F">
        <w:rPr>
          <w:rFonts w:ascii="Avenir Next" w:hAnsi="Avenir Next" w:cs="Arial"/>
          <w:sz w:val="22"/>
          <w:szCs w:val="22"/>
          <w:lang w:val="en-GB"/>
        </w:rPr>
        <w:t xml:space="preserve">, </w:t>
      </w:r>
      <w:r w:rsidR="00B13F4F">
        <w:rPr>
          <w:rFonts w:ascii="Avenir Next" w:hAnsi="Avenir Next" w:cs="Arial"/>
          <w:i/>
          <w:iCs/>
          <w:sz w:val="22"/>
          <w:szCs w:val="22"/>
          <w:lang w:val="en-GB"/>
        </w:rPr>
        <w:t>Insolvency Law in East Asia</w:t>
      </w:r>
      <w:r w:rsidR="00B13F4F">
        <w:rPr>
          <w:rFonts w:ascii="Avenir Next" w:hAnsi="Avenir Next" w:cs="Arial"/>
          <w:sz w:val="22"/>
          <w:szCs w:val="22"/>
          <w:lang w:val="en-GB"/>
        </w:rPr>
        <w:t xml:space="preserve">, Hampshire, </w:t>
      </w:r>
      <w:proofErr w:type="spellStart"/>
      <w:r w:rsidR="00B13F4F">
        <w:rPr>
          <w:rFonts w:ascii="Avenir Next" w:hAnsi="Avenir Next" w:cs="Arial"/>
          <w:sz w:val="22"/>
          <w:szCs w:val="22"/>
          <w:lang w:val="en-GB"/>
        </w:rPr>
        <w:t>Ashgate</w:t>
      </w:r>
      <w:proofErr w:type="spellEnd"/>
      <w:r w:rsidR="00B13F4F">
        <w:rPr>
          <w:rFonts w:ascii="Avenir Next" w:hAnsi="Avenir Next" w:cs="Arial"/>
          <w:sz w:val="22"/>
          <w:szCs w:val="22"/>
          <w:lang w:val="en-GB"/>
        </w:rPr>
        <w:t xml:space="preserve"> (2006), p 356.  </w:t>
      </w:r>
    </w:p>
    <w:p w14:paraId="050C4406" w14:textId="429A3AD9" w:rsidR="00CB608A" w:rsidRDefault="00CB608A" w:rsidP="00716D34">
      <w:pPr>
        <w:ind w:left="720" w:hanging="720"/>
        <w:jc w:val="both"/>
        <w:rPr>
          <w:rFonts w:ascii="Avenir Next" w:hAnsi="Avenir Next" w:cs="Arial"/>
          <w:sz w:val="22"/>
          <w:szCs w:val="22"/>
          <w:lang w:val="en-GB"/>
        </w:rPr>
      </w:pPr>
    </w:p>
    <w:p w14:paraId="31D0782A" w14:textId="7C9113BF" w:rsidR="00CB608A" w:rsidRPr="00EE4833" w:rsidRDefault="00CB608A" w:rsidP="00716D34">
      <w:pPr>
        <w:ind w:left="720" w:hanging="720"/>
        <w:jc w:val="both"/>
        <w:rPr>
          <w:rFonts w:ascii="Avenir Next" w:hAnsi="Avenir Next" w:cs="Arial"/>
          <w:sz w:val="22"/>
          <w:szCs w:val="22"/>
          <w:lang w:val="en-GB"/>
        </w:rPr>
      </w:pPr>
      <w:r>
        <w:rPr>
          <w:rFonts w:ascii="Avenir Next" w:hAnsi="Avenir Next" w:cs="Arial"/>
          <w:sz w:val="22"/>
          <w:szCs w:val="22"/>
          <w:lang w:val="en-GB"/>
        </w:rPr>
        <w:t xml:space="preserve">Second, insolvency law reform in East Asian countries was also prompted by the economic development that took place in these countries post-WWII. For instance, </w:t>
      </w:r>
      <w:r w:rsidR="00B13F4F">
        <w:rPr>
          <w:rFonts w:ascii="Avenir Next" w:hAnsi="Avenir Next" w:cs="Arial"/>
          <w:sz w:val="22"/>
          <w:szCs w:val="22"/>
          <w:lang w:val="en-GB"/>
        </w:rPr>
        <w:t xml:space="preserve">following economic reforms in 1986, Vietnamese lawmakers adopted laws suited to a mixed-market economy. In particular, the Law on Business Bankruptcy 1993 was passed: Roman </w:t>
      </w:r>
      <w:proofErr w:type="spellStart"/>
      <w:r w:rsidR="00B13F4F">
        <w:rPr>
          <w:rFonts w:ascii="Avenir Next" w:hAnsi="Avenir Next" w:cs="Arial"/>
          <w:sz w:val="22"/>
          <w:szCs w:val="22"/>
          <w:lang w:val="en-GB"/>
        </w:rPr>
        <w:t>Tomasic</w:t>
      </w:r>
      <w:proofErr w:type="spellEnd"/>
      <w:r w:rsidR="00B13F4F">
        <w:rPr>
          <w:rFonts w:ascii="Avenir Next" w:hAnsi="Avenir Next" w:cs="Arial"/>
          <w:sz w:val="22"/>
          <w:szCs w:val="22"/>
          <w:lang w:val="en-GB"/>
        </w:rPr>
        <w:t xml:space="preserve">, </w:t>
      </w:r>
      <w:r w:rsidR="00B13F4F">
        <w:rPr>
          <w:rFonts w:ascii="Avenir Next" w:hAnsi="Avenir Next" w:cs="Arial"/>
          <w:i/>
          <w:iCs/>
          <w:sz w:val="22"/>
          <w:szCs w:val="22"/>
          <w:lang w:val="en-GB"/>
        </w:rPr>
        <w:t>Insolvency Law in East Asia</w:t>
      </w:r>
      <w:r w:rsidR="00B13F4F">
        <w:rPr>
          <w:rFonts w:ascii="Avenir Next" w:hAnsi="Avenir Next" w:cs="Arial"/>
          <w:sz w:val="22"/>
          <w:szCs w:val="22"/>
          <w:lang w:val="en-GB"/>
        </w:rPr>
        <w:t xml:space="preserve">, Hampshire, </w:t>
      </w:r>
      <w:proofErr w:type="spellStart"/>
      <w:r w:rsidR="00B13F4F">
        <w:rPr>
          <w:rFonts w:ascii="Avenir Next" w:hAnsi="Avenir Next" w:cs="Arial"/>
          <w:sz w:val="22"/>
          <w:szCs w:val="22"/>
          <w:lang w:val="en-GB"/>
        </w:rPr>
        <w:t>Ashgate</w:t>
      </w:r>
      <w:proofErr w:type="spellEnd"/>
      <w:r w:rsidR="00B13F4F">
        <w:rPr>
          <w:rFonts w:ascii="Avenir Next" w:hAnsi="Avenir Next" w:cs="Arial"/>
          <w:sz w:val="22"/>
          <w:szCs w:val="22"/>
          <w:lang w:val="en-GB"/>
        </w:rPr>
        <w:t xml:space="preserve"> (2006), p 239. </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3CDF3FC6" w:rsidR="00FF0D81"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 the various initiatives undertaken to assist with the resolution of international insolvency issues between North America and Canada and the success or otherwise of these initiatives.</w:t>
      </w:r>
    </w:p>
    <w:p w14:paraId="5B9E5968" w14:textId="64D8D9C0" w:rsidR="00B13F4F" w:rsidRDefault="00B13F4F" w:rsidP="00692852">
      <w:pPr>
        <w:jc w:val="both"/>
        <w:rPr>
          <w:rFonts w:ascii="Avenir Next" w:hAnsi="Avenir Next" w:cs="Arial"/>
          <w:sz w:val="22"/>
          <w:szCs w:val="22"/>
          <w:lang w:val="en-GB"/>
        </w:rPr>
      </w:pPr>
    </w:p>
    <w:p w14:paraId="3B10BE24" w14:textId="1124F7E8" w:rsidR="00AB63DE" w:rsidRDefault="00347490" w:rsidP="00AB63DE">
      <w:pPr>
        <w:ind w:left="720" w:hanging="720"/>
        <w:jc w:val="both"/>
        <w:rPr>
          <w:rFonts w:ascii="Avenir Next" w:hAnsi="Avenir Next" w:cs="Arial"/>
          <w:sz w:val="22"/>
          <w:szCs w:val="22"/>
          <w:lang w:val="en-GB"/>
        </w:rPr>
      </w:pPr>
      <w:r>
        <w:rPr>
          <w:rFonts w:ascii="Avenir Next" w:hAnsi="Avenir Next" w:cs="Arial"/>
          <w:sz w:val="22"/>
          <w:szCs w:val="22"/>
          <w:lang w:val="en-GB"/>
        </w:rPr>
        <w:t>In the 1970s, Canada and the USA attempted to negotiate a bilateral insolvency treaty, but no agreement was reached. Other initiatives undertaken by Canada and the USA have achieved more success, of which I highlight three below.</w:t>
      </w:r>
    </w:p>
    <w:p w14:paraId="74791CA5" w14:textId="654CDEF3" w:rsidR="00347490" w:rsidRDefault="00347490" w:rsidP="00AB63DE">
      <w:pPr>
        <w:ind w:left="720" w:hanging="720"/>
        <w:jc w:val="both"/>
        <w:rPr>
          <w:rFonts w:ascii="Avenir Next" w:hAnsi="Avenir Next" w:cs="Arial"/>
          <w:sz w:val="22"/>
          <w:szCs w:val="22"/>
          <w:lang w:val="en-GB"/>
        </w:rPr>
      </w:pPr>
    </w:p>
    <w:p w14:paraId="3369D205" w14:textId="7D9E6E86" w:rsidR="002E48F1" w:rsidRDefault="00347490" w:rsidP="00AB63DE">
      <w:pPr>
        <w:ind w:left="720" w:hanging="720"/>
        <w:jc w:val="both"/>
        <w:rPr>
          <w:rFonts w:ascii="Avenir Next" w:hAnsi="Avenir Next" w:cs="Arial"/>
          <w:sz w:val="22"/>
          <w:szCs w:val="22"/>
          <w:lang w:val="en-GB"/>
        </w:rPr>
      </w:pPr>
      <w:r>
        <w:rPr>
          <w:rFonts w:ascii="Avenir Next" w:hAnsi="Avenir Next" w:cs="Arial"/>
          <w:sz w:val="22"/>
          <w:szCs w:val="22"/>
          <w:lang w:val="en-GB"/>
        </w:rPr>
        <w:t xml:space="preserve">First, the Principles of Cooperation among the North American Free Trade Agreement Countries (“NAFTA Principles”) were approved in 2000. The NAFTA Principles were a result of efforts by the American Law Institute (“ALI”) to resolve international insolvency issues between the NAFTA countries of the USA, Canada and </w:t>
      </w:r>
      <w:r w:rsidR="00865A93">
        <w:rPr>
          <w:rFonts w:ascii="Avenir Next" w:hAnsi="Avenir Next" w:cs="Arial"/>
          <w:sz w:val="22"/>
          <w:szCs w:val="22"/>
          <w:lang w:val="en-GB"/>
        </w:rPr>
        <w:t>Mexico</w:t>
      </w:r>
      <w:r>
        <w:rPr>
          <w:rFonts w:ascii="Avenir Next" w:hAnsi="Avenir Next" w:cs="Arial"/>
          <w:sz w:val="22"/>
          <w:szCs w:val="22"/>
          <w:lang w:val="en-GB"/>
        </w:rPr>
        <w:t>. The NAFTA Principles</w:t>
      </w:r>
      <w:r w:rsidR="002E48F1">
        <w:rPr>
          <w:rFonts w:ascii="Avenir Next" w:hAnsi="Avenir Next" w:cs="Arial"/>
          <w:sz w:val="22"/>
          <w:szCs w:val="22"/>
          <w:lang w:val="en-GB"/>
        </w:rPr>
        <w:t xml:space="preserve"> provide that the bankruptcy of a debtor in one NAFTA country should be recognised and given effect in the other NAFTA countries. They also </w:t>
      </w:r>
      <w:r>
        <w:rPr>
          <w:rFonts w:ascii="Avenir Next" w:hAnsi="Avenir Next" w:cs="Arial"/>
          <w:sz w:val="22"/>
          <w:szCs w:val="22"/>
          <w:lang w:val="en-GB"/>
        </w:rPr>
        <w:t>recommend</w:t>
      </w:r>
      <w:r w:rsidR="00D161B0">
        <w:rPr>
          <w:rFonts w:ascii="Avenir Next" w:hAnsi="Avenir Next" w:cs="Arial"/>
          <w:sz w:val="22"/>
          <w:szCs w:val="22"/>
          <w:lang w:val="en-GB"/>
        </w:rPr>
        <w:t xml:space="preserve"> </w:t>
      </w:r>
      <w:r>
        <w:rPr>
          <w:rFonts w:ascii="Avenir Next" w:hAnsi="Avenir Next" w:cs="Arial"/>
          <w:sz w:val="22"/>
          <w:szCs w:val="22"/>
          <w:lang w:val="en-GB"/>
        </w:rPr>
        <w:t xml:space="preserve">the adoption of the Model Law on Cross-Border Insolvency (“MLCBI”), which all NAFTA countries have since done so. </w:t>
      </w:r>
    </w:p>
    <w:p w14:paraId="1BAB06B8" w14:textId="77777777" w:rsidR="002E48F1" w:rsidRDefault="002E48F1" w:rsidP="00AB63DE">
      <w:pPr>
        <w:ind w:left="720" w:hanging="720"/>
        <w:jc w:val="both"/>
        <w:rPr>
          <w:rFonts w:ascii="Avenir Next" w:hAnsi="Avenir Next" w:cs="Arial"/>
          <w:sz w:val="22"/>
          <w:szCs w:val="22"/>
          <w:lang w:val="en-GB"/>
        </w:rPr>
      </w:pPr>
    </w:p>
    <w:p w14:paraId="5111F79A" w14:textId="7E2C89DA" w:rsidR="00347490" w:rsidRDefault="002E48F1" w:rsidP="00123123">
      <w:pPr>
        <w:ind w:left="720" w:hanging="720"/>
        <w:jc w:val="both"/>
        <w:rPr>
          <w:rFonts w:ascii="Avenir Next" w:hAnsi="Avenir Next" w:cs="Arial"/>
          <w:sz w:val="22"/>
          <w:szCs w:val="22"/>
          <w:lang w:val="en-GB"/>
        </w:rPr>
      </w:pPr>
      <w:r>
        <w:rPr>
          <w:rFonts w:ascii="Avenir Next" w:hAnsi="Avenir Next" w:cs="Arial"/>
          <w:sz w:val="22"/>
          <w:szCs w:val="22"/>
          <w:lang w:val="en-GB"/>
        </w:rPr>
        <w:t xml:space="preserve">Second, </w:t>
      </w:r>
      <w:r w:rsidR="00D308D3">
        <w:rPr>
          <w:rFonts w:ascii="Avenir Next" w:hAnsi="Avenir Next" w:cs="Arial"/>
          <w:sz w:val="22"/>
          <w:szCs w:val="22"/>
          <w:lang w:val="en-GB"/>
        </w:rPr>
        <w:t xml:space="preserve">the ALI also finalised the ALI NAFTA Guidelines Applicable to Court-to-Court Communications in Cross-Border Cases in 2001 (the “Court-to-Court Guidelines”), which applies to international </w:t>
      </w:r>
      <w:r w:rsidR="00D308D3">
        <w:rPr>
          <w:rFonts w:ascii="Avenir Next" w:hAnsi="Avenir Next" w:cs="Arial"/>
          <w:sz w:val="22"/>
          <w:szCs w:val="22"/>
          <w:lang w:val="en-GB"/>
        </w:rPr>
        <w:lastRenderedPageBreak/>
        <w:t>insolvencies involving the NAFTA countries. The Court-to-Court Guidelines complement the MLCBI,</w:t>
      </w:r>
      <w:r w:rsidR="00D308D3">
        <w:rPr>
          <w:rStyle w:val="FootnoteReference"/>
          <w:rFonts w:ascii="Avenir Next" w:hAnsi="Avenir Next" w:cs="Arial"/>
          <w:sz w:val="22"/>
          <w:szCs w:val="22"/>
          <w:lang w:val="en-GB"/>
        </w:rPr>
        <w:footnoteReference w:id="2"/>
      </w:r>
      <w:r w:rsidR="00D308D3">
        <w:rPr>
          <w:rFonts w:ascii="Avenir Next" w:hAnsi="Avenir Next" w:cs="Arial"/>
          <w:sz w:val="22"/>
          <w:szCs w:val="22"/>
          <w:lang w:val="en-GB"/>
        </w:rPr>
        <w:t xml:space="preserve"> which obliges local courts and insolvency representatives to cooperate with foreign courts or representatives in an international insolvency. </w:t>
      </w:r>
      <w:r w:rsidR="00123123">
        <w:rPr>
          <w:rFonts w:ascii="Avenir Next" w:hAnsi="Avenir Next" w:cs="Arial"/>
          <w:sz w:val="22"/>
          <w:szCs w:val="22"/>
          <w:lang w:val="en-GB"/>
        </w:rPr>
        <w:t>I suggest that the success of the Court-to-Court Guidelines i</w:t>
      </w:r>
      <w:r w:rsidR="00D161B0">
        <w:rPr>
          <w:rFonts w:ascii="Avenir Next" w:hAnsi="Avenir Next" w:cs="Arial"/>
          <w:sz w:val="22"/>
          <w:szCs w:val="22"/>
          <w:lang w:val="en-GB"/>
        </w:rPr>
        <w:t>s</w:t>
      </w:r>
      <w:r w:rsidR="00123123">
        <w:rPr>
          <w:rFonts w:ascii="Avenir Next" w:hAnsi="Avenir Next" w:cs="Arial"/>
          <w:sz w:val="22"/>
          <w:szCs w:val="22"/>
          <w:lang w:val="en-GB"/>
        </w:rPr>
        <w:t xml:space="preserve"> indicated by the fact that the ALI subsequently led another project to consider the application of the Court-to-Court Guidelines globally, which resulted in the </w:t>
      </w:r>
      <w:r w:rsidR="00123123" w:rsidRPr="00123123">
        <w:rPr>
          <w:rFonts w:ascii="Avenir Next" w:hAnsi="Avenir Next" w:cs="Arial"/>
          <w:sz w:val="22"/>
          <w:szCs w:val="22"/>
          <w:lang w:val="en-GB"/>
        </w:rPr>
        <w:t>ALI - III Global Principles for Cooperation in International Insolvency Cases and</w:t>
      </w:r>
      <w:r w:rsidR="00123123">
        <w:rPr>
          <w:rFonts w:ascii="Avenir Next" w:hAnsi="Avenir Next" w:cs="Arial"/>
          <w:sz w:val="22"/>
          <w:szCs w:val="22"/>
          <w:lang w:val="en-GB"/>
        </w:rPr>
        <w:t xml:space="preserve"> </w:t>
      </w:r>
      <w:r w:rsidR="00123123" w:rsidRPr="00123123">
        <w:rPr>
          <w:rFonts w:ascii="Avenir Next" w:hAnsi="Avenir Next" w:cs="Arial"/>
          <w:sz w:val="22"/>
          <w:szCs w:val="22"/>
          <w:lang w:val="en-GB"/>
        </w:rPr>
        <w:t>Global Guidelines Applicable to Court-to-Court Communication in Cross-Border Cases</w:t>
      </w:r>
      <w:r w:rsidR="00123123">
        <w:rPr>
          <w:rFonts w:ascii="Avenir Next" w:hAnsi="Avenir Next" w:cs="Arial"/>
          <w:sz w:val="22"/>
          <w:szCs w:val="22"/>
          <w:lang w:val="en-GB"/>
        </w:rPr>
        <w:t xml:space="preserve"> </w:t>
      </w:r>
      <w:r w:rsidR="00123123" w:rsidRPr="00123123">
        <w:rPr>
          <w:rFonts w:ascii="Avenir Next" w:hAnsi="Avenir Next" w:cs="Arial"/>
          <w:sz w:val="22"/>
          <w:szCs w:val="22"/>
          <w:lang w:val="en-GB"/>
        </w:rPr>
        <w:t>(2012).</w:t>
      </w:r>
    </w:p>
    <w:p w14:paraId="51A707C5" w14:textId="0FE2023C" w:rsidR="00123123" w:rsidRDefault="00123123" w:rsidP="00123123">
      <w:pPr>
        <w:ind w:left="720" w:hanging="720"/>
        <w:jc w:val="both"/>
        <w:rPr>
          <w:rFonts w:ascii="Avenir Next" w:hAnsi="Avenir Next" w:cs="Arial"/>
          <w:sz w:val="22"/>
          <w:szCs w:val="22"/>
          <w:lang w:val="en-GB"/>
        </w:rPr>
      </w:pPr>
    </w:p>
    <w:p w14:paraId="6C7C8053" w14:textId="5F47BDE7" w:rsidR="00123123" w:rsidRPr="00123123" w:rsidRDefault="00123123" w:rsidP="00123123">
      <w:pPr>
        <w:ind w:left="720" w:hanging="720"/>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 xml:space="preserve">Third, USA and Canadian courts have co-operated to agree on protocol to facilitate cross-border communication in certain insolvency cases. One key example is the </w:t>
      </w:r>
      <w:r>
        <w:rPr>
          <w:rFonts w:ascii="Avenir Next" w:hAnsi="Avenir Next" w:cs="Arial"/>
          <w:i/>
          <w:iCs/>
          <w:sz w:val="22"/>
          <w:szCs w:val="22"/>
          <w:lang w:val="en-GB"/>
        </w:rPr>
        <w:t xml:space="preserve">Nortel Networks </w:t>
      </w:r>
      <w:r>
        <w:rPr>
          <w:rFonts w:ascii="Avenir Next" w:hAnsi="Avenir Next" w:cs="Arial"/>
          <w:sz w:val="22"/>
          <w:szCs w:val="22"/>
          <w:lang w:val="en-GB"/>
        </w:rPr>
        <w:t>case,</w:t>
      </w:r>
      <w:r w:rsidR="00D161B0">
        <w:rPr>
          <w:rStyle w:val="FootnoteReference"/>
          <w:rFonts w:ascii="Avenir Next" w:hAnsi="Avenir Next" w:cs="Arial"/>
          <w:sz w:val="22"/>
          <w:szCs w:val="22"/>
          <w:lang w:val="en-GB"/>
        </w:rPr>
        <w:footnoteReference w:id="3"/>
      </w:r>
      <w:r>
        <w:rPr>
          <w:rFonts w:ascii="Avenir Next" w:hAnsi="Avenir Next" w:cs="Arial"/>
          <w:sz w:val="22"/>
          <w:szCs w:val="22"/>
          <w:lang w:val="en-GB"/>
        </w:rPr>
        <w:t xml:space="preserve"> </w:t>
      </w:r>
      <w:r w:rsidR="00D161B0">
        <w:rPr>
          <w:rFonts w:ascii="Avenir Next" w:hAnsi="Avenir Next" w:cs="Arial"/>
          <w:sz w:val="22"/>
          <w:szCs w:val="22"/>
          <w:lang w:val="en-GB"/>
        </w:rPr>
        <w:t xml:space="preserve">which involved a joint electronic trial via video-link in the Ontario Court of Justice (Commercial List) and the US Bankruptcy Court for the District of Delaware. </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46340F91" w14:textId="5646008C" w:rsidR="009E4E52"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w:t>
      </w:r>
      <w:r w:rsidR="00092378" w:rsidRPr="00222E91">
        <w:rPr>
          <w:rFonts w:ascii="Avenir Next" w:hAnsi="Avenir Next" w:cs="Arial"/>
          <w:sz w:val="22"/>
          <w:szCs w:val="22"/>
          <w:lang w:val="en-GB"/>
        </w:rPr>
        <w:t>mes differ vastly. Discuss the possible historical reasons for the difference in approaches regarding the treatment of voidable dispositions</w:t>
      </w:r>
      <w:r w:rsidR="007B5F0B" w:rsidRPr="00222E91">
        <w:rPr>
          <w:rFonts w:ascii="Avenir Next" w:hAnsi="Avenir Next" w:cs="Arial"/>
          <w:sz w:val="22"/>
          <w:szCs w:val="22"/>
          <w:lang w:val="en-GB"/>
        </w:rPr>
        <w:t>,</w:t>
      </w:r>
      <w:r w:rsidR="00092378" w:rsidRPr="00222E91">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5B38784A" w:rsidR="008E3ADC" w:rsidRDefault="008E3ADC" w:rsidP="00692852">
      <w:pPr>
        <w:jc w:val="both"/>
        <w:rPr>
          <w:rFonts w:ascii="Avenir Next" w:hAnsi="Avenir Next" w:cs="Arial"/>
          <w:sz w:val="22"/>
          <w:szCs w:val="22"/>
          <w:lang w:val="en-GB"/>
        </w:rPr>
      </w:pPr>
    </w:p>
    <w:p w14:paraId="66446FAE" w14:textId="6074CC45" w:rsidR="009E4E52" w:rsidRDefault="009E4E52" w:rsidP="00AB63DE">
      <w:pPr>
        <w:ind w:left="720" w:hanging="720"/>
        <w:jc w:val="both"/>
        <w:rPr>
          <w:rFonts w:ascii="Avenir Next" w:hAnsi="Avenir Next" w:cs="Arial"/>
          <w:sz w:val="22"/>
          <w:szCs w:val="22"/>
          <w:lang w:val="en-GB"/>
        </w:rPr>
      </w:pPr>
      <w:r>
        <w:rPr>
          <w:rFonts w:ascii="Avenir Next" w:hAnsi="Avenir Next" w:cs="Arial"/>
          <w:sz w:val="22"/>
          <w:szCs w:val="22"/>
          <w:lang w:val="en-GB"/>
        </w:rPr>
        <w:t xml:space="preserve">Voidable dispositions can generally be characterised as either fraudulent conveyances or preferences. A fraudulent conveyance </w:t>
      </w:r>
      <w:r w:rsidR="00FA0BFE">
        <w:rPr>
          <w:rFonts w:ascii="Avenir Next" w:hAnsi="Avenir Next" w:cs="Arial"/>
          <w:sz w:val="22"/>
          <w:szCs w:val="22"/>
          <w:lang w:val="en-GB"/>
        </w:rPr>
        <w:t>refers to a disposition of property by the debtor, at either an undervalue or for nothing in return, which causes or worsens the debtor’s insolvency. A preference refers to settling a pre-existing debt with a creditor, or giving a creditor security for a previously unsecured debt, which thus improves the creditor’s position vis-à-vis other creditors.</w:t>
      </w:r>
    </w:p>
    <w:p w14:paraId="62198D73" w14:textId="77777777" w:rsidR="00FA0BFE" w:rsidRDefault="00FA0BFE" w:rsidP="00AB63DE">
      <w:pPr>
        <w:ind w:left="720" w:hanging="720"/>
        <w:jc w:val="both"/>
        <w:rPr>
          <w:rFonts w:ascii="Avenir Next" w:hAnsi="Avenir Next" w:cs="Arial"/>
          <w:sz w:val="22"/>
          <w:szCs w:val="22"/>
          <w:lang w:val="en-GB"/>
        </w:rPr>
      </w:pPr>
    </w:p>
    <w:p w14:paraId="43768720" w14:textId="016A60EF" w:rsidR="00AB63DE" w:rsidRDefault="00FA0BFE" w:rsidP="00AB63DE">
      <w:pPr>
        <w:ind w:left="720" w:hanging="720"/>
        <w:jc w:val="both"/>
        <w:rPr>
          <w:rFonts w:ascii="Avenir Next" w:hAnsi="Avenir Next" w:cs="Arial"/>
          <w:sz w:val="22"/>
          <w:szCs w:val="22"/>
          <w:lang w:val="en-GB"/>
        </w:rPr>
      </w:pPr>
      <w:r>
        <w:rPr>
          <w:rFonts w:ascii="Avenir Next" w:hAnsi="Avenir Next" w:cs="Arial"/>
          <w:sz w:val="22"/>
          <w:szCs w:val="22"/>
          <w:lang w:val="en-GB"/>
        </w:rPr>
        <w:t xml:space="preserve">Different jurisdictions tend to have different criteria for when a transaction qualifies as a voidable disposition. </w:t>
      </w:r>
      <w:r w:rsidR="009E4E52" w:rsidRPr="009E4E52">
        <w:rPr>
          <w:rFonts w:ascii="Avenir Next" w:hAnsi="Avenir Next" w:cs="Arial"/>
          <w:sz w:val="22"/>
          <w:szCs w:val="22"/>
          <w:lang w:val="en-GB"/>
        </w:rPr>
        <w:t>Th</w:t>
      </w:r>
      <w:r>
        <w:rPr>
          <w:rFonts w:ascii="Avenir Next" w:hAnsi="Avenir Next" w:cs="Arial"/>
          <w:sz w:val="22"/>
          <w:szCs w:val="22"/>
          <w:lang w:val="en-GB"/>
        </w:rPr>
        <w:t>is</w:t>
      </w:r>
      <w:r w:rsidR="009E4E52" w:rsidRPr="009E4E52">
        <w:rPr>
          <w:rFonts w:ascii="Avenir Next" w:hAnsi="Avenir Next" w:cs="Arial"/>
          <w:sz w:val="22"/>
          <w:szCs w:val="22"/>
          <w:lang w:val="en-GB"/>
        </w:rPr>
        <w:t xml:space="preserve"> </w:t>
      </w:r>
      <w:r w:rsidR="009E4E52">
        <w:rPr>
          <w:rFonts w:ascii="Avenir Next" w:hAnsi="Avenir Next" w:cs="Arial"/>
          <w:sz w:val="22"/>
          <w:szCs w:val="22"/>
          <w:lang w:val="en-GB"/>
        </w:rPr>
        <w:t>difference in approach</w:t>
      </w:r>
      <w:r>
        <w:rPr>
          <w:rFonts w:ascii="Avenir Next" w:hAnsi="Avenir Next" w:cs="Arial"/>
          <w:sz w:val="22"/>
          <w:szCs w:val="22"/>
          <w:lang w:val="en-GB"/>
        </w:rPr>
        <w:t xml:space="preserve"> </w:t>
      </w:r>
      <w:r w:rsidR="009E4E52">
        <w:rPr>
          <w:rFonts w:ascii="Avenir Next" w:hAnsi="Avenir Next" w:cs="Arial"/>
          <w:sz w:val="22"/>
          <w:szCs w:val="22"/>
          <w:lang w:val="en-GB"/>
        </w:rPr>
        <w:t xml:space="preserve">may be attributed to the fact that some countries have a civil law tradition while others have a common law tradition. In civil law systems, the basis of fraudulent conveyance law was </w:t>
      </w:r>
      <w:proofErr w:type="spellStart"/>
      <w:r w:rsidR="009E4E52">
        <w:rPr>
          <w:rFonts w:ascii="Avenir Next" w:hAnsi="Avenir Next" w:cs="Arial"/>
          <w:i/>
          <w:iCs/>
          <w:sz w:val="22"/>
          <w:szCs w:val="22"/>
          <w:lang w:val="en-GB"/>
        </w:rPr>
        <w:t>actio</w:t>
      </w:r>
      <w:proofErr w:type="spellEnd"/>
      <w:r w:rsidR="009E4E52">
        <w:rPr>
          <w:rFonts w:ascii="Avenir Next" w:hAnsi="Avenir Next" w:cs="Arial"/>
          <w:i/>
          <w:iCs/>
          <w:sz w:val="22"/>
          <w:szCs w:val="22"/>
          <w:lang w:val="en-GB"/>
        </w:rPr>
        <w:t xml:space="preserve"> </w:t>
      </w:r>
      <w:proofErr w:type="spellStart"/>
      <w:r w:rsidR="009E4E52">
        <w:rPr>
          <w:rFonts w:ascii="Avenir Next" w:hAnsi="Avenir Next" w:cs="Arial"/>
          <w:i/>
          <w:iCs/>
          <w:sz w:val="22"/>
          <w:szCs w:val="22"/>
          <w:lang w:val="en-GB"/>
        </w:rPr>
        <w:t>Pauliana</w:t>
      </w:r>
      <w:proofErr w:type="spellEnd"/>
      <w:r w:rsidR="009E4E52">
        <w:rPr>
          <w:rFonts w:ascii="Avenir Next" w:hAnsi="Avenir Next" w:cs="Arial"/>
          <w:sz w:val="22"/>
          <w:szCs w:val="22"/>
          <w:lang w:val="en-GB"/>
        </w:rPr>
        <w:t xml:space="preserve">, </w:t>
      </w:r>
      <w:r>
        <w:rPr>
          <w:rFonts w:ascii="Avenir Next" w:hAnsi="Avenir Next" w:cs="Arial"/>
          <w:sz w:val="22"/>
          <w:szCs w:val="22"/>
          <w:lang w:val="en-GB"/>
        </w:rPr>
        <w:t>whereas in English law, the basis of fraudulent conveyance law was the Act of Elizabeth of 1570.</w:t>
      </w:r>
      <w:r w:rsidR="009E4E52">
        <w:rPr>
          <w:rFonts w:ascii="Avenir Next" w:hAnsi="Avenir Next" w:cs="Arial"/>
          <w:sz w:val="22"/>
          <w:szCs w:val="22"/>
          <w:lang w:val="en-GB"/>
        </w:rPr>
        <w:t xml:space="preserve"> </w:t>
      </w:r>
      <w:r>
        <w:rPr>
          <w:rFonts w:ascii="Avenir Next" w:hAnsi="Avenir Next" w:cs="Arial"/>
          <w:sz w:val="22"/>
          <w:szCs w:val="22"/>
          <w:lang w:val="en-GB"/>
        </w:rPr>
        <w:t xml:space="preserve">In countries with civil law systems, </w:t>
      </w:r>
      <w:r w:rsidR="00222E91">
        <w:rPr>
          <w:rFonts w:ascii="Avenir Next" w:hAnsi="Avenir Next" w:cs="Arial"/>
          <w:sz w:val="22"/>
          <w:szCs w:val="22"/>
          <w:lang w:val="en-GB"/>
        </w:rPr>
        <w:t xml:space="preserve">modern </w:t>
      </w:r>
      <w:r>
        <w:rPr>
          <w:rFonts w:ascii="Avenir Next" w:hAnsi="Avenir Next" w:cs="Arial"/>
          <w:sz w:val="22"/>
          <w:szCs w:val="22"/>
          <w:lang w:val="en-GB"/>
        </w:rPr>
        <w:t xml:space="preserve">insolvency laws on voidable dispositions are thus likely to be modelled after </w:t>
      </w:r>
      <w:proofErr w:type="spellStart"/>
      <w:r>
        <w:rPr>
          <w:rFonts w:ascii="Avenir Next" w:hAnsi="Avenir Next" w:cs="Arial"/>
          <w:i/>
          <w:iCs/>
          <w:sz w:val="22"/>
          <w:szCs w:val="22"/>
          <w:lang w:val="en-GB"/>
        </w:rPr>
        <w:t>actio</w:t>
      </w:r>
      <w:proofErr w:type="spellEnd"/>
      <w:r>
        <w:rPr>
          <w:rFonts w:ascii="Avenir Next" w:hAnsi="Avenir Next" w:cs="Arial"/>
          <w:i/>
          <w:iCs/>
          <w:sz w:val="22"/>
          <w:szCs w:val="22"/>
          <w:lang w:val="en-GB"/>
        </w:rPr>
        <w:t xml:space="preserve"> </w:t>
      </w:r>
      <w:proofErr w:type="spellStart"/>
      <w:r>
        <w:rPr>
          <w:rFonts w:ascii="Avenir Next" w:hAnsi="Avenir Next" w:cs="Arial"/>
          <w:i/>
          <w:iCs/>
          <w:sz w:val="22"/>
          <w:szCs w:val="22"/>
          <w:lang w:val="en-GB"/>
        </w:rPr>
        <w:t>Pauliana</w:t>
      </w:r>
      <w:proofErr w:type="spellEnd"/>
      <w:r>
        <w:rPr>
          <w:rFonts w:ascii="Avenir Next" w:hAnsi="Avenir Next" w:cs="Arial"/>
          <w:i/>
          <w:iCs/>
          <w:sz w:val="22"/>
          <w:szCs w:val="22"/>
          <w:lang w:val="en-GB"/>
        </w:rPr>
        <w:t xml:space="preserve"> </w:t>
      </w:r>
      <w:r>
        <w:rPr>
          <w:rFonts w:ascii="Avenir Next" w:hAnsi="Avenir Next" w:cs="Arial"/>
          <w:sz w:val="22"/>
          <w:szCs w:val="22"/>
          <w:lang w:val="en-GB"/>
        </w:rPr>
        <w:t xml:space="preserve">to some extent, whereas common law systems are more likely to </w:t>
      </w:r>
      <w:r w:rsidR="00222E91">
        <w:rPr>
          <w:rFonts w:ascii="Avenir Next" w:hAnsi="Avenir Next" w:cs="Arial"/>
          <w:sz w:val="22"/>
          <w:szCs w:val="22"/>
          <w:lang w:val="en-GB"/>
        </w:rPr>
        <w:t>follow English law on voidable dispositions.</w:t>
      </w:r>
    </w:p>
    <w:p w14:paraId="69156EA3" w14:textId="76425DCC" w:rsidR="00222E91" w:rsidRDefault="00222E91" w:rsidP="00AB63DE">
      <w:pPr>
        <w:ind w:left="720" w:hanging="720"/>
        <w:jc w:val="both"/>
        <w:rPr>
          <w:rFonts w:ascii="Avenir Next" w:hAnsi="Avenir Next" w:cs="Arial"/>
          <w:sz w:val="22"/>
          <w:szCs w:val="22"/>
          <w:lang w:val="en-GB"/>
        </w:rPr>
      </w:pPr>
    </w:p>
    <w:p w14:paraId="6B1546B4" w14:textId="4202F561" w:rsidR="00222E91" w:rsidRDefault="00222E91" w:rsidP="00AB63DE">
      <w:pPr>
        <w:ind w:left="720" w:hanging="720"/>
        <w:jc w:val="both"/>
        <w:rPr>
          <w:rFonts w:ascii="Avenir Next" w:hAnsi="Avenir Next" w:cs="Arial"/>
          <w:sz w:val="22"/>
          <w:szCs w:val="22"/>
          <w:lang w:val="en-GB"/>
        </w:rPr>
      </w:pPr>
      <w:r>
        <w:rPr>
          <w:rFonts w:ascii="Avenir Next" w:hAnsi="Avenir Next" w:cs="Arial"/>
          <w:sz w:val="22"/>
          <w:szCs w:val="22"/>
          <w:lang w:val="en-GB"/>
        </w:rPr>
        <w:t xml:space="preserve">Another difference between civil law and common law systems is that floating charges are recognised under common law, but not civil law. Avoidance of certain floating charges may thus constitute one type of voidable disposition in common law jurisdictions (see </w:t>
      </w:r>
      <w:proofErr w:type="spellStart"/>
      <w:r>
        <w:rPr>
          <w:rFonts w:ascii="Avenir Next" w:hAnsi="Avenir Next" w:cs="Arial"/>
          <w:i/>
          <w:iCs/>
          <w:sz w:val="22"/>
          <w:szCs w:val="22"/>
          <w:lang w:val="en-GB"/>
        </w:rPr>
        <w:t>eg</w:t>
      </w:r>
      <w:proofErr w:type="spellEnd"/>
      <w:r>
        <w:rPr>
          <w:rFonts w:ascii="Avenir Next" w:hAnsi="Avenir Next" w:cs="Arial"/>
          <w:sz w:val="22"/>
          <w:szCs w:val="22"/>
          <w:lang w:val="en-GB"/>
        </w:rPr>
        <w:t>, s 245 of the UK Insolvency Act 1986) but would not exist in civil law jurisdictions.</w:t>
      </w:r>
    </w:p>
    <w:p w14:paraId="068C56E5" w14:textId="77777777" w:rsidR="00865A93" w:rsidRDefault="00865A93" w:rsidP="00AB63DE">
      <w:pPr>
        <w:ind w:left="720" w:hanging="720"/>
        <w:jc w:val="both"/>
        <w:rPr>
          <w:rFonts w:ascii="Avenir Next" w:hAnsi="Avenir Next" w:cs="Arial"/>
          <w:sz w:val="22"/>
          <w:szCs w:val="22"/>
          <w:lang w:val="en-GB"/>
        </w:rPr>
      </w:pPr>
    </w:p>
    <w:p w14:paraId="1AD84BFC" w14:textId="56AC46FE" w:rsidR="00222E91" w:rsidRPr="00222E91" w:rsidRDefault="00222E91" w:rsidP="00AB63DE">
      <w:pPr>
        <w:ind w:left="720" w:hanging="720"/>
        <w:jc w:val="both"/>
        <w:rPr>
          <w:rFonts w:ascii="Avenir Next" w:hAnsi="Avenir Next" w:cs="Arial"/>
          <w:sz w:val="22"/>
          <w:szCs w:val="22"/>
          <w:lang w:val="en-GB"/>
        </w:rPr>
      </w:pPr>
      <w:r>
        <w:rPr>
          <w:rFonts w:ascii="Avenir Next" w:hAnsi="Avenir Next" w:cs="Arial"/>
          <w:sz w:val="22"/>
          <w:szCs w:val="22"/>
          <w:lang w:val="en-GB"/>
        </w:rPr>
        <w:t xml:space="preserve">Given that it is a generally accepted principle in insolvency law that collective action is more efficient in maximising assets available to creditors, rules on voidable dispositions preserve the integrity of the debtor’s estate and ensure that creditors receive a fair allocation of the </w:t>
      </w:r>
      <w:r>
        <w:rPr>
          <w:rFonts w:ascii="Avenir Next" w:hAnsi="Avenir Next" w:cs="Arial"/>
          <w:sz w:val="22"/>
          <w:szCs w:val="22"/>
          <w:lang w:val="en-GB"/>
        </w:rPr>
        <w:lastRenderedPageBreak/>
        <w:t>debtor’s assets.</w:t>
      </w:r>
      <w:r>
        <w:rPr>
          <w:rStyle w:val="FootnoteReference"/>
          <w:rFonts w:ascii="Avenir Next" w:hAnsi="Avenir Next" w:cs="Arial"/>
          <w:sz w:val="22"/>
          <w:szCs w:val="22"/>
          <w:lang w:val="en-GB"/>
        </w:rPr>
        <w:footnoteReference w:id="4"/>
      </w:r>
      <w:r>
        <w:rPr>
          <w:rFonts w:ascii="Avenir Next" w:hAnsi="Avenir Next" w:cs="Arial"/>
          <w:sz w:val="22"/>
          <w:szCs w:val="22"/>
          <w:lang w:val="en-GB"/>
        </w:rPr>
        <w:t xml:space="preserve">  Rules on voidable dispositions may also deter creditors from pursuing individual remedies in the lead-up to the commencement of insolvency proceedings, as they know that their transactions may be voided. Voidable dispositions can generally prevent (or reverse) fraud, prevent favouritism among creditors, and prevent a sudden drop in the assets </w:t>
      </w:r>
      <w:r w:rsidR="006558BB">
        <w:rPr>
          <w:rFonts w:ascii="Avenir Next" w:hAnsi="Avenir Next" w:cs="Arial"/>
          <w:sz w:val="22"/>
          <w:szCs w:val="22"/>
          <w:lang w:val="en-GB"/>
        </w:rPr>
        <w:t>of the debtor. The rules on voidable dispositions may also incentivise creditors to opt for out-of-court settlements or alternative arrangements, since any transfers of assets shortly prior to insolvency may be at risk of being voided.</w:t>
      </w:r>
    </w:p>
    <w:p w14:paraId="33564F67" w14:textId="77777777" w:rsidR="00FA0BFE" w:rsidRPr="00FA0BFE" w:rsidRDefault="00FA0BFE" w:rsidP="00AB63DE">
      <w:pPr>
        <w:ind w:left="720" w:hanging="720"/>
        <w:jc w:val="both"/>
        <w:rPr>
          <w:rFonts w:ascii="Avenir Next" w:hAnsi="Avenir Next" w:cs="Arial"/>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 xml:space="preserve">]s commonly described in international literature as a body of rules concerning certain insolvency proceedings or measures, </w:t>
      </w:r>
      <w:r w:rsidRPr="00474EB4">
        <w:rPr>
          <w:rFonts w:ascii="Avenir Next" w:hAnsi="Avenir Next" w:cs="Arial"/>
          <w:sz w:val="22"/>
          <w:szCs w:val="22"/>
        </w:rPr>
        <w:t>which cannot be fully enforced, because the applicable law cannot</w:t>
      </w:r>
      <w:r w:rsidRPr="004216EA">
        <w:rPr>
          <w:rFonts w:ascii="Avenir Next" w:hAnsi="Avenir Next" w:cs="Arial"/>
          <w:sz w:val="22"/>
          <w:szCs w:val="22"/>
        </w:rPr>
        <w:t xml:space="preserve">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6CB86DAD" w14:textId="050979E1" w:rsidR="003C3CED" w:rsidRDefault="006558BB" w:rsidP="001E1C34">
      <w:pPr>
        <w:ind w:left="720" w:hanging="720"/>
        <w:jc w:val="both"/>
        <w:rPr>
          <w:rFonts w:ascii="Avenir Next" w:hAnsi="Avenir Next" w:cs="Arial"/>
          <w:sz w:val="22"/>
          <w:szCs w:val="22"/>
          <w:lang w:val="en-GB"/>
        </w:rPr>
      </w:pPr>
      <w:r w:rsidRPr="006558BB">
        <w:rPr>
          <w:rFonts w:ascii="Avenir Next" w:hAnsi="Avenir Next" w:cs="Arial"/>
          <w:sz w:val="22"/>
          <w:szCs w:val="22"/>
          <w:lang w:val="en-GB"/>
        </w:rPr>
        <w:t xml:space="preserve">The limitation of </w:t>
      </w:r>
      <w:proofErr w:type="spellStart"/>
      <w:r w:rsidRPr="006558BB">
        <w:rPr>
          <w:rFonts w:ascii="Avenir Next" w:hAnsi="Avenir Next" w:cs="Arial"/>
          <w:sz w:val="22"/>
          <w:szCs w:val="22"/>
          <w:lang w:val="en-GB"/>
        </w:rPr>
        <w:t>Wess</w:t>
      </w:r>
      <w:r>
        <w:rPr>
          <w:rFonts w:ascii="Avenir Next" w:hAnsi="Avenir Next" w:cs="Arial"/>
          <w:sz w:val="22"/>
          <w:szCs w:val="22"/>
          <w:lang w:val="en-GB"/>
        </w:rPr>
        <w:t>el</w:t>
      </w:r>
      <w:r w:rsidRPr="006558BB">
        <w:rPr>
          <w:rFonts w:ascii="Avenir Next" w:hAnsi="Avenir Next" w:cs="Arial"/>
          <w:sz w:val="22"/>
          <w:szCs w:val="22"/>
          <w:lang w:val="en-GB"/>
        </w:rPr>
        <w:t>s</w:t>
      </w:r>
      <w:proofErr w:type="spellEnd"/>
      <w:r>
        <w:rPr>
          <w:rFonts w:ascii="Avenir Next" w:hAnsi="Avenir Next" w:cs="Arial"/>
          <w:sz w:val="22"/>
          <w:szCs w:val="22"/>
          <w:lang w:val="en-GB"/>
        </w:rPr>
        <w:t>’</w:t>
      </w:r>
      <w:r w:rsidRPr="006558BB">
        <w:rPr>
          <w:rFonts w:ascii="Avenir Next" w:hAnsi="Avenir Next" w:cs="Arial"/>
          <w:sz w:val="22"/>
          <w:szCs w:val="22"/>
          <w:lang w:val="en-GB"/>
        </w:rPr>
        <w:t xml:space="preserve"> definition is that it is connected to the existence of a national legal framework of insolvency law. </w:t>
      </w:r>
      <w:r w:rsidR="00745878">
        <w:rPr>
          <w:rFonts w:ascii="Avenir Next" w:hAnsi="Avenir Next" w:cs="Arial"/>
          <w:sz w:val="22"/>
          <w:szCs w:val="22"/>
          <w:lang w:val="en-GB"/>
        </w:rPr>
        <w:t xml:space="preserve">In other words, </w:t>
      </w:r>
      <w:proofErr w:type="spellStart"/>
      <w:r w:rsidR="00745878">
        <w:rPr>
          <w:rFonts w:ascii="Avenir Next" w:hAnsi="Avenir Next" w:cs="Arial"/>
          <w:sz w:val="22"/>
          <w:szCs w:val="22"/>
          <w:lang w:val="en-GB"/>
        </w:rPr>
        <w:t>Wessels</w:t>
      </w:r>
      <w:proofErr w:type="spellEnd"/>
      <w:r w:rsidR="00745878">
        <w:rPr>
          <w:rFonts w:ascii="Avenir Next" w:hAnsi="Avenir Next" w:cs="Arial"/>
          <w:sz w:val="22"/>
          <w:szCs w:val="22"/>
          <w:lang w:val="en-GB"/>
        </w:rPr>
        <w:t>’ definition places a narrow focus on the specific domestic provisions under which insolvency proceedings are commenced (</w:t>
      </w:r>
      <w:proofErr w:type="spellStart"/>
      <w:r w:rsidR="00745878">
        <w:rPr>
          <w:rFonts w:ascii="Avenir Next" w:hAnsi="Avenir Next" w:cs="Arial"/>
          <w:i/>
          <w:iCs/>
          <w:sz w:val="22"/>
          <w:szCs w:val="22"/>
          <w:lang w:val="en-GB"/>
        </w:rPr>
        <w:t>eg</w:t>
      </w:r>
      <w:proofErr w:type="spellEnd"/>
      <w:r w:rsidR="00745878">
        <w:rPr>
          <w:rFonts w:ascii="Avenir Next" w:hAnsi="Avenir Next" w:cs="Arial"/>
          <w:sz w:val="22"/>
          <w:szCs w:val="22"/>
          <w:lang w:val="en-GB"/>
        </w:rPr>
        <w:t xml:space="preserve">, the specific provision that stipulates the requirements for commencing the winding-up of a company), and how those provisions may apply to insolvencies with an international element. His definition therefore glosses over other important sources of international insolvency </w:t>
      </w:r>
      <w:proofErr w:type="gramStart"/>
      <w:r w:rsidR="00745878">
        <w:rPr>
          <w:rFonts w:ascii="Avenir Next" w:hAnsi="Avenir Next" w:cs="Arial"/>
          <w:sz w:val="22"/>
          <w:szCs w:val="22"/>
          <w:lang w:val="en-GB"/>
        </w:rPr>
        <w:t>law,</w:t>
      </w:r>
      <w:proofErr w:type="gramEnd"/>
      <w:r w:rsidR="00745878">
        <w:rPr>
          <w:rFonts w:ascii="Avenir Next" w:hAnsi="Avenir Next" w:cs="Arial"/>
          <w:sz w:val="22"/>
          <w:szCs w:val="22"/>
          <w:lang w:val="en-GB"/>
        </w:rPr>
        <w:t xml:space="preserve"> of which I highlight three:</w:t>
      </w:r>
    </w:p>
    <w:p w14:paraId="6174DE90" w14:textId="64D67EC4" w:rsidR="00440AA0" w:rsidRDefault="00745878" w:rsidP="00745878">
      <w:pPr>
        <w:pStyle w:val="ListParagraph"/>
        <w:numPr>
          <w:ilvl w:val="0"/>
          <w:numId w:val="26"/>
        </w:numPr>
        <w:jc w:val="both"/>
        <w:rPr>
          <w:rFonts w:ascii="Avenir Next" w:hAnsi="Avenir Next" w:cs="Arial"/>
          <w:sz w:val="22"/>
          <w:szCs w:val="22"/>
          <w:lang w:val="en-GB"/>
        </w:rPr>
      </w:pPr>
      <w:r>
        <w:rPr>
          <w:rFonts w:ascii="Avenir Next" w:hAnsi="Avenir Next" w:cs="Arial"/>
          <w:b/>
          <w:bCs/>
          <w:sz w:val="22"/>
          <w:szCs w:val="22"/>
          <w:lang w:val="en-GB"/>
        </w:rPr>
        <w:t>“Hard” law in the form of international conventions and treaties</w:t>
      </w:r>
      <w:r>
        <w:rPr>
          <w:rFonts w:ascii="Avenir Next" w:hAnsi="Avenir Next" w:cs="Arial"/>
          <w:sz w:val="22"/>
          <w:szCs w:val="22"/>
          <w:lang w:val="en-GB"/>
        </w:rPr>
        <w:t xml:space="preserve">. </w:t>
      </w:r>
      <w:r w:rsidR="00440AA0">
        <w:rPr>
          <w:rFonts w:ascii="Avenir Next" w:hAnsi="Avenir Next" w:cs="Arial"/>
          <w:sz w:val="22"/>
          <w:szCs w:val="22"/>
          <w:lang w:val="en-GB"/>
        </w:rPr>
        <w:t>For instance, the Nordic Convention (1933) grants local recognition to legislative, executive or judicial acts connected with bankruptcy and composition adjudications in other member states. It is undoubtedly a source of international insolvency law in member states</w:t>
      </w:r>
      <w:r w:rsidR="00BA18EB">
        <w:rPr>
          <w:rFonts w:ascii="Avenir Next" w:hAnsi="Avenir Next" w:cs="Arial"/>
          <w:sz w:val="22"/>
          <w:szCs w:val="22"/>
          <w:lang w:val="en-GB"/>
        </w:rPr>
        <w:t xml:space="preserve"> </w:t>
      </w:r>
      <w:r w:rsidR="00440AA0">
        <w:rPr>
          <w:rFonts w:ascii="Avenir Next" w:hAnsi="Avenir Next" w:cs="Arial"/>
          <w:sz w:val="22"/>
          <w:szCs w:val="22"/>
          <w:lang w:val="en-GB"/>
        </w:rPr>
        <w:t xml:space="preserve">but would not fall </w:t>
      </w:r>
      <w:r w:rsidR="00865A93">
        <w:rPr>
          <w:rFonts w:ascii="Avenir Next" w:hAnsi="Avenir Next" w:cs="Arial"/>
          <w:sz w:val="22"/>
          <w:szCs w:val="22"/>
          <w:lang w:val="en-GB"/>
        </w:rPr>
        <w:t xml:space="preserve">squarely </w:t>
      </w:r>
      <w:r w:rsidR="00440AA0">
        <w:rPr>
          <w:rFonts w:ascii="Avenir Next" w:hAnsi="Avenir Next" w:cs="Arial"/>
          <w:sz w:val="22"/>
          <w:szCs w:val="22"/>
          <w:lang w:val="en-GB"/>
        </w:rPr>
        <w:t xml:space="preserve">within </w:t>
      </w:r>
      <w:proofErr w:type="spellStart"/>
      <w:r w:rsidR="00440AA0">
        <w:rPr>
          <w:rFonts w:ascii="Avenir Next" w:hAnsi="Avenir Next" w:cs="Arial"/>
          <w:sz w:val="22"/>
          <w:szCs w:val="22"/>
          <w:lang w:val="en-GB"/>
        </w:rPr>
        <w:t>Wessels</w:t>
      </w:r>
      <w:proofErr w:type="spellEnd"/>
      <w:r w:rsidR="00440AA0">
        <w:rPr>
          <w:rFonts w:ascii="Avenir Next" w:hAnsi="Avenir Next" w:cs="Arial"/>
          <w:sz w:val="22"/>
          <w:szCs w:val="22"/>
          <w:lang w:val="en-GB"/>
        </w:rPr>
        <w:t>’ definition of international insolvency law.</w:t>
      </w:r>
    </w:p>
    <w:p w14:paraId="5C44ADFD" w14:textId="488E6BCD" w:rsidR="00745878" w:rsidRDefault="00440AA0" w:rsidP="00745878">
      <w:pPr>
        <w:pStyle w:val="ListParagraph"/>
        <w:numPr>
          <w:ilvl w:val="0"/>
          <w:numId w:val="26"/>
        </w:numPr>
        <w:jc w:val="both"/>
        <w:rPr>
          <w:rFonts w:ascii="Avenir Next" w:hAnsi="Avenir Next" w:cs="Arial"/>
          <w:sz w:val="22"/>
          <w:szCs w:val="22"/>
          <w:lang w:val="en-GB"/>
        </w:rPr>
      </w:pPr>
      <w:r>
        <w:rPr>
          <w:rFonts w:ascii="Avenir Next" w:hAnsi="Avenir Next" w:cs="Arial"/>
          <w:b/>
          <w:bCs/>
          <w:sz w:val="22"/>
          <w:szCs w:val="22"/>
          <w:lang w:val="en-GB"/>
        </w:rPr>
        <w:t xml:space="preserve">“Soft” law </w:t>
      </w:r>
      <w:r>
        <w:rPr>
          <w:rFonts w:ascii="Avenir Next" w:hAnsi="Avenir Next" w:cs="Arial"/>
          <w:sz w:val="22"/>
          <w:szCs w:val="22"/>
          <w:lang w:val="en-GB"/>
        </w:rPr>
        <w:t xml:space="preserve">– for example, the UNCITRAL Model Law on Cross-Border Insolvency (“MLCBI”). While the MLCBI still has to be adopted via domestic legislation, it is also a source of international insolvency law not covered by </w:t>
      </w:r>
      <w:proofErr w:type="spellStart"/>
      <w:r>
        <w:rPr>
          <w:rFonts w:ascii="Avenir Next" w:hAnsi="Avenir Next" w:cs="Arial"/>
          <w:sz w:val="22"/>
          <w:szCs w:val="22"/>
          <w:lang w:val="en-GB"/>
        </w:rPr>
        <w:t>Wessels</w:t>
      </w:r>
      <w:proofErr w:type="spellEnd"/>
      <w:r>
        <w:rPr>
          <w:rFonts w:ascii="Avenir Next" w:hAnsi="Avenir Next" w:cs="Arial"/>
          <w:sz w:val="22"/>
          <w:szCs w:val="22"/>
          <w:lang w:val="en-GB"/>
        </w:rPr>
        <w:t xml:space="preserve">’ definition. </w:t>
      </w:r>
    </w:p>
    <w:p w14:paraId="1ACA6B8B" w14:textId="2A5175EE" w:rsidR="00440AA0" w:rsidRDefault="00440AA0" w:rsidP="00745878">
      <w:pPr>
        <w:pStyle w:val="ListParagraph"/>
        <w:numPr>
          <w:ilvl w:val="0"/>
          <w:numId w:val="26"/>
        </w:numPr>
        <w:jc w:val="both"/>
        <w:rPr>
          <w:rFonts w:ascii="Avenir Next" w:hAnsi="Avenir Next" w:cs="Arial"/>
          <w:sz w:val="22"/>
          <w:szCs w:val="22"/>
          <w:lang w:val="en-GB"/>
        </w:rPr>
      </w:pPr>
      <w:r>
        <w:rPr>
          <w:rFonts w:ascii="Avenir Next" w:hAnsi="Avenir Next" w:cs="Arial"/>
          <w:b/>
          <w:bCs/>
          <w:sz w:val="22"/>
          <w:szCs w:val="22"/>
          <w:lang w:val="en-GB"/>
        </w:rPr>
        <w:t>Private international law</w:t>
      </w:r>
      <w:r>
        <w:rPr>
          <w:rFonts w:ascii="Avenir Next" w:hAnsi="Avenir Next" w:cs="Arial"/>
          <w:sz w:val="22"/>
          <w:szCs w:val="22"/>
          <w:lang w:val="en-GB"/>
        </w:rPr>
        <w:t xml:space="preserve">. Where a country’s legislation is silent on the application of its domestic insolvency laws to international insolvencies, recourse may be had to the country’s conflict of law rules. Private international law therefore arguably forms a part of international insolvency law but is not included in </w:t>
      </w:r>
      <w:proofErr w:type="spellStart"/>
      <w:r>
        <w:rPr>
          <w:rFonts w:ascii="Avenir Next" w:hAnsi="Avenir Next" w:cs="Arial"/>
          <w:sz w:val="22"/>
          <w:szCs w:val="22"/>
          <w:lang w:val="en-GB"/>
        </w:rPr>
        <w:t>Wessels</w:t>
      </w:r>
      <w:proofErr w:type="spellEnd"/>
      <w:r>
        <w:rPr>
          <w:rFonts w:ascii="Avenir Next" w:hAnsi="Avenir Next" w:cs="Arial"/>
          <w:sz w:val="22"/>
          <w:szCs w:val="22"/>
          <w:lang w:val="en-GB"/>
        </w:rPr>
        <w:t>’ definition.</w:t>
      </w:r>
    </w:p>
    <w:p w14:paraId="04882424" w14:textId="5D8DF88E" w:rsidR="00440AA0" w:rsidRDefault="00440AA0" w:rsidP="00440AA0">
      <w:pPr>
        <w:jc w:val="both"/>
        <w:rPr>
          <w:rFonts w:ascii="Avenir Next" w:hAnsi="Avenir Next" w:cs="Arial"/>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w:t>
      </w:r>
      <w:r w:rsidRPr="008D6976">
        <w:rPr>
          <w:rFonts w:ascii="Avenir Next" w:hAnsi="Avenir Next"/>
        </w:rPr>
        <w:t xml:space="preserve">treaties or </w:t>
      </w:r>
      <w:r w:rsidR="005F0764" w:rsidRPr="008D6976">
        <w:rPr>
          <w:rFonts w:ascii="Avenir Next" w:hAnsi="Avenir Next"/>
        </w:rPr>
        <w:t>conventions as</w:t>
      </w:r>
      <w:r w:rsidRPr="008D6976">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5163FBDD" w14:textId="77777777" w:rsidR="00BA18EB" w:rsidRDefault="00BA18EB" w:rsidP="001E1C34">
      <w:pPr>
        <w:ind w:left="720" w:hanging="720"/>
        <w:jc w:val="both"/>
        <w:rPr>
          <w:rFonts w:ascii="Avenir Next" w:hAnsi="Avenir Next" w:cs="Arial"/>
          <w:sz w:val="22"/>
          <w:szCs w:val="22"/>
          <w:lang w:val="en-GB"/>
        </w:rPr>
      </w:pPr>
      <w:r w:rsidRPr="00BA18EB">
        <w:rPr>
          <w:rFonts w:ascii="Avenir Next" w:hAnsi="Avenir Next" w:cs="Arial"/>
          <w:sz w:val="22"/>
          <w:szCs w:val="22"/>
          <w:lang w:val="en-GB"/>
        </w:rPr>
        <w:t>Treaties and conventions are a source of “hard” cross-border insolvency law</w:t>
      </w:r>
      <w:r>
        <w:rPr>
          <w:rFonts w:ascii="Avenir Next" w:hAnsi="Avenir Next" w:cs="Arial"/>
          <w:sz w:val="22"/>
          <w:szCs w:val="22"/>
          <w:lang w:val="en-GB"/>
        </w:rPr>
        <w:t xml:space="preserve">, given that signatory States bind themselves and are obliged to change their domestic law accordingly. </w:t>
      </w:r>
    </w:p>
    <w:p w14:paraId="49DCAE60" w14:textId="77777777" w:rsidR="00BA18EB" w:rsidRDefault="00BA18EB" w:rsidP="001E1C34">
      <w:pPr>
        <w:ind w:left="720" w:hanging="720"/>
        <w:jc w:val="both"/>
        <w:rPr>
          <w:rFonts w:ascii="Avenir Next" w:hAnsi="Avenir Next" w:cs="Arial"/>
          <w:sz w:val="22"/>
          <w:szCs w:val="22"/>
          <w:lang w:val="en-GB"/>
        </w:rPr>
      </w:pPr>
    </w:p>
    <w:p w14:paraId="233C9C46" w14:textId="2872DADA" w:rsidR="008D6976" w:rsidRDefault="00BA18EB"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If the success of treaties and conventions is measured based on how many have been successfully concluded, then I suggest that treaties and conventions have had limited success in creating cross-border insolvency law. This is because there have been several failed attempts at concluding treaties. For instance, an attempt by the USA </w:t>
      </w:r>
      <w:r w:rsidR="008D6976">
        <w:rPr>
          <w:rFonts w:ascii="Avenir Next" w:hAnsi="Avenir Next" w:cs="Arial"/>
          <w:sz w:val="22"/>
          <w:szCs w:val="22"/>
          <w:lang w:val="en-GB"/>
        </w:rPr>
        <w:t xml:space="preserve">and Canada to negotiate a bilateral insolvency treaty in the 1970s was unsuccessful. Likewise, while the Council of Europe concluded a Convention on Certain International Aspects of Bankruptcy in 1990, it was not ratified by a sufficient number of States to enter into force. </w:t>
      </w:r>
    </w:p>
    <w:p w14:paraId="5942A979" w14:textId="6D6C5D59" w:rsidR="008D6976" w:rsidRDefault="008D6976" w:rsidP="001E1C34">
      <w:pPr>
        <w:ind w:left="720" w:hanging="720"/>
        <w:jc w:val="both"/>
        <w:rPr>
          <w:rFonts w:ascii="Avenir Next" w:hAnsi="Avenir Next" w:cs="Arial"/>
          <w:sz w:val="22"/>
          <w:szCs w:val="22"/>
          <w:lang w:val="en-GB"/>
        </w:rPr>
      </w:pPr>
    </w:p>
    <w:p w14:paraId="714609BA" w14:textId="484EBE5F" w:rsidR="008D6976" w:rsidRDefault="008D6976" w:rsidP="001E1C34">
      <w:pPr>
        <w:ind w:left="720" w:hanging="720"/>
        <w:jc w:val="both"/>
        <w:rPr>
          <w:rFonts w:ascii="Avenir Next" w:hAnsi="Avenir Next" w:cs="Arial"/>
          <w:sz w:val="22"/>
          <w:szCs w:val="22"/>
          <w:lang w:val="en-GB"/>
        </w:rPr>
      </w:pPr>
      <w:r>
        <w:rPr>
          <w:rFonts w:ascii="Avenir Next" w:hAnsi="Avenir Next" w:cs="Arial"/>
          <w:sz w:val="22"/>
          <w:szCs w:val="22"/>
          <w:lang w:val="en-GB"/>
        </w:rPr>
        <w:t>It appears that successful cross-border insolvency treaties tend to occur on a regional and relatively smaller scale. For instance, the Nordic Convention (1933) was concluded between five Scandinavian countries. Similarly, the Montevideo Treaties were ratified by 3 to 5 Latin American States, while the Havana Convention on Private International Law was ratified by 15 Latin American States.</w:t>
      </w:r>
    </w:p>
    <w:p w14:paraId="0FEA16A9" w14:textId="22740433" w:rsidR="008D6976" w:rsidRDefault="008D6976" w:rsidP="001E1C34">
      <w:pPr>
        <w:ind w:left="720" w:hanging="720"/>
        <w:jc w:val="both"/>
        <w:rPr>
          <w:rFonts w:ascii="Avenir Next" w:hAnsi="Avenir Next" w:cs="Arial"/>
          <w:sz w:val="22"/>
          <w:szCs w:val="22"/>
          <w:lang w:val="en-GB"/>
        </w:rPr>
      </w:pPr>
    </w:p>
    <w:p w14:paraId="57D1D1D9" w14:textId="294FA612" w:rsidR="008D6976" w:rsidRDefault="008D6976" w:rsidP="001E1C34">
      <w:pPr>
        <w:ind w:left="720" w:hanging="720"/>
        <w:jc w:val="both"/>
        <w:rPr>
          <w:rFonts w:ascii="Avenir Next" w:hAnsi="Avenir Next" w:cs="Arial"/>
          <w:sz w:val="22"/>
          <w:szCs w:val="22"/>
          <w:lang w:val="en-GB"/>
        </w:rPr>
      </w:pPr>
      <w:r>
        <w:rPr>
          <w:rFonts w:ascii="Avenir Next" w:hAnsi="Avenir Next" w:cs="Arial"/>
          <w:sz w:val="22"/>
          <w:szCs w:val="22"/>
          <w:lang w:val="en-GB"/>
        </w:rPr>
        <w:t>That said, I also note that not all regions in the world have adopted treaties or conventions – for instance, the Middle East, Asia and the Pacific do not have any treaties or conventions addressing international insolvency issues. I therefore suggest that treaties and conventions have had limited success in creating cross-border insolvency laws.</w:t>
      </w:r>
    </w:p>
    <w:p w14:paraId="74A62B81" w14:textId="538EAAD5" w:rsidR="00BA18EB" w:rsidRPr="00BA18EB" w:rsidRDefault="00BA18EB"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 </w:t>
      </w: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proofErr w:type="spellStart"/>
      <w:r w:rsidR="003E2E7C" w:rsidRPr="004216EA">
        <w:rPr>
          <w:rFonts w:ascii="Avenir Next" w:hAnsi="Avenir Next" w:cs="Arial"/>
          <w:sz w:val="22"/>
          <w:szCs w:val="22"/>
          <w:lang w:val="en-GB"/>
        </w:rPr>
        <w:t>Encanto</w:t>
      </w:r>
      <w:proofErr w:type="spellEnd"/>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w:t>
      </w:r>
      <w:proofErr w:type="spellStart"/>
      <w:r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w:t>
      </w:r>
      <w:r w:rsidRPr="008D6976">
        <w:rPr>
          <w:rFonts w:ascii="Avenir Next" w:hAnsi="Avenir Next" w:cs="Arial"/>
          <w:sz w:val="22"/>
          <w:szCs w:val="22"/>
          <w:lang w:val="en-GB"/>
        </w:rPr>
        <w:t xml:space="preserve">? </w:t>
      </w:r>
      <w:r w:rsidR="004E1D03" w:rsidRPr="008D6976">
        <w:rPr>
          <w:rFonts w:ascii="Avenir Next" w:hAnsi="Avenir Next" w:cs="Arial"/>
          <w:sz w:val="22"/>
          <w:szCs w:val="22"/>
          <w:lang w:val="en-GB"/>
        </w:rPr>
        <w:t xml:space="preserve">What key advantages and disadvantages should </w:t>
      </w:r>
      <w:r w:rsidR="00E4126D" w:rsidRPr="008D6976">
        <w:rPr>
          <w:rFonts w:ascii="Avenir Next" w:hAnsi="Avenir Next" w:cs="Arial"/>
          <w:sz w:val="22"/>
          <w:szCs w:val="22"/>
          <w:lang w:val="en-GB"/>
        </w:rPr>
        <w:t xml:space="preserve">Lobo </w:t>
      </w:r>
      <w:r w:rsidR="004E1D03" w:rsidRPr="008D6976">
        <w:rPr>
          <w:rFonts w:ascii="Avenir Next" w:hAnsi="Avenir Next" w:cs="Arial"/>
          <w:sz w:val="22"/>
          <w:szCs w:val="22"/>
          <w:lang w:val="en-GB"/>
        </w:rPr>
        <w:t>consider regarding an</w:t>
      </w:r>
      <w:r w:rsidR="0062260C" w:rsidRPr="008D6976">
        <w:rPr>
          <w:rFonts w:ascii="Avenir Next" w:hAnsi="Avenir Next" w:cs="Arial"/>
          <w:sz w:val="22"/>
          <w:szCs w:val="22"/>
          <w:lang w:val="en-GB"/>
        </w:rPr>
        <w:t>y</w:t>
      </w:r>
      <w:r w:rsidR="004E1D03" w:rsidRPr="008D6976">
        <w:rPr>
          <w:rFonts w:ascii="Avenir Next" w:hAnsi="Avenir Next" w:cs="Arial"/>
          <w:sz w:val="22"/>
          <w:szCs w:val="22"/>
          <w:lang w:val="en-GB"/>
        </w:rPr>
        <w:t xml:space="preserve"> informal out-of-court workout</w:t>
      </w:r>
      <w:r w:rsidR="0028252D" w:rsidRPr="008D6976">
        <w:rPr>
          <w:rFonts w:ascii="Avenir Next" w:hAnsi="Avenir Next" w:cs="Arial"/>
          <w:sz w:val="22"/>
          <w:szCs w:val="22"/>
          <w:lang w:val="en-GB"/>
        </w:rPr>
        <w:t xml:space="preserve"> </w:t>
      </w:r>
      <w:r w:rsidR="0062260C" w:rsidRPr="008D6976">
        <w:rPr>
          <w:rFonts w:ascii="Avenir Next" w:hAnsi="Avenir Next" w:cs="Arial"/>
          <w:sz w:val="22"/>
          <w:szCs w:val="22"/>
          <w:lang w:val="en-GB"/>
        </w:rPr>
        <w:t xml:space="preserve">arrangement it could </w:t>
      </w:r>
      <w:r w:rsidR="00254AB3" w:rsidRPr="008D6976">
        <w:rPr>
          <w:rFonts w:ascii="Avenir Next" w:hAnsi="Avenir Next" w:cs="Arial"/>
          <w:sz w:val="22"/>
          <w:szCs w:val="22"/>
          <w:lang w:val="en-GB"/>
        </w:rPr>
        <w:t>enter</w:t>
      </w:r>
      <w:r w:rsidR="0062260C" w:rsidRPr="008D6976">
        <w:rPr>
          <w:rFonts w:ascii="Avenir Next" w:hAnsi="Avenir Next" w:cs="Arial"/>
          <w:sz w:val="22"/>
          <w:szCs w:val="22"/>
          <w:lang w:val="en-GB"/>
        </w:rPr>
        <w:t xml:space="preserve"> </w:t>
      </w:r>
      <w:r w:rsidR="0028252D" w:rsidRPr="008D6976">
        <w:rPr>
          <w:rFonts w:ascii="Avenir Next" w:hAnsi="Avenir Next" w:cs="Arial"/>
          <w:sz w:val="22"/>
          <w:szCs w:val="22"/>
          <w:lang w:val="en-GB"/>
        </w:rPr>
        <w:t xml:space="preserve">with </w:t>
      </w:r>
      <w:r w:rsidR="00524840" w:rsidRPr="008D6976">
        <w:rPr>
          <w:rFonts w:ascii="Avenir Next" w:hAnsi="Avenir Next" w:cs="Arial"/>
          <w:sz w:val="22"/>
          <w:szCs w:val="22"/>
          <w:lang w:val="en-GB"/>
        </w:rPr>
        <w:t>FPPL</w:t>
      </w:r>
      <w:r w:rsidR="00254AB3" w:rsidRPr="008D6976">
        <w:rPr>
          <w:rFonts w:ascii="Avenir Next" w:hAnsi="Avenir Next" w:cs="Arial"/>
          <w:sz w:val="22"/>
          <w:szCs w:val="22"/>
          <w:lang w:val="en-GB"/>
        </w:rPr>
        <w:t>, compared with its formal debt recovery options</w:t>
      </w:r>
      <w:r w:rsidR="004E1D03" w:rsidRPr="008D6976">
        <w:rPr>
          <w:rFonts w:ascii="Avenir Next" w:hAnsi="Avenir Next" w:cs="Arial"/>
          <w:sz w:val="22"/>
          <w:szCs w:val="22"/>
          <w:lang w:val="en-GB"/>
        </w:rPr>
        <w:t>?</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6AB83380" w:rsidR="001E1C34" w:rsidRDefault="00C341D0"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The main difference in formal and informal insolvency processes lies in whether they are regulated by insolvency law. </w:t>
      </w:r>
      <w:r w:rsidR="007D77C7" w:rsidRPr="007D77C7">
        <w:rPr>
          <w:rFonts w:ascii="Avenir Next" w:hAnsi="Avenir Next" w:cs="Arial"/>
          <w:sz w:val="22"/>
          <w:szCs w:val="22"/>
          <w:lang w:val="en-GB"/>
        </w:rPr>
        <w:t xml:space="preserve">Formal insolvency proceedings </w:t>
      </w:r>
      <w:r>
        <w:rPr>
          <w:rFonts w:ascii="Avenir Next" w:hAnsi="Avenir Next" w:cs="Arial"/>
          <w:sz w:val="22"/>
          <w:szCs w:val="22"/>
          <w:lang w:val="en-GB"/>
        </w:rPr>
        <w:t>are</w:t>
      </w:r>
      <w:r w:rsidR="007D77C7" w:rsidRPr="007D77C7">
        <w:rPr>
          <w:rFonts w:ascii="Avenir Next" w:hAnsi="Avenir Next" w:cs="Arial"/>
          <w:sz w:val="22"/>
          <w:szCs w:val="22"/>
          <w:lang w:val="en-GB"/>
        </w:rPr>
        <w:t xml:space="preserve"> commenced under the insolvency law of a</w:t>
      </w:r>
      <w:r>
        <w:rPr>
          <w:rFonts w:ascii="Avenir Next" w:hAnsi="Avenir Next" w:cs="Arial"/>
          <w:sz w:val="22"/>
          <w:szCs w:val="22"/>
          <w:lang w:val="en-GB"/>
        </w:rPr>
        <w:t xml:space="preserve"> particular </w:t>
      </w:r>
      <w:r w:rsidR="007D77C7" w:rsidRPr="007D77C7">
        <w:rPr>
          <w:rFonts w:ascii="Avenir Next" w:hAnsi="Avenir Next" w:cs="Arial"/>
          <w:sz w:val="22"/>
          <w:szCs w:val="22"/>
          <w:lang w:val="en-GB"/>
        </w:rPr>
        <w:t>jurisdiction and are governed by that law.</w:t>
      </w:r>
      <w:r w:rsidR="007D77C7">
        <w:rPr>
          <w:rFonts w:ascii="Avenir Next" w:hAnsi="Avenir Next" w:cs="Arial"/>
          <w:sz w:val="22"/>
          <w:szCs w:val="22"/>
          <w:lang w:val="en-GB"/>
        </w:rPr>
        <w:t xml:space="preserve"> Examples of formal insolvency proceedings are liquidation, reorganisation </w:t>
      </w:r>
      <w:bookmarkStart w:id="0" w:name="_GoBack"/>
      <w:bookmarkEnd w:id="0"/>
      <w:r w:rsidR="007D77C7">
        <w:rPr>
          <w:rFonts w:ascii="Avenir Next" w:hAnsi="Avenir Next" w:cs="Arial"/>
          <w:sz w:val="22"/>
          <w:szCs w:val="22"/>
          <w:lang w:val="en-GB"/>
        </w:rPr>
        <w:t xml:space="preserve">or rescue proceedings. In contrast, informal insolvency arrangements are not always regulated by the insolvency law of </w:t>
      </w:r>
      <w:r w:rsidR="0097534F">
        <w:rPr>
          <w:rFonts w:ascii="Avenir Next" w:hAnsi="Avenir Next" w:cs="Arial"/>
          <w:sz w:val="22"/>
          <w:szCs w:val="22"/>
          <w:lang w:val="en-GB"/>
        </w:rPr>
        <w:t>a</w:t>
      </w:r>
      <w:r w:rsidR="007D77C7">
        <w:rPr>
          <w:rFonts w:ascii="Avenir Next" w:hAnsi="Avenir Next" w:cs="Arial"/>
          <w:sz w:val="22"/>
          <w:szCs w:val="22"/>
          <w:lang w:val="en-GB"/>
        </w:rPr>
        <w:t xml:space="preserve"> particular jurisdiction, and generally take the form of voluntary arrangements between the debtor and some or all of its creditors. </w:t>
      </w:r>
      <w:r>
        <w:rPr>
          <w:rFonts w:ascii="Avenir Next" w:hAnsi="Avenir Next" w:cs="Arial"/>
          <w:sz w:val="22"/>
          <w:szCs w:val="22"/>
          <w:lang w:val="en-GB"/>
        </w:rPr>
        <w:t xml:space="preserve">These informal arrangements tend to have been developed through the banking or commercial sectors, and usually provide for restructuring of the debtor. While informal arrangements are not regulated by insolvency law </w:t>
      </w:r>
      <w:r>
        <w:rPr>
          <w:rFonts w:ascii="Avenir Next" w:hAnsi="Avenir Next" w:cs="Arial"/>
          <w:i/>
          <w:iCs/>
          <w:sz w:val="22"/>
          <w:szCs w:val="22"/>
          <w:lang w:val="en-GB"/>
        </w:rPr>
        <w:t>per se</w:t>
      </w:r>
      <w:r>
        <w:rPr>
          <w:rFonts w:ascii="Avenir Next" w:hAnsi="Avenir Next" w:cs="Arial"/>
          <w:sz w:val="22"/>
          <w:szCs w:val="22"/>
          <w:lang w:val="en-GB"/>
        </w:rPr>
        <w:t xml:space="preserve">, their </w:t>
      </w:r>
      <w:r>
        <w:rPr>
          <w:rFonts w:ascii="Avenir Next" w:hAnsi="Avenir Next" w:cs="Arial"/>
          <w:sz w:val="22"/>
          <w:szCs w:val="22"/>
          <w:lang w:val="en-GB"/>
        </w:rPr>
        <w:lastRenderedPageBreak/>
        <w:t>effectiveness may nonetheless depend on the existence of an insolvency law that provides indirect incentives for the voluntary arrangement to be complied with.</w:t>
      </w:r>
      <w:r w:rsidR="00356EC1">
        <w:rPr>
          <w:rStyle w:val="FootnoteReference"/>
          <w:rFonts w:ascii="Avenir Next" w:hAnsi="Avenir Next" w:cs="Arial"/>
          <w:sz w:val="22"/>
          <w:szCs w:val="22"/>
          <w:lang w:val="en-GB"/>
        </w:rPr>
        <w:footnoteReference w:id="5"/>
      </w:r>
      <w:r>
        <w:rPr>
          <w:rFonts w:ascii="Avenir Next" w:hAnsi="Avenir Next" w:cs="Arial"/>
          <w:sz w:val="22"/>
          <w:szCs w:val="22"/>
          <w:lang w:val="en-GB"/>
        </w:rPr>
        <w:t xml:space="preserve"> For instance, a company may be induced by the prospect of a creditor commencing formal insolvency proceedings, to comply with a voluntary arrangement reached with its creditors. </w:t>
      </w:r>
    </w:p>
    <w:p w14:paraId="5A4E9C9E" w14:textId="14DB4B24" w:rsidR="00C341D0" w:rsidRDefault="00C341D0" w:rsidP="001E1C34">
      <w:pPr>
        <w:ind w:left="720" w:hanging="720"/>
        <w:jc w:val="both"/>
        <w:rPr>
          <w:rFonts w:ascii="Avenir Next" w:hAnsi="Avenir Next" w:cs="Arial"/>
          <w:sz w:val="22"/>
          <w:szCs w:val="22"/>
          <w:lang w:val="en-GB"/>
        </w:rPr>
      </w:pPr>
    </w:p>
    <w:p w14:paraId="75ABFF8C" w14:textId="379CA36C" w:rsidR="00CF60EC" w:rsidRDefault="00C341D0" w:rsidP="001E1C34">
      <w:pPr>
        <w:ind w:left="720" w:hanging="720"/>
        <w:jc w:val="both"/>
        <w:rPr>
          <w:rFonts w:ascii="Avenir Next" w:hAnsi="Avenir Next" w:cs="Arial"/>
          <w:sz w:val="22"/>
          <w:szCs w:val="22"/>
          <w:lang w:val="en-GB"/>
        </w:rPr>
      </w:pPr>
      <w:r>
        <w:rPr>
          <w:rFonts w:ascii="Avenir Next" w:hAnsi="Avenir Next" w:cs="Arial"/>
          <w:sz w:val="22"/>
          <w:szCs w:val="22"/>
          <w:lang w:val="en-GB"/>
        </w:rPr>
        <w:tab/>
        <w:t>The advantage</w:t>
      </w:r>
      <w:r w:rsidR="00273F3E">
        <w:rPr>
          <w:rFonts w:ascii="Avenir Next" w:hAnsi="Avenir Next" w:cs="Arial"/>
          <w:sz w:val="22"/>
          <w:szCs w:val="22"/>
          <w:lang w:val="en-GB"/>
        </w:rPr>
        <w:t>s</w:t>
      </w:r>
      <w:r w:rsidR="00CF60EC">
        <w:rPr>
          <w:rFonts w:ascii="Avenir Next" w:hAnsi="Avenir Next" w:cs="Arial"/>
          <w:sz w:val="22"/>
          <w:szCs w:val="22"/>
          <w:lang w:val="en-GB"/>
        </w:rPr>
        <w:t xml:space="preserve"> </w:t>
      </w:r>
      <w:r>
        <w:rPr>
          <w:rFonts w:ascii="Avenir Next" w:hAnsi="Avenir Next" w:cs="Arial"/>
          <w:sz w:val="22"/>
          <w:szCs w:val="22"/>
          <w:lang w:val="en-GB"/>
        </w:rPr>
        <w:t xml:space="preserve">of an informal arrangement </w:t>
      </w:r>
      <w:r w:rsidR="00273F3E">
        <w:rPr>
          <w:rFonts w:ascii="Avenir Next" w:hAnsi="Avenir Next" w:cs="Arial"/>
          <w:sz w:val="22"/>
          <w:szCs w:val="22"/>
          <w:lang w:val="en-GB"/>
        </w:rPr>
        <w:t xml:space="preserve">are </w:t>
      </w:r>
      <w:r w:rsidR="00CF60EC">
        <w:rPr>
          <w:rFonts w:ascii="Avenir Next" w:hAnsi="Avenir Next" w:cs="Arial"/>
          <w:sz w:val="22"/>
          <w:szCs w:val="22"/>
          <w:lang w:val="en-GB"/>
        </w:rPr>
        <w:t>that</w:t>
      </w:r>
      <w:r>
        <w:rPr>
          <w:rFonts w:ascii="Avenir Next" w:hAnsi="Avenir Next" w:cs="Arial"/>
          <w:sz w:val="22"/>
          <w:szCs w:val="22"/>
          <w:lang w:val="en-GB"/>
        </w:rPr>
        <w:t xml:space="preserve"> </w:t>
      </w:r>
      <w:r w:rsidR="00273F3E">
        <w:rPr>
          <w:rFonts w:ascii="Avenir Next" w:hAnsi="Avenir Next" w:cs="Arial"/>
          <w:sz w:val="22"/>
          <w:szCs w:val="22"/>
          <w:lang w:val="en-GB"/>
        </w:rPr>
        <w:t xml:space="preserve">a) </w:t>
      </w:r>
      <w:r>
        <w:rPr>
          <w:rFonts w:ascii="Avenir Next" w:hAnsi="Avenir Next" w:cs="Arial"/>
          <w:sz w:val="22"/>
          <w:szCs w:val="22"/>
          <w:lang w:val="en-GB"/>
        </w:rPr>
        <w:t>the cost tends to be significantly lower as the courts are not involved</w:t>
      </w:r>
      <w:r w:rsidR="00273F3E">
        <w:rPr>
          <w:rFonts w:ascii="Avenir Next" w:hAnsi="Avenir Next" w:cs="Arial"/>
          <w:sz w:val="22"/>
          <w:szCs w:val="22"/>
          <w:lang w:val="en-GB"/>
        </w:rPr>
        <w:t xml:space="preserve">; and b) an informal arrangement is </w:t>
      </w:r>
      <w:r w:rsidR="000E509C">
        <w:rPr>
          <w:rFonts w:ascii="Avenir Next" w:hAnsi="Avenir Next" w:cs="Arial"/>
          <w:sz w:val="22"/>
          <w:szCs w:val="22"/>
          <w:lang w:val="en-GB"/>
        </w:rPr>
        <w:t>more</w:t>
      </w:r>
      <w:r w:rsidR="00273F3E">
        <w:rPr>
          <w:rFonts w:ascii="Avenir Next" w:hAnsi="Avenir Next" w:cs="Arial"/>
          <w:sz w:val="22"/>
          <w:szCs w:val="22"/>
          <w:lang w:val="en-GB"/>
        </w:rPr>
        <w:t xml:space="preserve"> flexible in how it might be structured</w:t>
      </w:r>
      <w:r w:rsidR="000E509C">
        <w:rPr>
          <w:rFonts w:ascii="Avenir Next" w:hAnsi="Avenir Next" w:cs="Arial"/>
          <w:sz w:val="22"/>
          <w:szCs w:val="22"/>
          <w:lang w:val="en-GB"/>
        </w:rPr>
        <w:t>. Since an informal arrangement is contractual in nature, it may contain any kind of terms so</w:t>
      </w:r>
      <w:r w:rsidR="00273F3E">
        <w:rPr>
          <w:rFonts w:ascii="Avenir Next" w:hAnsi="Avenir Next" w:cs="Arial"/>
          <w:sz w:val="22"/>
          <w:szCs w:val="22"/>
          <w:lang w:val="en-GB"/>
        </w:rPr>
        <w:t xml:space="preserve"> long as the</w:t>
      </w:r>
      <w:r w:rsidR="000E509C">
        <w:rPr>
          <w:rFonts w:ascii="Avenir Next" w:hAnsi="Avenir Next" w:cs="Arial"/>
          <w:sz w:val="22"/>
          <w:szCs w:val="22"/>
          <w:lang w:val="en-GB"/>
        </w:rPr>
        <w:t>y are</w:t>
      </w:r>
      <w:r w:rsidR="00273F3E">
        <w:rPr>
          <w:rFonts w:ascii="Avenir Next" w:hAnsi="Avenir Next" w:cs="Arial"/>
          <w:sz w:val="22"/>
          <w:szCs w:val="22"/>
          <w:lang w:val="en-GB"/>
        </w:rPr>
        <w:t xml:space="preserve"> legal, binding and enforceable.</w:t>
      </w:r>
      <w:r w:rsidR="00CF60EC">
        <w:rPr>
          <w:rFonts w:ascii="Avenir Next" w:hAnsi="Avenir Next" w:cs="Arial"/>
          <w:sz w:val="22"/>
          <w:szCs w:val="22"/>
          <w:lang w:val="en-GB"/>
        </w:rPr>
        <w:t xml:space="preserve"> While an informal arrangement also means that th</w:t>
      </w:r>
      <w:r>
        <w:rPr>
          <w:rFonts w:ascii="Avenir Next" w:hAnsi="Avenir Next" w:cs="Arial"/>
          <w:sz w:val="22"/>
          <w:szCs w:val="22"/>
          <w:lang w:val="en-GB"/>
        </w:rPr>
        <w:t xml:space="preserve">ere is no publicity that </w:t>
      </w:r>
      <w:r w:rsidR="00CF60EC">
        <w:rPr>
          <w:rFonts w:ascii="Avenir Next" w:hAnsi="Avenir Next" w:cs="Arial"/>
          <w:sz w:val="22"/>
          <w:szCs w:val="22"/>
          <w:lang w:val="en-GB"/>
        </w:rPr>
        <w:t xml:space="preserve">FPPL </w:t>
      </w:r>
      <w:r>
        <w:rPr>
          <w:rFonts w:ascii="Avenir Next" w:hAnsi="Avenir Next" w:cs="Arial"/>
          <w:sz w:val="22"/>
          <w:szCs w:val="22"/>
          <w:lang w:val="en-GB"/>
        </w:rPr>
        <w:t>is facing financial difficulties</w:t>
      </w:r>
      <w:r w:rsidR="00CF60EC">
        <w:rPr>
          <w:rFonts w:ascii="Avenir Next" w:hAnsi="Avenir Next" w:cs="Arial"/>
          <w:sz w:val="22"/>
          <w:szCs w:val="22"/>
          <w:lang w:val="en-GB"/>
        </w:rPr>
        <w:t xml:space="preserve">, this is likely of limited relevance to Lobo. </w:t>
      </w:r>
    </w:p>
    <w:p w14:paraId="1ED88184" w14:textId="77777777" w:rsidR="00CF60EC" w:rsidRDefault="00CF60EC" w:rsidP="001E1C34">
      <w:pPr>
        <w:ind w:left="720" w:hanging="720"/>
        <w:jc w:val="both"/>
        <w:rPr>
          <w:rFonts w:ascii="Avenir Next" w:hAnsi="Avenir Next" w:cs="Arial"/>
          <w:sz w:val="22"/>
          <w:szCs w:val="22"/>
          <w:lang w:val="en-GB"/>
        </w:rPr>
      </w:pPr>
    </w:p>
    <w:p w14:paraId="38A1875F" w14:textId="747FE122" w:rsidR="000E509C" w:rsidRDefault="00CF60EC" w:rsidP="000E509C">
      <w:pPr>
        <w:ind w:left="720" w:hanging="720"/>
        <w:jc w:val="both"/>
        <w:rPr>
          <w:rFonts w:ascii="Avenir Next" w:hAnsi="Avenir Next" w:cs="Arial"/>
          <w:sz w:val="22"/>
          <w:szCs w:val="22"/>
          <w:lang w:val="en-GB"/>
        </w:rPr>
      </w:pPr>
      <w:r>
        <w:rPr>
          <w:rFonts w:ascii="Avenir Next" w:hAnsi="Avenir Next" w:cs="Arial"/>
          <w:sz w:val="22"/>
          <w:szCs w:val="22"/>
          <w:lang w:val="en-GB"/>
        </w:rPr>
        <w:tab/>
        <w:t xml:space="preserve">The disadvantages of an informal arrangement are that a) there is no moratorium preventing other creditors from commencing formal insolvency proceedings against FPPL; and b) there is no way of binding other dissenting creditors to any agreement reached. Any informal agreement reached </w:t>
      </w:r>
      <w:r w:rsidR="007D5DDE">
        <w:rPr>
          <w:rFonts w:ascii="Avenir Next" w:hAnsi="Avenir Next" w:cs="Arial"/>
          <w:sz w:val="22"/>
          <w:szCs w:val="22"/>
          <w:lang w:val="en-GB"/>
        </w:rPr>
        <w:t xml:space="preserve">between FPPL and Lobo </w:t>
      </w:r>
      <w:r>
        <w:rPr>
          <w:rFonts w:ascii="Avenir Next" w:hAnsi="Avenir Next" w:cs="Arial"/>
          <w:sz w:val="22"/>
          <w:szCs w:val="22"/>
          <w:lang w:val="en-GB"/>
        </w:rPr>
        <w:t xml:space="preserve">may therefore end up being </w:t>
      </w:r>
      <w:r w:rsidR="00273F3E">
        <w:rPr>
          <w:rFonts w:ascii="Avenir Next" w:hAnsi="Avenir Next" w:cs="Arial"/>
          <w:sz w:val="22"/>
          <w:szCs w:val="22"/>
          <w:lang w:val="en-GB"/>
        </w:rPr>
        <w:t>wasted</w:t>
      </w:r>
      <w:r>
        <w:rPr>
          <w:rFonts w:ascii="Avenir Next" w:hAnsi="Avenir Next" w:cs="Arial"/>
          <w:sz w:val="22"/>
          <w:szCs w:val="22"/>
          <w:lang w:val="en-GB"/>
        </w:rPr>
        <w:t xml:space="preserve"> time and resources if a</w:t>
      </w:r>
      <w:r w:rsidR="007D5DDE">
        <w:rPr>
          <w:rFonts w:ascii="Avenir Next" w:hAnsi="Avenir Next" w:cs="Arial"/>
          <w:sz w:val="22"/>
          <w:szCs w:val="22"/>
          <w:lang w:val="en-GB"/>
        </w:rPr>
        <w:t xml:space="preserve">nother of FPPL’s creditors commences formal insolvency proceedings against FPPL. </w:t>
      </w:r>
      <w:r>
        <w:rPr>
          <w:rFonts w:ascii="Avenir Next" w:hAnsi="Avenir Next" w:cs="Arial"/>
          <w:sz w:val="22"/>
          <w:szCs w:val="22"/>
          <w:lang w:val="en-GB"/>
        </w:rPr>
        <w:t xml:space="preserve">Should Lobo want to </w:t>
      </w:r>
      <w:r w:rsidR="00273F3E">
        <w:rPr>
          <w:rFonts w:ascii="Avenir Next" w:hAnsi="Avenir Next" w:cs="Arial"/>
          <w:sz w:val="22"/>
          <w:szCs w:val="22"/>
          <w:lang w:val="en-GB"/>
        </w:rPr>
        <w:t>enter</w:t>
      </w:r>
      <w:r>
        <w:rPr>
          <w:rFonts w:ascii="Avenir Next" w:hAnsi="Avenir Next" w:cs="Arial"/>
          <w:sz w:val="22"/>
          <w:szCs w:val="22"/>
          <w:lang w:val="en-GB"/>
        </w:rPr>
        <w:t xml:space="preserve"> an informal arrangement with FPPL</w:t>
      </w:r>
      <w:r w:rsidR="0097534F">
        <w:rPr>
          <w:rFonts w:ascii="Avenir Next" w:hAnsi="Avenir Next" w:cs="Arial"/>
          <w:sz w:val="22"/>
          <w:szCs w:val="22"/>
          <w:lang w:val="en-GB"/>
        </w:rPr>
        <w:t>, i</w:t>
      </w:r>
      <w:r>
        <w:rPr>
          <w:rFonts w:ascii="Avenir Next" w:hAnsi="Avenir Next" w:cs="Arial"/>
          <w:sz w:val="22"/>
          <w:szCs w:val="22"/>
          <w:lang w:val="en-GB"/>
        </w:rPr>
        <w:t xml:space="preserve">t should therefore first consider if FPPL has any other outstanding creditors. If so, Lobo should consider </w:t>
      </w:r>
      <w:r w:rsidR="007D5DDE">
        <w:rPr>
          <w:rFonts w:ascii="Avenir Next" w:hAnsi="Avenir Next" w:cs="Arial"/>
          <w:sz w:val="22"/>
          <w:szCs w:val="22"/>
          <w:lang w:val="en-GB"/>
        </w:rPr>
        <w:t>including those creditors in the informal arrangement it reaches with FPPL.</w:t>
      </w:r>
    </w:p>
    <w:p w14:paraId="62760D11" w14:textId="65E02681" w:rsidR="000E509C" w:rsidRDefault="000E509C" w:rsidP="000E509C">
      <w:pPr>
        <w:ind w:left="720" w:hanging="720"/>
        <w:jc w:val="both"/>
        <w:rPr>
          <w:rFonts w:ascii="Avenir Next" w:hAnsi="Avenir Next" w:cs="Arial"/>
          <w:sz w:val="22"/>
          <w:szCs w:val="22"/>
          <w:lang w:val="en-GB"/>
        </w:rPr>
      </w:pPr>
    </w:p>
    <w:p w14:paraId="63322131" w14:textId="2D186B41" w:rsidR="000E509C" w:rsidRDefault="000E509C" w:rsidP="000E509C">
      <w:pPr>
        <w:ind w:left="720" w:hanging="720"/>
        <w:jc w:val="both"/>
        <w:rPr>
          <w:rFonts w:ascii="Avenir Next" w:hAnsi="Avenir Next" w:cs="Arial"/>
          <w:sz w:val="22"/>
          <w:szCs w:val="22"/>
          <w:lang w:val="en-GB"/>
        </w:rPr>
      </w:pPr>
      <w:r>
        <w:rPr>
          <w:rFonts w:ascii="Avenir Next" w:hAnsi="Avenir Next" w:cs="Arial"/>
          <w:sz w:val="22"/>
          <w:szCs w:val="22"/>
          <w:lang w:val="en-GB"/>
        </w:rPr>
        <w:tab/>
        <w:t xml:space="preserve">The advantages of formal insolvency proceedings are that a) there will be a statutory moratorium preventing any legal proceedings from being taken out against FPPL and b) dissenting creditors may possibly be bound by an arrangement proposed by FPPL. Formal proceedings may also have the benefit of providing more certainty to Lobo, assuming the relevant insolvency law provides a fixed procedure for recovering debts from a company (as opposed to a voluntary arrangement, </w:t>
      </w:r>
      <w:r w:rsidR="00311692">
        <w:rPr>
          <w:rFonts w:ascii="Avenir Next" w:hAnsi="Avenir Next" w:cs="Arial"/>
          <w:sz w:val="22"/>
          <w:szCs w:val="22"/>
          <w:lang w:val="en-GB"/>
        </w:rPr>
        <w:t xml:space="preserve">for which there is no guarantee that FPPL would abide by the arrangement). </w:t>
      </w:r>
    </w:p>
    <w:p w14:paraId="4ED3C1FF" w14:textId="2CC63605" w:rsidR="000E509C" w:rsidRDefault="000E509C" w:rsidP="000E509C">
      <w:pPr>
        <w:ind w:left="720" w:hanging="720"/>
        <w:jc w:val="both"/>
        <w:rPr>
          <w:rFonts w:ascii="Avenir Next" w:hAnsi="Avenir Next" w:cs="Arial"/>
          <w:sz w:val="22"/>
          <w:szCs w:val="22"/>
          <w:lang w:val="en-GB"/>
        </w:rPr>
      </w:pPr>
    </w:p>
    <w:p w14:paraId="4B132440" w14:textId="6428F79A" w:rsidR="000E509C" w:rsidRDefault="000E509C" w:rsidP="000E509C">
      <w:pPr>
        <w:ind w:left="720" w:hanging="720"/>
        <w:jc w:val="both"/>
        <w:rPr>
          <w:rFonts w:ascii="Avenir Next" w:hAnsi="Avenir Next" w:cs="Arial"/>
          <w:sz w:val="22"/>
          <w:szCs w:val="22"/>
          <w:lang w:val="en-GB"/>
        </w:rPr>
      </w:pPr>
      <w:r>
        <w:rPr>
          <w:rFonts w:ascii="Avenir Next" w:hAnsi="Avenir Next" w:cs="Arial"/>
          <w:sz w:val="22"/>
          <w:szCs w:val="22"/>
          <w:lang w:val="en-GB"/>
        </w:rPr>
        <w:tab/>
        <w:t xml:space="preserve">On the other hand, the main disadvantage of formal insolvency proceedings is that </w:t>
      </w:r>
      <w:r w:rsidR="0097534F">
        <w:rPr>
          <w:rFonts w:ascii="Avenir Next" w:hAnsi="Avenir Next" w:cs="Arial"/>
          <w:sz w:val="22"/>
          <w:szCs w:val="22"/>
          <w:lang w:val="en-GB"/>
        </w:rPr>
        <w:t>they</w:t>
      </w:r>
      <w:r>
        <w:rPr>
          <w:rFonts w:ascii="Avenir Next" w:hAnsi="Avenir Next" w:cs="Arial"/>
          <w:sz w:val="22"/>
          <w:szCs w:val="22"/>
          <w:lang w:val="en-GB"/>
        </w:rPr>
        <w:t xml:space="preserve"> are likely to be costlier since the courts are involved. While formal proceedings will also result in publicity of FPPL’s financial difficulties, this is likely to be a consideration of limited relevance from Lobo’s perspective.</w:t>
      </w:r>
      <w:r w:rsidR="00356EC1">
        <w:rPr>
          <w:rFonts w:ascii="Avenir Next" w:hAnsi="Avenir Next" w:cs="Arial"/>
          <w:sz w:val="22"/>
          <w:szCs w:val="22"/>
          <w:lang w:val="en-GB"/>
        </w:rPr>
        <w:t xml:space="preserve"> </w:t>
      </w:r>
    </w:p>
    <w:p w14:paraId="3D5088E7" w14:textId="55A0E095" w:rsidR="00C341D0" w:rsidRDefault="00C341D0" w:rsidP="001E1C34">
      <w:pPr>
        <w:ind w:left="720" w:hanging="720"/>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05777E">
        <w:rPr>
          <w:rFonts w:ascii="Avenir Next" w:hAnsi="Avenir Next" w:cs="Arial"/>
          <w:sz w:val="22"/>
          <w:szCs w:val="22"/>
          <w:lang w:val="en-GB"/>
        </w:rPr>
        <w:t xml:space="preserve">Lobo </w:t>
      </w:r>
      <w:r w:rsidRPr="0005777E">
        <w:rPr>
          <w:rFonts w:ascii="Avenir Next" w:hAnsi="Avenir Next" w:cs="Arial"/>
          <w:sz w:val="22"/>
          <w:szCs w:val="22"/>
          <w:lang w:val="en-GB"/>
        </w:rPr>
        <w:t>obtain</w:t>
      </w:r>
      <w:r w:rsidR="00F62000" w:rsidRPr="0005777E">
        <w:rPr>
          <w:rFonts w:ascii="Avenir Next" w:hAnsi="Avenir Next" w:cs="Arial"/>
          <w:sz w:val="22"/>
          <w:szCs w:val="22"/>
          <w:lang w:val="en-GB"/>
        </w:rPr>
        <w:t>ed</w:t>
      </w:r>
      <w:r w:rsidRPr="0005777E">
        <w:rPr>
          <w:rFonts w:ascii="Avenir Next" w:hAnsi="Avenir Next" w:cs="Arial"/>
          <w:sz w:val="22"/>
          <w:szCs w:val="22"/>
          <w:lang w:val="en-GB"/>
        </w:rPr>
        <w:t xml:space="preserve"> a</w:t>
      </w:r>
      <w:r w:rsidR="00F62000" w:rsidRPr="0005777E">
        <w:rPr>
          <w:rFonts w:ascii="Avenir Next" w:hAnsi="Avenir Next" w:cs="Arial"/>
          <w:sz w:val="22"/>
          <w:szCs w:val="22"/>
          <w:lang w:val="en-GB"/>
        </w:rPr>
        <w:t xml:space="preserve"> formal court</w:t>
      </w:r>
      <w:r w:rsidRPr="0005777E">
        <w:rPr>
          <w:rFonts w:ascii="Avenir Next" w:hAnsi="Avenir Next" w:cs="Arial"/>
          <w:sz w:val="22"/>
          <w:szCs w:val="22"/>
          <w:lang w:val="en-GB"/>
        </w:rPr>
        <w:t xml:space="preserve"> order against </w:t>
      </w:r>
      <w:r w:rsidR="00524840" w:rsidRPr="0005777E">
        <w:rPr>
          <w:rFonts w:ascii="Avenir Next" w:hAnsi="Avenir Next" w:cs="Arial"/>
          <w:sz w:val="22"/>
          <w:szCs w:val="22"/>
          <w:lang w:val="en-GB"/>
        </w:rPr>
        <w:t>FPPL</w:t>
      </w:r>
      <w:r w:rsidRPr="0005777E">
        <w:rPr>
          <w:rFonts w:ascii="Avenir Next" w:hAnsi="Avenir Next" w:cs="Arial"/>
          <w:sz w:val="22"/>
          <w:szCs w:val="22"/>
          <w:lang w:val="en-GB"/>
        </w:rPr>
        <w:t xml:space="preserve"> for a court-</w:t>
      </w:r>
      <w:r w:rsidR="001174E6" w:rsidRPr="0005777E">
        <w:rPr>
          <w:rFonts w:ascii="Avenir Next" w:hAnsi="Avenir Next" w:cs="Arial"/>
          <w:sz w:val="22"/>
          <w:szCs w:val="22"/>
          <w:lang w:val="en-GB"/>
        </w:rPr>
        <w:t>super</w:t>
      </w:r>
      <w:r w:rsidRPr="0005777E">
        <w:rPr>
          <w:rFonts w:ascii="Avenir Next" w:hAnsi="Avenir Next" w:cs="Arial"/>
          <w:sz w:val="22"/>
          <w:szCs w:val="22"/>
          <w:lang w:val="en-GB"/>
        </w:rPr>
        <w:t xml:space="preserve">vised insolvency proceeding in </w:t>
      </w:r>
      <w:proofErr w:type="spellStart"/>
      <w:r w:rsidR="003E2E7C" w:rsidRPr="0005777E">
        <w:rPr>
          <w:rFonts w:ascii="Avenir Next" w:hAnsi="Avenir Next" w:cs="Arial"/>
          <w:sz w:val="22"/>
          <w:szCs w:val="22"/>
          <w:lang w:val="en-GB"/>
        </w:rPr>
        <w:t>Asgard</w:t>
      </w:r>
      <w:proofErr w:type="spellEnd"/>
      <w:r w:rsidRPr="0005777E">
        <w:rPr>
          <w:rFonts w:ascii="Avenir Next" w:hAnsi="Avenir Next" w:cs="Arial"/>
          <w:sz w:val="22"/>
          <w:szCs w:val="22"/>
          <w:lang w:val="en-GB"/>
        </w:rPr>
        <w:t xml:space="preserve">.  The </w:t>
      </w:r>
      <w:r w:rsidR="003E2E7C" w:rsidRPr="0005777E">
        <w:rPr>
          <w:rFonts w:ascii="Avenir Next" w:hAnsi="Avenir Next" w:cs="Arial"/>
          <w:sz w:val="22"/>
          <w:szCs w:val="22"/>
          <w:lang w:val="en-GB"/>
        </w:rPr>
        <w:t>Asgard</w:t>
      </w:r>
      <w:r w:rsidR="004235F4" w:rsidRPr="0005777E">
        <w:rPr>
          <w:rFonts w:ascii="Avenir Next" w:hAnsi="Avenir Next" w:cs="Arial"/>
          <w:sz w:val="22"/>
          <w:szCs w:val="22"/>
          <w:lang w:val="en-GB"/>
        </w:rPr>
        <w:t>ia</w:t>
      </w:r>
      <w:r w:rsidRPr="0005777E">
        <w:rPr>
          <w:rFonts w:ascii="Avenir Next" w:hAnsi="Avenir Next" w:cs="Arial"/>
          <w:sz w:val="22"/>
          <w:szCs w:val="22"/>
          <w:lang w:val="en-GB"/>
        </w:rPr>
        <w:t xml:space="preserve">n insolvency representative then </w:t>
      </w:r>
      <w:r w:rsidR="00F62000" w:rsidRPr="0005777E">
        <w:rPr>
          <w:rFonts w:ascii="Avenir Next" w:hAnsi="Avenir Next" w:cs="Arial"/>
          <w:sz w:val="22"/>
          <w:szCs w:val="22"/>
          <w:lang w:val="en-GB"/>
        </w:rPr>
        <w:t>discovered there was already</w:t>
      </w:r>
      <w:r w:rsidRPr="0005777E">
        <w:rPr>
          <w:rFonts w:ascii="Avenir Next" w:hAnsi="Avenir Next" w:cs="Arial"/>
          <w:sz w:val="22"/>
          <w:szCs w:val="22"/>
          <w:lang w:val="en-GB"/>
        </w:rPr>
        <w:t xml:space="preserve"> a concurrent insolvency proceeding commenced against </w:t>
      </w:r>
      <w:r w:rsidR="00524840" w:rsidRPr="0005777E">
        <w:rPr>
          <w:rFonts w:ascii="Avenir Next" w:hAnsi="Avenir Next" w:cs="Arial"/>
          <w:sz w:val="22"/>
          <w:szCs w:val="22"/>
          <w:lang w:val="en-GB"/>
        </w:rPr>
        <w:t>FPPL</w:t>
      </w:r>
      <w:r w:rsidRPr="0005777E">
        <w:rPr>
          <w:rFonts w:ascii="Avenir Next" w:hAnsi="Avenir Next" w:cs="Arial"/>
          <w:sz w:val="22"/>
          <w:szCs w:val="22"/>
          <w:lang w:val="en-GB"/>
        </w:rPr>
        <w:t xml:space="preserve"> in </w:t>
      </w:r>
      <w:proofErr w:type="spellStart"/>
      <w:r w:rsidR="003E2E7C" w:rsidRPr="0005777E">
        <w:rPr>
          <w:rFonts w:ascii="Avenir Next" w:hAnsi="Avenir Next" w:cs="Arial"/>
          <w:sz w:val="22"/>
          <w:szCs w:val="22"/>
          <w:lang w:val="en-GB"/>
        </w:rPr>
        <w:t>Encanto</w:t>
      </w:r>
      <w:proofErr w:type="spellEnd"/>
      <w:r w:rsidRPr="0005777E">
        <w:rPr>
          <w:rFonts w:ascii="Avenir Next" w:hAnsi="Avenir Next" w:cs="Arial"/>
          <w:sz w:val="22"/>
          <w:szCs w:val="22"/>
          <w:lang w:val="en-GB"/>
        </w:rPr>
        <w:t xml:space="preserve">. </w:t>
      </w:r>
      <w:r w:rsidR="00F62000" w:rsidRPr="0005777E">
        <w:rPr>
          <w:rFonts w:ascii="Avenir Next" w:hAnsi="Avenir Next" w:cs="Arial"/>
          <w:sz w:val="22"/>
          <w:szCs w:val="22"/>
          <w:lang w:val="en-GB"/>
        </w:rPr>
        <w:t xml:space="preserve">Detail difficulties that may arise </w:t>
      </w:r>
      <w:r w:rsidR="00E01C69" w:rsidRPr="0005777E">
        <w:rPr>
          <w:rFonts w:ascii="Avenir Next" w:hAnsi="Avenir Next" w:cs="Arial"/>
          <w:sz w:val="22"/>
          <w:szCs w:val="22"/>
          <w:lang w:val="en-GB"/>
        </w:rPr>
        <w:t xml:space="preserve">for the insolvency representative </w:t>
      </w:r>
      <w:r w:rsidR="00586968" w:rsidRPr="0005777E">
        <w:rPr>
          <w:rFonts w:ascii="Avenir Next" w:hAnsi="Avenir Next" w:cs="Arial"/>
          <w:sz w:val="22"/>
          <w:szCs w:val="22"/>
          <w:lang w:val="en-GB"/>
        </w:rPr>
        <w:t xml:space="preserve">pertaining to </w:t>
      </w:r>
      <w:r w:rsidR="00586968" w:rsidRPr="0005777E">
        <w:rPr>
          <w:rFonts w:ascii="Avenir Next" w:hAnsi="Avenir Next" w:cs="Arial"/>
          <w:sz w:val="22"/>
          <w:szCs w:val="22"/>
        </w:rPr>
        <w:t xml:space="preserve">co-operation and co-ordination </w:t>
      </w:r>
      <w:r w:rsidR="00F62000" w:rsidRPr="0005777E">
        <w:rPr>
          <w:rFonts w:ascii="Avenir Next" w:hAnsi="Avenir Next" w:cs="Arial"/>
          <w:sz w:val="22"/>
          <w:szCs w:val="22"/>
          <w:lang w:val="en-GB"/>
        </w:rPr>
        <w:t xml:space="preserve">and the </w:t>
      </w:r>
      <w:r w:rsidRPr="0005777E">
        <w:rPr>
          <w:rFonts w:ascii="Avenir Next" w:hAnsi="Avenir Next" w:cs="Arial"/>
          <w:sz w:val="22"/>
          <w:szCs w:val="22"/>
          <w:lang w:val="en-GB"/>
        </w:rPr>
        <w:t xml:space="preserve">international insolvency instruments that have been developed to assist </w:t>
      </w:r>
      <w:r w:rsidR="00F62000" w:rsidRPr="0005777E">
        <w:rPr>
          <w:rFonts w:ascii="Avenir Next" w:hAnsi="Avenir Next" w:cs="Arial"/>
          <w:sz w:val="22"/>
          <w:szCs w:val="22"/>
          <w:lang w:val="en-GB"/>
        </w:rPr>
        <w:t>with respect to those difficulties.</w:t>
      </w:r>
      <w:r w:rsidRPr="0005777E">
        <w:rPr>
          <w:rFonts w:ascii="Avenir Next" w:hAnsi="Avenir Next" w:cs="Arial"/>
          <w:sz w:val="22"/>
          <w:szCs w:val="22"/>
          <w:lang w:val="en-GB"/>
        </w:rPr>
        <w:t xml:space="preserve"> </w:t>
      </w:r>
      <w:r w:rsidR="00193AD3" w:rsidRPr="0005777E">
        <w:rPr>
          <w:rFonts w:ascii="Avenir Next" w:hAnsi="Avenir Next" w:cs="Arial"/>
          <w:sz w:val="22"/>
          <w:szCs w:val="22"/>
          <w:lang w:val="en-GB"/>
        </w:rPr>
        <w:t>In your answer make sure to comment as to whether the development of these international insolvency instruments is important and why</w:t>
      </w:r>
      <w:r w:rsidR="00940C1F" w:rsidRPr="0005777E">
        <w:rPr>
          <w:rFonts w:ascii="Avenir Next" w:hAnsi="Avenir Next" w:cs="Arial"/>
          <w:sz w:val="22"/>
          <w:szCs w:val="22"/>
          <w:lang w:val="en-GB"/>
        </w:rPr>
        <w:t>,</w:t>
      </w:r>
      <w:r w:rsidR="00586968" w:rsidRPr="0005777E">
        <w:rPr>
          <w:rFonts w:ascii="Avenir Next" w:hAnsi="Avenir Next" w:cs="Arial"/>
          <w:sz w:val="22"/>
          <w:szCs w:val="22"/>
          <w:lang w:val="en-GB"/>
        </w:rPr>
        <w:t xml:space="preserve"> or why not</w:t>
      </w:r>
      <w:r w:rsidR="00193AD3" w:rsidRPr="0005777E">
        <w:rPr>
          <w:rFonts w:ascii="Avenir Next" w:hAnsi="Avenir Next" w:cs="Arial"/>
          <w:sz w:val="22"/>
          <w:szCs w:val="22"/>
          <w:lang w:val="en-GB"/>
        </w:rPr>
        <w: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75D04102" w14:textId="7F15F91B" w:rsidR="00E03487" w:rsidRDefault="00E03487" w:rsidP="001E1C34">
      <w:pPr>
        <w:ind w:left="720" w:hanging="720"/>
        <w:jc w:val="both"/>
        <w:rPr>
          <w:rFonts w:ascii="Avenir Next" w:hAnsi="Avenir Next" w:cs="Arial"/>
          <w:sz w:val="22"/>
          <w:szCs w:val="22"/>
          <w:lang w:val="en-GB"/>
        </w:rPr>
      </w:pPr>
      <w:r>
        <w:rPr>
          <w:rFonts w:ascii="Avenir Next" w:hAnsi="Avenir Next" w:cs="Arial"/>
          <w:sz w:val="22"/>
          <w:szCs w:val="22"/>
          <w:lang w:val="en-GB"/>
        </w:rPr>
        <w:t>The insolvency representative may face the following difficulties:</w:t>
      </w:r>
    </w:p>
    <w:p w14:paraId="09027E04" w14:textId="3A99B168" w:rsidR="00E03487" w:rsidRDefault="00E03487" w:rsidP="00E03487">
      <w:pPr>
        <w:pStyle w:val="ListParagraph"/>
        <w:numPr>
          <w:ilvl w:val="0"/>
          <w:numId w:val="27"/>
        </w:numPr>
        <w:jc w:val="both"/>
        <w:rPr>
          <w:rFonts w:ascii="Avenir Next" w:hAnsi="Avenir Next" w:cs="Arial"/>
          <w:sz w:val="22"/>
          <w:szCs w:val="22"/>
          <w:lang w:val="en-GB"/>
        </w:rPr>
      </w:pPr>
      <w:r>
        <w:rPr>
          <w:rFonts w:ascii="Avenir Next" w:hAnsi="Avenir Next" w:cs="Arial"/>
          <w:b/>
          <w:bCs/>
          <w:sz w:val="22"/>
          <w:szCs w:val="22"/>
          <w:lang w:val="en-GB"/>
        </w:rPr>
        <w:t>Risk of competing proceedings</w:t>
      </w:r>
      <w:r>
        <w:rPr>
          <w:rFonts w:ascii="Avenir Next" w:hAnsi="Avenir Next" w:cs="Arial"/>
          <w:sz w:val="22"/>
          <w:szCs w:val="22"/>
          <w:lang w:val="en-GB"/>
        </w:rPr>
        <w:t xml:space="preserve">. The proceeding in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and the proceeding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may be incompatible (</w:t>
      </w:r>
      <w:proofErr w:type="spellStart"/>
      <w:r>
        <w:rPr>
          <w:rFonts w:ascii="Avenir Next" w:hAnsi="Avenir Next" w:cs="Arial"/>
          <w:i/>
          <w:iCs/>
          <w:sz w:val="22"/>
          <w:szCs w:val="22"/>
          <w:lang w:val="en-GB"/>
        </w:rPr>
        <w:t>eg</w:t>
      </w:r>
      <w:proofErr w:type="spellEnd"/>
      <w:r>
        <w:rPr>
          <w:rFonts w:ascii="Avenir Next" w:hAnsi="Avenir Next" w:cs="Arial"/>
          <w:sz w:val="22"/>
          <w:szCs w:val="22"/>
          <w:lang w:val="en-GB"/>
        </w:rPr>
        <w:t xml:space="preserve">, if one proceeding seeks the winding-up of FPPL while the other seeks corporate restructuring). More information is needed on the nature of the proceedings taken out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and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to determine if this is the case.</w:t>
      </w:r>
    </w:p>
    <w:p w14:paraId="3537C863" w14:textId="09614DB5" w:rsidR="00E03487" w:rsidRDefault="00E03487" w:rsidP="00E03487">
      <w:pPr>
        <w:pStyle w:val="ListParagraph"/>
        <w:numPr>
          <w:ilvl w:val="0"/>
          <w:numId w:val="27"/>
        </w:numPr>
        <w:jc w:val="both"/>
        <w:rPr>
          <w:rFonts w:ascii="Avenir Next" w:hAnsi="Avenir Next" w:cs="Arial"/>
          <w:sz w:val="22"/>
          <w:szCs w:val="22"/>
          <w:lang w:val="en-GB"/>
        </w:rPr>
      </w:pPr>
      <w:r>
        <w:rPr>
          <w:rFonts w:ascii="Avenir Next" w:hAnsi="Avenir Next" w:cs="Arial"/>
          <w:b/>
          <w:bCs/>
          <w:sz w:val="22"/>
          <w:szCs w:val="22"/>
          <w:lang w:val="en-GB"/>
        </w:rPr>
        <w:lastRenderedPageBreak/>
        <w:t>Difficulty in determining applicable law</w:t>
      </w:r>
      <w:r>
        <w:rPr>
          <w:rFonts w:ascii="Avenir Next" w:hAnsi="Avenir Next" w:cs="Arial"/>
          <w:sz w:val="22"/>
          <w:szCs w:val="22"/>
          <w:lang w:val="en-GB"/>
        </w:rPr>
        <w:t xml:space="preserve">. The insolvency representative has to determine the law that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and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w:t>
      </w:r>
      <w:r w:rsidR="00794E86">
        <w:rPr>
          <w:rFonts w:ascii="Avenir Next" w:hAnsi="Avenir Next" w:cs="Arial"/>
          <w:sz w:val="22"/>
          <w:szCs w:val="22"/>
          <w:lang w:val="en-GB"/>
        </w:rPr>
        <w:t>would apply to insolvency proceedings – in the absence of any treaties or harmonised choice of law provisions, this question may be difficult to answer (</w:t>
      </w:r>
      <w:proofErr w:type="spellStart"/>
      <w:r w:rsidR="00794E86">
        <w:rPr>
          <w:rFonts w:ascii="Avenir Next" w:hAnsi="Avenir Next" w:cs="Arial"/>
          <w:i/>
          <w:iCs/>
          <w:sz w:val="22"/>
          <w:szCs w:val="22"/>
          <w:lang w:val="en-GB"/>
        </w:rPr>
        <w:t>eg</w:t>
      </w:r>
      <w:proofErr w:type="spellEnd"/>
      <w:r w:rsidR="00794E86">
        <w:rPr>
          <w:rFonts w:ascii="Avenir Next" w:hAnsi="Avenir Next" w:cs="Arial"/>
          <w:sz w:val="22"/>
          <w:szCs w:val="22"/>
          <w:lang w:val="en-GB"/>
        </w:rPr>
        <w:t xml:space="preserve">, if the private international laws of both </w:t>
      </w:r>
      <w:proofErr w:type="spellStart"/>
      <w:r w:rsidR="00794E86">
        <w:rPr>
          <w:rFonts w:ascii="Avenir Next" w:hAnsi="Avenir Next" w:cs="Arial"/>
          <w:sz w:val="22"/>
          <w:szCs w:val="22"/>
          <w:lang w:val="en-GB"/>
        </w:rPr>
        <w:t>Asgard</w:t>
      </w:r>
      <w:proofErr w:type="spellEnd"/>
      <w:r w:rsidR="00794E86">
        <w:rPr>
          <w:rFonts w:ascii="Avenir Next" w:hAnsi="Avenir Next" w:cs="Arial"/>
          <w:sz w:val="22"/>
          <w:szCs w:val="22"/>
          <w:lang w:val="en-GB"/>
        </w:rPr>
        <w:t xml:space="preserve"> and </w:t>
      </w:r>
      <w:proofErr w:type="spellStart"/>
      <w:r w:rsidR="00794E86">
        <w:rPr>
          <w:rFonts w:ascii="Avenir Next" w:hAnsi="Avenir Next" w:cs="Arial"/>
          <w:sz w:val="22"/>
          <w:szCs w:val="22"/>
          <w:lang w:val="en-GB"/>
        </w:rPr>
        <w:t>Encanto</w:t>
      </w:r>
      <w:proofErr w:type="spellEnd"/>
      <w:r w:rsidR="00794E86">
        <w:rPr>
          <w:rFonts w:ascii="Avenir Next" w:hAnsi="Avenir Next" w:cs="Arial"/>
          <w:sz w:val="22"/>
          <w:szCs w:val="22"/>
          <w:lang w:val="en-GB"/>
        </w:rPr>
        <w:t xml:space="preserve"> seem to suggest that the laws of the </w:t>
      </w:r>
      <w:r w:rsidR="00794E86">
        <w:rPr>
          <w:rFonts w:ascii="Avenir Next" w:hAnsi="Avenir Next" w:cs="Arial"/>
          <w:i/>
          <w:iCs/>
          <w:sz w:val="22"/>
          <w:szCs w:val="22"/>
          <w:lang w:val="en-GB"/>
        </w:rPr>
        <w:t xml:space="preserve">other </w:t>
      </w:r>
      <w:r w:rsidR="00794E86">
        <w:rPr>
          <w:rFonts w:ascii="Avenir Next" w:hAnsi="Avenir Next" w:cs="Arial"/>
          <w:sz w:val="22"/>
          <w:szCs w:val="22"/>
          <w:lang w:val="en-GB"/>
        </w:rPr>
        <w:t>country should apply).</w:t>
      </w:r>
    </w:p>
    <w:p w14:paraId="74EECFC0" w14:textId="2623EAE9" w:rsidR="005F68A3" w:rsidRDefault="005F68A3" w:rsidP="00E03487">
      <w:pPr>
        <w:pStyle w:val="ListParagraph"/>
        <w:numPr>
          <w:ilvl w:val="0"/>
          <w:numId w:val="27"/>
        </w:numPr>
        <w:jc w:val="both"/>
        <w:rPr>
          <w:rFonts w:ascii="Avenir Next" w:hAnsi="Avenir Next" w:cs="Arial"/>
          <w:sz w:val="22"/>
          <w:szCs w:val="22"/>
          <w:lang w:val="en-GB"/>
        </w:rPr>
      </w:pPr>
      <w:r>
        <w:rPr>
          <w:rFonts w:ascii="Avenir Next" w:hAnsi="Avenir Next" w:cs="Arial"/>
          <w:b/>
          <w:bCs/>
          <w:sz w:val="22"/>
          <w:szCs w:val="22"/>
          <w:lang w:val="en-GB"/>
        </w:rPr>
        <w:t>Difficulty in co-ordinating assets</w:t>
      </w:r>
      <w:r>
        <w:rPr>
          <w:rFonts w:ascii="Avenir Next" w:hAnsi="Avenir Next" w:cs="Arial"/>
          <w:sz w:val="22"/>
          <w:szCs w:val="22"/>
          <w:lang w:val="en-GB"/>
        </w:rPr>
        <w:t xml:space="preserve">. If the courts in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do not recognise any insolvency proceedings (or orders) made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(and </w:t>
      </w:r>
      <w:r>
        <w:rPr>
          <w:rFonts w:ascii="Avenir Next" w:hAnsi="Avenir Next" w:cs="Arial"/>
          <w:i/>
          <w:iCs/>
          <w:sz w:val="22"/>
          <w:szCs w:val="22"/>
          <w:lang w:val="en-GB"/>
        </w:rPr>
        <w:t>vice versa</w:t>
      </w:r>
      <w:r>
        <w:rPr>
          <w:rFonts w:ascii="Avenir Next" w:hAnsi="Avenir Next" w:cs="Arial"/>
          <w:sz w:val="22"/>
          <w:szCs w:val="22"/>
          <w:lang w:val="en-GB"/>
        </w:rPr>
        <w:t xml:space="preserve">), the insolvency representative may be limited in how the assets of FPPL can be distributed to creditors. For instance, even if FPPL has more debts in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xml:space="preserve"> but more assets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it may be the case that FPPL’s assets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cannot be used to pay creditors in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w:t>
      </w:r>
    </w:p>
    <w:p w14:paraId="6308939E" w14:textId="58C63063" w:rsidR="00794E86" w:rsidRDefault="00F077E9" w:rsidP="00E03487">
      <w:pPr>
        <w:pStyle w:val="ListParagraph"/>
        <w:numPr>
          <w:ilvl w:val="0"/>
          <w:numId w:val="27"/>
        </w:numPr>
        <w:jc w:val="both"/>
        <w:rPr>
          <w:rFonts w:ascii="Avenir Next" w:hAnsi="Avenir Next" w:cs="Arial"/>
          <w:sz w:val="22"/>
          <w:szCs w:val="22"/>
          <w:lang w:val="en-GB"/>
        </w:rPr>
      </w:pPr>
      <w:r>
        <w:rPr>
          <w:rFonts w:ascii="Avenir Next" w:hAnsi="Avenir Next" w:cs="Arial"/>
          <w:b/>
          <w:bCs/>
          <w:sz w:val="22"/>
          <w:szCs w:val="22"/>
          <w:lang w:val="en-GB"/>
        </w:rPr>
        <w:t xml:space="preserve">Differing terminology across jurisdictions. </w:t>
      </w:r>
      <w:r>
        <w:rPr>
          <w:rFonts w:ascii="Avenir Next" w:hAnsi="Avenir Next" w:cs="Arial"/>
          <w:sz w:val="22"/>
          <w:szCs w:val="22"/>
          <w:lang w:val="en-GB"/>
        </w:rPr>
        <w:t xml:space="preserve">There may be differences in the terminology used in insolvency legislation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and </w:t>
      </w:r>
      <w:proofErr w:type="spellStart"/>
      <w:r>
        <w:rPr>
          <w:rFonts w:ascii="Avenir Next" w:hAnsi="Avenir Next" w:cs="Arial"/>
          <w:sz w:val="22"/>
          <w:szCs w:val="22"/>
          <w:lang w:val="en-GB"/>
        </w:rPr>
        <w:t>Encanto</w:t>
      </w:r>
      <w:proofErr w:type="spellEnd"/>
      <w:r>
        <w:rPr>
          <w:rFonts w:ascii="Avenir Next" w:hAnsi="Avenir Next" w:cs="Arial"/>
          <w:sz w:val="22"/>
          <w:szCs w:val="22"/>
          <w:lang w:val="en-GB"/>
        </w:rPr>
        <w:t>, which could give rise to confusion.</w:t>
      </w:r>
    </w:p>
    <w:p w14:paraId="0CCB9FD8" w14:textId="4AF7C669" w:rsidR="00794E86" w:rsidRDefault="00794E86" w:rsidP="00E03487">
      <w:pPr>
        <w:pStyle w:val="ListParagraph"/>
        <w:numPr>
          <w:ilvl w:val="0"/>
          <w:numId w:val="27"/>
        </w:numPr>
        <w:jc w:val="both"/>
        <w:rPr>
          <w:rFonts w:ascii="Avenir Next" w:hAnsi="Avenir Next" w:cs="Arial"/>
          <w:sz w:val="22"/>
          <w:szCs w:val="22"/>
          <w:lang w:val="en-GB"/>
        </w:rPr>
      </w:pPr>
      <w:r>
        <w:rPr>
          <w:rFonts w:ascii="Avenir Next" w:hAnsi="Avenir Next" w:cs="Arial"/>
          <w:b/>
          <w:bCs/>
          <w:sz w:val="22"/>
          <w:szCs w:val="22"/>
          <w:lang w:val="en-GB"/>
        </w:rPr>
        <w:t>Risk of multiple proceedings</w:t>
      </w:r>
      <w:r>
        <w:rPr>
          <w:rFonts w:ascii="Avenir Next" w:hAnsi="Avenir Next" w:cs="Arial"/>
          <w:sz w:val="22"/>
          <w:szCs w:val="22"/>
          <w:lang w:val="en-GB"/>
        </w:rPr>
        <w:t xml:space="preserve">. </w:t>
      </w:r>
      <w:r w:rsidR="00F077E9">
        <w:rPr>
          <w:rFonts w:ascii="Avenir Next" w:hAnsi="Avenir Next" w:cs="Arial"/>
          <w:sz w:val="22"/>
          <w:szCs w:val="22"/>
          <w:lang w:val="en-GB"/>
        </w:rPr>
        <w:t xml:space="preserve">If FPPL has outstanding creditors in other jurisdictions as well, there remains the risk of further insolvency proceedings being commenced against FPPL in other jurisdictions, which would compound the difficulties listed above. </w:t>
      </w:r>
    </w:p>
    <w:p w14:paraId="1E8374DA" w14:textId="45740CA8" w:rsidR="005F68A3" w:rsidRDefault="005F68A3" w:rsidP="005F68A3">
      <w:pPr>
        <w:jc w:val="both"/>
        <w:rPr>
          <w:rFonts w:ascii="Avenir Next" w:hAnsi="Avenir Next" w:cs="Arial"/>
          <w:sz w:val="22"/>
          <w:szCs w:val="22"/>
          <w:lang w:val="en-GB"/>
        </w:rPr>
      </w:pPr>
    </w:p>
    <w:p w14:paraId="1016529D" w14:textId="22DD2234" w:rsidR="005F68A3" w:rsidRDefault="005F68A3" w:rsidP="005F68A3">
      <w:pPr>
        <w:jc w:val="both"/>
        <w:rPr>
          <w:rFonts w:ascii="Avenir Next" w:hAnsi="Avenir Next" w:cs="Arial"/>
          <w:sz w:val="22"/>
          <w:szCs w:val="22"/>
          <w:lang w:val="en-GB"/>
        </w:rPr>
      </w:pPr>
      <w:r>
        <w:rPr>
          <w:rFonts w:ascii="Avenir Next" w:hAnsi="Avenir Next" w:cs="Arial"/>
          <w:sz w:val="22"/>
          <w:szCs w:val="22"/>
          <w:lang w:val="en-GB"/>
        </w:rPr>
        <w:t>International instruments that have been developed to overcome the above difficulties generally fall into the following categories</w:t>
      </w:r>
      <w:r w:rsidR="00194754">
        <w:rPr>
          <w:rFonts w:ascii="Avenir Next" w:hAnsi="Avenir Next" w:cs="Arial"/>
          <w:sz w:val="22"/>
          <w:szCs w:val="22"/>
          <w:lang w:val="en-GB"/>
        </w:rPr>
        <w:t>:</w:t>
      </w:r>
    </w:p>
    <w:p w14:paraId="05A6B892" w14:textId="077D47C0" w:rsidR="005F68A3" w:rsidRDefault="005F68A3" w:rsidP="00194754">
      <w:pPr>
        <w:pStyle w:val="ListParagraph"/>
        <w:numPr>
          <w:ilvl w:val="0"/>
          <w:numId w:val="28"/>
        </w:numPr>
        <w:jc w:val="both"/>
        <w:rPr>
          <w:rFonts w:ascii="Avenir Next" w:hAnsi="Avenir Next" w:cs="Arial"/>
          <w:sz w:val="22"/>
          <w:szCs w:val="22"/>
          <w:lang w:val="en-GB"/>
        </w:rPr>
      </w:pPr>
      <w:r>
        <w:rPr>
          <w:rFonts w:ascii="Avenir Next" w:hAnsi="Avenir Next" w:cs="Arial"/>
          <w:b/>
          <w:bCs/>
          <w:sz w:val="22"/>
          <w:szCs w:val="22"/>
          <w:lang w:val="en-GB"/>
        </w:rPr>
        <w:t>Harmonisation of domestic insolvency laws</w:t>
      </w:r>
      <w:r>
        <w:rPr>
          <w:rFonts w:ascii="Avenir Next" w:hAnsi="Avenir Next" w:cs="Arial"/>
          <w:sz w:val="22"/>
          <w:szCs w:val="22"/>
          <w:lang w:val="en-GB"/>
        </w:rPr>
        <w:t xml:space="preserve">. </w:t>
      </w:r>
      <w:r w:rsidR="00194754">
        <w:rPr>
          <w:rFonts w:ascii="Avenir Next" w:hAnsi="Avenir Next" w:cs="Arial"/>
          <w:sz w:val="22"/>
          <w:szCs w:val="22"/>
          <w:lang w:val="en-GB"/>
        </w:rPr>
        <w:t xml:space="preserve">Greater harmony across domestic insolvency laws helps to minimise the significance of there being an international element in the insolvency, and the need to resolve international insolvency issues. Instruments that help harmonise domestic laws include </w:t>
      </w:r>
      <w:r>
        <w:rPr>
          <w:rFonts w:ascii="Avenir Next" w:hAnsi="Avenir Next" w:cs="Arial"/>
          <w:sz w:val="22"/>
          <w:szCs w:val="22"/>
          <w:lang w:val="en-GB"/>
        </w:rPr>
        <w:t>the UNCITRAL Legislative Guide on Insolvency Law</w:t>
      </w:r>
      <w:r w:rsidR="00194754">
        <w:rPr>
          <w:rFonts w:ascii="Avenir Next" w:hAnsi="Avenir Next" w:cs="Arial"/>
          <w:sz w:val="22"/>
          <w:szCs w:val="22"/>
          <w:lang w:val="en-GB"/>
        </w:rPr>
        <w:t xml:space="preserve">, which </w:t>
      </w:r>
      <w:r>
        <w:rPr>
          <w:rFonts w:ascii="Avenir Next" w:hAnsi="Avenir Next" w:cs="Arial"/>
          <w:sz w:val="22"/>
          <w:szCs w:val="22"/>
          <w:lang w:val="en-GB"/>
        </w:rPr>
        <w:t xml:space="preserve">serves as a reference to national authorities when </w:t>
      </w:r>
      <w:r w:rsidR="00194754">
        <w:rPr>
          <w:rFonts w:ascii="Avenir Next" w:hAnsi="Avenir Next" w:cs="Arial"/>
          <w:sz w:val="22"/>
          <w:szCs w:val="22"/>
          <w:lang w:val="en-GB"/>
        </w:rPr>
        <w:t xml:space="preserve">creating or reviewing national insolvency laws. From the early 2000s, the World Bank has also developed its “Principles for Effective Insolvency and Creditor / Debt Regime”, which are sometimes stipulated as a condition of loan support from the International Monetary Fund or the World Bank. </w:t>
      </w:r>
    </w:p>
    <w:p w14:paraId="1AE96967" w14:textId="4488FA72" w:rsidR="00194754" w:rsidRDefault="00194754" w:rsidP="00194754">
      <w:pPr>
        <w:pStyle w:val="ListParagraph"/>
        <w:numPr>
          <w:ilvl w:val="0"/>
          <w:numId w:val="28"/>
        </w:numPr>
        <w:jc w:val="both"/>
        <w:rPr>
          <w:rFonts w:ascii="Avenir Next" w:hAnsi="Avenir Next" w:cs="Arial"/>
          <w:sz w:val="22"/>
          <w:szCs w:val="22"/>
          <w:lang w:val="en-GB"/>
        </w:rPr>
      </w:pPr>
      <w:r>
        <w:rPr>
          <w:rFonts w:ascii="Avenir Next" w:hAnsi="Avenir Next" w:cs="Arial"/>
          <w:b/>
          <w:bCs/>
          <w:sz w:val="22"/>
          <w:szCs w:val="22"/>
          <w:lang w:val="en-GB"/>
        </w:rPr>
        <w:t>Uniform choice of law rules</w:t>
      </w:r>
      <w:r>
        <w:rPr>
          <w:rFonts w:ascii="Avenir Next" w:hAnsi="Avenir Next" w:cs="Arial"/>
          <w:sz w:val="22"/>
          <w:szCs w:val="22"/>
          <w:lang w:val="en-GB"/>
        </w:rPr>
        <w:t xml:space="preserve">. Having the same choice of law rules across jurisdictions reduces the need to resolve complicated choice-of-law issues, and ensures the same outcome regardless of where insolvency proceedings are commenced. For example, the Nordic Convention (1933) recognises the law of the place of insolvency adjudication as determining almost all the effects of the order in all member States, without further formalities. </w:t>
      </w:r>
    </w:p>
    <w:p w14:paraId="55FCAE12" w14:textId="39B4D665" w:rsidR="00194754" w:rsidRDefault="00194754" w:rsidP="00194754">
      <w:pPr>
        <w:pStyle w:val="ListParagraph"/>
        <w:numPr>
          <w:ilvl w:val="0"/>
          <w:numId w:val="28"/>
        </w:numPr>
        <w:jc w:val="both"/>
        <w:rPr>
          <w:rFonts w:ascii="Avenir Next" w:hAnsi="Avenir Next" w:cs="Arial"/>
          <w:sz w:val="22"/>
          <w:szCs w:val="22"/>
          <w:lang w:val="en-GB"/>
        </w:rPr>
      </w:pPr>
      <w:r>
        <w:rPr>
          <w:rFonts w:ascii="Avenir Next" w:hAnsi="Avenir Next" w:cs="Arial"/>
          <w:b/>
          <w:bCs/>
          <w:sz w:val="22"/>
          <w:szCs w:val="22"/>
          <w:lang w:val="en-GB"/>
        </w:rPr>
        <w:t>Uniform recognition laws</w:t>
      </w:r>
      <w:r>
        <w:rPr>
          <w:rFonts w:ascii="Avenir Next" w:hAnsi="Avenir Next" w:cs="Arial"/>
          <w:sz w:val="22"/>
          <w:szCs w:val="22"/>
          <w:lang w:val="en-GB"/>
        </w:rPr>
        <w:t xml:space="preserve"> accept that there will be concurrent proceedings</w:t>
      </w:r>
      <w:r w:rsidR="0005777E">
        <w:rPr>
          <w:rFonts w:ascii="Avenir Next" w:hAnsi="Avenir Next" w:cs="Arial"/>
          <w:sz w:val="22"/>
          <w:szCs w:val="22"/>
          <w:lang w:val="en-GB"/>
        </w:rPr>
        <w:t xml:space="preserve"> in multiple jurisdictions,</w:t>
      </w:r>
      <w:r>
        <w:rPr>
          <w:rFonts w:ascii="Avenir Next" w:hAnsi="Avenir Next" w:cs="Arial"/>
          <w:sz w:val="22"/>
          <w:szCs w:val="22"/>
          <w:lang w:val="en-GB"/>
        </w:rPr>
        <w:t xml:space="preserve"> but </w:t>
      </w:r>
      <w:r w:rsidR="0005777E">
        <w:rPr>
          <w:rFonts w:ascii="Avenir Next" w:hAnsi="Avenir Next" w:cs="Arial"/>
          <w:sz w:val="22"/>
          <w:szCs w:val="22"/>
          <w:lang w:val="en-GB"/>
        </w:rPr>
        <w:t>minimise the prospect of competing proceedings by stipulating</w:t>
      </w:r>
      <w:r>
        <w:rPr>
          <w:rFonts w:ascii="Avenir Next" w:hAnsi="Avenir Next" w:cs="Arial"/>
          <w:sz w:val="22"/>
          <w:szCs w:val="22"/>
          <w:lang w:val="en-GB"/>
        </w:rPr>
        <w:t xml:space="preserve"> which proceeding will be the main proceeding. </w:t>
      </w:r>
      <w:r w:rsidR="0005777E">
        <w:rPr>
          <w:rFonts w:ascii="Avenir Next" w:hAnsi="Avenir Next" w:cs="Arial"/>
          <w:sz w:val="22"/>
          <w:szCs w:val="22"/>
          <w:lang w:val="en-GB"/>
        </w:rPr>
        <w:t>The UNCITRAL Model Law on Cross-Border Insolvency (</w:t>
      </w:r>
      <w:r w:rsidR="0097534F">
        <w:rPr>
          <w:rFonts w:ascii="Avenir Next" w:hAnsi="Avenir Next" w:cs="Arial"/>
          <w:sz w:val="22"/>
          <w:szCs w:val="22"/>
          <w:lang w:val="en-GB"/>
        </w:rPr>
        <w:t>“</w:t>
      </w:r>
      <w:r w:rsidR="0005777E">
        <w:rPr>
          <w:rFonts w:ascii="Avenir Next" w:hAnsi="Avenir Next" w:cs="Arial"/>
          <w:sz w:val="22"/>
          <w:szCs w:val="22"/>
          <w:lang w:val="en-GB"/>
        </w:rPr>
        <w:t>MLCBI</w:t>
      </w:r>
      <w:r w:rsidR="0097534F">
        <w:rPr>
          <w:rFonts w:ascii="Avenir Next" w:hAnsi="Avenir Next" w:cs="Arial"/>
          <w:sz w:val="22"/>
          <w:szCs w:val="22"/>
          <w:lang w:val="en-GB"/>
        </w:rPr>
        <w:t>”</w:t>
      </w:r>
      <w:r w:rsidR="0005777E">
        <w:rPr>
          <w:rFonts w:ascii="Avenir Next" w:hAnsi="Avenir Next" w:cs="Arial"/>
          <w:sz w:val="22"/>
          <w:szCs w:val="22"/>
          <w:lang w:val="en-GB"/>
        </w:rPr>
        <w:t>) proposes the adoption of uniform recognition laws.</w:t>
      </w:r>
    </w:p>
    <w:p w14:paraId="602EF98F" w14:textId="5F3DC8CD" w:rsidR="0005777E" w:rsidRDefault="0005777E" w:rsidP="00194754">
      <w:pPr>
        <w:pStyle w:val="ListParagraph"/>
        <w:numPr>
          <w:ilvl w:val="0"/>
          <w:numId w:val="28"/>
        </w:numPr>
        <w:jc w:val="both"/>
        <w:rPr>
          <w:rFonts w:ascii="Avenir Next" w:hAnsi="Avenir Next" w:cs="Arial"/>
          <w:sz w:val="22"/>
          <w:szCs w:val="22"/>
          <w:lang w:val="en-GB"/>
        </w:rPr>
      </w:pPr>
      <w:r>
        <w:rPr>
          <w:rFonts w:ascii="Avenir Next" w:hAnsi="Avenir Next" w:cs="Arial"/>
          <w:b/>
          <w:bCs/>
          <w:sz w:val="22"/>
          <w:szCs w:val="22"/>
          <w:lang w:val="en-GB"/>
        </w:rPr>
        <w:t>Co-operation and co-ordination to promote recognition and enforcement</w:t>
      </w:r>
      <w:r>
        <w:rPr>
          <w:rFonts w:ascii="Avenir Next" w:hAnsi="Avenir Next" w:cs="Arial"/>
          <w:sz w:val="22"/>
          <w:szCs w:val="22"/>
          <w:lang w:val="en-GB"/>
        </w:rPr>
        <w:t>. This approach also accepts that there will be concurrent proceedings in multiple jurisdictions, and aims to overcome difficulties associated with co-ordination by promoting cooperation between States. For instance, the MLCBI obliges local courts and insolvency representatives to cooperate with foreign courts or representatives.</w:t>
      </w:r>
    </w:p>
    <w:p w14:paraId="604D46C0" w14:textId="2DC35F33" w:rsidR="0005777E" w:rsidRDefault="0005777E" w:rsidP="0005777E">
      <w:pPr>
        <w:jc w:val="both"/>
        <w:rPr>
          <w:rFonts w:ascii="Avenir Next" w:hAnsi="Avenir Next" w:cs="Arial"/>
          <w:sz w:val="22"/>
          <w:szCs w:val="22"/>
          <w:lang w:val="en-GB"/>
        </w:rPr>
      </w:pPr>
    </w:p>
    <w:p w14:paraId="3B28035A" w14:textId="16D2DFE7" w:rsidR="0005777E" w:rsidRPr="0005777E" w:rsidRDefault="0005777E" w:rsidP="0005777E">
      <w:pPr>
        <w:jc w:val="both"/>
        <w:rPr>
          <w:rFonts w:ascii="Avenir Next" w:hAnsi="Avenir Next" w:cs="Arial"/>
          <w:sz w:val="22"/>
          <w:szCs w:val="22"/>
          <w:lang w:val="en-GB"/>
        </w:rPr>
      </w:pPr>
      <w:r>
        <w:rPr>
          <w:rFonts w:ascii="Avenir Next" w:hAnsi="Avenir Next" w:cs="Arial"/>
          <w:sz w:val="22"/>
          <w:szCs w:val="22"/>
          <w:lang w:val="en-GB"/>
        </w:rPr>
        <w:t>I suggest that the development of international insolvency instruments is highly important. The root of most difficulties associated with international insolvency proceedings is the lack of (guaranteed) communication between courts of different jurisdictions, which may potentially result in incompatible outcomes or complicated choice-of-law issues. International insolvency instruments provide clarity and predictability in this area by promoting a harmonised approach to dealing with insolvency cases, and greater communication between courts.</w:t>
      </w:r>
    </w:p>
    <w:p w14:paraId="3A14E54D" w14:textId="77777777" w:rsidR="00F077E9" w:rsidRPr="00E03487" w:rsidRDefault="00F077E9" w:rsidP="00F077E9">
      <w:pPr>
        <w:pStyle w:val="ListParagraph"/>
        <w:jc w:val="both"/>
        <w:rPr>
          <w:rFonts w:ascii="Avenir Next" w:hAnsi="Avenir Next" w:cs="Arial"/>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w:t>
      </w:r>
      <w:r w:rsidR="00B12F13" w:rsidRPr="004235C0">
        <w:rPr>
          <w:rFonts w:ascii="Avenir Next" w:hAnsi="Avenir Next" w:cs="Arial"/>
          <w:sz w:val="22"/>
          <w:szCs w:val="22"/>
          <w:lang w:val="en-GB"/>
        </w:rPr>
        <w:t>Discuss whether the European Insolvency Regulation Recast would apply</w:t>
      </w:r>
      <w:r w:rsidR="00BC5898" w:rsidRPr="004235C0">
        <w:rPr>
          <w:rFonts w:ascii="Avenir Next" w:hAnsi="Avenir Next" w:cs="Arial"/>
          <w:sz w:val="22"/>
          <w:szCs w:val="22"/>
          <w:lang w:val="en-GB"/>
        </w:rPr>
        <w:t xml:space="preserve"> </w:t>
      </w:r>
      <w:r w:rsidR="00FF374B" w:rsidRPr="004235C0">
        <w:rPr>
          <w:rFonts w:ascii="Avenir Next" w:hAnsi="Avenir Next" w:cs="Arial"/>
          <w:sz w:val="22"/>
          <w:szCs w:val="22"/>
          <w:lang w:val="en-GB"/>
        </w:rPr>
        <w:t>with respect to the UK commenced insolvency proceedings</w:t>
      </w:r>
      <w:r w:rsidR="00FC30E1" w:rsidRPr="004235C0">
        <w:rPr>
          <w:rFonts w:ascii="Avenir Next" w:hAnsi="Avenir Next" w:cs="Arial"/>
          <w:sz w:val="22"/>
          <w:szCs w:val="22"/>
          <w:lang w:val="en-GB"/>
        </w:rPr>
        <w:t>, and the consequences of same</w:t>
      </w:r>
      <w:r w:rsidR="00276414" w:rsidRPr="004235C0">
        <w:rPr>
          <w:rFonts w:ascii="Avenir Next" w:hAnsi="Avenir Next" w:cs="Arial"/>
          <w:sz w:val="22"/>
          <w:szCs w:val="22"/>
          <w:lang w:val="en-GB"/>
        </w:rPr>
        <w:t>. In</w:t>
      </w:r>
      <w:r w:rsidR="00276414" w:rsidRPr="004216EA">
        <w:rPr>
          <w:rFonts w:ascii="Avenir Next" w:hAnsi="Avenir Next" w:cs="Arial"/>
          <w:sz w:val="22"/>
          <w:szCs w:val="22"/>
          <w:lang w:val="en-GB"/>
        </w:rPr>
        <w:t xml:space="preserve">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3DBD72B" w14:textId="4755633A" w:rsidR="00795AA7" w:rsidRDefault="00795AA7" w:rsidP="004235C0">
      <w:pPr>
        <w:ind w:left="720" w:hanging="720"/>
        <w:jc w:val="both"/>
        <w:rPr>
          <w:rFonts w:ascii="Avenir Next" w:hAnsi="Avenir Next" w:cs="Arial"/>
          <w:sz w:val="22"/>
          <w:szCs w:val="22"/>
          <w:lang w:val="en-GB"/>
        </w:rPr>
      </w:pPr>
      <w:r w:rsidRPr="00795AA7">
        <w:rPr>
          <w:rFonts w:ascii="Avenir Next" w:hAnsi="Avenir Next" w:cs="Arial"/>
          <w:sz w:val="22"/>
          <w:szCs w:val="22"/>
          <w:lang w:val="en-GB"/>
        </w:rPr>
        <w:t>The EIR Recast ceased to apply in the UK from 11.00pm on 31 December 2020 following the UK’s exit from the European Union</w:t>
      </w:r>
      <w:r w:rsidR="004235C0">
        <w:rPr>
          <w:rFonts w:ascii="Avenir Next" w:hAnsi="Avenir Next" w:cs="Arial"/>
          <w:sz w:val="22"/>
          <w:szCs w:val="22"/>
          <w:lang w:val="en-GB"/>
        </w:rPr>
        <w:t>,</w:t>
      </w:r>
      <w:r>
        <w:rPr>
          <w:rStyle w:val="FootnoteReference"/>
          <w:rFonts w:ascii="Avenir Next" w:hAnsi="Avenir Next" w:cs="Arial"/>
          <w:sz w:val="22"/>
          <w:szCs w:val="22"/>
          <w:lang w:val="en-GB"/>
        </w:rPr>
        <w:footnoteReference w:id="6"/>
      </w:r>
      <w:r w:rsidR="004235C0">
        <w:rPr>
          <w:rFonts w:ascii="Avenir Next" w:hAnsi="Avenir Next" w:cs="Arial"/>
          <w:sz w:val="22"/>
          <w:szCs w:val="22"/>
          <w:lang w:val="en-GB"/>
        </w:rPr>
        <w:t xml:space="preserve"> and thus does not apply to the proceedings commenced against FPPL in the UK on 30 June 2022. Assuming that the European country in which Lobo is considering opening </w:t>
      </w:r>
      <w:r w:rsidR="004A20FF">
        <w:rPr>
          <w:rFonts w:ascii="Avenir Next" w:hAnsi="Avenir Next" w:cs="Arial"/>
          <w:sz w:val="22"/>
          <w:szCs w:val="22"/>
          <w:lang w:val="en-GB"/>
        </w:rPr>
        <w:t xml:space="preserve">proceedings is </w:t>
      </w:r>
      <w:r w:rsidR="00E033FD">
        <w:rPr>
          <w:rFonts w:ascii="Avenir Next" w:hAnsi="Avenir Next" w:cs="Arial"/>
          <w:sz w:val="22"/>
          <w:szCs w:val="22"/>
          <w:lang w:val="en-GB"/>
        </w:rPr>
        <w:t xml:space="preserve">bound by the EIR Recast, this means that the European country does not have to consider if the UK is FPPL’s centre of main interest (and therefore whether the UK proceeding is a main insolvency proceeding) under Art 3(1) of the EIR Recast. </w:t>
      </w:r>
      <w:r w:rsidR="002833EE">
        <w:rPr>
          <w:rFonts w:ascii="Avenir Next" w:hAnsi="Avenir Next" w:cs="Arial"/>
          <w:sz w:val="22"/>
          <w:szCs w:val="22"/>
          <w:lang w:val="en-GB"/>
        </w:rPr>
        <w:t xml:space="preserve">Any judgment handed down by the UK courts would also not be conferred automatic recognition by the European country under Art 19 of the EIR Recast. The European country would also not be obliged to apply UK law pursuant to Art 7 of the EIR Recast. Instead, </w:t>
      </w:r>
      <w:r w:rsidR="009E4990">
        <w:rPr>
          <w:rFonts w:ascii="Avenir Next" w:hAnsi="Avenir Next" w:cs="Arial"/>
          <w:sz w:val="22"/>
          <w:szCs w:val="22"/>
          <w:lang w:val="en-GB"/>
        </w:rPr>
        <w:t xml:space="preserve">these </w:t>
      </w:r>
      <w:r w:rsidR="002833EE">
        <w:rPr>
          <w:rFonts w:ascii="Avenir Next" w:hAnsi="Avenir Next" w:cs="Arial"/>
          <w:sz w:val="22"/>
          <w:szCs w:val="22"/>
          <w:lang w:val="en-GB"/>
        </w:rPr>
        <w:t xml:space="preserve">questions would likely be resolved with regard to the European country’s own laws on recognition of foreign judgments and choice of law (in the absence of any bilateral treaties or other conventions between it and the UK). </w:t>
      </w:r>
    </w:p>
    <w:p w14:paraId="709A79EB" w14:textId="71442A19" w:rsidR="002833EE" w:rsidRDefault="002833EE" w:rsidP="004235C0">
      <w:pPr>
        <w:ind w:left="720" w:hanging="720"/>
        <w:jc w:val="both"/>
        <w:rPr>
          <w:rFonts w:ascii="Avenir Next" w:hAnsi="Avenir Next" w:cs="Arial"/>
          <w:sz w:val="22"/>
          <w:szCs w:val="22"/>
          <w:lang w:val="en-GB"/>
        </w:rPr>
      </w:pPr>
    </w:p>
    <w:p w14:paraId="5F0FF97D" w14:textId="6991B309" w:rsidR="002833EE" w:rsidRPr="00474EB4" w:rsidRDefault="002833EE" w:rsidP="00474EB4">
      <w:pPr>
        <w:ind w:left="720" w:hanging="720"/>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From the perspective of the UK court, the UK court will also determine questions of jurisdiction</w:t>
      </w:r>
      <w:r w:rsidR="00474EB4">
        <w:rPr>
          <w:rFonts w:ascii="Avenir Next" w:hAnsi="Avenir Next" w:cs="Arial"/>
          <w:sz w:val="22"/>
          <w:szCs w:val="22"/>
          <w:lang w:val="en-GB"/>
        </w:rPr>
        <w:t xml:space="preserve">, </w:t>
      </w:r>
      <w:r>
        <w:rPr>
          <w:rFonts w:ascii="Avenir Next" w:hAnsi="Avenir Next" w:cs="Arial"/>
          <w:sz w:val="22"/>
          <w:szCs w:val="22"/>
          <w:lang w:val="en-GB"/>
        </w:rPr>
        <w:t xml:space="preserve">applicable law </w:t>
      </w:r>
      <w:r w:rsidR="00474EB4">
        <w:rPr>
          <w:rFonts w:ascii="Avenir Next" w:hAnsi="Avenir Next" w:cs="Arial"/>
          <w:sz w:val="22"/>
          <w:szCs w:val="22"/>
          <w:lang w:val="en-GB"/>
        </w:rPr>
        <w:t xml:space="preserve">and recognition of foreign insolvency judgments </w:t>
      </w:r>
      <w:r>
        <w:rPr>
          <w:rFonts w:ascii="Avenir Next" w:hAnsi="Avenir Next" w:cs="Arial"/>
          <w:sz w:val="22"/>
          <w:szCs w:val="22"/>
          <w:lang w:val="en-GB"/>
        </w:rPr>
        <w:t xml:space="preserve">with regard to its own </w:t>
      </w:r>
      <w:r w:rsidR="009E4990">
        <w:rPr>
          <w:rFonts w:ascii="Avenir Next" w:hAnsi="Avenir Next" w:cs="Arial"/>
          <w:sz w:val="22"/>
          <w:szCs w:val="22"/>
          <w:lang w:val="en-GB"/>
        </w:rPr>
        <w:t xml:space="preserve">domestic law. </w:t>
      </w:r>
      <w:r w:rsidR="00474EB4">
        <w:rPr>
          <w:rFonts w:ascii="Avenir Next" w:hAnsi="Avenir Next" w:cs="Arial"/>
          <w:sz w:val="22"/>
          <w:szCs w:val="22"/>
          <w:lang w:val="en-GB"/>
        </w:rPr>
        <w:t>In relation to</w:t>
      </w:r>
      <w:r w:rsidR="009E4990">
        <w:rPr>
          <w:rFonts w:ascii="Avenir Next" w:hAnsi="Avenir Next" w:cs="Arial"/>
          <w:sz w:val="22"/>
          <w:szCs w:val="22"/>
          <w:lang w:val="en-GB"/>
        </w:rPr>
        <w:t xml:space="preserve"> the question of jurisdiction, a UK court will most likely find that it has jurisdiction to hear insolvency proceedings since FPPL is incorporated in the UK. </w:t>
      </w:r>
      <w:r w:rsidR="00474EB4">
        <w:rPr>
          <w:rFonts w:ascii="Avenir Next" w:hAnsi="Avenir Next" w:cs="Arial"/>
          <w:sz w:val="22"/>
          <w:szCs w:val="22"/>
          <w:lang w:val="en-GB"/>
        </w:rPr>
        <w:t>As for the applicable law, UK law will likely apply as a matter of procedure, while t</w:t>
      </w:r>
      <w:r>
        <w:rPr>
          <w:rFonts w:ascii="Avenir Next" w:hAnsi="Avenir Next" w:cs="Arial"/>
          <w:sz w:val="22"/>
          <w:szCs w:val="22"/>
          <w:lang w:val="en-GB"/>
        </w:rPr>
        <w:t>he Rome I and Rome II statutes should continue to apply to the choice of law applicable to contractual and non-contractual obligations.</w:t>
      </w:r>
      <w:r w:rsidR="00474EB4">
        <w:rPr>
          <w:rFonts w:ascii="Avenir Next" w:hAnsi="Avenir Next" w:cs="Arial"/>
          <w:sz w:val="22"/>
          <w:szCs w:val="22"/>
          <w:lang w:val="en-GB"/>
        </w:rPr>
        <w:t xml:space="preserve"> In relation to the recognition of foreign judgments, it may still be the case that UK courts will “</w:t>
      </w:r>
      <w:r w:rsidR="00474EB4" w:rsidRPr="00474EB4">
        <w:rPr>
          <w:rFonts w:ascii="Avenir Next" w:hAnsi="Avenir Next" w:cs="Arial"/>
          <w:sz w:val="22"/>
          <w:szCs w:val="22"/>
          <w:lang w:val="en-GB"/>
        </w:rPr>
        <w:t>so far as is consistent with justice</w:t>
      </w:r>
      <w:r w:rsidR="00474EB4">
        <w:rPr>
          <w:rFonts w:ascii="Avenir Next" w:hAnsi="Avenir Next" w:cs="Arial"/>
          <w:sz w:val="22"/>
          <w:szCs w:val="22"/>
          <w:lang w:val="en-GB"/>
        </w:rPr>
        <w:t xml:space="preserve"> </w:t>
      </w:r>
      <w:r w:rsidR="00474EB4" w:rsidRPr="00474EB4">
        <w:rPr>
          <w:rFonts w:ascii="Avenir Next" w:hAnsi="Avenir Next" w:cs="Arial"/>
          <w:sz w:val="22"/>
          <w:szCs w:val="22"/>
          <w:lang w:val="en-GB"/>
        </w:rPr>
        <w:t>and UK public policy, co-operate with the courts in the country of the principal</w:t>
      </w:r>
      <w:r w:rsidR="00474EB4">
        <w:rPr>
          <w:rFonts w:ascii="Avenir Next" w:hAnsi="Avenir Next" w:cs="Arial"/>
          <w:sz w:val="22"/>
          <w:szCs w:val="22"/>
          <w:lang w:val="en-GB"/>
        </w:rPr>
        <w:t xml:space="preserve"> </w:t>
      </w:r>
      <w:r w:rsidR="00474EB4" w:rsidRPr="00474EB4">
        <w:rPr>
          <w:rFonts w:ascii="Avenir Next" w:hAnsi="Avenir Next" w:cs="Arial"/>
          <w:sz w:val="22"/>
          <w:szCs w:val="22"/>
          <w:lang w:val="en-GB"/>
        </w:rPr>
        <w:t>liquidation to ensure that all the company's assets are distributed to its creditors</w:t>
      </w:r>
      <w:r w:rsidR="00474EB4">
        <w:rPr>
          <w:rFonts w:ascii="Avenir Next" w:hAnsi="Avenir Next" w:cs="Arial"/>
          <w:sz w:val="22"/>
          <w:szCs w:val="22"/>
          <w:lang w:val="en-GB"/>
        </w:rPr>
        <w:t xml:space="preserve"> </w:t>
      </w:r>
      <w:r w:rsidR="00474EB4" w:rsidRPr="00474EB4">
        <w:rPr>
          <w:rFonts w:ascii="Avenir Next" w:hAnsi="Avenir Next" w:cs="Arial"/>
          <w:sz w:val="22"/>
          <w:szCs w:val="22"/>
          <w:lang w:val="en-GB"/>
        </w:rPr>
        <w:t>under a single system of distribution</w:t>
      </w:r>
      <w:r w:rsidR="00474EB4">
        <w:rPr>
          <w:rFonts w:ascii="Avenir Next" w:hAnsi="Avenir Next" w:cs="Arial"/>
          <w:sz w:val="22"/>
          <w:szCs w:val="22"/>
          <w:lang w:val="en-GB"/>
        </w:rPr>
        <w:t>” (</w:t>
      </w:r>
      <w:r w:rsidR="00474EB4">
        <w:rPr>
          <w:rFonts w:ascii="Avenir Next" w:hAnsi="Avenir Next" w:cs="Arial"/>
          <w:i/>
          <w:iCs/>
          <w:sz w:val="22"/>
          <w:szCs w:val="22"/>
          <w:lang w:val="en-GB"/>
        </w:rPr>
        <w:t xml:space="preserve">McGrath v Riddell </w:t>
      </w:r>
      <w:r w:rsidR="00474EB4" w:rsidRPr="00474EB4">
        <w:rPr>
          <w:rFonts w:ascii="Avenir Next" w:hAnsi="Avenir Next" w:cs="Arial"/>
          <w:sz w:val="22"/>
          <w:szCs w:val="22"/>
          <w:lang w:val="en-GB"/>
        </w:rPr>
        <w:t>[2008] UKHL 21</w:t>
      </w:r>
      <w:r w:rsidR="00474EB4">
        <w:rPr>
          <w:rFonts w:ascii="Avenir Next" w:hAnsi="Avenir Next" w:cs="Arial"/>
          <w:sz w:val="22"/>
          <w:szCs w:val="22"/>
          <w:lang w:val="en-GB"/>
        </w:rPr>
        <w:t xml:space="preserve"> at [30], </w:t>
      </w:r>
      <w:r w:rsidR="00474EB4">
        <w:rPr>
          <w:rFonts w:ascii="Avenir Next" w:hAnsi="Avenir Next" w:cs="Arial"/>
          <w:i/>
          <w:iCs/>
          <w:sz w:val="22"/>
          <w:szCs w:val="22"/>
          <w:lang w:val="en-GB"/>
        </w:rPr>
        <w:t xml:space="preserve">per </w:t>
      </w:r>
      <w:r w:rsidR="00474EB4">
        <w:rPr>
          <w:rFonts w:ascii="Avenir Next" w:hAnsi="Avenir Next" w:cs="Arial"/>
          <w:sz w:val="22"/>
          <w:szCs w:val="22"/>
          <w:lang w:val="en-GB"/>
        </w:rPr>
        <w:t>Lord Hoffmann).</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9108" w14:textId="77777777" w:rsidR="005E4099" w:rsidRDefault="005E4099" w:rsidP="00241B44">
      <w:r>
        <w:separator/>
      </w:r>
    </w:p>
  </w:endnote>
  <w:endnote w:type="continuationSeparator" w:id="0">
    <w:p w14:paraId="04DAD7E5" w14:textId="77777777" w:rsidR="005E4099" w:rsidRDefault="005E40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4D40ED7F"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C15072">
          <w:rPr>
            <w:rStyle w:val="PageNumber"/>
            <w:rFonts w:ascii="Avenir Next" w:hAnsi="Avenir Next" w:cs="Arial"/>
            <w:noProof/>
            <w:sz w:val="22"/>
            <w:szCs w:val="22"/>
          </w:rPr>
          <w:t>13</w:t>
        </w:r>
        <w:r w:rsidRPr="00297BDF">
          <w:rPr>
            <w:rStyle w:val="PageNumber"/>
            <w:rFonts w:ascii="Avenir Next" w:hAnsi="Avenir Next" w:cs="Arial"/>
            <w:sz w:val="22"/>
            <w:szCs w:val="22"/>
          </w:rPr>
          <w:fldChar w:fldCharType="end"/>
        </w:r>
      </w:p>
    </w:sdtContent>
  </w:sdt>
  <w:p w14:paraId="12ABA5E1" w14:textId="2C6E5BA8" w:rsidR="00B64A85" w:rsidRPr="00297BDF" w:rsidRDefault="00FB13A9" w:rsidP="0052732A">
    <w:pPr>
      <w:pStyle w:val="Footer"/>
      <w:ind w:right="360"/>
      <w:rPr>
        <w:rFonts w:ascii="Avenir Next" w:hAnsi="Avenir Next" w:cs="Arial"/>
        <w:sz w:val="22"/>
        <w:szCs w:val="22"/>
      </w:rPr>
    </w:pPr>
    <w:r w:rsidRPr="00FB13A9">
      <w:rPr>
        <w:rFonts w:ascii="Avenir Next" w:hAnsi="Avenir Next" w:cs="Arial"/>
        <w:sz w:val="22"/>
        <w:szCs w:val="22"/>
      </w:rPr>
      <w:t>202223-992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F955" w14:textId="77777777" w:rsidR="005E4099" w:rsidRDefault="005E4099" w:rsidP="00241B44">
      <w:r>
        <w:separator/>
      </w:r>
    </w:p>
  </w:footnote>
  <w:footnote w:type="continuationSeparator" w:id="0">
    <w:p w14:paraId="7891D271" w14:textId="77777777" w:rsidR="005E4099" w:rsidRDefault="005E4099" w:rsidP="00241B44">
      <w:r>
        <w:continuationSeparator/>
      </w:r>
    </w:p>
  </w:footnote>
  <w:footnote w:id="1">
    <w:p w14:paraId="0B10E768" w14:textId="2BC75CBA" w:rsidR="00CB608A" w:rsidRPr="00CB608A" w:rsidRDefault="00CB608A" w:rsidP="00CB608A">
      <w:pPr>
        <w:pStyle w:val="FootnoteText"/>
        <w:ind w:left="720" w:hanging="720"/>
      </w:pPr>
      <w:r>
        <w:rPr>
          <w:rStyle w:val="FootnoteReference"/>
        </w:rPr>
        <w:footnoteRef/>
      </w:r>
      <w:r>
        <w:t xml:space="preserve"> </w:t>
      </w:r>
      <w:r>
        <w:tab/>
        <w:t xml:space="preserve">This is also available at </w:t>
      </w:r>
      <w:hyperlink r:id="rId1" w:history="1">
        <w:r w:rsidRPr="00D27F89">
          <w:rPr>
            <w:rStyle w:val="Hyperlink"/>
          </w:rPr>
          <w:t>https://www.iflr.com/article/2a644i5fuqxtao9ihy0hs/new-bankruptcy-act-to-boost-thai-economy</w:t>
        </w:r>
      </w:hyperlink>
      <w:r>
        <w:t xml:space="preserve"> </w:t>
      </w:r>
    </w:p>
  </w:footnote>
  <w:footnote w:id="2">
    <w:p w14:paraId="59EF4D7D" w14:textId="1A87F4BD" w:rsidR="00D308D3" w:rsidRPr="00D308D3" w:rsidRDefault="00D308D3">
      <w:pPr>
        <w:pStyle w:val="FootnoteText"/>
      </w:pPr>
      <w:r>
        <w:rPr>
          <w:rStyle w:val="FootnoteReference"/>
        </w:rPr>
        <w:footnoteRef/>
      </w:r>
      <w:r>
        <w:t xml:space="preserve"> </w:t>
      </w:r>
      <w:r>
        <w:tab/>
        <w:t xml:space="preserve">I F Fletcher, </w:t>
      </w:r>
      <w:r>
        <w:rPr>
          <w:i/>
          <w:iCs/>
        </w:rPr>
        <w:t>The Law of Insolvency</w:t>
      </w:r>
      <w:r>
        <w:t>, London (Sweet and Maxwell, 5</w:t>
      </w:r>
      <w:r w:rsidRPr="00D308D3">
        <w:rPr>
          <w:vertAlign w:val="superscript"/>
        </w:rPr>
        <w:t>th</w:t>
      </w:r>
      <w:r>
        <w:t xml:space="preserve"> Ed, 2017), para 32-058.</w:t>
      </w:r>
    </w:p>
  </w:footnote>
  <w:footnote w:id="3">
    <w:p w14:paraId="5E4D3775" w14:textId="7B4F54D4" w:rsidR="00D161B0" w:rsidRPr="00D161B0" w:rsidRDefault="00D161B0">
      <w:pPr>
        <w:pStyle w:val="FootnoteText"/>
      </w:pPr>
      <w:r>
        <w:rPr>
          <w:rStyle w:val="FootnoteReference"/>
        </w:rPr>
        <w:footnoteRef/>
      </w:r>
      <w:r>
        <w:t xml:space="preserve"> </w:t>
      </w:r>
      <w:r>
        <w:tab/>
      </w:r>
      <w:r w:rsidRPr="00D161B0">
        <w:rPr>
          <w:i/>
          <w:iCs/>
        </w:rPr>
        <w:t>In re Nortel Networks, Inc.</w:t>
      </w:r>
      <w:r w:rsidRPr="00D161B0">
        <w:t>, 669 F.3d 128 (3d Cir. 2011).</w:t>
      </w:r>
    </w:p>
  </w:footnote>
  <w:footnote w:id="4">
    <w:p w14:paraId="127226ED" w14:textId="13DEE0B5" w:rsidR="00222E91" w:rsidRPr="00222E91" w:rsidRDefault="00222E91">
      <w:pPr>
        <w:pStyle w:val="FootnoteText"/>
      </w:pPr>
      <w:r>
        <w:rPr>
          <w:rStyle w:val="FootnoteReference"/>
        </w:rPr>
        <w:footnoteRef/>
      </w:r>
      <w:r>
        <w:t xml:space="preserve"> </w:t>
      </w:r>
      <w:r>
        <w:tab/>
      </w:r>
      <w:r w:rsidRPr="00222E91">
        <w:t>UNCITRAL Legislative Guide to Insolvency Law, p 136.</w:t>
      </w:r>
    </w:p>
  </w:footnote>
  <w:footnote w:id="5">
    <w:p w14:paraId="58AF981C" w14:textId="7C541B2A" w:rsidR="00356EC1" w:rsidRPr="00356EC1" w:rsidRDefault="00356EC1">
      <w:pPr>
        <w:pStyle w:val="FootnoteText"/>
        <w:rPr>
          <w:lang w:val="en-GB"/>
        </w:rPr>
      </w:pPr>
      <w:r>
        <w:rPr>
          <w:rStyle w:val="FootnoteReference"/>
        </w:rPr>
        <w:footnoteRef/>
      </w:r>
      <w:r>
        <w:t xml:space="preserve"> </w:t>
      </w:r>
      <w:r>
        <w:rPr>
          <w:lang w:val="en-GB"/>
        </w:rPr>
        <w:tab/>
        <w:t>UNCITRAL Legislative Guide to Insolvency Law 2004, pp 9</w:t>
      </w:r>
      <w:r>
        <w:rPr>
          <w:lang w:val="en-GB"/>
        </w:rPr>
        <w:softHyphen/>
      </w:r>
      <w:r>
        <w:rPr>
          <w:lang w:val="en-GB"/>
        </w:rPr>
        <w:softHyphen/>
      </w:r>
      <w:r>
        <w:rPr>
          <w:lang w:val="en-GB"/>
        </w:rPr>
        <w:softHyphen/>
      </w:r>
      <w:r>
        <w:rPr>
          <w:lang w:val="en-GB"/>
        </w:rPr>
        <w:softHyphen/>
      </w:r>
      <w:r>
        <w:rPr>
          <w:lang w:val="en-GB"/>
        </w:rPr>
        <w:sym w:font="Symbol" w:char="F02D"/>
      </w:r>
      <w:r>
        <w:rPr>
          <w:lang w:val="en-GB"/>
        </w:rPr>
        <w:t>10.</w:t>
      </w:r>
    </w:p>
  </w:footnote>
  <w:footnote w:id="6">
    <w:p w14:paraId="1C999AF6" w14:textId="3D05DECF" w:rsidR="00795AA7" w:rsidRPr="00795AA7" w:rsidRDefault="00795AA7">
      <w:pPr>
        <w:pStyle w:val="FootnoteText"/>
        <w:rPr>
          <w:lang w:val="en-GB"/>
        </w:rPr>
      </w:pPr>
      <w:r>
        <w:rPr>
          <w:rStyle w:val="FootnoteReference"/>
        </w:rPr>
        <w:footnoteRef/>
      </w:r>
      <w:r>
        <w:t xml:space="preserve"> </w:t>
      </w:r>
      <w:r>
        <w:rPr>
          <w:lang w:val="en-GB"/>
        </w:rPr>
        <w:tab/>
      </w:r>
      <w:r w:rsidRPr="00795AA7">
        <w:rPr>
          <w:lang w:val="en-GB"/>
        </w:rPr>
        <w:t>https://www.legislation.gov.uk/uksi/2019/146/contents.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4A3"/>
    <w:multiLevelType w:val="hybridMultilevel"/>
    <w:tmpl w:val="52841A54"/>
    <w:lvl w:ilvl="0" w:tplc="EA429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F80CC5"/>
    <w:multiLevelType w:val="hybridMultilevel"/>
    <w:tmpl w:val="00CCD7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7C04841"/>
    <w:multiLevelType w:val="hybridMultilevel"/>
    <w:tmpl w:val="3BC8C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00915"/>
    <w:multiLevelType w:val="hybridMultilevel"/>
    <w:tmpl w:val="EFA64094"/>
    <w:lvl w:ilvl="0" w:tplc="F74474D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3"/>
  </w:num>
  <w:num w:numId="4">
    <w:abstractNumId w:val="4"/>
  </w:num>
  <w:num w:numId="5">
    <w:abstractNumId w:val="18"/>
  </w:num>
  <w:num w:numId="6">
    <w:abstractNumId w:val="23"/>
  </w:num>
  <w:num w:numId="7">
    <w:abstractNumId w:val="10"/>
  </w:num>
  <w:num w:numId="8">
    <w:abstractNumId w:val="27"/>
  </w:num>
  <w:num w:numId="9">
    <w:abstractNumId w:val="9"/>
  </w:num>
  <w:num w:numId="10">
    <w:abstractNumId w:val="24"/>
  </w:num>
  <w:num w:numId="11">
    <w:abstractNumId w:val="7"/>
  </w:num>
  <w:num w:numId="12">
    <w:abstractNumId w:val="25"/>
  </w:num>
  <w:num w:numId="13">
    <w:abstractNumId w:val="17"/>
  </w:num>
  <w:num w:numId="14">
    <w:abstractNumId w:val="16"/>
  </w:num>
  <w:num w:numId="15">
    <w:abstractNumId w:val="5"/>
  </w:num>
  <w:num w:numId="16">
    <w:abstractNumId w:val="19"/>
  </w:num>
  <w:num w:numId="17">
    <w:abstractNumId w:val="12"/>
  </w:num>
  <w:num w:numId="18">
    <w:abstractNumId w:val="15"/>
  </w:num>
  <w:num w:numId="19">
    <w:abstractNumId w:val="21"/>
  </w:num>
  <w:num w:numId="20">
    <w:abstractNumId w:val="6"/>
  </w:num>
  <w:num w:numId="21">
    <w:abstractNumId w:val="11"/>
  </w:num>
  <w:num w:numId="22">
    <w:abstractNumId w:val="1"/>
  </w:num>
  <w:num w:numId="23">
    <w:abstractNumId w:val="20"/>
  </w:num>
  <w:num w:numId="24">
    <w:abstractNumId w:val="2"/>
  </w:num>
  <w:num w:numId="25">
    <w:abstractNumId w:val="14"/>
  </w:num>
  <w:num w:numId="26">
    <w:abstractNumId w:val="0"/>
  </w:num>
  <w:num w:numId="27">
    <w:abstractNumId w:val="13"/>
  </w:num>
  <w:num w:numId="2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77E"/>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09C"/>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123"/>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54D4F"/>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4754"/>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2E91"/>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3F3E"/>
    <w:rsid w:val="00275182"/>
    <w:rsid w:val="00275946"/>
    <w:rsid w:val="00276414"/>
    <w:rsid w:val="00276FEA"/>
    <w:rsid w:val="0028252D"/>
    <w:rsid w:val="002833EE"/>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8F1"/>
    <w:rsid w:val="002E4A02"/>
    <w:rsid w:val="002E4A1F"/>
    <w:rsid w:val="002E66F4"/>
    <w:rsid w:val="002F14C5"/>
    <w:rsid w:val="002F1956"/>
    <w:rsid w:val="002F2B8D"/>
    <w:rsid w:val="002F3440"/>
    <w:rsid w:val="002F3B17"/>
    <w:rsid w:val="002F5DD8"/>
    <w:rsid w:val="002F75A3"/>
    <w:rsid w:val="002F75CD"/>
    <w:rsid w:val="002F7EB5"/>
    <w:rsid w:val="00301B76"/>
    <w:rsid w:val="0030201F"/>
    <w:rsid w:val="00303C2F"/>
    <w:rsid w:val="0030558B"/>
    <w:rsid w:val="00306E87"/>
    <w:rsid w:val="00310FC2"/>
    <w:rsid w:val="0031169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7490"/>
    <w:rsid w:val="003500E5"/>
    <w:rsid w:val="00355B57"/>
    <w:rsid w:val="00356EC1"/>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BB6"/>
    <w:rsid w:val="003A2F5D"/>
    <w:rsid w:val="003A3128"/>
    <w:rsid w:val="003A5AD1"/>
    <w:rsid w:val="003A60FF"/>
    <w:rsid w:val="003A696A"/>
    <w:rsid w:val="003B170F"/>
    <w:rsid w:val="003B3C5F"/>
    <w:rsid w:val="003C1451"/>
    <w:rsid w:val="003C2017"/>
    <w:rsid w:val="003C3CED"/>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C0"/>
    <w:rsid w:val="004235F4"/>
    <w:rsid w:val="00426969"/>
    <w:rsid w:val="00426B64"/>
    <w:rsid w:val="004270C5"/>
    <w:rsid w:val="00430FED"/>
    <w:rsid w:val="00434A8C"/>
    <w:rsid w:val="00437297"/>
    <w:rsid w:val="00437ABE"/>
    <w:rsid w:val="00440AA0"/>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4EB4"/>
    <w:rsid w:val="00481FC8"/>
    <w:rsid w:val="0048258B"/>
    <w:rsid w:val="00482FE3"/>
    <w:rsid w:val="00486065"/>
    <w:rsid w:val="00486776"/>
    <w:rsid w:val="004868BB"/>
    <w:rsid w:val="00491675"/>
    <w:rsid w:val="00493855"/>
    <w:rsid w:val="00497558"/>
    <w:rsid w:val="00497CF9"/>
    <w:rsid w:val="004A20FF"/>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27D40"/>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7BAC"/>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4099"/>
    <w:rsid w:val="005E5A66"/>
    <w:rsid w:val="005E605E"/>
    <w:rsid w:val="005E645E"/>
    <w:rsid w:val="005F026D"/>
    <w:rsid w:val="005F0764"/>
    <w:rsid w:val="005F19FA"/>
    <w:rsid w:val="005F244F"/>
    <w:rsid w:val="005F2D0B"/>
    <w:rsid w:val="005F453F"/>
    <w:rsid w:val="005F4B31"/>
    <w:rsid w:val="005F5449"/>
    <w:rsid w:val="005F6059"/>
    <w:rsid w:val="005F68A3"/>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58BB"/>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1417"/>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16D34"/>
    <w:rsid w:val="00721383"/>
    <w:rsid w:val="007216AD"/>
    <w:rsid w:val="00726E9A"/>
    <w:rsid w:val="00727864"/>
    <w:rsid w:val="007333CC"/>
    <w:rsid w:val="007335D8"/>
    <w:rsid w:val="0073399A"/>
    <w:rsid w:val="007369C7"/>
    <w:rsid w:val="00741D74"/>
    <w:rsid w:val="00743531"/>
    <w:rsid w:val="007452BB"/>
    <w:rsid w:val="00745878"/>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4E86"/>
    <w:rsid w:val="007958F0"/>
    <w:rsid w:val="00795AA7"/>
    <w:rsid w:val="00797719"/>
    <w:rsid w:val="00797E1B"/>
    <w:rsid w:val="007A12A4"/>
    <w:rsid w:val="007A52E6"/>
    <w:rsid w:val="007B1E13"/>
    <w:rsid w:val="007B3B1B"/>
    <w:rsid w:val="007B5180"/>
    <w:rsid w:val="007B5F0B"/>
    <w:rsid w:val="007B7E19"/>
    <w:rsid w:val="007C0111"/>
    <w:rsid w:val="007C0260"/>
    <w:rsid w:val="007C0663"/>
    <w:rsid w:val="007C1FCC"/>
    <w:rsid w:val="007C2831"/>
    <w:rsid w:val="007C2AA1"/>
    <w:rsid w:val="007C2BE7"/>
    <w:rsid w:val="007C3439"/>
    <w:rsid w:val="007C6201"/>
    <w:rsid w:val="007D0348"/>
    <w:rsid w:val="007D03E9"/>
    <w:rsid w:val="007D13C6"/>
    <w:rsid w:val="007D1E28"/>
    <w:rsid w:val="007D5DDE"/>
    <w:rsid w:val="007D77C7"/>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01F7"/>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5A93"/>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6976"/>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34F"/>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990"/>
    <w:rsid w:val="009E4DE3"/>
    <w:rsid w:val="009E4E52"/>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75B5"/>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3F4F"/>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18EB"/>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072"/>
    <w:rsid w:val="00C15A16"/>
    <w:rsid w:val="00C1724E"/>
    <w:rsid w:val="00C20337"/>
    <w:rsid w:val="00C20AFE"/>
    <w:rsid w:val="00C22A25"/>
    <w:rsid w:val="00C26E4B"/>
    <w:rsid w:val="00C31102"/>
    <w:rsid w:val="00C31C63"/>
    <w:rsid w:val="00C33C84"/>
    <w:rsid w:val="00C341D0"/>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608A"/>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60EC"/>
    <w:rsid w:val="00CF70DC"/>
    <w:rsid w:val="00CF717B"/>
    <w:rsid w:val="00D068C5"/>
    <w:rsid w:val="00D07F87"/>
    <w:rsid w:val="00D148DC"/>
    <w:rsid w:val="00D161B0"/>
    <w:rsid w:val="00D1688E"/>
    <w:rsid w:val="00D17FDC"/>
    <w:rsid w:val="00D223E4"/>
    <w:rsid w:val="00D2550E"/>
    <w:rsid w:val="00D256C6"/>
    <w:rsid w:val="00D25F51"/>
    <w:rsid w:val="00D308D3"/>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33FD"/>
    <w:rsid w:val="00E03487"/>
    <w:rsid w:val="00E041F9"/>
    <w:rsid w:val="00E05837"/>
    <w:rsid w:val="00E07C5A"/>
    <w:rsid w:val="00E10A73"/>
    <w:rsid w:val="00E1271C"/>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833"/>
    <w:rsid w:val="00EE4971"/>
    <w:rsid w:val="00EE4F54"/>
    <w:rsid w:val="00EE5A48"/>
    <w:rsid w:val="00EE5F7D"/>
    <w:rsid w:val="00EE6390"/>
    <w:rsid w:val="00EE7278"/>
    <w:rsid w:val="00EF090E"/>
    <w:rsid w:val="00EF16B6"/>
    <w:rsid w:val="00EF1B1A"/>
    <w:rsid w:val="00EF2D08"/>
    <w:rsid w:val="00EF54D7"/>
    <w:rsid w:val="00EF5705"/>
    <w:rsid w:val="00EF6653"/>
    <w:rsid w:val="00F033DA"/>
    <w:rsid w:val="00F0424E"/>
    <w:rsid w:val="00F077E9"/>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16E"/>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0BFE"/>
    <w:rsid w:val="00FA29FD"/>
    <w:rsid w:val="00FA2A46"/>
    <w:rsid w:val="00FA3739"/>
    <w:rsid w:val="00FA3D50"/>
    <w:rsid w:val="00FA43E7"/>
    <w:rsid w:val="00FB13A9"/>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UnresolvedMention">
    <w:name w:val="Unresolved Mention"/>
    <w:basedOn w:val="DefaultParagraphFont"/>
    <w:uiPriority w:val="99"/>
    <w:semiHidden/>
    <w:unhideWhenUsed/>
    <w:rsid w:val="00CB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lr.com/article/2a644i5fuqxtao9ihy0hs/new-bankruptcy-act-to-boost-thai-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FD358-B548-4095-8610-8B200944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5487</Words>
  <Characters>30125</Characters>
  <Application>Microsoft Office Word</Application>
  <DocSecurity>0</DocSecurity>
  <Lines>627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ISSUSER</cp:lastModifiedBy>
  <cp:revision>5</cp:revision>
  <cp:lastPrinted>2020-06-12T02:43:00Z</cp:lastPrinted>
  <dcterms:created xsi:type="dcterms:W3CDTF">2022-11-14T06:33:00Z</dcterms:created>
  <dcterms:modified xsi:type="dcterms:W3CDTF">2022-11-15T12:06:00Z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DocumentId">
    <vt:lpwstr>103905d829343e3d6f3c0050de16fe95f1f2591297599ce3d36afad24814f83f</vt:lpwstr>
  </property>
</Properties>
</file>