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CF6674" w:rsidRDefault="002D2356" w:rsidP="008071D5">
      <w:pPr>
        <w:pStyle w:val="ListParagraph"/>
        <w:numPr>
          <w:ilvl w:val="0"/>
          <w:numId w:val="15"/>
        </w:numPr>
        <w:ind w:left="425" w:hanging="357"/>
        <w:jc w:val="both"/>
        <w:rPr>
          <w:rFonts w:ascii="Avenir Next" w:hAnsi="Avenir Next" w:cs="Arial"/>
          <w:sz w:val="22"/>
          <w:szCs w:val="22"/>
          <w:highlight w:val="yellow"/>
        </w:rPr>
      </w:pPr>
      <w:r w:rsidRPr="00CF6674">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CF6674">
        <w:rPr>
          <w:rFonts w:ascii="Avenir Next" w:hAnsi="Avenir Next" w:cs="Arial"/>
          <w:sz w:val="22"/>
          <w:szCs w:val="22"/>
          <w:highlight w:val="yellow"/>
          <w:vertAlign w:val="superscript"/>
        </w:rPr>
        <w:t>th</w:t>
      </w:r>
      <w:r w:rsidRPr="00CF6674">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23409" w:rsidRDefault="002D2356" w:rsidP="008071D5">
      <w:pPr>
        <w:pStyle w:val="ListParagraph"/>
        <w:numPr>
          <w:ilvl w:val="0"/>
          <w:numId w:val="16"/>
        </w:numPr>
        <w:ind w:left="426"/>
        <w:jc w:val="both"/>
        <w:rPr>
          <w:rFonts w:ascii="Avenir Next" w:hAnsi="Avenir Next" w:cs="Arial"/>
          <w:sz w:val="22"/>
          <w:szCs w:val="22"/>
          <w:highlight w:val="yellow"/>
        </w:rPr>
      </w:pPr>
      <w:r w:rsidRPr="00F2340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F5B28" w:rsidRDefault="002D2356" w:rsidP="008071D5">
      <w:pPr>
        <w:pStyle w:val="ListParagraph"/>
        <w:numPr>
          <w:ilvl w:val="0"/>
          <w:numId w:val="17"/>
        </w:numPr>
        <w:ind w:left="426"/>
        <w:jc w:val="both"/>
        <w:rPr>
          <w:rFonts w:ascii="Avenir Next" w:hAnsi="Avenir Next" w:cs="Arial"/>
          <w:sz w:val="22"/>
          <w:szCs w:val="22"/>
          <w:highlight w:val="yellow"/>
        </w:rPr>
      </w:pPr>
      <w:r w:rsidRPr="00FF5B28">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1248F4" w:rsidRDefault="00466ED6" w:rsidP="008071D5">
      <w:pPr>
        <w:pStyle w:val="ListParagraph"/>
        <w:numPr>
          <w:ilvl w:val="0"/>
          <w:numId w:val="18"/>
        </w:numPr>
        <w:ind w:left="426"/>
        <w:jc w:val="both"/>
        <w:rPr>
          <w:rFonts w:ascii="Avenir Next" w:hAnsi="Avenir Next" w:cs="Arial"/>
          <w:sz w:val="22"/>
          <w:szCs w:val="22"/>
          <w:highlight w:val="yellow"/>
        </w:rPr>
      </w:pPr>
      <w:r w:rsidRPr="001248F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1248F4" w:rsidRDefault="002D2356" w:rsidP="008071D5">
      <w:pPr>
        <w:pStyle w:val="ListParagraph"/>
        <w:numPr>
          <w:ilvl w:val="0"/>
          <w:numId w:val="19"/>
        </w:numPr>
        <w:ind w:left="425" w:hanging="357"/>
        <w:jc w:val="both"/>
        <w:rPr>
          <w:rFonts w:ascii="Avenir Next" w:hAnsi="Avenir Next" w:cs="Arial"/>
          <w:sz w:val="22"/>
          <w:szCs w:val="22"/>
          <w:highlight w:val="yellow"/>
        </w:rPr>
      </w:pPr>
      <w:r w:rsidRPr="001248F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F974F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F974FE">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1248F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1248F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50EF8"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50EF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50EF8">
        <w:rPr>
          <w:rFonts w:ascii="Avenir Next" w:eastAsiaTheme="minorHAnsi" w:hAnsi="Avenir Next" w:cs="Arial"/>
          <w:sz w:val="22"/>
          <w:szCs w:val="22"/>
          <w:highlight w:val="yellow"/>
          <w:lang w:val="en-GB"/>
        </w:rPr>
        <w:t xml:space="preserve"> </w:t>
      </w:r>
      <w:r w:rsidRPr="00E50EF8">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B30D33"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B30D33">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248F4" w:rsidRDefault="00F5239B" w:rsidP="008071D5">
      <w:pPr>
        <w:pStyle w:val="ListParagraph"/>
        <w:numPr>
          <w:ilvl w:val="0"/>
          <w:numId w:val="23"/>
        </w:numPr>
        <w:ind w:left="426"/>
        <w:jc w:val="both"/>
        <w:rPr>
          <w:rFonts w:ascii="Avenir Next" w:hAnsi="Avenir Next" w:cs="Arial"/>
          <w:sz w:val="22"/>
          <w:szCs w:val="22"/>
          <w:highlight w:val="yellow"/>
        </w:rPr>
      </w:pPr>
      <w:r w:rsidRPr="001248F4">
        <w:rPr>
          <w:rFonts w:ascii="Avenir Next" w:hAnsi="Avenir Next" w:cs="Arial"/>
          <w:sz w:val="22"/>
          <w:szCs w:val="22"/>
          <w:highlight w:val="yellow"/>
        </w:rPr>
        <w:t xml:space="preserve">This statement is true because </w:t>
      </w:r>
      <w:r w:rsidR="007B5180" w:rsidRPr="001248F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2A37EE" w:rsidRDefault="009355DB" w:rsidP="008071D5">
      <w:pPr>
        <w:pStyle w:val="ListParagraph"/>
        <w:numPr>
          <w:ilvl w:val="0"/>
          <w:numId w:val="24"/>
        </w:numPr>
        <w:ind w:left="426"/>
        <w:jc w:val="both"/>
        <w:rPr>
          <w:rFonts w:ascii="Avenir Next" w:hAnsi="Avenir Next" w:cs="Arial"/>
          <w:sz w:val="22"/>
          <w:szCs w:val="22"/>
          <w:highlight w:val="yellow"/>
        </w:rPr>
      </w:pPr>
      <w:r w:rsidRPr="002A37EE">
        <w:rPr>
          <w:rFonts w:ascii="Avenir Next" w:hAnsi="Avenir Next" w:cs="Arial"/>
          <w:sz w:val="22"/>
          <w:szCs w:val="22"/>
          <w:highlight w:val="yellow"/>
        </w:rPr>
        <w:t xml:space="preserve">This statement is true because </w:t>
      </w:r>
      <w:r w:rsidR="005C4FF2" w:rsidRPr="002A37E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1BCCC16" w:rsidR="0081547D" w:rsidRDefault="00C859C9" w:rsidP="00C859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African states’ insolvency laws tend to follow the historical origins of their former colonisers’ legal regimes.  Former French colonies therefore tend to have an insolvency regime with French civil law features; former Portuguese colonies a Portuguese civil law tradition; and former English colonies an English common law tradition.  Countries with a mixed colonial heritage may combine features of the respective colonists’ laws, notable examples being South Africa and Namibia with mixed Roman-Dutch civil law and English common law features.</w:t>
      </w:r>
    </w:p>
    <w:p w14:paraId="548D692A" w14:textId="50085C74" w:rsidR="00C859C9" w:rsidRDefault="00C859C9" w:rsidP="00C859C9">
      <w:pPr>
        <w:jc w:val="both"/>
        <w:rPr>
          <w:rFonts w:ascii="Avenir Next" w:hAnsi="Avenir Next" w:cs="Arial"/>
          <w:color w:val="808080" w:themeColor="background1" w:themeShade="80"/>
          <w:sz w:val="22"/>
          <w:szCs w:val="22"/>
          <w:lang w:val="en-GB"/>
        </w:rPr>
      </w:pPr>
    </w:p>
    <w:p w14:paraId="6BCFB311" w14:textId="05270B32" w:rsidR="00C859C9" w:rsidRPr="00AB63DE" w:rsidRDefault="00C859C9" w:rsidP="00C859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these “imported laws” may constitute the</w:t>
      </w:r>
      <w:r w:rsidR="0071395B">
        <w:rPr>
          <w:rFonts w:ascii="Avenir Next" w:hAnsi="Avenir Next" w:cs="Arial"/>
          <w:color w:val="808080" w:themeColor="background1" w:themeShade="80"/>
          <w:sz w:val="22"/>
          <w:szCs w:val="22"/>
          <w:lang w:val="en-GB"/>
        </w:rPr>
        <w:t xml:space="preserve"> historic</w:t>
      </w:r>
      <w:r>
        <w:rPr>
          <w:rFonts w:ascii="Avenir Next" w:hAnsi="Avenir Next" w:cs="Arial"/>
          <w:color w:val="808080" w:themeColor="background1" w:themeShade="80"/>
          <w:sz w:val="22"/>
          <w:szCs w:val="22"/>
          <w:lang w:val="en-GB"/>
        </w:rPr>
        <w:t xml:space="preserve"> foundation of local legislation, the demise of colonialism and local jurisdictional initiatives has led to the </w:t>
      </w:r>
      <w:r w:rsidR="00943DB2">
        <w:rPr>
          <w:rFonts w:ascii="Avenir Next" w:hAnsi="Avenir Next" w:cs="Arial"/>
          <w:color w:val="808080" w:themeColor="background1" w:themeShade="80"/>
          <w:sz w:val="22"/>
          <w:szCs w:val="22"/>
          <w:lang w:val="en-GB"/>
        </w:rPr>
        <w:t>implementation</w:t>
      </w:r>
      <w:r>
        <w:rPr>
          <w:rFonts w:ascii="Avenir Next" w:hAnsi="Avenir Next" w:cs="Arial"/>
          <w:color w:val="808080" w:themeColor="background1" w:themeShade="80"/>
          <w:sz w:val="22"/>
          <w:szCs w:val="22"/>
          <w:lang w:val="en-GB"/>
        </w:rPr>
        <w:t xml:space="preserve"> of more modern insolvency features in some African jurisdictions.</w:t>
      </w:r>
      <w:r w:rsidR="005C1C09">
        <w:rPr>
          <w:rFonts w:ascii="Avenir Next" w:hAnsi="Avenir Next" w:cs="Arial"/>
          <w:color w:val="808080" w:themeColor="background1" w:themeShade="80"/>
          <w:sz w:val="22"/>
          <w:szCs w:val="22"/>
          <w:lang w:val="en-GB"/>
        </w:rPr>
        <w:t xml:space="preserve">  A number of African countries have also joined the Organisation for the Harmonisation of Business Law in Africa (OHADA), whose remit includes harmonisation of domestic laws on topics including insolvency proceedings, and in 2015 the 17 OHADA member states adopted the UNCITRAL Model Law on Cross-Border Insolvency</w:t>
      </w:r>
      <w:r w:rsidR="003A2949">
        <w:rPr>
          <w:rFonts w:ascii="Avenir Next" w:hAnsi="Avenir Next" w:cs="Arial"/>
          <w:color w:val="808080" w:themeColor="background1" w:themeShade="80"/>
          <w:sz w:val="22"/>
          <w:szCs w:val="22"/>
          <w:lang w:val="en-GB"/>
        </w:rPr>
        <w:t xml:space="preserve"> – perhaps marking the early stages of a move away from territorialism in African insolvency.</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1D170DBB" w14:textId="69FEF5E1" w:rsidR="002A795E" w:rsidRDefault="002A795E" w:rsidP="002A79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with African states, the demise of colonialism in Eastern Asian jurisdictions brought departures from “mother country” legal traditions.</w:t>
      </w:r>
      <w:r w:rsidR="00DF6DA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Thereafter, the financial pressures caused by the 1998 Asian Financial Crisis</w:t>
      </w:r>
      <w:r w:rsidR="00DF6DA7">
        <w:rPr>
          <w:rFonts w:ascii="Avenir Next" w:hAnsi="Avenir Next" w:cs="Arial"/>
          <w:color w:val="808080" w:themeColor="background1" w:themeShade="80"/>
          <w:sz w:val="22"/>
          <w:szCs w:val="22"/>
          <w:lang w:val="en-GB"/>
        </w:rPr>
        <w:t xml:space="preserve"> prompted reforms to insolvency laws in many jurisdictions, including South Korea, Indonesia, Malaysia, Thailand and elsewhere.</w:t>
      </w:r>
    </w:p>
    <w:p w14:paraId="5398D627" w14:textId="295C7E52" w:rsidR="002A795E" w:rsidRDefault="002A795E" w:rsidP="002A795E">
      <w:pPr>
        <w:jc w:val="both"/>
        <w:rPr>
          <w:rFonts w:ascii="Avenir Next" w:hAnsi="Avenir Next" w:cs="Arial"/>
          <w:color w:val="808080" w:themeColor="background1" w:themeShade="80"/>
          <w:sz w:val="22"/>
          <w:szCs w:val="22"/>
          <w:lang w:val="en-GB"/>
        </w:rPr>
      </w:pPr>
    </w:p>
    <w:p w14:paraId="5C66D5B2" w14:textId="3451DA1E" w:rsidR="002A795E" w:rsidRDefault="002A795E" w:rsidP="002A79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recently, the financial pressures caused by the COVID-19 pandemic caused several East Asia</w:t>
      </w:r>
      <w:r w:rsidR="00DF6DA7">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jurisdictions to implement either structural reforms or short-term relief measures to domestic insolvency law</w:t>
      </w:r>
      <w:r w:rsidR="007C5832">
        <w:rPr>
          <w:rFonts w:ascii="Avenir Next" w:hAnsi="Avenir Next" w:cs="Arial"/>
          <w:color w:val="808080" w:themeColor="background1" w:themeShade="80"/>
          <w:sz w:val="22"/>
          <w:szCs w:val="22"/>
          <w:lang w:val="en-GB"/>
        </w:rPr>
        <w:t xml:space="preserve">.  In China and Japan, for example, short-term regulations encouraged banks to refrain from treating certain breaches of </w:t>
      </w:r>
      <w:r w:rsidR="00B10184">
        <w:rPr>
          <w:rFonts w:ascii="Avenir Next" w:hAnsi="Avenir Next" w:cs="Arial"/>
          <w:color w:val="808080" w:themeColor="background1" w:themeShade="80"/>
          <w:sz w:val="22"/>
          <w:szCs w:val="22"/>
          <w:lang w:val="en-GB"/>
        </w:rPr>
        <w:t xml:space="preserve">commercial </w:t>
      </w:r>
      <w:r w:rsidR="007C5832">
        <w:rPr>
          <w:rFonts w:ascii="Avenir Next" w:hAnsi="Avenir Next" w:cs="Arial"/>
          <w:color w:val="808080" w:themeColor="background1" w:themeShade="80"/>
          <w:sz w:val="22"/>
          <w:szCs w:val="22"/>
          <w:lang w:val="en-GB"/>
        </w:rPr>
        <w:t xml:space="preserve">loan </w:t>
      </w:r>
      <w:r w:rsidR="00B10184">
        <w:rPr>
          <w:rFonts w:ascii="Avenir Next" w:hAnsi="Avenir Next" w:cs="Arial"/>
          <w:color w:val="808080" w:themeColor="background1" w:themeShade="80"/>
          <w:sz w:val="22"/>
          <w:szCs w:val="22"/>
          <w:lang w:val="en-GB"/>
        </w:rPr>
        <w:t>agreements</w:t>
      </w:r>
      <w:r w:rsidR="007C5832">
        <w:rPr>
          <w:rFonts w:ascii="Avenir Next" w:hAnsi="Avenir Next" w:cs="Arial"/>
          <w:color w:val="808080" w:themeColor="background1" w:themeShade="80"/>
          <w:sz w:val="22"/>
          <w:szCs w:val="22"/>
          <w:lang w:val="en-GB"/>
        </w:rPr>
        <w:t xml:space="preserve"> as events of default; in Australia, amendment</w:t>
      </w:r>
      <w:r w:rsidR="00DF6DA7">
        <w:rPr>
          <w:rFonts w:ascii="Avenir Next" w:hAnsi="Avenir Next" w:cs="Arial"/>
          <w:color w:val="808080" w:themeColor="background1" w:themeShade="80"/>
          <w:sz w:val="22"/>
          <w:szCs w:val="22"/>
          <w:lang w:val="en-GB"/>
        </w:rPr>
        <w:t>s</w:t>
      </w:r>
      <w:r w:rsidR="007C5832">
        <w:rPr>
          <w:rFonts w:ascii="Avenir Next" w:hAnsi="Avenir Next" w:cs="Arial"/>
          <w:color w:val="808080" w:themeColor="background1" w:themeShade="80"/>
          <w:sz w:val="22"/>
          <w:szCs w:val="22"/>
          <w:lang w:val="en-GB"/>
        </w:rPr>
        <w:t xml:space="preserve"> to the Corporations Act introduced a temporary “safe harbour” relieving directors of personal liability for debts incurred while the company is insolvent</w:t>
      </w:r>
      <w:r w:rsidR="00DF6DA7">
        <w:rPr>
          <w:rFonts w:ascii="Avenir Next" w:hAnsi="Avenir Next" w:cs="Arial"/>
          <w:color w:val="808080" w:themeColor="background1" w:themeShade="80"/>
          <w:sz w:val="22"/>
          <w:szCs w:val="22"/>
          <w:lang w:val="en-GB"/>
        </w:rPr>
        <w:t>, and extended the period for compliance with a statutory demand from 21 days to 6 months.</w:t>
      </w:r>
    </w:p>
    <w:p w14:paraId="1496E63B" w14:textId="77777777" w:rsidR="002A795E" w:rsidRDefault="002A795E" w:rsidP="002A795E">
      <w:pPr>
        <w:jc w:val="both"/>
        <w:rPr>
          <w:rFonts w:ascii="Avenir Next" w:hAnsi="Avenir Next" w:cs="Arial"/>
          <w:color w:val="808080" w:themeColor="background1" w:themeShade="80"/>
          <w:sz w:val="22"/>
          <w:szCs w:val="22"/>
          <w:lang w:val="en-GB"/>
        </w:rPr>
      </w:pPr>
    </w:p>
    <w:p w14:paraId="09F61129" w14:textId="21A162B5" w:rsidR="00AB63DE" w:rsidRDefault="00DF6DA7" w:rsidP="002A79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Supra-national organisations have also helped Asian jurisdictions to explore appropriate reforms.  The Forum for Asian Insolvency Reform was founded by </w:t>
      </w:r>
      <w:r w:rsidRPr="00DF6DA7">
        <w:rPr>
          <w:rFonts w:ascii="Avenir Next" w:hAnsi="Avenir Next" w:cs="Arial"/>
          <w:i/>
          <w:iCs/>
          <w:color w:val="808080" w:themeColor="background1" w:themeShade="80"/>
          <w:sz w:val="22"/>
          <w:szCs w:val="22"/>
          <w:lang w:val="en-GB"/>
        </w:rPr>
        <w:t>inter alios</w:t>
      </w:r>
      <w:r>
        <w:rPr>
          <w:rFonts w:ascii="Avenir Next" w:hAnsi="Avenir Next" w:cs="Arial"/>
          <w:color w:val="808080" w:themeColor="background1" w:themeShade="80"/>
          <w:sz w:val="22"/>
          <w:szCs w:val="22"/>
          <w:lang w:val="en-GB"/>
        </w:rPr>
        <w:t xml:space="preserve"> the World Bank and OECD shortly after the Asian Financial Crisis to help improve Asian insolvency regimes, and more recently t</w:t>
      </w:r>
      <w:r w:rsidR="002A795E">
        <w:rPr>
          <w:rFonts w:ascii="Avenir Next" w:hAnsi="Avenir Next" w:cs="Arial"/>
          <w:color w:val="808080" w:themeColor="background1" w:themeShade="80"/>
          <w:sz w:val="22"/>
          <w:szCs w:val="22"/>
          <w:lang w:val="en-GB"/>
        </w:rPr>
        <w:t>he Asian Business Law Institute has sought to develop Asian Principles of Business Restructuring, recently (2020) publishing a report on Asian in-court and ex-court corporate restructuring and insolvency developments in ASEAN and other jurisdictions.</w:t>
      </w:r>
    </w:p>
    <w:p w14:paraId="7B7E766D" w14:textId="77777777" w:rsidR="002A795E" w:rsidRDefault="002A795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44410D1" w:rsidR="00FF0D81" w:rsidRDefault="00FF0D81" w:rsidP="00692852">
      <w:pPr>
        <w:jc w:val="both"/>
        <w:rPr>
          <w:rFonts w:ascii="Avenir Next" w:hAnsi="Avenir Next" w:cs="Arial"/>
          <w:sz w:val="22"/>
          <w:szCs w:val="22"/>
          <w:lang w:val="en-GB"/>
        </w:rPr>
      </w:pPr>
    </w:p>
    <w:p w14:paraId="57E152EC" w14:textId="526706D4" w:rsidR="008767D3" w:rsidRDefault="008767D3" w:rsidP="007344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Early efforts to establish a bilateral Canada / USA insolvency treaty ended with the abandonment of the draft America-Canada Bankruptcy Treaty in 1979 (though </w:t>
      </w:r>
      <w:r w:rsidR="00124FA7">
        <w:rPr>
          <w:rFonts w:ascii="Avenir Next" w:hAnsi="Avenir Next" w:cs="Arial"/>
          <w:color w:val="808080" w:themeColor="background1" w:themeShade="80"/>
          <w:sz w:val="22"/>
          <w:szCs w:val="22"/>
          <w:lang w:val="en-GB"/>
        </w:rPr>
        <w:t xml:space="preserve">the existence of these negotiations </w:t>
      </w:r>
      <w:r>
        <w:rPr>
          <w:rFonts w:ascii="Avenir Next" w:hAnsi="Avenir Next" w:cs="Arial"/>
          <w:color w:val="808080" w:themeColor="background1" w:themeShade="80"/>
          <w:sz w:val="22"/>
          <w:szCs w:val="22"/>
          <w:lang w:val="en-GB"/>
        </w:rPr>
        <w:t xml:space="preserve">arguably paved the way for the eventual agreement of the 1988 </w:t>
      </w:r>
      <w:r w:rsidRPr="008767D3">
        <w:rPr>
          <w:rFonts w:ascii="Avenir Next" w:hAnsi="Avenir Next" w:cs="Arial"/>
          <w:color w:val="808080" w:themeColor="background1" w:themeShade="80"/>
          <w:sz w:val="22"/>
          <w:szCs w:val="22"/>
          <w:lang w:val="en-GB"/>
        </w:rPr>
        <w:t>Canada–United States Free Trade Agreement</w:t>
      </w:r>
      <w:r w:rsidR="001D1D63">
        <w:rPr>
          <w:rFonts w:ascii="Avenir Next" w:hAnsi="Avenir Next" w:cs="Arial"/>
          <w:color w:val="808080" w:themeColor="background1" w:themeShade="80"/>
          <w:sz w:val="22"/>
          <w:szCs w:val="22"/>
          <w:lang w:val="en-GB"/>
        </w:rPr>
        <w:t xml:space="preserve"> ("CUSFTA")</w:t>
      </w:r>
      <w:r>
        <w:rPr>
          <w:rFonts w:ascii="Avenir Next" w:hAnsi="Avenir Next" w:cs="Arial"/>
          <w:color w:val="808080" w:themeColor="background1" w:themeShade="80"/>
          <w:sz w:val="22"/>
          <w:szCs w:val="22"/>
          <w:lang w:val="en-GB"/>
        </w:rPr>
        <w:t>).</w:t>
      </w:r>
    </w:p>
    <w:p w14:paraId="2B249780" w14:textId="77777777" w:rsidR="008767D3" w:rsidRDefault="008767D3" w:rsidP="007344C3">
      <w:pPr>
        <w:jc w:val="both"/>
        <w:rPr>
          <w:rFonts w:ascii="Avenir Next" w:hAnsi="Avenir Next" w:cs="Arial"/>
          <w:color w:val="808080" w:themeColor="background1" w:themeShade="80"/>
          <w:sz w:val="22"/>
          <w:szCs w:val="22"/>
          <w:lang w:val="en-GB"/>
        </w:rPr>
      </w:pPr>
    </w:p>
    <w:p w14:paraId="67FEF8B6" w14:textId="1DCA3E9C" w:rsidR="00F40131" w:rsidRDefault="001D1D63" w:rsidP="007344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1994 signing of the North American Free Trade Agreement ("NAFTA"), the successor to CUSFTA, </w:t>
      </w:r>
      <w:r w:rsidR="00D425A3">
        <w:rPr>
          <w:rFonts w:ascii="Avenir Next" w:hAnsi="Avenir Next" w:cs="Arial"/>
          <w:color w:val="808080" w:themeColor="background1" w:themeShade="80"/>
          <w:sz w:val="22"/>
          <w:szCs w:val="22"/>
          <w:lang w:val="en-GB"/>
        </w:rPr>
        <w:t xml:space="preserve">in 2000 </w:t>
      </w:r>
      <w:r w:rsidR="00EA599C">
        <w:rPr>
          <w:rFonts w:ascii="Avenir Next" w:hAnsi="Avenir Next" w:cs="Arial"/>
          <w:color w:val="808080" w:themeColor="background1" w:themeShade="80"/>
          <w:sz w:val="22"/>
          <w:szCs w:val="22"/>
          <w:lang w:val="en-GB"/>
        </w:rPr>
        <w:t>the American Law Institute</w:t>
      </w:r>
      <w:r w:rsidR="00D425A3">
        <w:rPr>
          <w:rFonts w:ascii="Avenir Next" w:hAnsi="Avenir Next" w:cs="Arial"/>
          <w:color w:val="808080" w:themeColor="background1" w:themeShade="80"/>
          <w:sz w:val="22"/>
          <w:szCs w:val="22"/>
          <w:lang w:val="en-GB"/>
        </w:rPr>
        <w:t>'s ("ALI")</w:t>
      </w:r>
      <w:r w:rsidR="00EA599C">
        <w:rPr>
          <w:rFonts w:ascii="Avenir Next" w:hAnsi="Avenir Next" w:cs="Arial"/>
          <w:color w:val="808080" w:themeColor="background1" w:themeShade="80"/>
          <w:sz w:val="22"/>
          <w:szCs w:val="22"/>
          <w:lang w:val="en-GB"/>
        </w:rPr>
        <w:t xml:space="preserve"> Transnational Insolvency Project produced its </w:t>
      </w:r>
      <w:r>
        <w:rPr>
          <w:rFonts w:ascii="Avenir Next" w:hAnsi="Avenir Next" w:cs="Arial"/>
          <w:color w:val="808080" w:themeColor="background1" w:themeShade="80"/>
          <w:sz w:val="22"/>
          <w:szCs w:val="22"/>
          <w:lang w:val="en-GB"/>
        </w:rPr>
        <w:t xml:space="preserve">NAFTA </w:t>
      </w:r>
      <w:r w:rsidR="00EA599C">
        <w:rPr>
          <w:rFonts w:ascii="Avenir Next" w:hAnsi="Avenir Next" w:cs="Arial"/>
          <w:color w:val="808080" w:themeColor="background1" w:themeShade="80"/>
          <w:sz w:val="22"/>
          <w:szCs w:val="22"/>
          <w:lang w:val="en-GB"/>
        </w:rPr>
        <w:t>Principles of Cooperation aimed at improving co-operation in international corporate insolvencies (though not personal bankruptcies or financial institution insolvencies) across the three NAFTA states.</w:t>
      </w:r>
      <w:r>
        <w:rPr>
          <w:rFonts w:ascii="Avenir Next" w:hAnsi="Avenir Next" w:cs="Arial"/>
          <w:color w:val="808080" w:themeColor="background1" w:themeShade="80"/>
          <w:sz w:val="22"/>
          <w:szCs w:val="22"/>
          <w:lang w:val="en-GB"/>
        </w:rPr>
        <w:t xml:space="preserve">  </w:t>
      </w:r>
    </w:p>
    <w:p w14:paraId="5CBCB138" w14:textId="4DE7AA47" w:rsidR="001D1D63" w:rsidRDefault="001D1D63" w:rsidP="007344C3">
      <w:pPr>
        <w:jc w:val="both"/>
        <w:rPr>
          <w:rFonts w:ascii="Avenir Next" w:hAnsi="Avenir Next" w:cs="Arial"/>
          <w:color w:val="808080" w:themeColor="background1" w:themeShade="80"/>
          <w:sz w:val="22"/>
          <w:szCs w:val="22"/>
          <w:lang w:val="en-GB"/>
        </w:rPr>
      </w:pPr>
    </w:p>
    <w:p w14:paraId="4B7C4613" w14:textId="14E2404F" w:rsidR="001D1D63" w:rsidRDefault="001D1D63" w:rsidP="007344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NAFTA Principles focused on improving insolvency arrangements for corporations and other commercial legal entities, a key recommendation being the adoption of the UNCITRAL Model Law on Cross-Border Insolvency, since adopted by the USA (2005), Canada (2005) and Mexico (2000).  The NAFTA Principles encouraged co-operation in transnational bankruptcy and sought to facilitate recognition of foreign NAFTA insolvency judgments.</w:t>
      </w:r>
    </w:p>
    <w:p w14:paraId="46C9E47A" w14:textId="4A4EE4A0" w:rsidR="00D425A3" w:rsidRDefault="00D425A3" w:rsidP="007344C3">
      <w:pPr>
        <w:jc w:val="both"/>
        <w:rPr>
          <w:rFonts w:ascii="Avenir Next" w:hAnsi="Avenir Next" w:cs="Arial"/>
          <w:color w:val="808080" w:themeColor="background1" w:themeShade="80"/>
          <w:sz w:val="22"/>
          <w:szCs w:val="22"/>
          <w:lang w:val="en-GB"/>
        </w:rPr>
      </w:pPr>
    </w:p>
    <w:p w14:paraId="4FA5B2D4" w14:textId="208B291C" w:rsidR="00D425A3" w:rsidRDefault="00D425A3" w:rsidP="007344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NAFTA Principles were well received. Reflective of a broader recognition that this type of "soft law" arrangement could be in some respects as effective, and were certainly easier to finalise and promote, than formal "hard law" treaties and conventions, some authorities hoped that as national adoption of the Model Law increased, "</w:t>
      </w:r>
      <w:r w:rsidRPr="00BC0240">
        <w:rPr>
          <w:rFonts w:ascii="Avenir Next" w:hAnsi="Avenir Next" w:cs="Arial"/>
          <w:i/>
          <w:iCs/>
          <w:color w:val="808080" w:themeColor="background1" w:themeShade="80"/>
          <w:sz w:val="22"/>
          <w:szCs w:val="22"/>
          <w:lang w:val="en-GB"/>
        </w:rPr>
        <w:t>a compelling case would emerge for the development of supplementary provisions and guidelines based on the NAFTA Principles</w:t>
      </w:r>
      <w:r>
        <w:rPr>
          <w:rFonts w:ascii="Avenir Next" w:hAnsi="Avenir Next" w:cs="Arial"/>
          <w:color w:val="808080" w:themeColor="background1" w:themeShade="80"/>
          <w:sz w:val="22"/>
          <w:szCs w:val="22"/>
          <w:lang w:val="en-GB"/>
        </w:rPr>
        <w:t>"</w:t>
      </w:r>
      <w:r w:rsidR="00BC0240">
        <w:rPr>
          <w:rFonts w:ascii="Avenir Next" w:hAnsi="Avenir Next" w:cs="Arial"/>
          <w:color w:val="808080" w:themeColor="background1" w:themeShade="80"/>
          <w:sz w:val="22"/>
          <w:szCs w:val="22"/>
          <w:lang w:val="en-GB"/>
        </w:rPr>
        <w:t xml:space="preserve"> (quoting Ian Fletcher's </w:t>
      </w:r>
      <w:r w:rsidR="00BC0240" w:rsidRPr="00BC0240">
        <w:rPr>
          <w:rFonts w:ascii="Avenir Next" w:hAnsi="Avenir Next" w:cs="Arial"/>
          <w:i/>
          <w:iCs/>
          <w:color w:val="808080" w:themeColor="background1" w:themeShade="80"/>
          <w:sz w:val="22"/>
          <w:szCs w:val="22"/>
          <w:lang w:val="en-GB"/>
        </w:rPr>
        <w:t>The Law of Insolvency</w:t>
      </w:r>
      <w:r w:rsidR="00BC024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This ambition resulted in the ALI and International Insolvency Institute's 2012 Global Principles</w:t>
      </w:r>
      <w:r w:rsidR="00AC036C">
        <w:rPr>
          <w:rFonts w:ascii="Avenir Next" w:hAnsi="Avenir Next" w:cs="Arial"/>
          <w:color w:val="808080" w:themeColor="background1" w:themeShade="80"/>
          <w:sz w:val="22"/>
          <w:szCs w:val="22"/>
          <w:lang w:val="en-GB"/>
        </w:rPr>
        <w:t xml:space="preserve"> for Cooperation in International Insolvency Cases and Global Guidelines</w:t>
      </w:r>
      <w:r>
        <w:rPr>
          <w:rFonts w:ascii="Avenir Next" w:hAnsi="Avenir Next" w:cs="Arial"/>
          <w:color w:val="808080" w:themeColor="background1" w:themeShade="80"/>
          <w:sz w:val="22"/>
          <w:szCs w:val="22"/>
          <w:lang w:val="en-GB"/>
        </w:rPr>
        <w:t xml:space="preserve"> Applicable to Court-to-Court Communication in Cross-Border Cases.</w:t>
      </w:r>
    </w:p>
    <w:p w14:paraId="2F3CEFF0" w14:textId="4FCD8A1A" w:rsidR="00824B02" w:rsidRDefault="00824B02" w:rsidP="007344C3">
      <w:pPr>
        <w:jc w:val="both"/>
        <w:rPr>
          <w:rFonts w:ascii="Avenir Next" w:hAnsi="Avenir Next" w:cs="Arial"/>
          <w:color w:val="808080" w:themeColor="background1" w:themeShade="80"/>
          <w:sz w:val="22"/>
          <w:szCs w:val="22"/>
          <w:lang w:val="en-GB"/>
        </w:rPr>
      </w:pPr>
    </w:p>
    <w:p w14:paraId="1B37DEF7" w14:textId="3ECF664C" w:rsidR="00824B02" w:rsidRDefault="00824B02" w:rsidP="007344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recently, the replacement of NAFTA by the 2020 USA-Mexico-Canada Agreement, intended to modernise NAFTA though </w:t>
      </w:r>
      <w:r w:rsidR="007D5FF2">
        <w:rPr>
          <w:rFonts w:ascii="Avenir Next" w:hAnsi="Avenir Next" w:cs="Arial"/>
          <w:color w:val="808080" w:themeColor="background1" w:themeShade="80"/>
          <w:sz w:val="22"/>
          <w:szCs w:val="22"/>
          <w:lang w:val="en-GB"/>
        </w:rPr>
        <w:t xml:space="preserve">in reality </w:t>
      </w:r>
      <w:r>
        <w:rPr>
          <w:rFonts w:ascii="Avenir Next" w:hAnsi="Avenir Next" w:cs="Arial"/>
          <w:color w:val="808080" w:themeColor="background1" w:themeShade="80"/>
          <w:sz w:val="22"/>
          <w:szCs w:val="22"/>
          <w:lang w:val="en-GB"/>
        </w:rPr>
        <w:t>making relatively modest changes to the latter's provisions, is not expected to materially change the state of cross-border insolvency in North America.</w:t>
      </w:r>
    </w:p>
    <w:p w14:paraId="5C762358" w14:textId="77777777" w:rsidR="00F40131" w:rsidRDefault="00F40131" w:rsidP="007344C3">
      <w:pPr>
        <w:jc w:val="both"/>
        <w:rPr>
          <w:rFonts w:ascii="Avenir Next" w:hAnsi="Avenir Next" w:cs="Arial"/>
          <w:color w:val="808080" w:themeColor="background1" w:themeShade="80"/>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456548D" w14:textId="77777777" w:rsidR="002942C2" w:rsidRDefault="00BA31B3" w:rsidP="005E41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concept of a voidable disposition</w:t>
      </w:r>
      <w:r w:rsidR="001D4503">
        <w:rPr>
          <w:rFonts w:ascii="Avenir Next" w:hAnsi="Avenir Next" w:cs="Arial"/>
          <w:color w:val="808080" w:themeColor="background1" w:themeShade="80"/>
          <w:sz w:val="22"/>
          <w:szCs w:val="22"/>
          <w:lang w:val="en-GB"/>
        </w:rPr>
        <w:t xml:space="preserve"> (“</w:t>
      </w:r>
      <w:r w:rsidR="001D4503" w:rsidRPr="001D4503">
        <w:rPr>
          <w:rFonts w:ascii="Avenir Next" w:hAnsi="Avenir Next" w:cs="Arial"/>
          <w:b/>
          <w:bCs/>
          <w:color w:val="808080" w:themeColor="background1" w:themeShade="80"/>
          <w:sz w:val="22"/>
          <w:szCs w:val="22"/>
          <w:lang w:val="en-GB"/>
        </w:rPr>
        <w:t>VD</w:t>
      </w:r>
      <w:r w:rsidR="001D450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important in insolvency </w:t>
      </w:r>
      <w:r w:rsidR="005E4115">
        <w:rPr>
          <w:rFonts w:ascii="Avenir Next" w:hAnsi="Avenir Next" w:cs="Arial"/>
          <w:color w:val="808080" w:themeColor="background1" w:themeShade="80"/>
          <w:sz w:val="22"/>
          <w:szCs w:val="22"/>
          <w:lang w:val="en-GB"/>
        </w:rPr>
        <w:t xml:space="preserve">for a variety of reasons.  Firstly, collective action tends to be more effective in maximising the pool of assets available to </w:t>
      </w:r>
      <w:r w:rsidR="00624AF9">
        <w:rPr>
          <w:rFonts w:ascii="Avenir Next" w:hAnsi="Avenir Next" w:cs="Arial"/>
          <w:color w:val="808080" w:themeColor="background1" w:themeShade="80"/>
          <w:sz w:val="22"/>
          <w:szCs w:val="22"/>
          <w:lang w:val="en-GB"/>
        </w:rPr>
        <w:t xml:space="preserve">(in particular, unsecured) </w:t>
      </w:r>
      <w:r w:rsidR="005E4115">
        <w:rPr>
          <w:rFonts w:ascii="Avenir Next" w:hAnsi="Avenir Next" w:cs="Arial"/>
          <w:color w:val="808080" w:themeColor="background1" w:themeShade="80"/>
          <w:sz w:val="22"/>
          <w:szCs w:val="22"/>
          <w:lang w:val="en-GB"/>
        </w:rPr>
        <w:t>creditors than a regime that permits individual creditors to pursue individual remedies.  VD provisions are intended to support a collective regime</w:t>
      </w:r>
      <w:r w:rsidR="000B08F2">
        <w:rPr>
          <w:rFonts w:ascii="Avenir Next" w:hAnsi="Avenir Next" w:cs="Arial"/>
          <w:color w:val="808080" w:themeColor="background1" w:themeShade="80"/>
          <w:sz w:val="22"/>
          <w:szCs w:val="22"/>
          <w:lang w:val="en-GB"/>
        </w:rPr>
        <w:t xml:space="preserve"> and preserve the </w:t>
      </w:r>
      <w:proofErr w:type="spellStart"/>
      <w:r w:rsidR="000B08F2" w:rsidRPr="000B08F2">
        <w:rPr>
          <w:rFonts w:ascii="Avenir Next" w:hAnsi="Avenir Next" w:cs="Arial"/>
          <w:i/>
          <w:iCs/>
          <w:color w:val="808080" w:themeColor="background1" w:themeShade="80"/>
          <w:sz w:val="22"/>
          <w:szCs w:val="22"/>
          <w:lang w:val="en-GB"/>
        </w:rPr>
        <w:t>pari</w:t>
      </w:r>
      <w:proofErr w:type="spellEnd"/>
      <w:r w:rsidR="000B08F2" w:rsidRPr="000B08F2">
        <w:rPr>
          <w:rFonts w:ascii="Avenir Next" w:hAnsi="Avenir Next" w:cs="Arial"/>
          <w:i/>
          <w:iCs/>
          <w:color w:val="808080" w:themeColor="background1" w:themeShade="80"/>
          <w:sz w:val="22"/>
          <w:szCs w:val="22"/>
          <w:lang w:val="en-GB"/>
        </w:rPr>
        <w:t xml:space="preserve"> passu</w:t>
      </w:r>
      <w:r w:rsidR="000B08F2">
        <w:rPr>
          <w:rFonts w:ascii="Avenir Next" w:hAnsi="Avenir Next" w:cs="Arial"/>
          <w:color w:val="808080" w:themeColor="background1" w:themeShade="80"/>
          <w:sz w:val="22"/>
          <w:szCs w:val="22"/>
          <w:lang w:val="en-GB"/>
        </w:rPr>
        <w:t xml:space="preserve"> principle</w:t>
      </w:r>
      <w:r w:rsidR="005E4115">
        <w:rPr>
          <w:rFonts w:ascii="Avenir Next" w:hAnsi="Avenir Next" w:cs="Arial"/>
          <w:color w:val="808080" w:themeColor="background1" w:themeShade="80"/>
          <w:sz w:val="22"/>
          <w:szCs w:val="22"/>
          <w:lang w:val="en-GB"/>
        </w:rPr>
        <w:t xml:space="preserve">, maintaining the estate and discouraging individual creditors from unilateral action in the period before an insolvency: why try to cut an advantageous deal for yourself when it could be clawed back?  </w:t>
      </w:r>
    </w:p>
    <w:p w14:paraId="12F96907" w14:textId="77777777" w:rsidR="002942C2" w:rsidRDefault="002942C2" w:rsidP="005E4115">
      <w:pPr>
        <w:jc w:val="both"/>
        <w:rPr>
          <w:rFonts w:ascii="Avenir Next" w:hAnsi="Avenir Next" w:cs="Arial"/>
          <w:color w:val="808080" w:themeColor="background1" w:themeShade="80"/>
          <w:sz w:val="22"/>
          <w:szCs w:val="22"/>
          <w:lang w:val="en-GB"/>
        </w:rPr>
      </w:pPr>
    </w:p>
    <w:p w14:paraId="43768720" w14:textId="3EF6892D" w:rsidR="00AB63DE" w:rsidRDefault="005E4115" w:rsidP="005E41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VDs allow for fraudulent concealment of assets or transactions intended to benefit the debtor’s personnel or associates to be unwound, again improving the assets available to creditors.  These benefits and the associated incentives have long been recognised: where jurisdictions differ is in </w:t>
      </w:r>
      <w:r w:rsidR="00BE06FE">
        <w:rPr>
          <w:rFonts w:ascii="Avenir Next" w:hAnsi="Avenir Next" w:cs="Arial"/>
          <w:color w:val="808080" w:themeColor="background1" w:themeShade="80"/>
          <w:sz w:val="22"/>
          <w:szCs w:val="22"/>
          <w:lang w:val="en-GB"/>
        </w:rPr>
        <w:t xml:space="preserve">the regime by which </w:t>
      </w:r>
      <w:r>
        <w:rPr>
          <w:rFonts w:ascii="Avenir Next" w:hAnsi="Avenir Next" w:cs="Arial"/>
          <w:color w:val="808080" w:themeColor="background1" w:themeShade="80"/>
          <w:sz w:val="22"/>
          <w:szCs w:val="22"/>
          <w:lang w:val="en-GB"/>
        </w:rPr>
        <w:t>they seek to bring them about.</w:t>
      </w:r>
    </w:p>
    <w:p w14:paraId="2FD69DFF" w14:textId="3BE55A23" w:rsidR="00350776" w:rsidRDefault="00350776" w:rsidP="00AB63DE">
      <w:pPr>
        <w:ind w:left="720" w:hanging="720"/>
        <w:jc w:val="both"/>
        <w:rPr>
          <w:rFonts w:ascii="Avenir Next" w:hAnsi="Avenir Next" w:cs="Arial"/>
          <w:color w:val="808080" w:themeColor="background1" w:themeShade="80"/>
          <w:sz w:val="22"/>
          <w:szCs w:val="22"/>
          <w:lang w:val="en-GB"/>
        </w:rPr>
      </w:pPr>
    </w:p>
    <w:p w14:paraId="68BFD4BE" w14:textId="71E168FF" w:rsidR="001D5034" w:rsidRDefault="001D5034" w:rsidP="001D50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 foundation of VDs in English common law is the practice in pre-Elizabethan England whereby a debtor would sell his assets to the Church for some nominal amount, with the Church agreeing in return to pay the debtor a pension if he lived in seclusion on their property (or overseas), effectively putting his assets beyond his creditors’ reach. The 1571 Fraudulent Conveyances Act sought to remedy this by allowing for dishonest contracts to be </w:t>
      </w:r>
      <w:r w:rsidR="00AE65D8">
        <w:rPr>
          <w:rFonts w:ascii="Avenir Next" w:hAnsi="Avenir Next" w:cs="Arial"/>
          <w:color w:val="808080" w:themeColor="background1" w:themeShade="80"/>
          <w:sz w:val="22"/>
          <w:szCs w:val="22"/>
          <w:lang w:val="en-GB"/>
        </w:rPr>
        <w:t>unwound</w:t>
      </w:r>
      <w:r>
        <w:rPr>
          <w:rFonts w:ascii="Avenir Next" w:hAnsi="Avenir Next" w:cs="Arial"/>
          <w:color w:val="808080" w:themeColor="background1" w:themeShade="80"/>
          <w:sz w:val="22"/>
          <w:szCs w:val="22"/>
          <w:lang w:val="en-GB"/>
        </w:rPr>
        <w:t>: debtors (and purchasers) who engaged in contracts designed to frustrate creditors could find those contracts set aside.</w:t>
      </w:r>
    </w:p>
    <w:p w14:paraId="284FAD7F" w14:textId="13BFBBF4" w:rsidR="001D5034" w:rsidRDefault="001D5034" w:rsidP="00AB63DE">
      <w:pPr>
        <w:ind w:left="720" w:hanging="720"/>
        <w:jc w:val="both"/>
        <w:rPr>
          <w:rFonts w:ascii="Avenir Next" w:hAnsi="Avenir Next" w:cs="Arial"/>
          <w:color w:val="808080" w:themeColor="background1" w:themeShade="80"/>
          <w:sz w:val="22"/>
          <w:szCs w:val="22"/>
          <w:lang w:val="en-GB"/>
        </w:rPr>
      </w:pPr>
    </w:p>
    <w:p w14:paraId="3D9A38D0" w14:textId="4F7B49B3" w:rsidR="001D5034" w:rsidRDefault="000846CA" w:rsidP="000846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0F10D5">
        <w:rPr>
          <w:rFonts w:ascii="Avenir Next" w:hAnsi="Avenir Next" w:cs="Arial"/>
          <w:color w:val="808080" w:themeColor="background1" w:themeShade="80"/>
          <w:sz w:val="22"/>
          <w:szCs w:val="22"/>
          <w:lang w:val="en-GB"/>
        </w:rPr>
        <w:t xml:space="preserve">early </w:t>
      </w:r>
      <w:r>
        <w:rPr>
          <w:rFonts w:ascii="Avenir Next" w:hAnsi="Avenir Next" w:cs="Arial"/>
          <w:color w:val="808080" w:themeColor="background1" w:themeShade="80"/>
          <w:sz w:val="22"/>
          <w:szCs w:val="22"/>
          <w:lang w:val="en-GB"/>
        </w:rPr>
        <w:t xml:space="preserve">Roman/civil law tradition, the </w:t>
      </w:r>
      <w:r w:rsidRPr="000846CA">
        <w:rPr>
          <w:rFonts w:ascii="Avenir Next" w:hAnsi="Avenir Next" w:cs="Arial"/>
          <w:i/>
          <w:iCs/>
          <w:color w:val="808080" w:themeColor="background1" w:themeShade="80"/>
          <w:sz w:val="22"/>
          <w:szCs w:val="22"/>
          <w:lang w:val="en-GB"/>
        </w:rPr>
        <w:t xml:space="preserve">manus </w:t>
      </w:r>
      <w:proofErr w:type="spellStart"/>
      <w:r w:rsidRPr="000846CA">
        <w:rPr>
          <w:rFonts w:ascii="Avenir Next" w:hAnsi="Avenir Next" w:cs="Arial"/>
          <w:i/>
          <w:iCs/>
          <w:color w:val="808080" w:themeColor="background1" w:themeShade="80"/>
          <w:sz w:val="22"/>
          <w:szCs w:val="22"/>
          <w:lang w:val="en-GB"/>
        </w:rPr>
        <w:t>injectio</w:t>
      </w:r>
      <w:proofErr w:type="spellEnd"/>
      <w:r>
        <w:rPr>
          <w:rFonts w:ascii="Avenir Next" w:hAnsi="Avenir Next" w:cs="Arial"/>
          <w:color w:val="808080" w:themeColor="background1" w:themeShade="80"/>
          <w:sz w:val="22"/>
          <w:szCs w:val="22"/>
          <w:lang w:val="en-GB"/>
        </w:rPr>
        <w:t xml:space="preserve"> principle of execution against the person (rather than against the debtor’s property) was supplemented by elaborate procedures for nullifying </w:t>
      </w:r>
      <w:r w:rsidR="00456ACD">
        <w:rPr>
          <w:rFonts w:ascii="Avenir Next" w:hAnsi="Avenir Next" w:cs="Arial"/>
          <w:color w:val="808080" w:themeColor="background1" w:themeShade="80"/>
          <w:sz w:val="22"/>
          <w:szCs w:val="22"/>
          <w:lang w:val="en-GB"/>
        </w:rPr>
        <w:t>fraudulent</w:t>
      </w:r>
      <w:r>
        <w:rPr>
          <w:rFonts w:ascii="Avenir Next" w:hAnsi="Avenir Next" w:cs="Arial"/>
          <w:color w:val="808080" w:themeColor="background1" w:themeShade="80"/>
          <w:sz w:val="22"/>
          <w:szCs w:val="22"/>
          <w:lang w:val="en-GB"/>
        </w:rPr>
        <w:t xml:space="preserve"> transfers: any act by which a debtor reduced the property available for division amongst his creditors was held to be a fraud on the creditors permitting a range of remedies, including </w:t>
      </w:r>
      <w:r w:rsidRPr="000846CA">
        <w:rPr>
          <w:rFonts w:ascii="Avenir Next" w:hAnsi="Avenir Next" w:cs="Arial"/>
          <w:i/>
          <w:iCs/>
          <w:color w:val="808080" w:themeColor="background1" w:themeShade="80"/>
          <w:sz w:val="22"/>
          <w:szCs w:val="22"/>
          <w:lang w:val="en-GB"/>
        </w:rPr>
        <w:t>in rem</w:t>
      </w:r>
      <w:r>
        <w:rPr>
          <w:rFonts w:ascii="Avenir Next" w:hAnsi="Avenir Next" w:cs="Arial"/>
          <w:color w:val="808080" w:themeColor="background1" w:themeShade="80"/>
          <w:sz w:val="22"/>
          <w:szCs w:val="22"/>
          <w:lang w:val="en-GB"/>
        </w:rPr>
        <w:t xml:space="preserve"> against the property itself.</w:t>
      </w:r>
      <w:r w:rsidR="00BF7E7F">
        <w:rPr>
          <w:rFonts w:ascii="Avenir Next" w:hAnsi="Avenir Next" w:cs="Arial"/>
          <w:color w:val="808080" w:themeColor="background1" w:themeShade="80"/>
          <w:sz w:val="22"/>
          <w:szCs w:val="22"/>
          <w:lang w:val="en-GB"/>
        </w:rPr>
        <w:t xml:space="preserve">  </w:t>
      </w:r>
      <w:r w:rsidR="002942C2">
        <w:rPr>
          <w:rFonts w:ascii="Avenir Next" w:hAnsi="Avenir Next" w:cs="Arial"/>
          <w:color w:val="808080" w:themeColor="background1" w:themeShade="80"/>
          <w:sz w:val="22"/>
          <w:szCs w:val="22"/>
          <w:lang w:val="en-GB"/>
        </w:rPr>
        <w:t xml:space="preserve">The </w:t>
      </w:r>
      <w:r w:rsidR="002942C2" w:rsidRPr="002942C2">
        <w:rPr>
          <w:rFonts w:ascii="Avenir Next" w:hAnsi="Avenir Next" w:cs="Arial"/>
          <w:i/>
          <w:iCs/>
          <w:color w:val="808080" w:themeColor="background1" w:themeShade="80"/>
          <w:sz w:val="22"/>
          <w:szCs w:val="22"/>
          <w:lang w:val="en-GB"/>
        </w:rPr>
        <w:t>actio Pauliana</w:t>
      </w:r>
      <w:r w:rsidR="002942C2">
        <w:rPr>
          <w:rFonts w:ascii="Avenir Next" w:hAnsi="Avenir Next" w:cs="Arial"/>
          <w:color w:val="808080" w:themeColor="background1" w:themeShade="80"/>
          <w:sz w:val="22"/>
          <w:szCs w:val="22"/>
          <w:lang w:val="en-GB"/>
        </w:rPr>
        <w:t xml:space="preserve"> was aimed at returning property transferred to third parties, and would involve a consideration of good faith (or not) in the transaction: knowingly fraudulent third parties would gain no protection from losses as a consequence of the action, and </w:t>
      </w:r>
      <w:r w:rsidR="002942C2" w:rsidRPr="002942C2">
        <w:rPr>
          <w:rFonts w:ascii="Avenir Next" w:hAnsi="Avenir Next" w:cs="Arial"/>
          <w:i/>
          <w:iCs/>
          <w:color w:val="808080" w:themeColor="background1" w:themeShade="80"/>
          <w:sz w:val="22"/>
          <w:szCs w:val="22"/>
          <w:lang w:val="en-GB"/>
        </w:rPr>
        <w:t>ex gratis</w:t>
      </w:r>
      <w:r w:rsidR="002942C2">
        <w:rPr>
          <w:rFonts w:ascii="Avenir Next" w:hAnsi="Avenir Next" w:cs="Arial"/>
          <w:color w:val="808080" w:themeColor="background1" w:themeShade="80"/>
          <w:sz w:val="22"/>
          <w:szCs w:val="22"/>
          <w:lang w:val="en-GB"/>
        </w:rPr>
        <w:t xml:space="preserve"> transfers to third parties were not protected even if made in good faith.  Later, e</w:t>
      </w:r>
      <w:r w:rsidR="00BF7E7F">
        <w:rPr>
          <w:rFonts w:ascii="Avenir Next" w:hAnsi="Avenir Next" w:cs="Arial"/>
          <w:color w:val="808080" w:themeColor="background1" w:themeShade="80"/>
          <w:sz w:val="22"/>
          <w:szCs w:val="22"/>
          <w:lang w:val="en-GB"/>
        </w:rPr>
        <w:t>arly French and Italian developments also included the obligation to disclose all possessions and transactions for review</w:t>
      </w:r>
      <w:r w:rsidR="00C76876">
        <w:rPr>
          <w:rFonts w:ascii="Avenir Next" w:hAnsi="Avenir Next" w:cs="Arial"/>
          <w:color w:val="808080" w:themeColor="background1" w:themeShade="80"/>
          <w:sz w:val="22"/>
          <w:szCs w:val="22"/>
          <w:lang w:val="en-GB"/>
        </w:rPr>
        <w:t>, in order that such transactions could be identified.</w:t>
      </w:r>
      <w:r w:rsidR="002942C2">
        <w:rPr>
          <w:rFonts w:ascii="Avenir Next" w:hAnsi="Avenir Next" w:cs="Arial"/>
          <w:color w:val="808080" w:themeColor="background1" w:themeShade="80"/>
          <w:sz w:val="22"/>
          <w:szCs w:val="22"/>
          <w:lang w:val="en-GB"/>
        </w:rPr>
        <w:t xml:space="preserve">  </w:t>
      </w:r>
    </w:p>
    <w:p w14:paraId="01ED451F" w14:textId="77777777" w:rsidR="001D5034" w:rsidRDefault="001D5034" w:rsidP="00AB63DE">
      <w:pPr>
        <w:ind w:left="720" w:hanging="720"/>
        <w:jc w:val="both"/>
        <w:rPr>
          <w:rFonts w:ascii="Avenir Next" w:hAnsi="Avenir Next" w:cs="Arial"/>
          <w:color w:val="808080" w:themeColor="background1" w:themeShade="80"/>
          <w:sz w:val="22"/>
          <w:szCs w:val="22"/>
          <w:lang w:val="en-GB"/>
        </w:rPr>
      </w:pP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0AA17ACF" w14:textId="2EBE1242" w:rsidR="00312465" w:rsidRDefault="00DB4030" w:rsidP="003124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Bob </w:t>
      </w:r>
      <w:r w:rsidR="00312465">
        <w:rPr>
          <w:rFonts w:ascii="Avenir Next" w:hAnsi="Avenir Next" w:cs="Arial"/>
          <w:color w:val="808080" w:themeColor="background1" w:themeShade="80"/>
          <w:sz w:val="22"/>
          <w:szCs w:val="22"/>
          <w:lang w:val="en-GB"/>
        </w:rPr>
        <w:t>Wessels’ definition quoted above reflects</w:t>
      </w:r>
      <w:r w:rsidR="00E43B78">
        <w:rPr>
          <w:rFonts w:ascii="Avenir Next" w:hAnsi="Avenir Next" w:cs="Arial"/>
          <w:color w:val="808080" w:themeColor="background1" w:themeShade="80"/>
          <w:sz w:val="22"/>
          <w:szCs w:val="22"/>
          <w:lang w:val="en-GB"/>
        </w:rPr>
        <w:t xml:space="preserve"> </w:t>
      </w:r>
      <w:r w:rsidR="006B6070">
        <w:rPr>
          <w:rFonts w:ascii="Avenir Next" w:hAnsi="Avenir Next" w:cs="Arial"/>
          <w:color w:val="808080" w:themeColor="background1" w:themeShade="80"/>
          <w:sz w:val="22"/>
          <w:szCs w:val="22"/>
          <w:lang w:val="en-GB"/>
        </w:rPr>
        <w:t>a</w:t>
      </w:r>
      <w:r w:rsidR="00E43B78">
        <w:rPr>
          <w:rFonts w:ascii="Avenir Next" w:hAnsi="Avenir Next" w:cs="Arial"/>
          <w:color w:val="808080" w:themeColor="background1" w:themeShade="80"/>
          <w:sz w:val="22"/>
          <w:szCs w:val="22"/>
          <w:lang w:val="en-GB"/>
        </w:rPr>
        <w:t xml:space="preserve"> </w:t>
      </w:r>
      <w:r w:rsidR="00312465">
        <w:rPr>
          <w:rFonts w:ascii="Avenir Next" w:hAnsi="Avenir Next" w:cs="Arial"/>
          <w:color w:val="808080" w:themeColor="background1" w:themeShade="80"/>
          <w:sz w:val="22"/>
          <w:szCs w:val="22"/>
          <w:lang w:val="en-GB"/>
        </w:rPr>
        <w:t xml:space="preserve">key </w:t>
      </w:r>
      <w:r w:rsidR="00E43B78">
        <w:rPr>
          <w:rFonts w:ascii="Avenir Next" w:hAnsi="Avenir Next" w:cs="Arial"/>
          <w:color w:val="808080" w:themeColor="background1" w:themeShade="80"/>
          <w:sz w:val="22"/>
          <w:szCs w:val="22"/>
          <w:lang w:val="en-GB"/>
        </w:rPr>
        <w:t xml:space="preserve">challenge in </w:t>
      </w:r>
      <w:r w:rsidR="00312465">
        <w:rPr>
          <w:rFonts w:ascii="Avenir Next" w:hAnsi="Avenir Next" w:cs="Arial"/>
          <w:color w:val="808080" w:themeColor="background1" w:themeShade="80"/>
          <w:sz w:val="22"/>
          <w:szCs w:val="22"/>
          <w:lang w:val="en-GB"/>
        </w:rPr>
        <w:t xml:space="preserve">international insolvency law, i.e. that in the absence of a unifying internationally-applicable insolvency regime, any national insolvency system will face challenges when </w:t>
      </w:r>
      <w:r w:rsidR="00D961FB">
        <w:rPr>
          <w:rFonts w:ascii="Avenir Next" w:hAnsi="Avenir Next" w:cs="Arial"/>
          <w:color w:val="808080" w:themeColor="background1" w:themeShade="80"/>
          <w:sz w:val="22"/>
          <w:szCs w:val="22"/>
          <w:lang w:val="en-GB"/>
        </w:rPr>
        <w:t>some aspect of the insolvency (</w:t>
      </w:r>
      <w:r w:rsidR="005F31DA">
        <w:rPr>
          <w:rFonts w:ascii="Avenir Next" w:hAnsi="Avenir Next" w:cs="Arial"/>
          <w:color w:val="808080" w:themeColor="background1" w:themeShade="80"/>
          <w:sz w:val="22"/>
          <w:szCs w:val="22"/>
          <w:lang w:val="en-GB"/>
        </w:rPr>
        <w:t xml:space="preserve">e.g. </w:t>
      </w:r>
      <w:r w:rsidR="00D961FB">
        <w:rPr>
          <w:rFonts w:ascii="Avenir Next" w:hAnsi="Avenir Next" w:cs="Arial"/>
          <w:color w:val="808080" w:themeColor="background1" w:themeShade="80"/>
          <w:sz w:val="22"/>
          <w:szCs w:val="22"/>
          <w:lang w:val="en-GB"/>
        </w:rPr>
        <w:t>the</w:t>
      </w:r>
      <w:r w:rsidR="00312465">
        <w:rPr>
          <w:rFonts w:ascii="Avenir Next" w:hAnsi="Avenir Next" w:cs="Arial"/>
          <w:color w:val="808080" w:themeColor="background1" w:themeShade="80"/>
          <w:sz w:val="22"/>
          <w:szCs w:val="22"/>
          <w:lang w:val="en-GB"/>
        </w:rPr>
        <w:t xml:space="preserve"> debtor’s assets</w:t>
      </w:r>
      <w:r w:rsidR="00D961FB">
        <w:rPr>
          <w:rFonts w:ascii="Avenir Next" w:hAnsi="Avenir Next" w:cs="Arial"/>
          <w:color w:val="808080" w:themeColor="background1" w:themeShade="80"/>
          <w:sz w:val="22"/>
          <w:szCs w:val="22"/>
          <w:lang w:val="en-GB"/>
        </w:rPr>
        <w:t>, creditors, contractual arrangements or other obligations)</w:t>
      </w:r>
      <w:r w:rsidR="00312465">
        <w:rPr>
          <w:rFonts w:ascii="Avenir Next" w:hAnsi="Avenir Next" w:cs="Arial"/>
          <w:color w:val="808080" w:themeColor="background1" w:themeShade="80"/>
          <w:sz w:val="22"/>
          <w:szCs w:val="22"/>
          <w:lang w:val="en-GB"/>
        </w:rPr>
        <w:t xml:space="preserve"> </w:t>
      </w:r>
      <w:r w:rsidR="00D961FB">
        <w:rPr>
          <w:rFonts w:ascii="Avenir Next" w:hAnsi="Avenir Next" w:cs="Arial"/>
          <w:color w:val="808080" w:themeColor="background1" w:themeShade="80"/>
          <w:sz w:val="22"/>
          <w:szCs w:val="22"/>
          <w:lang w:val="en-GB"/>
        </w:rPr>
        <w:t xml:space="preserve">is </w:t>
      </w:r>
      <w:r w:rsidR="00312465">
        <w:rPr>
          <w:rFonts w:ascii="Avenir Next" w:hAnsi="Avenir Next" w:cs="Arial"/>
          <w:color w:val="808080" w:themeColor="background1" w:themeShade="80"/>
          <w:sz w:val="22"/>
          <w:szCs w:val="22"/>
          <w:lang w:val="en-GB"/>
        </w:rPr>
        <w:t>located in a jurisdiction other than the one where the debtor’s insolvency is taking place</w:t>
      </w:r>
      <w:r w:rsidR="006B6070">
        <w:rPr>
          <w:rFonts w:ascii="Avenir Next" w:hAnsi="Avenir Next" w:cs="Arial"/>
          <w:color w:val="808080" w:themeColor="background1" w:themeShade="80"/>
          <w:sz w:val="22"/>
          <w:szCs w:val="22"/>
          <w:lang w:val="en-GB"/>
        </w:rPr>
        <w:t>.</w:t>
      </w:r>
    </w:p>
    <w:p w14:paraId="52B4C21B" w14:textId="7B877586" w:rsidR="00BF11DD" w:rsidRDefault="00BF11DD" w:rsidP="00312465">
      <w:pPr>
        <w:jc w:val="both"/>
        <w:rPr>
          <w:rFonts w:ascii="Avenir Next" w:hAnsi="Avenir Next" w:cs="Arial"/>
          <w:color w:val="808080" w:themeColor="background1" w:themeShade="80"/>
          <w:sz w:val="22"/>
          <w:szCs w:val="22"/>
          <w:lang w:val="en-GB"/>
        </w:rPr>
      </w:pPr>
    </w:p>
    <w:p w14:paraId="16B48F37" w14:textId="14D2617D" w:rsidR="00BF11DD" w:rsidRDefault="00BF11DD" w:rsidP="003124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Wessels </w:t>
      </w:r>
      <w:r w:rsidR="00F403C4">
        <w:rPr>
          <w:rFonts w:ascii="Avenir Next" w:hAnsi="Avenir Next" w:cs="Arial"/>
          <w:color w:val="808080" w:themeColor="background1" w:themeShade="80"/>
          <w:sz w:val="22"/>
          <w:szCs w:val="22"/>
          <w:lang w:val="en-GB"/>
        </w:rPr>
        <w:t>admits</w:t>
      </w:r>
      <w:r>
        <w:rPr>
          <w:rFonts w:ascii="Avenir Next" w:hAnsi="Avenir Next" w:cs="Arial"/>
          <w:color w:val="808080" w:themeColor="background1" w:themeShade="80"/>
          <w:sz w:val="22"/>
          <w:szCs w:val="22"/>
          <w:lang w:val="en-GB"/>
        </w:rPr>
        <w:t xml:space="preserve"> that his definition is limited because it relates to the existence of a national insolvency law regime</w:t>
      </w:r>
      <w:r w:rsidR="009E5532">
        <w:rPr>
          <w:rFonts w:ascii="Avenir Next" w:hAnsi="Avenir Next" w:cs="Arial"/>
          <w:color w:val="808080" w:themeColor="background1" w:themeShade="80"/>
          <w:sz w:val="22"/>
          <w:szCs w:val="22"/>
          <w:lang w:val="en-GB"/>
        </w:rPr>
        <w:t xml:space="preserve">, and views the associated challenges from the point of view of a national regime, </w:t>
      </w:r>
      <w:r>
        <w:rPr>
          <w:rFonts w:ascii="Avenir Next" w:hAnsi="Avenir Next" w:cs="Arial"/>
          <w:color w:val="808080" w:themeColor="background1" w:themeShade="80"/>
          <w:sz w:val="22"/>
          <w:szCs w:val="22"/>
          <w:lang w:val="en-GB"/>
        </w:rPr>
        <w:t xml:space="preserve">whereas international insolvency by definition involves transnational issues: as </w:t>
      </w:r>
      <w:r w:rsidR="00FE5214">
        <w:rPr>
          <w:rFonts w:ascii="Avenir Next" w:hAnsi="Avenir Next" w:cs="Arial"/>
          <w:color w:val="808080" w:themeColor="background1" w:themeShade="80"/>
          <w:sz w:val="22"/>
          <w:szCs w:val="22"/>
          <w:lang w:val="en-GB"/>
        </w:rPr>
        <w:t xml:space="preserve">Ian </w:t>
      </w:r>
      <w:r>
        <w:rPr>
          <w:rFonts w:ascii="Avenir Next" w:hAnsi="Avenir Next" w:cs="Arial"/>
          <w:color w:val="808080" w:themeColor="background1" w:themeShade="80"/>
          <w:sz w:val="22"/>
          <w:szCs w:val="22"/>
          <w:lang w:val="en-GB"/>
        </w:rPr>
        <w:t>Fletcher puts it, “</w:t>
      </w:r>
      <w:r w:rsidRPr="00F00863">
        <w:rPr>
          <w:rFonts w:ascii="Avenir Next" w:hAnsi="Avenir Next" w:cs="Arial"/>
          <w:i/>
          <w:iCs/>
          <w:color w:val="808080" w:themeColor="background1" w:themeShade="80"/>
          <w:sz w:val="22"/>
          <w:szCs w:val="22"/>
          <w:lang w:val="en-GB"/>
        </w:rPr>
        <w:t>circumstances which in some way transcend the confines of a single legal system</w:t>
      </w:r>
      <w:r>
        <w:rPr>
          <w:rFonts w:ascii="Avenir Next" w:hAnsi="Avenir Next" w:cs="Arial"/>
          <w:color w:val="808080" w:themeColor="background1" w:themeShade="80"/>
          <w:sz w:val="22"/>
          <w:szCs w:val="22"/>
          <w:lang w:val="en-GB"/>
        </w:rPr>
        <w:t>”</w:t>
      </w:r>
      <w:r w:rsidR="009E5532">
        <w:rPr>
          <w:rFonts w:ascii="Avenir Next" w:hAnsi="Avenir Next" w:cs="Arial"/>
          <w:color w:val="808080" w:themeColor="background1" w:themeShade="80"/>
          <w:sz w:val="22"/>
          <w:szCs w:val="22"/>
          <w:lang w:val="en-GB"/>
        </w:rPr>
        <w:t>, and which may be more usefully analy</w:t>
      </w:r>
      <w:r w:rsidR="00F00863">
        <w:rPr>
          <w:rFonts w:ascii="Avenir Next" w:hAnsi="Avenir Next" w:cs="Arial"/>
          <w:color w:val="808080" w:themeColor="background1" w:themeShade="80"/>
          <w:sz w:val="22"/>
          <w:szCs w:val="22"/>
          <w:lang w:val="en-GB"/>
        </w:rPr>
        <w:t>sed</w:t>
      </w:r>
      <w:r w:rsidR="009E5532">
        <w:rPr>
          <w:rFonts w:ascii="Avenir Next" w:hAnsi="Avenir Next" w:cs="Arial"/>
          <w:color w:val="808080" w:themeColor="background1" w:themeShade="80"/>
          <w:sz w:val="22"/>
          <w:szCs w:val="22"/>
          <w:lang w:val="en-GB"/>
        </w:rPr>
        <w:t xml:space="preserve"> from a global perspective</w:t>
      </w:r>
      <w:r>
        <w:rPr>
          <w:rFonts w:ascii="Avenir Next" w:hAnsi="Avenir Next" w:cs="Arial"/>
          <w:color w:val="808080" w:themeColor="background1" w:themeShade="80"/>
          <w:sz w:val="22"/>
          <w:szCs w:val="22"/>
          <w:lang w:val="en-GB"/>
        </w:rPr>
        <w:t xml:space="preserve">.  </w:t>
      </w:r>
      <w:r w:rsidR="009E5532">
        <w:rPr>
          <w:rFonts w:ascii="Avenir Next" w:hAnsi="Avenir Next" w:cs="Arial"/>
          <w:color w:val="808080" w:themeColor="background1" w:themeShade="80"/>
          <w:sz w:val="22"/>
          <w:szCs w:val="22"/>
          <w:lang w:val="en-GB"/>
        </w:rPr>
        <w:t>Wessels’ position reflects the fact that e</w:t>
      </w:r>
      <w:r>
        <w:rPr>
          <w:rFonts w:ascii="Avenir Next" w:hAnsi="Avenir Next" w:cs="Arial"/>
          <w:color w:val="808080" w:themeColor="background1" w:themeShade="80"/>
          <w:sz w:val="22"/>
          <w:szCs w:val="22"/>
          <w:lang w:val="en-GB"/>
        </w:rPr>
        <w:t xml:space="preserve">nforcement of a state’s jurisdiction generally stops at its borders, and the historical development of domestic laws, understandably focused on local issues, has meant that domestic insolvency laws </w:t>
      </w:r>
      <w:r w:rsidR="005605DF">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fare poorly when faced with transnational insolvency issues.</w:t>
      </w:r>
    </w:p>
    <w:p w14:paraId="393A97F8" w14:textId="17E4D5A5" w:rsidR="00DF162D" w:rsidRDefault="00DF162D" w:rsidP="00312465">
      <w:pPr>
        <w:jc w:val="both"/>
        <w:rPr>
          <w:rFonts w:ascii="Avenir Next" w:hAnsi="Avenir Next" w:cs="Arial"/>
          <w:color w:val="808080" w:themeColor="background1" w:themeShade="80"/>
          <w:sz w:val="22"/>
          <w:szCs w:val="22"/>
          <w:lang w:val="en-GB"/>
        </w:rPr>
      </w:pPr>
    </w:p>
    <w:p w14:paraId="40E4D888" w14:textId="1A85C166" w:rsidR="00DF162D" w:rsidRDefault="009E5532" w:rsidP="003124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1C497C">
        <w:rPr>
          <w:rFonts w:ascii="Avenir Next" w:hAnsi="Avenir Next" w:cs="Arial"/>
          <w:color w:val="808080" w:themeColor="background1" w:themeShade="80"/>
          <w:sz w:val="22"/>
          <w:szCs w:val="22"/>
          <w:lang w:val="en-GB"/>
        </w:rPr>
        <w:t xml:space="preserve">more “top down” </w:t>
      </w:r>
      <w:r>
        <w:rPr>
          <w:rFonts w:ascii="Avenir Next" w:hAnsi="Avenir Next" w:cs="Arial"/>
          <w:color w:val="808080" w:themeColor="background1" w:themeShade="80"/>
          <w:sz w:val="22"/>
          <w:szCs w:val="22"/>
          <w:lang w:val="en-GB"/>
        </w:rPr>
        <w:t xml:space="preserve">perspective is instructive.  For example, </w:t>
      </w:r>
      <w:r w:rsidR="00FE5214">
        <w:rPr>
          <w:rFonts w:ascii="Avenir Next" w:hAnsi="Avenir Next" w:cs="Arial"/>
          <w:color w:val="808080" w:themeColor="background1" w:themeShade="80"/>
          <w:sz w:val="22"/>
          <w:szCs w:val="22"/>
          <w:lang w:val="en-GB"/>
        </w:rPr>
        <w:t xml:space="preserve">as </w:t>
      </w:r>
      <w:proofErr w:type="spellStart"/>
      <w:r w:rsidR="001C497C">
        <w:rPr>
          <w:rFonts w:ascii="Avenir Next" w:hAnsi="Avenir Next" w:cs="Arial"/>
          <w:color w:val="808080" w:themeColor="background1" w:themeShade="80"/>
          <w:sz w:val="22"/>
          <w:szCs w:val="22"/>
          <w:lang w:val="en-GB"/>
        </w:rPr>
        <w:t>Hakan</w:t>
      </w:r>
      <w:proofErr w:type="spellEnd"/>
      <w:r w:rsidR="001C497C">
        <w:rPr>
          <w:rFonts w:ascii="Avenir Next" w:hAnsi="Avenir Next" w:cs="Arial"/>
          <w:color w:val="808080" w:themeColor="background1" w:themeShade="80"/>
          <w:sz w:val="22"/>
          <w:szCs w:val="22"/>
          <w:lang w:val="en-GB"/>
        </w:rPr>
        <w:t xml:space="preserve"> </w:t>
      </w:r>
      <w:proofErr w:type="spellStart"/>
      <w:r w:rsidR="00FE5214">
        <w:rPr>
          <w:rFonts w:ascii="Avenir Next" w:hAnsi="Avenir Next" w:cs="Arial"/>
          <w:color w:val="808080" w:themeColor="background1" w:themeShade="80"/>
          <w:sz w:val="22"/>
          <w:szCs w:val="22"/>
          <w:lang w:val="en-GB"/>
        </w:rPr>
        <w:t>Friman</w:t>
      </w:r>
      <w:proofErr w:type="spellEnd"/>
      <w:r w:rsidR="00FE5214">
        <w:rPr>
          <w:rFonts w:ascii="Avenir Next" w:hAnsi="Avenir Next" w:cs="Arial"/>
          <w:color w:val="808080" w:themeColor="background1" w:themeShade="80"/>
          <w:sz w:val="22"/>
          <w:szCs w:val="22"/>
          <w:lang w:val="en-GB"/>
        </w:rPr>
        <w:t xml:space="preserve"> note</w:t>
      </w:r>
      <w:r w:rsidR="001C497C">
        <w:rPr>
          <w:rFonts w:ascii="Avenir Next" w:hAnsi="Avenir Next" w:cs="Arial"/>
          <w:color w:val="808080" w:themeColor="background1" w:themeShade="80"/>
          <w:sz w:val="22"/>
          <w:szCs w:val="22"/>
          <w:lang w:val="en-GB"/>
        </w:rPr>
        <w:t>d</w:t>
      </w:r>
      <w:r w:rsidR="00FE521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w:t>
      </w:r>
      <w:r w:rsidR="00DF162D">
        <w:rPr>
          <w:rFonts w:ascii="Avenir Next" w:hAnsi="Avenir Next" w:cs="Arial"/>
          <w:color w:val="808080" w:themeColor="background1" w:themeShade="80"/>
          <w:sz w:val="22"/>
          <w:szCs w:val="22"/>
          <w:lang w:val="en-GB"/>
        </w:rPr>
        <w:t xml:space="preserve">upranational organisations from </w:t>
      </w:r>
      <w:r w:rsidR="00BF11DD">
        <w:rPr>
          <w:rFonts w:ascii="Avenir Next" w:hAnsi="Avenir Next" w:cs="Arial"/>
          <w:color w:val="808080" w:themeColor="background1" w:themeShade="80"/>
          <w:sz w:val="22"/>
          <w:szCs w:val="22"/>
          <w:lang w:val="en-GB"/>
        </w:rPr>
        <w:t xml:space="preserve">the United States’ earliest federal government to </w:t>
      </w:r>
      <w:r w:rsidR="00DF162D">
        <w:rPr>
          <w:rFonts w:ascii="Avenir Next" w:hAnsi="Avenir Next" w:cs="Arial"/>
          <w:color w:val="808080" w:themeColor="background1" w:themeShade="80"/>
          <w:sz w:val="22"/>
          <w:szCs w:val="22"/>
          <w:lang w:val="en-GB"/>
        </w:rPr>
        <w:t>the European Union have recognised th</w:t>
      </w:r>
      <w:r>
        <w:rPr>
          <w:rFonts w:ascii="Avenir Next" w:hAnsi="Avenir Next" w:cs="Arial"/>
          <w:color w:val="808080" w:themeColor="background1" w:themeShade="80"/>
          <w:sz w:val="22"/>
          <w:szCs w:val="22"/>
          <w:lang w:val="en-GB"/>
        </w:rPr>
        <w:t>e</w:t>
      </w:r>
      <w:r w:rsidR="00DF162D">
        <w:rPr>
          <w:rFonts w:ascii="Avenir Next" w:hAnsi="Avenir Next" w:cs="Arial"/>
          <w:color w:val="808080" w:themeColor="background1" w:themeShade="80"/>
          <w:sz w:val="22"/>
          <w:szCs w:val="22"/>
          <w:lang w:val="en-GB"/>
        </w:rPr>
        <w:t xml:space="preserve"> </w:t>
      </w:r>
      <w:r w:rsidR="008B6288">
        <w:rPr>
          <w:rFonts w:ascii="Avenir Next" w:hAnsi="Avenir Next" w:cs="Arial"/>
          <w:color w:val="808080" w:themeColor="background1" w:themeShade="80"/>
          <w:sz w:val="22"/>
          <w:szCs w:val="22"/>
          <w:lang w:val="en-GB"/>
        </w:rPr>
        <w:t>challenges of cross-border insolvency</w:t>
      </w:r>
      <w:r w:rsidR="00DF162D">
        <w:rPr>
          <w:rFonts w:ascii="Avenir Next" w:hAnsi="Avenir Next" w:cs="Arial"/>
          <w:color w:val="808080" w:themeColor="background1" w:themeShade="80"/>
          <w:sz w:val="22"/>
          <w:szCs w:val="22"/>
          <w:lang w:val="en-GB"/>
        </w:rPr>
        <w:t>: that if a chaotic</w:t>
      </w:r>
      <w:r w:rsidR="00BF11DD">
        <w:rPr>
          <w:rFonts w:ascii="Avenir Next" w:hAnsi="Avenir Next" w:cs="Arial"/>
          <w:color w:val="808080" w:themeColor="background1" w:themeShade="80"/>
          <w:sz w:val="22"/>
          <w:szCs w:val="22"/>
          <w:lang w:val="en-GB"/>
        </w:rPr>
        <w:t>, expensive,</w:t>
      </w:r>
      <w:r w:rsidR="00DF162D">
        <w:rPr>
          <w:rFonts w:ascii="Avenir Next" w:hAnsi="Avenir Next" w:cs="Arial"/>
          <w:color w:val="808080" w:themeColor="background1" w:themeShade="80"/>
          <w:sz w:val="22"/>
          <w:szCs w:val="22"/>
          <w:lang w:val="en-GB"/>
        </w:rPr>
        <w:t xml:space="preserve"> and potentially-contradictory multiplicity of proceedings is to be avoided</w:t>
      </w:r>
      <w:r w:rsidR="008B6288">
        <w:rPr>
          <w:rFonts w:ascii="Avenir Next" w:hAnsi="Avenir Next" w:cs="Arial"/>
          <w:color w:val="808080" w:themeColor="background1" w:themeShade="80"/>
          <w:sz w:val="22"/>
          <w:szCs w:val="22"/>
          <w:lang w:val="en-GB"/>
        </w:rPr>
        <w:t xml:space="preserve">, and certainty </w:t>
      </w:r>
      <w:r w:rsidR="005B4D17">
        <w:rPr>
          <w:rFonts w:ascii="Avenir Next" w:hAnsi="Avenir Next" w:cs="Arial"/>
          <w:color w:val="808080" w:themeColor="background1" w:themeShade="80"/>
          <w:sz w:val="22"/>
          <w:szCs w:val="22"/>
          <w:lang w:val="en-GB"/>
        </w:rPr>
        <w:t xml:space="preserve">and predictability </w:t>
      </w:r>
      <w:r w:rsidR="008B6288">
        <w:rPr>
          <w:rFonts w:ascii="Avenir Next" w:hAnsi="Avenir Next" w:cs="Arial"/>
          <w:color w:val="808080" w:themeColor="background1" w:themeShade="80"/>
          <w:sz w:val="22"/>
          <w:szCs w:val="22"/>
          <w:lang w:val="en-GB"/>
        </w:rPr>
        <w:t>for parties increased</w:t>
      </w:r>
      <w:r w:rsidR="00DF162D">
        <w:rPr>
          <w:rFonts w:ascii="Avenir Next" w:hAnsi="Avenir Next" w:cs="Arial"/>
          <w:color w:val="808080" w:themeColor="background1" w:themeShade="80"/>
          <w:sz w:val="22"/>
          <w:szCs w:val="22"/>
          <w:lang w:val="en-GB"/>
        </w:rPr>
        <w:t xml:space="preserve">, the recognition of insolvency proceedings in one state by the authorities in another cannot </w:t>
      </w:r>
      <w:r w:rsidR="00C6198D">
        <w:rPr>
          <w:rFonts w:ascii="Avenir Next" w:hAnsi="Avenir Next" w:cs="Arial"/>
          <w:color w:val="808080" w:themeColor="background1" w:themeShade="80"/>
          <w:sz w:val="22"/>
          <w:szCs w:val="22"/>
          <w:lang w:val="en-GB"/>
        </w:rPr>
        <w:t xml:space="preserve">solely </w:t>
      </w:r>
      <w:r w:rsidR="00DF162D">
        <w:rPr>
          <w:rFonts w:ascii="Avenir Next" w:hAnsi="Avenir Next" w:cs="Arial"/>
          <w:color w:val="808080" w:themeColor="background1" w:themeShade="80"/>
          <w:sz w:val="22"/>
          <w:szCs w:val="22"/>
          <w:lang w:val="en-GB"/>
        </w:rPr>
        <w:t>be at the whim of the latter.  This is doubly so in an era of intense globalisation where cross-border insolvencies are arguably the norm rather than the exception.</w:t>
      </w:r>
    </w:p>
    <w:p w14:paraId="7ACA66BA" w14:textId="41D3EADA" w:rsidR="00BF11DD" w:rsidRDefault="00BF11DD" w:rsidP="00312465">
      <w:pPr>
        <w:jc w:val="both"/>
        <w:rPr>
          <w:rFonts w:ascii="Avenir Next" w:hAnsi="Avenir Next" w:cs="Arial"/>
          <w:color w:val="808080" w:themeColor="background1" w:themeShade="80"/>
          <w:sz w:val="22"/>
          <w:szCs w:val="22"/>
          <w:lang w:val="en-GB"/>
        </w:rPr>
      </w:pPr>
    </w:p>
    <w:p w14:paraId="79E57BA4" w14:textId="471A6F5F" w:rsidR="00BF11DD" w:rsidRDefault="00BF11DD" w:rsidP="003124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issues can be</w:t>
      </w:r>
      <w:r w:rsidR="008B6288">
        <w:rPr>
          <w:rFonts w:ascii="Avenir Next" w:hAnsi="Avenir Next" w:cs="Arial"/>
          <w:color w:val="808080" w:themeColor="background1" w:themeShade="80"/>
          <w:sz w:val="22"/>
          <w:szCs w:val="22"/>
          <w:lang w:val="en-GB"/>
        </w:rPr>
        <w:t xml:space="preserve"> relatively easily</w:t>
      </w:r>
      <w:r>
        <w:rPr>
          <w:rFonts w:ascii="Avenir Next" w:hAnsi="Avenir Next" w:cs="Arial"/>
          <w:color w:val="808080" w:themeColor="background1" w:themeShade="80"/>
          <w:sz w:val="22"/>
          <w:szCs w:val="22"/>
          <w:lang w:val="en-GB"/>
        </w:rPr>
        <w:t xml:space="preserve"> addressed where a formal common market exists (the EU, as mentioned), or where a federal </w:t>
      </w:r>
      <w:r w:rsidR="008B6288">
        <w:rPr>
          <w:rFonts w:ascii="Avenir Next" w:hAnsi="Avenir Next" w:cs="Arial"/>
          <w:color w:val="808080" w:themeColor="background1" w:themeShade="80"/>
          <w:sz w:val="22"/>
          <w:szCs w:val="22"/>
          <w:lang w:val="en-GB"/>
        </w:rPr>
        <w:t xml:space="preserve">or similar </w:t>
      </w:r>
      <w:r>
        <w:rPr>
          <w:rFonts w:ascii="Avenir Next" w:hAnsi="Avenir Next" w:cs="Arial"/>
          <w:color w:val="808080" w:themeColor="background1" w:themeShade="80"/>
          <w:sz w:val="22"/>
          <w:szCs w:val="22"/>
          <w:lang w:val="en-GB"/>
        </w:rPr>
        <w:t xml:space="preserve">system allows for a supervening standardised body of insolvency law (e.g. the USA).  </w:t>
      </w:r>
      <w:r w:rsidR="003E33CC">
        <w:rPr>
          <w:rFonts w:ascii="Avenir Next" w:hAnsi="Avenir Next" w:cs="Arial"/>
          <w:color w:val="808080" w:themeColor="background1" w:themeShade="80"/>
          <w:sz w:val="22"/>
          <w:szCs w:val="22"/>
          <w:lang w:val="en-GB"/>
        </w:rPr>
        <w:t xml:space="preserve">Such </w:t>
      </w:r>
      <w:r>
        <w:rPr>
          <w:rFonts w:ascii="Avenir Next" w:hAnsi="Avenir Next" w:cs="Arial"/>
          <w:color w:val="808080" w:themeColor="background1" w:themeShade="80"/>
          <w:sz w:val="22"/>
          <w:szCs w:val="22"/>
          <w:lang w:val="en-GB"/>
        </w:rPr>
        <w:t>issues are substantially more challenging where the two (or more) states are not bound by some enforceable arrangement</w:t>
      </w:r>
      <w:r w:rsidR="00A24EA9">
        <w:rPr>
          <w:rFonts w:ascii="Avenir Next" w:hAnsi="Avenir Next" w:cs="Arial"/>
          <w:color w:val="808080" w:themeColor="background1" w:themeShade="80"/>
          <w:sz w:val="22"/>
          <w:szCs w:val="22"/>
          <w:lang w:val="en-GB"/>
        </w:rPr>
        <w:t>,</w:t>
      </w:r>
      <w:r w:rsidR="00F403C4">
        <w:rPr>
          <w:rFonts w:ascii="Avenir Next" w:hAnsi="Avenir Next" w:cs="Arial"/>
          <w:color w:val="808080" w:themeColor="background1" w:themeShade="80"/>
          <w:sz w:val="22"/>
          <w:szCs w:val="22"/>
          <w:lang w:val="en-GB"/>
        </w:rPr>
        <w:t xml:space="preserve"> and recognition </w:t>
      </w:r>
      <w:r w:rsidR="00A24EA9">
        <w:rPr>
          <w:rFonts w:ascii="Avenir Next" w:hAnsi="Avenir Next" w:cs="Arial"/>
          <w:color w:val="808080" w:themeColor="background1" w:themeShade="80"/>
          <w:sz w:val="22"/>
          <w:szCs w:val="22"/>
          <w:lang w:val="en-GB"/>
        </w:rPr>
        <w:t>of foreign proceedings is (for example) left in the hands of the local judiciary</w:t>
      </w:r>
      <w:r>
        <w:rPr>
          <w:rFonts w:ascii="Avenir Next" w:hAnsi="Avenir Next" w:cs="Arial"/>
          <w:color w:val="808080" w:themeColor="background1" w:themeShade="80"/>
          <w:sz w:val="22"/>
          <w:szCs w:val="22"/>
          <w:lang w:val="en-GB"/>
        </w:rPr>
        <w:t>.</w:t>
      </w:r>
      <w:r w:rsidR="00F403C4">
        <w:rPr>
          <w:rFonts w:ascii="Avenir Next" w:hAnsi="Avenir Next" w:cs="Arial"/>
          <w:color w:val="808080" w:themeColor="background1" w:themeShade="80"/>
          <w:sz w:val="22"/>
          <w:szCs w:val="22"/>
          <w:lang w:val="en-GB"/>
        </w:rPr>
        <w:t xml:space="preserve">  Recent developments</w:t>
      </w:r>
      <w:r w:rsidR="00A24EA9">
        <w:rPr>
          <w:rFonts w:ascii="Avenir Next" w:hAnsi="Avenir Next" w:cs="Arial"/>
          <w:color w:val="808080" w:themeColor="background1" w:themeShade="80"/>
          <w:sz w:val="22"/>
          <w:szCs w:val="22"/>
          <w:lang w:val="en-GB"/>
        </w:rPr>
        <w:t xml:space="preserve"> in Hong Kong recognition law, for example (see </w:t>
      </w:r>
      <w:r w:rsidR="00A24EA9" w:rsidRPr="00A24EA9">
        <w:rPr>
          <w:rFonts w:ascii="Avenir Next" w:hAnsi="Avenir Next" w:cs="Arial"/>
          <w:i/>
          <w:iCs/>
          <w:color w:val="808080" w:themeColor="background1" w:themeShade="80"/>
          <w:sz w:val="22"/>
          <w:szCs w:val="22"/>
          <w:lang w:val="en-GB"/>
        </w:rPr>
        <w:t>Global Brands Group Holding Limited (in liquidation)</w:t>
      </w:r>
      <w:r w:rsidR="00A24EA9" w:rsidRPr="00A24EA9">
        <w:rPr>
          <w:rFonts w:ascii="Avenir Next" w:hAnsi="Avenir Next" w:cs="Arial"/>
          <w:color w:val="808080" w:themeColor="background1" w:themeShade="80"/>
          <w:sz w:val="22"/>
          <w:szCs w:val="22"/>
          <w:lang w:val="en-GB"/>
        </w:rPr>
        <w:t xml:space="preserve"> [2022] HKCFI 1789</w:t>
      </w:r>
      <w:r w:rsidR="00A24EA9">
        <w:rPr>
          <w:rFonts w:ascii="Avenir Next" w:hAnsi="Avenir Next" w:cs="Arial"/>
          <w:color w:val="808080" w:themeColor="background1" w:themeShade="80"/>
          <w:sz w:val="22"/>
          <w:szCs w:val="22"/>
          <w:lang w:val="en-GB"/>
        </w:rPr>
        <w:t>)</w:t>
      </w:r>
      <w:r w:rsidR="008B6288">
        <w:rPr>
          <w:rFonts w:ascii="Avenir Next" w:hAnsi="Avenir Next" w:cs="Arial"/>
          <w:color w:val="808080" w:themeColor="background1" w:themeShade="80"/>
          <w:sz w:val="22"/>
          <w:szCs w:val="22"/>
          <w:lang w:val="en-GB"/>
        </w:rPr>
        <w:t>,</w:t>
      </w:r>
      <w:r w:rsidR="00A24EA9">
        <w:rPr>
          <w:rFonts w:ascii="Avenir Next" w:hAnsi="Avenir Next" w:cs="Arial"/>
          <w:color w:val="808080" w:themeColor="background1" w:themeShade="80"/>
          <w:sz w:val="22"/>
          <w:szCs w:val="22"/>
          <w:lang w:val="en-GB"/>
        </w:rPr>
        <w:t xml:space="preserve"> </w:t>
      </w:r>
      <w:r w:rsidR="00433886">
        <w:rPr>
          <w:rFonts w:ascii="Avenir Next" w:hAnsi="Avenir Next" w:cs="Arial"/>
          <w:color w:val="808080" w:themeColor="background1" w:themeShade="80"/>
          <w:sz w:val="22"/>
          <w:szCs w:val="22"/>
          <w:lang w:val="en-GB"/>
        </w:rPr>
        <w:t xml:space="preserve">where something of a lacuna exists in this area, </w:t>
      </w:r>
      <w:r w:rsidR="00A24EA9">
        <w:rPr>
          <w:rFonts w:ascii="Avenir Next" w:hAnsi="Avenir Next" w:cs="Arial"/>
          <w:color w:val="808080" w:themeColor="background1" w:themeShade="80"/>
          <w:sz w:val="22"/>
          <w:szCs w:val="22"/>
          <w:lang w:val="en-GB"/>
        </w:rPr>
        <w:t xml:space="preserve">have moved the emphasis from a corporate debtor’s country of incorporation to its </w:t>
      </w:r>
      <w:r w:rsidR="003E33CC">
        <w:rPr>
          <w:rFonts w:ascii="Avenir Next" w:hAnsi="Avenir Next" w:cs="Arial"/>
          <w:color w:val="808080" w:themeColor="background1" w:themeShade="80"/>
          <w:sz w:val="22"/>
          <w:szCs w:val="22"/>
          <w:lang w:val="en-GB"/>
        </w:rPr>
        <w:t xml:space="preserve">centre </w:t>
      </w:r>
      <w:r w:rsidR="00A24EA9">
        <w:rPr>
          <w:rFonts w:ascii="Avenir Next" w:hAnsi="Avenir Next" w:cs="Arial"/>
          <w:color w:val="808080" w:themeColor="background1" w:themeShade="80"/>
          <w:sz w:val="22"/>
          <w:szCs w:val="22"/>
          <w:lang w:val="en-GB"/>
        </w:rPr>
        <w:t>of main interests, and severely limited the assistance available to overseas liquidators</w:t>
      </w:r>
      <w:r w:rsidR="009E5532">
        <w:rPr>
          <w:rFonts w:ascii="Avenir Next" w:hAnsi="Avenir Next" w:cs="Arial"/>
          <w:color w:val="808080" w:themeColor="background1" w:themeShade="80"/>
          <w:sz w:val="22"/>
          <w:szCs w:val="22"/>
          <w:lang w:val="en-GB"/>
        </w:rPr>
        <w:t xml:space="preserve"> – highlighting </w:t>
      </w:r>
      <w:r w:rsidR="008B6288">
        <w:rPr>
          <w:rFonts w:ascii="Avenir Next" w:hAnsi="Avenir Next" w:cs="Arial"/>
          <w:color w:val="808080" w:themeColor="background1" w:themeShade="80"/>
          <w:sz w:val="22"/>
          <w:szCs w:val="22"/>
          <w:lang w:val="en-GB"/>
        </w:rPr>
        <w:t>these challenges and the limits of any national insolvency law when viewed in isolation.</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48A17704" w:rsidR="001E1C34" w:rsidRPr="00AB63DE" w:rsidRDefault="00254855" w:rsidP="004238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w:t>
      </w:r>
      <w:r w:rsidR="00423895">
        <w:rPr>
          <w:rFonts w:ascii="Avenir Next" w:hAnsi="Avenir Next" w:cs="Arial"/>
          <w:color w:val="808080" w:themeColor="background1" w:themeShade="80"/>
          <w:sz w:val="22"/>
          <w:szCs w:val="22"/>
          <w:lang w:val="en-GB"/>
        </w:rPr>
        <w:t>articular problem in international insolvency</w:t>
      </w:r>
      <w:r w:rsidR="00D51A90">
        <w:rPr>
          <w:rFonts w:ascii="Avenir Next" w:hAnsi="Avenir Next" w:cs="Arial"/>
          <w:color w:val="808080" w:themeColor="background1" w:themeShade="80"/>
          <w:sz w:val="22"/>
          <w:szCs w:val="22"/>
          <w:lang w:val="en-GB"/>
        </w:rPr>
        <w:t xml:space="preserve">, in the absence of a unifying internationally-applicable insolvency regime, </w:t>
      </w:r>
      <w:r>
        <w:rPr>
          <w:rFonts w:ascii="Avenir Next" w:hAnsi="Avenir Next" w:cs="Arial"/>
          <w:color w:val="808080" w:themeColor="background1" w:themeShade="80"/>
          <w:sz w:val="22"/>
          <w:szCs w:val="22"/>
          <w:lang w:val="en-GB"/>
        </w:rPr>
        <w:t xml:space="preserve">is </w:t>
      </w:r>
      <w:r w:rsidR="00423895">
        <w:rPr>
          <w:rFonts w:ascii="Avenir Next" w:hAnsi="Avenir Next" w:cs="Arial"/>
          <w:color w:val="808080" w:themeColor="background1" w:themeShade="80"/>
          <w:sz w:val="22"/>
          <w:szCs w:val="22"/>
          <w:lang w:val="en-GB"/>
        </w:rPr>
        <w:t>the</w:t>
      </w:r>
      <w:r w:rsidR="00D51A90">
        <w:rPr>
          <w:rFonts w:ascii="Avenir Next" w:hAnsi="Avenir Next" w:cs="Arial"/>
          <w:color w:val="808080" w:themeColor="background1" w:themeShade="80"/>
          <w:sz w:val="22"/>
          <w:szCs w:val="22"/>
          <w:lang w:val="en-GB"/>
        </w:rPr>
        <w:t xml:space="preserve"> risk of competing </w:t>
      </w:r>
      <w:r>
        <w:rPr>
          <w:rFonts w:ascii="Avenir Next" w:hAnsi="Avenir Next" w:cs="Arial"/>
          <w:color w:val="808080" w:themeColor="background1" w:themeShade="80"/>
          <w:sz w:val="22"/>
          <w:szCs w:val="22"/>
          <w:lang w:val="en-GB"/>
        </w:rPr>
        <w:t xml:space="preserve">insolvency </w:t>
      </w:r>
      <w:r w:rsidR="00D51A90">
        <w:rPr>
          <w:rFonts w:ascii="Avenir Next" w:hAnsi="Avenir Next" w:cs="Arial"/>
          <w:color w:val="808080" w:themeColor="background1" w:themeShade="80"/>
          <w:sz w:val="22"/>
          <w:szCs w:val="22"/>
          <w:lang w:val="en-GB"/>
        </w:rPr>
        <w:t>proceedings</w:t>
      </w:r>
      <w:r w:rsidR="003D01A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different jurisdictions, with </w:t>
      </w:r>
      <w:r w:rsidR="003D01AF">
        <w:rPr>
          <w:rFonts w:ascii="Avenir Next" w:hAnsi="Avenir Next" w:cs="Arial"/>
          <w:color w:val="808080" w:themeColor="background1" w:themeShade="80"/>
          <w:sz w:val="22"/>
          <w:szCs w:val="22"/>
          <w:lang w:val="en-GB"/>
        </w:rPr>
        <w:t>the different priorities of different national regimes (e.g. pro-creditor, pro-debtor, or other domestic priorities)</w:t>
      </w:r>
      <w:r w:rsidR="00D51A90">
        <w:rPr>
          <w:rFonts w:ascii="Avenir Next" w:hAnsi="Avenir Next" w:cs="Arial"/>
          <w:color w:val="808080" w:themeColor="background1" w:themeShade="80"/>
          <w:sz w:val="22"/>
          <w:szCs w:val="22"/>
          <w:lang w:val="en-GB"/>
        </w:rPr>
        <w:t xml:space="preserve"> and the</w:t>
      </w:r>
      <w:r w:rsidR="00423895">
        <w:rPr>
          <w:rFonts w:ascii="Avenir Next" w:hAnsi="Avenir Next" w:cs="Arial"/>
          <w:color w:val="808080" w:themeColor="background1" w:themeShade="80"/>
          <w:sz w:val="22"/>
          <w:szCs w:val="22"/>
          <w:lang w:val="en-GB"/>
        </w:rPr>
        <w:t xml:space="preserve"> often </w:t>
      </w:r>
      <w:r w:rsidR="00D51A90">
        <w:rPr>
          <w:rFonts w:ascii="Avenir Next" w:hAnsi="Avenir Next" w:cs="Arial"/>
          <w:color w:val="808080" w:themeColor="background1" w:themeShade="80"/>
          <w:sz w:val="22"/>
          <w:szCs w:val="22"/>
          <w:lang w:val="en-GB"/>
        </w:rPr>
        <w:t>poor</w:t>
      </w:r>
      <w:r w:rsidR="00423895">
        <w:rPr>
          <w:rFonts w:ascii="Avenir Next" w:hAnsi="Avenir Next" w:cs="Arial"/>
          <w:color w:val="808080" w:themeColor="background1" w:themeShade="80"/>
          <w:sz w:val="22"/>
          <w:szCs w:val="22"/>
          <w:lang w:val="en-GB"/>
        </w:rPr>
        <w:t xml:space="preserve"> standard of domestic insolvency law</w:t>
      </w:r>
      <w:r>
        <w:rPr>
          <w:rFonts w:ascii="Avenir Next" w:hAnsi="Avenir Next" w:cs="Arial"/>
          <w:color w:val="808080" w:themeColor="background1" w:themeShade="80"/>
          <w:sz w:val="22"/>
          <w:szCs w:val="22"/>
          <w:lang w:val="en-GB"/>
        </w:rPr>
        <w:t xml:space="preserve">s, which may be </w:t>
      </w:r>
      <w:r w:rsidR="00423895">
        <w:rPr>
          <w:rFonts w:ascii="Avenir Next" w:hAnsi="Avenir Next" w:cs="Arial"/>
          <w:color w:val="808080" w:themeColor="background1" w:themeShade="80"/>
          <w:sz w:val="22"/>
          <w:szCs w:val="22"/>
          <w:lang w:val="en-GB"/>
        </w:rPr>
        <w:t xml:space="preserve">outdated or otherwise </w:t>
      </w:r>
      <w:r>
        <w:rPr>
          <w:rFonts w:ascii="Avenir Next" w:hAnsi="Avenir Next" w:cs="Arial"/>
          <w:color w:val="808080" w:themeColor="background1" w:themeShade="80"/>
          <w:sz w:val="22"/>
          <w:szCs w:val="22"/>
          <w:lang w:val="en-GB"/>
        </w:rPr>
        <w:t xml:space="preserve">fail to </w:t>
      </w:r>
      <w:r w:rsidR="00423895">
        <w:rPr>
          <w:rFonts w:ascii="Avenir Next" w:hAnsi="Avenir Next" w:cs="Arial"/>
          <w:color w:val="808080" w:themeColor="background1" w:themeShade="80"/>
          <w:sz w:val="22"/>
          <w:szCs w:val="22"/>
          <w:lang w:val="en-GB"/>
        </w:rPr>
        <w:t>reflect the reality of modern globalised business</w:t>
      </w:r>
      <w:r w:rsidR="00FC1337">
        <w:rPr>
          <w:rFonts w:ascii="Avenir Next" w:hAnsi="Avenir Next" w:cs="Arial"/>
          <w:color w:val="808080" w:themeColor="background1" w:themeShade="80"/>
          <w:sz w:val="22"/>
          <w:szCs w:val="22"/>
          <w:lang w:val="en-GB"/>
        </w:rPr>
        <w:t xml:space="preserve">.  The </w:t>
      </w:r>
      <w:r w:rsidR="006E00FE">
        <w:rPr>
          <w:rFonts w:ascii="Avenir Next" w:hAnsi="Avenir Next" w:cs="Arial"/>
          <w:color w:val="808080" w:themeColor="background1" w:themeShade="80"/>
          <w:sz w:val="22"/>
          <w:szCs w:val="22"/>
          <w:lang w:val="en-GB"/>
        </w:rPr>
        <w:t>result</w:t>
      </w:r>
      <w:r w:rsidR="00FC1337">
        <w:rPr>
          <w:rFonts w:ascii="Avenir Next" w:hAnsi="Avenir Next" w:cs="Arial"/>
          <w:color w:val="808080" w:themeColor="background1" w:themeShade="80"/>
          <w:sz w:val="22"/>
          <w:szCs w:val="22"/>
          <w:lang w:val="en-GB"/>
        </w:rPr>
        <w:t xml:space="preserve"> is to raise the risk of multiple concurrent insolvency proceedings and</w:t>
      </w:r>
      <w:r w:rsidR="00B64416">
        <w:rPr>
          <w:rFonts w:ascii="Avenir Next" w:hAnsi="Avenir Next" w:cs="Arial"/>
          <w:color w:val="808080" w:themeColor="background1" w:themeShade="80"/>
          <w:sz w:val="22"/>
          <w:szCs w:val="22"/>
          <w:lang w:val="en-GB"/>
        </w:rPr>
        <w:t>/or</w:t>
      </w:r>
      <w:r w:rsidR="00FC1337">
        <w:rPr>
          <w:rFonts w:ascii="Avenir Next" w:hAnsi="Avenir Next" w:cs="Arial"/>
          <w:color w:val="808080" w:themeColor="background1" w:themeShade="80"/>
          <w:sz w:val="22"/>
          <w:szCs w:val="22"/>
          <w:lang w:val="en-GB"/>
        </w:rPr>
        <w:t xml:space="preserve"> a “race to the prize” amongst creditors, offending the principle of equality or </w:t>
      </w:r>
      <w:r w:rsidR="00FC1337" w:rsidRPr="00D650A7">
        <w:rPr>
          <w:rFonts w:ascii="Avenir Next" w:hAnsi="Avenir Next" w:cs="Arial"/>
          <w:i/>
          <w:iCs/>
          <w:color w:val="808080" w:themeColor="background1" w:themeShade="80"/>
          <w:sz w:val="22"/>
          <w:szCs w:val="22"/>
          <w:lang w:val="en-GB"/>
        </w:rPr>
        <w:t xml:space="preserve">par </w:t>
      </w:r>
      <w:proofErr w:type="spellStart"/>
      <w:r w:rsidR="00FC1337" w:rsidRPr="00D650A7">
        <w:rPr>
          <w:rFonts w:ascii="Avenir Next" w:hAnsi="Avenir Next" w:cs="Arial"/>
          <w:i/>
          <w:iCs/>
          <w:color w:val="808080" w:themeColor="background1" w:themeShade="80"/>
          <w:sz w:val="22"/>
          <w:szCs w:val="22"/>
          <w:lang w:val="en-GB"/>
        </w:rPr>
        <w:t>conditio</w:t>
      </w:r>
      <w:proofErr w:type="spellEnd"/>
      <w:r w:rsidR="00FC1337" w:rsidRPr="00D650A7">
        <w:rPr>
          <w:rFonts w:ascii="Avenir Next" w:hAnsi="Avenir Next" w:cs="Arial"/>
          <w:i/>
          <w:iCs/>
          <w:color w:val="808080" w:themeColor="background1" w:themeShade="80"/>
          <w:sz w:val="22"/>
          <w:szCs w:val="22"/>
          <w:lang w:val="en-GB"/>
        </w:rPr>
        <w:t xml:space="preserve"> </w:t>
      </w:r>
      <w:proofErr w:type="spellStart"/>
      <w:r w:rsidR="00FC1337" w:rsidRPr="00D650A7">
        <w:rPr>
          <w:rFonts w:ascii="Avenir Next" w:hAnsi="Avenir Next" w:cs="Arial"/>
          <w:i/>
          <w:iCs/>
          <w:color w:val="808080" w:themeColor="background1" w:themeShade="80"/>
          <w:sz w:val="22"/>
          <w:szCs w:val="22"/>
          <w:lang w:val="en-GB"/>
        </w:rPr>
        <w:t>creditorum</w:t>
      </w:r>
      <w:proofErr w:type="spellEnd"/>
      <w:r>
        <w:rPr>
          <w:rFonts w:ascii="Avenir Next" w:hAnsi="Avenir Next" w:cs="Arial"/>
          <w:color w:val="808080" w:themeColor="background1" w:themeShade="80"/>
          <w:sz w:val="22"/>
          <w:szCs w:val="22"/>
          <w:lang w:val="en-GB"/>
        </w:rPr>
        <w:t xml:space="preserve"> and, moreover, increasing uncertainty, time and expense for parties.</w:t>
      </w:r>
    </w:p>
    <w:p w14:paraId="492D35CC" w14:textId="71363F8B" w:rsidR="001E1C34" w:rsidRPr="00FC1337" w:rsidRDefault="001E1C34" w:rsidP="00692852">
      <w:pPr>
        <w:jc w:val="both"/>
        <w:rPr>
          <w:rFonts w:ascii="Avenir Next" w:hAnsi="Avenir Next" w:cs="Arial"/>
          <w:color w:val="808080" w:themeColor="background1" w:themeShade="80"/>
          <w:sz w:val="22"/>
          <w:szCs w:val="22"/>
          <w:lang w:val="en-GB"/>
        </w:rPr>
      </w:pPr>
    </w:p>
    <w:p w14:paraId="4930B8E6" w14:textId="17759F96" w:rsidR="00FC1337" w:rsidRPr="00FC1337" w:rsidRDefault="00757A0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true </w:t>
      </w:r>
      <w:r w:rsidR="00897771">
        <w:rPr>
          <w:rFonts w:ascii="Avenir Next" w:hAnsi="Avenir Next" w:cs="Arial"/>
          <w:color w:val="808080" w:themeColor="background1" w:themeShade="80"/>
          <w:sz w:val="22"/>
          <w:szCs w:val="22"/>
          <w:lang w:val="en-GB"/>
        </w:rPr>
        <w:t xml:space="preserve">single-forum </w:t>
      </w:r>
      <w:r>
        <w:rPr>
          <w:rFonts w:ascii="Avenir Next" w:hAnsi="Avenir Next" w:cs="Arial"/>
          <w:color w:val="808080" w:themeColor="background1" w:themeShade="80"/>
          <w:sz w:val="22"/>
          <w:szCs w:val="22"/>
          <w:lang w:val="en-GB"/>
        </w:rPr>
        <w:t>universalism,</w:t>
      </w:r>
      <w:r w:rsidR="00FC1337" w:rsidRPr="00FC1337">
        <w:rPr>
          <w:rFonts w:ascii="Avenir Next" w:hAnsi="Avenir Next" w:cs="Arial"/>
          <w:color w:val="808080" w:themeColor="background1" w:themeShade="80"/>
          <w:sz w:val="22"/>
          <w:szCs w:val="22"/>
          <w:lang w:val="en-GB"/>
        </w:rPr>
        <w:t xml:space="preserve"> </w:t>
      </w:r>
      <w:r w:rsidR="00897771">
        <w:rPr>
          <w:rFonts w:ascii="Avenir Next" w:hAnsi="Avenir Next" w:cs="Arial"/>
          <w:color w:val="808080" w:themeColor="background1" w:themeShade="80"/>
          <w:sz w:val="22"/>
          <w:szCs w:val="22"/>
          <w:lang w:val="en-GB"/>
        </w:rPr>
        <w:t xml:space="preserve">one </w:t>
      </w:r>
      <w:r>
        <w:rPr>
          <w:rFonts w:ascii="Avenir Next" w:hAnsi="Avenir Next" w:cs="Arial"/>
          <w:color w:val="808080" w:themeColor="background1" w:themeShade="80"/>
          <w:sz w:val="22"/>
          <w:szCs w:val="22"/>
          <w:lang w:val="en-GB"/>
        </w:rPr>
        <w:t xml:space="preserve">remedy </w:t>
      </w:r>
      <w:r w:rsidR="00FC1337" w:rsidRPr="00FC1337">
        <w:rPr>
          <w:rFonts w:ascii="Avenir Next" w:hAnsi="Avenir Next" w:cs="Arial"/>
          <w:color w:val="808080" w:themeColor="background1" w:themeShade="80"/>
          <w:sz w:val="22"/>
          <w:szCs w:val="22"/>
          <w:lang w:val="en-GB"/>
        </w:rPr>
        <w:t>is co-operation and co-ordination between insolvency proceedings</w:t>
      </w:r>
      <w:r w:rsidR="00BC5951">
        <w:rPr>
          <w:rFonts w:ascii="Avenir Next" w:hAnsi="Avenir Next" w:cs="Arial"/>
          <w:color w:val="808080" w:themeColor="background1" w:themeShade="80"/>
          <w:sz w:val="22"/>
          <w:szCs w:val="22"/>
          <w:lang w:val="en-GB"/>
        </w:rPr>
        <w:t xml:space="preserve"> and recognition and enforcement of foreign insolvency decisions</w:t>
      </w:r>
      <w:r w:rsidR="00FC1337" w:rsidRPr="00FC1337">
        <w:rPr>
          <w:rFonts w:ascii="Avenir Next" w:hAnsi="Avenir Next" w:cs="Arial"/>
          <w:color w:val="808080" w:themeColor="background1" w:themeShade="80"/>
          <w:sz w:val="22"/>
          <w:szCs w:val="22"/>
          <w:lang w:val="en-GB"/>
        </w:rPr>
        <w:t xml:space="preserve">, </w:t>
      </w:r>
      <w:r w:rsidR="00D075F8">
        <w:rPr>
          <w:rFonts w:ascii="Avenir Next" w:hAnsi="Avenir Next" w:cs="Arial"/>
          <w:color w:val="808080" w:themeColor="background1" w:themeShade="80"/>
          <w:sz w:val="22"/>
          <w:szCs w:val="22"/>
          <w:lang w:val="en-GB"/>
        </w:rPr>
        <w:t xml:space="preserve">ideally </w:t>
      </w:r>
      <w:r w:rsidR="00FC1337" w:rsidRPr="00FC1337">
        <w:rPr>
          <w:rFonts w:ascii="Avenir Next" w:hAnsi="Avenir Next" w:cs="Arial"/>
          <w:color w:val="808080" w:themeColor="background1" w:themeShade="80"/>
          <w:sz w:val="22"/>
          <w:szCs w:val="22"/>
          <w:lang w:val="en-GB"/>
        </w:rPr>
        <w:t>within a regime that binds interested parties and preserves the collective aspect of modern insolvency</w:t>
      </w:r>
      <w:r w:rsidR="00546031">
        <w:rPr>
          <w:rFonts w:ascii="Avenir Next" w:hAnsi="Avenir Next" w:cs="Arial"/>
          <w:color w:val="808080" w:themeColor="background1" w:themeShade="80"/>
          <w:sz w:val="22"/>
          <w:szCs w:val="22"/>
          <w:lang w:val="en-GB"/>
        </w:rPr>
        <w:t>, whether that be on an internationalist, modified universalist</w:t>
      </w:r>
      <w:r w:rsidR="00B64416">
        <w:rPr>
          <w:rFonts w:ascii="Avenir Next" w:hAnsi="Avenir Next" w:cs="Arial"/>
          <w:color w:val="808080" w:themeColor="background1" w:themeShade="80"/>
          <w:sz w:val="22"/>
          <w:szCs w:val="22"/>
          <w:lang w:val="en-GB"/>
        </w:rPr>
        <w:t xml:space="preserve">, </w:t>
      </w:r>
      <w:r w:rsidR="00546031">
        <w:rPr>
          <w:rFonts w:ascii="Avenir Next" w:hAnsi="Avenir Next" w:cs="Arial"/>
          <w:color w:val="808080" w:themeColor="background1" w:themeShade="80"/>
          <w:sz w:val="22"/>
          <w:szCs w:val="22"/>
          <w:lang w:val="en-GB"/>
        </w:rPr>
        <w:t xml:space="preserve">co-operative </w:t>
      </w:r>
      <w:proofErr w:type="spellStart"/>
      <w:r w:rsidR="00546031">
        <w:rPr>
          <w:rFonts w:ascii="Avenir Next" w:hAnsi="Avenir Next" w:cs="Arial"/>
          <w:color w:val="808080" w:themeColor="background1" w:themeShade="80"/>
          <w:sz w:val="22"/>
          <w:szCs w:val="22"/>
          <w:lang w:val="en-GB"/>
        </w:rPr>
        <w:t>territorialist</w:t>
      </w:r>
      <w:proofErr w:type="spellEnd"/>
      <w:r w:rsidR="00B64416">
        <w:rPr>
          <w:rFonts w:ascii="Avenir Next" w:hAnsi="Avenir Next" w:cs="Arial"/>
          <w:color w:val="808080" w:themeColor="background1" w:themeShade="80"/>
          <w:sz w:val="22"/>
          <w:szCs w:val="22"/>
          <w:lang w:val="en-GB"/>
        </w:rPr>
        <w:t>, or other</w:t>
      </w:r>
      <w:r w:rsidR="00546031">
        <w:rPr>
          <w:rFonts w:ascii="Avenir Next" w:hAnsi="Avenir Next" w:cs="Arial"/>
          <w:color w:val="808080" w:themeColor="background1" w:themeShade="80"/>
          <w:sz w:val="22"/>
          <w:szCs w:val="22"/>
          <w:lang w:val="en-GB"/>
        </w:rPr>
        <w:t xml:space="preserve"> basis.</w:t>
      </w:r>
    </w:p>
    <w:p w14:paraId="6DD86B13" w14:textId="2290A00E" w:rsidR="00FC1337" w:rsidRPr="00FC1337" w:rsidRDefault="00FC1337" w:rsidP="00692852">
      <w:pPr>
        <w:jc w:val="both"/>
        <w:rPr>
          <w:rFonts w:ascii="Avenir Next" w:hAnsi="Avenir Next" w:cs="Arial"/>
          <w:color w:val="808080" w:themeColor="background1" w:themeShade="80"/>
          <w:sz w:val="22"/>
          <w:szCs w:val="22"/>
          <w:lang w:val="en-GB"/>
        </w:rPr>
      </w:pPr>
    </w:p>
    <w:p w14:paraId="2158FF25" w14:textId="3887710F" w:rsidR="00FC1337" w:rsidRDefault="00FC1337" w:rsidP="00692852">
      <w:pPr>
        <w:jc w:val="both"/>
        <w:rPr>
          <w:rFonts w:ascii="Avenir Next" w:hAnsi="Avenir Next" w:cs="Arial"/>
          <w:color w:val="808080" w:themeColor="background1" w:themeShade="80"/>
          <w:sz w:val="22"/>
          <w:szCs w:val="22"/>
          <w:lang w:val="en-GB"/>
        </w:rPr>
      </w:pPr>
      <w:r w:rsidRPr="00FC1337">
        <w:rPr>
          <w:rFonts w:ascii="Avenir Next" w:hAnsi="Avenir Next" w:cs="Arial"/>
          <w:color w:val="808080" w:themeColor="background1" w:themeShade="80"/>
          <w:sz w:val="22"/>
          <w:szCs w:val="22"/>
          <w:lang w:val="en-GB"/>
        </w:rPr>
        <w:t xml:space="preserve">One source for such a </w:t>
      </w:r>
      <w:r w:rsidR="00757A02">
        <w:rPr>
          <w:rFonts w:ascii="Avenir Next" w:hAnsi="Avenir Next" w:cs="Arial"/>
          <w:color w:val="808080" w:themeColor="background1" w:themeShade="80"/>
          <w:sz w:val="22"/>
          <w:szCs w:val="22"/>
          <w:lang w:val="en-GB"/>
        </w:rPr>
        <w:t xml:space="preserve">regime </w:t>
      </w:r>
      <w:r w:rsidRPr="00FC1337">
        <w:rPr>
          <w:rFonts w:ascii="Avenir Next" w:hAnsi="Avenir Next" w:cs="Arial"/>
          <w:color w:val="808080" w:themeColor="background1" w:themeShade="80"/>
          <w:sz w:val="22"/>
          <w:szCs w:val="22"/>
          <w:lang w:val="en-GB"/>
        </w:rPr>
        <w:t>is international treaties or conventions</w:t>
      </w:r>
      <w:r w:rsidR="004D08A3">
        <w:rPr>
          <w:rFonts w:ascii="Avenir Next" w:hAnsi="Avenir Next" w:cs="Arial"/>
          <w:color w:val="808080" w:themeColor="background1" w:themeShade="80"/>
          <w:sz w:val="22"/>
          <w:szCs w:val="22"/>
          <w:lang w:val="en-GB"/>
        </w:rPr>
        <w:t xml:space="preserve"> (noting that some pro-territorialism authorities consider that true harmonisation and universalism is simply not a practical prospect given the fundamental differences between some national legal systems).</w:t>
      </w:r>
    </w:p>
    <w:p w14:paraId="3F090BFD" w14:textId="591DC3F2" w:rsidR="00765D6F" w:rsidRDefault="00765D6F" w:rsidP="00692852">
      <w:pPr>
        <w:jc w:val="both"/>
        <w:rPr>
          <w:rFonts w:ascii="Avenir Next" w:hAnsi="Avenir Next" w:cs="Arial"/>
          <w:color w:val="808080" w:themeColor="background1" w:themeShade="80"/>
          <w:sz w:val="22"/>
          <w:szCs w:val="22"/>
          <w:lang w:val="en-GB"/>
        </w:rPr>
      </w:pPr>
    </w:p>
    <w:p w14:paraId="65F30F5A" w14:textId="35AD34F0" w:rsidR="00765D6F" w:rsidRDefault="00892619" w:rsidP="00692852">
      <w:pPr>
        <w:jc w:val="both"/>
        <w:rPr>
          <w:rFonts w:ascii="Avenir Next" w:hAnsi="Avenir Next" w:cs="Arial"/>
          <w:color w:val="808080" w:themeColor="background1" w:themeShade="80"/>
          <w:sz w:val="22"/>
          <w:szCs w:val="22"/>
          <w:lang w:val="en-GB"/>
        </w:rPr>
      </w:pPr>
      <w:r w:rsidRPr="00417782">
        <w:rPr>
          <w:rFonts w:ascii="Avenir Next" w:hAnsi="Avenir Next" w:cs="Arial"/>
          <w:color w:val="808080" w:themeColor="background1" w:themeShade="80"/>
          <w:sz w:val="22"/>
          <w:szCs w:val="22"/>
          <w:lang w:val="en-GB"/>
        </w:rPr>
        <w:t xml:space="preserve">Notable successes in this regard include the 1933 Nordic Convention, the Montevideo Treaties and in particular the Havana Convention with its aim of a single </w:t>
      </w:r>
      <w:r w:rsidR="00F72212" w:rsidRPr="00417782">
        <w:rPr>
          <w:rFonts w:ascii="Avenir Next" w:hAnsi="Avenir Next" w:cs="Arial"/>
          <w:color w:val="808080" w:themeColor="background1" w:themeShade="80"/>
          <w:sz w:val="22"/>
          <w:szCs w:val="22"/>
          <w:lang w:val="en-GB"/>
        </w:rPr>
        <w:t xml:space="preserve">insolvency </w:t>
      </w:r>
      <w:r w:rsidRPr="00417782">
        <w:rPr>
          <w:rFonts w:ascii="Avenir Next" w:hAnsi="Avenir Next" w:cs="Arial"/>
          <w:color w:val="808080" w:themeColor="background1" w:themeShade="80"/>
          <w:sz w:val="22"/>
          <w:szCs w:val="22"/>
          <w:lang w:val="en-GB"/>
        </w:rPr>
        <w:t xml:space="preserve">proceeding </w:t>
      </w:r>
      <w:r w:rsidR="00577F61" w:rsidRPr="00417782">
        <w:rPr>
          <w:rFonts w:ascii="Avenir Next" w:hAnsi="Avenir Next" w:cs="Arial"/>
          <w:color w:val="808080" w:themeColor="background1" w:themeShade="80"/>
          <w:sz w:val="22"/>
          <w:szCs w:val="22"/>
          <w:lang w:val="en-GB"/>
        </w:rPr>
        <w:t xml:space="preserve">effective </w:t>
      </w:r>
      <w:r w:rsidRPr="00417782">
        <w:rPr>
          <w:rFonts w:ascii="Avenir Next" w:hAnsi="Avenir Next" w:cs="Arial"/>
          <w:color w:val="808080" w:themeColor="background1" w:themeShade="80"/>
          <w:sz w:val="22"/>
          <w:szCs w:val="22"/>
          <w:lang w:val="en-GB"/>
        </w:rPr>
        <w:t>throughout its region.</w:t>
      </w:r>
      <w:r w:rsidR="002C4F26" w:rsidRPr="00417782">
        <w:rPr>
          <w:rFonts w:ascii="Avenir Next" w:hAnsi="Avenir Next" w:cs="Arial"/>
          <w:color w:val="808080" w:themeColor="background1" w:themeShade="80"/>
          <w:sz w:val="22"/>
          <w:szCs w:val="22"/>
          <w:lang w:val="en-GB"/>
        </w:rPr>
        <w:t xml:space="preserve">  Though limited to their </w:t>
      </w:r>
      <w:r w:rsidR="00154A4A" w:rsidRPr="00417782">
        <w:rPr>
          <w:rFonts w:ascii="Avenir Next" w:hAnsi="Avenir Next" w:cs="Arial"/>
          <w:color w:val="808080" w:themeColor="background1" w:themeShade="80"/>
          <w:sz w:val="22"/>
          <w:szCs w:val="22"/>
          <w:lang w:val="en-GB"/>
        </w:rPr>
        <w:t xml:space="preserve">particular </w:t>
      </w:r>
      <w:r w:rsidR="002C4F26" w:rsidRPr="00417782">
        <w:rPr>
          <w:rFonts w:ascii="Avenir Next" w:hAnsi="Avenir Next" w:cs="Arial"/>
          <w:color w:val="808080" w:themeColor="background1" w:themeShade="80"/>
          <w:sz w:val="22"/>
          <w:szCs w:val="22"/>
          <w:lang w:val="en-GB"/>
        </w:rPr>
        <w:t xml:space="preserve">region, the longevity </w:t>
      </w:r>
      <w:r w:rsidR="00154A4A" w:rsidRPr="00417782">
        <w:rPr>
          <w:rFonts w:ascii="Avenir Next" w:hAnsi="Avenir Next" w:cs="Arial"/>
          <w:color w:val="808080" w:themeColor="background1" w:themeShade="80"/>
          <w:sz w:val="22"/>
          <w:szCs w:val="22"/>
          <w:lang w:val="en-GB"/>
        </w:rPr>
        <w:t xml:space="preserve">of these multilateral arrangements is testimony to their utility in mitigating the </w:t>
      </w:r>
      <w:r w:rsidR="00047031">
        <w:rPr>
          <w:rFonts w:ascii="Avenir Next" w:hAnsi="Avenir Next" w:cs="Arial"/>
          <w:color w:val="808080" w:themeColor="background1" w:themeShade="80"/>
          <w:sz w:val="22"/>
          <w:szCs w:val="22"/>
          <w:lang w:val="en-GB"/>
        </w:rPr>
        <w:t xml:space="preserve">challenges of cross-border insolvency and the </w:t>
      </w:r>
      <w:r w:rsidR="00154A4A" w:rsidRPr="00417782">
        <w:rPr>
          <w:rFonts w:ascii="Avenir Next" w:hAnsi="Avenir Next" w:cs="Arial"/>
          <w:color w:val="808080" w:themeColor="background1" w:themeShade="80"/>
          <w:sz w:val="22"/>
          <w:szCs w:val="22"/>
          <w:lang w:val="en-GB"/>
        </w:rPr>
        <w:t>difficulties of territorialism</w:t>
      </w:r>
      <w:r w:rsidR="00047031">
        <w:rPr>
          <w:rFonts w:ascii="Avenir Next" w:hAnsi="Avenir Next" w:cs="Arial"/>
          <w:color w:val="808080" w:themeColor="background1" w:themeShade="80"/>
          <w:sz w:val="22"/>
          <w:szCs w:val="22"/>
          <w:lang w:val="en-GB"/>
        </w:rPr>
        <w:t xml:space="preserve"> in particular</w:t>
      </w:r>
      <w:r w:rsidR="00CA1C64" w:rsidRPr="00417782">
        <w:rPr>
          <w:rFonts w:ascii="Avenir Next" w:hAnsi="Avenir Next" w:cs="Arial"/>
          <w:color w:val="808080" w:themeColor="background1" w:themeShade="80"/>
          <w:sz w:val="22"/>
          <w:szCs w:val="22"/>
          <w:lang w:val="en-GB"/>
        </w:rPr>
        <w:t>, and perhaps highlights that even domestic legislative amendments</w:t>
      </w:r>
      <w:r w:rsidR="00CA1C64">
        <w:rPr>
          <w:rFonts w:ascii="Avenir Next" w:hAnsi="Avenir Next" w:cs="Arial"/>
          <w:color w:val="808080" w:themeColor="background1" w:themeShade="80"/>
          <w:sz w:val="22"/>
          <w:szCs w:val="22"/>
          <w:lang w:val="en-GB"/>
        </w:rPr>
        <w:t xml:space="preserve"> specifically aimed at addressing the problems of international insolvencies (to permit</w:t>
      </w:r>
      <w:r w:rsidR="00047031">
        <w:rPr>
          <w:rFonts w:ascii="Avenir Next" w:hAnsi="Avenir Next" w:cs="Arial"/>
          <w:color w:val="808080" w:themeColor="background1" w:themeShade="80"/>
          <w:sz w:val="22"/>
          <w:szCs w:val="22"/>
          <w:lang w:val="en-GB"/>
        </w:rPr>
        <w:t xml:space="preserve"> and streamline</w:t>
      </w:r>
      <w:r w:rsidR="00CA1C64">
        <w:rPr>
          <w:rFonts w:ascii="Avenir Next" w:hAnsi="Avenir Next" w:cs="Arial"/>
          <w:color w:val="808080" w:themeColor="background1" w:themeShade="80"/>
          <w:sz w:val="22"/>
          <w:szCs w:val="22"/>
          <w:lang w:val="en-GB"/>
        </w:rPr>
        <w:t xml:space="preserve">, for example, recognition and co-operation with foreign insolvency proceedings) are not a substitute for true cross-state arrangements in the era of globalisation. </w:t>
      </w:r>
    </w:p>
    <w:p w14:paraId="38C96EB1" w14:textId="22A8516C" w:rsidR="004F2FEB" w:rsidRDefault="004F2FEB" w:rsidP="00692852">
      <w:pPr>
        <w:jc w:val="both"/>
        <w:rPr>
          <w:rFonts w:ascii="Avenir Next" w:hAnsi="Avenir Next" w:cs="Arial"/>
          <w:color w:val="808080" w:themeColor="background1" w:themeShade="80"/>
          <w:sz w:val="22"/>
          <w:szCs w:val="22"/>
          <w:lang w:val="en-GB"/>
        </w:rPr>
      </w:pPr>
    </w:p>
    <w:p w14:paraId="5FC51DB1" w14:textId="3334A540" w:rsidR="00CD7F09" w:rsidRDefault="004F2FE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international treaty is, </w:t>
      </w:r>
      <w:r w:rsidR="0087513E">
        <w:rPr>
          <w:rFonts w:ascii="Avenir Next" w:hAnsi="Avenir Next" w:cs="Arial"/>
          <w:color w:val="808080" w:themeColor="background1" w:themeShade="80"/>
          <w:sz w:val="22"/>
          <w:szCs w:val="22"/>
          <w:lang w:val="en-GB"/>
        </w:rPr>
        <w:t>of course</w:t>
      </w:r>
      <w:r>
        <w:rPr>
          <w:rFonts w:ascii="Avenir Next" w:hAnsi="Avenir Next" w:cs="Arial"/>
          <w:color w:val="808080" w:themeColor="background1" w:themeShade="80"/>
          <w:sz w:val="22"/>
          <w:szCs w:val="22"/>
          <w:lang w:val="en-GB"/>
        </w:rPr>
        <w:t xml:space="preserve">, binding only on its signatories, and will </w:t>
      </w:r>
      <w:r w:rsidR="00154A4A">
        <w:rPr>
          <w:rFonts w:ascii="Avenir Next" w:hAnsi="Avenir Next" w:cs="Arial"/>
          <w:color w:val="808080" w:themeColor="background1" w:themeShade="80"/>
          <w:sz w:val="22"/>
          <w:szCs w:val="22"/>
          <w:lang w:val="en-GB"/>
        </w:rPr>
        <w:t xml:space="preserve">additionally </w:t>
      </w:r>
      <w:r>
        <w:rPr>
          <w:rFonts w:ascii="Avenir Next" w:hAnsi="Avenir Next" w:cs="Arial"/>
          <w:color w:val="808080" w:themeColor="background1" w:themeShade="80"/>
          <w:sz w:val="22"/>
          <w:szCs w:val="22"/>
          <w:lang w:val="en-GB"/>
        </w:rPr>
        <w:t>require ratification before its terms are incorporated into domestic law and can be relied upon by parties in the local courts.</w:t>
      </w:r>
      <w:r w:rsidR="001162B6">
        <w:rPr>
          <w:rFonts w:ascii="Avenir Next" w:hAnsi="Avenir Next" w:cs="Arial"/>
          <w:color w:val="808080" w:themeColor="background1" w:themeShade="80"/>
          <w:sz w:val="22"/>
          <w:szCs w:val="22"/>
          <w:lang w:val="en-GB"/>
        </w:rPr>
        <w:t xml:space="preserve">  </w:t>
      </w:r>
      <w:r w:rsidR="0087513E">
        <w:rPr>
          <w:rFonts w:ascii="Avenir Next" w:hAnsi="Avenir Next" w:cs="Arial"/>
          <w:color w:val="808080" w:themeColor="background1" w:themeShade="80"/>
          <w:sz w:val="22"/>
          <w:szCs w:val="22"/>
          <w:lang w:val="en-GB"/>
        </w:rPr>
        <w:t>B</w:t>
      </w:r>
      <w:r w:rsidR="001162B6">
        <w:rPr>
          <w:rFonts w:ascii="Avenir Next" w:hAnsi="Avenir Next" w:cs="Arial"/>
          <w:color w:val="808080" w:themeColor="background1" w:themeShade="80"/>
          <w:sz w:val="22"/>
          <w:szCs w:val="22"/>
          <w:lang w:val="en-GB"/>
        </w:rPr>
        <w:t xml:space="preserve">ilateral treaties will be useful only in insolvencies involving the two signatory states, </w:t>
      </w:r>
      <w:r w:rsidR="00CA1C64">
        <w:rPr>
          <w:rFonts w:ascii="Avenir Next" w:hAnsi="Avenir Next" w:cs="Arial"/>
          <w:color w:val="808080" w:themeColor="background1" w:themeShade="80"/>
          <w:sz w:val="22"/>
          <w:szCs w:val="22"/>
          <w:lang w:val="en-GB"/>
        </w:rPr>
        <w:t>whereas</w:t>
      </w:r>
      <w:r w:rsidR="001162B6">
        <w:rPr>
          <w:rFonts w:ascii="Avenir Next" w:hAnsi="Avenir Next" w:cs="Arial"/>
          <w:color w:val="808080" w:themeColor="background1" w:themeShade="80"/>
          <w:sz w:val="22"/>
          <w:szCs w:val="22"/>
          <w:lang w:val="en-GB"/>
        </w:rPr>
        <w:t xml:space="preserve"> multilateral treaties (while of broader potential application) can be difficult to negotiate and finalise, and to meaningfully keep updated as business practices develop over time.</w:t>
      </w:r>
      <w:r w:rsidR="008D19DA">
        <w:rPr>
          <w:rFonts w:ascii="Avenir Next" w:hAnsi="Avenir Next" w:cs="Arial"/>
          <w:color w:val="808080" w:themeColor="background1" w:themeShade="80"/>
          <w:sz w:val="22"/>
          <w:szCs w:val="22"/>
          <w:lang w:val="en-GB"/>
        </w:rPr>
        <w:t xml:space="preserve">  </w:t>
      </w:r>
    </w:p>
    <w:p w14:paraId="2F8A10B0" w14:textId="77777777" w:rsidR="00CD7F09" w:rsidRDefault="00CD7F09" w:rsidP="00692852">
      <w:pPr>
        <w:jc w:val="both"/>
        <w:rPr>
          <w:rFonts w:ascii="Avenir Next" w:hAnsi="Avenir Next" w:cs="Arial"/>
          <w:color w:val="808080" w:themeColor="background1" w:themeShade="80"/>
          <w:sz w:val="22"/>
          <w:szCs w:val="22"/>
          <w:lang w:val="en-GB"/>
        </w:rPr>
      </w:pPr>
    </w:p>
    <w:p w14:paraId="2E485CE6" w14:textId="193E5925" w:rsidR="004F2FEB" w:rsidRDefault="008D19D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European efforts, for example, were largely unsuccessful (see</w:t>
      </w:r>
      <w:r w:rsidR="00BF642E">
        <w:rPr>
          <w:rFonts w:ascii="Avenir Next" w:hAnsi="Avenir Next" w:cs="Arial"/>
          <w:color w:val="808080" w:themeColor="background1" w:themeShade="80"/>
          <w:sz w:val="22"/>
          <w:szCs w:val="22"/>
          <w:lang w:val="en-GB"/>
        </w:rPr>
        <w:t xml:space="preserve"> the abandon</w:t>
      </w:r>
      <w:r w:rsidR="0004737A">
        <w:rPr>
          <w:rFonts w:ascii="Avenir Next" w:hAnsi="Avenir Next" w:cs="Arial"/>
          <w:color w:val="808080" w:themeColor="background1" w:themeShade="80"/>
          <w:sz w:val="22"/>
          <w:szCs w:val="22"/>
          <w:lang w:val="en-GB"/>
        </w:rPr>
        <w:t xml:space="preserve">ment of attempts to produce a fully uniform regime following the </w:t>
      </w:r>
      <w:r w:rsidR="00BF642E">
        <w:rPr>
          <w:rFonts w:ascii="Avenir Next" w:hAnsi="Avenir Next" w:cs="Arial"/>
          <w:color w:val="808080" w:themeColor="background1" w:themeShade="80"/>
          <w:sz w:val="22"/>
          <w:szCs w:val="22"/>
          <w:lang w:val="en-GB"/>
        </w:rPr>
        <w:t>draft 1970 EC Convention on Bankruptcy, or</w:t>
      </w:r>
      <w:r>
        <w:rPr>
          <w:rFonts w:ascii="Avenir Next" w:hAnsi="Avenir Next" w:cs="Arial"/>
          <w:color w:val="808080" w:themeColor="background1" w:themeShade="80"/>
          <w:sz w:val="22"/>
          <w:szCs w:val="22"/>
          <w:lang w:val="en-GB"/>
        </w:rPr>
        <w:t xml:space="preserve"> the long genesis and limited uptake of the Istanbul Convention, for example), though more recent </w:t>
      </w:r>
      <w:r w:rsidR="00CD7F09">
        <w:rPr>
          <w:rFonts w:ascii="Avenir Next" w:hAnsi="Avenir Next" w:cs="Arial"/>
          <w:color w:val="808080" w:themeColor="background1" w:themeShade="80"/>
          <w:sz w:val="22"/>
          <w:szCs w:val="22"/>
          <w:lang w:val="en-GB"/>
        </w:rPr>
        <w:t>initiatives</w:t>
      </w:r>
      <w:r>
        <w:rPr>
          <w:rFonts w:ascii="Avenir Next" w:hAnsi="Avenir Next" w:cs="Arial"/>
          <w:color w:val="808080" w:themeColor="background1" w:themeShade="80"/>
          <w:sz w:val="22"/>
          <w:szCs w:val="22"/>
          <w:lang w:val="en-GB"/>
        </w:rPr>
        <w:t xml:space="preserve"> (e.g. the European Insolvency Regulation 2000</w:t>
      </w:r>
      <w:r w:rsidR="00853055">
        <w:rPr>
          <w:rFonts w:ascii="Avenir Next" w:hAnsi="Avenir Next" w:cs="Arial"/>
          <w:color w:val="808080" w:themeColor="background1" w:themeShade="80"/>
          <w:sz w:val="22"/>
          <w:szCs w:val="22"/>
          <w:lang w:val="en-GB"/>
        </w:rPr>
        <w:t xml:space="preserve"> and the European Commission's 2015 Capital Markets Plan</w:t>
      </w:r>
      <w:r>
        <w:rPr>
          <w:rFonts w:ascii="Avenir Next" w:hAnsi="Avenir Next" w:cs="Arial"/>
          <w:color w:val="808080" w:themeColor="background1" w:themeShade="80"/>
          <w:sz w:val="22"/>
          <w:szCs w:val="22"/>
          <w:lang w:val="en-GB"/>
        </w:rPr>
        <w:t>) have been positively received.  It is perhaps because of the</w:t>
      </w:r>
      <w:r w:rsidR="001502AA">
        <w:rPr>
          <w:rFonts w:ascii="Avenir Next" w:hAnsi="Avenir Next" w:cs="Arial"/>
          <w:color w:val="808080" w:themeColor="background1" w:themeShade="80"/>
          <w:sz w:val="22"/>
          <w:szCs w:val="22"/>
          <w:lang w:val="en-GB"/>
        </w:rPr>
        <w:t xml:space="preserve"> diplomatic and other</w:t>
      </w:r>
      <w:r>
        <w:rPr>
          <w:rFonts w:ascii="Avenir Next" w:hAnsi="Avenir Next" w:cs="Arial"/>
          <w:color w:val="808080" w:themeColor="background1" w:themeShade="80"/>
          <w:sz w:val="22"/>
          <w:szCs w:val="22"/>
          <w:lang w:val="en-GB"/>
        </w:rPr>
        <w:t xml:space="preserve"> difficulties in finalising formal “hard law” responses to the challenges of international insolvency that “soft law” initiatives</w:t>
      </w:r>
      <w:r w:rsidR="00E2597E">
        <w:rPr>
          <w:rFonts w:ascii="Avenir Next" w:hAnsi="Avenir Next" w:cs="Arial"/>
          <w:color w:val="808080" w:themeColor="background1" w:themeShade="80"/>
          <w:sz w:val="22"/>
          <w:szCs w:val="22"/>
          <w:lang w:val="en-GB"/>
        </w:rPr>
        <w:t xml:space="preserve"> put forward by non-state multilateral organisations</w:t>
      </w:r>
      <w:r>
        <w:rPr>
          <w:rFonts w:ascii="Avenir Next" w:hAnsi="Avenir Next" w:cs="Arial"/>
          <w:color w:val="808080" w:themeColor="background1" w:themeShade="80"/>
          <w:sz w:val="22"/>
          <w:szCs w:val="22"/>
          <w:lang w:val="en-GB"/>
        </w:rPr>
        <w:t>, like the UNCITRAL Model Law</w:t>
      </w:r>
      <w:r w:rsidR="00AB0470">
        <w:rPr>
          <w:rFonts w:ascii="Avenir Next" w:hAnsi="Avenir Next" w:cs="Arial"/>
          <w:color w:val="808080" w:themeColor="background1" w:themeShade="80"/>
          <w:sz w:val="22"/>
          <w:szCs w:val="22"/>
          <w:lang w:val="en-GB"/>
        </w:rPr>
        <w:t xml:space="preserve"> and the Legislative Guide</w:t>
      </w:r>
      <w:r w:rsidR="0004737A">
        <w:rPr>
          <w:rFonts w:ascii="Avenir Next" w:hAnsi="Avenir Next" w:cs="Arial"/>
          <w:color w:val="808080" w:themeColor="background1" w:themeShade="80"/>
          <w:sz w:val="22"/>
          <w:szCs w:val="22"/>
          <w:lang w:val="en-GB"/>
        </w:rPr>
        <w:t>, and the World Bank's frequently-updated Principles</w:t>
      </w:r>
      <w:r>
        <w:rPr>
          <w:rFonts w:ascii="Avenir Next" w:hAnsi="Avenir Next" w:cs="Arial"/>
          <w:color w:val="808080" w:themeColor="background1" w:themeShade="80"/>
          <w:sz w:val="22"/>
          <w:szCs w:val="22"/>
          <w:lang w:val="en-GB"/>
        </w:rPr>
        <w:t xml:space="preserve">, have </w:t>
      </w:r>
      <w:r w:rsidR="008B7002">
        <w:rPr>
          <w:rFonts w:ascii="Avenir Next" w:hAnsi="Avenir Next" w:cs="Arial"/>
          <w:color w:val="808080" w:themeColor="background1" w:themeShade="80"/>
          <w:sz w:val="22"/>
          <w:szCs w:val="22"/>
          <w:lang w:val="en-GB"/>
        </w:rPr>
        <w:t xml:space="preserve">arguably </w:t>
      </w:r>
      <w:r w:rsidR="00EA28A6">
        <w:rPr>
          <w:rFonts w:ascii="Avenir Next" w:hAnsi="Avenir Next" w:cs="Arial"/>
          <w:color w:val="808080" w:themeColor="background1" w:themeShade="80"/>
          <w:sz w:val="22"/>
          <w:szCs w:val="22"/>
          <w:lang w:val="en-GB"/>
        </w:rPr>
        <w:t>met with a more favourable reception</w:t>
      </w:r>
      <w:r>
        <w:rPr>
          <w:rFonts w:ascii="Avenir Next" w:hAnsi="Avenir Next" w:cs="Arial"/>
          <w:color w:val="808080" w:themeColor="background1" w:themeShade="80"/>
          <w:sz w:val="22"/>
          <w:szCs w:val="22"/>
          <w:lang w:val="en-GB"/>
        </w:rPr>
        <w:t>.</w:t>
      </w:r>
    </w:p>
    <w:p w14:paraId="70FB3BE9" w14:textId="77777777" w:rsidR="00FC1337" w:rsidRPr="004216EA" w:rsidRDefault="00FC1337"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9E30F15" w:rsidR="001E1C34" w:rsidRDefault="00D32C12" w:rsidP="00533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formal insolvency proceeding is</w:t>
      </w:r>
      <w:r w:rsidR="00533009">
        <w:rPr>
          <w:rFonts w:ascii="Avenir Next" w:hAnsi="Avenir Next" w:cs="Arial"/>
          <w:color w:val="808080" w:themeColor="background1" w:themeShade="80"/>
          <w:sz w:val="22"/>
          <w:szCs w:val="22"/>
          <w:lang w:val="en-GB"/>
        </w:rPr>
        <w:t xml:space="preserve"> one commenced under and governed by local insolvency law, and may include restructuring / reorganisation / rescue </w:t>
      </w:r>
      <w:r w:rsidR="006C069A">
        <w:rPr>
          <w:rFonts w:ascii="Avenir Next" w:hAnsi="Avenir Next" w:cs="Arial"/>
          <w:color w:val="808080" w:themeColor="background1" w:themeShade="80"/>
          <w:sz w:val="22"/>
          <w:szCs w:val="22"/>
          <w:lang w:val="en-GB"/>
        </w:rPr>
        <w:t xml:space="preserve">and discharge </w:t>
      </w:r>
      <w:r w:rsidR="00533009">
        <w:rPr>
          <w:rFonts w:ascii="Avenir Next" w:hAnsi="Avenir Next" w:cs="Arial"/>
          <w:color w:val="808080" w:themeColor="background1" w:themeShade="80"/>
          <w:sz w:val="22"/>
          <w:szCs w:val="22"/>
          <w:lang w:val="en-GB"/>
        </w:rPr>
        <w:t>proceedings</w:t>
      </w:r>
      <w:r w:rsidR="006C069A">
        <w:rPr>
          <w:rFonts w:ascii="Avenir Next" w:hAnsi="Avenir Next" w:cs="Arial"/>
          <w:color w:val="808080" w:themeColor="background1" w:themeShade="80"/>
          <w:sz w:val="22"/>
          <w:szCs w:val="22"/>
          <w:lang w:val="en-GB"/>
        </w:rPr>
        <w:t>,</w:t>
      </w:r>
      <w:r w:rsidR="00533009">
        <w:rPr>
          <w:rFonts w:ascii="Avenir Next" w:hAnsi="Avenir Next" w:cs="Arial"/>
          <w:color w:val="808080" w:themeColor="background1" w:themeShade="80"/>
          <w:sz w:val="22"/>
          <w:szCs w:val="22"/>
          <w:lang w:val="en-GB"/>
        </w:rPr>
        <w:t xml:space="preserve"> as well as liquidation and eventual deregistration.  </w:t>
      </w:r>
    </w:p>
    <w:p w14:paraId="2DAC5F69" w14:textId="77777777" w:rsidR="00533009" w:rsidRDefault="00533009" w:rsidP="001E1C34">
      <w:pPr>
        <w:ind w:left="720" w:hanging="720"/>
        <w:jc w:val="both"/>
        <w:rPr>
          <w:rFonts w:ascii="Avenir Next" w:hAnsi="Avenir Next" w:cs="Arial"/>
          <w:color w:val="808080" w:themeColor="background1" w:themeShade="80"/>
          <w:sz w:val="22"/>
          <w:szCs w:val="22"/>
          <w:lang w:val="en-GB"/>
        </w:rPr>
      </w:pPr>
    </w:p>
    <w:p w14:paraId="1E3F3C5F" w14:textId="77777777" w:rsidR="00496163" w:rsidRDefault="00D32C12" w:rsidP="00533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informal insolvency arrangement </w:t>
      </w:r>
      <w:r w:rsidR="00533009">
        <w:rPr>
          <w:rFonts w:ascii="Avenir Next" w:hAnsi="Avenir Next" w:cs="Arial"/>
          <w:color w:val="808080" w:themeColor="background1" w:themeShade="80"/>
          <w:sz w:val="22"/>
          <w:szCs w:val="22"/>
          <w:lang w:val="en-GB"/>
        </w:rPr>
        <w:t xml:space="preserve">tends not to be regulated by local insolvency law, and will usually involve bilateral or multilateral negotiations between a debtor and its creditor(s).  </w:t>
      </w:r>
    </w:p>
    <w:p w14:paraId="27E8D941" w14:textId="77777777" w:rsidR="00496163" w:rsidRDefault="00496163" w:rsidP="00533009">
      <w:pPr>
        <w:jc w:val="both"/>
        <w:rPr>
          <w:rFonts w:ascii="Avenir Next" w:hAnsi="Avenir Next" w:cs="Arial"/>
          <w:color w:val="808080" w:themeColor="background1" w:themeShade="80"/>
          <w:sz w:val="22"/>
          <w:szCs w:val="22"/>
          <w:lang w:val="en-GB"/>
        </w:rPr>
      </w:pPr>
    </w:p>
    <w:p w14:paraId="2CDC6AFB" w14:textId="7AFBC606" w:rsidR="00D32C12" w:rsidRDefault="00533009" w:rsidP="00533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arrangements give the involved parties significant flexibility in their approach to restructuring a debtor's liabilities, though some features may, depending on local legislation, require the court's approval to be truly effective – and ultimately, it will be the threat of formal proceedings that persuades the debtor to perform its side of any bargain.</w:t>
      </w:r>
    </w:p>
    <w:p w14:paraId="3E8C9D55" w14:textId="337C93F5" w:rsidR="00D32C12" w:rsidRDefault="00D32C12" w:rsidP="001E1C34">
      <w:pPr>
        <w:ind w:left="720" w:hanging="720"/>
        <w:jc w:val="both"/>
        <w:rPr>
          <w:rFonts w:ascii="Avenir Next" w:hAnsi="Avenir Next" w:cs="Arial"/>
          <w:color w:val="808080" w:themeColor="background1" w:themeShade="80"/>
          <w:sz w:val="22"/>
          <w:szCs w:val="22"/>
          <w:lang w:val="en-GB"/>
        </w:rPr>
      </w:pPr>
    </w:p>
    <w:p w14:paraId="1AF3BA26" w14:textId="453CFC64" w:rsidR="00533009" w:rsidRDefault="00533009" w:rsidP="00D32C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advantage for Lobo of an informal out-of-court arrangement is likely to be an associated absence of publicity: formal insolvency proceedings must generally be advertised and may therefore attract other creditors of FPPL, who may take a different view of </w:t>
      </w:r>
      <w:r w:rsidR="00CB7EF2">
        <w:rPr>
          <w:rFonts w:ascii="Avenir Next" w:hAnsi="Avenir Next" w:cs="Arial"/>
          <w:color w:val="808080" w:themeColor="background1" w:themeShade="80"/>
          <w:sz w:val="22"/>
          <w:szCs w:val="22"/>
          <w:lang w:val="en-GB"/>
        </w:rPr>
        <w:t xml:space="preserve">FPPL's </w:t>
      </w:r>
      <w:r>
        <w:rPr>
          <w:rFonts w:ascii="Avenir Next" w:hAnsi="Avenir Next" w:cs="Arial"/>
          <w:color w:val="808080" w:themeColor="background1" w:themeShade="80"/>
          <w:sz w:val="22"/>
          <w:szCs w:val="22"/>
          <w:lang w:val="en-GB"/>
        </w:rPr>
        <w:t>commercial prospects</w:t>
      </w:r>
      <w:r w:rsidR="004C5FF8">
        <w:rPr>
          <w:rFonts w:ascii="Avenir Next" w:hAnsi="Avenir Next" w:cs="Arial"/>
          <w:color w:val="808080" w:themeColor="background1" w:themeShade="80"/>
          <w:sz w:val="22"/>
          <w:szCs w:val="22"/>
          <w:lang w:val="en-GB"/>
        </w:rPr>
        <w:t xml:space="preserve"> or even seek to liquidate the company</w:t>
      </w:r>
      <w:r w:rsidR="00CB7EF2">
        <w:rPr>
          <w:rFonts w:ascii="Avenir Next" w:hAnsi="Avenir Next" w:cs="Arial"/>
          <w:color w:val="808080" w:themeColor="background1" w:themeShade="80"/>
          <w:sz w:val="22"/>
          <w:szCs w:val="22"/>
          <w:lang w:val="en-GB"/>
        </w:rPr>
        <w:t xml:space="preserve"> without regard for Lobo's preferences</w:t>
      </w:r>
      <w:r w:rsidR="004C5FF8">
        <w:rPr>
          <w:rFonts w:ascii="Avenir Next" w:hAnsi="Avenir Next" w:cs="Arial"/>
          <w:color w:val="808080" w:themeColor="background1" w:themeShade="80"/>
          <w:sz w:val="22"/>
          <w:szCs w:val="22"/>
          <w:lang w:val="en-GB"/>
        </w:rPr>
        <w:t>.</w:t>
      </w:r>
    </w:p>
    <w:p w14:paraId="319A8B24" w14:textId="10D8ADF6" w:rsidR="00F94AE9" w:rsidRDefault="00F94AE9" w:rsidP="00D32C12">
      <w:pPr>
        <w:jc w:val="both"/>
        <w:rPr>
          <w:rFonts w:ascii="Avenir Next" w:hAnsi="Avenir Next" w:cs="Arial"/>
          <w:color w:val="808080" w:themeColor="background1" w:themeShade="80"/>
          <w:sz w:val="22"/>
          <w:szCs w:val="22"/>
          <w:lang w:val="en-GB"/>
        </w:rPr>
      </w:pPr>
    </w:p>
    <w:p w14:paraId="63966D96" w14:textId="20CF0A7E" w:rsidR="00F94AE9" w:rsidRDefault="00F94AE9" w:rsidP="00D32C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informal arrangement, being contractual in nature, can provide for a very wide variety of rights and remedies, including delays to repayment, haircuts on or partial discharge of the debt, debt for equity swaps and so forth.  However, Lobo will need to satisfy itself that any rescue plan it agrees with FPPL is commercially realistic, and there is a risk that these arrangements could </w:t>
      </w:r>
      <w:r w:rsidR="00CB7EF2">
        <w:rPr>
          <w:rFonts w:ascii="Avenir Next" w:hAnsi="Avenir Next" w:cs="Arial"/>
          <w:color w:val="808080" w:themeColor="background1" w:themeShade="80"/>
          <w:sz w:val="22"/>
          <w:szCs w:val="22"/>
          <w:lang w:val="en-GB"/>
        </w:rPr>
        <w:t xml:space="preserve">nevertheless </w:t>
      </w:r>
      <w:r>
        <w:rPr>
          <w:rFonts w:ascii="Avenir Next" w:hAnsi="Avenir Next" w:cs="Arial"/>
          <w:color w:val="808080" w:themeColor="background1" w:themeShade="80"/>
          <w:sz w:val="22"/>
          <w:szCs w:val="22"/>
          <w:lang w:val="en-GB"/>
        </w:rPr>
        <w:t>be disrupted by another creditor seeking to open formal insolvency proceedings (which could, given potential rules on voidable dispositions, retrospectively nullify elements of the informal deal</w:t>
      </w:r>
      <w:r w:rsidR="00E12781">
        <w:rPr>
          <w:rFonts w:ascii="Avenir Next" w:hAnsi="Avenir Next" w:cs="Arial"/>
          <w:color w:val="808080" w:themeColor="background1" w:themeShade="80"/>
          <w:sz w:val="22"/>
          <w:szCs w:val="22"/>
          <w:lang w:val="en-GB"/>
        </w:rPr>
        <w:t xml:space="preserve"> if they are found to have preferred Lobo as a creditor</w:t>
      </w:r>
      <w:r>
        <w:rPr>
          <w:rFonts w:ascii="Avenir Next" w:hAnsi="Avenir Next" w:cs="Arial"/>
          <w:color w:val="808080" w:themeColor="background1" w:themeShade="80"/>
          <w:sz w:val="22"/>
          <w:szCs w:val="22"/>
          <w:lang w:val="en-GB"/>
        </w:rPr>
        <w:t>).</w:t>
      </w:r>
    </w:p>
    <w:p w14:paraId="0C286EAF" w14:textId="50A4FFE8" w:rsidR="00533009" w:rsidRDefault="00533009" w:rsidP="00D32C12">
      <w:pPr>
        <w:jc w:val="both"/>
        <w:rPr>
          <w:rFonts w:ascii="Avenir Next" w:hAnsi="Avenir Next" w:cs="Arial"/>
          <w:color w:val="808080" w:themeColor="background1" w:themeShade="80"/>
          <w:sz w:val="22"/>
          <w:szCs w:val="22"/>
          <w:lang w:val="en-GB"/>
        </w:rPr>
      </w:pPr>
    </w:p>
    <w:p w14:paraId="4ABEBE2F" w14:textId="7F15F3E6" w:rsidR="00ED0FDB" w:rsidRDefault="00E12781" w:rsidP="00ED0F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Related to the above</w:t>
      </w:r>
      <w:r w:rsidR="00ED0FDB">
        <w:rPr>
          <w:rFonts w:ascii="Avenir Next" w:hAnsi="Avenir Next" w:cs="Arial"/>
          <w:color w:val="808080" w:themeColor="background1" w:themeShade="80"/>
          <w:sz w:val="22"/>
          <w:szCs w:val="22"/>
          <w:lang w:val="en-GB"/>
        </w:rPr>
        <w:t xml:space="preserve">, a key benefit of formalised insolvency proceedings is that they </w:t>
      </w:r>
      <w:r w:rsidR="003F52CF">
        <w:rPr>
          <w:rFonts w:ascii="Avenir Next" w:hAnsi="Avenir Next" w:cs="Arial"/>
          <w:color w:val="808080" w:themeColor="background1" w:themeShade="80"/>
          <w:sz w:val="22"/>
          <w:szCs w:val="22"/>
          <w:lang w:val="en-GB"/>
        </w:rPr>
        <w:t xml:space="preserve">will </w:t>
      </w:r>
      <w:r w:rsidR="00523DEA">
        <w:rPr>
          <w:rFonts w:ascii="Avenir Next" w:hAnsi="Avenir Next" w:cs="Arial"/>
          <w:color w:val="808080" w:themeColor="background1" w:themeShade="80"/>
          <w:sz w:val="22"/>
          <w:szCs w:val="22"/>
          <w:lang w:val="en-GB"/>
        </w:rPr>
        <w:t xml:space="preserve">tend </w:t>
      </w:r>
      <w:r w:rsidR="00ED0FDB">
        <w:rPr>
          <w:rFonts w:ascii="Avenir Next" w:hAnsi="Avenir Next" w:cs="Arial"/>
          <w:color w:val="808080" w:themeColor="background1" w:themeShade="80"/>
          <w:sz w:val="22"/>
          <w:szCs w:val="22"/>
          <w:lang w:val="en-GB"/>
        </w:rPr>
        <w:t xml:space="preserve">to bind all interested parties (for example, a statutory moratorium on </w:t>
      </w:r>
      <w:r w:rsidR="003F52CF">
        <w:rPr>
          <w:rFonts w:ascii="Avenir Next" w:hAnsi="Avenir Next" w:cs="Arial"/>
          <w:color w:val="808080" w:themeColor="background1" w:themeShade="80"/>
          <w:sz w:val="22"/>
          <w:szCs w:val="22"/>
          <w:lang w:val="en-GB"/>
        </w:rPr>
        <w:t xml:space="preserve">creditors' </w:t>
      </w:r>
      <w:r w:rsidR="00ED0FDB">
        <w:rPr>
          <w:rFonts w:ascii="Avenir Next" w:hAnsi="Avenir Next" w:cs="Arial"/>
          <w:color w:val="808080" w:themeColor="background1" w:themeShade="80"/>
          <w:sz w:val="22"/>
          <w:szCs w:val="22"/>
          <w:lang w:val="en-GB"/>
        </w:rPr>
        <w:t xml:space="preserve">claims </w:t>
      </w:r>
      <w:r w:rsidR="003F52CF">
        <w:rPr>
          <w:rFonts w:ascii="Avenir Next" w:hAnsi="Avenir Next" w:cs="Arial"/>
          <w:color w:val="808080" w:themeColor="background1" w:themeShade="80"/>
          <w:sz w:val="22"/>
          <w:szCs w:val="22"/>
          <w:lang w:val="en-GB"/>
        </w:rPr>
        <w:t xml:space="preserve">against FPPL </w:t>
      </w:r>
      <w:r w:rsidR="00ED0FDB">
        <w:rPr>
          <w:rFonts w:ascii="Avenir Next" w:hAnsi="Avenir Next" w:cs="Arial"/>
          <w:color w:val="808080" w:themeColor="background1" w:themeShade="80"/>
          <w:sz w:val="22"/>
          <w:szCs w:val="22"/>
          <w:lang w:val="en-GB"/>
        </w:rPr>
        <w:t>may come into effect)</w:t>
      </w:r>
      <w:r w:rsidR="00A53A29">
        <w:rPr>
          <w:rFonts w:ascii="Avenir Next" w:hAnsi="Avenir Next" w:cs="Arial"/>
          <w:color w:val="808080" w:themeColor="background1" w:themeShade="80"/>
          <w:sz w:val="22"/>
          <w:szCs w:val="22"/>
          <w:lang w:val="en-GB"/>
        </w:rPr>
        <w:t>, reducing any threat to Lobo's interests of unilateral action by another FPPL creditor.</w:t>
      </w:r>
    </w:p>
    <w:p w14:paraId="64FA4EC1" w14:textId="71AC3C65" w:rsidR="00ED0FDB" w:rsidRDefault="00ED0FDB" w:rsidP="00D32C12">
      <w:pPr>
        <w:jc w:val="both"/>
        <w:rPr>
          <w:rFonts w:ascii="Avenir Next" w:hAnsi="Avenir Next" w:cs="Arial"/>
          <w:color w:val="808080" w:themeColor="background1" w:themeShade="80"/>
          <w:sz w:val="22"/>
          <w:szCs w:val="22"/>
          <w:lang w:val="en-GB"/>
        </w:rPr>
      </w:pPr>
    </w:p>
    <w:p w14:paraId="4D44DBD2" w14:textId="75D075A2" w:rsidR="00D32C12" w:rsidRDefault="00F94AE9" w:rsidP="00D32C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advantages of </w:t>
      </w:r>
      <w:r w:rsidR="00D32C12">
        <w:rPr>
          <w:rFonts w:ascii="Avenir Next" w:hAnsi="Avenir Next" w:cs="Arial"/>
          <w:color w:val="808080" w:themeColor="background1" w:themeShade="80"/>
          <w:sz w:val="22"/>
          <w:szCs w:val="22"/>
          <w:lang w:val="en-GB"/>
        </w:rPr>
        <w:t xml:space="preserve">an informal arrangement with FPPL </w:t>
      </w:r>
      <w:r>
        <w:rPr>
          <w:rFonts w:ascii="Avenir Next" w:hAnsi="Avenir Next" w:cs="Arial"/>
          <w:color w:val="808080" w:themeColor="background1" w:themeShade="80"/>
          <w:sz w:val="22"/>
          <w:szCs w:val="22"/>
          <w:lang w:val="en-GB"/>
        </w:rPr>
        <w:t xml:space="preserve">include that it </w:t>
      </w:r>
      <w:r w:rsidR="00D32C12">
        <w:rPr>
          <w:rFonts w:ascii="Avenir Next" w:hAnsi="Avenir Next" w:cs="Arial"/>
          <w:color w:val="808080" w:themeColor="background1" w:themeShade="80"/>
          <w:sz w:val="22"/>
          <w:szCs w:val="22"/>
          <w:lang w:val="en-GB"/>
        </w:rPr>
        <w:t>may be cheaper than taking formal debt recovery action</w:t>
      </w:r>
      <w:r w:rsidR="00E12781">
        <w:rPr>
          <w:rFonts w:ascii="Avenir Next" w:hAnsi="Avenir Next" w:cs="Arial"/>
          <w:color w:val="808080" w:themeColor="background1" w:themeShade="80"/>
          <w:sz w:val="22"/>
          <w:szCs w:val="22"/>
          <w:lang w:val="en-GB"/>
        </w:rPr>
        <w:t>, and potentially allow FPPL to resume normal operations (and making money</w:t>
      </w:r>
      <w:r w:rsidR="00302491">
        <w:rPr>
          <w:rFonts w:ascii="Avenir Next" w:hAnsi="Avenir Next" w:cs="Arial"/>
          <w:color w:val="808080" w:themeColor="background1" w:themeShade="80"/>
          <w:sz w:val="22"/>
          <w:szCs w:val="22"/>
          <w:lang w:val="en-GB"/>
        </w:rPr>
        <w:t xml:space="preserve"> to pay down its debts</w:t>
      </w:r>
      <w:r w:rsidR="00E12781">
        <w:rPr>
          <w:rFonts w:ascii="Avenir Next" w:hAnsi="Avenir Next" w:cs="Arial"/>
          <w:color w:val="808080" w:themeColor="background1" w:themeShade="80"/>
          <w:sz w:val="22"/>
          <w:szCs w:val="22"/>
          <w:lang w:val="en-GB"/>
        </w:rPr>
        <w:t>) quicker than formal proceedings, if Lobo considers that FPPL is likely to survive as a going concern.</w:t>
      </w:r>
    </w:p>
    <w:p w14:paraId="7C162909" w14:textId="79313A1F" w:rsidR="00D32C12" w:rsidRDefault="00D32C12" w:rsidP="00D32C12">
      <w:pPr>
        <w:jc w:val="both"/>
        <w:rPr>
          <w:rFonts w:ascii="Avenir Next" w:hAnsi="Avenir Next" w:cs="Arial"/>
          <w:color w:val="808080" w:themeColor="background1" w:themeShade="80"/>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0590148" w14:textId="4A2040C1" w:rsidR="00ED452F" w:rsidRDefault="00ED45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Asgardian insolvency representative ("AIR") has encountered a common </w:t>
      </w:r>
      <w:r w:rsidRPr="00ED452F">
        <w:rPr>
          <w:rFonts w:ascii="Avenir Next" w:hAnsi="Avenir Next" w:cs="Arial"/>
          <w:color w:val="808080" w:themeColor="background1" w:themeShade="80"/>
          <w:sz w:val="22"/>
          <w:szCs w:val="22"/>
          <w:lang w:val="en-GB"/>
        </w:rPr>
        <w:t>problem in international insolvency</w:t>
      </w:r>
      <w:r>
        <w:rPr>
          <w:rFonts w:ascii="Avenir Next" w:hAnsi="Avenir Next" w:cs="Arial"/>
          <w:color w:val="808080" w:themeColor="background1" w:themeShade="80"/>
          <w:sz w:val="22"/>
          <w:szCs w:val="22"/>
          <w:lang w:val="en-GB"/>
        </w:rPr>
        <w:t xml:space="preserve">: </w:t>
      </w:r>
      <w:r w:rsidRPr="00ED452F">
        <w:rPr>
          <w:rFonts w:ascii="Avenir Next" w:hAnsi="Avenir Next" w:cs="Arial"/>
          <w:color w:val="808080" w:themeColor="background1" w:themeShade="80"/>
          <w:sz w:val="22"/>
          <w:szCs w:val="22"/>
          <w:lang w:val="en-GB"/>
        </w:rPr>
        <w:t>the risk of competing insolvency proceedings in different jurisdictions</w:t>
      </w:r>
      <w:r w:rsidR="00094C3C">
        <w:rPr>
          <w:rFonts w:ascii="Avenir Next" w:hAnsi="Avenir Next" w:cs="Arial"/>
          <w:color w:val="808080" w:themeColor="background1" w:themeShade="80"/>
          <w:sz w:val="22"/>
          <w:szCs w:val="22"/>
          <w:lang w:val="en-GB"/>
        </w:rPr>
        <w:t>.</w:t>
      </w:r>
    </w:p>
    <w:p w14:paraId="2BB00119" w14:textId="1A26F241" w:rsidR="001476B6" w:rsidRDefault="001476B6" w:rsidP="00ED452F">
      <w:pPr>
        <w:jc w:val="both"/>
        <w:rPr>
          <w:rFonts w:ascii="Avenir Next" w:hAnsi="Avenir Next" w:cs="Arial"/>
          <w:color w:val="808080" w:themeColor="background1" w:themeShade="80"/>
          <w:sz w:val="22"/>
          <w:szCs w:val="22"/>
          <w:lang w:val="en-GB"/>
        </w:rPr>
      </w:pPr>
    </w:p>
    <w:p w14:paraId="452C94F1" w14:textId="46A50C1C" w:rsidR="00094C3C" w:rsidRDefault="001476B6"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Multiplicity of insolvency proceedings raises a complex range of issues, including amongst others standing and recognition of the foreign representative, creditors' moratoria, creditors' proving their claims, gathering in of assets</w:t>
      </w:r>
      <w:r w:rsidR="00161DB8">
        <w:rPr>
          <w:rFonts w:ascii="Avenir Next" w:hAnsi="Avenir Next" w:cs="Arial"/>
          <w:color w:val="808080" w:themeColor="background1" w:themeShade="80"/>
          <w:sz w:val="22"/>
          <w:szCs w:val="22"/>
          <w:lang w:val="en-GB"/>
        </w:rPr>
        <w:t xml:space="preserve"> local and overseas</w:t>
      </w:r>
      <w:r>
        <w:rPr>
          <w:rFonts w:ascii="Avenir Next" w:hAnsi="Avenir Next" w:cs="Arial"/>
          <w:color w:val="808080" w:themeColor="background1" w:themeShade="80"/>
          <w:sz w:val="22"/>
          <w:szCs w:val="22"/>
          <w:lang w:val="en-GB"/>
        </w:rPr>
        <w:t>, how to deal with executory contracts (especially with an overseas element), priority of distributions, voidable dispositions, discharge and liquidation.</w:t>
      </w:r>
      <w:r w:rsidR="00094C3C">
        <w:rPr>
          <w:rFonts w:ascii="Avenir Next" w:hAnsi="Avenir Next" w:cs="Arial"/>
          <w:color w:val="808080" w:themeColor="background1" w:themeShade="80"/>
          <w:sz w:val="22"/>
          <w:szCs w:val="22"/>
          <w:lang w:val="en-GB"/>
        </w:rPr>
        <w:t xml:space="preserve">  These issues may be exacerbated by</w:t>
      </w:r>
      <w:r w:rsidR="00094C3C" w:rsidRPr="00ED452F">
        <w:rPr>
          <w:rFonts w:ascii="Avenir Next" w:hAnsi="Avenir Next" w:cs="Arial"/>
          <w:color w:val="808080" w:themeColor="background1" w:themeShade="80"/>
          <w:sz w:val="22"/>
          <w:szCs w:val="22"/>
          <w:lang w:val="en-GB"/>
        </w:rPr>
        <w:t xml:space="preserve"> the different priorities of different national regimes (</w:t>
      </w:r>
      <w:r w:rsidR="00094C3C">
        <w:rPr>
          <w:rFonts w:ascii="Avenir Next" w:hAnsi="Avenir Next" w:cs="Arial"/>
          <w:color w:val="808080" w:themeColor="background1" w:themeShade="80"/>
          <w:sz w:val="22"/>
          <w:szCs w:val="22"/>
          <w:lang w:val="en-GB"/>
        </w:rPr>
        <w:t>whether</w:t>
      </w:r>
      <w:r w:rsidR="00094C3C" w:rsidRPr="00ED452F">
        <w:rPr>
          <w:rFonts w:ascii="Avenir Next" w:hAnsi="Avenir Next" w:cs="Arial"/>
          <w:color w:val="808080" w:themeColor="background1" w:themeShade="80"/>
          <w:sz w:val="22"/>
          <w:szCs w:val="22"/>
          <w:lang w:val="en-GB"/>
        </w:rPr>
        <w:t xml:space="preserve"> pro-creditor, pro-debtor, or </w:t>
      </w:r>
      <w:r w:rsidR="00094C3C">
        <w:rPr>
          <w:rFonts w:ascii="Avenir Next" w:hAnsi="Avenir Next" w:cs="Arial"/>
          <w:color w:val="808080" w:themeColor="background1" w:themeShade="80"/>
          <w:sz w:val="22"/>
          <w:szCs w:val="22"/>
          <w:lang w:val="en-GB"/>
        </w:rPr>
        <w:t xml:space="preserve">reflective of some </w:t>
      </w:r>
      <w:r w:rsidR="00094C3C" w:rsidRPr="00ED452F">
        <w:rPr>
          <w:rFonts w:ascii="Avenir Next" w:hAnsi="Avenir Next" w:cs="Arial"/>
          <w:color w:val="808080" w:themeColor="background1" w:themeShade="80"/>
          <w:sz w:val="22"/>
          <w:szCs w:val="22"/>
          <w:lang w:val="en-GB"/>
        </w:rPr>
        <w:t>other domestic priorit</w:t>
      </w:r>
      <w:r w:rsidR="00094C3C">
        <w:rPr>
          <w:rFonts w:ascii="Avenir Next" w:hAnsi="Avenir Next" w:cs="Arial"/>
          <w:color w:val="808080" w:themeColor="background1" w:themeShade="80"/>
          <w:sz w:val="22"/>
          <w:szCs w:val="22"/>
          <w:lang w:val="en-GB"/>
        </w:rPr>
        <w:t>y</w:t>
      </w:r>
      <w:r w:rsidR="00094C3C" w:rsidRPr="00ED452F">
        <w:rPr>
          <w:rFonts w:ascii="Avenir Next" w:hAnsi="Avenir Next" w:cs="Arial"/>
          <w:color w:val="808080" w:themeColor="background1" w:themeShade="80"/>
          <w:sz w:val="22"/>
          <w:szCs w:val="22"/>
          <w:lang w:val="en-GB"/>
        </w:rPr>
        <w:t>)</w:t>
      </w:r>
      <w:r w:rsidR="00094C3C">
        <w:rPr>
          <w:rFonts w:ascii="Avenir Next" w:hAnsi="Avenir Next" w:cs="Arial"/>
          <w:color w:val="808080" w:themeColor="background1" w:themeShade="80"/>
          <w:sz w:val="22"/>
          <w:szCs w:val="22"/>
          <w:lang w:val="en-GB"/>
        </w:rPr>
        <w:t>, forum-shopping, concealment, and other problematic outcomes.</w:t>
      </w:r>
    </w:p>
    <w:p w14:paraId="022F2A91" w14:textId="4C77B178" w:rsidR="00ED452F" w:rsidRDefault="00ED452F" w:rsidP="00ED452F">
      <w:pPr>
        <w:jc w:val="both"/>
        <w:rPr>
          <w:rFonts w:ascii="Avenir Next" w:hAnsi="Avenir Next" w:cs="Arial"/>
          <w:color w:val="808080" w:themeColor="background1" w:themeShade="80"/>
          <w:sz w:val="22"/>
          <w:szCs w:val="22"/>
          <w:lang w:val="en-GB"/>
        </w:rPr>
      </w:pPr>
    </w:p>
    <w:p w14:paraId="26E01732" w14:textId="33E819DC"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Ideally, there may exist one or more </w:t>
      </w:r>
      <w:r w:rsidR="00161DB8">
        <w:rPr>
          <w:rFonts w:ascii="Avenir Next" w:hAnsi="Avenir Next" w:cs="Arial"/>
          <w:color w:val="808080" w:themeColor="background1" w:themeShade="80"/>
          <w:sz w:val="22"/>
          <w:szCs w:val="22"/>
          <w:lang w:val="en-GB"/>
        </w:rPr>
        <w:t xml:space="preserve">international insolvency instruments </w:t>
      </w:r>
      <w:r w:rsidR="00094C3C">
        <w:rPr>
          <w:rFonts w:ascii="Avenir Next" w:hAnsi="Avenir Next" w:cs="Arial"/>
          <w:color w:val="808080" w:themeColor="background1" w:themeShade="80"/>
          <w:sz w:val="22"/>
          <w:szCs w:val="22"/>
          <w:lang w:val="en-GB"/>
        </w:rPr>
        <w:t xml:space="preserve">on </w:t>
      </w:r>
      <w:r>
        <w:rPr>
          <w:rFonts w:ascii="Avenir Next" w:hAnsi="Avenir Next" w:cs="Arial"/>
          <w:color w:val="808080" w:themeColor="background1" w:themeShade="80"/>
          <w:sz w:val="22"/>
          <w:szCs w:val="22"/>
          <w:lang w:val="en-GB"/>
        </w:rPr>
        <w:t xml:space="preserve">which the AIR </w:t>
      </w:r>
      <w:r w:rsidR="00161DB8">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 xml:space="preserve">rely in the Courts of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Encanto, </w:t>
      </w:r>
      <w:r w:rsidR="00094C3C">
        <w:rPr>
          <w:rFonts w:ascii="Avenir Next" w:hAnsi="Avenir Next" w:cs="Arial"/>
          <w:color w:val="808080" w:themeColor="background1" w:themeShade="80"/>
          <w:sz w:val="22"/>
          <w:szCs w:val="22"/>
          <w:lang w:val="en-GB"/>
        </w:rPr>
        <w:t>or at least have reference</w:t>
      </w:r>
      <w:r w:rsidR="00161DB8">
        <w:rPr>
          <w:rFonts w:ascii="Avenir Next" w:hAnsi="Avenir Next" w:cs="Arial"/>
          <w:color w:val="808080" w:themeColor="background1" w:themeShade="80"/>
          <w:sz w:val="22"/>
          <w:szCs w:val="22"/>
          <w:lang w:val="en-GB"/>
        </w:rPr>
        <w:t xml:space="preserve"> before those Courts</w:t>
      </w:r>
      <w:r w:rsidR="00094C3C">
        <w:rPr>
          <w:rFonts w:ascii="Avenir Next" w:hAnsi="Avenir Next" w:cs="Arial"/>
          <w:color w:val="808080" w:themeColor="background1" w:themeShade="80"/>
          <w:sz w:val="22"/>
          <w:szCs w:val="22"/>
          <w:lang w:val="en-GB"/>
        </w:rPr>
        <w:t xml:space="preserve">, </w:t>
      </w:r>
      <w:r w:rsidR="001476B6">
        <w:rPr>
          <w:rFonts w:ascii="Avenir Next" w:hAnsi="Avenir Next" w:cs="Arial"/>
          <w:color w:val="808080" w:themeColor="background1" w:themeShade="80"/>
          <w:sz w:val="22"/>
          <w:szCs w:val="22"/>
          <w:lang w:val="en-GB"/>
        </w:rPr>
        <w:t xml:space="preserve">to </w:t>
      </w:r>
      <w:r w:rsidR="00094C3C">
        <w:rPr>
          <w:rFonts w:ascii="Avenir Next" w:hAnsi="Avenir Next" w:cs="Arial"/>
          <w:color w:val="808080" w:themeColor="background1" w:themeShade="80"/>
          <w:sz w:val="22"/>
          <w:szCs w:val="22"/>
          <w:lang w:val="en-GB"/>
        </w:rPr>
        <w:t xml:space="preserve">try to </w:t>
      </w:r>
      <w:r w:rsidR="001476B6">
        <w:rPr>
          <w:rFonts w:ascii="Avenir Next" w:hAnsi="Avenir Next" w:cs="Arial"/>
          <w:color w:val="808080" w:themeColor="background1" w:themeShade="80"/>
          <w:sz w:val="22"/>
          <w:szCs w:val="22"/>
          <w:lang w:val="en-GB"/>
        </w:rPr>
        <w:t>resolve these and other difficulties.  These could include (</w:t>
      </w:r>
      <w:r>
        <w:rPr>
          <w:rFonts w:ascii="Avenir Next" w:hAnsi="Avenir Next" w:cs="Arial"/>
          <w:color w:val="808080" w:themeColor="background1" w:themeShade="80"/>
          <w:sz w:val="22"/>
          <w:szCs w:val="22"/>
          <w:lang w:val="en-GB"/>
        </w:rPr>
        <w:t>in rough order of preference</w:t>
      </w:r>
      <w:r w:rsidR="001476B6">
        <w:rPr>
          <w:rFonts w:ascii="Avenir Next" w:hAnsi="Avenir Next" w:cs="Arial"/>
          <w:color w:val="808080" w:themeColor="background1" w:themeShade="80"/>
          <w:sz w:val="22"/>
          <w:szCs w:val="22"/>
          <w:lang w:val="en-GB"/>
        </w:rPr>
        <w:t>, from the AIR's position)</w:t>
      </w:r>
      <w:r>
        <w:rPr>
          <w:rFonts w:ascii="Avenir Next" w:hAnsi="Avenir Next" w:cs="Arial"/>
          <w:color w:val="808080" w:themeColor="background1" w:themeShade="80"/>
          <w:sz w:val="22"/>
          <w:szCs w:val="22"/>
          <w:lang w:val="en-GB"/>
        </w:rPr>
        <w:t>:</w:t>
      </w:r>
    </w:p>
    <w:p w14:paraId="33B0472F" w14:textId="0CA7B84F" w:rsidR="00391D2F" w:rsidRDefault="00391D2F" w:rsidP="00ED452F">
      <w:pPr>
        <w:jc w:val="both"/>
        <w:rPr>
          <w:rFonts w:ascii="Avenir Next" w:hAnsi="Avenir Next" w:cs="Arial"/>
          <w:color w:val="808080" w:themeColor="background1" w:themeShade="80"/>
          <w:sz w:val="22"/>
          <w:szCs w:val="22"/>
          <w:lang w:val="en-GB"/>
        </w:rPr>
      </w:pPr>
    </w:p>
    <w:p w14:paraId="490B9D5E" w14:textId="2243D402"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A formal treaty (whether bilateral or multilateral), incorporated into both domestic legal systems, governing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/Encanto cross-border insolvencies and providing for a </w:t>
      </w:r>
      <w:r w:rsidR="00764C26">
        <w:rPr>
          <w:rFonts w:ascii="Avenir Next" w:hAnsi="Avenir Next" w:cs="Arial"/>
          <w:color w:val="808080" w:themeColor="background1" w:themeShade="80"/>
          <w:sz w:val="22"/>
          <w:szCs w:val="22"/>
          <w:lang w:val="en-GB"/>
        </w:rPr>
        <w:t>single unified</w:t>
      </w:r>
      <w:r>
        <w:rPr>
          <w:rFonts w:ascii="Avenir Next" w:hAnsi="Avenir Next" w:cs="Arial"/>
          <w:color w:val="808080" w:themeColor="background1" w:themeShade="80"/>
          <w:sz w:val="22"/>
          <w:szCs w:val="22"/>
          <w:lang w:val="en-GB"/>
        </w:rPr>
        <w:t xml:space="preserve"> insolvency proceeding whose decisions are </w:t>
      </w:r>
      <w:r w:rsidR="004E1B78">
        <w:rPr>
          <w:rFonts w:ascii="Avenir Next" w:hAnsi="Avenir Next" w:cs="Arial"/>
          <w:color w:val="808080" w:themeColor="background1" w:themeShade="80"/>
          <w:sz w:val="22"/>
          <w:szCs w:val="22"/>
          <w:lang w:val="en-GB"/>
        </w:rPr>
        <w:t xml:space="preserve">automatically </w:t>
      </w:r>
      <w:r>
        <w:rPr>
          <w:rFonts w:ascii="Avenir Next" w:hAnsi="Avenir Next" w:cs="Arial"/>
          <w:color w:val="808080" w:themeColor="background1" w:themeShade="80"/>
          <w:sz w:val="22"/>
          <w:szCs w:val="22"/>
          <w:lang w:val="en-GB"/>
        </w:rPr>
        <w:t>recognised and enforceable in both countries;</w:t>
      </w:r>
    </w:p>
    <w:p w14:paraId="01B0E847" w14:textId="66F8FB05" w:rsidR="00391D2F" w:rsidRDefault="00391D2F" w:rsidP="00ED452F">
      <w:pPr>
        <w:jc w:val="both"/>
        <w:rPr>
          <w:rFonts w:ascii="Avenir Next" w:hAnsi="Avenir Next" w:cs="Arial"/>
          <w:color w:val="808080" w:themeColor="background1" w:themeShade="80"/>
          <w:sz w:val="22"/>
          <w:szCs w:val="22"/>
          <w:lang w:val="en-GB"/>
        </w:rPr>
      </w:pPr>
    </w:p>
    <w:p w14:paraId="78C2D17E" w14:textId="05B2B814"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Some </w:t>
      </w:r>
      <w:r w:rsidR="001476B6">
        <w:rPr>
          <w:rFonts w:ascii="Avenir Next" w:hAnsi="Avenir Next" w:cs="Arial"/>
          <w:color w:val="808080" w:themeColor="background1" w:themeShade="80"/>
          <w:sz w:val="22"/>
          <w:szCs w:val="22"/>
          <w:lang w:val="en-GB"/>
        </w:rPr>
        <w:t xml:space="preserve">less comprehensive but still legally enforceable </w:t>
      </w:r>
      <w:r>
        <w:rPr>
          <w:rFonts w:ascii="Avenir Next" w:hAnsi="Avenir Next" w:cs="Arial"/>
          <w:color w:val="808080" w:themeColor="background1" w:themeShade="80"/>
          <w:sz w:val="22"/>
          <w:szCs w:val="22"/>
          <w:lang w:val="en-GB"/>
        </w:rPr>
        <w:t xml:space="preserve">variation of the above, providing for </w:t>
      </w:r>
      <w:r w:rsidR="00764C26">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general unity of proceedings and permitting concurrent proceedings in </w:t>
      </w:r>
      <w:r w:rsidR="00764C26">
        <w:rPr>
          <w:rFonts w:ascii="Avenir Next" w:hAnsi="Avenir Next" w:cs="Arial"/>
          <w:color w:val="808080" w:themeColor="background1" w:themeShade="80"/>
          <w:sz w:val="22"/>
          <w:szCs w:val="22"/>
          <w:lang w:val="en-GB"/>
        </w:rPr>
        <w:t xml:space="preserve">certain well-defined </w:t>
      </w:r>
      <w:r>
        <w:rPr>
          <w:rFonts w:ascii="Avenir Next" w:hAnsi="Avenir Next" w:cs="Arial"/>
          <w:color w:val="808080" w:themeColor="background1" w:themeShade="80"/>
          <w:sz w:val="22"/>
          <w:szCs w:val="22"/>
          <w:lang w:val="en-GB"/>
        </w:rPr>
        <w:t>circumstances;</w:t>
      </w:r>
    </w:p>
    <w:p w14:paraId="68306875" w14:textId="24245162" w:rsidR="00391D2F" w:rsidRDefault="00391D2F" w:rsidP="00ED452F">
      <w:pPr>
        <w:jc w:val="both"/>
        <w:rPr>
          <w:rFonts w:ascii="Avenir Next" w:hAnsi="Avenir Next" w:cs="Arial"/>
          <w:color w:val="808080" w:themeColor="background1" w:themeShade="80"/>
          <w:sz w:val="22"/>
          <w:szCs w:val="22"/>
          <w:lang w:val="en-GB"/>
        </w:rPr>
      </w:pPr>
    </w:p>
    <w:p w14:paraId="2052E044" w14:textId="02C83FD1"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 Modern and effective local legislation (for the AIR, preferably in Encanto</w:t>
      </w:r>
      <w:r w:rsidR="001476B6">
        <w:rPr>
          <w:rFonts w:ascii="Avenir Next" w:hAnsi="Avenir Next" w:cs="Arial"/>
          <w:color w:val="808080" w:themeColor="background1" w:themeShade="80"/>
          <w:sz w:val="22"/>
          <w:szCs w:val="22"/>
          <w:lang w:val="en-GB"/>
        </w:rPr>
        <w:t xml:space="preserve"> law, such that the AIR can act as the driver of the process in both jurisdictions</w:t>
      </w:r>
      <w:r>
        <w:rPr>
          <w:rFonts w:ascii="Avenir Next" w:hAnsi="Avenir Next" w:cs="Arial"/>
          <w:color w:val="808080" w:themeColor="background1" w:themeShade="80"/>
          <w:sz w:val="22"/>
          <w:szCs w:val="22"/>
          <w:lang w:val="en-GB"/>
        </w:rPr>
        <w:t>) providing for the recognition and enforcement of, and co-operation with, decisions of a foreign insolvency body;</w:t>
      </w:r>
    </w:p>
    <w:p w14:paraId="7EBDCA70" w14:textId="77777777" w:rsidR="00391D2F" w:rsidRDefault="00391D2F" w:rsidP="00ED452F">
      <w:pPr>
        <w:jc w:val="both"/>
        <w:rPr>
          <w:rFonts w:ascii="Avenir Next" w:hAnsi="Avenir Next" w:cs="Arial"/>
          <w:color w:val="808080" w:themeColor="background1" w:themeShade="80"/>
          <w:sz w:val="22"/>
          <w:szCs w:val="22"/>
          <w:lang w:val="en-GB"/>
        </w:rPr>
      </w:pPr>
    </w:p>
    <w:p w14:paraId="34C581F5" w14:textId="66B15561"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 In the absence of local legislation</w:t>
      </w:r>
      <w:r w:rsidR="00764C26">
        <w:rPr>
          <w:rFonts w:ascii="Avenir Next" w:hAnsi="Avenir Next" w:cs="Arial"/>
          <w:color w:val="808080" w:themeColor="background1" w:themeShade="80"/>
          <w:sz w:val="22"/>
          <w:szCs w:val="22"/>
          <w:lang w:val="en-GB"/>
        </w:rPr>
        <w:t xml:space="preserve"> to that effect</w:t>
      </w:r>
      <w:r>
        <w:rPr>
          <w:rFonts w:ascii="Avenir Next" w:hAnsi="Avenir Next" w:cs="Arial"/>
          <w:color w:val="808080" w:themeColor="background1" w:themeShade="80"/>
          <w:sz w:val="22"/>
          <w:szCs w:val="22"/>
          <w:lang w:val="en-GB"/>
        </w:rPr>
        <w:t>, a recognised body of judge-made law (</w:t>
      </w:r>
      <w:r w:rsidR="001476B6">
        <w:rPr>
          <w:rFonts w:ascii="Avenir Next" w:hAnsi="Avenir Next" w:cs="Arial"/>
          <w:color w:val="808080" w:themeColor="background1" w:themeShade="80"/>
          <w:sz w:val="22"/>
          <w:szCs w:val="22"/>
          <w:lang w:val="en-GB"/>
        </w:rPr>
        <w:t>again</w:t>
      </w:r>
      <w:r w:rsidR="00AE080F">
        <w:rPr>
          <w:rFonts w:ascii="Avenir Next" w:hAnsi="Avenir Next" w:cs="Arial"/>
          <w:color w:val="808080" w:themeColor="background1" w:themeShade="80"/>
          <w:sz w:val="22"/>
          <w:szCs w:val="22"/>
          <w:lang w:val="en-GB"/>
        </w:rPr>
        <w:t>,</w:t>
      </w:r>
      <w:r w:rsidR="001476B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 the AIR, preferably in </w:t>
      </w:r>
      <w:r w:rsidR="00764C26">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Encanto</w:t>
      </w:r>
      <w:r w:rsidR="00764C26">
        <w:rPr>
          <w:rFonts w:ascii="Avenir Next" w:hAnsi="Avenir Next" w:cs="Arial"/>
          <w:color w:val="808080" w:themeColor="background1" w:themeShade="80"/>
          <w:sz w:val="22"/>
          <w:szCs w:val="22"/>
          <w:lang w:val="en-GB"/>
        </w:rPr>
        <w:t xml:space="preserve"> courts</w:t>
      </w:r>
      <w:r>
        <w:rPr>
          <w:rFonts w:ascii="Avenir Next" w:hAnsi="Avenir Next" w:cs="Arial"/>
          <w:color w:val="808080" w:themeColor="background1" w:themeShade="80"/>
          <w:sz w:val="22"/>
          <w:szCs w:val="22"/>
          <w:lang w:val="en-GB"/>
        </w:rPr>
        <w:t>) providing for the same;</w:t>
      </w:r>
      <w:r w:rsidR="00FC6E70">
        <w:rPr>
          <w:rFonts w:ascii="Avenir Next" w:hAnsi="Avenir Next" w:cs="Arial"/>
          <w:color w:val="808080" w:themeColor="background1" w:themeShade="80"/>
          <w:sz w:val="22"/>
          <w:szCs w:val="22"/>
          <w:lang w:val="en-GB"/>
        </w:rPr>
        <w:t xml:space="preserve"> and/or</w:t>
      </w:r>
    </w:p>
    <w:p w14:paraId="1D6452FE" w14:textId="2CD09A90" w:rsidR="00391D2F" w:rsidRDefault="00391D2F" w:rsidP="00ED452F">
      <w:pPr>
        <w:jc w:val="both"/>
        <w:rPr>
          <w:rFonts w:ascii="Avenir Next" w:hAnsi="Avenir Next" w:cs="Arial"/>
          <w:color w:val="808080" w:themeColor="background1" w:themeShade="80"/>
          <w:sz w:val="22"/>
          <w:szCs w:val="22"/>
          <w:lang w:val="en-GB"/>
        </w:rPr>
      </w:pPr>
    </w:p>
    <w:p w14:paraId="59C65A4E" w14:textId="5C86D2ED" w:rsidR="00391D2F" w:rsidRDefault="00391D2F"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 A body of "soft law" guidelines, perhaps developed b</w:t>
      </w:r>
      <w:r w:rsidR="00FC6E70">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t>
      </w:r>
      <w:r w:rsidR="00FC6E70">
        <w:rPr>
          <w:rFonts w:ascii="Avenir Next" w:hAnsi="Avenir Next" w:cs="Arial"/>
          <w:color w:val="808080" w:themeColor="background1" w:themeShade="80"/>
          <w:sz w:val="22"/>
          <w:szCs w:val="22"/>
          <w:lang w:val="en-GB"/>
        </w:rPr>
        <w:t xml:space="preserve">local </w:t>
      </w:r>
      <w:r>
        <w:rPr>
          <w:rFonts w:ascii="Avenir Next" w:hAnsi="Avenir Next" w:cs="Arial"/>
          <w:color w:val="808080" w:themeColor="background1" w:themeShade="80"/>
          <w:sz w:val="22"/>
          <w:szCs w:val="22"/>
          <w:lang w:val="en-GB"/>
        </w:rPr>
        <w:t xml:space="preserve">legal professional or </w:t>
      </w:r>
      <w:r w:rsidR="00FC6E70">
        <w:rPr>
          <w:rFonts w:ascii="Avenir Next" w:hAnsi="Avenir Next" w:cs="Arial"/>
          <w:color w:val="808080" w:themeColor="background1" w:themeShade="80"/>
          <w:sz w:val="22"/>
          <w:szCs w:val="22"/>
          <w:lang w:val="en-GB"/>
        </w:rPr>
        <w:t xml:space="preserve">multilateral </w:t>
      </w:r>
      <w:r>
        <w:rPr>
          <w:rFonts w:ascii="Avenir Next" w:hAnsi="Avenir Next" w:cs="Arial"/>
          <w:color w:val="808080" w:themeColor="background1" w:themeShade="80"/>
          <w:sz w:val="22"/>
          <w:szCs w:val="22"/>
          <w:lang w:val="en-GB"/>
        </w:rPr>
        <w:t xml:space="preserve">trade associations and generally accepted by the judiciary and authorities of both countries, providing guidelines for the reasonable resolution of Encanto /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cross-border insolvency disputes.</w:t>
      </w:r>
    </w:p>
    <w:p w14:paraId="54037E7A" w14:textId="77777777" w:rsidR="00391D2F" w:rsidRDefault="00391D2F" w:rsidP="00ED452F">
      <w:pPr>
        <w:jc w:val="both"/>
        <w:rPr>
          <w:rFonts w:ascii="Avenir Next" w:hAnsi="Avenir Next" w:cs="Arial"/>
          <w:color w:val="808080" w:themeColor="background1" w:themeShade="80"/>
          <w:sz w:val="22"/>
          <w:szCs w:val="22"/>
          <w:lang w:val="en-GB"/>
        </w:rPr>
      </w:pPr>
    </w:p>
    <w:p w14:paraId="53763630" w14:textId="6956EB8B" w:rsidR="00094C3C" w:rsidRDefault="00203370"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international insolvency instruments (i.e. </w:t>
      </w:r>
      <w:r w:rsidR="00AE080F">
        <w:rPr>
          <w:rFonts w:ascii="Avenir Next" w:hAnsi="Avenir Next" w:cs="Arial"/>
          <w:color w:val="808080" w:themeColor="background1" w:themeShade="80"/>
          <w:sz w:val="22"/>
          <w:szCs w:val="22"/>
          <w:lang w:val="en-GB"/>
        </w:rPr>
        <w:t xml:space="preserve">ideally </w:t>
      </w:r>
      <w:r>
        <w:rPr>
          <w:rFonts w:ascii="Avenir Next" w:hAnsi="Avenir Next" w:cs="Arial"/>
          <w:color w:val="808080" w:themeColor="background1" w:themeShade="80"/>
          <w:sz w:val="22"/>
          <w:szCs w:val="22"/>
          <w:lang w:val="en-GB"/>
        </w:rPr>
        <w:t>some species of (1) and (2) above) has been recognised as an important area for centuries: bilateral insolvency agreements</w:t>
      </w:r>
      <w:r w:rsidR="00FC6E70">
        <w:rPr>
          <w:rFonts w:ascii="Avenir Next" w:hAnsi="Avenir Next" w:cs="Arial"/>
          <w:color w:val="808080" w:themeColor="background1" w:themeShade="80"/>
          <w:sz w:val="22"/>
          <w:szCs w:val="22"/>
          <w:lang w:val="en-GB"/>
        </w:rPr>
        <w:t xml:space="preserve"> allowing for the pursuit of debtors and their assets</w:t>
      </w:r>
      <w:r>
        <w:rPr>
          <w:rFonts w:ascii="Avenir Next" w:hAnsi="Avenir Next" w:cs="Arial"/>
          <w:color w:val="808080" w:themeColor="background1" w:themeShade="80"/>
          <w:sz w:val="22"/>
          <w:szCs w:val="22"/>
          <w:lang w:val="en-GB"/>
        </w:rPr>
        <w:t xml:space="preserve"> emerged in Europe from the 13</w:t>
      </w:r>
      <w:r w:rsidRPr="00203370">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and blossomed into more </w:t>
      </w:r>
      <w:r w:rsidR="00FC6E70">
        <w:rPr>
          <w:rFonts w:ascii="Avenir Next" w:hAnsi="Avenir Next" w:cs="Arial"/>
          <w:color w:val="808080" w:themeColor="background1" w:themeShade="80"/>
          <w:sz w:val="22"/>
          <w:szCs w:val="22"/>
          <w:lang w:val="en-GB"/>
        </w:rPr>
        <w:t>comprehensive</w:t>
      </w:r>
      <w:r>
        <w:rPr>
          <w:rFonts w:ascii="Avenir Next" w:hAnsi="Avenir Next" w:cs="Arial"/>
          <w:color w:val="808080" w:themeColor="background1" w:themeShade="80"/>
          <w:sz w:val="22"/>
          <w:szCs w:val="22"/>
          <w:lang w:val="en-GB"/>
        </w:rPr>
        <w:t xml:space="preserve"> arrangements in the late 19</w:t>
      </w:r>
      <w:r w:rsidRPr="00203370">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early 20</w:t>
      </w:r>
      <w:r w:rsidRPr="00203370">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vertAlign w:val="superscript"/>
          <w:lang w:val="en-GB"/>
        </w:rPr>
        <w:t xml:space="preserve">.  </w:t>
      </w:r>
      <w:r>
        <w:rPr>
          <w:rFonts w:ascii="Avenir Next" w:hAnsi="Avenir Next" w:cs="Arial"/>
          <w:color w:val="808080" w:themeColor="background1" w:themeShade="80"/>
          <w:sz w:val="22"/>
          <w:szCs w:val="22"/>
          <w:lang w:val="en-GB"/>
        </w:rPr>
        <w:t>T</w:t>
      </w:r>
      <w:r w:rsidRPr="00203370">
        <w:rPr>
          <w:rFonts w:ascii="Avenir Next" w:hAnsi="Avenir Next" w:cs="Arial"/>
          <w:color w:val="808080" w:themeColor="background1" w:themeShade="80"/>
          <w:sz w:val="22"/>
          <w:szCs w:val="22"/>
          <w:lang w:val="en-GB"/>
        </w:rPr>
        <w:t>he 1933 Nordic Convention, the Montevideo Treaties</w:t>
      </w:r>
      <w:r>
        <w:rPr>
          <w:rFonts w:ascii="Avenir Next" w:hAnsi="Avenir Next" w:cs="Arial"/>
          <w:color w:val="808080" w:themeColor="background1" w:themeShade="80"/>
          <w:sz w:val="22"/>
          <w:szCs w:val="22"/>
          <w:lang w:val="en-GB"/>
        </w:rPr>
        <w:t xml:space="preserve">, </w:t>
      </w:r>
      <w:r w:rsidRPr="00203370">
        <w:rPr>
          <w:rFonts w:ascii="Avenir Next" w:hAnsi="Avenir Next" w:cs="Arial"/>
          <w:color w:val="808080" w:themeColor="background1" w:themeShade="80"/>
          <w:sz w:val="22"/>
          <w:szCs w:val="22"/>
          <w:lang w:val="en-GB"/>
        </w:rPr>
        <w:t xml:space="preserve"> the Havana Convention </w:t>
      </w:r>
      <w:r>
        <w:rPr>
          <w:rFonts w:ascii="Avenir Next" w:hAnsi="Avenir Next" w:cs="Arial"/>
          <w:color w:val="808080" w:themeColor="background1" w:themeShade="80"/>
          <w:sz w:val="22"/>
          <w:szCs w:val="22"/>
          <w:lang w:val="en-GB"/>
        </w:rPr>
        <w:t xml:space="preserve">and in the modern era the European Insolvency Regulation reflect the recognised importance of regulating cross-border insolvencies. </w:t>
      </w:r>
    </w:p>
    <w:p w14:paraId="053F3CFC" w14:textId="77777777" w:rsidR="00094C3C" w:rsidRDefault="00094C3C" w:rsidP="00ED452F">
      <w:pPr>
        <w:jc w:val="both"/>
        <w:rPr>
          <w:rFonts w:ascii="Avenir Next" w:hAnsi="Avenir Next" w:cs="Arial"/>
          <w:color w:val="808080" w:themeColor="background1" w:themeShade="80"/>
          <w:sz w:val="22"/>
          <w:szCs w:val="22"/>
          <w:lang w:val="en-GB"/>
        </w:rPr>
      </w:pPr>
    </w:p>
    <w:p w14:paraId="2FEFBA28" w14:textId="69084723" w:rsidR="00ED452F" w:rsidRPr="00E0046C" w:rsidRDefault="00203370" w:rsidP="00ED45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true universalism is derided by some commentators as an unachievable pipe-dream at odds with the reality of national priorities, the modern environment of formal instruments, supplemented by </w:t>
      </w:r>
      <w:r w:rsidR="00094C3C">
        <w:rPr>
          <w:rFonts w:ascii="Avenir Next" w:hAnsi="Avenir Next" w:cs="Arial"/>
          <w:color w:val="808080" w:themeColor="background1" w:themeShade="80"/>
          <w:sz w:val="22"/>
          <w:szCs w:val="22"/>
          <w:lang w:val="en-GB"/>
        </w:rPr>
        <w:t xml:space="preserve">the gradual national adoption of </w:t>
      </w:r>
      <w:r>
        <w:rPr>
          <w:rFonts w:ascii="Avenir Next" w:hAnsi="Avenir Next" w:cs="Arial"/>
          <w:color w:val="808080" w:themeColor="background1" w:themeShade="80"/>
          <w:sz w:val="22"/>
          <w:szCs w:val="22"/>
          <w:lang w:val="en-GB"/>
        </w:rPr>
        <w:t xml:space="preserve">"soft law" </w:t>
      </w:r>
      <w:r w:rsidR="00094C3C">
        <w:rPr>
          <w:rFonts w:ascii="Avenir Next" w:hAnsi="Avenir Next" w:cs="Arial"/>
          <w:color w:val="808080" w:themeColor="background1" w:themeShade="80"/>
          <w:sz w:val="22"/>
          <w:szCs w:val="22"/>
          <w:lang w:val="en-GB"/>
        </w:rPr>
        <w:t>like the UNCITRAL Model Law on Cross-Border Insolvency and initiatives like UNICTRAL's Legislative Guide, mean that modified universalism and more coherent management of cross-border insolvencies are gathering momentum</w:t>
      </w:r>
      <w:r w:rsidR="00E0046C">
        <w:rPr>
          <w:rFonts w:ascii="Avenir Next" w:hAnsi="Avenir Next" w:cs="Arial"/>
          <w:color w:val="808080" w:themeColor="background1" w:themeShade="80"/>
          <w:sz w:val="22"/>
          <w:szCs w:val="22"/>
          <w:lang w:val="en-GB"/>
        </w:rPr>
        <w:t xml:space="preserve"> in this important area.</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0B54576" w14:textId="153672F9" w:rsidR="004F5AD6" w:rsidRDefault="004F5AD6" w:rsidP="001E1C34">
      <w:pPr>
        <w:ind w:left="720" w:hanging="720"/>
        <w:jc w:val="both"/>
        <w:rPr>
          <w:rFonts w:ascii="Avenir Next" w:hAnsi="Avenir Next" w:cs="Arial"/>
          <w:color w:val="808080" w:themeColor="background1" w:themeShade="80"/>
          <w:sz w:val="22"/>
          <w:szCs w:val="22"/>
          <w:lang w:val="en-GB"/>
        </w:rPr>
      </w:pPr>
    </w:p>
    <w:p w14:paraId="64E56949" w14:textId="5E4556D5" w:rsidR="004F5AD6" w:rsidRDefault="004F5AD6" w:rsidP="004F5A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("EIRR") ceased to have effect in the UK on 31 December 2020 following the UK's exit fr</w:t>
      </w:r>
      <w:r w:rsidR="00366FCC">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m the European Union.  The European (Withdrawal Agreement) Act 2020 </w:t>
      </w:r>
      <w:r w:rsidR="004344D9">
        <w:rPr>
          <w:rFonts w:ascii="Avenir Next" w:hAnsi="Avenir Next" w:cs="Arial"/>
          <w:color w:val="808080" w:themeColor="background1" w:themeShade="80"/>
          <w:sz w:val="22"/>
          <w:szCs w:val="22"/>
          <w:lang w:val="en-GB"/>
        </w:rPr>
        <w:t xml:space="preserve">contained transitional provisions whereby the EIRR would apply to insolvency proceedings </w:t>
      </w:r>
      <w:r w:rsidR="00366FCC">
        <w:rPr>
          <w:rFonts w:ascii="Avenir Next" w:hAnsi="Avenir Next" w:cs="Arial"/>
          <w:color w:val="808080" w:themeColor="background1" w:themeShade="80"/>
          <w:sz w:val="22"/>
          <w:szCs w:val="22"/>
          <w:lang w:val="en-GB"/>
        </w:rPr>
        <w:t>so long as</w:t>
      </w:r>
      <w:r w:rsidR="004344D9">
        <w:rPr>
          <w:rFonts w:ascii="Avenir Next" w:hAnsi="Avenir Next" w:cs="Arial"/>
          <w:color w:val="808080" w:themeColor="background1" w:themeShade="80"/>
          <w:sz w:val="22"/>
          <w:szCs w:val="22"/>
          <w:lang w:val="en-GB"/>
        </w:rPr>
        <w:t xml:space="preserve"> they were opened before 31 December 2020 – </w:t>
      </w:r>
      <w:r w:rsidR="00366FCC">
        <w:rPr>
          <w:rFonts w:ascii="Avenir Next" w:hAnsi="Avenir Next" w:cs="Arial"/>
          <w:color w:val="808080" w:themeColor="background1" w:themeShade="80"/>
          <w:sz w:val="22"/>
          <w:szCs w:val="22"/>
          <w:lang w:val="en-GB"/>
        </w:rPr>
        <w:t xml:space="preserve">but given </w:t>
      </w:r>
      <w:r w:rsidR="004344D9">
        <w:rPr>
          <w:rFonts w:ascii="Avenir Next" w:hAnsi="Avenir Next" w:cs="Arial"/>
          <w:color w:val="808080" w:themeColor="background1" w:themeShade="80"/>
          <w:sz w:val="22"/>
          <w:szCs w:val="22"/>
          <w:lang w:val="en-GB"/>
        </w:rPr>
        <w:t>the UK proceeding</w:t>
      </w:r>
      <w:r w:rsidR="00E7706D">
        <w:rPr>
          <w:rFonts w:ascii="Avenir Next" w:hAnsi="Avenir Next" w:cs="Arial"/>
          <w:color w:val="808080" w:themeColor="background1" w:themeShade="80"/>
          <w:sz w:val="22"/>
          <w:szCs w:val="22"/>
          <w:lang w:val="en-GB"/>
        </w:rPr>
        <w:t>s</w:t>
      </w:r>
      <w:r w:rsidR="004344D9">
        <w:rPr>
          <w:rFonts w:ascii="Avenir Next" w:hAnsi="Avenir Next" w:cs="Arial"/>
          <w:color w:val="808080" w:themeColor="background1" w:themeShade="80"/>
          <w:sz w:val="22"/>
          <w:szCs w:val="22"/>
          <w:lang w:val="en-GB"/>
        </w:rPr>
        <w:t xml:space="preserve"> opened on 30 June 2022</w:t>
      </w:r>
      <w:r w:rsidR="00366FCC">
        <w:rPr>
          <w:rFonts w:ascii="Avenir Next" w:hAnsi="Avenir Next" w:cs="Arial"/>
          <w:color w:val="808080" w:themeColor="background1" w:themeShade="80"/>
          <w:sz w:val="22"/>
          <w:szCs w:val="22"/>
          <w:lang w:val="en-GB"/>
        </w:rPr>
        <w:t xml:space="preserve"> these are not applicable</w:t>
      </w:r>
      <w:r w:rsidR="004344D9">
        <w:rPr>
          <w:rFonts w:ascii="Avenir Next" w:hAnsi="Avenir Next" w:cs="Arial"/>
          <w:color w:val="808080" w:themeColor="background1" w:themeShade="80"/>
          <w:sz w:val="22"/>
          <w:szCs w:val="22"/>
          <w:lang w:val="en-GB"/>
        </w:rPr>
        <w:t>.</w:t>
      </w:r>
      <w:r w:rsidR="00366FCC">
        <w:rPr>
          <w:rFonts w:ascii="Avenir Next" w:hAnsi="Avenir Next" w:cs="Arial"/>
          <w:color w:val="808080" w:themeColor="background1" w:themeShade="80"/>
          <w:sz w:val="22"/>
          <w:szCs w:val="22"/>
          <w:lang w:val="en-GB"/>
        </w:rPr>
        <w:t xml:space="preserve">  Likewise, the English insolvency proceedings will no longer automatically be recognised in Lobo's home state (assuming that is a European Union member state), and recognition there will be a matter for local law.</w:t>
      </w:r>
    </w:p>
    <w:p w14:paraId="6F3B2706" w14:textId="4B54FD4D" w:rsidR="00A74C9E" w:rsidRDefault="00A74C9E" w:rsidP="004F5AD6">
      <w:pPr>
        <w:jc w:val="both"/>
        <w:rPr>
          <w:rFonts w:ascii="Avenir Next" w:hAnsi="Avenir Next" w:cs="Arial"/>
          <w:color w:val="808080" w:themeColor="background1" w:themeShade="80"/>
          <w:sz w:val="22"/>
          <w:szCs w:val="22"/>
          <w:lang w:val="en-GB"/>
        </w:rPr>
      </w:pPr>
    </w:p>
    <w:p w14:paraId="3AEAED7C" w14:textId="238FDEA8" w:rsidR="00366FCC" w:rsidRDefault="00366FCC" w:rsidP="004F5A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the English insolvency practitioner is likely to need to seek recognition and assistance from the courts in European countries in which FPPL has assets under the relevant state's national laws.  If and to the extent Lobo has commenced proceedings in a European member state by that time, the English practitioner may struggle to obtain assistance because Lobo's proceedings may be deemed to be the "main" proceedings under the EIRR (and if so will automatically be recognised as such in every other Member State).</w:t>
      </w:r>
    </w:p>
    <w:p w14:paraId="1161E30A" w14:textId="6B728485" w:rsidR="00366FCC" w:rsidRDefault="00366FCC" w:rsidP="004F5AD6">
      <w:pPr>
        <w:jc w:val="both"/>
        <w:rPr>
          <w:rFonts w:ascii="Avenir Next" w:hAnsi="Avenir Next" w:cs="Arial"/>
          <w:color w:val="808080" w:themeColor="background1" w:themeShade="80"/>
          <w:sz w:val="22"/>
          <w:szCs w:val="22"/>
          <w:lang w:val="en-GB"/>
        </w:rPr>
      </w:pPr>
    </w:p>
    <w:p w14:paraId="3A92BF0D" w14:textId="7613B2AE" w:rsidR="00366FCC" w:rsidRDefault="00366FCC" w:rsidP="00366F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analysis above will be dependent on whether </w:t>
      </w:r>
      <w:r>
        <w:rPr>
          <w:rFonts w:ascii="Avenir Next" w:hAnsi="Avenir Next" w:cs="Arial"/>
          <w:color w:val="808080" w:themeColor="background1" w:themeShade="80"/>
          <w:sz w:val="22"/>
          <w:szCs w:val="22"/>
          <w:lang w:val="en-GB"/>
        </w:rPr>
        <w:t xml:space="preserve">FPPL </w:t>
      </w:r>
      <w:r>
        <w:rPr>
          <w:rFonts w:ascii="Avenir Next" w:hAnsi="Avenir Next" w:cs="Arial"/>
          <w:color w:val="808080" w:themeColor="background1" w:themeShade="80"/>
          <w:sz w:val="22"/>
          <w:szCs w:val="22"/>
          <w:lang w:val="en-GB"/>
        </w:rPr>
        <w:t xml:space="preserve">is found to have </w:t>
      </w:r>
      <w:r>
        <w:rPr>
          <w:rFonts w:ascii="Avenir Next" w:hAnsi="Avenir Next" w:cs="Arial"/>
          <w:color w:val="808080" w:themeColor="background1" w:themeShade="80"/>
          <w:sz w:val="22"/>
          <w:szCs w:val="22"/>
          <w:lang w:val="en-GB"/>
        </w:rPr>
        <w:t xml:space="preserve">its centre of main interests </w:t>
      </w:r>
      <w:r>
        <w:rPr>
          <w:rFonts w:ascii="Avenir Next" w:hAnsi="Avenir Next" w:cs="Arial"/>
          <w:color w:val="808080" w:themeColor="background1" w:themeShade="80"/>
          <w:sz w:val="22"/>
          <w:szCs w:val="22"/>
          <w:lang w:val="en-GB"/>
        </w:rPr>
        <w:t>in Lobo's home jurisdiction, since within the European Union only the courts of the COMI member state have jurisdiction to open "main" proceedings.</w:t>
      </w:r>
    </w:p>
    <w:p w14:paraId="2352CD17" w14:textId="77777777" w:rsidR="00366FCC" w:rsidRDefault="00366FCC" w:rsidP="004F5AD6">
      <w:pPr>
        <w:jc w:val="both"/>
        <w:rPr>
          <w:rFonts w:ascii="Avenir Next" w:hAnsi="Avenir Next" w:cs="Arial"/>
          <w:color w:val="808080" w:themeColor="background1" w:themeShade="80"/>
          <w:sz w:val="22"/>
          <w:szCs w:val="22"/>
          <w:lang w:val="en-GB"/>
        </w:rPr>
      </w:pPr>
    </w:p>
    <w:p w14:paraId="49FFA1AE" w14:textId="101D541D" w:rsidR="002D6575" w:rsidRDefault="002D657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would </w:t>
      </w:r>
      <w:r w:rsidR="00366FCC">
        <w:rPr>
          <w:rFonts w:ascii="Avenir Next" w:hAnsi="Avenir Next" w:cs="Arial"/>
          <w:color w:val="808080" w:themeColor="background1" w:themeShade="80"/>
          <w:sz w:val="22"/>
          <w:szCs w:val="22"/>
          <w:lang w:val="en-GB"/>
        </w:rPr>
        <w:t xml:space="preserve">therefore </w:t>
      </w:r>
      <w:r>
        <w:rPr>
          <w:rFonts w:ascii="Avenir Next" w:hAnsi="Avenir Next" w:cs="Arial"/>
          <w:color w:val="808080" w:themeColor="background1" w:themeShade="80"/>
          <w:sz w:val="22"/>
          <w:szCs w:val="22"/>
          <w:lang w:val="en-GB"/>
        </w:rPr>
        <w:t>be useful to know:</w:t>
      </w:r>
    </w:p>
    <w:p w14:paraId="30161BDD" w14:textId="7F6ED564" w:rsidR="002D6575" w:rsidRDefault="002D6575" w:rsidP="001E1C34">
      <w:pPr>
        <w:ind w:left="720" w:hanging="720"/>
        <w:jc w:val="both"/>
        <w:rPr>
          <w:rFonts w:ascii="Avenir Next" w:hAnsi="Avenir Next" w:cs="Arial"/>
          <w:color w:val="808080" w:themeColor="background1" w:themeShade="80"/>
          <w:sz w:val="22"/>
          <w:szCs w:val="22"/>
          <w:lang w:val="en-GB"/>
        </w:rPr>
      </w:pPr>
    </w:p>
    <w:p w14:paraId="1B44D74D" w14:textId="176D8612" w:rsidR="00141250" w:rsidRDefault="002D6575" w:rsidP="002D65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366FCC">
        <w:rPr>
          <w:rFonts w:ascii="Avenir Next" w:hAnsi="Avenir Next" w:cs="Arial"/>
          <w:color w:val="808080" w:themeColor="background1" w:themeShade="80"/>
          <w:sz w:val="22"/>
          <w:szCs w:val="22"/>
          <w:lang w:val="en-GB"/>
        </w:rPr>
        <w:t xml:space="preserve">Where FPPL </w:t>
      </w:r>
      <w:r w:rsidR="00141250">
        <w:rPr>
          <w:rFonts w:ascii="Avenir Next" w:hAnsi="Avenir Next" w:cs="Arial"/>
          <w:color w:val="808080" w:themeColor="background1" w:themeShade="80"/>
          <w:sz w:val="22"/>
          <w:szCs w:val="22"/>
          <w:lang w:val="en-GB"/>
        </w:rPr>
        <w:t>is incorporated;</w:t>
      </w:r>
    </w:p>
    <w:p w14:paraId="5FBD2B3E" w14:textId="77777777" w:rsidR="00141250" w:rsidRDefault="00141250" w:rsidP="002D6575">
      <w:pPr>
        <w:jc w:val="both"/>
        <w:rPr>
          <w:rFonts w:ascii="Avenir Next" w:hAnsi="Avenir Next" w:cs="Arial"/>
          <w:color w:val="808080" w:themeColor="background1" w:themeShade="80"/>
          <w:sz w:val="22"/>
          <w:szCs w:val="22"/>
          <w:lang w:val="en-GB"/>
        </w:rPr>
      </w:pPr>
    </w:p>
    <w:p w14:paraId="723CB2D2" w14:textId="6293B058" w:rsidR="00366FCC" w:rsidRDefault="00141250" w:rsidP="002D65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Where FPPL </w:t>
      </w:r>
      <w:r w:rsidR="00366FCC">
        <w:rPr>
          <w:rFonts w:ascii="Avenir Next" w:hAnsi="Avenir Next" w:cs="Arial"/>
          <w:color w:val="808080" w:themeColor="background1" w:themeShade="80"/>
          <w:sz w:val="22"/>
          <w:szCs w:val="22"/>
          <w:lang w:val="en-GB"/>
        </w:rPr>
        <w:t>is likely to be deemed to have its centre of main interests; and</w:t>
      </w:r>
    </w:p>
    <w:p w14:paraId="5F9416B3" w14:textId="77777777" w:rsidR="00366FCC" w:rsidRDefault="00366FCC" w:rsidP="002D6575">
      <w:pPr>
        <w:jc w:val="both"/>
        <w:rPr>
          <w:rFonts w:ascii="Avenir Next" w:hAnsi="Avenir Next" w:cs="Arial"/>
          <w:color w:val="808080" w:themeColor="background1" w:themeShade="80"/>
          <w:sz w:val="22"/>
          <w:szCs w:val="22"/>
          <w:lang w:val="en-GB"/>
        </w:rPr>
      </w:pPr>
    </w:p>
    <w:p w14:paraId="5717DD78" w14:textId="07B713C7" w:rsidR="002D6575" w:rsidRPr="00AB63DE" w:rsidRDefault="00366FCC" w:rsidP="00366F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CD2965">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w:t>
      </w:r>
      <w:r w:rsidR="002D6575">
        <w:rPr>
          <w:rFonts w:ascii="Avenir Next" w:hAnsi="Avenir Next" w:cs="Arial"/>
          <w:color w:val="808080" w:themeColor="background1" w:themeShade="80"/>
          <w:sz w:val="22"/>
          <w:szCs w:val="22"/>
          <w:lang w:val="en-GB"/>
        </w:rPr>
        <w:t>The relative values of creditors' claims (we are told the UK claim was brought by a minor creditor and that Lobo is the major creditor, but not in what proportions)</w:t>
      </w:r>
      <w:r>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7042" w14:textId="77777777" w:rsidR="00791048" w:rsidRDefault="00791048" w:rsidP="00241B44">
      <w:r>
        <w:separator/>
      </w:r>
    </w:p>
  </w:endnote>
  <w:endnote w:type="continuationSeparator" w:id="0">
    <w:p w14:paraId="59894B8B" w14:textId="77777777" w:rsidR="00791048" w:rsidRDefault="00791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97CB36E" w:rsidR="00B64A85" w:rsidRPr="00297BDF" w:rsidRDefault="00FD4912" w:rsidP="0052732A">
    <w:pPr>
      <w:pStyle w:val="Footer"/>
      <w:ind w:right="360"/>
      <w:rPr>
        <w:rFonts w:ascii="Avenir Next" w:hAnsi="Avenir Next" w:cs="Arial"/>
        <w:sz w:val="22"/>
        <w:szCs w:val="22"/>
      </w:rPr>
    </w:pPr>
    <w:r w:rsidRPr="00FD4912">
      <w:rPr>
        <w:rFonts w:ascii="Avenir Next" w:hAnsi="Avenir Next" w:cs="Arial"/>
        <w:sz w:val="22"/>
        <w:szCs w:val="22"/>
      </w:rPr>
      <w:t>202223-876.assessment1summative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6342" w14:textId="77777777" w:rsidR="00791048" w:rsidRDefault="00791048" w:rsidP="00241B44">
      <w:r>
        <w:separator/>
      </w:r>
    </w:p>
  </w:footnote>
  <w:footnote w:type="continuationSeparator" w:id="0">
    <w:p w14:paraId="7ADBF051" w14:textId="77777777" w:rsidR="00791048" w:rsidRDefault="007910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3384"/>
    <w:rsid w:val="000250C7"/>
    <w:rsid w:val="00025C83"/>
    <w:rsid w:val="00031918"/>
    <w:rsid w:val="000329A6"/>
    <w:rsid w:val="00034C0C"/>
    <w:rsid w:val="00034CD2"/>
    <w:rsid w:val="00037621"/>
    <w:rsid w:val="000419D4"/>
    <w:rsid w:val="00043365"/>
    <w:rsid w:val="000436F0"/>
    <w:rsid w:val="00043960"/>
    <w:rsid w:val="00044D46"/>
    <w:rsid w:val="00045088"/>
    <w:rsid w:val="00045904"/>
    <w:rsid w:val="00045DC7"/>
    <w:rsid w:val="00046789"/>
    <w:rsid w:val="00047031"/>
    <w:rsid w:val="0004737A"/>
    <w:rsid w:val="000521C4"/>
    <w:rsid w:val="00052A5E"/>
    <w:rsid w:val="0005310B"/>
    <w:rsid w:val="00054EC2"/>
    <w:rsid w:val="00055EB9"/>
    <w:rsid w:val="00057BF2"/>
    <w:rsid w:val="0006130F"/>
    <w:rsid w:val="00061DF3"/>
    <w:rsid w:val="00062D42"/>
    <w:rsid w:val="00062E85"/>
    <w:rsid w:val="000649D1"/>
    <w:rsid w:val="00064C44"/>
    <w:rsid w:val="00065166"/>
    <w:rsid w:val="00065F55"/>
    <w:rsid w:val="00066AE7"/>
    <w:rsid w:val="0007091D"/>
    <w:rsid w:val="00076483"/>
    <w:rsid w:val="00080757"/>
    <w:rsid w:val="0008155B"/>
    <w:rsid w:val="000815BB"/>
    <w:rsid w:val="00081A63"/>
    <w:rsid w:val="00082609"/>
    <w:rsid w:val="0008457E"/>
    <w:rsid w:val="000846CA"/>
    <w:rsid w:val="000851CC"/>
    <w:rsid w:val="00085349"/>
    <w:rsid w:val="00085D4B"/>
    <w:rsid w:val="00086BDD"/>
    <w:rsid w:val="00090933"/>
    <w:rsid w:val="00092378"/>
    <w:rsid w:val="00093BE8"/>
    <w:rsid w:val="00093FE2"/>
    <w:rsid w:val="0009471C"/>
    <w:rsid w:val="00094C3C"/>
    <w:rsid w:val="0009504E"/>
    <w:rsid w:val="000A01B9"/>
    <w:rsid w:val="000A0C1B"/>
    <w:rsid w:val="000A68ED"/>
    <w:rsid w:val="000A74CA"/>
    <w:rsid w:val="000B08F2"/>
    <w:rsid w:val="000B5B93"/>
    <w:rsid w:val="000B5FF1"/>
    <w:rsid w:val="000B609F"/>
    <w:rsid w:val="000B6B56"/>
    <w:rsid w:val="000D55A8"/>
    <w:rsid w:val="000D57BE"/>
    <w:rsid w:val="000D6876"/>
    <w:rsid w:val="000E0165"/>
    <w:rsid w:val="000E0CBD"/>
    <w:rsid w:val="000E3A82"/>
    <w:rsid w:val="000E3C5A"/>
    <w:rsid w:val="000E406D"/>
    <w:rsid w:val="000E4841"/>
    <w:rsid w:val="000E5CB4"/>
    <w:rsid w:val="000F0DC0"/>
    <w:rsid w:val="000F0FFF"/>
    <w:rsid w:val="000F10D5"/>
    <w:rsid w:val="000F12BD"/>
    <w:rsid w:val="000F1677"/>
    <w:rsid w:val="000F3387"/>
    <w:rsid w:val="000F3D6C"/>
    <w:rsid w:val="000F58B0"/>
    <w:rsid w:val="00100A77"/>
    <w:rsid w:val="00101707"/>
    <w:rsid w:val="00102F47"/>
    <w:rsid w:val="00105CBD"/>
    <w:rsid w:val="00107717"/>
    <w:rsid w:val="001107F2"/>
    <w:rsid w:val="00110E0C"/>
    <w:rsid w:val="001131C6"/>
    <w:rsid w:val="0011473D"/>
    <w:rsid w:val="00115C85"/>
    <w:rsid w:val="001162B6"/>
    <w:rsid w:val="001174E6"/>
    <w:rsid w:val="00120B4D"/>
    <w:rsid w:val="00121519"/>
    <w:rsid w:val="0012303D"/>
    <w:rsid w:val="00123855"/>
    <w:rsid w:val="001248F4"/>
    <w:rsid w:val="00124B70"/>
    <w:rsid w:val="00124FA7"/>
    <w:rsid w:val="00125A7C"/>
    <w:rsid w:val="00126A4D"/>
    <w:rsid w:val="00131D42"/>
    <w:rsid w:val="0013278B"/>
    <w:rsid w:val="00135FFC"/>
    <w:rsid w:val="00136505"/>
    <w:rsid w:val="00141250"/>
    <w:rsid w:val="0014171F"/>
    <w:rsid w:val="00143150"/>
    <w:rsid w:val="0014622C"/>
    <w:rsid w:val="001476B6"/>
    <w:rsid w:val="001502AA"/>
    <w:rsid w:val="00150F6C"/>
    <w:rsid w:val="00152348"/>
    <w:rsid w:val="0015328F"/>
    <w:rsid w:val="0015456D"/>
    <w:rsid w:val="00154A4A"/>
    <w:rsid w:val="00161DB8"/>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E8D"/>
    <w:rsid w:val="001966D9"/>
    <w:rsid w:val="00197963"/>
    <w:rsid w:val="001A620B"/>
    <w:rsid w:val="001A716A"/>
    <w:rsid w:val="001A7E9A"/>
    <w:rsid w:val="001B0F70"/>
    <w:rsid w:val="001B5016"/>
    <w:rsid w:val="001B6CEE"/>
    <w:rsid w:val="001C45FC"/>
    <w:rsid w:val="001C497C"/>
    <w:rsid w:val="001C594A"/>
    <w:rsid w:val="001D1BF7"/>
    <w:rsid w:val="001D1D63"/>
    <w:rsid w:val="001D4503"/>
    <w:rsid w:val="001D4862"/>
    <w:rsid w:val="001D5034"/>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3370"/>
    <w:rsid w:val="00205B31"/>
    <w:rsid w:val="0020725B"/>
    <w:rsid w:val="0020730B"/>
    <w:rsid w:val="00212B14"/>
    <w:rsid w:val="00216499"/>
    <w:rsid w:val="002164C0"/>
    <w:rsid w:val="00216CB4"/>
    <w:rsid w:val="002173C5"/>
    <w:rsid w:val="00223780"/>
    <w:rsid w:val="0022719C"/>
    <w:rsid w:val="00230998"/>
    <w:rsid w:val="00231F38"/>
    <w:rsid w:val="002362AB"/>
    <w:rsid w:val="002400DB"/>
    <w:rsid w:val="002406A4"/>
    <w:rsid w:val="0024116D"/>
    <w:rsid w:val="00241B44"/>
    <w:rsid w:val="00245EFB"/>
    <w:rsid w:val="002526C5"/>
    <w:rsid w:val="002529D2"/>
    <w:rsid w:val="0025386E"/>
    <w:rsid w:val="00254855"/>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2C2"/>
    <w:rsid w:val="0029433F"/>
    <w:rsid w:val="00294829"/>
    <w:rsid w:val="00295742"/>
    <w:rsid w:val="0029690F"/>
    <w:rsid w:val="00297288"/>
    <w:rsid w:val="00297BDF"/>
    <w:rsid w:val="002A2A60"/>
    <w:rsid w:val="002A37EE"/>
    <w:rsid w:val="002A3815"/>
    <w:rsid w:val="002A6646"/>
    <w:rsid w:val="002A74AB"/>
    <w:rsid w:val="002A795E"/>
    <w:rsid w:val="002A7ECE"/>
    <w:rsid w:val="002B1C45"/>
    <w:rsid w:val="002B2970"/>
    <w:rsid w:val="002C1227"/>
    <w:rsid w:val="002C13C8"/>
    <w:rsid w:val="002C2429"/>
    <w:rsid w:val="002C259C"/>
    <w:rsid w:val="002C3547"/>
    <w:rsid w:val="002C4F26"/>
    <w:rsid w:val="002D0021"/>
    <w:rsid w:val="002D10A3"/>
    <w:rsid w:val="002D2356"/>
    <w:rsid w:val="002D295D"/>
    <w:rsid w:val="002D3473"/>
    <w:rsid w:val="002D6575"/>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2491"/>
    <w:rsid w:val="00303C2F"/>
    <w:rsid w:val="0030558B"/>
    <w:rsid w:val="00306E87"/>
    <w:rsid w:val="00310FC2"/>
    <w:rsid w:val="00312465"/>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0776"/>
    <w:rsid w:val="00355B57"/>
    <w:rsid w:val="00361A0A"/>
    <w:rsid w:val="00361DF9"/>
    <w:rsid w:val="0036565C"/>
    <w:rsid w:val="0036625E"/>
    <w:rsid w:val="00366FCC"/>
    <w:rsid w:val="00367162"/>
    <w:rsid w:val="00372A22"/>
    <w:rsid w:val="00372CD4"/>
    <w:rsid w:val="0037386C"/>
    <w:rsid w:val="0037465A"/>
    <w:rsid w:val="0038255B"/>
    <w:rsid w:val="00382C98"/>
    <w:rsid w:val="0038325E"/>
    <w:rsid w:val="00384604"/>
    <w:rsid w:val="00384E3D"/>
    <w:rsid w:val="00385041"/>
    <w:rsid w:val="0038533C"/>
    <w:rsid w:val="00385D73"/>
    <w:rsid w:val="003875F3"/>
    <w:rsid w:val="00391B12"/>
    <w:rsid w:val="00391D2F"/>
    <w:rsid w:val="003937B9"/>
    <w:rsid w:val="003948D5"/>
    <w:rsid w:val="003957FD"/>
    <w:rsid w:val="00396821"/>
    <w:rsid w:val="00396CE5"/>
    <w:rsid w:val="003979A3"/>
    <w:rsid w:val="00397D3A"/>
    <w:rsid w:val="003A051E"/>
    <w:rsid w:val="003A0BBE"/>
    <w:rsid w:val="003A2448"/>
    <w:rsid w:val="003A2949"/>
    <w:rsid w:val="003A2F5D"/>
    <w:rsid w:val="003A3128"/>
    <w:rsid w:val="003A5AD1"/>
    <w:rsid w:val="003A60FF"/>
    <w:rsid w:val="003A696A"/>
    <w:rsid w:val="003B170F"/>
    <w:rsid w:val="003B3C5F"/>
    <w:rsid w:val="003C1451"/>
    <w:rsid w:val="003C2017"/>
    <w:rsid w:val="003C4471"/>
    <w:rsid w:val="003C6E0B"/>
    <w:rsid w:val="003D01AF"/>
    <w:rsid w:val="003D0A6D"/>
    <w:rsid w:val="003D100A"/>
    <w:rsid w:val="003D3045"/>
    <w:rsid w:val="003D3410"/>
    <w:rsid w:val="003D4300"/>
    <w:rsid w:val="003D6AC4"/>
    <w:rsid w:val="003D7B57"/>
    <w:rsid w:val="003E004D"/>
    <w:rsid w:val="003E064D"/>
    <w:rsid w:val="003E0B16"/>
    <w:rsid w:val="003E0C39"/>
    <w:rsid w:val="003E2D1B"/>
    <w:rsid w:val="003E2E7C"/>
    <w:rsid w:val="003E33CC"/>
    <w:rsid w:val="003E41EE"/>
    <w:rsid w:val="003E67D1"/>
    <w:rsid w:val="003F0B80"/>
    <w:rsid w:val="003F500E"/>
    <w:rsid w:val="003F52CF"/>
    <w:rsid w:val="003F655E"/>
    <w:rsid w:val="003F74D9"/>
    <w:rsid w:val="00400920"/>
    <w:rsid w:val="00403F09"/>
    <w:rsid w:val="00404EF7"/>
    <w:rsid w:val="00405DC1"/>
    <w:rsid w:val="00411E1B"/>
    <w:rsid w:val="00414BF9"/>
    <w:rsid w:val="00415DFF"/>
    <w:rsid w:val="00415F1F"/>
    <w:rsid w:val="00417782"/>
    <w:rsid w:val="0042108F"/>
    <w:rsid w:val="004214D4"/>
    <w:rsid w:val="004216EA"/>
    <w:rsid w:val="004235F4"/>
    <w:rsid w:val="00423895"/>
    <w:rsid w:val="0042580B"/>
    <w:rsid w:val="00426969"/>
    <w:rsid w:val="00426B64"/>
    <w:rsid w:val="00430FED"/>
    <w:rsid w:val="00433886"/>
    <w:rsid w:val="004344D9"/>
    <w:rsid w:val="00434A8C"/>
    <w:rsid w:val="00437297"/>
    <w:rsid w:val="00437ABE"/>
    <w:rsid w:val="00440AC5"/>
    <w:rsid w:val="00444284"/>
    <w:rsid w:val="004442F1"/>
    <w:rsid w:val="004453F3"/>
    <w:rsid w:val="00445CE6"/>
    <w:rsid w:val="00446987"/>
    <w:rsid w:val="004534C2"/>
    <w:rsid w:val="00453967"/>
    <w:rsid w:val="0045446F"/>
    <w:rsid w:val="00454C9D"/>
    <w:rsid w:val="0045683E"/>
    <w:rsid w:val="00456ACD"/>
    <w:rsid w:val="0046142D"/>
    <w:rsid w:val="0046274F"/>
    <w:rsid w:val="0046298C"/>
    <w:rsid w:val="00463259"/>
    <w:rsid w:val="004659E0"/>
    <w:rsid w:val="00466ED6"/>
    <w:rsid w:val="00467C71"/>
    <w:rsid w:val="0047084C"/>
    <w:rsid w:val="00470A63"/>
    <w:rsid w:val="00470C55"/>
    <w:rsid w:val="004715C1"/>
    <w:rsid w:val="004731F4"/>
    <w:rsid w:val="00476866"/>
    <w:rsid w:val="00480439"/>
    <w:rsid w:val="00481FC8"/>
    <w:rsid w:val="0048258B"/>
    <w:rsid w:val="00482FE3"/>
    <w:rsid w:val="00486065"/>
    <w:rsid w:val="00486776"/>
    <w:rsid w:val="004868BB"/>
    <w:rsid w:val="00491675"/>
    <w:rsid w:val="00493855"/>
    <w:rsid w:val="00496163"/>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5FF8"/>
    <w:rsid w:val="004C604F"/>
    <w:rsid w:val="004C7030"/>
    <w:rsid w:val="004D08A3"/>
    <w:rsid w:val="004D0F7D"/>
    <w:rsid w:val="004D1A5A"/>
    <w:rsid w:val="004D2FFF"/>
    <w:rsid w:val="004D3721"/>
    <w:rsid w:val="004D64F9"/>
    <w:rsid w:val="004D687E"/>
    <w:rsid w:val="004E1B78"/>
    <w:rsid w:val="004E1D03"/>
    <w:rsid w:val="004E3528"/>
    <w:rsid w:val="004E4224"/>
    <w:rsid w:val="004E5A14"/>
    <w:rsid w:val="004E622C"/>
    <w:rsid w:val="004E64DB"/>
    <w:rsid w:val="004F1534"/>
    <w:rsid w:val="004F2DD1"/>
    <w:rsid w:val="004F2FEB"/>
    <w:rsid w:val="004F301B"/>
    <w:rsid w:val="004F3375"/>
    <w:rsid w:val="004F55F1"/>
    <w:rsid w:val="004F5AD6"/>
    <w:rsid w:val="004F5FDF"/>
    <w:rsid w:val="004F72E6"/>
    <w:rsid w:val="0050085E"/>
    <w:rsid w:val="0050156C"/>
    <w:rsid w:val="00504AFA"/>
    <w:rsid w:val="005059A4"/>
    <w:rsid w:val="00515756"/>
    <w:rsid w:val="00515F63"/>
    <w:rsid w:val="005177FE"/>
    <w:rsid w:val="0052263B"/>
    <w:rsid w:val="00523DEA"/>
    <w:rsid w:val="00524728"/>
    <w:rsid w:val="00524840"/>
    <w:rsid w:val="00525459"/>
    <w:rsid w:val="00525C99"/>
    <w:rsid w:val="0052732A"/>
    <w:rsid w:val="00527527"/>
    <w:rsid w:val="00530010"/>
    <w:rsid w:val="00530CA0"/>
    <w:rsid w:val="00532283"/>
    <w:rsid w:val="005323A7"/>
    <w:rsid w:val="00533009"/>
    <w:rsid w:val="005331CA"/>
    <w:rsid w:val="005337E0"/>
    <w:rsid w:val="0053523A"/>
    <w:rsid w:val="00537970"/>
    <w:rsid w:val="00540E3A"/>
    <w:rsid w:val="00542E08"/>
    <w:rsid w:val="005433D7"/>
    <w:rsid w:val="00543941"/>
    <w:rsid w:val="00544127"/>
    <w:rsid w:val="00546031"/>
    <w:rsid w:val="005508BB"/>
    <w:rsid w:val="00553EB2"/>
    <w:rsid w:val="00555C4D"/>
    <w:rsid w:val="00560534"/>
    <w:rsid w:val="005605DF"/>
    <w:rsid w:val="0056391B"/>
    <w:rsid w:val="005650E2"/>
    <w:rsid w:val="00566D80"/>
    <w:rsid w:val="00567AD7"/>
    <w:rsid w:val="005716C3"/>
    <w:rsid w:val="00573594"/>
    <w:rsid w:val="00575B2D"/>
    <w:rsid w:val="00576692"/>
    <w:rsid w:val="00577F61"/>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4D17"/>
    <w:rsid w:val="005B503A"/>
    <w:rsid w:val="005B67AC"/>
    <w:rsid w:val="005C01B0"/>
    <w:rsid w:val="005C1C09"/>
    <w:rsid w:val="005C2790"/>
    <w:rsid w:val="005C2B61"/>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4115"/>
    <w:rsid w:val="005E5A66"/>
    <w:rsid w:val="005E605E"/>
    <w:rsid w:val="005E645E"/>
    <w:rsid w:val="005F026D"/>
    <w:rsid w:val="005F0764"/>
    <w:rsid w:val="005F19FA"/>
    <w:rsid w:val="005F244F"/>
    <w:rsid w:val="005F2D0B"/>
    <w:rsid w:val="005F31DA"/>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4AF9"/>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19FC"/>
    <w:rsid w:val="006746CB"/>
    <w:rsid w:val="00677AEB"/>
    <w:rsid w:val="00680EF2"/>
    <w:rsid w:val="00682A3E"/>
    <w:rsid w:val="0068433F"/>
    <w:rsid w:val="00684BD3"/>
    <w:rsid w:val="006850AE"/>
    <w:rsid w:val="00686C53"/>
    <w:rsid w:val="00687A1D"/>
    <w:rsid w:val="00692852"/>
    <w:rsid w:val="00697EA1"/>
    <w:rsid w:val="006A051A"/>
    <w:rsid w:val="006A2646"/>
    <w:rsid w:val="006A54A8"/>
    <w:rsid w:val="006A6530"/>
    <w:rsid w:val="006A695F"/>
    <w:rsid w:val="006A6D1D"/>
    <w:rsid w:val="006B2893"/>
    <w:rsid w:val="006B435A"/>
    <w:rsid w:val="006B4539"/>
    <w:rsid w:val="006B4C64"/>
    <w:rsid w:val="006B5AE8"/>
    <w:rsid w:val="006B6070"/>
    <w:rsid w:val="006C069A"/>
    <w:rsid w:val="006C5CE2"/>
    <w:rsid w:val="006D0529"/>
    <w:rsid w:val="006D0605"/>
    <w:rsid w:val="006D176A"/>
    <w:rsid w:val="006D564C"/>
    <w:rsid w:val="006D6BD5"/>
    <w:rsid w:val="006E00FE"/>
    <w:rsid w:val="006E1CB0"/>
    <w:rsid w:val="006E254C"/>
    <w:rsid w:val="006E2974"/>
    <w:rsid w:val="006E481A"/>
    <w:rsid w:val="006E5298"/>
    <w:rsid w:val="006E6A1F"/>
    <w:rsid w:val="006E6A6A"/>
    <w:rsid w:val="006E77B0"/>
    <w:rsid w:val="006F6B2E"/>
    <w:rsid w:val="006F734A"/>
    <w:rsid w:val="00700D83"/>
    <w:rsid w:val="00704852"/>
    <w:rsid w:val="00704C24"/>
    <w:rsid w:val="00705120"/>
    <w:rsid w:val="00705A77"/>
    <w:rsid w:val="007074E9"/>
    <w:rsid w:val="00707954"/>
    <w:rsid w:val="00707BC5"/>
    <w:rsid w:val="0071395B"/>
    <w:rsid w:val="00713CA6"/>
    <w:rsid w:val="00713DA4"/>
    <w:rsid w:val="007142FA"/>
    <w:rsid w:val="00714BF1"/>
    <w:rsid w:val="00721383"/>
    <w:rsid w:val="007216AD"/>
    <w:rsid w:val="00726E9A"/>
    <w:rsid w:val="00727864"/>
    <w:rsid w:val="007333CC"/>
    <w:rsid w:val="007335D8"/>
    <w:rsid w:val="0073399A"/>
    <w:rsid w:val="007344C3"/>
    <w:rsid w:val="007369C7"/>
    <w:rsid w:val="00741D74"/>
    <w:rsid w:val="00743531"/>
    <w:rsid w:val="007452BB"/>
    <w:rsid w:val="007462D9"/>
    <w:rsid w:val="00746A22"/>
    <w:rsid w:val="00751986"/>
    <w:rsid w:val="0075428A"/>
    <w:rsid w:val="00756ABD"/>
    <w:rsid w:val="007576A3"/>
    <w:rsid w:val="007578A3"/>
    <w:rsid w:val="00757A02"/>
    <w:rsid w:val="007603F5"/>
    <w:rsid w:val="00760A70"/>
    <w:rsid w:val="00760BB2"/>
    <w:rsid w:val="0076181C"/>
    <w:rsid w:val="00764C26"/>
    <w:rsid w:val="00764DB0"/>
    <w:rsid w:val="00765D6F"/>
    <w:rsid w:val="007671EB"/>
    <w:rsid w:val="007673A6"/>
    <w:rsid w:val="0076764D"/>
    <w:rsid w:val="0076766F"/>
    <w:rsid w:val="00770DF5"/>
    <w:rsid w:val="0077498C"/>
    <w:rsid w:val="00777070"/>
    <w:rsid w:val="00782B3F"/>
    <w:rsid w:val="00784128"/>
    <w:rsid w:val="00785BB3"/>
    <w:rsid w:val="0078662F"/>
    <w:rsid w:val="00790B4C"/>
    <w:rsid w:val="00791048"/>
    <w:rsid w:val="0079206E"/>
    <w:rsid w:val="00792C48"/>
    <w:rsid w:val="00793173"/>
    <w:rsid w:val="007958F0"/>
    <w:rsid w:val="00797E1B"/>
    <w:rsid w:val="007A12A4"/>
    <w:rsid w:val="007B1E13"/>
    <w:rsid w:val="007B3B1B"/>
    <w:rsid w:val="007B450D"/>
    <w:rsid w:val="007B5180"/>
    <w:rsid w:val="007B5F0B"/>
    <w:rsid w:val="007C0111"/>
    <w:rsid w:val="007C0260"/>
    <w:rsid w:val="007C0663"/>
    <w:rsid w:val="007C1FCC"/>
    <w:rsid w:val="007C2831"/>
    <w:rsid w:val="007C2AA1"/>
    <w:rsid w:val="007C2BE7"/>
    <w:rsid w:val="007C3439"/>
    <w:rsid w:val="007C5832"/>
    <w:rsid w:val="007C6201"/>
    <w:rsid w:val="007D0348"/>
    <w:rsid w:val="007D03E9"/>
    <w:rsid w:val="007D13C6"/>
    <w:rsid w:val="007D1E28"/>
    <w:rsid w:val="007D5FF2"/>
    <w:rsid w:val="007D7C92"/>
    <w:rsid w:val="007D7E30"/>
    <w:rsid w:val="007E038E"/>
    <w:rsid w:val="007E1154"/>
    <w:rsid w:val="007E1212"/>
    <w:rsid w:val="007E3AA5"/>
    <w:rsid w:val="007E3ADF"/>
    <w:rsid w:val="007E41A0"/>
    <w:rsid w:val="007E43C3"/>
    <w:rsid w:val="007E530F"/>
    <w:rsid w:val="007E6BA4"/>
    <w:rsid w:val="007F19A2"/>
    <w:rsid w:val="007F21A1"/>
    <w:rsid w:val="007F41F8"/>
    <w:rsid w:val="007F4A93"/>
    <w:rsid w:val="007F5B4C"/>
    <w:rsid w:val="008006FF"/>
    <w:rsid w:val="00801B30"/>
    <w:rsid w:val="00803BE9"/>
    <w:rsid w:val="00804000"/>
    <w:rsid w:val="0080454E"/>
    <w:rsid w:val="00804C32"/>
    <w:rsid w:val="00806302"/>
    <w:rsid w:val="00807119"/>
    <w:rsid w:val="008071D5"/>
    <w:rsid w:val="00807FE8"/>
    <w:rsid w:val="00811865"/>
    <w:rsid w:val="00811CE7"/>
    <w:rsid w:val="00814A55"/>
    <w:rsid w:val="0081547D"/>
    <w:rsid w:val="0082483F"/>
    <w:rsid w:val="00824B02"/>
    <w:rsid w:val="00827849"/>
    <w:rsid w:val="008279C0"/>
    <w:rsid w:val="00841E70"/>
    <w:rsid w:val="00845226"/>
    <w:rsid w:val="008473AA"/>
    <w:rsid w:val="00852883"/>
    <w:rsid w:val="00852F37"/>
    <w:rsid w:val="00853055"/>
    <w:rsid w:val="008571F6"/>
    <w:rsid w:val="00857A02"/>
    <w:rsid w:val="00861E51"/>
    <w:rsid w:val="00865F2C"/>
    <w:rsid w:val="00870B96"/>
    <w:rsid w:val="008723F3"/>
    <w:rsid w:val="00873246"/>
    <w:rsid w:val="0087513E"/>
    <w:rsid w:val="00875E2E"/>
    <w:rsid w:val="008767D3"/>
    <w:rsid w:val="00880F99"/>
    <w:rsid w:val="00881DA8"/>
    <w:rsid w:val="00881DE6"/>
    <w:rsid w:val="008837A6"/>
    <w:rsid w:val="008841E5"/>
    <w:rsid w:val="00884D7C"/>
    <w:rsid w:val="0089145D"/>
    <w:rsid w:val="00892619"/>
    <w:rsid w:val="00893E0C"/>
    <w:rsid w:val="00896FD7"/>
    <w:rsid w:val="00897428"/>
    <w:rsid w:val="00897771"/>
    <w:rsid w:val="008A15DA"/>
    <w:rsid w:val="008A30C3"/>
    <w:rsid w:val="008A30EE"/>
    <w:rsid w:val="008A4DF2"/>
    <w:rsid w:val="008A5C3D"/>
    <w:rsid w:val="008A6841"/>
    <w:rsid w:val="008A6CFE"/>
    <w:rsid w:val="008B40E7"/>
    <w:rsid w:val="008B4681"/>
    <w:rsid w:val="008B4B58"/>
    <w:rsid w:val="008B5333"/>
    <w:rsid w:val="008B5476"/>
    <w:rsid w:val="008B6223"/>
    <w:rsid w:val="008B6288"/>
    <w:rsid w:val="008B6872"/>
    <w:rsid w:val="008B7002"/>
    <w:rsid w:val="008C0772"/>
    <w:rsid w:val="008C165D"/>
    <w:rsid w:val="008C4066"/>
    <w:rsid w:val="008C66E0"/>
    <w:rsid w:val="008D0122"/>
    <w:rsid w:val="008D19DA"/>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DB2"/>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41F6"/>
    <w:rsid w:val="009A5354"/>
    <w:rsid w:val="009A6A10"/>
    <w:rsid w:val="009A7172"/>
    <w:rsid w:val="009B0723"/>
    <w:rsid w:val="009B07AD"/>
    <w:rsid w:val="009B0883"/>
    <w:rsid w:val="009B15E2"/>
    <w:rsid w:val="009B4249"/>
    <w:rsid w:val="009C0B8E"/>
    <w:rsid w:val="009C1527"/>
    <w:rsid w:val="009C1BC8"/>
    <w:rsid w:val="009C2442"/>
    <w:rsid w:val="009C2628"/>
    <w:rsid w:val="009C26AB"/>
    <w:rsid w:val="009C27B1"/>
    <w:rsid w:val="009C687D"/>
    <w:rsid w:val="009C7F17"/>
    <w:rsid w:val="009D0811"/>
    <w:rsid w:val="009D0E12"/>
    <w:rsid w:val="009D0EE1"/>
    <w:rsid w:val="009D310A"/>
    <w:rsid w:val="009D382E"/>
    <w:rsid w:val="009D43D0"/>
    <w:rsid w:val="009D44C6"/>
    <w:rsid w:val="009D510C"/>
    <w:rsid w:val="009D5CDB"/>
    <w:rsid w:val="009D6709"/>
    <w:rsid w:val="009E13C1"/>
    <w:rsid w:val="009E2A9C"/>
    <w:rsid w:val="009E2AEB"/>
    <w:rsid w:val="009E2E27"/>
    <w:rsid w:val="009E44C0"/>
    <w:rsid w:val="009E4DE3"/>
    <w:rsid w:val="009E50C1"/>
    <w:rsid w:val="009E5532"/>
    <w:rsid w:val="009F0C29"/>
    <w:rsid w:val="009F2472"/>
    <w:rsid w:val="00A02198"/>
    <w:rsid w:val="00A047EE"/>
    <w:rsid w:val="00A057CA"/>
    <w:rsid w:val="00A13F8F"/>
    <w:rsid w:val="00A149B7"/>
    <w:rsid w:val="00A177BC"/>
    <w:rsid w:val="00A17930"/>
    <w:rsid w:val="00A2274A"/>
    <w:rsid w:val="00A235B7"/>
    <w:rsid w:val="00A249AC"/>
    <w:rsid w:val="00A24EA9"/>
    <w:rsid w:val="00A27A7A"/>
    <w:rsid w:val="00A301D1"/>
    <w:rsid w:val="00A31881"/>
    <w:rsid w:val="00A40529"/>
    <w:rsid w:val="00A407EF"/>
    <w:rsid w:val="00A411B7"/>
    <w:rsid w:val="00A45800"/>
    <w:rsid w:val="00A46B4C"/>
    <w:rsid w:val="00A5117B"/>
    <w:rsid w:val="00A53A29"/>
    <w:rsid w:val="00A560B6"/>
    <w:rsid w:val="00A566E3"/>
    <w:rsid w:val="00A56CF7"/>
    <w:rsid w:val="00A56DBC"/>
    <w:rsid w:val="00A60074"/>
    <w:rsid w:val="00A646E2"/>
    <w:rsid w:val="00A651A9"/>
    <w:rsid w:val="00A6627C"/>
    <w:rsid w:val="00A71019"/>
    <w:rsid w:val="00A74C9E"/>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0470"/>
    <w:rsid w:val="00AB1B60"/>
    <w:rsid w:val="00AB5A37"/>
    <w:rsid w:val="00AB61D6"/>
    <w:rsid w:val="00AB63DE"/>
    <w:rsid w:val="00AB685C"/>
    <w:rsid w:val="00AB6C2D"/>
    <w:rsid w:val="00AC036C"/>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080F"/>
    <w:rsid w:val="00AE4D6F"/>
    <w:rsid w:val="00AE65D8"/>
    <w:rsid w:val="00AF228E"/>
    <w:rsid w:val="00AF455B"/>
    <w:rsid w:val="00AF5899"/>
    <w:rsid w:val="00B0123F"/>
    <w:rsid w:val="00B04004"/>
    <w:rsid w:val="00B04161"/>
    <w:rsid w:val="00B05022"/>
    <w:rsid w:val="00B10184"/>
    <w:rsid w:val="00B12F13"/>
    <w:rsid w:val="00B14819"/>
    <w:rsid w:val="00B17AA9"/>
    <w:rsid w:val="00B221FF"/>
    <w:rsid w:val="00B2292D"/>
    <w:rsid w:val="00B26B31"/>
    <w:rsid w:val="00B30A70"/>
    <w:rsid w:val="00B30D33"/>
    <w:rsid w:val="00B32674"/>
    <w:rsid w:val="00B333FE"/>
    <w:rsid w:val="00B3503B"/>
    <w:rsid w:val="00B378FA"/>
    <w:rsid w:val="00B42352"/>
    <w:rsid w:val="00B51227"/>
    <w:rsid w:val="00B51975"/>
    <w:rsid w:val="00B52E4D"/>
    <w:rsid w:val="00B54F90"/>
    <w:rsid w:val="00B55C9E"/>
    <w:rsid w:val="00B56B95"/>
    <w:rsid w:val="00B607DF"/>
    <w:rsid w:val="00B6409C"/>
    <w:rsid w:val="00B64416"/>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1B3"/>
    <w:rsid w:val="00BA35FF"/>
    <w:rsid w:val="00BB09FD"/>
    <w:rsid w:val="00BB0F2B"/>
    <w:rsid w:val="00BB1664"/>
    <w:rsid w:val="00BB5A37"/>
    <w:rsid w:val="00BB6955"/>
    <w:rsid w:val="00BB6F7A"/>
    <w:rsid w:val="00BC0240"/>
    <w:rsid w:val="00BC1043"/>
    <w:rsid w:val="00BC48EB"/>
    <w:rsid w:val="00BC585F"/>
    <w:rsid w:val="00BC5898"/>
    <w:rsid w:val="00BC5951"/>
    <w:rsid w:val="00BC5D7D"/>
    <w:rsid w:val="00BC6BCE"/>
    <w:rsid w:val="00BD0299"/>
    <w:rsid w:val="00BD0F7F"/>
    <w:rsid w:val="00BD23B4"/>
    <w:rsid w:val="00BD288F"/>
    <w:rsid w:val="00BD3363"/>
    <w:rsid w:val="00BD3F18"/>
    <w:rsid w:val="00BD64FB"/>
    <w:rsid w:val="00BD71D7"/>
    <w:rsid w:val="00BD7D49"/>
    <w:rsid w:val="00BE06FE"/>
    <w:rsid w:val="00BE2464"/>
    <w:rsid w:val="00BE2DD7"/>
    <w:rsid w:val="00BF11DD"/>
    <w:rsid w:val="00BF2B49"/>
    <w:rsid w:val="00BF2E7A"/>
    <w:rsid w:val="00BF3D02"/>
    <w:rsid w:val="00BF40B9"/>
    <w:rsid w:val="00BF50F7"/>
    <w:rsid w:val="00BF5D90"/>
    <w:rsid w:val="00BF642E"/>
    <w:rsid w:val="00BF7E7F"/>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3CA6"/>
    <w:rsid w:val="00C4420A"/>
    <w:rsid w:val="00C444EC"/>
    <w:rsid w:val="00C44FB0"/>
    <w:rsid w:val="00C45A03"/>
    <w:rsid w:val="00C46EC1"/>
    <w:rsid w:val="00C50F86"/>
    <w:rsid w:val="00C53E2C"/>
    <w:rsid w:val="00C550C8"/>
    <w:rsid w:val="00C56136"/>
    <w:rsid w:val="00C56B61"/>
    <w:rsid w:val="00C56D56"/>
    <w:rsid w:val="00C570AC"/>
    <w:rsid w:val="00C5730D"/>
    <w:rsid w:val="00C60631"/>
    <w:rsid w:val="00C606C3"/>
    <w:rsid w:val="00C6198D"/>
    <w:rsid w:val="00C620F4"/>
    <w:rsid w:val="00C629CB"/>
    <w:rsid w:val="00C71F4F"/>
    <w:rsid w:val="00C72848"/>
    <w:rsid w:val="00C750BA"/>
    <w:rsid w:val="00C76876"/>
    <w:rsid w:val="00C7736C"/>
    <w:rsid w:val="00C80272"/>
    <w:rsid w:val="00C82D87"/>
    <w:rsid w:val="00C859C9"/>
    <w:rsid w:val="00C8712A"/>
    <w:rsid w:val="00C92A0D"/>
    <w:rsid w:val="00C952A2"/>
    <w:rsid w:val="00C963D3"/>
    <w:rsid w:val="00CA1802"/>
    <w:rsid w:val="00CA1C64"/>
    <w:rsid w:val="00CB262C"/>
    <w:rsid w:val="00CB2CBB"/>
    <w:rsid w:val="00CB7283"/>
    <w:rsid w:val="00CB7CAC"/>
    <w:rsid w:val="00CB7EF2"/>
    <w:rsid w:val="00CC1625"/>
    <w:rsid w:val="00CC467D"/>
    <w:rsid w:val="00CC5051"/>
    <w:rsid w:val="00CC5335"/>
    <w:rsid w:val="00CC579C"/>
    <w:rsid w:val="00CC5BA4"/>
    <w:rsid w:val="00CC5ECB"/>
    <w:rsid w:val="00CC7728"/>
    <w:rsid w:val="00CD0E2B"/>
    <w:rsid w:val="00CD0FFE"/>
    <w:rsid w:val="00CD2965"/>
    <w:rsid w:val="00CD34DB"/>
    <w:rsid w:val="00CD377A"/>
    <w:rsid w:val="00CD4998"/>
    <w:rsid w:val="00CD499F"/>
    <w:rsid w:val="00CD7DBC"/>
    <w:rsid w:val="00CD7F09"/>
    <w:rsid w:val="00CE09C7"/>
    <w:rsid w:val="00CE1035"/>
    <w:rsid w:val="00CE62CA"/>
    <w:rsid w:val="00CF01D6"/>
    <w:rsid w:val="00CF2819"/>
    <w:rsid w:val="00CF4F9D"/>
    <w:rsid w:val="00CF5AD8"/>
    <w:rsid w:val="00CF6674"/>
    <w:rsid w:val="00CF70DC"/>
    <w:rsid w:val="00CF717B"/>
    <w:rsid w:val="00D068C5"/>
    <w:rsid w:val="00D075F8"/>
    <w:rsid w:val="00D07F87"/>
    <w:rsid w:val="00D14490"/>
    <w:rsid w:val="00D148DC"/>
    <w:rsid w:val="00D1688E"/>
    <w:rsid w:val="00D17FDC"/>
    <w:rsid w:val="00D223E4"/>
    <w:rsid w:val="00D2550E"/>
    <w:rsid w:val="00D256C6"/>
    <w:rsid w:val="00D25F51"/>
    <w:rsid w:val="00D32C12"/>
    <w:rsid w:val="00D35229"/>
    <w:rsid w:val="00D35ADE"/>
    <w:rsid w:val="00D35EAE"/>
    <w:rsid w:val="00D425A3"/>
    <w:rsid w:val="00D4685B"/>
    <w:rsid w:val="00D46C2D"/>
    <w:rsid w:val="00D51A90"/>
    <w:rsid w:val="00D55C87"/>
    <w:rsid w:val="00D57C59"/>
    <w:rsid w:val="00D60215"/>
    <w:rsid w:val="00D60874"/>
    <w:rsid w:val="00D63EFD"/>
    <w:rsid w:val="00D650A7"/>
    <w:rsid w:val="00D6588F"/>
    <w:rsid w:val="00D676F1"/>
    <w:rsid w:val="00D714E4"/>
    <w:rsid w:val="00D829EB"/>
    <w:rsid w:val="00D84752"/>
    <w:rsid w:val="00D86A74"/>
    <w:rsid w:val="00D86B3B"/>
    <w:rsid w:val="00D8748A"/>
    <w:rsid w:val="00D905E4"/>
    <w:rsid w:val="00D910D5"/>
    <w:rsid w:val="00D93196"/>
    <w:rsid w:val="00D931A2"/>
    <w:rsid w:val="00D961FB"/>
    <w:rsid w:val="00DA42EF"/>
    <w:rsid w:val="00DB1A35"/>
    <w:rsid w:val="00DB243C"/>
    <w:rsid w:val="00DB4030"/>
    <w:rsid w:val="00DB482A"/>
    <w:rsid w:val="00DB49EE"/>
    <w:rsid w:val="00DB56F2"/>
    <w:rsid w:val="00DB5D9B"/>
    <w:rsid w:val="00DB6EF5"/>
    <w:rsid w:val="00DC1DED"/>
    <w:rsid w:val="00DC2A3F"/>
    <w:rsid w:val="00DC2BEC"/>
    <w:rsid w:val="00DC2FDB"/>
    <w:rsid w:val="00DC3089"/>
    <w:rsid w:val="00DC4420"/>
    <w:rsid w:val="00DC6681"/>
    <w:rsid w:val="00DC67D9"/>
    <w:rsid w:val="00DD01DA"/>
    <w:rsid w:val="00DD0802"/>
    <w:rsid w:val="00DD0B2C"/>
    <w:rsid w:val="00DD19C6"/>
    <w:rsid w:val="00DD2E11"/>
    <w:rsid w:val="00DD3A0A"/>
    <w:rsid w:val="00DD4658"/>
    <w:rsid w:val="00DD4E68"/>
    <w:rsid w:val="00DD526C"/>
    <w:rsid w:val="00DD59B5"/>
    <w:rsid w:val="00DD6923"/>
    <w:rsid w:val="00DD7AD7"/>
    <w:rsid w:val="00DE03AF"/>
    <w:rsid w:val="00DE097E"/>
    <w:rsid w:val="00DE121C"/>
    <w:rsid w:val="00DE475E"/>
    <w:rsid w:val="00DE6633"/>
    <w:rsid w:val="00DF056D"/>
    <w:rsid w:val="00DF1292"/>
    <w:rsid w:val="00DF162D"/>
    <w:rsid w:val="00DF4D51"/>
    <w:rsid w:val="00DF687B"/>
    <w:rsid w:val="00DF6DA7"/>
    <w:rsid w:val="00DF75F8"/>
    <w:rsid w:val="00DF7A3A"/>
    <w:rsid w:val="00DF7AD4"/>
    <w:rsid w:val="00E0046C"/>
    <w:rsid w:val="00E009E1"/>
    <w:rsid w:val="00E00C00"/>
    <w:rsid w:val="00E00E54"/>
    <w:rsid w:val="00E01C69"/>
    <w:rsid w:val="00E041F9"/>
    <w:rsid w:val="00E05837"/>
    <w:rsid w:val="00E07C5A"/>
    <w:rsid w:val="00E10A73"/>
    <w:rsid w:val="00E12781"/>
    <w:rsid w:val="00E12C13"/>
    <w:rsid w:val="00E15BA9"/>
    <w:rsid w:val="00E161D2"/>
    <w:rsid w:val="00E177E2"/>
    <w:rsid w:val="00E17BF1"/>
    <w:rsid w:val="00E22DE4"/>
    <w:rsid w:val="00E2597E"/>
    <w:rsid w:val="00E26E19"/>
    <w:rsid w:val="00E31DF3"/>
    <w:rsid w:val="00E37049"/>
    <w:rsid w:val="00E4126D"/>
    <w:rsid w:val="00E43B78"/>
    <w:rsid w:val="00E450A4"/>
    <w:rsid w:val="00E506BE"/>
    <w:rsid w:val="00E50EF8"/>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06D"/>
    <w:rsid w:val="00E7793C"/>
    <w:rsid w:val="00E77C3D"/>
    <w:rsid w:val="00E80299"/>
    <w:rsid w:val="00E8272F"/>
    <w:rsid w:val="00E84DA5"/>
    <w:rsid w:val="00E84DD5"/>
    <w:rsid w:val="00E86549"/>
    <w:rsid w:val="00E86D64"/>
    <w:rsid w:val="00E909F0"/>
    <w:rsid w:val="00E90B4B"/>
    <w:rsid w:val="00E90D47"/>
    <w:rsid w:val="00E90DDB"/>
    <w:rsid w:val="00E91BE6"/>
    <w:rsid w:val="00E92DA7"/>
    <w:rsid w:val="00E93993"/>
    <w:rsid w:val="00E950C0"/>
    <w:rsid w:val="00E9597C"/>
    <w:rsid w:val="00EA0879"/>
    <w:rsid w:val="00EA0913"/>
    <w:rsid w:val="00EA28A6"/>
    <w:rsid w:val="00EA4D77"/>
    <w:rsid w:val="00EA5317"/>
    <w:rsid w:val="00EA599C"/>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0FDB"/>
    <w:rsid w:val="00ED151E"/>
    <w:rsid w:val="00ED3CDA"/>
    <w:rsid w:val="00ED452F"/>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0863"/>
    <w:rsid w:val="00F033DA"/>
    <w:rsid w:val="00F0424E"/>
    <w:rsid w:val="00F106CE"/>
    <w:rsid w:val="00F1096A"/>
    <w:rsid w:val="00F12AA4"/>
    <w:rsid w:val="00F12F7B"/>
    <w:rsid w:val="00F13FB1"/>
    <w:rsid w:val="00F15181"/>
    <w:rsid w:val="00F1640B"/>
    <w:rsid w:val="00F2025D"/>
    <w:rsid w:val="00F20842"/>
    <w:rsid w:val="00F23409"/>
    <w:rsid w:val="00F27CD8"/>
    <w:rsid w:val="00F30351"/>
    <w:rsid w:val="00F3144D"/>
    <w:rsid w:val="00F3323E"/>
    <w:rsid w:val="00F341F4"/>
    <w:rsid w:val="00F34F9D"/>
    <w:rsid w:val="00F34FAD"/>
    <w:rsid w:val="00F3554C"/>
    <w:rsid w:val="00F35CCE"/>
    <w:rsid w:val="00F35D73"/>
    <w:rsid w:val="00F366E1"/>
    <w:rsid w:val="00F40131"/>
    <w:rsid w:val="00F403C4"/>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841"/>
    <w:rsid w:val="00F71CE8"/>
    <w:rsid w:val="00F72212"/>
    <w:rsid w:val="00F738B0"/>
    <w:rsid w:val="00F7596F"/>
    <w:rsid w:val="00F801C5"/>
    <w:rsid w:val="00F82164"/>
    <w:rsid w:val="00F83231"/>
    <w:rsid w:val="00F83D34"/>
    <w:rsid w:val="00F85A51"/>
    <w:rsid w:val="00F85DB2"/>
    <w:rsid w:val="00F91FA7"/>
    <w:rsid w:val="00F94AE9"/>
    <w:rsid w:val="00F95955"/>
    <w:rsid w:val="00F96AF1"/>
    <w:rsid w:val="00F974FE"/>
    <w:rsid w:val="00F979AD"/>
    <w:rsid w:val="00F97C5B"/>
    <w:rsid w:val="00FA29FD"/>
    <w:rsid w:val="00FA2A46"/>
    <w:rsid w:val="00FA3739"/>
    <w:rsid w:val="00FA3D50"/>
    <w:rsid w:val="00FA43E7"/>
    <w:rsid w:val="00FB2C81"/>
    <w:rsid w:val="00FB6703"/>
    <w:rsid w:val="00FB7C8F"/>
    <w:rsid w:val="00FB7D52"/>
    <w:rsid w:val="00FC1337"/>
    <w:rsid w:val="00FC2741"/>
    <w:rsid w:val="00FC30E1"/>
    <w:rsid w:val="00FC337F"/>
    <w:rsid w:val="00FC374A"/>
    <w:rsid w:val="00FC4F43"/>
    <w:rsid w:val="00FC5D26"/>
    <w:rsid w:val="00FC6E70"/>
    <w:rsid w:val="00FC7B47"/>
    <w:rsid w:val="00FD0169"/>
    <w:rsid w:val="00FD035C"/>
    <w:rsid w:val="00FD1240"/>
    <w:rsid w:val="00FD1A35"/>
    <w:rsid w:val="00FD36C5"/>
    <w:rsid w:val="00FD4912"/>
    <w:rsid w:val="00FD4F27"/>
    <w:rsid w:val="00FD5B6F"/>
    <w:rsid w:val="00FD6126"/>
    <w:rsid w:val="00FD6310"/>
    <w:rsid w:val="00FD719B"/>
    <w:rsid w:val="00FD77E3"/>
    <w:rsid w:val="00FD7C7B"/>
    <w:rsid w:val="00FE1D12"/>
    <w:rsid w:val="00FE2122"/>
    <w:rsid w:val="00FE2A86"/>
    <w:rsid w:val="00FE5214"/>
    <w:rsid w:val="00FE6330"/>
    <w:rsid w:val="00FF0D81"/>
    <w:rsid w:val="00FF22DC"/>
    <w:rsid w:val="00FF296F"/>
    <w:rsid w:val="00FF332F"/>
    <w:rsid w:val="00FF3529"/>
    <w:rsid w:val="00FF374B"/>
    <w:rsid w:val="00FF549A"/>
    <w:rsid w:val="00FF5B28"/>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5651</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Beeley</cp:lastModifiedBy>
  <cp:revision>96</cp:revision>
  <cp:lastPrinted>2020-06-12T02:43:00Z</cp:lastPrinted>
  <dcterms:created xsi:type="dcterms:W3CDTF">2022-11-14T04:18:00Z</dcterms:created>
  <dcterms:modified xsi:type="dcterms:W3CDTF">2022-11-15T10:41:00Z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