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3E2889" w:rsidRDefault="002D2356" w:rsidP="008071D5">
      <w:pPr>
        <w:pStyle w:val="ListParagraph"/>
        <w:numPr>
          <w:ilvl w:val="0"/>
          <w:numId w:val="15"/>
        </w:numPr>
        <w:ind w:left="425" w:hanging="357"/>
        <w:jc w:val="both"/>
        <w:rPr>
          <w:rFonts w:ascii="Avenir Next" w:hAnsi="Avenir Next" w:cs="Arial"/>
          <w:sz w:val="22"/>
          <w:szCs w:val="22"/>
          <w:highlight w:val="yellow"/>
        </w:rPr>
      </w:pPr>
      <w:r w:rsidRPr="003E2889">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3E2889">
        <w:rPr>
          <w:rFonts w:ascii="Avenir Next" w:hAnsi="Avenir Next" w:cs="Arial"/>
          <w:sz w:val="22"/>
          <w:szCs w:val="22"/>
          <w:highlight w:val="yellow"/>
          <w:vertAlign w:val="superscript"/>
        </w:rPr>
        <w:t>th</w:t>
      </w:r>
      <w:r w:rsidRPr="003E2889">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3E2889" w:rsidRDefault="002D2356" w:rsidP="008071D5">
      <w:pPr>
        <w:pStyle w:val="ListParagraph"/>
        <w:numPr>
          <w:ilvl w:val="0"/>
          <w:numId w:val="16"/>
        </w:numPr>
        <w:ind w:left="426"/>
        <w:jc w:val="both"/>
        <w:rPr>
          <w:rFonts w:ascii="Avenir Next" w:hAnsi="Avenir Next" w:cs="Arial"/>
          <w:sz w:val="22"/>
          <w:szCs w:val="22"/>
          <w:highlight w:val="yellow"/>
        </w:rPr>
      </w:pPr>
      <w:r w:rsidRPr="003E2889">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3E2889" w:rsidRDefault="002D2356" w:rsidP="008071D5">
      <w:pPr>
        <w:pStyle w:val="ListParagraph"/>
        <w:numPr>
          <w:ilvl w:val="0"/>
          <w:numId w:val="17"/>
        </w:numPr>
        <w:ind w:left="426"/>
        <w:jc w:val="both"/>
        <w:rPr>
          <w:rFonts w:ascii="Avenir Next" w:hAnsi="Avenir Next" w:cs="Arial"/>
          <w:sz w:val="22"/>
          <w:szCs w:val="22"/>
          <w:highlight w:val="yellow"/>
        </w:rPr>
      </w:pPr>
      <w:r w:rsidRPr="003E2889">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3E2889" w:rsidRDefault="00466ED6" w:rsidP="008071D5">
      <w:pPr>
        <w:pStyle w:val="ListParagraph"/>
        <w:numPr>
          <w:ilvl w:val="0"/>
          <w:numId w:val="18"/>
        </w:numPr>
        <w:ind w:left="426"/>
        <w:jc w:val="both"/>
        <w:rPr>
          <w:rFonts w:ascii="Avenir Next" w:hAnsi="Avenir Next" w:cs="Arial"/>
          <w:sz w:val="22"/>
          <w:szCs w:val="22"/>
          <w:highlight w:val="yellow"/>
        </w:rPr>
      </w:pPr>
      <w:r w:rsidRPr="003E2889">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3E2889" w:rsidRDefault="002D2356" w:rsidP="008071D5">
      <w:pPr>
        <w:pStyle w:val="ListParagraph"/>
        <w:numPr>
          <w:ilvl w:val="0"/>
          <w:numId w:val="19"/>
        </w:numPr>
        <w:ind w:left="425" w:hanging="357"/>
        <w:jc w:val="both"/>
        <w:rPr>
          <w:rFonts w:ascii="Avenir Next" w:hAnsi="Avenir Next" w:cs="Arial"/>
          <w:sz w:val="22"/>
          <w:szCs w:val="22"/>
          <w:highlight w:val="yellow"/>
        </w:rPr>
      </w:pPr>
      <w:r w:rsidRPr="003E2889">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3E2889"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3E2889">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AB63DE"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3E2889">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3E2889">
        <w:rPr>
          <w:rFonts w:ascii="Avenir Next" w:eastAsiaTheme="minorHAnsi" w:hAnsi="Avenir Next" w:cs="Arial"/>
          <w:sz w:val="22"/>
          <w:szCs w:val="22"/>
          <w:highlight w:val="yellow"/>
          <w:lang w:val="en-GB"/>
        </w:rPr>
        <w:t xml:space="preserve"> </w:t>
      </w:r>
      <w:r w:rsidRPr="003E2889">
        <w:rPr>
          <w:rFonts w:ascii="Avenir Next" w:eastAsiaTheme="minorHAnsi" w:hAnsi="Avenir Next" w:cs="Arial"/>
          <w:sz w:val="22"/>
          <w:szCs w:val="22"/>
          <w:highlight w:val="yellow"/>
          <w:lang w:val="en-GB"/>
        </w:rPr>
        <w:t>/ or common law principles</w:t>
      </w:r>
      <w:r w:rsidRPr="00AB63DE">
        <w:rPr>
          <w:rFonts w:ascii="Avenir Next" w:eastAsiaTheme="minorHAnsi" w:hAnsi="Avenir Next" w:cs="Arial"/>
          <w:sz w:val="22"/>
          <w:szCs w:val="22"/>
          <w:lang w:val="en-GB"/>
        </w:rPr>
        <w:t>.</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AB63DE"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B63DE">
        <w:rPr>
          <w:rFonts w:ascii="Avenir Next" w:hAnsi="Avenir Next" w:cs="Arial"/>
          <w:sz w:val="22"/>
          <w:szCs w:val="22"/>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3E2889"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3E2889">
        <w:rPr>
          <w:rFonts w:ascii="Avenir Next" w:eastAsiaTheme="minorHAnsi" w:hAnsi="Avenir Next" w:cs="Arial"/>
          <w:sz w:val="22"/>
          <w:szCs w:val="22"/>
          <w:highlight w:val="yellow"/>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3E2889" w:rsidRDefault="00F5239B" w:rsidP="008071D5">
      <w:pPr>
        <w:pStyle w:val="ListParagraph"/>
        <w:numPr>
          <w:ilvl w:val="0"/>
          <w:numId w:val="23"/>
        </w:numPr>
        <w:ind w:left="426"/>
        <w:jc w:val="both"/>
        <w:rPr>
          <w:rFonts w:ascii="Avenir Next" w:hAnsi="Avenir Next" w:cs="Arial"/>
          <w:sz w:val="22"/>
          <w:szCs w:val="22"/>
          <w:highlight w:val="yellow"/>
        </w:rPr>
      </w:pPr>
      <w:r w:rsidRPr="003E2889">
        <w:rPr>
          <w:rFonts w:ascii="Avenir Next" w:hAnsi="Avenir Next" w:cs="Arial"/>
          <w:sz w:val="22"/>
          <w:szCs w:val="22"/>
          <w:highlight w:val="yellow"/>
        </w:rPr>
        <w:t xml:space="preserve">This statement is true because </w:t>
      </w:r>
      <w:r w:rsidR="007B5180" w:rsidRPr="003E2889">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3E2889" w:rsidRDefault="009355DB" w:rsidP="008071D5">
      <w:pPr>
        <w:pStyle w:val="ListParagraph"/>
        <w:numPr>
          <w:ilvl w:val="0"/>
          <w:numId w:val="24"/>
        </w:numPr>
        <w:ind w:left="426"/>
        <w:jc w:val="both"/>
        <w:rPr>
          <w:rFonts w:ascii="Avenir Next" w:hAnsi="Avenir Next" w:cs="Arial"/>
          <w:sz w:val="22"/>
          <w:szCs w:val="22"/>
          <w:highlight w:val="yellow"/>
        </w:rPr>
      </w:pPr>
      <w:r w:rsidRPr="003E2889">
        <w:rPr>
          <w:rFonts w:ascii="Avenir Next" w:hAnsi="Avenir Next" w:cs="Arial"/>
          <w:sz w:val="22"/>
          <w:szCs w:val="22"/>
          <w:highlight w:val="yellow"/>
        </w:rPr>
        <w:t xml:space="preserve">This statement is true because </w:t>
      </w:r>
      <w:r w:rsidR="005C4FF2" w:rsidRPr="003E2889">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17F6FE7C" w14:textId="77777777" w:rsidR="003E2889" w:rsidRPr="00B62DC3" w:rsidRDefault="003E2889" w:rsidP="003E2889">
      <w:pPr>
        <w:rPr>
          <w:rFonts w:ascii="Arial" w:hAnsi="Arial" w:cs="Arial"/>
          <w:sz w:val="22"/>
          <w:szCs w:val="22"/>
        </w:rPr>
      </w:pPr>
      <w:r w:rsidRPr="00B62DC3">
        <w:rPr>
          <w:rFonts w:ascii="Arial" w:hAnsi="Arial" w:cs="Arial"/>
          <w:sz w:val="22"/>
          <w:szCs w:val="22"/>
        </w:rPr>
        <w:t xml:space="preserve">Many developing countries' insolvency laws are based on the insolvency law systems in England or civil countries due to most developing countries being colonies and inheriting their laws from the countries that previously </w:t>
      </w:r>
      <w:proofErr w:type="spellStart"/>
      <w:r w:rsidRPr="00B62DC3">
        <w:rPr>
          <w:rFonts w:ascii="Arial" w:hAnsi="Arial" w:cs="Arial"/>
          <w:sz w:val="22"/>
          <w:szCs w:val="22"/>
        </w:rPr>
        <w:t>colonised</w:t>
      </w:r>
      <w:proofErr w:type="spellEnd"/>
      <w:r w:rsidRPr="00B62DC3">
        <w:rPr>
          <w:rFonts w:ascii="Arial" w:hAnsi="Arial" w:cs="Arial"/>
          <w:sz w:val="22"/>
          <w:szCs w:val="22"/>
        </w:rPr>
        <w:t xml:space="preserve"> them.</w:t>
      </w:r>
      <w:r w:rsidRPr="00B62DC3">
        <w:rPr>
          <w:rStyle w:val="FootnoteReference"/>
          <w:rFonts w:ascii="Arial" w:hAnsi="Arial" w:cs="Arial"/>
          <w:sz w:val="22"/>
          <w:szCs w:val="22"/>
        </w:rPr>
        <w:footnoteReference w:id="1"/>
      </w:r>
    </w:p>
    <w:p w14:paraId="798DA659" w14:textId="2D367A0E" w:rsidR="003E2889" w:rsidRDefault="003E2889" w:rsidP="003E2889">
      <w:pPr>
        <w:rPr>
          <w:rFonts w:ascii="Arial" w:hAnsi="Arial" w:cs="Arial"/>
          <w:sz w:val="22"/>
          <w:szCs w:val="22"/>
        </w:rPr>
      </w:pPr>
      <w:r w:rsidRPr="00B62DC3">
        <w:rPr>
          <w:rFonts w:ascii="Arial" w:hAnsi="Arial" w:cs="Arial"/>
          <w:sz w:val="22"/>
          <w:szCs w:val="22"/>
        </w:rPr>
        <w:lastRenderedPageBreak/>
        <w:t>The same applies to African countries. In particular, Nigeria, Kenya, Botswana, Zambia, and countries in Eastern Africa like Tanzania find the roots of their insolvency laws in the English system.</w:t>
      </w:r>
      <w:r w:rsidRPr="00B62DC3">
        <w:rPr>
          <w:rStyle w:val="FootnoteReference"/>
          <w:rFonts w:ascii="Arial" w:hAnsi="Arial" w:cs="Arial"/>
          <w:sz w:val="22"/>
          <w:szCs w:val="22"/>
        </w:rPr>
        <w:footnoteReference w:id="2"/>
      </w:r>
      <w:r w:rsidRPr="00B62DC3">
        <w:rPr>
          <w:rFonts w:ascii="Arial" w:hAnsi="Arial" w:cs="Arial"/>
          <w:sz w:val="22"/>
          <w:szCs w:val="22"/>
        </w:rPr>
        <w:t xml:space="preserve"> By contrast, insolvency laws in Angola and Mozambique are based on civil Portuguese law, while those in French-speaking countries in West Africa are based on French civil law.</w:t>
      </w:r>
      <w:r w:rsidRPr="00B62DC3">
        <w:rPr>
          <w:rStyle w:val="FootnoteReference"/>
          <w:rFonts w:ascii="Arial" w:hAnsi="Arial" w:cs="Arial"/>
          <w:sz w:val="22"/>
          <w:szCs w:val="22"/>
        </w:rPr>
        <w:footnoteReference w:id="3"/>
      </w:r>
      <w:r w:rsidRPr="00B62DC3">
        <w:rPr>
          <w:rFonts w:ascii="Arial" w:hAnsi="Arial" w:cs="Arial"/>
          <w:sz w:val="22"/>
          <w:szCs w:val="22"/>
        </w:rPr>
        <w:t xml:space="preserve"> Interestingly, South Africa and Namibia have mixed legal systems since both English law and Roman-Dutch civil laws have impacted their systems.</w:t>
      </w:r>
      <w:r w:rsidRPr="00B62DC3">
        <w:rPr>
          <w:rStyle w:val="FootnoteReference"/>
          <w:rFonts w:ascii="Arial" w:hAnsi="Arial" w:cs="Arial"/>
          <w:sz w:val="22"/>
          <w:szCs w:val="22"/>
        </w:rPr>
        <w:footnoteReference w:id="4"/>
      </w:r>
    </w:p>
    <w:p w14:paraId="1DF52A8D" w14:textId="77777777" w:rsidR="00FF15AC" w:rsidRPr="00B62DC3" w:rsidRDefault="00FF15AC" w:rsidP="003E2889">
      <w:pPr>
        <w:rPr>
          <w:rFonts w:ascii="Arial" w:hAnsi="Arial" w:cs="Arial"/>
          <w:sz w:val="22"/>
          <w:szCs w:val="22"/>
        </w:rPr>
      </w:pPr>
    </w:p>
    <w:p w14:paraId="0B17CF2F" w14:textId="616E374A" w:rsidR="0081547D" w:rsidRPr="00FF15AC" w:rsidRDefault="003E2889" w:rsidP="00FF15AC">
      <w:pPr>
        <w:rPr>
          <w:rFonts w:ascii="Arial" w:hAnsi="Arial" w:cs="Arial"/>
          <w:sz w:val="22"/>
          <w:szCs w:val="22"/>
        </w:rPr>
      </w:pPr>
      <w:r w:rsidRPr="00B62DC3">
        <w:rPr>
          <w:rFonts w:ascii="Arial" w:hAnsi="Arial" w:cs="Arial"/>
          <w:sz w:val="22"/>
          <w:szCs w:val="22"/>
        </w:rPr>
        <w:t>Nonetheless, a number of African States are now developing new and more modern insolvency legislation.</w:t>
      </w:r>
      <w:r w:rsidRPr="00B62DC3">
        <w:rPr>
          <w:rStyle w:val="FootnoteReference"/>
          <w:rFonts w:ascii="Arial" w:hAnsi="Arial" w:cs="Arial"/>
          <w:sz w:val="22"/>
          <w:szCs w:val="22"/>
        </w:rPr>
        <w:footnoteReference w:id="5"/>
      </w: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80347F" w14:textId="6C3974DA" w:rsidR="003E2889" w:rsidRDefault="003E2889" w:rsidP="003E2889">
      <w:pPr>
        <w:rPr>
          <w:rFonts w:ascii="Arial" w:hAnsi="Arial" w:cs="Arial"/>
          <w:sz w:val="22"/>
          <w:szCs w:val="22"/>
        </w:rPr>
      </w:pPr>
      <w:r w:rsidRPr="00B62DC3">
        <w:rPr>
          <w:rFonts w:ascii="Arial" w:hAnsi="Arial" w:cs="Arial"/>
          <w:sz w:val="22"/>
          <w:szCs w:val="22"/>
        </w:rPr>
        <w:t>The financial crisis of 1998 in East Asia as well as the 2008 global financial crisis especially gave rise to insolvency law reform in Eastern Asia. For example, Thailand overhauled its bankruptcy laws as a result.</w:t>
      </w:r>
      <w:r w:rsidRPr="00B62DC3">
        <w:rPr>
          <w:rStyle w:val="FootnoteReference"/>
          <w:rFonts w:ascii="Arial" w:hAnsi="Arial" w:cs="Arial"/>
          <w:sz w:val="22"/>
          <w:szCs w:val="22"/>
        </w:rPr>
        <w:footnoteReference w:id="6"/>
      </w:r>
      <w:r w:rsidRPr="00B62DC3">
        <w:rPr>
          <w:rFonts w:ascii="Arial" w:hAnsi="Arial" w:cs="Arial"/>
          <w:sz w:val="22"/>
          <w:szCs w:val="22"/>
        </w:rPr>
        <w:t xml:space="preserve"> In particular, the 1998 crisis spurred the revamp of Thai bankruptcy laws to allow for corporate reorganization, and filings of court rehabilitation increased significantly.</w:t>
      </w:r>
      <w:r w:rsidRPr="00B62DC3">
        <w:rPr>
          <w:rStyle w:val="FootnoteReference"/>
          <w:rFonts w:ascii="Arial" w:hAnsi="Arial" w:cs="Arial"/>
          <w:sz w:val="22"/>
          <w:szCs w:val="22"/>
        </w:rPr>
        <w:footnoteReference w:id="7"/>
      </w:r>
      <w:r w:rsidRPr="00B62DC3">
        <w:rPr>
          <w:rFonts w:ascii="Arial" w:hAnsi="Arial" w:cs="Arial"/>
          <w:sz w:val="22"/>
          <w:szCs w:val="22"/>
        </w:rPr>
        <w:t xml:space="preserve"> </w:t>
      </w:r>
    </w:p>
    <w:p w14:paraId="7344CD4C" w14:textId="77777777" w:rsidR="00FF15AC" w:rsidRPr="00B62DC3" w:rsidRDefault="00FF15AC" w:rsidP="003E2889">
      <w:pPr>
        <w:rPr>
          <w:rFonts w:ascii="Arial" w:hAnsi="Arial" w:cs="Arial"/>
          <w:sz w:val="22"/>
          <w:szCs w:val="22"/>
        </w:rPr>
      </w:pPr>
    </w:p>
    <w:p w14:paraId="2A6AA48F" w14:textId="5C4C0A71" w:rsidR="003E2889" w:rsidRPr="00B62DC3" w:rsidRDefault="003E2889" w:rsidP="003E2889">
      <w:pPr>
        <w:rPr>
          <w:rFonts w:ascii="Arial" w:hAnsi="Arial" w:cs="Arial"/>
          <w:sz w:val="22"/>
          <w:szCs w:val="22"/>
        </w:rPr>
      </w:pPr>
      <w:r w:rsidRPr="00B62DC3">
        <w:rPr>
          <w:rFonts w:ascii="Arial" w:hAnsi="Arial" w:cs="Arial"/>
          <w:sz w:val="22"/>
          <w:szCs w:val="22"/>
        </w:rPr>
        <w:t>As a result of the financial crises, Singapore has also passed its new Insolvency, Restructuring and Dissolution Act in October 2018 to consolidate Singapore's corporate and personal insolvency and restructuring laws into a unified Act, effective 30 July 2020.</w:t>
      </w:r>
      <w:r w:rsidRPr="00B62DC3">
        <w:rPr>
          <w:rStyle w:val="FootnoteReference"/>
          <w:rFonts w:ascii="Arial" w:hAnsi="Arial" w:cs="Arial"/>
          <w:sz w:val="22"/>
          <w:szCs w:val="22"/>
        </w:rPr>
        <w:footnoteReference w:id="8"/>
      </w: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138EC676" w14:textId="77777777" w:rsidR="003E2889" w:rsidRPr="00B62DC3" w:rsidRDefault="003E2889" w:rsidP="003E2889">
      <w:pPr>
        <w:rPr>
          <w:rFonts w:ascii="Arial" w:hAnsi="Arial" w:cs="Arial"/>
          <w:sz w:val="22"/>
          <w:szCs w:val="22"/>
        </w:rPr>
      </w:pPr>
      <w:r w:rsidRPr="00B62DC3">
        <w:rPr>
          <w:rFonts w:ascii="Arial" w:hAnsi="Arial" w:cs="Arial"/>
          <w:sz w:val="22"/>
          <w:szCs w:val="22"/>
        </w:rPr>
        <w:t>The various initiatives undertaken to assist with the resolution of international insolvency issues between North America and Canada include:</w:t>
      </w:r>
    </w:p>
    <w:p w14:paraId="676064B9" w14:textId="77777777" w:rsidR="003E2889" w:rsidRPr="00B62DC3" w:rsidRDefault="003E2889" w:rsidP="003E2889">
      <w:pPr>
        <w:pStyle w:val="ListParagraph"/>
        <w:numPr>
          <w:ilvl w:val="0"/>
          <w:numId w:val="25"/>
        </w:numPr>
        <w:spacing w:before="120" w:after="120"/>
        <w:contextualSpacing w:val="0"/>
        <w:rPr>
          <w:rFonts w:ascii="Arial" w:hAnsi="Arial" w:cs="Arial"/>
          <w:sz w:val="22"/>
          <w:szCs w:val="22"/>
        </w:rPr>
      </w:pPr>
      <w:r w:rsidRPr="00B62DC3">
        <w:rPr>
          <w:rFonts w:ascii="Arial" w:hAnsi="Arial" w:cs="Arial"/>
          <w:sz w:val="22"/>
          <w:szCs w:val="22"/>
        </w:rPr>
        <w:t>In the 1970s, Canada and the United States were working towards a bilateral insolvency treaty but failed to reach agreement given the proposed agreement was too ambitious in scope.</w:t>
      </w:r>
      <w:r w:rsidRPr="00B62DC3">
        <w:rPr>
          <w:rStyle w:val="FootnoteReference"/>
          <w:rFonts w:ascii="Arial" w:hAnsi="Arial" w:cs="Arial"/>
          <w:sz w:val="22"/>
          <w:szCs w:val="22"/>
        </w:rPr>
        <w:footnoteReference w:id="9"/>
      </w:r>
      <w:r w:rsidRPr="00B62DC3">
        <w:rPr>
          <w:rFonts w:ascii="Arial" w:hAnsi="Arial" w:cs="Arial"/>
          <w:sz w:val="22"/>
          <w:szCs w:val="22"/>
        </w:rPr>
        <w:t xml:space="preserve"> However, both States have since adopted the 1997 Model Law on Cross-Border Insolvency by the United Nations Commission on International Trade Law and have through this made more practical progress.</w:t>
      </w:r>
      <w:r w:rsidRPr="00B62DC3">
        <w:rPr>
          <w:rStyle w:val="FootnoteReference"/>
          <w:rFonts w:ascii="Arial" w:hAnsi="Arial" w:cs="Arial"/>
          <w:sz w:val="22"/>
          <w:szCs w:val="22"/>
        </w:rPr>
        <w:footnoteReference w:id="10"/>
      </w:r>
      <w:r w:rsidRPr="00B62DC3">
        <w:rPr>
          <w:rFonts w:ascii="Arial" w:hAnsi="Arial" w:cs="Arial"/>
          <w:sz w:val="22"/>
          <w:szCs w:val="22"/>
        </w:rPr>
        <w:t xml:space="preserve"> </w:t>
      </w:r>
    </w:p>
    <w:p w14:paraId="7804EE76" w14:textId="77777777" w:rsidR="003E2889" w:rsidRPr="00B62DC3" w:rsidRDefault="003E2889" w:rsidP="003E2889">
      <w:pPr>
        <w:pStyle w:val="ListParagraph"/>
        <w:numPr>
          <w:ilvl w:val="0"/>
          <w:numId w:val="25"/>
        </w:numPr>
        <w:spacing w:before="120" w:after="120"/>
        <w:contextualSpacing w:val="0"/>
        <w:rPr>
          <w:rFonts w:ascii="Arial" w:hAnsi="Arial" w:cs="Arial"/>
          <w:sz w:val="22"/>
          <w:szCs w:val="22"/>
        </w:rPr>
      </w:pPr>
      <w:r w:rsidRPr="00B62DC3">
        <w:rPr>
          <w:rFonts w:ascii="Arial" w:hAnsi="Arial" w:cs="Arial"/>
          <w:sz w:val="22"/>
          <w:szCs w:val="22"/>
        </w:rPr>
        <w:t>The North American Free Trade Agreement (NAFTA) Principles of 2000 (prepared and approved by the American Law Institute (ALI) Council and members), which focuses on insolvency and other legal entities engaged in commercial operations.</w:t>
      </w:r>
      <w:r w:rsidRPr="00B62DC3">
        <w:rPr>
          <w:rStyle w:val="FootnoteReference"/>
          <w:rFonts w:ascii="Arial" w:hAnsi="Arial" w:cs="Arial"/>
          <w:sz w:val="22"/>
          <w:szCs w:val="22"/>
        </w:rPr>
        <w:footnoteReference w:id="11"/>
      </w:r>
      <w:r w:rsidRPr="00B62DC3">
        <w:rPr>
          <w:rFonts w:ascii="Arial" w:hAnsi="Arial" w:cs="Arial"/>
          <w:sz w:val="22"/>
          <w:szCs w:val="22"/>
        </w:rPr>
        <w:t xml:space="preserve"> </w:t>
      </w:r>
      <w:r w:rsidRPr="00B62DC3">
        <w:rPr>
          <w:rFonts w:ascii="Arial" w:hAnsi="Arial" w:cs="Arial"/>
          <w:sz w:val="22"/>
          <w:szCs w:val="22"/>
        </w:rPr>
        <w:lastRenderedPageBreak/>
        <w:t>These Principles focus on cooperation (general principle I) and recognition (general principle II), amongst others.</w:t>
      </w:r>
      <w:r w:rsidRPr="00B62DC3">
        <w:rPr>
          <w:rStyle w:val="FootnoteReference"/>
          <w:rFonts w:ascii="Arial" w:hAnsi="Arial" w:cs="Arial"/>
          <w:sz w:val="22"/>
          <w:szCs w:val="22"/>
        </w:rPr>
        <w:footnoteReference w:id="12"/>
      </w:r>
      <w:r w:rsidRPr="00B62DC3">
        <w:rPr>
          <w:rFonts w:ascii="Arial" w:hAnsi="Arial" w:cs="Arial"/>
          <w:sz w:val="22"/>
          <w:szCs w:val="22"/>
        </w:rPr>
        <w:t xml:space="preserve"> The Principles also include a recommendation that each NAFTA country adopt the 1997 Model Law on Cross-Border Insolvency by the United Nations Commission on International Trade Law. The NAFTA Principles have been relatively successful given they assist with the resolution of insolvency issues between its member countries (the United States, Canada and Mexico). All three countries have since and as a result of the NAFTA Principles, adopted the 1997 Model Law (Mexico in 2000, and Canada and the United States in 2005).</w:t>
      </w:r>
      <w:r w:rsidRPr="00B62DC3">
        <w:rPr>
          <w:rStyle w:val="FootnoteReference"/>
          <w:rFonts w:ascii="Arial" w:hAnsi="Arial" w:cs="Arial"/>
          <w:sz w:val="22"/>
          <w:szCs w:val="22"/>
        </w:rPr>
        <w:footnoteReference w:id="13"/>
      </w:r>
    </w:p>
    <w:p w14:paraId="22EB343F" w14:textId="36CE3F28" w:rsidR="00AB63DE" w:rsidRPr="00FF15AC" w:rsidRDefault="003E2889" w:rsidP="00FF15AC">
      <w:pPr>
        <w:pStyle w:val="ListParagraph"/>
        <w:numPr>
          <w:ilvl w:val="0"/>
          <w:numId w:val="25"/>
        </w:numPr>
        <w:spacing w:before="120" w:after="120"/>
        <w:contextualSpacing w:val="0"/>
        <w:rPr>
          <w:rFonts w:ascii="Arial" w:hAnsi="Arial" w:cs="Arial"/>
          <w:sz w:val="22"/>
          <w:szCs w:val="22"/>
        </w:rPr>
      </w:pPr>
      <w:r w:rsidRPr="00B62DC3">
        <w:rPr>
          <w:rFonts w:ascii="Arial" w:hAnsi="Arial" w:cs="Arial"/>
          <w:sz w:val="22"/>
          <w:szCs w:val="22"/>
        </w:rPr>
        <w:t>Also in 2000, the ALI Transnational Insolvency Project developed the ALI NAFTA Guidelines Applicable to Court-to-Court Communications in Cross-Border Cases for international insolvencies not only involving the United States and Canada, but also Mexico.</w:t>
      </w:r>
      <w:r w:rsidRPr="00B62DC3">
        <w:rPr>
          <w:rStyle w:val="FootnoteReference"/>
          <w:rFonts w:ascii="Arial" w:hAnsi="Arial" w:cs="Arial"/>
          <w:sz w:val="22"/>
          <w:szCs w:val="22"/>
        </w:rPr>
        <w:footnoteReference w:id="14"/>
      </w:r>
      <w:r w:rsidRPr="00B62DC3">
        <w:rPr>
          <w:rFonts w:ascii="Arial" w:hAnsi="Arial" w:cs="Arial"/>
          <w:sz w:val="22"/>
          <w:szCs w:val="22"/>
        </w:rPr>
        <w:t xml:space="preserve"> These guidelines were relatively successful and subsequently resulted in the 2012 ALI – III Global Principles for Cooperation in International Insolvency Cases and Global Guidelines Applicable to Court-to-Court Communication in Cross-Border Cases.</w:t>
      </w:r>
      <w:r w:rsidRPr="00B62DC3">
        <w:rPr>
          <w:rStyle w:val="FootnoteReference"/>
          <w:rFonts w:ascii="Arial" w:hAnsi="Arial" w:cs="Arial"/>
          <w:sz w:val="22"/>
          <w:szCs w:val="22"/>
        </w:rPr>
        <w:footnoteReference w:id="15"/>
      </w: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573B4EA3" w14:textId="77777777" w:rsidR="003E2889" w:rsidRPr="00B62DC3" w:rsidRDefault="003E2889" w:rsidP="003E2889">
      <w:pPr>
        <w:rPr>
          <w:rFonts w:ascii="Arial" w:hAnsi="Arial" w:cs="Arial"/>
          <w:sz w:val="22"/>
          <w:szCs w:val="22"/>
        </w:rPr>
      </w:pPr>
      <w:r w:rsidRPr="00B62DC3">
        <w:rPr>
          <w:rFonts w:ascii="Arial" w:hAnsi="Arial" w:cs="Arial"/>
          <w:sz w:val="22"/>
          <w:szCs w:val="22"/>
        </w:rPr>
        <w:t>'Voidable dispositions' refer to transactions that may be set aside if certain conditions are met, with any benefits received by the beneficiary to be repaid to the insolvent estate.</w:t>
      </w:r>
      <w:r w:rsidRPr="00B62DC3">
        <w:rPr>
          <w:rStyle w:val="FootnoteReference"/>
          <w:rFonts w:ascii="Arial" w:hAnsi="Arial" w:cs="Arial"/>
          <w:sz w:val="22"/>
          <w:szCs w:val="22"/>
        </w:rPr>
        <w:footnoteReference w:id="16"/>
      </w:r>
      <w:r w:rsidRPr="00B62DC3">
        <w:rPr>
          <w:rFonts w:ascii="Arial" w:hAnsi="Arial" w:cs="Arial"/>
          <w:sz w:val="22"/>
          <w:szCs w:val="22"/>
        </w:rPr>
        <w:t xml:space="preserve"> Voidable dispositions transactions are usually aimed at preventing fraud (for example, where a debtor is trying to hide assets), ensuring fair treatment of all creditors by avoiding </w:t>
      </w:r>
      <w:proofErr w:type="spellStart"/>
      <w:r w:rsidRPr="00B62DC3">
        <w:rPr>
          <w:rFonts w:ascii="Arial" w:hAnsi="Arial" w:cs="Arial"/>
          <w:sz w:val="22"/>
          <w:szCs w:val="22"/>
        </w:rPr>
        <w:t>favouritism</w:t>
      </w:r>
      <w:proofErr w:type="spellEnd"/>
      <w:r w:rsidRPr="00B62DC3">
        <w:rPr>
          <w:rFonts w:ascii="Arial" w:hAnsi="Arial" w:cs="Arial"/>
          <w:sz w:val="22"/>
          <w:szCs w:val="22"/>
        </w:rPr>
        <w:t xml:space="preserve"> and preventing sudden losses in assets immediately before court supervision is imposed.</w:t>
      </w:r>
      <w:r w:rsidRPr="00B62DC3">
        <w:rPr>
          <w:rStyle w:val="FootnoteReference"/>
          <w:rFonts w:ascii="Arial" w:hAnsi="Arial" w:cs="Arial"/>
          <w:sz w:val="22"/>
          <w:szCs w:val="22"/>
        </w:rPr>
        <w:footnoteReference w:id="17"/>
      </w:r>
      <w:r w:rsidRPr="00B62DC3">
        <w:rPr>
          <w:rFonts w:ascii="Arial" w:hAnsi="Arial" w:cs="Arial"/>
          <w:sz w:val="22"/>
          <w:szCs w:val="22"/>
        </w:rPr>
        <w:t xml:space="preserve">  </w:t>
      </w:r>
    </w:p>
    <w:p w14:paraId="53229616" w14:textId="77777777" w:rsidR="00CB6B22" w:rsidRDefault="00CB6B22" w:rsidP="003E2889">
      <w:pPr>
        <w:rPr>
          <w:rFonts w:ascii="Arial" w:hAnsi="Arial" w:cs="Arial"/>
          <w:sz w:val="22"/>
          <w:szCs w:val="22"/>
        </w:rPr>
      </w:pPr>
    </w:p>
    <w:p w14:paraId="1944B9C1" w14:textId="56493FD4" w:rsidR="003E2889" w:rsidRPr="00B62DC3" w:rsidRDefault="003E2889" w:rsidP="003E2889">
      <w:pPr>
        <w:rPr>
          <w:rFonts w:ascii="Arial" w:hAnsi="Arial" w:cs="Arial"/>
          <w:sz w:val="22"/>
          <w:szCs w:val="22"/>
        </w:rPr>
      </w:pPr>
      <w:r w:rsidRPr="00B62DC3">
        <w:rPr>
          <w:rFonts w:ascii="Arial" w:hAnsi="Arial" w:cs="Arial"/>
          <w:sz w:val="22"/>
          <w:szCs w:val="22"/>
        </w:rPr>
        <w:t xml:space="preserve">The basis of voidable disposition law in civil law stems from the </w:t>
      </w:r>
      <w:proofErr w:type="spellStart"/>
      <w:r w:rsidRPr="00B62DC3">
        <w:rPr>
          <w:rFonts w:ascii="Arial" w:hAnsi="Arial" w:cs="Arial"/>
          <w:i/>
          <w:iCs/>
          <w:sz w:val="22"/>
          <w:szCs w:val="22"/>
        </w:rPr>
        <w:t>actio</w:t>
      </w:r>
      <w:proofErr w:type="spellEnd"/>
      <w:r w:rsidRPr="00B62DC3">
        <w:rPr>
          <w:rFonts w:ascii="Arial" w:hAnsi="Arial" w:cs="Arial"/>
          <w:i/>
          <w:iCs/>
          <w:sz w:val="22"/>
          <w:szCs w:val="22"/>
        </w:rPr>
        <w:t xml:space="preserve"> </w:t>
      </w:r>
      <w:proofErr w:type="spellStart"/>
      <w:r w:rsidRPr="00B62DC3">
        <w:rPr>
          <w:rFonts w:ascii="Arial" w:hAnsi="Arial" w:cs="Arial"/>
          <w:i/>
          <w:iCs/>
          <w:sz w:val="22"/>
          <w:szCs w:val="22"/>
        </w:rPr>
        <w:t>Pauliana</w:t>
      </w:r>
      <w:proofErr w:type="spellEnd"/>
      <w:r w:rsidRPr="00B62DC3">
        <w:rPr>
          <w:rFonts w:ascii="Arial" w:hAnsi="Arial" w:cs="Arial"/>
          <w:sz w:val="22"/>
          <w:szCs w:val="22"/>
        </w:rPr>
        <w:t>.</w:t>
      </w:r>
      <w:r w:rsidRPr="00B62DC3">
        <w:rPr>
          <w:rStyle w:val="FootnoteReference"/>
          <w:rFonts w:ascii="Arial" w:hAnsi="Arial" w:cs="Arial"/>
          <w:sz w:val="22"/>
          <w:szCs w:val="22"/>
        </w:rPr>
        <w:footnoteReference w:id="18"/>
      </w:r>
      <w:r w:rsidRPr="00B62DC3">
        <w:rPr>
          <w:rFonts w:ascii="Arial" w:hAnsi="Arial" w:cs="Arial"/>
          <w:sz w:val="22"/>
          <w:szCs w:val="22"/>
        </w:rPr>
        <w:t xml:space="preserve"> </w:t>
      </w:r>
      <w:proofErr w:type="spellStart"/>
      <w:r w:rsidRPr="00B62DC3">
        <w:rPr>
          <w:rFonts w:ascii="Arial" w:hAnsi="Arial" w:cs="Arial"/>
          <w:i/>
          <w:iCs/>
          <w:sz w:val="22"/>
          <w:szCs w:val="22"/>
        </w:rPr>
        <w:t>Actio</w:t>
      </w:r>
      <w:proofErr w:type="spellEnd"/>
      <w:r w:rsidRPr="00B62DC3">
        <w:rPr>
          <w:rFonts w:ascii="Arial" w:hAnsi="Arial" w:cs="Arial"/>
          <w:i/>
          <w:iCs/>
          <w:sz w:val="22"/>
          <w:szCs w:val="22"/>
        </w:rPr>
        <w:t xml:space="preserve"> </w:t>
      </w:r>
      <w:proofErr w:type="spellStart"/>
      <w:r w:rsidRPr="00B62DC3">
        <w:rPr>
          <w:rFonts w:ascii="Arial" w:hAnsi="Arial" w:cs="Arial"/>
          <w:i/>
          <w:iCs/>
          <w:sz w:val="22"/>
          <w:szCs w:val="22"/>
        </w:rPr>
        <w:t>Pauliana</w:t>
      </w:r>
      <w:proofErr w:type="spellEnd"/>
      <w:r w:rsidRPr="00B62DC3">
        <w:rPr>
          <w:rFonts w:ascii="Arial" w:hAnsi="Arial" w:cs="Arial"/>
          <w:sz w:val="22"/>
          <w:szCs w:val="22"/>
        </w:rPr>
        <w:t xml:space="preserve"> is a right that is owned by creditors in certain circumstances and can view null and void certain actions that have been done by the debtor to harm the creditor.</w:t>
      </w:r>
      <w:r w:rsidRPr="00B62DC3">
        <w:rPr>
          <w:rStyle w:val="FootnoteReference"/>
          <w:rFonts w:ascii="Arial" w:hAnsi="Arial" w:cs="Arial"/>
          <w:sz w:val="22"/>
          <w:szCs w:val="22"/>
        </w:rPr>
        <w:footnoteReference w:id="19"/>
      </w:r>
      <w:r w:rsidRPr="00B62DC3">
        <w:rPr>
          <w:rFonts w:ascii="Arial" w:hAnsi="Arial" w:cs="Arial"/>
          <w:sz w:val="22"/>
          <w:szCs w:val="22"/>
        </w:rPr>
        <w:t xml:space="preserve"> Debt collecting procedures in civil law developed from individual debt collecting procedures, and subsequently developed into collective debt collecting mechanisms.</w:t>
      </w:r>
      <w:r w:rsidRPr="00B62DC3">
        <w:rPr>
          <w:rStyle w:val="FootnoteReference"/>
          <w:rFonts w:ascii="Arial" w:hAnsi="Arial" w:cs="Arial"/>
          <w:sz w:val="22"/>
          <w:szCs w:val="22"/>
        </w:rPr>
        <w:footnoteReference w:id="20"/>
      </w:r>
    </w:p>
    <w:p w14:paraId="7C96E239" w14:textId="70E49D4F" w:rsidR="003E2889" w:rsidRDefault="003E2889" w:rsidP="003E2889">
      <w:pPr>
        <w:rPr>
          <w:rFonts w:ascii="Arial" w:hAnsi="Arial" w:cs="Arial"/>
          <w:sz w:val="22"/>
          <w:szCs w:val="22"/>
        </w:rPr>
      </w:pPr>
      <w:r w:rsidRPr="00B62DC3">
        <w:rPr>
          <w:rFonts w:ascii="Arial" w:hAnsi="Arial" w:cs="Arial"/>
          <w:sz w:val="22"/>
          <w:szCs w:val="22"/>
        </w:rPr>
        <w:lastRenderedPageBreak/>
        <w:t>In the English system, the Act of Elizabeth of 1570 forms the basis of voidable disposition law.</w:t>
      </w:r>
      <w:r w:rsidRPr="00B62DC3">
        <w:rPr>
          <w:rStyle w:val="FootnoteReference"/>
          <w:rFonts w:ascii="Arial" w:hAnsi="Arial" w:cs="Arial"/>
          <w:sz w:val="22"/>
          <w:szCs w:val="22"/>
        </w:rPr>
        <w:footnoteReference w:id="21"/>
      </w:r>
      <w:r w:rsidRPr="00B62DC3">
        <w:rPr>
          <w:rFonts w:ascii="Arial" w:hAnsi="Arial" w:cs="Arial"/>
          <w:sz w:val="22"/>
          <w:szCs w:val="22"/>
        </w:rPr>
        <w:t xml:space="preserve"> Similarly to the civil system, the English system initially focused on individual debt collecting procedures prior to its collective bankruptcy procedure. </w:t>
      </w:r>
    </w:p>
    <w:p w14:paraId="0D73DF4E" w14:textId="77777777" w:rsidR="00CB6B22" w:rsidRPr="00B62DC3" w:rsidRDefault="00CB6B22" w:rsidP="003E2889">
      <w:pPr>
        <w:rPr>
          <w:rFonts w:ascii="Arial" w:hAnsi="Arial" w:cs="Arial"/>
          <w:sz w:val="22"/>
          <w:szCs w:val="22"/>
        </w:rPr>
      </w:pPr>
    </w:p>
    <w:p w14:paraId="7E9F61C4" w14:textId="314A73B3" w:rsidR="00AB63DE" w:rsidRPr="00CB6B22" w:rsidRDefault="003E2889" w:rsidP="00CB6B22">
      <w:pPr>
        <w:rPr>
          <w:rFonts w:ascii="Arial" w:hAnsi="Arial" w:cs="Arial"/>
          <w:sz w:val="22"/>
          <w:szCs w:val="22"/>
        </w:rPr>
      </w:pPr>
      <w:r w:rsidRPr="00B62DC3">
        <w:rPr>
          <w:rFonts w:ascii="Arial" w:hAnsi="Arial" w:cs="Arial"/>
          <w:sz w:val="22"/>
          <w:szCs w:val="22"/>
        </w:rPr>
        <w:t xml:space="preserve">Voidable disposition rules are important in insolvency given they provide a mechanism to avoid fraud, ensure equitable treatment of all creditors and ensure assets are not illegally dispersed prior to proceedings, thereby ensuring the best possible outcome for creditors. </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24481ED4" w14:textId="104574FE" w:rsidR="003E2889" w:rsidRDefault="003E2889" w:rsidP="003E2889">
      <w:pPr>
        <w:rPr>
          <w:rFonts w:ascii="Arial" w:hAnsi="Arial" w:cs="Arial"/>
          <w:sz w:val="22"/>
          <w:szCs w:val="22"/>
        </w:rPr>
      </w:pPr>
      <w:r w:rsidRPr="00B62DC3">
        <w:rPr>
          <w:rFonts w:ascii="Arial" w:hAnsi="Arial" w:cs="Arial"/>
          <w:sz w:val="22"/>
          <w:szCs w:val="22"/>
        </w:rPr>
        <w:t>The definition on international insolvency law referred to is by B Wessels. Wessels believes his definition is limited given "…it is connected to the existence of a national legal framework of insolvency law."</w:t>
      </w:r>
      <w:r w:rsidRPr="00B62DC3">
        <w:rPr>
          <w:rStyle w:val="FootnoteReference"/>
          <w:rFonts w:ascii="Arial" w:hAnsi="Arial" w:cs="Arial"/>
          <w:sz w:val="22"/>
          <w:szCs w:val="22"/>
        </w:rPr>
        <w:footnoteReference w:id="22"/>
      </w:r>
    </w:p>
    <w:p w14:paraId="53A5FB61" w14:textId="77777777" w:rsidR="00CB6B22" w:rsidRPr="00B62DC3" w:rsidRDefault="00CB6B22" w:rsidP="003E2889">
      <w:pPr>
        <w:rPr>
          <w:rFonts w:ascii="Arial" w:hAnsi="Arial" w:cs="Arial"/>
          <w:sz w:val="22"/>
          <w:szCs w:val="22"/>
        </w:rPr>
      </w:pPr>
    </w:p>
    <w:p w14:paraId="7DD370C5" w14:textId="21A9A08A" w:rsidR="003E2889" w:rsidRDefault="003E2889" w:rsidP="003E2889">
      <w:pPr>
        <w:rPr>
          <w:rFonts w:ascii="Arial" w:hAnsi="Arial" w:cs="Arial"/>
          <w:sz w:val="22"/>
          <w:szCs w:val="22"/>
        </w:rPr>
      </w:pPr>
      <w:r w:rsidRPr="00B62DC3">
        <w:rPr>
          <w:rFonts w:ascii="Arial" w:hAnsi="Arial" w:cs="Arial"/>
          <w:sz w:val="22"/>
          <w:szCs w:val="22"/>
        </w:rPr>
        <w:t>I believe Wessels treats this as a limitation as most domestic laws are ill-equipped when it comes to dealing with cross-border insolvency situations. A state's enforcement of its jurisdiction ends, generally speaking, with its national borders.</w:t>
      </w:r>
      <w:r w:rsidRPr="00B62DC3">
        <w:rPr>
          <w:rStyle w:val="FootnoteReference"/>
          <w:rFonts w:ascii="Arial" w:hAnsi="Arial" w:cs="Arial"/>
          <w:sz w:val="22"/>
          <w:szCs w:val="22"/>
        </w:rPr>
        <w:footnoteReference w:id="23"/>
      </w:r>
      <w:r w:rsidRPr="00B62DC3">
        <w:rPr>
          <w:rFonts w:ascii="Arial" w:hAnsi="Arial" w:cs="Arial"/>
          <w:sz w:val="22"/>
          <w:szCs w:val="22"/>
        </w:rPr>
        <w:t xml:space="preserve"> Furthermore, in the current economy, national borders are becoming more irrelevant. Given the present-day mobility of people and the speed at which assets can be transferred, recognitions of insolvency proceedings in one state where the debtor holds assets at the commencement of proceedings in another state of the common market, cannot depend solely on the goodwill of the first state.</w:t>
      </w:r>
      <w:r w:rsidRPr="00B62DC3">
        <w:rPr>
          <w:rStyle w:val="FootnoteReference"/>
          <w:rFonts w:ascii="Arial" w:hAnsi="Arial" w:cs="Arial"/>
          <w:sz w:val="22"/>
          <w:szCs w:val="22"/>
        </w:rPr>
        <w:footnoteReference w:id="24"/>
      </w:r>
    </w:p>
    <w:p w14:paraId="0380A1FB" w14:textId="77777777" w:rsidR="00CB6B22" w:rsidRPr="00B62DC3" w:rsidRDefault="00CB6B22" w:rsidP="003E2889">
      <w:pPr>
        <w:rPr>
          <w:rFonts w:ascii="Arial" w:hAnsi="Arial" w:cs="Arial"/>
          <w:sz w:val="22"/>
          <w:szCs w:val="22"/>
        </w:rPr>
      </w:pPr>
    </w:p>
    <w:p w14:paraId="4B38DBAD" w14:textId="014CFB52" w:rsidR="001E1C34" w:rsidRPr="00CB6B22" w:rsidRDefault="003E2889" w:rsidP="00CB6B22">
      <w:pPr>
        <w:rPr>
          <w:rFonts w:ascii="Arial" w:hAnsi="Arial" w:cs="Arial"/>
          <w:sz w:val="22"/>
          <w:szCs w:val="22"/>
        </w:rPr>
      </w:pPr>
      <w:r w:rsidRPr="00B62DC3">
        <w:rPr>
          <w:rFonts w:ascii="Arial" w:hAnsi="Arial" w:cs="Arial"/>
          <w:sz w:val="22"/>
          <w:szCs w:val="22"/>
        </w:rPr>
        <w:t>The limitation in Wessels' definition is further exposed when considering other definitions of 'international insolvency'. For instance, Fletche</w:t>
      </w:r>
      <w:r w:rsidR="00CB6B22">
        <w:rPr>
          <w:rFonts w:ascii="Arial" w:hAnsi="Arial" w:cs="Arial"/>
          <w:sz w:val="22"/>
          <w:szCs w:val="22"/>
        </w:rPr>
        <w:t>r</w:t>
      </w:r>
      <w:r w:rsidRPr="00B62DC3">
        <w:rPr>
          <w:rFonts w:ascii="Arial" w:hAnsi="Arial" w:cs="Arial"/>
          <w:sz w:val="22"/>
          <w:szCs w:val="22"/>
        </w:rPr>
        <w:t xml:space="preserve"> defined 'international insolvency' as a situation where an insolvency "…transcends the confines of a single legal systems…".</w:t>
      </w:r>
      <w:r w:rsidRPr="00B62DC3">
        <w:rPr>
          <w:rStyle w:val="FootnoteReference"/>
          <w:rFonts w:ascii="Arial" w:hAnsi="Arial" w:cs="Arial"/>
          <w:sz w:val="22"/>
          <w:szCs w:val="22"/>
        </w:rPr>
        <w:footnoteReference w:id="25"/>
      </w:r>
      <w:r w:rsidRPr="00B62DC3">
        <w:rPr>
          <w:rFonts w:ascii="Arial" w:hAnsi="Arial" w:cs="Arial"/>
          <w:sz w:val="22"/>
          <w:szCs w:val="22"/>
        </w:rPr>
        <w:t xml:space="preserve"> Again, this demonstrates that the notion of a national legal system is somewhat misplaced when considering internal insolvency law.</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07AEE330" w14:textId="01523257" w:rsidR="003E2889" w:rsidRDefault="003E2889" w:rsidP="003E2889">
      <w:pPr>
        <w:rPr>
          <w:rFonts w:ascii="Arial" w:hAnsi="Arial" w:cs="Arial"/>
          <w:sz w:val="22"/>
          <w:szCs w:val="22"/>
        </w:rPr>
      </w:pPr>
      <w:r w:rsidRPr="00B62DC3">
        <w:rPr>
          <w:rFonts w:ascii="Arial" w:hAnsi="Arial" w:cs="Arial"/>
          <w:sz w:val="22"/>
          <w:szCs w:val="22"/>
        </w:rPr>
        <w:lastRenderedPageBreak/>
        <w:t>Treaties and conventions are instruments accepted or ratified by States which amend or add to States' domestic laws in order to resolve cross-border insolvency issues.</w:t>
      </w:r>
      <w:r w:rsidRPr="00B62DC3">
        <w:rPr>
          <w:rStyle w:val="FootnoteReference"/>
          <w:rFonts w:ascii="Arial" w:hAnsi="Arial" w:cs="Arial"/>
          <w:sz w:val="22"/>
          <w:szCs w:val="22"/>
        </w:rPr>
        <w:footnoteReference w:id="26"/>
      </w:r>
      <w:r w:rsidRPr="00B62DC3">
        <w:rPr>
          <w:rFonts w:ascii="Arial" w:hAnsi="Arial" w:cs="Arial"/>
          <w:sz w:val="22"/>
          <w:szCs w:val="22"/>
        </w:rPr>
        <w:t xml:space="preserve"> Once States have bound themselves to the relevant treaty or convention, that treaty or convention then becomes part of the State's hard law.</w:t>
      </w:r>
      <w:r w:rsidRPr="00B62DC3">
        <w:rPr>
          <w:rStyle w:val="FootnoteReference"/>
          <w:rFonts w:ascii="Arial" w:hAnsi="Arial" w:cs="Arial"/>
          <w:sz w:val="22"/>
          <w:szCs w:val="22"/>
        </w:rPr>
        <w:footnoteReference w:id="27"/>
      </w:r>
      <w:r w:rsidRPr="00B62DC3">
        <w:rPr>
          <w:rFonts w:ascii="Arial" w:hAnsi="Arial" w:cs="Arial"/>
          <w:sz w:val="22"/>
          <w:szCs w:val="22"/>
        </w:rPr>
        <w:t xml:space="preserve"> </w:t>
      </w:r>
    </w:p>
    <w:p w14:paraId="4961D3E7" w14:textId="77777777" w:rsidR="00CB6B22" w:rsidRPr="00B62DC3" w:rsidRDefault="00CB6B22" w:rsidP="003E2889">
      <w:pPr>
        <w:rPr>
          <w:rFonts w:ascii="Arial" w:hAnsi="Arial" w:cs="Arial"/>
          <w:sz w:val="22"/>
          <w:szCs w:val="22"/>
        </w:rPr>
      </w:pPr>
    </w:p>
    <w:p w14:paraId="5B4E6880" w14:textId="490B0EE8" w:rsidR="003E2889" w:rsidRDefault="003E2889" w:rsidP="003E2889">
      <w:pPr>
        <w:rPr>
          <w:rFonts w:ascii="Arial" w:hAnsi="Arial" w:cs="Arial"/>
          <w:sz w:val="22"/>
          <w:szCs w:val="22"/>
        </w:rPr>
      </w:pPr>
      <w:r w:rsidRPr="00B62DC3">
        <w:rPr>
          <w:rFonts w:ascii="Arial" w:hAnsi="Arial" w:cs="Arial"/>
          <w:sz w:val="22"/>
          <w:szCs w:val="22"/>
        </w:rPr>
        <w:t xml:space="preserve">The effectiveness of treaties and conventions as a successful way of establishing cross-border insolvency law depends largely on how many States become signatories, as well as how many States out of the signatories then ratify the relevant treaty or convention. </w:t>
      </w:r>
    </w:p>
    <w:p w14:paraId="4847BE89" w14:textId="77777777" w:rsidR="00CB6B22" w:rsidRPr="00B62DC3" w:rsidRDefault="00CB6B22" w:rsidP="003E2889">
      <w:pPr>
        <w:rPr>
          <w:rFonts w:ascii="Arial" w:hAnsi="Arial" w:cs="Arial"/>
          <w:sz w:val="22"/>
          <w:szCs w:val="22"/>
        </w:rPr>
      </w:pPr>
    </w:p>
    <w:p w14:paraId="6A0BDBF3" w14:textId="036568F6" w:rsidR="003E2889" w:rsidRDefault="003E2889" w:rsidP="003E2889">
      <w:pPr>
        <w:rPr>
          <w:rFonts w:ascii="Arial" w:hAnsi="Arial" w:cs="Arial"/>
          <w:sz w:val="22"/>
          <w:szCs w:val="22"/>
        </w:rPr>
      </w:pPr>
      <w:r w:rsidRPr="00B62DC3">
        <w:rPr>
          <w:rFonts w:ascii="Arial" w:hAnsi="Arial" w:cs="Arial"/>
          <w:sz w:val="22"/>
          <w:szCs w:val="22"/>
        </w:rPr>
        <w:t>For example, the Nordic Convention of 1933 is a successful multilateral treaty from the Scandinavian region. The reason for its success is that it continues in effect between Denmark, Finland, Iceland, Norway and Sweden and displays great comity between its members.</w:t>
      </w:r>
      <w:r w:rsidRPr="00B62DC3">
        <w:rPr>
          <w:rStyle w:val="FootnoteReference"/>
          <w:rFonts w:ascii="Arial" w:hAnsi="Arial" w:cs="Arial"/>
          <w:sz w:val="22"/>
          <w:szCs w:val="22"/>
        </w:rPr>
        <w:footnoteReference w:id="28"/>
      </w:r>
      <w:r w:rsidRPr="00B62DC3">
        <w:rPr>
          <w:rFonts w:ascii="Arial" w:hAnsi="Arial" w:cs="Arial"/>
          <w:sz w:val="22"/>
          <w:szCs w:val="22"/>
        </w:rPr>
        <w:t xml:space="preserve"> For example, it allows for local recognition to the courts for bankruptcy related acts in other member States, as well as promotes the "ideal of universality of a nominated insolvency".</w:t>
      </w:r>
      <w:r w:rsidRPr="00B62DC3">
        <w:rPr>
          <w:rStyle w:val="FootnoteReference"/>
          <w:rFonts w:ascii="Arial" w:hAnsi="Arial" w:cs="Arial"/>
          <w:sz w:val="22"/>
          <w:szCs w:val="22"/>
        </w:rPr>
        <w:footnoteReference w:id="29"/>
      </w:r>
      <w:r w:rsidRPr="00B62DC3">
        <w:rPr>
          <w:rFonts w:ascii="Arial" w:hAnsi="Arial" w:cs="Arial"/>
          <w:sz w:val="22"/>
          <w:szCs w:val="22"/>
        </w:rPr>
        <w:t xml:space="preserve"> The Nordic Convention is therefore a successful example of a convention that establishes cross-border insolvency law, but it would be markedly less successful in doing so if not as many Nordic states had acceded and ratified the convention. </w:t>
      </w:r>
    </w:p>
    <w:p w14:paraId="64785B04" w14:textId="77777777" w:rsidR="00CB6B22" w:rsidRPr="00B62DC3" w:rsidRDefault="00CB6B22" w:rsidP="003E2889">
      <w:pPr>
        <w:rPr>
          <w:rFonts w:ascii="Arial" w:hAnsi="Arial" w:cs="Arial"/>
          <w:sz w:val="22"/>
          <w:szCs w:val="22"/>
        </w:rPr>
      </w:pPr>
    </w:p>
    <w:p w14:paraId="492D35CC" w14:textId="78488463" w:rsidR="001E1C34" w:rsidRPr="00CB6B22" w:rsidRDefault="003E2889" w:rsidP="00CB6B22">
      <w:pPr>
        <w:rPr>
          <w:rFonts w:ascii="Arial" w:hAnsi="Arial" w:cs="Arial"/>
          <w:sz w:val="22"/>
          <w:szCs w:val="22"/>
        </w:rPr>
      </w:pPr>
      <w:r w:rsidRPr="00B62DC3">
        <w:rPr>
          <w:rFonts w:ascii="Arial" w:hAnsi="Arial" w:cs="Arial"/>
          <w:sz w:val="22"/>
          <w:szCs w:val="22"/>
        </w:rPr>
        <w:t>A less successful example of a convention establishing cross-border insolvency law is the 1990 Istanbul Convention, Council of Europe Treaty Series No 135.</w:t>
      </w:r>
      <w:r w:rsidRPr="00B62DC3">
        <w:rPr>
          <w:rStyle w:val="FootnoteReference"/>
          <w:rFonts w:ascii="Arial" w:hAnsi="Arial" w:cs="Arial"/>
          <w:sz w:val="22"/>
          <w:szCs w:val="22"/>
        </w:rPr>
        <w:footnoteReference w:id="30"/>
      </w:r>
      <w:r w:rsidRPr="00B62DC3">
        <w:rPr>
          <w:rFonts w:ascii="Arial" w:hAnsi="Arial" w:cs="Arial"/>
          <w:sz w:val="22"/>
          <w:szCs w:val="22"/>
        </w:rPr>
        <w:t xml:space="preserve"> Although this convention was signed by 8 member states, it did not enter into force due to an insufficient number of signatories ratifying the convention.</w:t>
      </w:r>
      <w:r w:rsidRPr="00B62DC3">
        <w:rPr>
          <w:rStyle w:val="FootnoteReference"/>
          <w:rFonts w:ascii="Arial" w:hAnsi="Arial" w:cs="Arial"/>
          <w:sz w:val="22"/>
          <w:szCs w:val="22"/>
        </w:rPr>
        <w:footnoteReference w:id="31"/>
      </w:r>
      <w:r w:rsidRPr="00B62DC3">
        <w:rPr>
          <w:rFonts w:ascii="Arial" w:hAnsi="Arial" w:cs="Arial"/>
          <w:sz w:val="22"/>
          <w:szCs w:val="22"/>
        </w:rPr>
        <w:t xml:space="preserve"> Even so, the Istanbul Convention has been said to go on and influence the development of the European Union's response to international insolvency issues.</w:t>
      </w:r>
      <w:r w:rsidRPr="00B62DC3">
        <w:rPr>
          <w:rStyle w:val="FootnoteReference"/>
          <w:rFonts w:ascii="Arial" w:hAnsi="Arial" w:cs="Arial"/>
          <w:sz w:val="22"/>
          <w:szCs w:val="22"/>
        </w:rPr>
        <w:footnoteReference w:id="32"/>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w:t>
      </w:r>
      <w:r w:rsidR="004E1D03" w:rsidRPr="004216EA">
        <w:rPr>
          <w:rFonts w:ascii="Avenir Next" w:hAnsi="Avenir Next" w:cs="Arial"/>
          <w:sz w:val="22"/>
          <w:szCs w:val="22"/>
          <w:lang w:val="en-GB"/>
        </w:rPr>
        <w:lastRenderedPageBreak/>
        <w:t>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6407D1B6" w14:textId="110BC54D" w:rsidR="003E2889" w:rsidRDefault="003E2889" w:rsidP="003E2889">
      <w:pPr>
        <w:rPr>
          <w:rFonts w:ascii="Arial" w:hAnsi="Arial" w:cs="Arial"/>
          <w:sz w:val="22"/>
          <w:szCs w:val="22"/>
        </w:rPr>
      </w:pPr>
      <w:r w:rsidRPr="00B62DC3">
        <w:rPr>
          <w:rFonts w:ascii="Arial" w:hAnsi="Arial" w:cs="Arial"/>
          <w:sz w:val="22"/>
          <w:szCs w:val="22"/>
        </w:rPr>
        <w:t>In general, formal insolvency proceedings are commenced under and governed by the relevant country's/state's law, which can include liquidation, debt recovery or rescue proceedings.</w:t>
      </w:r>
      <w:r w:rsidRPr="00B62DC3">
        <w:rPr>
          <w:rStyle w:val="FootnoteReference"/>
          <w:rFonts w:ascii="Arial" w:hAnsi="Arial" w:cs="Arial"/>
          <w:sz w:val="22"/>
          <w:szCs w:val="22"/>
        </w:rPr>
        <w:footnoteReference w:id="33"/>
      </w:r>
    </w:p>
    <w:p w14:paraId="0B9CCDDA" w14:textId="77777777" w:rsidR="00CB6B22" w:rsidRPr="00B62DC3" w:rsidRDefault="00CB6B22" w:rsidP="003E2889">
      <w:pPr>
        <w:rPr>
          <w:rFonts w:ascii="Arial" w:hAnsi="Arial" w:cs="Arial"/>
          <w:sz w:val="22"/>
          <w:szCs w:val="22"/>
        </w:rPr>
      </w:pPr>
    </w:p>
    <w:p w14:paraId="1B050D1C" w14:textId="1991E47D" w:rsidR="003E2889" w:rsidRDefault="003E2889" w:rsidP="003E2889">
      <w:pPr>
        <w:rPr>
          <w:rFonts w:ascii="Arial" w:hAnsi="Arial" w:cs="Arial"/>
          <w:sz w:val="22"/>
          <w:szCs w:val="22"/>
        </w:rPr>
      </w:pPr>
      <w:r w:rsidRPr="00B62DC3">
        <w:rPr>
          <w:rFonts w:ascii="Arial" w:hAnsi="Arial" w:cs="Arial"/>
          <w:sz w:val="22"/>
          <w:szCs w:val="22"/>
        </w:rPr>
        <w:t>On the other hand, informal insolvency proceedings are not always governed by the relevant country's/state's law and will depend on voluntary negotiations involving the debtor and creditor/creditors.</w:t>
      </w:r>
      <w:r w:rsidRPr="00B62DC3">
        <w:rPr>
          <w:rStyle w:val="FootnoteReference"/>
          <w:rFonts w:ascii="Arial" w:hAnsi="Arial" w:cs="Arial"/>
          <w:sz w:val="22"/>
          <w:szCs w:val="22"/>
        </w:rPr>
        <w:footnoteReference w:id="34"/>
      </w:r>
      <w:r w:rsidRPr="00B62DC3">
        <w:rPr>
          <w:rFonts w:ascii="Arial" w:hAnsi="Arial" w:cs="Arial"/>
          <w:sz w:val="22"/>
          <w:szCs w:val="22"/>
        </w:rPr>
        <w:t xml:space="preserve"> Those voluntary negotiations often will provide for some type of restructuring of the debtor. Furthermore, the effectiveness of the negotiations will often depend on the relevant country's/state's insolvency law, as although it does not regulate the informal proceeding, it may provide incentives or persuasive force.</w:t>
      </w:r>
      <w:r w:rsidRPr="00B62DC3">
        <w:rPr>
          <w:rStyle w:val="FootnoteReference"/>
          <w:rFonts w:ascii="Arial" w:hAnsi="Arial" w:cs="Arial"/>
          <w:sz w:val="22"/>
          <w:szCs w:val="22"/>
        </w:rPr>
        <w:footnoteReference w:id="35"/>
      </w:r>
    </w:p>
    <w:p w14:paraId="0CF73D0C" w14:textId="77777777" w:rsidR="00CB6B22" w:rsidRPr="00B62DC3" w:rsidRDefault="00CB6B22" w:rsidP="003E2889">
      <w:pPr>
        <w:rPr>
          <w:rFonts w:ascii="Arial" w:hAnsi="Arial" w:cs="Arial"/>
          <w:sz w:val="22"/>
          <w:szCs w:val="22"/>
        </w:rPr>
      </w:pPr>
    </w:p>
    <w:p w14:paraId="2BD4A46B" w14:textId="03ED9A3A" w:rsidR="003E2889" w:rsidRDefault="003E2889" w:rsidP="003E2889">
      <w:pPr>
        <w:rPr>
          <w:rFonts w:ascii="Arial" w:hAnsi="Arial" w:cs="Arial"/>
          <w:sz w:val="22"/>
          <w:szCs w:val="22"/>
        </w:rPr>
      </w:pPr>
      <w:r w:rsidRPr="00B62DC3">
        <w:rPr>
          <w:rFonts w:ascii="Arial" w:hAnsi="Arial" w:cs="Arial"/>
          <w:sz w:val="22"/>
          <w:szCs w:val="22"/>
        </w:rPr>
        <w:t xml:space="preserve">More information on Encanto's insolvency laws is required to accurately </w:t>
      </w:r>
      <w:proofErr w:type="spellStart"/>
      <w:r w:rsidRPr="00B62DC3">
        <w:rPr>
          <w:rFonts w:ascii="Arial" w:hAnsi="Arial" w:cs="Arial"/>
          <w:sz w:val="22"/>
          <w:szCs w:val="22"/>
        </w:rPr>
        <w:t>analyse</w:t>
      </w:r>
      <w:proofErr w:type="spellEnd"/>
      <w:r w:rsidRPr="00B62DC3">
        <w:rPr>
          <w:rFonts w:ascii="Arial" w:hAnsi="Arial" w:cs="Arial"/>
          <w:sz w:val="22"/>
          <w:szCs w:val="22"/>
        </w:rPr>
        <w:t xml:space="preserve"> the differences and advantages Lobo should consider between any formal or informal arrangements. </w:t>
      </w:r>
    </w:p>
    <w:p w14:paraId="4D4264A2" w14:textId="77777777" w:rsidR="00CB6B22" w:rsidRPr="00B62DC3" w:rsidRDefault="00CB6B22" w:rsidP="003E2889">
      <w:pPr>
        <w:rPr>
          <w:rFonts w:ascii="Arial" w:hAnsi="Arial" w:cs="Arial"/>
          <w:sz w:val="22"/>
          <w:szCs w:val="22"/>
        </w:rPr>
      </w:pPr>
    </w:p>
    <w:p w14:paraId="17B46E05" w14:textId="77777777" w:rsidR="003E2889" w:rsidRPr="00B62DC3" w:rsidRDefault="003E2889" w:rsidP="003E2889">
      <w:pPr>
        <w:rPr>
          <w:rFonts w:ascii="Arial" w:hAnsi="Arial" w:cs="Arial"/>
          <w:sz w:val="22"/>
          <w:szCs w:val="22"/>
        </w:rPr>
      </w:pPr>
      <w:r w:rsidRPr="00B62DC3">
        <w:rPr>
          <w:rFonts w:ascii="Arial" w:hAnsi="Arial" w:cs="Arial"/>
          <w:sz w:val="22"/>
          <w:szCs w:val="22"/>
        </w:rPr>
        <w:t>Generally speaking, however, Lobo should consider that:</w:t>
      </w:r>
    </w:p>
    <w:p w14:paraId="7FED84CA" w14:textId="77777777" w:rsidR="003E2889" w:rsidRPr="00B62DC3" w:rsidRDefault="003E2889" w:rsidP="003E2889">
      <w:pPr>
        <w:pStyle w:val="ListParagraph"/>
        <w:numPr>
          <w:ilvl w:val="0"/>
          <w:numId w:val="26"/>
        </w:numPr>
        <w:spacing w:before="120" w:after="120"/>
        <w:contextualSpacing w:val="0"/>
        <w:rPr>
          <w:rFonts w:ascii="Arial" w:hAnsi="Arial" w:cs="Arial"/>
          <w:sz w:val="22"/>
          <w:szCs w:val="22"/>
        </w:rPr>
      </w:pPr>
      <w:r w:rsidRPr="00B62DC3">
        <w:rPr>
          <w:rFonts w:ascii="Arial" w:hAnsi="Arial" w:cs="Arial"/>
          <w:sz w:val="22"/>
          <w:szCs w:val="22"/>
        </w:rPr>
        <w:t>An informal out-of-court arrangement would mean that no moratorium would be put in place to prevent other creditors from commencing proceedings</w:t>
      </w:r>
      <w:r w:rsidRPr="00B62DC3">
        <w:rPr>
          <w:rStyle w:val="FootnoteReference"/>
          <w:rFonts w:ascii="Arial" w:hAnsi="Arial" w:cs="Arial"/>
          <w:sz w:val="22"/>
          <w:szCs w:val="22"/>
        </w:rPr>
        <w:footnoteReference w:id="36"/>
      </w:r>
      <w:r w:rsidRPr="00B62DC3">
        <w:rPr>
          <w:rFonts w:ascii="Arial" w:hAnsi="Arial" w:cs="Arial"/>
          <w:sz w:val="22"/>
          <w:szCs w:val="22"/>
        </w:rPr>
        <w:t xml:space="preserve"> against FPPL, which may affect the pool of assets available to satisfy the outstanding debt owed to Lobo. If formal proceedings were initiated, a statutory moratorium would be in place, which would prevent legal proceedings.</w:t>
      </w:r>
      <w:r w:rsidRPr="00B62DC3">
        <w:rPr>
          <w:rStyle w:val="FootnoteReference"/>
          <w:rFonts w:ascii="Arial" w:hAnsi="Arial" w:cs="Arial"/>
          <w:sz w:val="22"/>
          <w:szCs w:val="22"/>
        </w:rPr>
        <w:footnoteReference w:id="37"/>
      </w:r>
    </w:p>
    <w:p w14:paraId="560C2474" w14:textId="77777777" w:rsidR="003E2889" w:rsidRPr="00B62DC3" w:rsidRDefault="003E2889" w:rsidP="003E2889">
      <w:pPr>
        <w:pStyle w:val="ListParagraph"/>
        <w:numPr>
          <w:ilvl w:val="0"/>
          <w:numId w:val="26"/>
        </w:numPr>
        <w:spacing w:before="120" w:after="120"/>
        <w:contextualSpacing w:val="0"/>
        <w:rPr>
          <w:rFonts w:ascii="Arial" w:hAnsi="Arial" w:cs="Arial"/>
          <w:sz w:val="22"/>
          <w:szCs w:val="22"/>
        </w:rPr>
      </w:pPr>
      <w:r w:rsidRPr="00B62DC3">
        <w:rPr>
          <w:rFonts w:ascii="Arial" w:hAnsi="Arial" w:cs="Arial"/>
          <w:sz w:val="22"/>
          <w:szCs w:val="22"/>
        </w:rPr>
        <w:t>An informal out-of-court arrangement would also mean that there is no way to bind dissenting creditors to any agreement reached.</w:t>
      </w:r>
      <w:r w:rsidRPr="00B62DC3">
        <w:rPr>
          <w:rStyle w:val="FootnoteReference"/>
          <w:rFonts w:ascii="Arial" w:hAnsi="Arial" w:cs="Arial"/>
          <w:sz w:val="22"/>
          <w:szCs w:val="22"/>
        </w:rPr>
        <w:footnoteReference w:id="38"/>
      </w:r>
      <w:r w:rsidRPr="00B62DC3">
        <w:rPr>
          <w:rFonts w:ascii="Arial" w:hAnsi="Arial" w:cs="Arial"/>
          <w:sz w:val="22"/>
          <w:szCs w:val="22"/>
        </w:rPr>
        <w:t xml:space="preserve"> This would mean that there is less incentive for FPPL to enter into an informal arrangement with Lobo as there is no guarantee another creditor will not pursue FPPL. As such, an informal procedure would provide Lobo with less certainty. </w:t>
      </w:r>
    </w:p>
    <w:p w14:paraId="2ADF65B6" w14:textId="77777777" w:rsidR="003E2889" w:rsidRPr="00B62DC3" w:rsidRDefault="003E2889" w:rsidP="003E2889">
      <w:pPr>
        <w:pStyle w:val="ListParagraph"/>
        <w:numPr>
          <w:ilvl w:val="0"/>
          <w:numId w:val="26"/>
        </w:numPr>
        <w:spacing w:before="120" w:after="120"/>
        <w:contextualSpacing w:val="0"/>
        <w:rPr>
          <w:rFonts w:ascii="Arial" w:hAnsi="Arial" w:cs="Arial"/>
          <w:sz w:val="22"/>
          <w:szCs w:val="22"/>
        </w:rPr>
      </w:pPr>
      <w:r w:rsidRPr="00B62DC3">
        <w:rPr>
          <w:rFonts w:ascii="Arial" w:hAnsi="Arial" w:cs="Arial"/>
          <w:sz w:val="22"/>
          <w:szCs w:val="22"/>
        </w:rPr>
        <w:t>On the other hand, Lobo's costs would be significantly lower with an informal arrangement as the courts are not involved.</w:t>
      </w:r>
      <w:r w:rsidRPr="00B62DC3">
        <w:rPr>
          <w:rStyle w:val="FootnoteReference"/>
          <w:rFonts w:ascii="Arial" w:hAnsi="Arial" w:cs="Arial"/>
          <w:sz w:val="22"/>
          <w:szCs w:val="22"/>
        </w:rPr>
        <w:footnoteReference w:id="39"/>
      </w:r>
    </w:p>
    <w:p w14:paraId="7CBF012E" w14:textId="079B38E8" w:rsidR="001E1C34" w:rsidRPr="00CB6B22" w:rsidRDefault="003E2889" w:rsidP="00CB6B22">
      <w:pPr>
        <w:pStyle w:val="ListParagraph"/>
        <w:numPr>
          <w:ilvl w:val="0"/>
          <w:numId w:val="26"/>
        </w:numPr>
        <w:spacing w:before="120" w:after="120"/>
        <w:contextualSpacing w:val="0"/>
        <w:rPr>
          <w:rFonts w:ascii="Arial" w:hAnsi="Arial" w:cs="Arial"/>
          <w:sz w:val="22"/>
          <w:szCs w:val="22"/>
        </w:rPr>
      </w:pPr>
      <w:r w:rsidRPr="00B62DC3">
        <w:rPr>
          <w:rFonts w:ascii="Arial" w:hAnsi="Arial" w:cs="Arial"/>
          <w:sz w:val="22"/>
          <w:szCs w:val="22"/>
        </w:rPr>
        <w:t>With an informal arrangement, there would also be no publicity involved</w:t>
      </w:r>
      <w:r w:rsidRPr="00B62DC3">
        <w:rPr>
          <w:rStyle w:val="FootnoteReference"/>
          <w:rFonts w:ascii="Arial" w:hAnsi="Arial" w:cs="Arial"/>
          <w:sz w:val="22"/>
          <w:szCs w:val="22"/>
        </w:rPr>
        <w:footnoteReference w:id="40"/>
      </w:r>
      <w:r w:rsidRPr="00B62DC3">
        <w:rPr>
          <w:rFonts w:ascii="Arial" w:hAnsi="Arial" w:cs="Arial"/>
          <w:sz w:val="22"/>
          <w:szCs w:val="22"/>
        </w:rPr>
        <w:t xml:space="preserve"> with the fact that FPPL is facing solvency issues. While this is likely more important to FPPL than to Lobo, Lobo can use this fact to its advantage as it may mean FPPL is more likely to agree to </w:t>
      </w:r>
      <w:proofErr w:type="spellStart"/>
      <w:r w:rsidRPr="00B62DC3">
        <w:rPr>
          <w:rFonts w:ascii="Arial" w:hAnsi="Arial" w:cs="Arial"/>
          <w:sz w:val="22"/>
          <w:szCs w:val="22"/>
        </w:rPr>
        <w:t>favourable</w:t>
      </w:r>
      <w:proofErr w:type="spellEnd"/>
      <w:r w:rsidRPr="00B62DC3">
        <w:rPr>
          <w:rFonts w:ascii="Arial" w:hAnsi="Arial" w:cs="Arial"/>
          <w:sz w:val="22"/>
          <w:szCs w:val="22"/>
        </w:rPr>
        <w:t xml:space="preserve"> terms. </w:t>
      </w: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w:t>
      </w:r>
      <w:r w:rsidR="00586968" w:rsidRPr="004216EA">
        <w:rPr>
          <w:rFonts w:ascii="Avenir Next" w:hAnsi="Avenir Next" w:cs="Arial"/>
          <w:sz w:val="22"/>
          <w:szCs w:val="22"/>
        </w:rPr>
        <w:lastRenderedPageBreak/>
        <w:t xml:space="preserve">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6354152F" w14:textId="68E2C231" w:rsidR="003E2889" w:rsidRDefault="003E2889" w:rsidP="003E2889">
      <w:pPr>
        <w:rPr>
          <w:rFonts w:ascii="Arial" w:hAnsi="Arial" w:cs="Arial"/>
          <w:sz w:val="22"/>
          <w:szCs w:val="22"/>
        </w:rPr>
      </w:pPr>
      <w:r w:rsidRPr="00B62DC3">
        <w:rPr>
          <w:rFonts w:ascii="Arial" w:hAnsi="Arial" w:cs="Arial"/>
          <w:sz w:val="22"/>
          <w:szCs w:val="22"/>
        </w:rPr>
        <w:t>The difficulties that may arise for the insolvency representative here pertaining to co-operation and co-ordination is that the two concurrent proceedings may compete with each other or be incompatible in nature.</w:t>
      </w:r>
      <w:r w:rsidRPr="00B62DC3">
        <w:rPr>
          <w:rStyle w:val="FootnoteReference"/>
          <w:rFonts w:ascii="Arial" w:hAnsi="Arial" w:cs="Arial"/>
          <w:sz w:val="22"/>
          <w:szCs w:val="22"/>
        </w:rPr>
        <w:footnoteReference w:id="41"/>
      </w:r>
      <w:r w:rsidRPr="00B62DC3">
        <w:rPr>
          <w:rFonts w:ascii="Arial" w:hAnsi="Arial" w:cs="Arial"/>
          <w:sz w:val="22"/>
          <w:szCs w:val="22"/>
        </w:rPr>
        <w:t xml:space="preserve"> Ultimately, this may mean that the two insolvency representatives may 'race' for FPPL's assets, with the 'fittest' representatives coming out on top. The issue with this is that it runs counter to the basic global principle of insolvency – </w:t>
      </w:r>
      <w:r w:rsidRPr="00B62DC3">
        <w:rPr>
          <w:rFonts w:ascii="Arial" w:hAnsi="Arial" w:cs="Arial"/>
          <w:i/>
          <w:iCs/>
          <w:sz w:val="22"/>
          <w:szCs w:val="22"/>
        </w:rPr>
        <w:t xml:space="preserve">'par </w:t>
      </w:r>
      <w:proofErr w:type="spellStart"/>
      <w:r w:rsidRPr="00B62DC3">
        <w:rPr>
          <w:rFonts w:ascii="Arial" w:hAnsi="Arial" w:cs="Arial"/>
          <w:i/>
          <w:iCs/>
          <w:sz w:val="22"/>
          <w:szCs w:val="22"/>
        </w:rPr>
        <w:t>conditio</w:t>
      </w:r>
      <w:proofErr w:type="spellEnd"/>
      <w:r w:rsidRPr="00B62DC3">
        <w:rPr>
          <w:rFonts w:ascii="Arial" w:hAnsi="Arial" w:cs="Arial"/>
          <w:i/>
          <w:iCs/>
          <w:sz w:val="22"/>
          <w:szCs w:val="22"/>
        </w:rPr>
        <w:t xml:space="preserve"> </w:t>
      </w:r>
      <w:proofErr w:type="spellStart"/>
      <w:r w:rsidRPr="00B62DC3">
        <w:rPr>
          <w:rFonts w:ascii="Arial" w:hAnsi="Arial" w:cs="Arial"/>
          <w:i/>
          <w:iCs/>
          <w:sz w:val="22"/>
          <w:szCs w:val="22"/>
        </w:rPr>
        <w:t>creditorium</w:t>
      </w:r>
      <w:proofErr w:type="spellEnd"/>
      <w:r w:rsidRPr="00B62DC3">
        <w:rPr>
          <w:rFonts w:ascii="Arial" w:hAnsi="Arial" w:cs="Arial"/>
          <w:i/>
          <w:iCs/>
          <w:sz w:val="22"/>
          <w:szCs w:val="22"/>
        </w:rPr>
        <w:t>'</w:t>
      </w:r>
      <w:r w:rsidRPr="00B62DC3">
        <w:rPr>
          <w:rFonts w:ascii="Arial" w:hAnsi="Arial" w:cs="Arial"/>
          <w:sz w:val="22"/>
          <w:szCs w:val="22"/>
        </w:rPr>
        <w:t xml:space="preserve"> – which is the principle of equality between creditors.</w:t>
      </w:r>
      <w:r w:rsidRPr="00B62DC3">
        <w:rPr>
          <w:rStyle w:val="FootnoteReference"/>
          <w:rFonts w:ascii="Arial" w:hAnsi="Arial" w:cs="Arial"/>
          <w:sz w:val="22"/>
          <w:szCs w:val="22"/>
        </w:rPr>
        <w:footnoteReference w:id="42"/>
      </w:r>
    </w:p>
    <w:p w14:paraId="5E40CE8E" w14:textId="77777777" w:rsidR="00CB6B22" w:rsidRPr="00B62DC3" w:rsidRDefault="00CB6B22" w:rsidP="003E2889">
      <w:pPr>
        <w:rPr>
          <w:rFonts w:ascii="Arial" w:hAnsi="Arial" w:cs="Arial"/>
          <w:sz w:val="22"/>
          <w:szCs w:val="22"/>
        </w:rPr>
      </w:pPr>
    </w:p>
    <w:p w14:paraId="2BBDA5AF" w14:textId="774107FB" w:rsidR="003E2889" w:rsidRDefault="003E2889" w:rsidP="003E2889">
      <w:pPr>
        <w:rPr>
          <w:rFonts w:ascii="Arial" w:hAnsi="Arial" w:cs="Arial"/>
          <w:sz w:val="22"/>
          <w:szCs w:val="22"/>
        </w:rPr>
      </w:pPr>
      <w:r w:rsidRPr="00B62DC3">
        <w:rPr>
          <w:rFonts w:ascii="Arial" w:hAnsi="Arial" w:cs="Arial"/>
          <w:sz w:val="22"/>
          <w:szCs w:val="22"/>
        </w:rPr>
        <w:t xml:space="preserve">Generally speaking, in cases of cross-border insolvency, states would apply its own laws, including its choice of law rules, to determine how to resolve a situation as the one faced by the Asgardian insolvency representative. More information would be required on the relevant laws of Encanto and </w:t>
      </w:r>
      <w:proofErr w:type="spellStart"/>
      <w:r w:rsidRPr="00B62DC3">
        <w:rPr>
          <w:rFonts w:ascii="Arial" w:hAnsi="Arial" w:cs="Arial"/>
          <w:sz w:val="22"/>
          <w:szCs w:val="22"/>
        </w:rPr>
        <w:t>Asgard</w:t>
      </w:r>
      <w:proofErr w:type="spellEnd"/>
      <w:r w:rsidRPr="00B62DC3">
        <w:rPr>
          <w:rFonts w:ascii="Arial" w:hAnsi="Arial" w:cs="Arial"/>
          <w:sz w:val="22"/>
          <w:szCs w:val="22"/>
        </w:rPr>
        <w:t xml:space="preserve">, and how these extend to co-operation and co-ordination to </w:t>
      </w:r>
      <w:proofErr w:type="spellStart"/>
      <w:r w:rsidRPr="00B62DC3">
        <w:rPr>
          <w:rFonts w:ascii="Arial" w:hAnsi="Arial" w:cs="Arial"/>
          <w:sz w:val="22"/>
          <w:szCs w:val="22"/>
        </w:rPr>
        <w:t>analyse</w:t>
      </w:r>
      <w:proofErr w:type="spellEnd"/>
      <w:r w:rsidRPr="00B62DC3">
        <w:rPr>
          <w:rFonts w:ascii="Arial" w:hAnsi="Arial" w:cs="Arial"/>
          <w:sz w:val="22"/>
          <w:szCs w:val="22"/>
        </w:rPr>
        <w:t xml:space="preserve"> the impact and likely resolution of the cross-border insolvency issue here. </w:t>
      </w:r>
    </w:p>
    <w:p w14:paraId="14DC25B1" w14:textId="77777777" w:rsidR="00CB6B22" w:rsidRPr="00B62DC3" w:rsidRDefault="00CB6B22" w:rsidP="003E2889">
      <w:pPr>
        <w:rPr>
          <w:rFonts w:ascii="Arial" w:hAnsi="Arial" w:cs="Arial"/>
          <w:sz w:val="22"/>
          <w:szCs w:val="22"/>
        </w:rPr>
      </w:pPr>
    </w:p>
    <w:p w14:paraId="2589FCD9" w14:textId="77777777" w:rsidR="003E2889" w:rsidRPr="00B62DC3" w:rsidRDefault="003E2889" w:rsidP="003E2889">
      <w:pPr>
        <w:rPr>
          <w:rFonts w:ascii="Arial" w:hAnsi="Arial" w:cs="Arial"/>
          <w:sz w:val="22"/>
          <w:szCs w:val="22"/>
        </w:rPr>
      </w:pPr>
      <w:r w:rsidRPr="00B62DC3">
        <w:rPr>
          <w:rFonts w:ascii="Arial" w:hAnsi="Arial" w:cs="Arial"/>
          <w:sz w:val="22"/>
          <w:szCs w:val="22"/>
        </w:rPr>
        <w:t>Multiple international insolvency instruments have been developed to assist with the above issues, which accept that there are likely to be multiple states with which an insolvent debtor may be connected, raising the risk of multiple concurrent proceedings.</w:t>
      </w:r>
      <w:r w:rsidRPr="00B62DC3">
        <w:rPr>
          <w:rStyle w:val="FootnoteReference"/>
          <w:rFonts w:ascii="Arial" w:hAnsi="Arial" w:cs="Arial"/>
          <w:sz w:val="22"/>
          <w:szCs w:val="22"/>
        </w:rPr>
        <w:footnoteReference w:id="43"/>
      </w:r>
      <w:r w:rsidRPr="00B62DC3">
        <w:rPr>
          <w:rFonts w:ascii="Arial" w:hAnsi="Arial" w:cs="Arial"/>
          <w:sz w:val="22"/>
          <w:szCs w:val="22"/>
        </w:rPr>
        <w:t xml:space="preserve"> For example:</w:t>
      </w:r>
    </w:p>
    <w:p w14:paraId="39B5D53E" w14:textId="77777777" w:rsidR="003E2889" w:rsidRPr="00B62DC3" w:rsidRDefault="003E2889" w:rsidP="003E2889">
      <w:pPr>
        <w:pStyle w:val="ListParagraph"/>
        <w:numPr>
          <w:ilvl w:val="0"/>
          <w:numId w:val="27"/>
        </w:numPr>
        <w:spacing w:before="120" w:after="120"/>
        <w:contextualSpacing w:val="0"/>
        <w:rPr>
          <w:rFonts w:ascii="Arial" w:hAnsi="Arial" w:cs="Arial"/>
          <w:sz w:val="22"/>
          <w:szCs w:val="22"/>
        </w:rPr>
      </w:pPr>
      <w:r w:rsidRPr="00B62DC3">
        <w:rPr>
          <w:rFonts w:ascii="Arial" w:hAnsi="Arial" w:cs="Arial"/>
          <w:sz w:val="22"/>
          <w:szCs w:val="22"/>
        </w:rPr>
        <w:t>The 2004 Legislative Guide on Insolvency Law by the United Nations Commission for International Trade Law (UNCITRAL),</w:t>
      </w:r>
      <w:r w:rsidRPr="00B62DC3">
        <w:rPr>
          <w:rStyle w:val="FootnoteReference"/>
          <w:rFonts w:ascii="Arial" w:hAnsi="Arial" w:cs="Arial"/>
          <w:sz w:val="22"/>
          <w:szCs w:val="22"/>
        </w:rPr>
        <w:footnoteReference w:id="44"/>
      </w:r>
      <w:r w:rsidRPr="00B62DC3">
        <w:rPr>
          <w:rFonts w:ascii="Arial" w:hAnsi="Arial" w:cs="Arial"/>
          <w:sz w:val="22"/>
          <w:szCs w:val="22"/>
        </w:rPr>
        <w:t xml:space="preserve"> which is intended to be used as a guideline and reference by countries and states when developing new laws or reviewing existing laws. In particular, note part 1 of recommendation 5, which states that "the insolvency law should include a modern, harmonized and fair framework to address effectively instances of cross-border insolvency".</w:t>
      </w:r>
      <w:r w:rsidRPr="00B62DC3">
        <w:rPr>
          <w:rStyle w:val="FootnoteReference"/>
          <w:rFonts w:ascii="Arial" w:hAnsi="Arial" w:cs="Arial"/>
          <w:sz w:val="22"/>
          <w:szCs w:val="22"/>
        </w:rPr>
        <w:footnoteReference w:id="45"/>
      </w:r>
    </w:p>
    <w:p w14:paraId="0FC27F26" w14:textId="77777777" w:rsidR="003E2889" w:rsidRPr="00B62DC3" w:rsidRDefault="003E2889" w:rsidP="003E2889">
      <w:pPr>
        <w:pStyle w:val="ListParagraph"/>
        <w:numPr>
          <w:ilvl w:val="0"/>
          <w:numId w:val="27"/>
        </w:numPr>
        <w:spacing w:before="120" w:after="120"/>
        <w:contextualSpacing w:val="0"/>
        <w:rPr>
          <w:rFonts w:ascii="Arial" w:hAnsi="Arial" w:cs="Arial"/>
          <w:sz w:val="22"/>
          <w:szCs w:val="22"/>
        </w:rPr>
      </w:pPr>
      <w:r w:rsidRPr="00B62DC3">
        <w:rPr>
          <w:rFonts w:ascii="Arial" w:hAnsi="Arial" w:cs="Arial"/>
          <w:sz w:val="22"/>
          <w:szCs w:val="22"/>
        </w:rPr>
        <w:t>The IBA Cross-Border Insolvency Concordat (1996), which proposes co-ordination between states involved in concurrent proceedings, subject to a governance protocol in certain cases, which would set out the responsibilities and jurisdiction of each proceeding.</w:t>
      </w:r>
      <w:r w:rsidRPr="00B62DC3">
        <w:rPr>
          <w:rStyle w:val="FootnoteReference"/>
          <w:rFonts w:ascii="Arial" w:hAnsi="Arial" w:cs="Arial"/>
          <w:sz w:val="22"/>
          <w:szCs w:val="22"/>
        </w:rPr>
        <w:footnoteReference w:id="46"/>
      </w:r>
      <w:r w:rsidRPr="00B62DC3">
        <w:rPr>
          <w:rFonts w:ascii="Arial" w:hAnsi="Arial" w:cs="Arial"/>
          <w:sz w:val="22"/>
          <w:szCs w:val="22"/>
        </w:rPr>
        <w:t xml:space="preserve"> This formed the basis for some court-approved protocols to assist with the administration of concurrent proceedings.</w:t>
      </w:r>
      <w:r w:rsidRPr="00B62DC3">
        <w:rPr>
          <w:rStyle w:val="FootnoteReference"/>
          <w:rFonts w:ascii="Arial" w:hAnsi="Arial" w:cs="Arial"/>
          <w:sz w:val="22"/>
          <w:szCs w:val="22"/>
        </w:rPr>
        <w:footnoteReference w:id="47"/>
      </w:r>
    </w:p>
    <w:p w14:paraId="33947D31" w14:textId="77777777" w:rsidR="003E2889" w:rsidRPr="00B62DC3" w:rsidRDefault="003E2889" w:rsidP="003E2889">
      <w:pPr>
        <w:pStyle w:val="ListParagraph"/>
        <w:numPr>
          <w:ilvl w:val="0"/>
          <w:numId w:val="27"/>
        </w:numPr>
        <w:spacing w:before="120" w:after="120"/>
        <w:contextualSpacing w:val="0"/>
        <w:rPr>
          <w:rFonts w:ascii="Arial" w:hAnsi="Arial" w:cs="Arial"/>
          <w:sz w:val="22"/>
          <w:szCs w:val="22"/>
        </w:rPr>
      </w:pPr>
      <w:r w:rsidRPr="00B62DC3">
        <w:rPr>
          <w:rFonts w:ascii="Arial" w:hAnsi="Arial" w:cs="Arial"/>
          <w:sz w:val="22"/>
          <w:szCs w:val="22"/>
        </w:rPr>
        <w:t>The 1997 Model Law on Cross-Border Insolvency by the United Nations Commission on International Trade Law (UNCITRAL MLCBI),</w:t>
      </w:r>
      <w:r w:rsidRPr="00B62DC3">
        <w:rPr>
          <w:rStyle w:val="FootnoteReference"/>
          <w:rFonts w:ascii="Arial" w:hAnsi="Arial" w:cs="Arial"/>
          <w:sz w:val="22"/>
          <w:szCs w:val="22"/>
        </w:rPr>
        <w:footnoteReference w:id="48"/>
      </w:r>
      <w:r w:rsidRPr="00B62DC3">
        <w:rPr>
          <w:rFonts w:ascii="Arial" w:hAnsi="Arial" w:cs="Arial"/>
          <w:sz w:val="22"/>
          <w:szCs w:val="22"/>
        </w:rPr>
        <w:t xml:space="preserve"> a key principle of which is co-operation and co-ordination. Articles 25 and 26 of the UNCITRAL MLCBI effectively require both courts and insolvency representatives in different states to co-operate and co-ordinate as much as possible to ensure the debtor's assets are dealt with fairly and efficiently, thereby ensuring the maximum benefit for creditors.</w:t>
      </w:r>
      <w:r w:rsidRPr="00B62DC3">
        <w:rPr>
          <w:rStyle w:val="FootnoteReference"/>
          <w:rFonts w:ascii="Arial" w:hAnsi="Arial" w:cs="Arial"/>
          <w:sz w:val="22"/>
          <w:szCs w:val="22"/>
        </w:rPr>
        <w:footnoteReference w:id="49"/>
      </w:r>
      <w:r w:rsidRPr="00B62DC3">
        <w:rPr>
          <w:rFonts w:ascii="Arial" w:hAnsi="Arial" w:cs="Arial"/>
          <w:sz w:val="22"/>
          <w:szCs w:val="22"/>
        </w:rPr>
        <w:t xml:space="preserve"> Article 27 then provides examples of appropriate mechanisms of co-operation such as the </w:t>
      </w:r>
      <w:r w:rsidRPr="00B62DC3">
        <w:rPr>
          <w:rFonts w:ascii="Arial" w:hAnsi="Arial" w:cs="Arial"/>
          <w:sz w:val="22"/>
          <w:szCs w:val="22"/>
        </w:rPr>
        <w:lastRenderedPageBreak/>
        <w:t>approval or implementation by courts of agreements concerning the coordination of proceedings.</w:t>
      </w:r>
      <w:r w:rsidRPr="00B62DC3">
        <w:rPr>
          <w:rStyle w:val="FootnoteReference"/>
          <w:rFonts w:ascii="Arial" w:hAnsi="Arial" w:cs="Arial"/>
          <w:sz w:val="22"/>
          <w:szCs w:val="22"/>
        </w:rPr>
        <w:footnoteReference w:id="50"/>
      </w:r>
    </w:p>
    <w:p w14:paraId="629396F7" w14:textId="77777777" w:rsidR="003E2889" w:rsidRPr="00B62DC3" w:rsidRDefault="003E2889" w:rsidP="003E2889">
      <w:pPr>
        <w:pStyle w:val="ListParagraph"/>
        <w:numPr>
          <w:ilvl w:val="0"/>
          <w:numId w:val="27"/>
        </w:numPr>
        <w:spacing w:before="120" w:after="120"/>
        <w:contextualSpacing w:val="0"/>
        <w:rPr>
          <w:rFonts w:ascii="Arial" w:hAnsi="Arial" w:cs="Arial"/>
          <w:sz w:val="22"/>
          <w:szCs w:val="22"/>
        </w:rPr>
      </w:pPr>
      <w:r w:rsidRPr="00B62DC3">
        <w:rPr>
          <w:rFonts w:ascii="Arial" w:hAnsi="Arial" w:cs="Arial"/>
          <w:sz w:val="22"/>
          <w:szCs w:val="22"/>
        </w:rPr>
        <w:t>The Guidelines for Communication and Cooperation between Courts in Cross-Border Insolvency Matters (JIN Guidelines),</w:t>
      </w:r>
      <w:r w:rsidRPr="00B62DC3">
        <w:rPr>
          <w:rStyle w:val="FootnoteReference"/>
          <w:rFonts w:ascii="Arial" w:hAnsi="Arial" w:cs="Arial"/>
          <w:sz w:val="22"/>
          <w:szCs w:val="22"/>
        </w:rPr>
        <w:footnoteReference w:id="51"/>
      </w:r>
      <w:r w:rsidRPr="00B62DC3">
        <w:rPr>
          <w:rFonts w:ascii="Arial" w:hAnsi="Arial" w:cs="Arial"/>
          <w:sz w:val="22"/>
          <w:szCs w:val="22"/>
        </w:rPr>
        <w:t xml:space="preserve"> whose aim is to "improve the efficiency and effectiveness of parallel proceedings in an international insolvency by enhancing co-ordination and cooperation amongst courts under whose supervision such proceedings are being conducted."</w:t>
      </w:r>
      <w:r w:rsidRPr="00B62DC3">
        <w:rPr>
          <w:rStyle w:val="FootnoteReference"/>
          <w:rFonts w:ascii="Arial" w:hAnsi="Arial" w:cs="Arial"/>
          <w:sz w:val="22"/>
          <w:szCs w:val="22"/>
        </w:rPr>
        <w:footnoteReference w:id="52"/>
      </w:r>
    </w:p>
    <w:p w14:paraId="6D7E0649" w14:textId="232B8020" w:rsidR="001E1C34" w:rsidRPr="00CB6B22" w:rsidRDefault="003E2889" w:rsidP="00CB6B22">
      <w:pPr>
        <w:rPr>
          <w:rFonts w:ascii="Arial" w:hAnsi="Arial" w:cs="Arial"/>
          <w:sz w:val="22"/>
          <w:szCs w:val="22"/>
        </w:rPr>
      </w:pPr>
      <w:r w:rsidRPr="00B62DC3">
        <w:rPr>
          <w:rFonts w:ascii="Arial" w:hAnsi="Arial" w:cs="Arial"/>
          <w:sz w:val="22"/>
          <w:szCs w:val="22"/>
        </w:rPr>
        <w:t>The development of the above instruments is important as without these, states would simply be left to apply their own laws to determine how to resolve cross-border issues. Unfortunately, however, most domestic legal systems are ill-equipped when it comes to dealing with cross-border issues.</w:t>
      </w:r>
      <w:r w:rsidRPr="00B62DC3">
        <w:rPr>
          <w:rStyle w:val="FootnoteReference"/>
          <w:rFonts w:ascii="Arial" w:hAnsi="Arial" w:cs="Arial"/>
          <w:sz w:val="22"/>
          <w:szCs w:val="22"/>
        </w:rPr>
        <w:footnoteReference w:id="53"/>
      </w:r>
      <w:r w:rsidRPr="00B62DC3">
        <w:rPr>
          <w:rFonts w:ascii="Arial" w:hAnsi="Arial" w:cs="Arial"/>
          <w:sz w:val="22"/>
          <w:szCs w:val="22"/>
        </w:rPr>
        <w:t xml:space="preserve"> The </w:t>
      </w:r>
      <w:r w:rsidR="00CB6B22" w:rsidRPr="00B62DC3">
        <w:rPr>
          <w:rFonts w:ascii="Arial" w:hAnsi="Arial" w:cs="Arial"/>
          <w:sz w:val="22"/>
          <w:szCs w:val="22"/>
        </w:rPr>
        <w:t>above-described</w:t>
      </w:r>
      <w:r w:rsidRPr="00B62DC3">
        <w:rPr>
          <w:rFonts w:ascii="Arial" w:hAnsi="Arial" w:cs="Arial"/>
          <w:sz w:val="22"/>
          <w:szCs w:val="22"/>
        </w:rPr>
        <w:t xml:space="preserve"> international solvency instruments are therefore vital for establishing clear and uniform rules relation to cross-border insolvency issues. </w:t>
      </w: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255D5C85" w14:textId="56DF2371" w:rsidR="003E2889" w:rsidRDefault="003E2889" w:rsidP="003E2889">
      <w:pPr>
        <w:rPr>
          <w:rFonts w:ascii="Arial" w:hAnsi="Arial" w:cs="Arial"/>
          <w:sz w:val="22"/>
          <w:szCs w:val="22"/>
        </w:rPr>
      </w:pPr>
      <w:r w:rsidRPr="00B62DC3">
        <w:rPr>
          <w:rFonts w:ascii="Arial" w:hAnsi="Arial" w:cs="Arial"/>
          <w:sz w:val="22"/>
          <w:szCs w:val="22"/>
        </w:rPr>
        <w:t>The current European Insolvency Regulation (EIR) (Recast) 2015 has been applicable since mid-2017.</w:t>
      </w:r>
      <w:r w:rsidRPr="00B62DC3">
        <w:rPr>
          <w:rStyle w:val="FootnoteReference"/>
          <w:rFonts w:ascii="Arial" w:hAnsi="Arial" w:cs="Arial"/>
          <w:sz w:val="22"/>
          <w:szCs w:val="22"/>
        </w:rPr>
        <w:footnoteReference w:id="54"/>
      </w:r>
    </w:p>
    <w:p w14:paraId="495F7B65" w14:textId="77777777" w:rsidR="00CB6B22" w:rsidRPr="00B62DC3" w:rsidRDefault="00CB6B22" w:rsidP="003E2889">
      <w:pPr>
        <w:rPr>
          <w:rFonts w:ascii="Arial" w:hAnsi="Arial" w:cs="Arial"/>
          <w:sz w:val="22"/>
          <w:szCs w:val="22"/>
        </w:rPr>
      </w:pPr>
    </w:p>
    <w:p w14:paraId="09B312E4" w14:textId="6F0DA742" w:rsidR="003E2889" w:rsidRDefault="003E2889" w:rsidP="003E2889">
      <w:pPr>
        <w:rPr>
          <w:rFonts w:ascii="Arial" w:hAnsi="Arial" w:cs="Arial"/>
          <w:sz w:val="22"/>
          <w:szCs w:val="22"/>
        </w:rPr>
      </w:pPr>
      <w:r w:rsidRPr="00B62DC3">
        <w:rPr>
          <w:rFonts w:ascii="Arial" w:hAnsi="Arial" w:cs="Arial"/>
          <w:sz w:val="22"/>
          <w:szCs w:val="22"/>
        </w:rPr>
        <w:t>Given the UK ceased to be a member of the EU at 11 pm on 31 January 2020, the EIR Recast no longer applies under UK law to proceedings in the UK post 11 pm on 31 December 2020.</w:t>
      </w:r>
      <w:r w:rsidRPr="00B62DC3">
        <w:rPr>
          <w:rStyle w:val="FootnoteReference"/>
          <w:rFonts w:ascii="Arial" w:hAnsi="Arial" w:cs="Arial"/>
          <w:sz w:val="22"/>
          <w:szCs w:val="22"/>
        </w:rPr>
        <w:footnoteReference w:id="55"/>
      </w:r>
      <w:r w:rsidRPr="00B62DC3">
        <w:rPr>
          <w:rFonts w:ascii="Arial" w:hAnsi="Arial" w:cs="Arial"/>
          <w:sz w:val="22"/>
          <w:szCs w:val="22"/>
        </w:rPr>
        <w:t xml:space="preserve"> However, the EIR Recast will continue to apply to insolvencies where the main proceedings were opened prior to the expiry of the transitional period, this being 11 pm, 31 December 2020.</w:t>
      </w:r>
      <w:r w:rsidRPr="00B62DC3">
        <w:rPr>
          <w:rStyle w:val="FootnoteReference"/>
          <w:rFonts w:ascii="Arial" w:hAnsi="Arial" w:cs="Arial"/>
          <w:sz w:val="22"/>
          <w:szCs w:val="22"/>
        </w:rPr>
        <w:footnoteReference w:id="56"/>
      </w:r>
    </w:p>
    <w:p w14:paraId="79D67972" w14:textId="77777777" w:rsidR="00CB6B22" w:rsidRPr="00B62DC3" w:rsidRDefault="00CB6B22" w:rsidP="003E2889">
      <w:pPr>
        <w:rPr>
          <w:rFonts w:ascii="Arial" w:hAnsi="Arial" w:cs="Arial"/>
          <w:sz w:val="22"/>
          <w:szCs w:val="22"/>
        </w:rPr>
      </w:pPr>
    </w:p>
    <w:p w14:paraId="35E86DA0" w14:textId="33FE0EF7" w:rsidR="003E2889" w:rsidRDefault="003E2889" w:rsidP="003E2889">
      <w:pPr>
        <w:rPr>
          <w:rFonts w:ascii="Arial" w:hAnsi="Arial" w:cs="Arial"/>
          <w:sz w:val="22"/>
          <w:szCs w:val="22"/>
        </w:rPr>
      </w:pPr>
      <w:r w:rsidRPr="00B62DC3">
        <w:rPr>
          <w:rFonts w:ascii="Arial" w:hAnsi="Arial" w:cs="Arial"/>
          <w:sz w:val="22"/>
          <w:szCs w:val="22"/>
        </w:rPr>
        <w:t xml:space="preserve">The EIR Recast will not apply to the proceedings commenced by the minor creditor in the UK given the transitional period has expired. </w:t>
      </w:r>
    </w:p>
    <w:p w14:paraId="3490D9A5" w14:textId="77777777" w:rsidR="00CB6B22" w:rsidRPr="00B62DC3" w:rsidRDefault="00CB6B22" w:rsidP="003E2889">
      <w:pPr>
        <w:rPr>
          <w:rFonts w:ascii="Arial" w:hAnsi="Arial" w:cs="Arial"/>
          <w:sz w:val="22"/>
          <w:szCs w:val="22"/>
        </w:rPr>
      </w:pPr>
    </w:p>
    <w:p w14:paraId="30C260D4" w14:textId="5287D138" w:rsidR="003E2889" w:rsidRDefault="003E2889" w:rsidP="003E2889">
      <w:pPr>
        <w:rPr>
          <w:rFonts w:ascii="Arial" w:hAnsi="Arial" w:cs="Arial"/>
          <w:sz w:val="22"/>
          <w:szCs w:val="22"/>
        </w:rPr>
      </w:pPr>
      <w:r w:rsidRPr="00B62DC3">
        <w:rPr>
          <w:rFonts w:ascii="Arial" w:hAnsi="Arial" w:cs="Arial"/>
          <w:sz w:val="22"/>
          <w:szCs w:val="22"/>
        </w:rPr>
        <w:t xml:space="preserve">If the EIR Recast did apply, primary jurisdiction would be based on the </w:t>
      </w:r>
      <w:r w:rsidR="00CB6B22" w:rsidRPr="00B62DC3">
        <w:rPr>
          <w:rFonts w:ascii="Arial" w:hAnsi="Arial" w:cs="Arial"/>
          <w:sz w:val="22"/>
          <w:szCs w:val="22"/>
        </w:rPr>
        <w:t>center</w:t>
      </w:r>
      <w:r w:rsidRPr="00B62DC3">
        <w:rPr>
          <w:rFonts w:ascii="Arial" w:hAnsi="Arial" w:cs="Arial"/>
          <w:sz w:val="22"/>
          <w:szCs w:val="22"/>
        </w:rPr>
        <w:t xml:space="preserve"> of FPPL's main interests, while subsidiary territorial proceedings in other members states would be possible where the debtor has an establishment.</w:t>
      </w:r>
      <w:r w:rsidRPr="00B62DC3">
        <w:rPr>
          <w:rStyle w:val="FootnoteReference"/>
          <w:rFonts w:ascii="Arial" w:hAnsi="Arial" w:cs="Arial"/>
          <w:sz w:val="22"/>
          <w:szCs w:val="22"/>
        </w:rPr>
        <w:footnoteReference w:id="57"/>
      </w:r>
      <w:r w:rsidRPr="00B62DC3">
        <w:rPr>
          <w:rFonts w:ascii="Arial" w:hAnsi="Arial" w:cs="Arial"/>
          <w:sz w:val="22"/>
          <w:szCs w:val="22"/>
        </w:rPr>
        <w:t xml:space="preserve"> Based on the information provided, it is not clear which state would be allocated as the primary jurisdiction, but Lobo would either way be likely to be allowed to commence subsidiary proceedings given FPPL likely has establishments in the same country where Lobo is situated. </w:t>
      </w:r>
    </w:p>
    <w:p w14:paraId="28397657" w14:textId="77777777" w:rsidR="00CB6B22" w:rsidRPr="00B62DC3" w:rsidRDefault="00CB6B22" w:rsidP="003E2889">
      <w:pPr>
        <w:rPr>
          <w:rFonts w:ascii="Arial" w:hAnsi="Arial" w:cs="Arial"/>
          <w:sz w:val="22"/>
          <w:szCs w:val="22"/>
        </w:rPr>
      </w:pPr>
    </w:p>
    <w:p w14:paraId="2C09665B" w14:textId="3F723D8A" w:rsidR="003E2889" w:rsidRDefault="003E2889" w:rsidP="003E2889">
      <w:pPr>
        <w:rPr>
          <w:rFonts w:ascii="Arial" w:hAnsi="Arial" w:cs="Arial"/>
          <w:sz w:val="22"/>
          <w:szCs w:val="22"/>
        </w:rPr>
      </w:pPr>
      <w:r w:rsidRPr="00B62DC3">
        <w:rPr>
          <w:rFonts w:ascii="Arial" w:hAnsi="Arial" w:cs="Arial"/>
          <w:sz w:val="22"/>
          <w:szCs w:val="22"/>
        </w:rPr>
        <w:lastRenderedPageBreak/>
        <w:t xml:space="preserve">Given the EIR Recast does not apply to the UK proceedings, however, means that it cannot here be relied on by Lobo to issue subsidiary proceedings. </w:t>
      </w:r>
    </w:p>
    <w:p w14:paraId="1CAFBC10" w14:textId="77777777" w:rsidR="00CB6B22" w:rsidRPr="00B62DC3" w:rsidRDefault="00CB6B22" w:rsidP="003E2889">
      <w:pPr>
        <w:rPr>
          <w:rFonts w:ascii="Arial" w:hAnsi="Arial" w:cs="Arial"/>
          <w:sz w:val="22"/>
          <w:szCs w:val="22"/>
        </w:rPr>
      </w:pPr>
    </w:p>
    <w:p w14:paraId="7FA87384" w14:textId="1937967A" w:rsidR="003E2889" w:rsidRDefault="00CB6B22" w:rsidP="003E2889">
      <w:pPr>
        <w:rPr>
          <w:rFonts w:ascii="Arial" w:hAnsi="Arial" w:cs="Arial"/>
          <w:sz w:val="22"/>
          <w:szCs w:val="22"/>
        </w:rPr>
      </w:pPr>
      <w:r w:rsidRPr="00B62DC3">
        <w:rPr>
          <w:rFonts w:ascii="Arial" w:hAnsi="Arial" w:cs="Arial"/>
          <w:sz w:val="22"/>
          <w:szCs w:val="22"/>
        </w:rPr>
        <w:t>Consequently</w:t>
      </w:r>
      <w:r w:rsidR="003E2889" w:rsidRPr="00B62DC3">
        <w:rPr>
          <w:rFonts w:ascii="Arial" w:hAnsi="Arial" w:cs="Arial"/>
          <w:sz w:val="22"/>
          <w:szCs w:val="22"/>
        </w:rPr>
        <w:t xml:space="preserve">, Lobo would have to rely on the UK's own domestic laws, whichever country's laws Lobo is based in (further information on which would be required) as well as other international insolvency instruments to determine the cross-border issues here. </w:t>
      </w:r>
    </w:p>
    <w:p w14:paraId="04947B99" w14:textId="77777777" w:rsidR="00CB6B22" w:rsidRPr="00B62DC3" w:rsidRDefault="00CB6B22" w:rsidP="003E2889">
      <w:pPr>
        <w:rPr>
          <w:rFonts w:ascii="Arial" w:hAnsi="Arial" w:cs="Arial"/>
          <w:sz w:val="22"/>
          <w:szCs w:val="22"/>
        </w:rPr>
      </w:pPr>
    </w:p>
    <w:p w14:paraId="7C649393" w14:textId="4F5655AD" w:rsidR="003E2889" w:rsidRDefault="003E2889" w:rsidP="003E2889">
      <w:pPr>
        <w:rPr>
          <w:rFonts w:ascii="Arial" w:hAnsi="Arial" w:cs="Arial"/>
          <w:sz w:val="22"/>
          <w:szCs w:val="22"/>
        </w:rPr>
      </w:pPr>
      <w:r w:rsidRPr="00B62DC3">
        <w:rPr>
          <w:rFonts w:ascii="Arial" w:hAnsi="Arial" w:cs="Arial"/>
          <w:sz w:val="22"/>
          <w:szCs w:val="22"/>
        </w:rPr>
        <w:t>In particular, England and Wales have adopted the UNCITRAL Model Law on Cross-Border Insolvency, article 25.1 of which requires cooperation to the maximum extent possible with foreign courts or representatives.</w:t>
      </w:r>
      <w:r w:rsidRPr="00B62DC3">
        <w:rPr>
          <w:rStyle w:val="FootnoteReference"/>
          <w:rFonts w:ascii="Arial" w:hAnsi="Arial" w:cs="Arial"/>
          <w:sz w:val="22"/>
          <w:szCs w:val="22"/>
        </w:rPr>
        <w:footnoteReference w:id="58"/>
      </w:r>
      <w:r w:rsidRPr="00B62DC3">
        <w:rPr>
          <w:rFonts w:ascii="Arial" w:hAnsi="Arial" w:cs="Arial"/>
          <w:sz w:val="22"/>
          <w:szCs w:val="22"/>
        </w:rPr>
        <w:t xml:space="preserve"> Given the UNCITRAL Model Law on Cross-Border Insolvency does not require reciprocity, it does not matter whether the country in which Lobo is considering bringing proceedings in has adopted the UNCITRAL Model Law on Cross-Border Insolvency. </w:t>
      </w:r>
    </w:p>
    <w:p w14:paraId="3E21B76C" w14:textId="77777777" w:rsidR="00CB6B22" w:rsidRPr="00B62DC3" w:rsidRDefault="00CB6B22" w:rsidP="003E2889">
      <w:pPr>
        <w:rPr>
          <w:rFonts w:ascii="Arial" w:hAnsi="Arial" w:cs="Arial"/>
          <w:sz w:val="22"/>
          <w:szCs w:val="22"/>
        </w:rPr>
      </w:pPr>
    </w:p>
    <w:p w14:paraId="397E5BB9" w14:textId="77777777" w:rsidR="003E2889" w:rsidRPr="00B62DC3" w:rsidRDefault="003E2889" w:rsidP="003E2889">
      <w:pPr>
        <w:rPr>
          <w:rFonts w:ascii="Arial" w:hAnsi="Arial" w:cs="Arial"/>
          <w:sz w:val="22"/>
          <w:szCs w:val="22"/>
        </w:rPr>
      </w:pPr>
      <w:r w:rsidRPr="00B62DC3">
        <w:rPr>
          <w:rFonts w:ascii="Arial" w:hAnsi="Arial" w:cs="Arial"/>
          <w:sz w:val="22"/>
          <w:szCs w:val="22"/>
        </w:rPr>
        <w:t>In addition to the above, also note section 462 of the UK's Insolvency Act 1986,</w:t>
      </w:r>
      <w:r w:rsidRPr="00B62DC3">
        <w:rPr>
          <w:rStyle w:val="FootnoteReference"/>
          <w:rFonts w:ascii="Arial" w:hAnsi="Arial" w:cs="Arial"/>
          <w:sz w:val="22"/>
          <w:szCs w:val="22"/>
        </w:rPr>
        <w:footnoteReference w:id="59"/>
      </w:r>
      <w:r w:rsidRPr="00B62DC3">
        <w:rPr>
          <w:rFonts w:ascii="Arial" w:hAnsi="Arial" w:cs="Arial"/>
          <w:sz w:val="22"/>
          <w:szCs w:val="22"/>
        </w:rPr>
        <w:t xml:space="preserve"> which deals with co-operation between courts exercising jurisdiction in relation to insolvency, continues to apply to relevant countries.</w:t>
      </w:r>
      <w:r w:rsidRPr="00B62DC3">
        <w:rPr>
          <w:rStyle w:val="FootnoteReference"/>
          <w:rFonts w:ascii="Arial" w:hAnsi="Arial" w:cs="Arial"/>
          <w:sz w:val="22"/>
          <w:szCs w:val="22"/>
        </w:rPr>
        <w:footnoteReference w:id="60"/>
      </w:r>
      <w:r w:rsidRPr="00B62DC3">
        <w:rPr>
          <w:rFonts w:ascii="Arial" w:hAnsi="Arial" w:cs="Arial"/>
          <w:sz w:val="22"/>
          <w:szCs w:val="22"/>
        </w:rPr>
        <w:t xml:space="preserve"> Depending on whether the country in which Lobo was considering to open proceedings in is captured by section 462 of the UK's Insolvency Act 1986, Lobo may also be able to commence proceedings and rely on the principles of co-operation and co-ordination in reliance on the UK's Insolvency Act 1986. </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3BD0F" w14:textId="77777777" w:rsidR="007D03E9" w:rsidRDefault="007D03E9" w:rsidP="00241B44">
      <w:r>
        <w:separator/>
      </w:r>
    </w:p>
  </w:endnote>
  <w:endnote w:type="continuationSeparator" w:id="0">
    <w:p w14:paraId="7967B051" w14:textId="77777777" w:rsidR="007D03E9" w:rsidRDefault="007D03E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7108FEFB" w:rsidR="00B64A85" w:rsidRPr="00297BDF" w:rsidRDefault="00841CEC" w:rsidP="0052732A">
    <w:pPr>
      <w:pStyle w:val="Footer"/>
      <w:ind w:right="360"/>
      <w:rPr>
        <w:rFonts w:ascii="Avenir Next" w:hAnsi="Avenir Next" w:cs="Arial"/>
        <w:sz w:val="22"/>
        <w:szCs w:val="22"/>
      </w:rPr>
    </w:pPr>
    <w:r>
      <w:rPr>
        <w:rFonts w:ascii="Avenir Next" w:hAnsi="Avenir Next" w:cs="Arial"/>
        <w:sz w:val="22"/>
        <w:szCs w:val="22"/>
      </w:rPr>
      <w:t>202223-916</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8584E" w14:textId="77777777" w:rsidR="007D03E9" w:rsidRDefault="007D03E9" w:rsidP="00241B44">
      <w:r>
        <w:separator/>
      </w:r>
    </w:p>
  </w:footnote>
  <w:footnote w:type="continuationSeparator" w:id="0">
    <w:p w14:paraId="06AAAAEE" w14:textId="77777777" w:rsidR="007D03E9" w:rsidRDefault="007D03E9" w:rsidP="00241B44">
      <w:r>
        <w:continuationSeparator/>
      </w:r>
    </w:p>
  </w:footnote>
  <w:footnote w:id="1">
    <w:p w14:paraId="37A3EB51"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Professor André </w:t>
      </w:r>
      <w:proofErr w:type="spellStart"/>
      <w:r w:rsidRPr="00B62DC3">
        <w:rPr>
          <w:rFonts w:ascii="Arial" w:hAnsi="Arial" w:cs="Arial"/>
          <w:sz w:val="22"/>
          <w:szCs w:val="22"/>
        </w:rPr>
        <w:t>Boraine</w:t>
      </w:r>
      <w:proofErr w:type="spellEnd"/>
      <w:r w:rsidRPr="00B62DC3">
        <w:rPr>
          <w:rFonts w:ascii="Arial" w:hAnsi="Arial" w:cs="Arial"/>
          <w:sz w:val="22"/>
          <w:szCs w:val="22"/>
        </w:rPr>
        <w:t xml:space="preserve"> and Professor Rosalind Mason, </w:t>
      </w:r>
      <w:r w:rsidRPr="00B62DC3">
        <w:rPr>
          <w:rFonts w:ascii="Arial" w:hAnsi="Arial" w:cs="Arial"/>
          <w:i/>
          <w:iCs/>
          <w:sz w:val="22"/>
          <w:szCs w:val="22"/>
        </w:rPr>
        <w:t>Module 1 Guidance Text – Introduction to International Insolvency Law,</w:t>
      </w:r>
      <w:r w:rsidRPr="00B62DC3">
        <w:rPr>
          <w:rFonts w:ascii="Arial" w:hAnsi="Arial" w:cs="Arial"/>
          <w:sz w:val="22"/>
          <w:szCs w:val="22"/>
        </w:rPr>
        <w:t xml:space="preserve"> September 2022, p 10. </w:t>
      </w:r>
    </w:p>
  </w:footnote>
  <w:footnote w:id="2">
    <w:p w14:paraId="268754B3"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Ibid.</w:t>
      </w:r>
    </w:p>
  </w:footnote>
  <w:footnote w:id="3">
    <w:p w14:paraId="30C91B70"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Ibid.</w:t>
      </w:r>
    </w:p>
  </w:footnote>
  <w:footnote w:id="4">
    <w:p w14:paraId="2E2E6B4F"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Ibid.</w:t>
      </w:r>
    </w:p>
  </w:footnote>
  <w:footnote w:id="5">
    <w:p w14:paraId="45D78473"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Ibid.</w:t>
      </w:r>
    </w:p>
  </w:footnote>
  <w:footnote w:id="6">
    <w:p w14:paraId="5837D32C"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proofErr w:type="spellStart"/>
      <w:r w:rsidRPr="00B62DC3">
        <w:rPr>
          <w:rFonts w:ascii="Arial" w:hAnsi="Arial" w:cs="Arial"/>
          <w:sz w:val="22"/>
          <w:szCs w:val="22"/>
        </w:rPr>
        <w:t>Boraine</w:t>
      </w:r>
      <w:proofErr w:type="spellEnd"/>
      <w:r w:rsidRPr="00B62DC3">
        <w:rPr>
          <w:rFonts w:ascii="Arial" w:hAnsi="Arial" w:cs="Arial"/>
          <w:sz w:val="22"/>
          <w:szCs w:val="22"/>
        </w:rPr>
        <w:t xml:space="preserve"> and Mason, </w:t>
      </w:r>
      <w:r w:rsidRPr="00B62DC3">
        <w:rPr>
          <w:rFonts w:ascii="Arial" w:hAnsi="Arial" w:cs="Arial"/>
          <w:i/>
          <w:iCs/>
          <w:sz w:val="22"/>
          <w:szCs w:val="22"/>
        </w:rPr>
        <w:t>supra</w:t>
      </w:r>
      <w:r w:rsidRPr="00B62DC3">
        <w:rPr>
          <w:rFonts w:ascii="Arial" w:hAnsi="Arial" w:cs="Arial"/>
          <w:sz w:val="22"/>
          <w:szCs w:val="22"/>
        </w:rPr>
        <w:t xml:space="preserve"> note 1, p 11.</w:t>
      </w:r>
    </w:p>
  </w:footnote>
  <w:footnote w:id="7">
    <w:p w14:paraId="70AD14ED"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&lt;&lt;https://iclg.com/briefing/12818-tilleke-and-gibbins-guide-to-bankruptcy-law-in-thailand-2020&gt;&gt;, accessed 13 November 2022. </w:t>
      </w:r>
    </w:p>
  </w:footnote>
  <w:footnote w:id="8">
    <w:p w14:paraId="3B08AF0D"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proofErr w:type="spellStart"/>
      <w:r w:rsidRPr="00B62DC3">
        <w:rPr>
          <w:rFonts w:ascii="Arial" w:hAnsi="Arial" w:cs="Arial"/>
          <w:sz w:val="22"/>
          <w:szCs w:val="22"/>
        </w:rPr>
        <w:t>Boraine</w:t>
      </w:r>
      <w:proofErr w:type="spellEnd"/>
      <w:r w:rsidRPr="00B62DC3">
        <w:rPr>
          <w:rFonts w:ascii="Arial" w:hAnsi="Arial" w:cs="Arial"/>
          <w:sz w:val="22"/>
          <w:szCs w:val="22"/>
        </w:rPr>
        <w:t xml:space="preserve"> and Mason, </w:t>
      </w:r>
      <w:r w:rsidRPr="00B62DC3">
        <w:rPr>
          <w:rFonts w:ascii="Arial" w:hAnsi="Arial" w:cs="Arial"/>
          <w:i/>
          <w:iCs/>
          <w:sz w:val="22"/>
          <w:szCs w:val="22"/>
        </w:rPr>
        <w:t>supra</w:t>
      </w:r>
      <w:r w:rsidRPr="00B62DC3">
        <w:rPr>
          <w:rFonts w:ascii="Arial" w:hAnsi="Arial" w:cs="Arial"/>
          <w:sz w:val="22"/>
          <w:szCs w:val="22"/>
        </w:rPr>
        <w:t xml:space="preserve"> note 1, p 12. </w:t>
      </w:r>
    </w:p>
  </w:footnote>
  <w:footnote w:id="9">
    <w:p w14:paraId="7370C48B"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Idem,</w:t>
      </w:r>
      <w:r w:rsidRPr="00B62DC3">
        <w:rPr>
          <w:rFonts w:ascii="Arial" w:hAnsi="Arial" w:cs="Arial"/>
          <w:sz w:val="22"/>
          <w:szCs w:val="22"/>
        </w:rPr>
        <w:t xml:space="preserve"> p 62. </w:t>
      </w:r>
    </w:p>
  </w:footnote>
  <w:footnote w:id="10">
    <w:p w14:paraId="483102DB"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Ibid.</w:t>
      </w:r>
    </w:p>
  </w:footnote>
  <w:footnote w:id="11">
    <w:p w14:paraId="1B4756DD"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Ibid.</w:t>
      </w:r>
    </w:p>
  </w:footnote>
  <w:footnote w:id="12">
    <w:p w14:paraId="1ADC24D1" w14:textId="77777777" w:rsidR="003E2889" w:rsidRDefault="003E2889" w:rsidP="003E2889">
      <w:pPr>
        <w:pStyle w:val="FootnoteText"/>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Idem,</w:t>
      </w:r>
      <w:r w:rsidRPr="00B62DC3">
        <w:rPr>
          <w:rFonts w:ascii="Arial" w:hAnsi="Arial" w:cs="Arial"/>
          <w:sz w:val="22"/>
          <w:szCs w:val="22"/>
        </w:rPr>
        <w:t xml:space="preserve"> p 63.</w:t>
      </w:r>
    </w:p>
  </w:footnote>
  <w:footnote w:id="13">
    <w:p w14:paraId="0A7D392D"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Ibid.</w:t>
      </w:r>
    </w:p>
  </w:footnote>
  <w:footnote w:id="14">
    <w:p w14:paraId="01071F43"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Idem,</w:t>
      </w:r>
      <w:r w:rsidRPr="00B62DC3">
        <w:rPr>
          <w:rFonts w:ascii="Arial" w:hAnsi="Arial" w:cs="Arial"/>
          <w:sz w:val="22"/>
          <w:szCs w:val="22"/>
        </w:rPr>
        <w:t xml:space="preserve"> p 57.</w:t>
      </w:r>
    </w:p>
  </w:footnote>
  <w:footnote w:id="15">
    <w:p w14:paraId="0946EB64"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Ibid.</w:t>
      </w:r>
    </w:p>
  </w:footnote>
  <w:footnote w:id="16">
    <w:p w14:paraId="78ED3A88"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Idem,</w:t>
      </w:r>
      <w:r w:rsidRPr="00B62DC3">
        <w:rPr>
          <w:rFonts w:ascii="Arial" w:hAnsi="Arial" w:cs="Arial"/>
          <w:sz w:val="22"/>
          <w:szCs w:val="22"/>
        </w:rPr>
        <w:t xml:space="preserve"> p 22.</w:t>
      </w:r>
    </w:p>
  </w:footnote>
  <w:footnote w:id="17">
    <w:p w14:paraId="3FEB5F74"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Ibid.</w:t>
      </w:r>
    </w:p>
  </w:footnote>
  <w:footnote w:id="18">
    <w:p w14:paraId="43B9BC48"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Idem,</w:t>
      </w:r>
      <w:r w:rsidRPr="00B62DC3">
        <w:rPr>
          <w:rFonts w:ascii="Arial" w:hAnsi="Arial" w:cs="Arial"/>
          <w:sz w:val="22"/>
          <w:szCs w:val="22"/>
        </w:rPr>
        <w:t xml:space="preserve"> p 23.</w:t>
      </w:r>
    </w:p>
  </w:footnote>
  <w:footnote w:id="19">
    <w:p w14:paraId="4778F983"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&lt;&lt;https://www.researchgate.net/publication/335655670_Actio_Pauliana_as_the_Rights_Protection_Efforts_for_Creditors_in_the_Bankruptcy_Case&gt;&gt;, p 27, accessed 13 November 2022. </w:t>
      </w:r>
    </w:p>
  </w:footnote>
  <w:footnote w:id="20">
    <w:p w14:paraId="0708EAE3"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proofErr w:type="spellStart"/>
      <w:r w:rsidRPr="00B62DC3">
        <w:rPr>
          <w:rFonts w:ascii="Arial" w:hAnsi="Arial" w:cs="Arial"/>
          <w:sz w:val="22"/>
          <w:szCs w:val="22"/>
        </w:rPr>
        <w:t>Boraine</w:t>
      </w:r>
      <w:proofErr w:type="spellEnd"/>
      <w:r w:rsidRPr="00B62DC3">
        <w:rPr>
          <w:rFonts w:ascii="Arial" w:hAnsi="Arial" w:cs="Arial"/>
          <w:sz w:val="22"/>
          <w:szCs w:val="22"/>
        </w:rPr>
        <w:t xml:space="preserve"> and Mason, </w:t>
      </w:r>
      <w:r w:rsidRPr="00B62DC3">
        <w:rPr>
          <w:rFonts w:ascii="Arial" w:hAnsi="Arial" w:cs="Arial"/>
          <w:i/>
          <w:iCs/>
          <w:sz w:val="22"/>
          <w:szCs w:val="22"/>
        </w:rPr>
        <w:t>supra</w:t>
      </w:r>
      <w:r w:rsidRPr="00B62DC3">
        <w:rPr>
          <w:rFonts w:ascii="Arial" w:hAnsi="Arial" w:cs="Arial"/>
          <w:sz w:val="22"/>
          <w:szCs w:val="22"/>
        </w:rPr>
        <w:t xml:space="preserve"> note 1, p 4.</w:t>
      </w:r>
    </w:p>
  </w:footnote>
  <w:footnote w:id="21">
    <w:p w14:paraId="7C27C733" w14:textId="77777777" w:rsidR="003E2889" w:rsidRDefault="003E2889" w:rsidP="003E2889">
      <w:pPr>
        <w:pStyle w:val="FootnoteText"/>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Idem,</w:t>
      </w:r>
      <w:r w:rsidRPr="00B62DC3">
        <w:rPr>
          <w:rFonts w:ascii="Arial" w:hAnsi="Arial" w:cs="Arial"/>
          <w:sz w:val="22"/>
          <w:szCs w:val="22"/>
        </w:rPr>
        <w:t xml:space="preserve"> p 23.</w:t>
      </w:r>
    </w:p>
  </w:footnote>
  <w:footnote w:id="22">
    <w:p w14:paraId="3EABB147"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Idem,</w:t>
      </w:r>
      <w:r w:rsidRPr="00B62DC3">
        <w:rPr>
          <w:rFonts w:ascii="Arial" w:hAnsi="Arial" w:cs="Arial"/>
          <w:sz w:val="22"/>
          <w:szCs w:val="22"/>
        </w:rPr>
        <w:t xml:space="preserve"> p 34.</w:t>
      </w:r>
    </w:p>
  </w:footnote>
  <w:footnote w:id="23">
    <w:p w14:paraId="5BBCB547"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Ibid.</w:t>
      </w:r>
    </w:p>
  </w:footnote>
  <w:footnote w:id="24">
    <w:p w14:paraId="71833F61"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Ibid.</w:t>
      </w:r>
    </w:p>
  </w:footnote>
  <w:footnote w:id="25">
    <w:p w14:paraId="53235D3B"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 xml:space="preserve">Ibid, </w:t>
      </w:r>
      <w:r w:rsidRPr="00B62DC3">
        <w:rPr>
          <w:rFonts w:ascii="Arial" w:hAnsi="Arial" w:cs="Arial"/>
          <w:sz w:val="22"/>
          <w:szCs w:val="22"/>
        </w:rPr>
        <w:t xml:space="preserve">citing B Wessels, </w:t>
      </w:r>
      <w:r w:rsidRPr="00B62DC3">
        <w:rPr>
          <w:rFonts w:ascii="Arial" w:hAnsi="Arial" w:cs="Arial"/>
          <w:i/>
          <w:iCs/>
          <w:sz w:val="22"/>
          <w:szCs w:val="22"/>
        </w:rPr>
        <w:t>International Insolvency Law</w:t>
      </w:r>
      <w:r w:rsidRPr="00B62DC3">
        <w:rPr>
          <w:rFonts w:ascii="Arial" w:hAnsi="Arial" w:cs="Arial"/>
          <w:sz w:val="22"/>
          <w:szCs w:val="22"/>
        </w:rPr>
        <w:t xml:space="preserve"> (Kluwer, 2006), p1. </w:t>
      </w:r>
    </w:p>
  </w:footnote>
  <w:footnote w:id="26">
    <w:p w14:paraId="3A76793C"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Idem,</w:t>
      </w:r>
      <w:r w:rsidRPr="00B62DC3">
        <w:rPr>
          <w:rFonts w:ascii="Arial" w:hAnsi="Arial" w:cs="Arial"/>
          <w:sz w:val="22"/>
          <w:szCs w:val="22"/>
        </w:rPr>
        <w:t xml:space="preserve"> p 46.</w:t>
      </w:r>
    </w:p>
  </w:footnote>
  <w:footnote w:id="27">
    <w:p w14:paraId="6E15D4BA"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Ibid.</w:t>
      </w:r>
      <w:r w:rsidRPr="00B62DC3">
        <w:rPr>
          <w:rFonts w:ascii="Arial" w:hAnsi="Arial" w:cs="Arial"/>
          <w:sz w:val="22"/>
          <w:szCs w:val="22"/>
        </w:rPr>
        <w:t xml:space="preserve"> </w:t>
      </w:r>
    </w:p>
  </w:footnote>
  <w:footnote w:id="28">
    <w:p w14:paraId="568ECCEB"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Idem,</w:t>
      </w:r>
      <w:r w:rsidRPr="00B62DC3">
        <w:rPr>
          <w:rFonts w:ascii="Arial" w:hAnsi="Arial" w:cs="Arial"/>
          <w:sz w:val="22"/>
          <w:szCs w:val="22"/>
        </w:rPr>
        <w:t xml:space="preserve"> p 64. </w:t>
      </w:r>
    </w:p>
  </w:footnote>
  <w:footnote w:id="29">
    <w:p w14:paraId="3F583C32"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Ibid.</w:t>
      </w:r>
    </w:p>
  </w:footnote>
  <w:footnote w:id="30">
    <w:p w14:paraId="370A286D"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Idem,</w:t>
      </w:r>
      <w:r w:rsidRPr="00B62DC3">
        <w:rPr>
          <w:rFonts w:ascii="Arial" w:hAnsi="Arial" w:cs="Arial"/>
          <w:sz w:val="22"/>
          <w:szCs w:val="22"/>
        </w:rPr>
        <w:t xml:space="preserve"> p 46.</w:t>
      </w:r>
    </w:p>
  </w:footnote>
  <w:footnote w:id="31">
    <w:p w14:paraId="1BBDA468"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Ibid.</w:t>
      </w:r>
    </w:p>
  </w:footnote>
  <w:footnote w:id="32">
    <w:p w14:paraId="5558F635" w14:textId="77777777" w:rsidR="003E2889" w:rsidRDefault="003E2889" w:rsidP="003E2889">
      <w:pPr>
        <w:pStyle w:val="FootnoteText"/>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Ibid.</w:t>
      </w:r>
    </w:p>
  </w:footnote>
  <w:footnote w:id="33">
    <w:p w14:paraId="5C3F9C3D"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Idem,</w:t>
      </w:r>
      <w:r w:rsidRPr="00B62DC3">
        <w:rPr>
          <w:rFonts w:ascii="Arial" w:hAnsi="Arial" w:cs="Arial"/>
          <w:sz w:val="22"/>
          <w:szCs w:val="22"/>
        </w:rPr>
        <w:t xml:space="preserve"> p 17.</w:t>
      </w:r>
    </w:p>
  </w:footnote>
  <w:footnote w:id="34">
    <w:p w14:paraId="0F59BE4F"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Ibid.</w:t>
      </w:r>
    </w:p>
  </w:footnote>
  <w:footnote w:id="35">
    <w:p w14:paraId="00E690A1"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Idem,</w:t>
      </w:r>
      <w:r w:rsidRPr="00B62DC3">
        <w:rPr>
          <w:rFonts w:ascii="Arial" w:hAnsi="Arial" w:cs="Arial"/>
          <w:sz w:val="22"/>
          <w:szCs w:val="22"/>
        </w:rPr>
        <w:t xml:space="preserve"> p 18.</w:t>
      </w:r>
    </w:p>
  </w:footnote>
  <w:footnote w:id="36">
    <w:p w14:paraId="28471F3F"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Idem,</w:t>
      </w:r>
      <w:r w:rsidRPr="00B62DC3">
        <w:rPr>
          <w:rFonts w:ascii="Arial" w:hAnsi="Arial" w:cs="Arial"/>
          <w:sz w:val="22"/>
          <w:szCs w:val="22"/>
        </w:rPr>
        <w:t xml:space="preserve"> p 25.</w:t>
      </w:r>
    </w:p>
  </w:footnote>
  <w:footnote w:id="37">
    <w:p w14:paraId="4B86748D"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Idem,</w:t>
      </w:r>
      <w:r w:rsidRPr="00B62DC3">
        <w:rPr>
          <w:rFonts w:ascii="Arial" w:hAnsi="Arial" w:cs="Arial"/>
          <w:sz w:val="22"/>
          <w:szCs w:val="22"/>
        </w:rPr>
        <w:t xml:space="preserve"> p 25-26.</w:t>
      </w:r>
    </w:p>
  </w:footnote>
  <w:footnote w:id="38">
    <w:p w14:paraId="00322134"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Idem,</w:t>
      </w:r>
      <w:r w:rsidRPr="00B62DC3">
        <w:rPr>
          <w:rFonts w:ascii="Arial" w:hAnsi="Arial" w:cs="Arial"/>
          <w:sz w:val="22"/>
          <w:szCs w:val="22"/>
        </w:rPr>
        <w:t xml:space="preserve"> p 25.</w:t>
      </w:r>
    </w:p>
  </w:footnote>
  <w:footnote w:id="39">
    <w:p w14:paraId="1E3066C3"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Ibid.</w:t>
      </w:r>
    </w:p>
  </w:footnote>
  <w:footnote w:id="40">
    <w:p w14:paraId="41E31A63" w14:textId="77777777" w:rsidR="003E2889" w:rsidRDefault="003E2889" w:rsidP="003E2889">
      <w:pPr>
        <w:pStyle w:val="FootnoteText"/>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Ibid.</w:t>
      </w:r>
    </w:p>
  </w:footnote>
  <w:footnote w:id="41">
    <w:p w14:paraId="2DC5C700"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Idem,</w:t>
      </w:r>
      <w:r w:rsidRPr="00B62DC3">
        <w:rPr>
          <w:rFonts w:ascii="Arial" w:hAnsi="Arial" w:cs="Arial"/>
          <w:sz w:val="22"/>
          <w:szCs w:val="22"/>
        </w:rPr>
        <w:t xml:space="preserve"> p 35.</w:t>
      </w:r>
    </w:p>
  </w:footnote>
  <w:footnote w:id="42">
    <w:p w14:paraId="177006DF"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Ibid.</w:t>
      </w:r>
    </w:p>
  </w:footnote>
  <w:footnote w:id="43">
    <w:p w14:paraId="3FC45182"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Idem,</w:t>
      </w:r>
      <w:r w:rsidRPr="00B62DC3">
        <w:rPr>
          <w:rFonts w:ascii="Arial" w:hAnsi="Arial" w:cs="Arial"/>
          <w:sz w:val="22"/>
          <w:szCs w:val="22"/>
        </w:rPr>
        <w:t xml:space="preserve"> p 56.</w:t>
      </w:r>
    </w:p>
  </w:footnote>
  <w:footnote w:id="44">
    <w:p w14:paraId="6977C06A"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&lt;&lt;https://uncitral.un.org/sites/uncitral.un.org/files/media-documents/uncitral/en/05-80722_ebook.pdf&lt;&lt;, accessed 13 November 2022.</w:t>
      </w:r>
    </w:p>
  </w:footnote>
  <w:footnote w:id="45">
    <w:p w14:paraId="321D9AB2"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proofErr w:type="spellStart"/>
      <w:r w:rsidRPr="00B62DC3">
        <w:rPr>
          <w:rFonts w:ascii="Arial" w:hAnsi="Arial" w:cs="Arial"/>
          <w:sz w:val="22"/>
          <w:szCs w:val="22"/>
        </w:rPr>
        <w:t>Boraine</w:t>
      </w:r>
      <w:proofErr w:type="spellEnd"/>
      <w:r w:rsidRPr="00B62DC3">
        <w:rPr>
          <w:rFonts w:ascii="Arial" w:hAnsi="Arial" w:cs="Arial"/>
          <w:sz w:val="22"/>
          <w:szCs w:val="22"/>
        </w:rPr>
        <w:t xml:space="preserve"> and Mason, </w:t>
      </w:r>
      <w:r w:rsidRPr="00B62DC3">
        <w:rPr>
          <w:rFonts w:ascii="Arial" w:hAnsi="Arial" w:cs="Arial"/>
          <w:i/>
          <w:iCs/>
          <w:sz w:val="22"/>
          <w:szCs w:val="22"/>
        </w:rPr>
        <w:t>supra</w:t>
      </w:r>
      <w:r w:rsidRPr="00B62DC3">
        <w:rPr>
          <w:rFonts w:ascii="Arial" w:hAnsi="Arial" w:cs="Arial"/>
          <w:sz w:val="22"/>
          <w:szCs w:val="22"/>
        </w:rPr>
        <w:t xml:space="preserve"> note 1, p 53.</w:t>
      </w:r>
    </w:p>
  </w:footnote>
  <w:footnote w:id="46">
    <w:p w14:paraId="34C45FA1"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Idem,</w:t>
      </w:r>
      <w:r w:rsidRPr="00B62DC3">
        <w:rPr>
          <w:rFonts w:ascii="Arial" w:hAnsi="Arial" w:cs="Arial"/>
          <w:sz w:val="22"/>
          <w:szCs w:val="22"/>
        </w:rPr>
        <w:t xml:space="preserve"> p 56.</w:t>
      </w:r>
    </w:p>
  </w:footnote>
  <w:footnote w:id="47">
    <w:p w14:paraId="6C956978"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Ibid.</w:t>
      </w:r>
    </w:p>
  </w:footnote>
  <w:footnote w:id="48">
    <w:p w14:paraId="3AFC1376"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&lt;&lt;https://uncitral.un.org/en/texts/insolvency/modellaw/cross-border_insolvency&gt;&gt;, accessed 13 November 2022. </w:t>
      </w:r>
    </w:p>
  </w:footnote>
  <w:footnote w:id="49">
    <w:p w14:paraId="73835AE0"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proofErr w:type="spellStart"/>
      <w:r w:rsidRPr="00B62DC3">
        <w:rPr>
          <w:rFonts w:ascii="Arial" w:hAnsi="Arial" w:cs="Arial"/>
          <w:sz w:val="22"/>
          <w:szCs w:val="22"/>
        </w:rPr>
        <w:t>Boraine</w:t>
      </w:r>
      <w:proofErr w:type="spellEnd"/>
      <w:r w:rsidRPr="00B62DC3">
        <w:rPr>
          <w:rFonts w:ascii="Arial" w:hAnsi="Arial" w:cs="Arial"/>
          <w:sz w:val="22"/>
          <w:szCs w:val="22"/>
        </w:rPr>
        <w:t xml:space="preserve"> and Mason, </w:t>
      </w:r>
      <w:r w:rsidRPr="00B62DC3">
        <w:rPr>
          <w:rFonts w:ascii="Arial" w:hAnsi="Arial" w:cs="Arial"/>
          <w:i/>
          <w:iCs/>
          <w:sz w:val="22"/>
          <w:szCs w:val="22"/>
        </w:rPr>
        <w:t>supra</w:t>
      </w:r>
      <w:r w:rsidRPr="00B62DC3">
        <w:rPr>
          <w:rFonts w:ascii="Arial" w:hAnsi="Arial" w:cs="Arial"/>
          <w:sz w:val="22"/>
          <w:szCs w:val="22"/>
        </w:rPr>
        <w:t xml:space="preserve"> note 1, p 56.</w:t>
      </w:r>
    </w:p>
  </w:footnote>
  <w:footnote w:id="50">
    <w:p w14:paraId="11422862"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Idem,</w:t>
      </w:r>
      <w:r w:rsidRPr="00B62DC3">
        <w:rPr>
          <w:rFonts w:ascii="Arial" w:hAnsi="Arial" w:cs="Arial"/>
          <w:sz w:val="22"/>
          <w:szCs w:val="22"/>
        </w:rPr>
        <w:t xml:space="preserve"> p 57. </w:t>
      </w:r>
    </w:p>
  </w:footnote>
  <w:footnote w:id="51">
    <w:p w14:paraId="3213E562" w14:textId="77777777" w:rsidR="003E2889" w:rsidRDefault="003E2889" w:rsidP="003E2889">
      <w:pPr>
        <w:pStyle w:val="FootnoteText"/>
      </w:pPr>
      <w:r w:rsidRPr="00B62DC3">
        <w:rPr>
          <w:rStyle w:val="FootnoteReference"/>
          <w:rFonts w:ascii="Arial" w:hAnsi="Arial" w:cs="Arial"/>
          <w:sz w:val="22"/>
          <w:szCs w:val="22"/>
        </w:rPr>
        <w:footnoteRef/>
      </w:r>
      <w:r w:rsidRPr="00B62DC3">
        <w:rPr>
          <w:rFonts w:ascii="Arial" w:hAnsi="Arial" w:cs="Arial"/>
          <w:sz w:val="22"/>
          <w:szCs w:val="22"/>
        </w:rPr>
        <w:t xml:space="preserve"> &lt;&lt;http://www.jin-global.org/jin-guidelines.html&gt;&gt;, accessed 13 November 2022.</w:t>
      </w:r>
      <w:r>
        <w:t xml:space="preserve"> </w:t>
      </w:r>
    </w:p>
  </w:footnote>
  <w:footnote w:id="52">
    <w:p w14:paraId="4053B9C4"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proofErr w:type="spellStart"/>
      <w:r w:rsidRPr="00B62DC3">
        <w:rPr>
          <w:rFonts w:ascii="Arial" w:hAnsi="Arial" w:cs="Arial"/>
          <w:sz w:val="22"/>
          <w:szCs w:val="22"/>
        </w:rPr>
        <w:t>Boraine</w:t>
      </w:r>
      <w:proofErr w:type="spellEnd"/>
      <w:r w:rsidRPr="00B62DC3">
        <w:rPr>
          <w:rFonts w:ascii="Arial" w:hAnsi="Arial" w:cs="Arial"/>
          <w:sz w:val="22"/>
          <w:szCs w:val="22"/>
        </w:rPr>
        <w:t xml:space="preserve"> and Mason, </w:t>
      </w:r>
      <w:r w:rsidRPr="00B62DC3">
        <w:rPr>
          <w:rFonts w:ascii="Arial" w:hAnsi="Arial" w:cs="Arial"/>
          <w:i/>
          <w:iCs/>
          <w:sz w:val="22"/>
          <w:szCs w:val="22"/>
        </w:rPr>
        <w:t>supra</w:t>
      </w:r>
      <w:r w:rsidRPr="00B62DC3">
        <w:rPr>
          <w:rFonts w:ascii="Arial" w:hAnsi="Arial" w:cs="Arial"/>
          <w:sz w:val="22"/>
          <w:szCs w:val="22"/>
        </w:rPr>
        <w:t xml:space="preserve"> note 1, p 58.</w:t>
      </w:r>
    </w:p>
  </w:footnote>
  <w:footnote w:id="53">
    <w:p w14:paraId="670A73E2"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Idem,</w:t>
      </w:r>
      <w:r w:rsidRPr="00B62DC3">
        <w:rPr>
          <w:rFonts w:ascii="Arial" w:hAnsi="Arial" w:cs="Arial"/>
          <w:sz w:val="22"/>
          <w:szCs w:val="22"/>
        </w:rPr>
        <w:t xml:space="preserve"> p 34.</w:t>
      </w:r>
    </w:p>
  </w:footnote>
  <w:footnote w:id="54">
    <w:p w14:paraId="3F91A2A5"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Idem,</w:t>
      </w:r>
      <w:r w:rsidRPr="00B62DC3">
        <w:rPr>
          <w:rFonts w:ascii="Arial" w:hAnsi="Arial" w:cs="Arial"/>
          <w:sz w:val="22"/>
          <w:szCs w:val="22"/>
        </w:rPr>
        <w:t xml:space="preserve"> p 64. </w:t>
      </w:r>
    </w:p>
  </w:footnote>
  <w:footnote w:id="55">
    <w:p w14:paraId="511976FF"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Ibid.</w:t>
      </w:r>
    </w:p>
  </w:footnote>
  <w:footnote w:id="56">
    <w:p w14:paraId="58F6F36B"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Ibid.</w:t>
      </w:r>
    </w:p>
  </w:footnote>
  <w:footnote w:id="57">
    <w:p w14:paraId="14E54776"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r w:rsidRPr="00B62DC3">
        <w:rPr>
          <w:rFonts w:ascii="Arial" w:hAnsi="Arial" w:cs="Arial"/>
          <w:i/>
          <w:iCs/>
          <w:sz w:val="22"/>
          <w:szCs w:val="22"/>
        </w:rPr>
        <w:t>Idem,</w:t>
      </w:r>
      <w:r w:rsidRPr="00B62DC3">
        <w:rPr>
          <w:rFonts w:ascii="Arial" w:hAnsi="Arial" w:cs="Arial"/>
          <w:sz w:val="22"/>
          <w:szCs w:val="22"/>
        </w:rPr>
        <w:t xml:space="preserve"> p 65.</w:t>
      </w:r>
    </w:p>
  </w:footnote>
  <w:footnote w:id="58">
    <w:p w14:paraId="3AF32973"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&lt;&lt;https://uncitral.un.org/en/texts/insolvency/modellaw/cross-border_insolvency&gt;&gt;, accessed 15 November 2022.</w:t>
      </w:r>
    </w:p>
  </w:footnote>
  <w:footnote w:id="59">
    <w:p w14:paraId="1D89E15E" w14:textId="77777777" w:rsidR="003E2889" w:rsidRDefault="003E2889" w:rsidP="003E2889">
      <w:pPr>
        <w:pStyle w:val="FootnoteText"/>
      </w:pPr>
      <w:r w:rsidRPr="00B62DC3">
        <w:rPr>
          <w:rStyle w:val="FootnoteReference"/>
          <w:rFonts w:ascii="Arial" w:hAnsi="Arial" w:cs="Arial"/>
          <w:sz w:val="22"/>
          <w:szCs w:val="22"/>
        </w:rPr>
        <w:footnoteRef/>
      </w:r>
      <w:r w:rsidRPr="00B62DC3">
        <w:rPr>
          <w:rFonts w:ascii="Arial" w:hAnsi="Arial" w:cs="Arial"/>
          <w:sz w:val="22"/>
          <w:szCs w:val="22"/>
        </w:rPr>
        <w:t xml:space="preserve"> &lt;&lt;https://www.legislation.gov.uk/ukpga/1986/45/section/426&gt;&gt;, accessed 13 November 2022.</w:t>
      </w:r>
    </w:p>
  </w:footnote>
  <w:footnote w:id="60">
    <w:p w14:paraId="4D979CA7" w14:textId="77777777" w:rsidR="003E2889" w:rsidRPr="00B62DC3" w:rsidRDefault="003E2889" w:rsidP="003E2889">
      <w:pPr>
        <w:pStyle w:val="FootnoteText"/>
        <w:rPr>
          <w:rFonts w:ascii="Arial" w:hAnsi="Arial" w:cs="Arial"/>
          <w:sz w:val="22"/>
          <w:szCs w:val="22"/>
        </w:rPr>
      </w:pPr>
      <w:r w:rsidRPr="00B62DC3">
        <w:rPr>
          <w:rStyle w:val="FootnoteReference"/>
          <w:rFonts w:ascii="Arial" w:hAnsi="Arial" w:cs="Arial"/>
          <w:sz w:val="22"/>
          <w:szCs w:val="22"/>
        </w:rPr>
        <w:footnoteRef/>
      </w:r>
      <w:r w:rsidRPr="00B62DC3">
        <w:rPr>
          <w:rFonts w:ascii="Arial" w:hAnsi="Arial" w:cs="Arial"/>
          <w:sz w:val="22"/>
          <w:szCs w:val="22"/>
        </w:rPr>
        <w:t xml:space="preserve"> </w:t>
      </w:r>
      <w:proofErr w:type="spellStart"/>
      <w:r w:rsidRPr="00B62DC3">
        <w:rPr>
          <w:rFonts w:ascii="Arial" w:hAnsi="Arial" w:cs="Arial"/>
          <w:sz w:val="22"/>
          <w:szCs w:val="22"/>
        </w:rPr>
        <w:t>Boraine</w:t>
      </w:r>
      <w:proofErr w:type="spellEnd"/>
      <w:r w:rsidRPr="00B62DC3">
        <w:rPr>
          <w:rFonts w:ascii="Arial" w:hAnsi="Arial" w:cs="Arial"/>
          <w:sz w:val="22"/>
          <w:szCs w:val="22"/>
        </w:rPr>
        <w:t xml:space="preserve"> and Mason, </w:t>
      </w:r>
      <w:r w:rsidRPr="00B62DC3">
        <w:rPr>
          <w:rFonts w:ascii="Arial" w:hAnsi="Arial" w:cs="Arial"/>
          <w:i/>
          <w:iCs/>
          <w:sz w:val="22"/>
          <w:szCs w:val="22"/>
        </w:rPr>
        <w:t>supra</w:t>
      </w:r>
      <w:r w:rsidRPr="00B62DC3">
        <w:rPr>
          <w:rFonts w:ascii="Arial" w:hAnsi="Arial" w:cs="Arial"/>
          <w:sz w:val="22"/>
          <w:szCs w:val="22"/>
        </w:rPr>
        <w:t xml:space="preserve"> note 1, p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C2005"/>
    <w:multiLevelType w:val="hybridMultilevel"/>
    <w:tmpl w:val="343078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2E040C"/>
    <w:multiLevelType w:val="hybridMultilevel"/>
    <w:tmpl w:val="E27AF4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DF54848"/>
    <w:multiLevelType w:val="hybridMultilevel"/>
    <w:tmpl w:val="75F6D6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2"/>
  </w:num>
  <w:num w:numId="4">
    <w:abstractNumId w:val="3"/>
  </w:num>
  <w:num w:numId="5">
    <w:abstractNumId w:val="16"/>
  </w:num>
  <w:num w:numId="6">
    <w:abstractNumId w:val="22"/>
  </w:num>
  <w:num w:numId="7">
    <w:abstractNumId w:val="8"/>
  </w:num>
  <w:num w:numId="8">
    <w:abstractNumId w:val="26"/>
  </w:num>
  <w:num w:numId="9">
    <w:abstractNumId w:val="7"/>
  </w:num>
  <w:num w:numId="10">
    <w:abstractNumId w:val="23"/>
  </w:num>
  <w:num w:numId="11">
    <w:abstractNumId w:val="6"/>
  </w:num>
  <w:num w:numId="12">
    <w:abstractNumId w:val="24"/>
  </w:num>
  <w:num w:numId="13">
    <w:abstractNumId w:val="15"/>
  </w:num>
  <w:num w:numId="14">
    <w:abstractNumId w:val="13"/>
  </w:num>
  <w:num w:numId="15">
    <w:abstractNumId w:val="4"/>
  </w:num>
  <w:num w:numId="16">
    <w:abstractNumId w:val="17"/>
  </w:num>
  <w:num w:numId="17">
    <w:abstractNumId w:val="10"/>
  </w:num>
  <w:num w:numId="18">
    <w:abstractNumId w:val="11"/>
  </w:num>
  <w:num w:numId="19">
    <w:abstractNumId w:val="19"/>
  </w:num>
  <w:num w:numId="20">
    <w:abstractNumId w:val="5"/>
  </w:num>
  <w:num w:numId="21">
    <w:abstractNumId w:val="9"/>
  </w:num>
  <w:num w:numId="22">
    <w:abstractNumId w:val="0"/>
  </w:num>
  <w:num w:numId="23">
    <w:abstractNumId w:val="18"/>
  </w:num>
  <w:num w:numId="24">
    <w:abstractNumId w:val="1"/>
  </w:num>
  <w:num w:numId="25">
    <w:abstractNumId w:val="14"/>
  </w:num>
  <w:num w:numId="26">
    <w:abstractNumId w:val="20"/>
  </w:num>
  <w:num w:numId="2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889"/>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CEC"/>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B262C"/>
    <w:rsid w:val="00CB2CBB"/>
    <w:rsid w:val="00CB6B22"/>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15AC"/>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d0ad2d52-4869-465d-a93a-001fa21a593d"/>
    <ds:schemaRef ds:uri="http://purl.org/dc/terms/"/>
    <ds:schemaRef ds:uri="http://schemas.openxmlformats.org/package/2006/metadata/core-properties"/>
    <ds:schemaRef ds:uri="http://schemas.microsoft.com/office/2006/documentManagement/types"/>
    <ds:schemaRef ds:uri="a21de7b9-cad9-43f2-8459-9b1b4f9894e2"/>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5086</Words>
  <Characters>27367</Characters>
  <Application>Microsoft Office Word</Application>
  <DocSecurity>0</DocSecurity>
  <Lines>781</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Anthony Harper</cp:lastModifiedBy>
  <cp:revision>3</cp:revision>
  <cp:lastPrinted>2020-06-12T02:43:00Z</cp:lastPrinted>
  <dcterms:created xsi:type="dcterms:W3CDTF">2022-11-15T09:53:00Z</dcterms:created>
  <dcterms:modified xsi:type="dcterms:W3CDTF">2022-11-15T10:00:00Z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